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IN THE SUPREME COURT OF INDIA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CRIMINAL APPELLATE JURISDICTION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CRIMINAL APPEAL NO.  442   OF  2010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State of Madhya Pradesh                                 … Appellant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           :Versus: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Anoop Singh                                                  … Respondent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        J U D G M E N 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Pinaki Chandra Ghose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1.    The present Criminal Appeal has been preferred  against  the  judgment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and order dated 10.07.2008 passed by the High Court  of  Madhya  Pradesh  at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Jabalpur in Criminal Appeal No.924 of  2006,  whereby  the  High  Court  set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aside the judgment of  conviction  and  order  of  sentence  passed  by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learned Trial Court and acquitted the accused from all the charges  levelled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against him.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2.    The facts of the present matter  are  that  on  03.01.2003,  at  about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10:30 A.M. the prosecutrix was going to school along  with  her  sister.  On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realizing that she had left behind her practical  note  book,  she  returned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back and after taking the said note book she once again headed  towards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school. When she reached near Tar Badi  (wire  fencing)  near  Hawai  Patti,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there was an Ambassador car standing  there  and  as  alleged,  the  accused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respondent came out of the car, pulled the prosecutrix inside  the  car  and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forced her to smell something, as a result of which the  prosecutrix  became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unconscious. As alleged by the prosecution, the  prosecutrix  was  taken  to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some unknown place thereafter.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3.    On regaining consciousness, the prosecutrix felt pain in  her  private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parts.  On the same day, she was admitted in the  District  Hospital,  Satna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in an unconscious condition and information about the incident was given  to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Laxmikant Sharma (P.W.8), the uncle of the prosecutrix.  On 10.01.2003,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prosecutrix was discharged from the Hospital  and  sent  back  to  her  home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where she narrated the incident and thereafter an F.I.R was  lodged.  During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 course  of  investigation,  the  prosecutrix  was  sent   for   medical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examination and her clothes were seized  and  slides  were  prepared.  After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receipt of the medical report, F.I.R was registered  and  site  map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spot was prepared. The Investigating Officer seized various  articles  which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included the prosecutrix’s birth certificate and certificate of  the  Middle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School Examination, 2001.  Along with that the relevant page (page  No.  20)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 the  register  of  the  U.S.A  Hotel  was  also   seized.    After   due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investigation a charge-sheet was filed against the respondent  for  offences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under Sections 363, 366 and 376 of the Indian Penal  Code,  1860  (“I.P.C.”)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and the statements of the prosecution witnesses were recorded.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4.    On 27.03.2003, the Judicial Magistrate, First Class  Satna  registered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Criminal Case No.116/2003 and passed the committal  order.  Accordingly,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case was transferred and was received by  the  Upper  District  Sessions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Judge-III, Satna for trial.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5.    The IIIrd  Additional  Sessions  Judge,  Satna,  by  his  order  dated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24.04.2006 passed in Special Case No.123/2003, convicted the  accused  under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Sections 363, 366 and 376 of I.P.C. and held that all the  offences  against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respondent were proved  beyond  reasonable  doubt.  The  respondent  was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awarded 7 years’ rigorous imprisonment and fine of Rs.500/-  for  the  crime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under Section 363 I.P.C.,  10  years’  rigorous  imprisonment  and  fine  of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Rs.1000/- for the crime under Section 366 I.P.C.,  and  10  years’  rigorous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imprisonment and fine of Rs.1000/- for the crime under  Section  376  I.P.C.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with default clauses. All the substantive sentences  were  directed  to  run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concurrently.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6.    Aggrieved by the aforesaid judgment and  order  passed  by  the  IIIrd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Additional Sessions Judge, Satna, the respondent preferred an  appeal  under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Section 374(2) of Cr.P.C.  before  the  High  Court  of  Madhya  Pradesh  at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Jabalpur, which was numbered as Criminal Appeal No.924 of 2006. The  learned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Single Judge of the  High  Court,  by  impugned  judgment  and  order  dated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10.07.2008, set aside the judgment and order of  conviction  passed  by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Trial Court against the respondent. The High Court ruled that  the  decision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the Trial Court was  not  sustainable  solely  on  the  ground  that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prosecution had failed to prove the fact that the  girl  was  less  than  16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years of age at the time of the incident. The reasons that  weighed  heavily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with the ruling of the High Court were that, either  the  public  prosecutor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or P.W.7 Pramod Kumar Sharma (father of the prosecutrix) tried to file  Ext.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P/5 which was not part of the charge-sheet. Such type of evidence could  not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be created by any person except the Investigation Officer. It  was  for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prosecution to show that a particular document was taken  on  record  during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investigation but could not be filed. The prosecution could not  create  any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new evidence which was not part of the investigation. Ext. P/5 and Ext.  P/6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have variation in the date of  birth  of  the  prosecutrix.  In  certificate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Ext.P/5  the  date  of  birth  was  disclosed  as  29.8.1987,   whereas   in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certificate Ext.P/6 it has been  disclosed  as  27.8.1987.  The  High  Court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found this sufficient to disbelieve that the prosecutrix was below 16  years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age at the time of the incident. The High Court relied on  the  statement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PW-11 Dr. A.K. Saraf who took the X-ray of the  prosecutrix  and  on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basis of the ossification test, came to the conclusion that the age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prosecutrix was more than 15 years but less than 18 years. Considering  this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High Court presumed that the girl was more than 18 years of age  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time of the incident. The last ground taken by the High Court was  that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girl was a consenting party and was more than 18 years of age  at  the  time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the incident and thus, no offence against the accused has been proved.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7.    We have heard the learned counsel appearing for the parties.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8.    Before us, learned counsel for the State of Madhya Pradesh has  raised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contention that the High Court gave undue importance to  the  difference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two days in the date of  birth  of  the  prosecutrix  as  per  the  birth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certificate and the certificate of the Middle School Examination  2001,  and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erroneously held that this difference is sufficient to  disbelieve  the  age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the prosecutrix. Further, the High Court ought to  have  appreciated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law laid down by this Court that regarding the  determination  of  age,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birth certificate is the determining evidence.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9.    The learned counsel appearing for the respondent, on the  other  hand,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argued that the prosecution story  is  concocted  as  her  evidence  is  not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corroborated by the evidence of P.W.9 Jagdish  Gupta,  the  Manager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Hotel. Further, the respondent states that the prosecutrix did not give  any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resistance and there were no injury marks, which make it clear that she  was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 consenting party.  In  addition,  the  learned  counsel  argued  that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prosecution did not explain as to why  the  Investigating  Officer  did  not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seize the birth certificate during the course of investigation.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10.   We believe that the present case involves  only  one  issue  for  this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Court to be considered, which is regarding the determination of the  age  of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prosecutrix.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11.   In the present case, the central question is whether  the  prosecutrix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was below 16 years of age at the time of the incident.  The  prosecution  in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support of their  case  adduced  two  certificates,  which  were  the  birth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certificate and the middle school certificate. The  date  of  birth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prosecutrix has been shown as 29.08.1987  in  the  Birth  Certificate  (Ext.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P/5), while the date of birth is shown as 27.08.1987 in  the  Middle  School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Examination Certificate. There is a difference  of  just  two  days  in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dates mentioned in the abovementioned Exhibits. The Trial Court has  rightly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observed that  the  birth  certificate  Ext.  P/5  clearly  shows  that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registration regarding the birth was made on 30.10.1987 and keeping in  view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fact that registration was made within 2 months of the birth,  it  could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not be guessed that the prosecutrix was shown as under-aged in view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possibility of the incident in  question.  We  are  of  the  view  that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discrepancy of two days in the two documents adduced by the  prosecution  is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immaterial and the High Court was wrong  in  presuming  that  the  documents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could not be relied upon in determining the age of the prosecutrix.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12.   This Court in the case  of  Mahadeo  S/o  Kerba  Maske  Vs.  State  of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Maharashtra and Anr., (2013) 14 SCC 637, has held that  Rule  12(3)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Juvenile  Justice  (Care  and  Protection  of  Children)  Rules,  2007,   is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applicable in determining the age of the victim of rape.  Rule  12(3)  reads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as under: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“Rule 12(3): In every case concerning a child or juvenile in  conflict  with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law, the age determination inquiry shall be conducted by the  court  or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Board or, as  the  case  may  be,  the  Committee  by  seeking  evidence  by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obtaining –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(i) the matriculation or equivalent certificates, if available; and  in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absence whereof;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(ii) the date of birth certificate  from  the  school  (other  than  a  play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school) first attended; and in the absence whereof;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(iii) the birth certificate given by a corporation or a municipal  authority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or a panchayat;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(b) and only in the absence of either (i),  (ii)  or  (iii)  of  clause  (a)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above, the medical opinion will be sought from a  duly  constituted  Medical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Board, which will declare the age of the juvenile or child.  In  case  exact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assessment of the age cannot be done, the Court or  the  Board  or,  as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case may be, the Committee, for the reasons to be recorded by them, may,  if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considered necessary, give benefit to the child or juvenile  by  considering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his/her age on lower side within the margin of one year.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and,  while  passing  orders  in  such  case  shall,   after   taking   into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consideration such evidence as may be available, or the medical opinion,  as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case may be, record a finding in respect of his age and  either  of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evidence specified in any of the clauses  (a)(i),  (ii),  (iii)  or  in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absence whereof, clause (b) shall be the conclusive  proof  of  the  age  as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regards such child or the juvenile in conflict with law.”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13.   This Court further held in paragraph 12 of  Mahadeo  S/o  Kerba  Maske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(supra) as under: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“Under rule 12(3)(b), it is specifically provided that only in  the  absence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alternative methods  described  under  Rule  12(3)(a)(i)  to  (iii),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medical opinion can be sought for. In the light of  such  a  statutory  rule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prevailing for ascertainment of the age of the juvenile  in  our  considered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opinion, the same yardstick can be rightly followed by the  courts  for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purpose of the ascertaining the age of a victim as well.”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                (Emphasis supplied)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This Court therefore relied on the certificates  issued  by  the  school  in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determining the  age  of  the  prosecutrix.  In  paragraph  13,  this  Court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observed: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“In light  of  our  above  reasoning,  in  the  case  on  hand,  there  were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certificates issued by the  school  in  which  the  proseuctrix  did  her  V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standard and in the school leaving certificate issued by  the  school  under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Exhibit 54, the date of birth has been clearly noted as 20.05.1990 and  this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document was also proved by PW 11. Apart from that the transfer  certificate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as well as the admission form  maintained  by  the  Primary  School,  Latur,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where the prosecutrix had her initial education, also confirmed the date  of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birth as 20.05.1990. the reliance placed  upon  the  said  evidence  by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Courts below to arrive at the age  of  the  prosecutrix  to  hold  that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prosecutrix was below 18  years  of  age  at  the  time  of  occurrence  was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perfectly justified and we do not find any grounds  to  interfere  with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same.”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14.   In the present case, we have before us  two  documents  which  support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case of the prosecutrix that she was below 16 years of age at  the  time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incident took place. These documents can be used  for  ascertaining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age of the prosecutrix as per Rule 12(3)(b).  The difference of two days  in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dates, in our considered view, is immaterial  and  just  on  this  minor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discrepancy, the evidence in the  form  of  Exts.  P/5  and  P/6  cannot  be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discarded. Therefore,  the  Trial  Court  was  correct  in  relying  on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documents.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15.   The High Court also relied on the statement of PW-11  Dr.  A.K.  Saraf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who took the X-ray of the prosecutrix and on the basis of  the  ossification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test, came to the conclusion that the age of the prosecutrix was  more  than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15 years but less than 18 years. Considering this the  High  Court  presumed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that the girl was more than 18 years of age at the  time  of  the  incident.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With respect to this finding of the High Court, we are of the  opinion  that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 High Court should have relied firstly on  the  documents  as  stipulated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under Rule 12(3)(b) and only in the  absence,  the  medical  opinion  should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have been sought. We find that the Trial Court  has  also  dealt  with  this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aspect of the ossification test. The Trial Court noted that  the  respondent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had cited Lakhan Lal Vs. State of M.P.,  2004  Cri.L.J.  3962,  wherein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High Court of Madhya Pradesh said that where the doctor having examined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prosecutrix and found her to be below 18½ years, then keeping  in  mind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variation of  two years, the accused should be given the benefit  of  doubt.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Thereafter, the Trial Court rightly  held  that  in  the  present  case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ossification test is not the sole criteria for determination of the date  of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birth  of  the  prosecutrix  as  her  certificate  of  birth  and  also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certificate of her medical examination had been enclosed.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16.   Thus, keeping in view the medical examination reports, the  statements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the prosecution witnesses which inspire confidence and  the  certificates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proving the age of the prosecutrix to be below 16 years of age on  the  date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of the incident, we set aside the  impugned  judgment  passed  by  the  High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Court and uphold the judgment and  order  dated  24.04.2006  passed  by  the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IIIrd Additional Sessions Judge, Satna in Special Case No.123/2003.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17.   Accordingly, this appeal is allowed.  We direct  that  the  respondent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shall be taken into custody forthwith to serve out the sentence.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……………………………..J (Pinaki Chandra Ghose)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……………………………..J (Uday Umesh Lalit)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New Delhi;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July 03, 2015.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ITEM NO.1C               COURT NO.11               SECTION IIA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(For judgment)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S U P R E M E  C O U R T  O F  I N D I A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RECORD OF PROCEEDINGS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Criminal Appeal  No(s). 442/2010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STATE OF M.P.                                     Appellant(s)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         VERSUS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ANOOP SINGH                                       Respondent(s)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Date : 03/07/2015      This appeal was called on for pronouncement of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judgment today.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For Appellant(s)       Mr. Mishra Saurabh, AOR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For Respondent(s)      Mr. M.P. Singh, Adv.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           Mr. Rajeev Kumar Bansal, AOR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Hon'ble Mr. Justice Pinaki Chandra  Ghose  pronounced  the  reportable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judgment of the Bench comprising His Lordship and Hon'ble Mr.  Justice  Uday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Umesh Lalit.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The appeal is allowed and the respondent shall be taken  into  custody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forthwith to serve out the  sentence  in  terms  of  the  signed  reportable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>judgment.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(R.NATARAJAN)                                 (SNEH LATA SHARMA)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Court Master                                    Court Master</w:t>
      </w:r>
    </w:p>
    <w:p w:rsidR="00CC0BAB" w:rsidRPr="00CC0BAB" w:rsidRDefault="00CC0BAB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CC0BAB">
        <w:rPr>
          <w:rFonts w:ascii="Times New Roman" w:hAnsi="Times New Roman" w:cs="Times New Roman"/>
          <w:sz w:val="25"/>
          <w:szCs w:val="25"/>
        </w:rPr>
        <w:t xml:space="preserve">            (Signed reportable judgment is placed on the file)</w:t>
      </w:r>
    </w:p>
    <w:p w:rsidR="00693E87" w:rsidRPr="00CC0BAB" w:rsidRDefault="00693E87" w:rsidP="00CC0BAB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CC0BAB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7AE" w:rsidRDefault="002017AE" w:rsidP="00607A95">
      <w:pPr>
        <w:spacing w:after="0" w:line="240" w:lineRule="auto"/>
      </w:pPr>
      <w:r>
        <w:separator/>
      </w:r>
    </w:p>
  </w:endnote>
  <w:endnote w:type="continuationSeparator" w:id="1">
    <w:p w:rsidR="002017AE" w:rsidRDefault="002017AE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C23929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7AE" w:rsidRDefault="002017AE" w:rsidP="00607A95">
      <w:pPr>
        <w:spacing w:after="0" w:line="240" w:lineRule="auto"/>
      </w:pPr>
      <w:r>
        <w:separator/>
      </w:r>
    </w:p>
  </w:footnote>
  <w:footnote w:type="continuationSeparator" w:id="1">
    <w:p w:rsidR="002017AE" w:rsidRDefault="002017AE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9251A"/>
    <w:rsid w:val="000B63B9"/>
    <w:rsid w:val="000C4D41"/>
    <w:rsid w:val="000E0F49"/>
    <w:rsid w:val="000E2949"/>
    <w:rsid w:val="000E35AF"/>
    <w:rsid w:val="00115014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017AE"/>
    <w:rsid w:val="002169AE"/>
    <w:rsid w:val="00250000"/>
    <w:rsid w:val="00274033"/>
    <w:rsid w:val="00294085"/>
    <w:rsid w:val="002A74C5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50CBD"/>
    <w:rsid w:val="003579A7"/>
    <w:rsid w:val="003635C8"/>
    <w:rsid w:val="003656F0"/>
    <w:rsid w:val="003A2067"/>
    <w:rsid w:val="003A73D2"/>
    <w:rsid w:val="003B3C23"/>
    <w:rsid w:val="003D185A"/>
    <w:rsid w:val="003D1C2B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72C2"/>
    <w:rsid w:val="004F1B79"/>
    <w:rsid w:val="0053695D"/>
    <w:rsid w:val="005441B3"/>
    <w:rsid w:val="00576873"/>
    <w:rsid w:val="00583F6E"/>
    <w:rsid w:val="00587CCB"/>
    <w:rsid w:val="00597989"/>
    <w:rsid w:val="005C4463"/>
    <w:rsid w:val="005D05F4"/>
    <w:rsid w:val="005D1E90"/>
    <w:rsid w:val="005F597B"/>
    <w:rsid w:val="00602576"/>
    <w:rsid w:val="00605042"/>
    <w:rsid w:val="00605A25"/>
    <w:rsid w:val="00607A95"/>
    <w:rsid w:val="00614768"/>
    <w:rsid w:val="00631014"/>
    <w:rsid w:val="0064409C"/>
    <w:rsid w:val="006450CE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736E37"/>
    <w:rsid w:val="007373D7"/>
    <w:rsid w:val="007375E8"/>
    <w:rsid w:val="0074714B"/>
    <w:rsid w:val="00783FD6"/>
    <w:rsid w:val="007871DF"/>
    <w:rsid w:val="00792EA6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623B0"/>
    <w:rsid w:val="00877791"/>
    <w:rsid w:val="008810B5"/>
    <w:rsid w:val="00884C8E"/>
    <w:rsid w:val="008935B0"/>
    <w:rsid w:val="00894BD6"/>
    <w:rsid w:val="008A599C"/>
    <w:rsid w:val="008B0BB8"/>
    <w:rsid w:val="008B0C58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593B"/>
    <w:rsid w:val="009705DC"/>
    <w:rsid w:val="00972E0A"/>
    <w:rsid w:val="0098026A"/>
    <w:rsid w:val="00985338"/>
    <w:rsid w:val="00995E2F"/>
    <w:rsid w:val="009D183C"/>
    <w:rsid w:val="009E65D7"/>
    <w:rsid w:val="009F1CE9"/>
    <w:rsid w:val="009F5096"/>
    <w:rsid w:val="009F63EC"/>
    <w:rsid w:val="00A06561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6892"/>
    <w:rsid w:val="00B877B5"/>
    <w:rsid w:val="00B929B4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C11"/>
    <w:rsid w:val="00D117BE"/>
    <w:rsid w:val="00D118AB"/>
    <w:rsid w:val="00D23930"/>
    <w:rsid w:val="00D37FDB"/>
    <w:rsid w:val="00D418E6"/>
    <w:rsid w:val="00D75E12"/>
    <w:rsid w:val="00D832AB"/>
    <w:rsid w:val="00D975BB"/>
    <w:rsid w:val="00DB0C68"/>
    <w:rsid w:val="00DF5902"/>
    <w:rsid w:val="00E10791"/>
    <w:rsid w:val="00E24E5D"/>
    <w:rsid w:val="00E300C3"/>
    <w:rsid w:val="00E55AC6"/>
    <w:rsid w:val="00E60301"/>
    <w:rsid w:val="00E66E74"/>
    <w:rsid w:val="00ED0062"/>
    <w:rsid w:val="00ED29E7"/>
    <w:rsid w:val="00ED2AD9"/>
    <w:rsid w:val="00F46F73"/>
    <w:rsid w:val="00F9772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2373</Words>
  <Characters>13531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2016-05-04T08:36:00Z</dcterms:created>
  <dcterms:modified xsi:type="dcterms:W3CDTF">2016-05-04T08:36:00Z</dcterms:modified>
</cp:coreProperties>
</file>