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                  IN THE SUPREME COURT OF INDIA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                  CRIMINAL APPELLATE JURISDICTION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                CRIMINAL APPEAL NO. 860 OF 2015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            (ARISING OUT OF SLP(CRL.) NO.1059/2014)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STATE OF M.P                                      Appellant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                     VERSUS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MANISH &amp; ORS                                      Respondent(s)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         O R D E R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Leave granted.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Heard learned counsel for the appellant and the respondents.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The appellant/State of Madhya Pradesh seeks to challenge the order  of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the High Court of Madhya Pradesh dated 25.6.2013 passed  in  Misc.  Criminal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Case No.4013/2013, in and by which the High Court in exercise of its  powers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under Section 482 Cr.P.C. by taking into account the stand of the  de  facto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complainant, who was present before the Court, that  she  did  not  wish  to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prosecute the respondents herein as the disputes have been amicably  settled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between them, curiously proceeded to quash  the  FIR  in  Crime  No.512/2012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registered at Police Station Thatipur, District Gwalior for  offences  under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Sections 307, 294 and 34 IPC as well as the subsequent criminal  proceedings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being Criminal Case No.2602/2013 for the same offences  pending  before  the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Court.  The High Court, however, made it clear that the proceedings  pending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against the private respondents herein in relation  to  the  offences  under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Sections 25 and 27 of Arms Act were not quashed by the Court.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Therefore, the moot question that arises for consideration is  whether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based on out of Court settlement alleged to have been  reached  between  the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private parties, the offences of this nature  falling  under  Sections  307,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294 and 34 IPC which are not covered by Section 320  Cr.P.C.  can  be  taken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note of and such orders of quashing of the  proceedings  can  be  passed  in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exercise of powers under Section 482 Cr.P.C.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The question is no longer res integra,  inasmuch  as  the  Three-Judge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Bench of this Court in Gian Singh v. State of Punjab and  another,  reported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in (2012) 10 SCC 303 which has been subsequently followed  in  a  number  of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other decisions including the recent decision in State  of  M.P.  v.  Deepak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and Others, reported in (2014) 10 SCC 285, clearly sets out as  to  in  what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circumstances and in what type of cases such  exercise  of  inherent  powers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under Section 482 Cr.P.C. can be  invoked de hors Section  320  Cr.P.C.  for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lastRenderedPageBreak/>
        <w:t>recognizing such out of Court settlement for  the  purpose  of  quashing  of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criminal proceedings.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The  Three-Judge  Bench  decision  in  Gian  Singh  (supra)   is   an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illuminating judgment  on  this  issue.   In  paragraph  61  ultimately  the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position has been set out in clear terms as under:-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“61. The position that emerges from the above discussion can  be  summarised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thus: the power of the High Court in quashing a criminal proceeding  or  FIR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or complaint in exercise  of  its  inherent  jurisdiction  is  distinct  and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different from the power given to  a  criminal  court  for  compounding  the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offences under Section 320 of the Code. Inherent power is of wide  plenitude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with no statutory limitation but it has to be exercised in accord  with  the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guideline engrafted in such power viz; (i) to secure  the  ends  of  justice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or, (ii) to prevent abuse of the process of any Court. In what  cases  power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to quash the criminal proceeding or complaint  or  F.I.R  may  be  exercised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where the offender and the victim have settled their  dispute  would  depend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on the facts  and  circumstances  of  each  case  and  no  category  can  be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prescribed. However, before exercise of such  power,  the  High  Court  must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have due regard to the nature and gravity of the crime. Heinous and  serious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offences of mental depravity or offences like murder,  rape,  dacoity,  etc.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cannot be fittingly quashed even though the victim or  victim’s  family  and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the offender have settled the dispute. Such  offences  are  not  private  in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nature and have a serious  impact  on  society.  Similarly,  any  compromise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between the victim and the  offender  in  relation  to  the  offences  under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special statutes like the Prevention  of  Corruption  Act  or  the  offences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committed by public servants while working in  that  capacity,  etc;  cannot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provide for any basis  for  quashing  criminal  proceedings  involving  such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offences. But the criminal cases having overwhelmingly and  pre-dominatingly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civil flavour stand on a different footing for  the  purposes  of  quashing,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particularly the offences arising from  commercial,  financial,  mercantile,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civil, partnership or such like transactions or the offences arising out  of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matrimony relating to dowry, etc. or the family disputes where the wrong  is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basically private or personal in nature and the parties have resolved  their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entire dispute. In this category of cases, the  High  Court  may  quash  the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criminal proceedings if in its view, because of the compromise  between  the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offender and the victim, the possibility of conviction is remote  and  bleak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and continuation of the criminal case would put accused to great  oppression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and prejudice and extreme injustice would be caused to him by  not  quashing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the criminal case despite full and complete settlement and  compromise  with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the victim. In other words, the High Court must consider  whether  it  would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be unfair or contrary to the  interest  of  justice  to  continue  with  the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criminal  proceeding  or  continuation  of  the  criminal  proceeding  would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tantamount to abuse of process of  law  despite  settlement  and  compromise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between the victim and the wrongdoer and  whether  to  secure  the  ends  of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justice, it is appropriate that the criminal case is put to an  end  and  if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the answer to the above question(s) is in the affirmative,  the  High  Court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lastRenderedPageBreak/>
        <w:t>shall be well within its jurisdiction to quash the criminal proceeding.”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                (emphasis added)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When we apply the principles set down therein, it can be  stated  that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when it comes to the question of compounding an offence under Sections  307,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294 and 34 IPC along with Sections 25 and 27 of the Arms Act, by no  stretch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of imagination, it can be held to be  an  offence  as  between  the  private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parties simpliciter. Inasmuch as such offences will have  a  serious  impact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on the society at large, it runs beyond  our  comprehension  to  state  that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after the commission of such offence the parties  involved  have  reached  a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settlement and, therefore, such settlement can be given a seal  of  approval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by the Judicial Forum.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In the circumstances, the High Court unfortunately  having  failed  to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appreciate the said legal position, the impugned order cannot be  sustained.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We are,  therefore,  convinced  that  in  a  situation  where  the  private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respondents herein are facing trial for offences  under  Sections  307,  294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read with 34 IPC as well as Sections 25 and 27 of the Arms  Act,  the  cases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pending trial before the Court in Criminal Case No.2602  of  2013,   as  the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offences are definitely as against  the  society,  the  private  respondents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will have to necessarily face trial and come out unscathed by  demonstrating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their innocence.  The impugned order is, therefore, set aside and the  Trial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Court is directed to proceed with the trial in accordance with law.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With  the  above  observations  and  directions,  the  appeal  stands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>allowed.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     ................................J.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                     [FAKKIR MOHAMED IBRAHIM KALIFULLA]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     ................................J.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                     [UDAY UMESH LALIT]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     NEW DELHI;</w:t>
      </w:r>
    </w:p>
    <w:p w:rsidR="007871F7" w:rsidRPr="007871F7" w:rsidRDefault="007871F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71F7">
        <w:rPr>
          <w:rFonts w:ascii="Times New Roman" w:hAnsi="Times New Roman" w:cs="Times New Roman"/>
          <w:sz w:val="25"/>
          <w:szCs w:val="25"/>
        </w:rPr>
        <w:t xml:space="preserve">            JULY 06, 2015.</w:t>
      </w:r>
    </w:p>
    <w:p w:rsidR="00693E87" w:rsidRPr="007871F7" w:rsidRDefault="00693E87" w:rsidP="007871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7871F7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BAE" w:rsidRDefault="00517BAE" w:rsidP="00607A95">
      <w:pPr>
        <w:spacing w:after="0" w:line="240" w:lineRule="auto"/>
      </w:pPr>
      <w:r>
        <w:separator/>
      </w:r>
    </w:p>
  </w:endnote>
  <w:endnote w:type="continuationSeparator" w:id="1">
    <w:p w:rsidR="00517BAE" w:rsidRDefault="00517BAE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7871F7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BAE" w:rsidRDefault="00517BAE" w:rsidP="00607A95">
      <w:pPr>
        <w:spacing w:after="0" w:line="240" w:lineRule="auto"/>
      </w:pPr>
      <w:r>
        <w:separator/>
      </w:r>
    </w:p>
  </w:footnote>
  <w:footnote w:type="continuationSeparator" w:id="1">
    <w:p w:rsidR="00517BAE" w:rsidRDefault="00517BAE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17BAE"/>
    <w:rsid w:val="0053695D"/>
    <w:rsid w:val="005441B3"/>
    <w:rsid w:val="00576873"/>
    <w:rsid w:val="00583F6E"/>
    <w:rsid w:val="00587CCB"/>
    <w:rsid w:val="00597989"/>
    <w:rsid w:val="005C01BE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C11"/>
    <w:rsid w:val="00D117BE"/>
    <w:rsid w:val="00D118AB"/>
    <w:rsid w:val="00D23930"/>
    <w:rsid w:val="00D36201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569A"/>
    <w:rsid w:val="00F46F73"/>
    <w:rsid w:val="00F8663B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2016-05-04T08:43:00Z</dcterms:created>
  <dcterms:modified xsi:type="dcterms:W3CDTF">2016-05-04T08:43:00Z</dcterms:modified>
</cp:coreProperties>
</file>