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 xml:space="preserve">                                                   REPORTABLE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 xml:space="preserve">                        IN THE SUPRME COURT OF INDIA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 xml:space="preserve">                        CIVIL APPELLATE JURISDICTION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 xml:space="preserve">                        CIVIL APPEAL NO. …….. OF 2015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 xml:space="preserve">               [Arising out of SLP (Civil) No. 28367 of 2011]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ABC                                                …     Appellant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 xml:space="preserve">                                   Versus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The State (NCT of Delhi)                                 …       Respondent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VIKRAMAJIT SEN, J.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1.    A legal nodus  of  seminal  significance  and  of  prosaic  procedural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origination presents itself before  us.  The  conundrum  is  whether  it  is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imperative for an unwed mother to specifically notify  the  putative  father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of the child whom she has given birth to of her petition for appointment  as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the guardian of her  child.  The  common  perception  would  be  that  three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competing legal interests would arise, namely, of the mother and the  father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and the child.  We think that it is only the last one which  is  conclusive,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since the parents in actuality have only legal  obligations.   A  child,  as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has been ubiquitously articulated  in  different  legal  forums,  is  not  a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chattel or a ball to be shuttled or shunted from one parent  to  the  other.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The Court exercises paren patrae jurisdiction  in  custody  or  guardianship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wrangles; it steps in to secure the welfare of  the  hapless  child  of  two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adults whose personal differences and animosity has  taken  precedence  over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the future of their child.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2.    Leave granted.  This Appeal is directed  against  the  Judgment  dated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8.8.2011 delivered by the High Court  of  Delhi,  which  has  dismissed  the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First Appeal of the Appellant, who is an  unwed  mother,  holding  that  her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guardianship application cannot be  entertained  unless  she  discloses  the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name and address of the father of her child, thereby enabling the  Court  to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issue process to him.  As per the  Appellant’s  request,  her  identity  and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personal details as well as those of her son have not been revealed  herein.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3.    The Appellant, who adheres to the Christian faith, is  well  educated,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gainfully employed and financially secure.  She gave birth  to  her  son  in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2010, and has  subsequently  raised  him  without  any  assistance  from  or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involvement of his putative father. Desirous of making her son  her  nominee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in all her savings and other insurance policies,  she  took  steps  in  this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direction, but was informed that she must either declare  the  name  of  the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father or get  a  guardianship/adoption  certificate  from  the  Court.  She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thereupon filed an application under Section 7 of the  Guardians  and  Wards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lastRenderedPageBreak/>
        <w:t>Act, 1890 (the Act) before the Guardian Court for  declaring  her  the  sole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guardian of her son. Section 11 of the Act requires a notice to be  sent  to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the parents of the child before a guardian is appointed.  The Appellant  has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published a notice of the petition in a daily newspaper, namely  Vir  Arjun,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Delhi Edition but is strongly averse to naming the father.   She  has  filed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an affidavit stating that if at any time in the future  the  father  of  her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son raises any objections  regarding  his  guardianship,  the  same  may  be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revoked or altered as the  situation  may  require.  However,  the  Guardian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Court directed her to reveal the name and  whereabouts  of  the  father  and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consequent to her refusal to do so, dismissed her  guardianship  application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on 19.4.2011.   The Appellant’s appeal before the High Court  was  dismissed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in limine, on the reasoning that her allegation that she is a single  mother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could only be decided after notice is issued to the father; that  a  natural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father could have an interest in the welfare and custody of his  child  even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if there is no marriage; and that no case can be decided in the  absence  of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a necessary party.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4.    Ms. Indu Malhotra, learned  Senior  Counsel  for  the  Appellant,  has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vehemently argued before us that the Appellant does not want the  future  of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her child to be marred by any controversy  regarding  his  paternity,  which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would indubitably result should the father refuse to acknowledge  the  child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as his own.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This is a brooding  reality  as  the  father  is  already  married  and  any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publicity as to a declaration of his fathering a child out of wedlock  would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have pernicious repercussions to his present family.  There would be  severe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social complications for her and her child.  As per Section 7  of  the  Act,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the interest of the minor is the only relevant factor for  appointing  of  a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guardian, and the rights of the mother and father are  subservient  thereto.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In this scenario, the  interest  of  the  child  would  be  best  served  by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immediately appointing the Appellant as the guardian.   Furthermore,  it  is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also pressed to the fore that her own fundamental right to privacy  will  be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violated if she is compelled to disclose the name  and  particulars  of  the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father of her child.   Ms. Malhotra has painstakingly  argued  this  Appeal,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fully  cognizant  that  the  question  that  arises  is  of   far   reaching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dimensions.  It is this very feature that convinced us of the expediency  of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appointing amicus curiae, and  Mr.  Sidharth  Luthra  has  discharged  these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onerous  duties  zealously,  for  which  we  must  immediately  record   our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indebtedness.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5.    It would be pertinent to succinctly consider the Guardians  and  Wards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Act, 1890. The Act, which applies to Christians  in  India,  lays  down  the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procedure by which guardians are  to  be  appointed  by  the  Jurisdictional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Court. Sections 7, 11 and 19 deserve extraction, for facility of  reference.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“7. Power of the court to make order as to guardianship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lastRenderedPageBreak/>
        <w:t>(1) Where the court is satisfied that it is for the welfare of a minor  that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an order should be made- 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(a) appointing a guardian of his person or property, or both, or 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(b) declaring a person to be such a guardian, 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the court may make an order accordingly. 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(2) An order under this section shall imply the removal of any guardian  who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has not been appointed by will or other instrument or appointed or  declared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by the court. 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(3) Where a guardian has been appointed  by  will  or  other  instrument  or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appointed or declared by the court, an order under this  section  appointing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or declaring another person to be guardian in his stead shall  not  be  made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until the powers of the guardian appointed or  declared  as  aforesaid  have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ceased under the provisions of this Act.”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The details of the form of application are contained in Section 10  and  the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procedure that applies  to  a  guardianship  application  is  prescribed  in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Section 11.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11. Procedure on admission of application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(1) If the Court is satisfied that there is ground  for  proceeding  on  the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application, it shall fix a day for the hearing thereof,  and  cause  notice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of the application and of the date fixed for the hearing- 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(a)  to  be  served  in  the  manner  directed  in   the   Code   of   Civil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Procedure,1882(14 of 1882)11 on- 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(i) the parents of the minor if they are residing  in  any  State  to  which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this Act extends; 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(ii) the person, if any, named in the  petition  or  letter  as  having  the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custody or possession of the person or property of the minor; 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(iii) the person proposed in the application or letter to  be  appointed  or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declared guardian, unless that person is himself the applicant; and 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(iv) any other person to whom, in the opinion of the  court  special  notice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of the applicant should be given; and 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(b) to be posted on some conspicuous part of  the  court-house  and  of  the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residence of the minor, and  otherwise  published  in  such  manner  as  the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court, subject to any rules made by the High Court under  this  Act,  thinks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fit. 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(2) The State Government may, by general  or  special  order,  require  that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when any part of the property described in a petition under section 10, sub-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section  (1),  is  land  of  which  a  Court  of  Wards  could  assume   the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superintendence, the court shall also cause a  notice  as  aforesaid  to  be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served on the Collector in whose district the minor ordinarily  resides  and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on every Collector in whose district any portion of  the  land  is  situate,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and the Collector may cause the notice to be  published  in  any  manner  he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deems fit. 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(3) No charge shall be made by the court or the Collector  for  the  service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or publication of any notice served or published under sub-section (2).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Section 19  is  of  significance,  even  though  the  infant  son  does  not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independently own or possess any property, in that it  specifically  alludes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to the father of a minor.  It reads thus: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19. Guardian not to be appointed by the court in certain cases 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Nothing in this Chapter shall authorise the court to appoint  or  declare  a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guardian  of  the  property  of  a  minor  whose  property  is   under   the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superintendence of a Court of Wards or to appoint or declare a  guardian  of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the person- 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(a) of a minor who is a married female and whose  husband  is  not,  in  the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opinion of court, unfit to be guardian of her person; or 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(b) of a minor whose father is living and is  not  in  the  opinion  of  the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court, unfit to be guardian of the person of the minor; or 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(c) of a minor whose property is under the superintendence  of  a  Court  of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Wards competent to appoint a guardian of the person of the minor.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We  must  immediately  underscore  the  difference  in  nomenclature,   i.e.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‘parents’ in Section 11 and ‘father’ in Section 19, which we think  will  be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perilous to ignore.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6.    It is contended on behalf of the State  that  Section  11  requires  a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notice to be given to  the  ‘parents’  of  a  minor  before  a  guardian  is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appointed; and that as postulated  by  Section  19,  a  guardian  cannot  be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appointed if the father of the minor is alive and is not, in the opinion  of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the court, unfit to be the guardian of the child. The impugned judgment  is,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therefore, in accordance with the Act and should be upheld. It seems  to  us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that this interpretation  does  not  impart  comprehensive  significance  to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Section  7,  which  is  the  quintessence  of  the  Act.    However,  before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discussing the intendment  and  interpretation  of  the  Act,  it  would  be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helpful to appreciate the manner in which the  same  issue  has  been  dealt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with in other statutes and  spanning  different  legal  systems  across  the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globe.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7.    Section 6(b) of the Hindu Minority and Guardianship  Act,  1956  makes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specific provisions  with  respect  to  natural  guardians  of  illegitimate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children, and in this regard gives primacy to the mother  over  the  father.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Mohammedan law accords the custody of illegitimate children  to  the  mother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and her relations. The law follows the principle that  the  maternity  of  a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child is established in the woman who gives birth  to  it,  irrespective  of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the lawfulness of her connection with the begetter.  However,  paternity  is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inherently nebulous especially where  the  child  is  not  an  offspring  of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marriage.  Furthermore, as per Section  8  of  the  Indian  Succession  Act,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1925, which applies to Christians in India, the domicile  of  origin  of  an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illegitimate child is in the country in which at the time of his  birth  his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mother is domiciled. This  indicates  that  priority,  preference  and  pre-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lastRenderedPageBreak/>
        <w:t>eminence is given to the mother over the father of the concerned child.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8.     In the United Kingdom,  the  Children  Act  1989  allocates  parental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responsibility, which includes all rights, duties, powers,  responsibilities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and authority of a parent over the child and his/her property. According  to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Section 2(2) of that Act, parental custody of a child born of unwed  parents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is with the mother in all cases, and additionally with the  father  provided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he has acquired responsibility in accordance  with  the  provisions  of  the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Act. To acquire responsibility, he would have to  register  as  the  child’s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father, execute a parental  responsibility  agreement  with  the  mother  or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obtain a Court order giving him  parental  responsibility  over  the  child.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In  the  U.S.A.,  each  State  has  different   child   custody   laws   but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predominantly the mother has full legal and physical custody from  the  time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the child is born. Unless an  unmarried  father  establishes  his  paternity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over the child it is generally difficult for him to defeat or overwhelm  the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preferential claims of the mother to  the  custody.   However,  some  States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assume that both parents who sign the child’s Birth Certificate  have  joint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custody, regardless of whether they are married.  In Ireland,  Section  6(4)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of the Guardianship of Infants  Act,  1964  ordains  -  “The  mother  of  an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illegitimate infant shall be guardian of  the  infant.”  Unless  the  mother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agrees to sign a statutory declaration, an unmarried father  must  apply  to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the Court in order to become a legal guardian of his child.  Article 176  of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the Family Code of the Philippines explicitly  provides  that  “illegitimate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children shall use the surname and shall be under the parental authority  of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their mother, and shall be entitled  to  support  in  conformity  with  this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Code.”  This position  obtains  regardless  of  whether  the  father  admits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paternity.  In 2004, the  Supreme  Court  of  the  Philippines  in  Joey  D.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Briones vs.  Maricel P.  Miguel  et  al,  G.R.  No.  156343,  held  that  an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illegitimate child is under the sole parental authority of the mother.   The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law in New Zealand, as laid out in Section 17 of the Care of  Children  Act,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2004, is that the mother of a child is the  sole  guardian  if  she  is  not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married to, or in civil union with, or living as a  de  facto  partner  with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the father of the child at any time during the  period  beginning  with  the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conception of the child and ending with the birth of the child.    In  South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Africa,  according  to  the  Children’s  Act  No.  38  of   2005,   parental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responsibility includes the responsibility and the right  (a)  to  care  for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the child; (b) to maintain contact with the child; (c) to  act  as  guardian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of the child; and (d) to contribute to the maintenance  of  the  child.  The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biological mother of  a  child,  whether  married  or  unmarried,  has  full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parental responsibilities and rights in respect of  the  child.  The  father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has full parental responsibility if he is married to the mother,  or  if  he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was married to her at the time of the child’s conception, or at the time  of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the child’s birth or any time in between, or if at the time of  the  child’s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birth he was living with the mother in a permanent life-partnership,  or  if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he (i) consents to  be  identified  or  successfully  applies  in  terms  of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lastRenderedPageBreak/>
        <w:t>Section 26 to be identified as the child’s father or pays damages  in  terms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of customary law; (ii)  contributes  or  has  attempted  in  good  faith  to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contribute to the child’s upbringing for  a  reasonable  period;  and  (iii)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contributes or has attempted in good faith to  contribute  towards  expenses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in connection with the maintenance of the child  for  a  reasonable  period.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This conspectus indicates that the preponderant  position  that  it  is  the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unwed mother who possesses primary custodial and  guardianship  rights  with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regard to her children and that the father is not conferred  with  an  equal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position merely by virtue of his having fathered the  child.  This  analysis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should assist us in a meaningful, dynamic  and  enduring  interpretation  of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the law as it exists in India.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9.    It is thus abundantly clear that  the  predominant  legal  thought  in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different civil and common law jurisdictions spanning the globe as  well  as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in different statutes within India is to  bestow  guardianship  and  related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rights to the mother of a child born  outside  of  wedlock.   Avowedly,  the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mother  is  best  suited  to  care  for  her   offspring,   so   aptly   and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comprehensively  conveyed  in  Hindi  by  the  word  ‘mamta’.   Furthermore,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recognizing  her  maternity  would  obviate  the  necessity  of  determining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paternity.  In situations such this, where the father has not exhibited  any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concern for  his  offspring,  giving  him  legal  recognition  would  be  an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exercise in futility.  In today’s  society,  where  women  are  increasingly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choosing to raise their children alone, we see no  purpose  in  imposing  an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unwilling and unconcerned father on an otherwise viable family nucleus.   It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seems  to  us  that  a  man  who  has  chosen  to  forsake  his  duties  and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responsibilities is not a necessary constituent for  the  wellbeing  of  the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child.  The Appellant has taken  care  to  clarify  that  should  her  son’s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father evince any  interest  in  his  son,  she  would  not  object  to  his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participation in the litigation, or in the event  of  its  culmination,  for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the custody issue to be revisited.   Although the Guardian  Court  needs  no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such concession, the mother’s intent in insisting  that  the  father  should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not be publically notified seems to us not to be unreasonable.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10.   We feel it necessary to add that the purpose of our  analysis  of  the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law in other countries was to arrive at a holistic understanding of  what  a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variety of jurisdictions felt would be in the best interest  of  the  child.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It was not, as learned  Counsel  suggested,  to  understand  the  tenets  of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Christian law.  India is a secular nation and it  is  a  cardinal  necessity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that religion be distanced from law. Therefore, the task  before  us  is  to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interpret the law of the land, not in light of the tenets  of  the  parties’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religion but in keeping with legislative intent and prevailing case law.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11.   It is imperative that the rights of the mother must also be given  due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consideration. As Ms. Malhotra, learned Senior Counsel  for  the  Appellant,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has eloquently argued, the Appellant’s fundamental right  of  privacy  would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lastRenderedPageBreak/>
        <w:t>be violated if she is forced to disclose the name  and  particulars  of  the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father of her child.  Any responsible man would keep track of his  offspring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and be concerned for the welfare of  the  child  he  has  brought  into  the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world; this does not appear to be so in the present case, on  a  perusal  of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the pleading  as  they  presently  portray.   Furthermore,  Christian  unwed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mothers  in  India  are  disadvantaged  when   compared   to   their   Hindu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counterparts, who are the natural guardians of their  illegitimate  children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by virtue of their maternity alone, without the requirement  of  any  notice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to the putative fathers.  It would be apposite for  us  to  underscore  that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our Directive Principles envision the existence of  a  uniform  civil  code,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but this remains an unaddressed constitutional expectation.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12.   We recognize that the father’s right to be  involved  in  his  child’s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life may be taken away if Section 11 is read in such a  manner  that  he  is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not given notice, but given his lack of involvement in the child’s life,  we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find no reason to prioritize his rights over those  of  the  mother  or  her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child. Additionally, given that the Appellant has already issued  notice  to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the public in general by way of a publication in a National  Daily  and  has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submitted an affidavit stating that her guardianship rights may be  revoked,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altered or amended if at any point the father of the child objects to  them,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the  rights,  nay  duty  of  the  father  have  been  more  than  adequately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protected.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13.   The issue at hand is the interpretation of Section 11 of the  Act.  As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the intention of the Act is  to  protect  the  welfare  of  the  child,  the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applicability of Section 11 would have to be  read  accordingly.   In  Laxmi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Kant Pandey vs. Union of India 1985 (Supp) SCC 701,  this  Court  prohibited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notice of guardianship applications from  being  issued  to  the  biological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parents of a child in order  to  prevent  them  from  tracing  the  adoptive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parents and the  child.  Although  the  Guardians  and  Wards  Act  was  not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directly attracted  in  that  case,  nevertheless  it  is  important  as  it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reiterates that the welfare of the child  takes  priority  above  all  else,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including the rights of the parents.  In the present case  we  do  not  find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any indication that the welfare of the child  would  be  undermined  if  the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Appellant is not compelled to disclose the identity of the father,  or  that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Court notice is mandatory in the child’s  interest.   On  the  contrary,  we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find that this may well protect the child from social  stigma  and  needless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controversy.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14.   Even in the absence of Laxmi Kant Pandey, we are not like mariners  in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unchartered troubled seas. The observations of a three Judge Bench  of  this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Court in Githa Hariharan v. Reserve Bank of  India  (1999)  2  SCC  228  are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readily recollected.   The RBI had refused to accept an  application  for  a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fixed deposit in the name of the child signed solely by the mother.  In  the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context of Section 6 of the Hindu Minority and Guardianship Act as  well  as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lastRenderedPageBreak/>
        <w:t>Section 19 of the Guardians and Wards Act, this  Court  had  clarified  that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“in all situations where the father is not in actual charge of  the  affairs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of the minor either because of his indifference or because of  an  agreement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between him and the mother of the minor (oral or written) and the  minor  is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in the exclusive care and custody of the mother or the father for any  other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reason is unable to take care of the minor because of  his  physical  and/or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mental incapacity, the mother can act as natural guardian of the  minor  and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all her actions would be valid even during the life time of the  father  who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would be deemed to be “absent” for the purposes of Section 6(a) of  the  HMG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Act and Section 19(b) of the GW Act.”  This Court  has  construed  the  word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‘after’ in Section 6(a) of  the  Hindu  Minority  and  Guardianship  Act  as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meaning “in the absence of – be it temporary or otherwise  or  total  apathy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of the father towards the child or even inability of the  father  by  reason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of ailment or  otherwise.”  Thus  this  Court  interpreted  the  legislation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before it in a manner conducive to granting the mother,  who  was  the  only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involved parent, guardianship rights over the child.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15.    In  a  case  where  one  of  the  parents  petitions  the  Court  for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appointment as guardian of her  child,  we  think  that  the  provisions  of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Section 11 would not be directly applicable.  It seems to  us  that  Section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11 applies to a situation where the guardianship of a child is sought  by  a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third party, thereby making it essential for the welfare of the child  being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given in adoption to garner the  views  of  child’s  natural  parents.   The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views of an uninvolved father are not essential, in our opinion, to  protect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the interests of a child born out of wedlock  and  being  raised  solely  by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his/her mother.  We may reiterate that even  in  the  face  of  the  express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terms of the statute, this Court had in  Laxmi  Kant  Pandey  directed  that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notice should not be sent to the parents, as that was likely  to  jeopardize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the future and interest of the  child  who  was  being  adopted.   The  sole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factor for consideration before us, therefore, is the welfare of  the  minor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child,  regardless  of  the  rights  of  the  parents.   We  should  not  be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misunderstood as having given our imprimatur to an attempt  by  one  of  the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spouses to unilaterally seek custody of a child  from  the  marriage  behind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the back of other spouse.  The apprehensions of Mr. Luthra,  learned  amicus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curiae, are accordingly addressed.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16.   Section 11 is purely  procedural;  we  see  no  harm  or  mischief  in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relaxing its requirements to attain the intendment of the Act.   Given  that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the term “parent” is not defined in the Act, we interpret it,  in  the  case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of illegitimate children whose sole caregiver is one of his/her parents,  to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principally mean that parent alone.  Guardianship or  custody  orders  never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attain permanence or finality and can be questioned  at  any  time,  by  any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person genuinely concerned for the minor child, if the  child’s  welfare  is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in  peril.   The  uninvolved  parent  is  therefore   not   precluded   from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approaching the Guardian Court to quash, vary or modify its  orders  if  the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lastRenderedPageBreak/>
        <w:t>best interests of the child so indicate.  There is  thus  no  mandatory  and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inflexible procedural requirement of notice to be  served  to  the  putative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father in connection with a guardianship or custody  petition  preferred  by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the natural mother of the child of whom she is the sole caregiver.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17.   Implicit in the notion and width of welfare of the child,  as  one  of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its primary concomitants, is the right of the child to know the identity  of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his or her parents.  This right has now found unquestionable recognition  in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the Convention on the Rights of the Child, which India  has  acceded  to  on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11th November, 1992.   This Convention pointedly makes mention, inter  alia,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to the Universal Declaration of Human Rights.   For  facility  of  reference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the salient provisions are reproduced -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Article 1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For the purposes of the present Convention, a child means every human  being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below the age of eighteen years unless  under  the  law  applicable  to  the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child, majority is attained earlier.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Article 3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1. In all actions concerning  children,  whether  undertaken  by  public  or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private  social  welfare  institutions,  courts   of   law,   administrative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authorities or legislative bodies, the best interests of the child shall  be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a primary consideration.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2. States Parties undertake to ensure the child such protection and care  as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is necessary for his or her well-being, taking into account the  rights  and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duties of his or her parents, legal guardians, or other individuals  legally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responsible for him or her, and, to this end,  shall  take  all  appropriate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legislative and administrative measures.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3.  States  Parties  shall  ensure  that  the  institutions,  services   and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facilities responsible for the care or protection of children shall  conform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with the standards established by  competent  authorities,  particularly  in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the areas of safety, health, in the number and suitability of  their  staff,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as well as competent supervision.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Article 7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1. The child shall be registered immediately after birth and shall have  the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lastRenderedPageBreak/>
        <w:t>right from birth to a name, the right to acquire a nationality and,  as  far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as possible, the right to know and be cared for by his or her parents.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Article 9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1. States Parties shall ensure that a child shall not be separated from  his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or her  parents  against  their  will,  except  when  competent  authorities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subject to judicial review determine, in accordance with applicable law  and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procedures, that such separation is necessary for the best interests of  the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child. Such determination may be necessary in a particular case such as  one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involving abuse or neglect of the child by the parents,  or  one  where  the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parents are living separately and a decision must be made as to the  child's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place of residence.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2. In any proceedings pursuant to paragraph 1 of the  present  article,  all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interested parties shall be given  an  opportunity  to  participate  in  the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proceedings and make their views known.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3. States Parties shall respect the right of  the  child  who  is  separated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from one or both parents to maintain personal relations and  direct  contact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with both parents on a regular basis,  except  if  it  is  contrary  to  the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child's best interests.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Article 12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1. States Parties shall assure to the child who is capable  of  forming  his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or her own views the right to express those  views  freely  in  all  matters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affecting the child, the views of  the  child  being  given  due  weight  in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accordance with the age and maturity of the child.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2. For  this  purpose,  the  child  shall  in  particular  be  provided  the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opportunity to be heard  in  any  judicial  and  administrative  proceedings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affecting the child, either directly, or  through  a  representative  or  an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appropriate body, in a  manner  consistent  with  the  procedural  rules  of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national law.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Article 18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1. States Parties shall use their best efforts to ensure recognition of  the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principle that both parents have common responsibilities for the  upbringing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and development of the  child.  Parents  or,  as  the  case  may  be,  legal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guardians,  have  the  primary  responsibility  for   the   upbringing   and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development of the child. The best interests of  the  child  will  be  their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basic concern.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lastRenderedPageBreak/>
        <w:t>Article 21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States Parties that recognize and/or permit the  system  of  adoption  shall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ensure that  the  best  interests  of  the  child  shall  be  the  paramount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consideration and they shall: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(a) Ensure that the adoption of a child  is  authorized  only  by  competent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authorities who determine, in accordance with applicable law and  procedures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and on the basis  of  all  pertinent  and  reliable  information,  that  the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adoption is permissible in view of the child's  status  concerning  parents,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relatives and legal guardians and that, if required, the  persons  concerned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have given their informed consent to the  adoption  on  the  basis  of  such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counselling as may be necessary;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 xml:space="preserve"> Article 27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2. The parent(s) or others  responsible  for  the  child  have  the  primary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responsibility to secure, within their abilities and  financial  capacities,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the conditions of living necessary for the child's development.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4. States  Parties  shall  take  all  appropriate  measures  to  secure  the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recovery of maintenance for the child from  the  parents  or  other  persons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having financial responsibility for the child, both within the  State  Party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and  from  abroad.  In  particular,  where  the  person   having   financial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responsibility for the child lives in a State different  from  that  of  the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child,  States  Parties  shall  promote  the  accession   to   international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agreements or the conclusion of such agreements, as well as  the  making  of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other appropriate arrangements.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18.   In Laxmi Kant Pandey, this Court duly  noted  the  provisions  of  the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Convention on the Rights of  the  Child,  but  in  the  general  context  of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adoption of children and, in particular, regarding the necessity to  involve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the natural parents  in  the  consequent  guardianship/custody  proceedings.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The provisions of the Convention which we have  extracted  indeed  reiterate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the settled legal position that the welfare of the  child  is  of  paramount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consideration vis a vis the perceived rights of parents not only so  far  as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the law in India is  concerned,  but  preponderantly  in  all  jurisdictions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across the globe.   We are mindful of the fact that  we  are  presently  not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confronted with a custody  conflict  and,  therefore,  there  is  no  reason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whatsoever to even contemplate the competence or otherwise of the  Appellant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as custodian of the interests and welfare of her child.   However, we  would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be loathe to lose perspective of our  parens  patriae  obligations,  and  in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that regard we need to ensure that the child’s right to  know  the  identity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of his parents is not  vitiated,  undermined,  compromised  or  jeopardised.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In order to secure  and  safeguard  this  right,  we  have  interviewed  the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lastRenderedPageBreak/>
        <w:t>Appellant and impressed upon her the  need  to  disclose  the  name  of  the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father to her son. She has disclosed his name, along with  some  particulars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to us; she states that she has  no  further  information  about  him.  These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particulars have been placed in an envelope and  duly  sealed,  and  may  be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read only pursuant to a specific direction of this Court.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19.   We are greatly perturbed by  the  fact  that  the  Appellant  has  not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obtained a Birth Certificate for her son  who  is  nearly  five  years  old.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This is bound to create problems for the child  in  the  future.    In  this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regard, the Appellant has not sought any relief either before us  or  before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any of the Courts below.  It is a misplaced assumption in the law as  it  is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presently perceived that the issuance of a  Birth  Certificate  would  be  a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logical corollary to the Appellant succeeding in her guardianship  petition.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It may be recalled that owing to curial fiat, it is no longer  necessary  to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state the name of the father in applications seeking admission  of  children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to school,  as  well  as  for  obtaining  a  passport  for  a  minor  child.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However, in both these cases, it may still remain  necessary  to  furnish  a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Birth Certificate.  The law is dynamic and is expected  to  diligently  keep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pace with time and the legal conundrums and enigmas it presents.   There  is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no  gainsaying  that  the  identity  of  the  mother  is  never  in   doubt.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Accordingly, we direct that if a single parent/unwed mother applies for  the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issuance of a Birth  Certificate  for  a  child  born  from  her  womb,  the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Authorities concerned may only require her to furnish an affidavit  to  this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effect, and must thereupon issue the Birth Certificate, unless  there  is  a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Court direction to the contrary.   Trite though  it  is,  yet  we  emphasise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that it is the responsibility  of  the  State  to  ensure  that  no  citizen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suffers any inconvenience or disadvantage merely because  the  parents  fail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or neglect to register the birth.  Nay, it is the duty of the State to  take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requisite steps for recording every birth of every citizen.  To  remove  any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possible  doubt,  the  direction  pertaining  to  issuance  of   the   Birth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Certificate is  intendedly  not  restricted  to  the  circumstances  or  the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parties before us.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20.   We think it necessary to also underscore the fact  that  the  Guardian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Court as well as the High Court which was in seisin of the Appeal ought  not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to have lost sight of the fact that they had been called upon  to  discharge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their parens patriae jurisdiction.  Upon a guardianship petition being  laid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before the Court, the concerned child ceases to be in the exclusive  custody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of the parents; thereafter, until the  attainment  of  majority,  the  child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continues in curial curatorship.   Having received knowledge of a  situation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that vitally affected the future and welfare of a child,  the  Courts  below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could be seen as having been derelict in their  duty  in  merely  dismissing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the  petition  without  considering  all  the  problems,  complexities   and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complications concerning the child brought within its portals.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lastRenderedPageBreak/>
        <w:t>21.   The Appeal is therefore allowed.  The Guardian Court  is  directed  to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recall the  dismissal  order  passed  by  it  and  thereafter  consider  the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Appellant’s application for  guardianship  expeditiously  without  requiring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notice to be given to the putative father of the child.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………………………………..J.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(VIKRAMAJIT SEN)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………………………………..J.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(ABHAY MANOHAR SAPRE)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New Delhi</w:t>
      </w:r>
    </w:p>
    <w:p w:rsidR="00130F0F" w:rsidRPr="00130F0F" w:rsidRDefault="00130F0F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0F0F">
        <w:rPr>
          <w:rFonts w:ascii="Times New Roman" w:hAnsi="Times New Roman" w:cs="Times New Roman"/>
          <w:sz w:val="25"/>
          <w:szCs w:val="25"/>
        </w:rPr>
        <w:t>July 06, 2015.</w:t>
      </w:r>
    </w:p>
    <w:p w:rsidR="00693E87" w:rsidRPr="00130F0F" w:rsidRDefault="00693E87" w:rsidP="00130F0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693E87" w:rsidRPr="00130F0F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5C32" w:rsidRDefault="00735C32" w:rsidP="00607A95">
      <w:pPr>
        <w:spacing w:after="0" w:line="240" w:lineRule="auto"/>
      </w:pPr>
      <w:r>
        <w:separator/>
      </w:r>
    </w:p>
  </w:endnote>
  <w:endnote w:type="continuationSeparator" w:id="1">
    <w:p w:rsidR="00735C32" w:rsidRDefault="00735C32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130F0F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5C32" w:rsidRDefault="00735C32" w:rsidP="00607A95">
      <w:pPr>
        <w:spacing w:after="0" w:line="240" w:lineRule="auto"/>
      </w:pPr>
      <w:r>
        <w:separator/>
      </w:r>
    </w:p>
  </w:footnote>
  <w:footnote w:type="continuationSeparator" w:id="1">
    <w:p w:rsidR="00735C32" w:rsidRDefault="00735C32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59B2"/>
    <w:rsid w:val="00006FEE"/>
    <w:rsid w:val="000105D9"/>
    <w:rsid w:val="000164CE"/>
    <w:rsid w:val="00022FBE"/>
    <w:rsid w:val="00052EC9"/>
    <w:rsid w:val="0005302B"/>
    <w:rsid w:val="00056A12"/>
    <w:rsid w:val="0006206F"/>
    <w:rsid w:val="00082C2B"/>
    <w:rsid w:val="0009251A"/>
    <w:rsid w:val="000B63B9"/>
    <w:rsid w:val="000C4D41"/>
    <w:rsid w:val="000E0F49"/>
    <w:rsid w:val="000E2949"/>
    <w:rsid w:val="000E35AF"/>
    <w:rsid w:val="00115014"/>
    <w:rsid w:val="00130F0F"/>
    <w:rsid w:val="001676B9"/>
    <w:rsid w:val="00177F89"/>
    <w:rsid w:val="001873F2"/>
    <w:rsid w:val="001A3EA6"/>
    <w:rsid w:val="001B10A1"/>
    <w:rsid w:val="001C1301"/>
    <w:rsid w:val="001C18F4"/>
    <w:rsid w:val="001C6DBE"/>
    <w:rsid w:val="001D1B2C"/>
    <w:rsid w:val="001D32E4"/>
    <w:rsid w:val="001D7193"/>
    <w:rsid w:val="002169AE"/>
    <w:rsid w:val="00250000"/>
    <w:rsid w:val="00274033"/>
    <w:rsid w:val="00294085"/>
    <w:rsid w:val="002A74C5"/>
    <w:rsid w:val="002D3B22"/>
    <w:rsid w:val="002D4081"/>
    <w:rsid w:val="002D49A2"/>
    <w:rsid w:val="002D6901"/>
    <w:rsid w:val="00305256"/>
    <w:rsid w:val="00312C7C"/>
    <w:rsid w:val="00314CC6"/>
    <w:rsid w:val="003153F4"/>
    <w:rsid w:val="0032002F"/>
    <w:rsid w:val="003211A0"/>
    <w:rsid w:val="00350CBD"/>
    <w:rsid w:val="003579A7"/>
    <w:rsid w:val="003635C8"/>
    <w:rsid w:val="003656F0"/>
    <w:rsid w:val="003A2067"/>
    <w:rsid w:val="003A73D2"/>
    <w:rsid w:val="003B3C23"/>
    <w:rsid w:val="003D185A"/>
    <w:rsid w:val="003D1C2B"/>
    <w:rsid w:val="003E137C"/>
    <w:rsid w:val="003E57BE"/>
    <w:rsid w:val="00411396"/>
    <w:rsid w:val="00412B7B"/>
    <w:rsid w:val="00421961"/>
    <w:rsid w:val="004276DF"/>
    <w:rsid w:val="00451B41"/>
    <w:rsid w:val="0046031D"/>
    <w:rsid w:val="00465CDA"/>
    <w:rsid w:val="00482045"/>
    <w:rsid w:val="004903D4"/>
    <w:rsid w:val="00490C90"/>
    <w:rsid w:val="0049117C"/>
    <w:rsid w:val="004B3662"/>
    <w:rsid w:val="004E72C2"/>
    <w:rsid w:val="004F1B79"/>
    <w:rsid w:val="0053695D"/>
    <w:rsid w:val="005441B3"/>
    <w:rsid w:val="00576873"/>
    <w:rsid w:val="00583F6E"/>
    <w:rsid w:val="00587CCB"/>
    <w:rsid w:val="00597989"/>
    <w:rsid w:val="005C01BE"/>
    <w:rsid w:val="005C4463"/>
    <w:rsid w:val="005D05F4"/>
    <w:rsid w:val="005D1E90"/>
    <w:rsid w:val="005F597B"/>
    <w:rsid w:val="00602576"/>
    <w:rsid w:val="00605042"/>
    <w:rsid w:val="00605A25"/>
    <w:rsid w:val="00607A95"/>
    <w:rsid w:val="00614768"/>
    <w:rsid w:val="00631014"/>
    <w:rsid w:val="0064409C"/>
    <w:rsid w:val="006450CE"/>
    <w:rsid w:val="00656C61"/>
    <w:rsid w:val="0067643A"/>
    <w:rsid w:val="00684407"/>
    <w:rsid w:val="00693E87"/>
    <w:rsid w:val="006D1776"/>
    <w:rsid w:val="006D1E00"/>
    <w:rsid w:val="006D2820"/>
    <w:rsid w:val="006E22F6"/>
    <w:rsid w:val="006E4377"/>
    <w:rsid w:val="00735C32"/>
    <w:rsid w:val="00736E37"/>
    <w:rsid w:val="007373D7"/>
    <w:rsid w:val="007375E8"/>
    <w:rsid w:val="0074714B"/>
    <w:rsid w:val="00783FD6"/>
    <w:rsid w:val="007871DF"/>
    <w:rsid w:val="00792EA6"/>
    <w:rsid w:val="007B60F0"/>
    <w:rsid w:val="007B6160"/>
    <w:rsid w:val="007F7BB7"/>
    <w:rsid w:val="007F7DC1"/>
    <w:rsid w:val="0081384E"/>
    <w:rsid w:val="00813DEC"/>
    <w:rsid w:val="008175C5"/>
    <w:rsid w:val="00822F00"/>
    <w:rsid w:val="00824008"/>
    <w:rsid w:val="008623B0"/>
    <w:rsid w:val="00877791"/>
    <w:rsid w:val="008810B5"/>
    <w:rsid w:val="00884C8E"/>
    <w:rsid w:val="008935B0"/>
    <w:rsid w:val="00894BD6"/>
    <w:rsid w:val="008A599C"/>
    <w:rsid w:val="008B0BB8"/>
    <w:rsid w:val="008B0C58"/>
    <w:rsid w:val="008B2207"/>
    <w:rsid w:val="008B6723"/>
    <w:rsid w:val="008D08B0"/>
    <w:rsid w:val="008D3501"/>
    <w:rsid w:val="008D5A3D"/>
    <w:rsid w:val="008E0D06"/>
    <w:rsid w:val="008E42C8"/>
    <w:rsid w:val="008E451C"/>
    <w:rsid w:val="008F2E8F"/>
    <w:rsid w:val="008F4E20"/>
    <w:rsid w:val="00914792"/>
    <w:rsid w:val="00934D73"/>
    <w:rsid w:val="0094593B"/>
    <w:rsid w:val="009705DC"/>
    <w:rsid w:val="00972E0A"/>
    <w:rsid w:val="0098026A"/>
    <w:rsid w:val="00985338"/>
    <w:rsid w:val="00995E2F"/>
    <w:rsid w:val="009D183C"/>
    <w:rsid w:val="009E65D7"/>
    <w:rsid w:val="009F1CE9"/>
    <w:rsid w:val="009F5096"/>
    <w:rsid w:val="009F63EC"/>
    <w:rsid w:val="00A06561"/>
    <w:rsid w:val="00A1566D"/>
    <w:rsid w:val="00A268A8"/>
    <w:rsid w:val="00A30B2C"/>
    <w:rsid w:val="00A461A5"/>
    <w:rsid w:val="00A543F8"/>
    <w:rsid w:val="00A7435C"/>
    <w:rsid w:val="00A82D81"/>
    <w:rsid w:val="00A82E32"/>
    <w:rsid w:val="00A865BC"/>
    <w:rsid w:val="00A90860"/>
    <w:rsid w:val="00AB40D8"/>
    <w:rsid w:val="00AF0919"/>
    <w:rsid w:val="00AF4249"/>
    <w:rsid w:val="00AF45F0"/>
    <w:rsid w:val="00B03FDF"/>
    <w:rsid w:val="00B12CA5"/>
    <w:rsid w:val="00B20CD0"/>
    <w:rsid w:val="00B4276B"/>
    <w:rsid w:val="00B45382"/>
    <w:rsid w:val="00B51064"/>
    <w:rsid w:val="00B51E4C"/>
    <w:rsid w:val="00B559B2"/>
    <w:rsid w:val="00B62EC3"/>
    <w:rsid w:val="00B73D48"/>
    <w:rsid w:val="00B86892"/>
    <w:rsid w:val="00B877B5"/>
    <w:rsid w:val="00B929B4"/>
    <w:rsid w:val="00B96840"/>
    <w:rsid w:val="00B96C66"/>
    <w:rsid w:val="00BB3EEF"/>
    <w:rsid w:val="00BC29A6"/>
    <w:rsid w:val="00BC46A7"/>
    <w:rsid w:val="00BC7A0B"/>
    <w:rsid w:val="00C104AB"/>
    <w:rsid w:val="00C23929"/>
    <w:rsid w:val="00C31DE4"/>
    <w:rsid w:val="00C53EC7"/>
    <w:rsid w:val="00C66D5D"/>
    <w:rsid w:val="00C73DBF"/>
    <w:rsid w:val="00C76C34"/>
    <w:rsid w:val="00C76E02"/>
    <w:rsid w:val="00C878B4"/>
    <w:rsid w:val="00C87DB8"/>
    <w:rsid w:val="00CC0AE5"/>
    <w:rsid w:val="00CC0BAB"/>
    <w:rsid w:val="00CD2CA8"/>
    <w:rsid w:val="00CD490F"/>
    <w:rsid w:val="00CF55BA"/>
    <w:rsid w:val="00D03018"/>
    <w:rsid w:val="00D04C11"/>
    <w:rsid w:val="00D117BE"/>
    <w:rsid w:val="00D118AB"/>
    <w:rsid w:val="00D23930"/>
    <w:rsid w:val="00D37FDB"/>
    <w:rsid w:val="00D418E6"/>
    <w:rsid w:val="00D75E12"/>
    <w:rsid w:val="00D832AB"/>
    <w:rsid w:val="00D975BB"/>
    <w:rsid w:val="00DB0C68"/>
    <w:rsid w:val="00DF5902"/>
    <w:rsid w:val="00E10791"/>
    <w:rsid w:val="00E24E5D"/>
    <w:rsid w:val="00E300C3"/>
    <w:rsid w:val="00E55AC6"/>
    <w:rsid w:val="00E60301"/>
    <w:rsid w:val="00E66E74"/>
    <w:rsid w:val="00ED0062"/>
    <w:rsid w:val="00ED29E7"/>
    <w:rsid w:val="00ED2AD9"/>
    <w:rsid w:val="00F46F73"/>
    <w:rsid w:val="00F97722"/>
    <w:rsid w:val="00FA3E87"/>
    <w:rsid w:val="00FB22C7"/>
    <w:rsid w:val="00FB697F"/>
    <w:rsid w:val="00FD6C5E"/>
    <w:rsid w:val="00FD788C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5210</Words>
  <Characters>29699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2016-05-04T08:37:00Z</dcterms:created>
  <dcterms:modified xsi:type="dcterms:W3CDTF">2016-05-04T08:37:00Z</dcterms:modified>
</cp:coreProperties>
</file>