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REPORTABLE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 xml:space="preserve">                       CRIMINAL APPEAL NO. 343 OF 2012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JOGENDRA YADAV &amp; ORS.                       …..    APPELLANTS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STATE OF BIHAR &amp; ANR.                        …..  RESPONDENTS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S. A. BOBDE, J.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1.    This is an appeal by four persons  who  have  been  added  as  accused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under Section 319 of the Code of Criminal Procedure, 1973  (for  short  'the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Cr.P.C.') in Sessions Trial No.446/2002 for an  offence  under  Section  302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read with Sections 149 and 323 of the Indian Penal  Code,  1860  (for  short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'the IPC') and Section 27 of the Arms Act, 1959.  The trial  is  being  held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in respect of the murder of  one  Saryug  Yadav.   On  04.06.2000,  FIR  was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lodged by an informant under Sections 149, 302 and 323 of the IPC against  8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accused.  A charge-sheet was  submitted  on  23.04.2001  only  against  four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persons.   Later  on,  a  supplementary  charge-sheet   was   submitted   on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31.01.2003 by which one Bhankhar Yadav  was  included.   A  final  form  was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submitted excluding the four appellants herein viz. Jogendra Yadav,  Kailash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Yadav, Kusum Pahalwan, Brijendra  Yadav  from  the  array  of  parties.   On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18.02.2003, the Magistrate accepted the  charge-sheet  and  the  final  form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while taking cognizance of the offence.   The  case  was  committed  to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Court of Sessions.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2.    In the course of the trial, the evidence of the widow and two sons  of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 deceased were recorded. On the basis  of  the  evidence  the  Additional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Sessions Judge on 05.02.2005 under Section 319 of the Cr.P.C. issued  notice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to the appellants asking them to show cause as to why  they  should  not  be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added as accused.  After giving an opportunity to the appellants to  file  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reply, the learned Additional Sessions  Judge  summoned  the  appellants  as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accused for being added to the proceedings.  It is nobody’s case  that  they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lastRenderedPageBreak/>
        <w:t>were not heard before such summon.  In any case after  the  appellants  were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added, they preferred an  application  under  Section  482  of  the  Cr.P.C.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before the High Court, which was pending for  a  long  time.   They  finally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withdrew this application since they had got  relief  by  way  of  discharge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under Section 227 of the Cr.P.C.  The respondent State preferred a  Criminal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Revision Application before the High Court.  The High Court  set  aside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Order dated 23.09.2006  in  Criminal  Revision  Application  passed  by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Additional Sessions Judge by which the appellants  were  discharged.   While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setting aside the order, the High Court made  several  observations  on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merits of the case as well as on the material that was  taken  into  account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before discharging the appellants – accused.  The High Court  also  observed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that the order by which the appellants were added under Section 319  of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Cr.P.C. was not challenged and was allowed to become final.   This  may  not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actually be accurate since, as noted  above,  the  appellants  had  in  fact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challenged the order but had withdrawn the application under Section 482  of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 Cr.P.C.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3.    The High Court also observed that the  order  of  discharge  virtually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nullifies the order under Section 319 of the Cr.P.C. made earlier  by  which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 accused were added.  It is this last observation which has been  put  in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issue before us.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4.    Mr. Sishir Pinaki, learned counsel for the appellants  submitted  that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Section 227 of the Cr.P.C. can be availed of by an accused, even  if  he  is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added as an accused under Section 319 of the Cr.P.C.  since  the  effect  of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adding such a person is that he becomes newly added accused who is  entitled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to avail of all  the  remedies  available  to  him  under  the  Cr.P.C.,  in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particular, the  remedy  of  discharge.   It  is,  therefore,  necessary  to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construe Section 227 and Section 319 of the Cr.P.C.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5.    Provisions of Sections 227 and 319 of the Cr.P.C. are read as under: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“227. Discharge.- If, upon consideration of the record of the case  and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documents submitted therewith, and after  hearing  the  submissions  of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accused and the prosecution in this behalf, the Judge considers  that  there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is not sufficient ground  for  proceeding  against  the  accused,  he  shall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discharge the accused and record his reasons for so doing.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319. Power to proceed against  other  persons  appearing  to  be  guilty  of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offence.-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(1) Where, in the course of any inquiry into, or trial of,  an  offence,  it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appears from the  evidence  that  any  person  not  being  the  accused  has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committed any offence for which such person could  be  tried  together  with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 accused, the Court may proceed  against  such  person  for  the  offence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lastRenderedPageBreak/>
        <w:t>which he appears to have committed.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(2) Where such person is not attending the Court,  he  may  be  arrested  or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summoned, as the circumstances of the case  may  require,  for  the  purpose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aforesaid.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(3) Any person attending the Court although  not  under  arrest  or  upon  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summons, may be detained by such Court for the purpose of the inquiry  into,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or trial of, the offence which he appears to have committed.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(4) Where the Court proceeds against any  person  under  sub-  section  (1),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then-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(a) the proceedings in respect of such person shall be  commenced  a  fresh,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and the witnesses re- heard;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(b) subject to the provisions of clause (a), the  case  may  proceed  as  if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such person had been an accused person when the  Court  took  cognizance  of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 offence upon which the inquiry or trial was commenced.”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6.    On a perusal of Section 319 of the Cr.P.C.,  it  is  apparent  that  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person who is not an accused may  be  added  as  an  accused  only  when  it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appears from the evidence that he has committed any  offence  for  which  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could be tried together with the accused.  The Section says that in such  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eventuality, the Court “may proceed against such  person”  for  the  offence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which he appears to have committed.  In other words, a person who is not  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accused becomes liable to be added where he appears  to  have  committed  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offence.  Thereupon, the effect is that the Court may proceed  against  such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 person.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7.    Section 227 of the  Cr.P.C.  on  the  other  hand,  provides  that  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accused  may  be  discharged  if  the  Judge  construes  that  there  is  no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sufficient ground for the proceedings against him.  In other words,  if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Judge is  of  the  view  that  there  are  no  sufficient  grounds  for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proceedings against  the  accused,  he  may  be  discharged,  whereupon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proceedings against him are dropped.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8.    It is apparent that  both  these  provisions,  in  essence,  have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opposite effect.  The power under Section 319 of the Cr.P.C. results in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summoning and consequent commencement of the proceedings  against  a  person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who was hitherto not an accused and the  power  under  Section  227  of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Cr.P.C.,  results in termination of proceedings against the  person  who  is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an accused.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9.    It was, however, urged by learned counsel for the appellants  that  in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lastRenderedPageBreak/>
        <w:t>order to avail of the  remedies  of  discharge  under  Section  227  of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Cr.P.C., the only qualification necessary  is  that  the  person  should  be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accused.  Learned counsel submitted that there is no difference  between  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accused since inception and  accused  who  has  been  added  as  such  under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Section 319 of the Cr.P.C.  It is, however,  not  possible  to  accept  this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submission since there  is  a  material  difference  between  the  two.   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accused since inception is not necessarily heard before he is  added  as  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accused.  However, a person who is added as an accused under Section 319  of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 Cr.P.C.,  is necessarily heard before being so added. Often  he  gets  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further hearing if he challenges the summoning order before the  High  Court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and further. It seems incongruous and indeed anomalous if the  two  sections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are construed to mean that a person who is added as an accused by the  court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after considering the evidence against him can avail remedy of discharge  on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 ground that there is no sufficient material against him.   Moreover,  it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is settled that the extraordinary power under Section 319  of  the  Cr.P.C.,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can be exercised only if very strong and cogent evidence  occurs  against  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person from the evidence led before the Court.  It is now settled  vide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Constitution Bench decision in Hardeep Singh v. State of Punjab  and  Others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[(2014) 3 SCC 92] that the  standard  of  proof  employed  for  summoning  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person as an accused under Section 319 of the Cr.P.C., is  higher  than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standard of proof employed for framing a charge  against  an  accused. 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Court observed for the purpose of Section 319 of  the  Cr.P.C.,  that  “what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is, therefore, necessary for the Court is to arrive at a  satisfaction  that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 evidence adduced on behalf of the prosecution, if unrebutted,  may  lead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to the conviction of a person sought to be  added  as  the  accused  in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case.”  As regards the  degree  of  satisfaction  necessary  for  framing  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charge this Court observed in para 100:-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“100. However, there is a series of cases wherein this court  while  dealing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with the provisions of Sections 227, 228, 239, 240, 241, 242 and 245 of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Cr.P.C., has consistently held that the court at the  stage  of  framing  of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 charge has to apply its mind to the question whether  or  not  there  is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any ground for presuming the commission of an offence by the  accused. 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court has to see as to whether the material  brought  on  record  reasonably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connect the accused with the  offence.   Nothing  more  is  required  to  be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enquired into.  While dealing with the aforesaid  provisions,  the  test  of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prima facie case is to be applied.  The court has to find  out  whether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materials  offered  by  the  prosecution  to  be  adduced  as  evidence  are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sufficient for the court to proceed against the accused further”.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 Court concluded in para 106 as follows:-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“106. Thus,  we  hold  that  though  only  a  prima  facie  case  is  to  be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established from the evidence led before the court, not  necessarily  tested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lastRenderedPageBreak/>
        <w:t>on the anvil of cross-examination, it requires much stronger  evidence  than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mere probability of his complicity.  The test that has to be applied is  one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which is more than prima facie case as exercised at the time of  framing  of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charge, but short of satisfaction to an extent that the  evidence,  if  goes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unrebutted, would lead to conviction……..”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10.    Thus it does not stand to reason that a person who is summoned as  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accused to stand trial and added as such to the proceedings on the basis  of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 stricter standard of proof can  be  allowed  to  be  discharged  from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proceedings on the basis of a lesser standard  of  proof  such  as  a  prima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facie connection with the offence necessary for charging the accused.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11.    This view is further fortified by the fact that a person is added  as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an accused under Section 319 of the  Cr.P.C.,  on  the  basis  of  evidence;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whereas an accused is discharged under Section 227  of  the  Cr.P.C.,  on  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sifting of material collected i.e. “the record of the case and the  document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submitted herewith” in order to find out whether or not there is  sufficient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ground for proceeding against the accused. In fact it may be noted that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mandate of Section 228, Cr.P.C., is that the Judge only need be of  “opinion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that there is ground  for  presuming  that  the  accused  has  committed  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offence …..” before framing a charge.  In fact this Court has held  in  Ajay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Kumar Parmar v. State of Rajasthan  reported  in  (2012)  12  SCC  406  that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appreciation of evidence at the stage of Section 227 of the Cr.P.C., is  not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permissible (vide para 17).  It is,  therefore,  clear  that  an  order  for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addition of an accused made after considering the evidence cannot be  undone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by coming  to  the  conclusion  that  there  is  no  sufficient  ground  for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proceeding against the accused without appreciation of evidence.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12.   We are not unmindful of the fact that the interpretation placed by  us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on the scheme of Sections 319 and 227 makes Section 227  unavailable  to  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accused who has been added under Section 319 of the Cr.P.C.  We are  of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view, for the reasons given above that this must necessarily be so  since  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view to the contrary would render the exercise undertaken by a  Court  under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Section 319 of the Cr.P.C., for summoning an accused,  on  the  basis  of  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higher standard of proof totally infructuous and futile if  the  same  court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were to subsequently discharge the same accused by  exercise  of  the  power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under Section 227 of the Cr.P.C., on the basis of a mere prima  facie  view.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 exercise of the power under Section 319 of the Cr.P.C., must  be  placed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on a higher pedestal.  Needless to say the accused  summoned  under  Section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319 of the Cr.P.C., are entitled to  invoke  remedy  under  law  against  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illegal or improper exercise of the power  under  Section  319,  but  cannot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have the effect of the order undone by seeking  a  discharge  under  Section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227 of the Cr.P.C.  If allowed to, such an action of discharge would not  be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in accordance with the purpose of the Cr.P.C in enacting Section  319  which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empowers the Court to summon a person for being tried along with  the  other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lastRenderedPageBreak/>
        <w:t>accused where it  appears  from  the  evidence  that  he  has  committed  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offence.  It would be apposite  to  refer  to  the  principle  of  purposive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construction of a statute invoked by this Court in New India  Assurance  Co.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Ltd. v. Nusli Neville Wadia and Anr. (2008) 3 SCC 279, which is as under: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“51…….. With a view to read the provisions  of  the  Act  in  a  proper  and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effective manner, we are of the  opinion  that  literal  interpretation,  if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given, may give rise to an anomaly or absurdity which must  be  avoided.  So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as to enable a superior  court  to  interpret  a  statute  in  a  reasonable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manner,  the  court  must  place  itself  in  the  chair  of  a   reasonable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legislator/author. So done, the rules of purposive construction have  to  be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resorted to which would require the  construction  of  the  Act  in  such  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manner so as to see that the object of the Act is fulfilled, which  in  turn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would lead  the  beneficiary  under  the  statutory  scheme  to  fulfil  its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constitutional obligations as  held  by  the  Court  inter  alia  in  Ashoka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Marketing Ltd.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52. Barak in  his  exhaustive  work  on  “Purposive  Construction”  explains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various meanings attributed to the  term  “purpose”.  It  would  be  in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fitness of discussion to refer to Purposive Construction in Barak’s words: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 xml:space="preserve">      “Hart and Sachs  also  appear  to  treat  ‘purpose’  as  a  subjective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concept. I say ‘appear’ because, although Hart  and  Sachs  claim  that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interpreter should imagine himself or herself  in  the  legislator’s  shoes,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they introduce two elements of objectivity: First,  the  interpreter  should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assume that the legislature is composed  of  reasonable  people  seeking  to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achieve  reasonable  goals  in  a  reasonable  manner;   and   second, 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interpreter should accept the non-rebuttable  presumption  that  members  of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the legislative body sought to fulfil their constitutional  duties  in  good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faith. This formulation allows the  interpreter  to  inquire  not  into  the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subjective intent of the author, but rather  the  intent  the  author  would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have had, had he or she acted reasonably.”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13.   Ms. Prerna Singh, learned counsel for the State also submitted that  a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person who is an accused  under  Section  319  ought  not  to  be  given  an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opportunity to avail of the remedy of discharge under Section 227  since  it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would be contrary to the scheme and intent of the Cr.P.C.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14.   We have no difficulty in accepting this  submission  for  the  reasons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stated above.  We are also satisfied that it would not result in  any  undue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hardships to the accused  since  the  remedy  before  a  superior  court  is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available.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15.   In the result, we see no merit in the appeal which  is  liable  to  be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dismissed.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lastRenderedPageBreak/>
        <w:t>16.   The criminal appeal is dismissed in view of the above.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 xml:space="preserve">                                                   …......................J.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[S.A. BOBDE]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 xml:space="preserve">                                                   …......................J.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[R.K. AGRAWAL]</w:t>
      </w:r>
    </w:p>
    <w:p w:rsidR="005D2689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NEW DELHI</w:t>
      </w:r>
    </w:p>
    <w:p w:rsidR="00693E87" w:rsidRPr="005D2689" w:rsidRDefault="005D2689" w:rsidP="005D26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2689">
        <w:rPr>
          <w:rFonts w:ascii="Times New Roman" w:hAnsi="Times New Roman" w:cs="Times New Roman"/>
          <w:sz w:val="25"/>
          <w:szCs w:val="25"/>
        </w:rPr>
        <w:t>JULY 15, 2015</w:t>
      </w:r>
    </w:p>
    <w:sectPr w:rsidR="00693E87" w:rsidRPr="005D2689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84C" w:rsidRDefault="00DA284C" w:rsidP="00607A95">
      <w:pPr>
        <w:spacing w:after="0" w:line="240" w:lineRule="auto"/>
      </w:pPr>
      <w:r>
        <w:separator/>
      </w:r>
    </w:p>
  </w:endnote>
  <w:endnote w:type="continuationSeparator" w:id="1">
    <w:p w:rsidR="00DA284C" w:rsidRDefault="00DA284C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5D2689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84C" w:rsidRDefault="00DA284C" w:rsidP="00607A95">
      <w:pPr>
        <w:spacing w:after="0" w:line="240" w:lineRule="auto"/>
      </w:pPr>
      <w:r>
        <w:separator/>
      </w:r>
    </w:p>
  </w:footnote>
  <w:footnote w:type="continuationSeparator" w:id="1">
    <w:p w:rsidR="00DA284C" w:rsidRDefault="00DA284C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35AF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3822"/>
    <w:rsid w:val="005441B3"/>
    <w:rsid w:val="00576873"/>
    <w:rsid w:val="005817A7"/>
    <w:rsid w:val="00583F6E"/>
    <w:rsid w:val="00587CCB"/>
    <w:rsid w:val="0059333D"/>
    <w:rsid w:val="00597989"/>
    <w:rsid w:val="005C01BE"/>
    <w:rsid w:val="005C4463"/>
    <w:rsid w:val="005D05F4"/>
    <w:rsid w:val="005D12F5"/>
    <w:rsid w:val="005D1E90"/>
    <w:rsid w:val="005D2689"/>
    <w:rsid w:val="005F597B"/>
    <w:rsid w:val="00602576"/>
    <w:rsid w:val="00605042"/>
    <w:rsid w:val="00605A25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6F0582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8026A"/>
    <w:rsid w:val="00980AC2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167F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3B88"/>
    <w:rsid w:val="00D75E12"/>
    <w:rsid w:val="00D832AB"/>
    <w:rsid w:val="00D975BB"/>
    <w:rsid w:val="00DA284C"/>
    <w:rsid w:val="00DB0C68"/>
    <w:rsid w:val="00DD5347"/>
    <w:rsid w:val="00DF5902"/>
    <w:rsid w:val="00E10791"/>
    <w:rsid w:val="00E24E5D"/>
    <w:rsid w:val="00E300C3"/>
    <w:rsid w:val="00E55AC6"/>
    <w:rsid w:val="00E60301"/>
    <w:rsid w:val="00E66E74"/>
    <w:rsid w:val="00EA758F"/>
    <w:rsid w:val="00EC4CBC"/>
    <w:rsid w:val="00EC4F28"/>
    <w:rsid w:val="00ED0062"/>
    <w:rsid w:val="00ED29E7"/>
    <w:rsid w:val="00ED2AD9"/>
    <w:rsid w:val="00ED7FCB"/>
    <w:rsid w:val="00EF2426"/>
    <w:rsid w:val="00F4569A"/>
    <w:rsid w:val="00F46F73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2016-05-04T10:01:00Z</dcterms:created>
  <dcterms:modified xsi:type="dcterms:W3CDTF">2016-05-04T10:01:00Z</dcterms:modified>
</cp:coreProperties>
</file>