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REPORTABLE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IN THE SUPRME COURT OF INDIA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CIVIL APPELLATE JURISDICTION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CIVIL APPEAL NOs. 5631-5632 OF 2015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[Arising out of SLP (Civil) Nos. 22905-22906 of 2014]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SARAL WIRE CRAFT PVT. LTD.              …    Appellant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           Versus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COMMISSIONER CUSTOMS, CENTRAL EXCISE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&amp; SERVICE TAX, &amp; ORS.                        …       Respondent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          O R D E 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Delay condoned.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Leave granted.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The Appellant is aggrieved by  the  fact  that  the  right  of  Appeal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bestowed on the assessee by the Central Excise  Act,  1944  (in  short  ‘the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Act’) has virtually been rendered nugatory since, successively,  its  Appeal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has been declined consideration on merits,  having  instead  held  as  time-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barred.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Succinctly stated, the Appellant had sought to  take  advantage  of  a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Notification granting exemption from payment of Central Excise Duty as  well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as  Additional  Duty  of  Excise  for  a  period   of   ten   years.    This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moratorium/exemption has been granted by the  Central  Government  with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objective of giving a fillip to the industrialization of the  newly  created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State of Uttarakhand.  The dispute is whether the  Appellant’s  factory/unit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is situated on land which is covered by the aforesaid Notification,  but  we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lastRenderedPageBreak/>
        <w:t>are  not  immediately  concerned  with  this  contentious  issue  in  theses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Appeals.  It appears that on 28.7.2011, the Assistant Commissioner,  Customs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and Central Excise Division, Haldwani  had  concluded  the  proceedings  and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hearings in respect of the show cause notice dated 25.3.2011 issued  to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Appellant.  The Appellant’s contention is that  after  a  passage  of  eight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months an order came to be passed by the said Officer on  30.3.2012  holding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that the Appellant was not eligible for the  exemptions  postulated  in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said Notification; a duty of Rs.3,45,629/- along  with  penalty  of  a  like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amount was imposed under Section 11A of  the  Act.   We  reiterate  that  in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these Appeals we are not concerned with the legality of that Order.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Appellant filed an Appeal against the said  Adjudication  Order  in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Office of the Commissioner (Appeals), Customs and  Central  Excise  (Meerut-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II)  asserting  that  consequent  upon  the  initiation  of   the   recovery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proceedings by the Department, the Appellant learned for the first time,  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26.7.2012, of the passing of the aforesaid Order dated 30.3.2012.  The  case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put forward is that the Adjudication Order dated 30.3.2012 appears  to  have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been served on an employee of the Appellant, named Sanjay, who according  to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Appellant was a ‘Kitchen boy’ employed on daily wages, and was  avowedly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not authorized to deal with communications to and  from  the  Appellant;  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had unauthorisedly affixed the stamp/seal  of  the  Appellant  on  the  some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documents purporting to establish the service of the Adjudication Order,  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3.4.2012.  Accepting the service to  have  been  properly  effected  on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Appellant, the Commissioner (Appeals) dismissed  the  Appeal  filed  by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Appellant by an Order dated 28.9.2012  on  the  ground  that  it  was  time-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barred.  The period was held to have started to run from 3.4.2012 and  since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Appeal had been filed on 22.8.2012 it was held to be  not  maintainable,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being beyond the prescribed period of sixty days. The merits of  the  Appeal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were not gone into at all.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This decision was challenged before the  Customs  Excise  and  Service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Tax Appellate Tribunal, New Delhi, which accepted the  Department’s  version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that the Adjudication Order had been duly served/delivered on the  Appellant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on 3.4.2012; since the Appeal came to be filed on 22.8.2012,  the  dismissal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on the ground of limitation was held to be in consonance with the Act.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Thereafter, the Appellant approached the High Court of Uttarakhand  at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Nainital, which  opined  that  an  Appeal  is  a  creature  of  statute  and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therefore its  preferment  beyond  the  period  permitted  by  the  relevant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statute, reduced it to a futile  exercise.    Even  this  endeavour  of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Appellant was of no avail to it as the High Court was of  the  opinion  that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there was no power to condone the delay beyond the  statutory  period.    We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may underscore the important facet of the  Appeal,  viz.,  that  the  Appeal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filed by the Appellant has not  been  considered  on  merits  at  all. 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Appellate  Authorities  as  well  as  the  High  Court  failed  to  keep  in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perspective the essential issue - namely - to ascertain the date from  which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limitation was to be calculated.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Learned  counsel  for  the  Appellant  has  consistently  relied  upon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lastRenderedPageBreak/>
        <w:t>Section 37C of the Act, which is reproduced for facility of reference: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“37C. Service of decisions, orders,  summons,  etc.-  (1)  Any  decision  or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order passed or any summons or notices issued under this Act  or  the  rules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made thereunder, shall be served,-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by tendering the decision, order,  summons  or  notice,  or  sending  it  by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registered post with acknowledgment due,  to  the  person  for  whom  it  is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intended or his authorized agent, if any;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if the decision, order, summons or notice cannot be  served  in  the  manner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provided in clause (a), by affixing a copy thereof to some conspicuous  part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of the factory or warehouse or other place of business  or  usual  place  of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residence of the person for whom such decision, order,  summons  or  notice,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as the case may be, is intended;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if the decision, order, summons or notice cannot be  served  in  the  manner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provided in clauses (a) and (b), by affixing a copy thereof  on  the  notice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board of the officer or authority who  or  which  passed  such  decision  or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order or issued such summons or notice.”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Sub-section (a) of Section 37C (supra)  states  that  any  decision,  order,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summons  or  notice  may  either   be   sent   by   registered   post   with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acknowledgement due to the person for whom it is intended or his  authorized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agent.  If this mode of service is unsuccessful then service can  be  effect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by  affixation.    It  is  not  the  case  of   the   Department   that   it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simultaneously also dispatched the Order  to  the  Appellant  by  registered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post with acknowledgment due.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It is an anathema in law to decide a matter without due notice to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concerned  party.    Every  effort  must  be  taken  to   meaningfully   and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realistically serve the affected party so as not merely to  ensure  that  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has knowledge thereof but also to enable him  to  initiate  any  permissible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action.   The  Appellant  justifiably  submits  that  it   was   statutorily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impermissible for the Respondents to  serve  the  Adjudication  Order  on  a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“kitchen boy”, who is not even a middle level officer and certainly  not  an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authorized agent of the Appellant.   The version of the  Appellant  that  it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learnt of the passing of the Adjudication Order dated 30.3.2012  only  when,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in the course of the recovery proceedings, the  Department’s  officials  had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visited its unit, is certainly believable.   The  fact  that,  firstly,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Order had not been passed in the presence of the Appellant, so as to  render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its subsequent service a formality, and secondly, that the Order came to  be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passed after an inordinate period of  eight  months  should  not  have  been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ignored.  This fact should not have been lost sight of  by  the  Authorities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below as it has inevitably led to a miscarriage of justice.   The  Inspector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of the Department should have meticulously followed and obeyed  the  mandate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of the statute and tendered the Adjudication Order either on  the  party  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whom it was intended or on its authorized agent and on one else.  It is  not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Respondents’ case that Shri  Sanjay  was  the  authorized  agent.   Even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before us, despite several opportunities given, the Respondents have  failed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lastRenderedPageBreak/>
        <w:t>to file their response to the Special Leave Petitions so  as  to  controvert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asseveration  of the Appellant that Shri Sanjay  on  whom  the  decision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was tendered was a mere daily wager ‘kitchen boy’  and  that  the  Appellant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had no knowledge of the passing of the  Adjudication  Order.   We  are  also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informed that the  recoveries  envisaged  in  the  Adjudication  Order  have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already been effected.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It is in these circumstances that we are of the clear conclusion  that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 miscarriage of justice has taken place,  in  that  the  Authorities/Courts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below have failed to notice the specific language of Section 37C(a)  of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Act which requires that an Order must be tendered on  the  concerned  person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or his authorized agent, in other words,  on  no  other  person,  to  ensure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efficaciousness.    We must immediately recall the decision  in  Taylor  vs.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Taylor (1875) 1 Ch. D  426,  rendered  venerable  by  virtue  of  its  jural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acceptance and applicable for over a century.  It was approved by the  Privy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Council in Nazir  Ahmad  v.  King  Emperor  (1935-36)  63  IA  372  and  was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subsequently applied in Rao Shiv Bahadur Singh v. State of  Vindhya  Pradesh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AIR 1954 SC 322, State of UP  v.  Singhara  Singh  AIR  1964  SC  358,  Babu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Verghese v. Bar Council of Kerala (1999) 3 SCC  422  and  more  recently  in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Hussein Ghadially v. State of Gujarat (2014) 8  SCC  425.   As  observed  by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this Court in Babu Verghese, “it is the basic principle of law long  settled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that if the manner of  doing  a  particular  act  is  prescribed  under  any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statute, the act must  be  done  in  that  manner  or  not  at  all.”  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Inspector who ostensibly served the copy of the Order should have known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requirements of the  statute  and  therefore  should  have  insisted  on  an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acknowledgement either by the Appellant or by  its  authorized  agent. 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Inspector had a statutory function to fulfil, not a  mere  perfunctory  one.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Appeals are accordingly allowed and the impugned Orders are  set  aside.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In the facts obtaining before  us,  the  computation  of  the  period  would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commence at least from the date on which the Appellant asserts knowledge  of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its existence, i.e. on 26.7.2012.    So computed, the  Appeal  filed  before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the Commissioner (Appeals) on  22.8.2012  would  be  within  the  prescribed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period of 60 days and should, therefore, have been  entertained  on  merits.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It  is  ordered  accordingly.   The  Appellant  shall  appear   before   the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Commissioner (Appeals) on the forenoon of 3.8.2015.  The Appeal  shall  then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be taken up and heard on its merits.  There shall be no order as  to  costs.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……………………………..J.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(VIKRAMAJIT SEN)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………………………………..J.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            (SHIVA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 xml:space="preserve">                                KIRTI  SINGH)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lastRenderedPageBreak/>
        <w:t>New Delhi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1358EE">
        <w:rPr>
          <w:rFonts w:ascii="Times New Roman" w:hAnsi="Times New Roman" w:cs="Times New Roman"/>
          <w:sz w:val="25"/>
          <w:szCs w:val="25"/>
        </w:rPr>
        <w:t>20th July,  2015.</w:t>
      </w: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1358EE" w:rsidRPr="001358EE" w:rsidRDefault="001358EE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693E87" w:rsidRPr="001358EE" w:rsidRDefault="00693E87" w:rsidP="001358EE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693E87" w:rsidRPr="001358EE" w:rsidSect="003E57B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7CEB" w:rsidRDefault="00EB7CEB" w:rsidP="00607A95">
      <w:pPr>
        <w:spacing w:after="0" w:line="240" w:lineRule="auto"/>
      </w:pPr>
      <w:r>
        <w:separator/>
      </w:r>
    </w:p>
  </w:endnote>
  <w:endnote w:type="continuationSeparator" w:id="1">
    <w:p w:rsidR="00EB7CEB" w:rsidRDefault="00EB7CEB" w:rsidP="0060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759739"/>
      <w:docPartObj>
        <w:docPartGallery w:val="Page Numbers (Bottom of Page)"/>
        <w:docPartUnique/>
      </w:docPartObj>
    </w:sdtPr>
    <w:sdtContent>
      <w:p w:rsidR="00607A95" w:rsidRPr="00607A95" w:rsidRDefault="00607A95">
        <w:pPr>
          <w:pStyle w:val="Footer"/>
          <w:jc w:val="center"/>
          <w:rPr>
            <w:rFonts w:ascii="Times New Roman" w:hAnsi="Times New Roman" w:cs="Times New Roman"/>
          </w:rPr>
        </w:pPr>
        <w:r w:rsidRPr="00607A95">
          <w:rPr>
            <w:rFonts w:ascii="Times New Roman" w:hAnsi="Times New Roman" w:cs="Times New Roman"/>
          </w:rPr>
          <w:t xml:space="preserve">                                   </w:t>
        </w:r>
        <w:r>
          <w:rPr>
            <w:rFonts w:ascii="Times New Roman" w:hAnsi="Times New Roman" w:cs="Times New Roman"/>
          </w:rPr>
          <w:t xml:space="preserve">                      </w:t>
        </w:r>
        <w:r w:rsidRPr="00607A95">
          <w:rPr>
            <w:rFonts w:ascii="Times New Roman" w:hAnsi="Times New Roman" w:cs="Times New Roman"/>
          </w:rPr>
          <w:t xml:space="preserve">           </w:t>
        </w:r>
        <w:r w:rsidRPr="00607A95">
          <w:rPr>
            <w:rFonts w:ascii="Times New Roman" w:hAnsi="Times New Roman" w:cs="Times New Roman"/>
          </w:rPr>
          <w:fldChar w:fldCharType="begin"/>
        </w:r>
        <w:r w:rsidRPr="00607A95">
          <w:rPr>
            <w:rFonts w:ascii="Times New Roman" w:hAnsi="Times New Roman" w:cs="Times New Roman"/>
          </w:rPr>
          <w:instrText xml:space="preserve"> PAGE   \* MERGEFORMAT </w:instrText>
        </w:r>
        <w:r w:rsidRPr="00607A95">
          <w:rPr>
            <w:rFonts w:ascii="Times New Roman" w:hAnsi="Times New Roman" w:cs="Times New Roman"/>
          </w:rPr>
          <w:fldChar w:fldCharType="separate"/>
        </w:r>
        <w:r w:rsidR="001358EE">
          <w:rPr>
            <w:rFonts w:ascii="Times New Roman" w:hAnsi="Times New Roman" w:cs="Times New Roman"/>
            <w:noProof/>
          </w:rPr>
          <w:t>1</w:t>
        </w:r>
        <w:r w:rsidRPr="00607A95">
          <w:rPr>
            <w:rFonts w:ascii="Times New Roman" w:hAnsi="Times New Roman" w:cs="Times New Roman"/>
          </w:rPr>
          <w:fldChar w:fldCharType="end"/>
        </w:r>
        <w:r w:rsidRPr="00607A95">
          <w:rPr>
            <w:rFonts w:ascii="Times New Roman" w:hAnsi="Times New Roman" w:cs="Times New Roman"/>
          </w:rPr>
          <w:t xml:space="preserve">                                                                                 SpotLaw</w:t>
        </w:r>
      </w:p>
    </w:sdtContent>
  </w:sdt>
  <w:p w:rsidR="00607A95" w:rsidRPr="00607A95" w:rsidRDefault="00607A95">
    <w:pPr>
      <w:pStyle w:val="Footer"/>
      <w:rPr>
        <w:rFonts w:ascii="Times New Roman" w:hAnsi="Times New Roman" w:cs="Times New Roman"/>
      </w:rPr>
    </w:pPr>
    <w:r w:rsidRPr="00607A9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7CEB" w:rsidRDefault="00EB7CEB" w:rsidP="00607A95">
      <w:pPr>
        <w:spacing w:after="0" w:line="240" w:lineRule="auto"/>
      </w:pPr>
      <w:r>
        <w:separator/>
      </w:r>
    </w:p>
  </w:footnote>
  <w:footnote w:type="continuationSeparator" w:id="1">
    <w:p w:rsidR="00EB7CEB" w:rsidRDefault="00EB7CEB" w:rsidP="0060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9B2"/>
    <w:rsid w:val="00001FAD"/>
    <w:rsid w:val="00006FEE"/>
    <w:rsid w:val="000105D9"/>
    <w:rsid w:val="000164CE"/>
    <w:rsid w:val="00022FBE"/>
    <w:rsid w:val="00052EC9"/>
    <w:rsid w:val="0005302B"/>
    <w:rsid w:val="00056A12"/>
    <w:rsid w:val="0006206F"/>
    <w:rsid w:val="00082C2B"/>
    <w:rsid w:val="000830B1"/>
    <w:rsid w:val="0009251A"/>
    <w:rsid w:val="000B63B9"/>
    <w:rsid w:val="000C4D41"/>
    <w:rsid w:val="000E0F49"/>
    <w:rsid w:val="000E2949"/>
    <w:rsid w:val="000E35AF"/>
    <w:rsid w:val="00115014"/>
    <w:rsid w:val="00130F0F"/>
    <w:rsid w:val="001358EE"/>
    <w:rsid w:val="001676B9"/>
    <w:rsid w:val="00177F89"/>
    <w:rsid w:val="001873F2"/>
    <w:rsid w:val="001A3EA6"/>
    <w:rsid w:val="001B10A1"/>
    <w:rsid w:val="001C1301"/>
    <w:rsid w:val="001C18F4"/>
    <w:rsid w:val="001C6DBE"/>
    <w:rsid w:val="001D1B2C"/>
    <w:rsid w:val="001D32E4"/>
    <w:rsid w:val="001D7193"/>
    <w:rsid w:val="002169AE"/>
    <w:rsid w:val="00250000"/>
    <w:rsid w:val="00274033"/>
    <w:rsid w:val="002935AF"/>
    <w:rsid w:val="00294085"/>
    <w:rsid w:val="002A74C5"/>
    <w:rsid w:val="002C60E0"/>
    <w:rsid w:val="002D3B22"/>
    <w:rsid w:val="002D4081"/>
    <w:rsid w:val="002D49A2"/>
    <w:rsid w:val="002D6901"/>
    <w:rsid w:val="00305256"/>
    <w:rsid w:val="00312C7C"/>
    <w:rsid w:val="00314CC6"/>
    <w:rsid w:val="003153F4"/>
    <w:rsid w:val="0032002F"/>
    <w:rsid w:val="003211A0"/>
    <w:rsid w:val="00326E35"/>
    <w:rsid w:val="00350CBD"/>
    <w:rsid w:val="003579A7"/>
    <w:rsid w:val="003635C8"/>
    <w:rsid w:val="003656F0"/>
    <w:rsid w:val="00396117"/>
    <w:rsid w:val="003A2067"/>
    <w:rsid w:val="003A73D2"/>
    <w:rsid w:val="003B3C23"/>
    <w:rsid w:val="003D185A"/>
    <w:rsid w:val="003D1C2B"/>
    <w:rsid w:val="003D4942"/>
    <w:rsid w:val="003E137C"/>
    <w:rsid w:val="003E57BE"/>
    <w:rsid w:val="00411396"/>
    <w:rsid w:val="00412B7B"/>
    <w:rsid w:val="00421961"/>
    <w:rsid w:val="004276DF"/>
    <w:rsid w:val="00451B41"/>
    <w:rsid w:val="0046031D"/>
    <w:rsid w:val="00465CDA"/>
    <w:rsid w:val="00482045"/>
    <w:rsid w:val="004903D4"/>
    <w:rsid w:val="00490C90"/>
    <w:rsid w:val="0049117C"/>
    <w:rsid w:val="004B3662"/>
    <w:rsid w:val="004E3F76"/>
    <w:rsid w:val="004E72C2"/>
    <w:rsid w:val="004F1B79"/>
    <w:rsid w:val="0053695D"/>
    <w:rsid w:val="00543822"/>
    <w:rsid w:val="005441B3"/>
    <w:rsid w:val="00576873"/>
    <w:rsid w:val="005817A7"/>
    <w:rsid w:val="00583F6E"/>
    <w:rsid w:val="00587CCB"/>
    <w:rsid w:val="0059333D"/>
    <w:rsid w:val="00597989"/>
    <w:rsid w:val="005C01BE"/>
    <w:rsid w:val="005C4463"/>
    <w:rsid w:val="005D05F4"/>
    <w:rsid w:val="005D12F5"/>
    <w:rsid w:val="005D1E90"/>
    <w:rsid w:val="005D2689"/>
    <w:rsid w:val="005F597B"/>
    <w:rsid w:val="00602576"/>
    <w:rsid w:val="00605042"/>
    <w:rsid w:val="00605A25"/>
    <w:rsid w:val="00607A95"/>
    <w:rsid w:val="00610972"/>
    <w:rsid w:val="00614768"/>
    <w:rsid w:val="00624BBA"/>
    <w:rsid w:val="00631014"/>
    <w:rsid w:val="0064409C"/>
    <w:rsid w:val="006450CE"/>
    <w:rsid w:val="006543D5"/>
    <w:rsid w:val="00656C61"/>
    <w:rsid w:val="0067643A"/>
    <w:rsid w:val="00684407"/>
    <w:rsid w:val="00693E87"/>
    <w:rsid w:val="006D1776"/>
    <w:rsid w:val="006D1E00"/>
    <w:rsid w:val="006D2820"/>
    <w:rsid w:val="006E22F6"/>
    <w:rsid w:val="006E4377"/>
    <w:rsid w:val="006F0582"/>
    <w:rsid w:val="0073559E"/>
    <w:rsid w:val="00736E37"/>
    <w:rsid w:val="007373D7"/>
    <w:rsid w:val="007375E8"/>
    <w:rsid w:val="0074714B"/>
    <w:rsid w:val="00783FD6"/>
    <w:rsid w:val="007871DF"/>
    <w:rsid w:val="007871F7"/>
    <w:rsid w:val="00792EA6"/>
    <w:rsid w:val="00793D37"/>
    <w:rsid w:val="007B0E61"/>
    <w:rsid w:val="007B60F0"/>
    <w:rsid w:val="007B6160"/>
    <w:rsid w:val="007F7BB7"/>
    <w:rsid w:val="007F7DC1"/>
    <w:rsid w:val="0081384E"/>
    <w:rsid w:val="00813DEC"/>
    <w:rsid w:val="008175C5"/>
    <w:rsid w:val="00822F00"/>
    <w:rsid w:val="00824008"/>
    <w:rsid w:val="008575DF"/>
    <w:rsid w:val="008623B0"/>
    <w:rsid w:val="00877791"/>
    <w:rsid w:val="008810B5"/>
    <w:rsid w:val="00884C8E"/>
    <w:rsid w:val="00885A96"/>
    <w:rsid w:val="008935B0"/>
    <w:rsid w:val="00894BD6"/>
    <w:rsid w:val="008A599C"/>
    <w:rsid w:val="008B0BB8"/>
    <w:rsid w:val="008B0C58"/>
    <w:rsid w:val="008B0D3D"/>
    <w:rsid w:val="008B2207"/>
    <w:rsid w:val="008B6723"/>
    <w:rsid w:val="008D08B0"/>
    <w:rsid w:val="008D3501"/>
    <w:rsid w:val="008D5A3D"/>
    <w:rsid w:val="008E0D06"/>
    <w:rsid w:val="008E42C8"/>
    <w:rsid w:val="008E451C"/>
    <w:rsid w:val="008F2E8F"/>
    <w:rsid w:val="008F4E20"/>
    <w:rsid w:val="00914792"/>
    <w:rsid w:val="00934D73"/>
    <w:rsid w:val="00941153"/>
    <w:rsid w:val="0094593B"/>
    <w:rsid w:val="009705DC"/>
    <w:rsid w:val="00972E0A"/>
    <w:rsid w:val="0098026A"/>
    <w:rsid w:val="00980AC2"/>
    <w:rsid w:val="00985338"/>
    <w:rsid w:val="00990B83"/>
    <w:rsid w:val="00995E2F"/>
    <w:rsid w:val="009D183C"/>
    <w:rsid w:val="009E65D7"/>
    <w:rsid w:val="009F1CE9"/>
    <w:rsid w:val="009F5096"/>
    <w:rsid w:val="009F63EC"/>
    <w:rsid w:val="00A06561"/>
    <w:rsid w:val="00A1472F"/>
    <w:rsid w:val="00A1566D"/>
    <w:rsid w:val="00A268A8"/>
    <w:rsid w:val="00A30B2C"/>
    <w:rsid w:val="00A461A5"/>
    <w:rsid w:val="00A543F8"/>
    <w:rsid w:val="00A7435C"/>
    <w:rsid w:val="00A82D81"/>
    <w:rsid w:val="00A82E32"/>
    <w:rsid w:val="00A865BC"/>
    <w:rsid w:val="00A90860"/>
    <w:rsid w:val="00AB40D8"/>
    <w:rsid w:val="00AF0919"/>
    <w:rsid w:val="00AF4249"/>
    <w:rsid w:val="00AF45F0"/>
    <w:rsid w:val="00B03FDF"/>
    <w:rsid w:val="00B12CA5"/>
    <w:rsid w:val="00B20CD0"/>
    <w:rsid w:val="00B4276B"/>
    <w:rsid w:val="00B45382"/>
    <w:rsid w:val="00B51064"/>
    <w:rsid w:val="00B51E4C"/>
    <w:rsid w:val="00B559B2"/>
    <w:rsid w:val="00B62EC3"/>
    <w:rsid w:val="00B73D48"/>
    <w:rsid w:val="00B8167F"/>
    <w:rsid w:val="00B86892"/>
    <w:rsid w:val="00B877B5"/>
    <w:rsid w:val="00B929B4"/>
    <w:rsid w:val="00B93E61"/>
    <w:rsid w:val="00B96840"/>
    <w:rsid w:val="00B96C66"/>
    <w:rsid w:val="00BB3EEF"/>
    <w:rsid w:val="00BC29A6"/>
    <w:rsid w:val="00BC46A7"/>
    <w:rsid w:val="00BC7A0B"/>
    <w:rsid w:val="00C104AB"/>
    <w:rsid w:val="00C23929"/>
    <w:rsid w:val="00C31DE4"/>
    <w:rsid w:val="00C53EC7"/>
    <w:rsid w:val="00C66D5D"/>
    <w:rsid w:val="00C70728"/>
    <w:rsid w:val="00C73DBF"/>
    <w:rsid w:val="00C76C34"/>
    <w:rsid w:val="00C76E02"/>
    <w:rsid w:val="00C878B4"/>
    <w:rsid w:val="00C87DB8"/>
    <w:rsid w:val="00CC0AE5"/>
    <w:rsid w:val="00CC0BAB"/>
    <w:rsid w:val="00CD2CA8"/>
    <w:rsid w:val="00CD490F"/>
    <w:rsid w:val="00CF55BA"/>
    <w:rsid w:val="00D03018"/>
    <w:rsid w:val="00D0480E"/>
    <w:rsid w:val="00D04C11"/>
    <w:rsid w:val="00D117BE"/>
    <w:rsid w:val="00D118AB"/>
    <w:rsid w:val="00D23930"/>
    <w:rsid w:val="00D36201"/>
    <w:rsid w:val="00D37FDB"/>
    <w:rsid w:val="00D418E6"/>
    <w:rsid w:val="00D73B88"/>
    <w:rsid w:val="00D75E12"/>
    <w:rsid w:val="00D832AB"/>
    <w:rsid w:val="00D975BB"/>
    <w:rsid w:val="00DB0C68"/>
    <w:rsid w:val="00DD5347"/>
    <w:rsid w:val="00DF5902"/>
    <w:rsid w:val="00E10791"/>
    <w:rsid w:val="00E24E5D"/>
    <w:rsid w:val="00E300C3"/>
    <w:rsid w:val="00E55AC6"/>
    <w:rsid w:val="00E60301"/>
    <w:rsid w:val="00E66E74"/>
    <w:rsid w:val="00EA758F"/>
    <w:rsid w:val="00EB7CEB"/>
    <w:rsid w:val="00EC4CBC"/>
    <w:rsid w:val="00EC4F28"/>
    <w:rsid w:val="00ED0062"/>
    <w:rsid w:val="00ED29E7"/>
    <w:rsid w:val="00ED2AD9"/>
    <w:rsid w:val="00ED7FCB"/>
    <w:rsid w:val="00EF2426"/>
    <w:rsid w:val="00F4569A"/>
    <w:rsid w:val="00F46F73"/>
    <w:rsid w:val="00F82F7B"/>
    <w:rsid w:val="00F8663B"/>
    <w:rsid w:val="00F97722"/>
    <w:rsid w:val="00FA00E2"/>
    <w:rsid w:val="00FA3E87"/>
    <w:rsid w:val="00FB22C7"/>
    <w:rsid w:val="00FB697F"/>
    <w:rsid w:val="00FD6C5E"/>
    <w:rsid w:val="00FD788C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7A95"/>
  </w:style>
  <w:style w:type="paragraph" w:styleId="Footer">
    <w:name w:val="footer"/>
    <w:basedOn w:val="Normal"/>
    <w:link w:val="FooterChar"/>
    <w:uiPriority w:val="99"/>
    <w:unhideWhenUsed/>
    <w:rsid w:val="00607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A95"/>
  </w:style>
  <w:style w:type="paragraph" w:styleId="ListParagraph">
    <w:name w:val="List Paragraph"/>
    <w:basedOn w:val="Normal"/>
    <w:uiPriority w:val="34"/>
    <w:qFormat/>
    <w:rsid w:val="00B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2016-05-04T10:02:00Z</dcterms:created>
  <dcterms:modified xsi:type="dcterms:W3CDTF">2016-05-04T10:02:00Z</dcterms:modified>
</cp:coreProperties>
</file>