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IN THE SUPREME COURT OF INDIA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CIVIL APPELLATE JURISDICTION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CIVIL APPEAL NO. 5616  OF 2015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(Arising from SLP(C) No.12917/2012)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Union of India and others                         ...Appellants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     versus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Balwant Singh                                     ..Respondent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     J U D G M E N 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Jagdish Singh Khehar, J.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1.          The respondent was  inducted  into  the  service  of  the  Assam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Rifles as a Rifleman on  25.11.1991.   He  claims  to  have  discharged  his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duties to the absolute satisfaction of his superiors, and earned  promotions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to higher ranks till 2007, when he  came  to  hold  the  rank  of  Havaldar.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Whilst holding the rank of Havaldar, he  was  issued  a  show  cause  notice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dated 27.08.2008 informing him, that he had earned four “Red  Ink  entries”,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and asking him why he should not be discharged from service.  The  aforesaid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show cause notice relied upon certain provisions of the  Assam  Rifles  Act,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1941, besides the Assam Rifles Manual, and also Clause 5 of  the  Record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Office Instructions 1/2004 (hereinafter referred to as the 'ROI 1/2004').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2.          In the show cause notice, the respondent was intimated, that  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had earned nine punishments which included five “Red Ink entries” and  “four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Black Ink entries”.  The details of the disciplinary  action  taken  against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respondent has been depicted in a compilation, which is a  part  of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record of the case, and is being extracted hereunder: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|S. NO.  |OFFENCE        |DATE OF OFFENCE|STATEMENT OF       |PUNISHMENT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|OFFENCE            |AWARDED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|(a)     |AA Sec 39 (b)  |14 Nov 99      |Without sufficient |10 days pay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|cause of           |fine on 30 Nov|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|overstaying leave  |99    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|granted to him     |      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|(b)     |AR Act 1941 Sec|27 Mar 05      |Intoxication       |7 days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|9 An act       |               |                   |forfeiture od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|prejudicial to |               |                   |pay on 28 Mar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|        |good order and |               |                   |05    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|discipline     |               |                   |      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|(c)     |AA Sec - 48    |24 May 07      |Intoxication       |14 days pay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|fine on 01 Jun|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|07    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|(d)     |AA Sec - 48    |23 Jul 07      |Intoxication       |Severe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|reprimand and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|14 days pay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|fine on 23 Jul|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|07    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|(e)     |AA Sec - 48    |07 Oct 07      |Intoxication       |Severe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|reprimand on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|15 Oct 07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|(f)     |AA Sec - 48    |10 Oct 07      |Intoxication       |14 days pay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|fine on 16 Oct|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|07    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|(g)     |AA Sec – 39 (b)|06 Feb 08      |Without sufficient |Severe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|cause of           |reprimand on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|overstaying leave  |01 Mar 08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|granted to him     |      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|(h)     |AA Sec - 48    |11 Aug 08      |Intoxication       |Severe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|reprimand on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                   |26 Aug 08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|(i)     |AA Sec – 39 (c)|29 Dec 08      |Absenting himself  |Severe   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|        |and AA Sec - 48|               |without leave and  |reprimand on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|        |               |               |intoxication       |06 Jan 09     |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It is relevant to mention, that  the  four  “Red  Ink  entries”  taken  into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consideration,  insofar  as  the  show  cause  notice  dated  27.08.2008  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concerned, are depicted at serial nos. (d), (e), (g) and (h)  of  the  above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compilation.  The details of the cause/action,  why  the  above  punishments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were inflicted on the respondent (at serial nos. (d),  (e),  (g)  and  (h)),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have also been expressed in the pleadings.  Insofar  as  the  punishment  at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serial no. (d) is concerned,  the same came to be imposed on the  respondent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on account of the fact that on  23.07.2007, while he was on  “motor  vehicle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check post duty” at 19:50 hrs., he  was  found  in  an  intoxication  state.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Insofar as the punishment at serial no. (e) is  concerned,  it  was  pointed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out, that the respondent was again found in an intoxicating state, while  on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“platoon training duty” at Diphu on 07.10.2007  at  20:45  hrs.   The  third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punishment at serial no. (g) was imposed on the respondent,  on  account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his having overstayed leave, granted to him, for a period of eighteen  days.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The last of the above punishments, depicted at serial no. (h), was  imposed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on the respondent, on account of the fact, that he was  again  found  in  an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intoxicated state on 11.08.2008 at   17:00  hrs.,  while  on  “road  opening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party duty”.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3.          In addition to  the  factual  position,  indicated  hereinabove,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learned counsel for the appellants  highlights  the  fact,  that  after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first three “Red Ink  entries”  were  recorded  against  the  respondent,  a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notice dated 2.3.2008 was issued to him, informing the respondent,  that  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had already been issued three “Red Ink entries”, and that he was  liable  to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be discharged  from  service,  in  case  one  further  “Red  Ink  entry”  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recorded.  The respondent submitted a  reply  thereto,  undertaking  not  to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commit any further delinquency, and acknowledging, that in case one  further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“Red Ink entry” was issued to him, he may be discharged from service.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4.          In response to the show cause  notice  dated  27.08.2008,  which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was issued to the respondent after the fourth “Red Ink entry”  was  recorded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on 26.08.2008, the respondent submitted a  reply  acknowledging  the  entire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factual position depicted in the show cause notice.  It is  therefore,  that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an order of discharge dated 7.2.2009 was passed.   In  the  above  order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discharge, it was mentioned, that the action  had  been  taken  against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respondent, inter alia, under Clause  5  of  ROI  1/2004,  as  it  had  been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concluded, that he  was  an  'incorrigible  offender'.   Despite  having  so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concluded, he was held entitled to pension and gratuity, as were  admissible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under the rules.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5.           Dissatisfied  with  the  order  of  discharge,  the  respondent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addressed a representation dated 20.04.2009 to the Director  General,  Assam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Rifles.  The  aforesaid  representation  was  rejected  by  an  order  dated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8.5.2009.  The respondent assailed all the  adverse  orders  passed  against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him, by filing Writ Petition No. 167(SH) of 2009  before  the  Gauhati  High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Court.  The aforesaid writ petition was dismissed by a learned Single  Judge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on 22.4.2010.  The respondent then  preferred  Writ  Appeal  No.  (SH)54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2010, which was allowed by an order dated 2.11.2011.   The  instant  special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leave petition was filed by the Union of India and others, so as  to  assail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order passed by the Division Bench on 2.11.2011.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6.          Delay condoned. Leave granted.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7.          A perusal of the  impugned  order  reveals,  that  the  Division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Bench of the High Court did not find any serious  fault  with  the  impugned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order passed by the learned Single Judge, except that it was felt, that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punishment imposed upon the respondent was disproportionate,  when  compared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to the charges on which the four “Red Ink entries” had  been  recorded.   To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appreciate the basis of the directions, and  the  nature  of  the  direction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issued by the High Court while disposing of the writ  appeal  filed  by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respondent on  2.11.2011,  we  find  it  just  and  appropriate  to  extract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paragraphs 18 and 19 of the order passed by the Division Bench: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“18.  Bearing in mind the long service career that the delinquent  was  left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with in the Organization and  considering  the  serious  hardship  that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family would suffer when the breadearner is discharged  at  the  age  of  35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years after 17 years of service  and  also  taking  into  consideration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discretionary nature of the power  under  Clause  5  of  the  Record  Office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Instructions (ROI) and taking into account the nature of  the  4  violations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for which the red ink entries were given, we feel that a penalty which  will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not result in discontinuation of service, would better serve  the  cause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justice. In the context of the charges,  we  feel  that  the  punishment  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disproportionate and the disciplinary  authority  should  have  inflicted  a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lesser punishment to the delinquent, so that he could continue in service.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19.   Consequently we feel inclined to interfere with the impugned  order(s)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of 07-07-2009 and 08-05-2009 and accordingly the  same  are  set  aside  and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quashed. The petitioner is ordered to be reinstated in  service  subject  to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assessment of his physical fitness. However, the respondents are at  liberty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to impose any lesser punishment balancing the interest of  the  organization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and also of the delinquent.  Accordingly  we  interfere  with  the  impugned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judgment of 29-11-2010 and allow this Appeal without any order of cost.”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8.           During  the  course  of  hearing,  learned  counsel   for 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appellants  supported  the  impugned  order  of  discharge  dated  7.2.2009,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merely on the strength of Clause 5 of the ROI  1/2004.  The  same  is  being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extracted hereunder: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“5.    Discharge/Disposal  of  Undesirable/Inefficient  Personnel   :   Vide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Chapter VIII, Rule 24 of the Assam  Rifles  Manual  confers  powers  on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commandants of Assam Rifles Battalion to discharge any members of the  Assam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Rifles below  the  rank  of  Nb/Sub.  This  power  may  be  exercised  by  a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Commandant in case where a person has got four or more red ink  entries.  In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case, it is  necessary  to  send  an  individual  on  discharge  under  this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provision,  a  notice  will  be  served  on  the  individual  affording   an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opportunity to him to explain his case.  Thereafter the complete  case  will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be forwarded to Sector HQ along with the notice and reply received from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individual, for the  approval  of  the  Sector  Commander.   Thereafter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documents will be sent to this Directorate,  Record  Branch/UPAO  for  final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settlement of his IRLA.”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Referring to the above clause, it was the contention of the learned  counsel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for the appellants, that before an order of discharge  could  be  passed  by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Commandant, there were certain perquisites which included that a  notice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need to be served to the concerned individual, affording him an  opportunity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to explain his case.  Upon receipt of his reply  and  the  determination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issue, the complete case need to be forwarded to the Sector  Headquarter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(along with the notice and the reply, for  approval  at  the  hands  of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Commander),  and  finally  all  the  documents  were  to  be  sent  to 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Directorate, Record Branch/UPAO for  final  settlement  of  the  “individual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running ledger account”.  It was submitted by the learned  counsel  for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appellants, that all the necessary perquisites were complied with, and  more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particularly, the show cause  notice  dated  27.8.2008  was  issued  to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respondent, and action was taken  against  the  respondent,  only  upon  his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having submitted a reply thereto. It is also the contention of  the  learned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counsel for the appellants, that in the reply filed by  the  respondent,  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had admitted the factual position, namely, the recording of  four  “Red  Ink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entries”, which  constituted  the  basis  for  the  show  cause  notice  for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discharge, issued to him.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9.           Despite  the  satisfaction  of  the  terms  and  conditions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discharge emerging from Clause 5 of ROI 1/2004, it  was  the  contention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learned counsel for the respondent, that it will be  unfair  and  unjust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to discharge the respondent from service,  on  account  of  his  unblemished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record of service,  including  the  fact  that  he  had  been  selected  for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participation in the Republic Day contingent for  three  consecutive  years,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besides that, he had also earned laurels for having captured  militants  and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recovered arms and ammunitions.  Additionally, it was the contention of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learned counsel, that the  respondent  had  discharged  unblemished  service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selflessly by risking his life on various occasions, only  with  the  object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of obediently discharging the duties assigned to him.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10.         The second contention advanced  at  the  hands  of  the  learned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counsel for the respondent, was of discrimination.  It  was  the  contention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of the learned counsel for the respondent, that one Jose Nedum  Joseph,  who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was  dismissed from service, had approached the High Court  by  filing  Writ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Petition (C) No. 2099 of 1999, and  the  order  of  dismissal  from  service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inflicted upon him, was reduced to that of  discharge.   It  was  submitted,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that the afore-stated Jose  Nedum  Joseph  was  alleged  to  have  committed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delinquencies relating to cheating, indiscipline, and  such  actions,  where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safety of the unit was compromised.  Additionally,  the  aforesaid  Jose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Nedum Joseph was also accused of insubordination.  It was the contention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learned counsel for the respondent, that as compared to the  delinquency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alleged against the afore-stated Jose Nedum  Joseph,  the  charges  levelled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against the respondent were only, that  of  having  been  found  intoxicated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while on duty on three occasions, and absent from duty without leave on  one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occasion. It was submitted, that none of the above charges  compromised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security of the unit, and as such, the punishment of  discharge  was  highly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disproportionate to the accusations levelled against him.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11.         We have given our thoughtful consideration  to  the  submissions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advanced at the hands of the learned counsel for the rival  parties.   Assam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Rifles  is  admittedly  a  disciplined  force,  wherein  indiscipline  would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undermine the task entrusted to it.  Therefore, indiscipline at  that  hands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of the uniformed personnel of force, cannot be  tolerated.  Insofar  as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present controversy is concerned, after three “Red Ink entries” were  issued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to the respondent, wherein he was “severely reprimanded”, he  was  issued  a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notice dated 2.3.2008 informing him that one further “Red Ink  entry”  would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entail discharge from service. The respondent acknowledged  the  receipt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aforesaid notice, and undertook to ensure that he  would  not  earn  any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further “Red Ink entry”.  And that, in case  another  “Red  Ink  entry”  was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issued to him, he would accept discharge from service.  Despite  the  above,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soon after the receipt of the above notice dated 2.3.2008, yet another  “Red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Ink entry” was issued to the respondent on 11.08.2008.  Not only that,  even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 further punishment was inflicted on the respondent, after the last of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four  “Red  Ink  entries”,  on  29.12.2008,  when  he  was  again   severely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reprimanded and issued a further “Red Ink entry”  on  6.1.2009,  for  having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absented himself without leave and for having been found in  an  intoxicated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state, while on duty, on 29.12.2008.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12.         In the above view of the matter, we are of the  view,  that  not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only were the parameters depicted in  Clause  5  of  the  ROI  1/2004  fully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satisfied, even the Commanding Officer was satisfied  that  the  delinquency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of the respondent  could be ignored, and as such,  the  order  of  discharge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dated 7.2.2009 was passed. We find no infirmity in the passing of the  above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order.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13.         Another basis,  for  concluding  the  issue  in  favour  of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respondent by the Division Bench was, that while  exercising  the  power  to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discharge, the  competent  authority  had  not  complied  with  the  mandate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contained in sub-section (3) of Section 4 of the Assam Rifles  Act.  Section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4, relied upon by the High Court, is being extracted hereunder: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“4.   APPOINTMENTS AND DISCHARGE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1.) The appointment of all riflemen shall rest with the Commandant.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2.) Before any person is appointed to be a rifleman, the  statement  in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Schedule shall be read and if necessary explained to him in the presence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 Magistrate, Commandant, and shall be signed by him  in  acknowledgment  of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it's having been so read to him.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3.) A rifleman shall not be entitled to be discharged except  in  accordance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with the terms of the statement which he has signed under this Act or  under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Assam Rifles Act, 1920.”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14.         Learned counsel for the appellants  vehemently  contended,  that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sub-section  (3)  of  Section  4,  referred  to  by  the  High   Court,   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inapplicable in a situation where the discharge is  to  be  ordered  by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employer.  According to the learned counsel, sub-section (3) of  Section  4,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would be applicable when  the  concerned  employee  claims  discharge  after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having rendered specified service, as depicted in “The Schedule  Statement”,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appended to the Assam Rifles Act, namely,  four  years  of  service  in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first instance.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15.         We find merit in the contention advanced at  the  hands  of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learned counsel  for  the  appellants.   In  a  case  of  discharge  by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employer, namely, the Assam Rifles, sub-section (3)  of  Section  4  has  no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applicability.  A collective perusal of Section 4 extracted above, and  “The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Schedule Statement” appended to the Assam Rifles Act,  leaves  no  room  for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any doubt, that the provisions of the Act  also  vest  an  option  with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employees governed by the Act to seek discharge from service.  Section  4(3)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is the pointed provision.  As such, it is imperative for us  to  hold,  that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Division Bench  of  the  High  Court  erroneously  concluded,  that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punishment in the present case, could not have been supported on  the  basis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of the powers given to the Commandant, under Section 4 of the  Assam  Rifles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Act.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16.         Insofar as the issue of discrimination is concerned, insofar  as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the instance  of  Jose  Nedum  Joseph  has  been  cited  on  behalf  of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respondent, we find no  comparison  thereof  with  the  delinquency  alleged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against the respondent. Firstly, because Jose Nedum  Joseph  was  originally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ordered to be dismissed from service.  The High Court had reduced the  order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of punishment of dismissal to that of discharge.  In the  instant  case,  on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account of the compliance of the provisions of Clause 5 of ROI  1/2004,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>respondent was merely discharged from duty.  The order of discharge  was  in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compliance with the  provisions  made  by  the  authorities.   Moreover,  it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cannot be accepted that the respondent did not compromise the safety of  his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unit, whilst he was found to be in an intoxicated state while  on  duty.  It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is quite another matter, that no incident occurred at  the  time,  when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respondent was found to be  intoxicated.   The  plea  of  discrimination  is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accordingly unacceptable.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17.         For the reasons recorded hereinabove, we are satisfied that  the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impugned order passed  by  the  Division  Bench  of  the  High  Court  dated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2.11.2011 deserves to be set aside.  Ordered accordingly.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18.         The instant appeal is accordingly allowed.   The  parties  shall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bear their own costs.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…...................................J.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                      [JAGDISH SINGH KHEHAR]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NEW                                                                   DELHI;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…....................................J.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JULY 22, 2015.                               [ADARSH KUMAR GOEL]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ITEM NO.2               COURT NO.4               SECTION XIV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Civil Appeal No.5616/2015 @ SLP(C) No.  12917/2012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UNION OF INDIA &amp; ORS.                              Appellant(s)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BALWANT SINGH                                      Respondent(s)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(with appln. (s) for c/delay in filing SLP and interim relief and office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report)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Date : 22/07/2015 This appeal was called on for hearing today.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CORAM :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 xml:space="preserve">         HON'BLE MR. JUSTICE JAGDISH SINGH KHEHAR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HON'BLE MR. JUSTICE ADARSH KUMAR GOEL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For Appellant(s) Mr. R. Balasubramanian, Adv.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Ms. Madhvi Divan, Adv.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Ms. Rashmi Malhotra, Adv.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Mr. Santosh Kumar, Adv.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for Mr. B. Krishna Prasad,AOR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For Respondent(s)      Mr. Avijit Bhattacharjee,Adv.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Ms.Upma Shrivastava, Adv.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UPON hearing the counsel the Court made the following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                 O R D E R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Delay condoned.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Leave granted.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The appeal is allowed in terms of the signed judgment.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>(Renuka Sadana)                        (Parveen Kr. Chawla)</w:t>
      </w:r>
    </w:p>
    <w:p w:rsidR="005B134F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lastRenderedPageBreak/>
        <w:t xml:space="preserve"> Court Master                                     AR-cum-PS</w:t>
      </w:r>
    </w:p>
    <w:p w:rsidR="00606823" w:rsidRPr="005B134F" w:rsidRDefault="005B134F" w:rsidP="005B134F">
      <w:pPr>
        <w:rPr>
          <w:rFonts w:ascii="Times New Roman" w:hAnsi="Times New Roman" w:cs="Times New Roman"/>
          <w:sz w:val="25"/>
          <w:szCs w:val="25"/>
        </w:rPr>
      </w:pPr>
      <w:r w:rsidRPr="005B134F">
        <w:rPr>
          <w:rFonts w:ascii="Times New Roman" w:hAnsi="Times New Roman" w:cs="Times New Roman"/>
          <w:sz w:val="25"/>
          <w:szCs w:val="25"/>
        </w:rPr>
        <w:t xml:space="preserve">            {signed judgment is placed on the file]</w:t>
      </w:r>
    </w:p>
    <w:sectPr w:rsidR="00606823" w:rsidRPr="005B134F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AC0" w:rsidRDefault="00F06AC0" w:rsidP="00607A95">
      <w:pPr>
        <w:spacing w:after="0" w:line="240" w:lineRule="auto"/>
      </w:pPr>
      <w:r>
        <w:separator/>
      </w:r>
    </w:p>
  </w:endnote>
  <w:endnote w:type="continuationSeparator" w:id="1">
    <w:p w:rsidR="00F06AC0" w:rsidRDefault="00F06AC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5B134F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AC0" w:rsidRDefault="00F06AC0" w:rsidP="00607A95">
      <w:pPr>
        <w:spacing w:after="0" w:line="240" w:lineRule="auto"/>
      </w:pPr>
      <w:r>
        <w:separator/>
      </w:r>
    </w:p>
  </w:footnote>
  <w:footnote w:type="continuationSeparator" w:id="1">
    <w:p w:rsidR="00F06AC0" w:rsidRDefault="00F06AC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03D93"/>
    <w:rsid w:val="00115014"/>
    <w:rsid w:val="00130F0F"/>
    <w:rsid w:val="001358EE"/>
    <w:rsid w:val="0016546A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867F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477AE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16B3E"/>
    <w:rsid w:val="005304B2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B134F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6823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3559E"/>
    <w:rsid w:val="00736E37"/>
    <w:rsid w:val="007373D7"/>
    <w:rsid w:val="007375E8"/>
    <w:rsid w:val="007435F5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748EE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33077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4BC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B0D"/>
    <w:rsid w:val="00EC4CBC"/>
    <w:rsid w:val="00EC4F28"/>
    <w:rsid w:val="00ED0062"/>
    <w:rsid w:val="00ED29E7"/>
    <w:rsid w:val="00ED2AD9"/>
    <w:rsid w:val="00ED7FCB"/>
    <w:rsid w:val="00EF2426"/>
    <w:rsid w:val="00F06AC0"/>
    <w:rsid w:val="00F4569A"/>
    <w:rsid w:val="00F46F73"/>
    <w:rsid w:val="00F50FC8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2016-05-04T10:11:00Z</dcterms:created>
  <dcterms:modified xsi:type="dcterms:W3CDTF">2016-05-04T10:11:00Z</dcterms:modified>
</cp:coreProperties>
</file>