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IN THE SUPREME COURT OF INDIA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CIVIL APPELLATE JURISDICTION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CIVIL APPEAL NO. 4220 OF 2006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Rakhial Gram Panchayat                            ..Appellant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     versus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Jagatsinh Adesinh Jhala                                 ..Respondent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     O R D E R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J.S.Khehar, J.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The respondent was appointed as an  Octroi  Clerk  by  the  Gram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Panchayat, Rakhial, i.e., the appellant before this Court, on 31.3.1977,  on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temporary basis, inter alia, for a lump sum salary of  Rs.200/-  per  month.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In addition to the above, he was not entitled  even  to  dearness  allowance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or any other allowance(s).  In  terms  of  the  order  of  appointment,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respondent actually assumed his duties with effect from 1.4.1977.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The pleadings of the case reveal, that for a short  period,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lastRenderedPageBreak/>
        <w:t>work of collecting octroi, which had originally  been  vested  in  the  Gram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Panchayat, came to be executed through a  contractor.   The  respondent  was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accordingly required to serve under a contractor,  in  continuation  of  his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order of appointment dated 31.3.1977.  The  respondent  originally  declined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to do so.  But subsequently, assumed his duties on 10.6.1986 under the  Gram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Panchayat.  Thereafter, the service of the  respondent  was  dispensed  with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with effect from 30.6.1986.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Even though, the  challenge  raised  by  the  respondent  has  a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chequered history, it is relevant to mention, that the respondent  succeeded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in Letters Patent Appeal No. 933 of 1995, when a Division Bench of the  High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Court on  29.7.2004  accepted,  that  the  resolution  passed  by  the  Gram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Panchayat  dated  30.6.1986,  for  dispensing  with  the  service   of 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respondent, was not in consonance with law.  The High Court accordingly  set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aside the above resolution.  The respondent was, therefore,  ordered  to  be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reinstated, against the post of an Octroi Clerk. By the order passed by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High Court, the respondent was deemed to be treated as  having  continuously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rendered service against the post of Octroi  Clerk,  with  effect  from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date his services were dispensed with.  He was also held  entitled  to  full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back wages,  besides  other  consequential  benefits,  for  the  intervening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period. The review petition filed by the appellant came to be  dismissed  by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the High Court, vide an order dated 14.09.2004.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The operation of the above order passed by the High  Court,  was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stayed by  this  Court  on  24.10.2005.  The  aforesaid  interim  order  has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continued till date.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It does not appeal to logic, that a temporary  employee  can  be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lastRenderedPageBreak/>
        <w:t>allowed to continue in service, when  the  very  purpose  for  which  he  is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engaged does not survive.  The pleadings  in  this  case  reveal,  that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obligation cast on Gram Panchayats to collect  octroi  ceased  in  the  year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2001.  As such, even if one was not to interfere with the  conclusion  drawn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by the High Court, in setting  aside  the  resolution  passed  by  the  Gram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Panchayat dated 30.06.1986, it is apparent, that the  respondent  could  not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have continued beyond the year 2001,  and/or  be  paid  emoluments  for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period after 2001.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In the above view of the matter, we are of  the  view,  that  if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the calculation of the actual amount payable to  the  respondent  is  to  be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done at the rate of wages paid to him, when he was engaged in  service,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arrears of the respondent for the period from 1986 to 2001 could  only  have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been determined at the rate of Rs.200/- per month. BY the above  yardsticks,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the respondent would be entitled to, only a sum of Rs.2,500/- per annum.  If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the amount had even been doubled  by the time his  services  were  dispensed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with,  he  would  be  earning  approximately  Rs.5,000/-   per   annum,   on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30.06.1986.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Keeping in all that mind, we are of the view, that the  ends  of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justice would be met, if a  quantified  lump  sum  amount  is  paid  to  the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respondent as back wages.  We are satisfied in quantifying the above  amount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at Rs.1,00,000/-(Rupees one lakh  only).       The  above  amount  shall  be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released to the respondent within three months, from the  date  a  certified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copy of this order, is furnished to the Gram Panchayat.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The appeal stands disposed of in the aforesaid terms.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                      …......................J.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                      [JAGDISH SINGH KHEHAR]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NEW DELHI;                             …......................J.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JULY 23, 2015.                               [ADARSH KUMAR GOEL]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ITEM NO.107               COURT NO.4               SECTION IX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S U P R E M E  C O U R T  O F  I N D I A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RECORD OF PROCEEDINGS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Civil Appeal  No(s).  4220/2006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RAKHIAL GRAM PANCHAYAT                             Appellant(s)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         VERSUS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JAGATSINH ADESINH JHALA                            Respondent(s)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Date : 23/07/2015 This appeal was called on for hearing today.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CORAM :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HON'BLE MR. JUSTICE JAGDISH SINGH KHEHAR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HON'BLE MR. JUSTICE ADARSH KUMAR GOEL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For Appellant(s) Mr. Preetesh Kapur, Adv.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Ms. Daisy Hannah, Adv.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for     Mr. Sanjay Kapur,AOR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For Respondent(s)      Ms. Nidhi,Adv.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UPON hearing the counsel the Court made the following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                 O R D E R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The appeal stands disposed of in terms of the signed order.</w:t>
      </w: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>(Renuka Sadana)                        (Parveen Kr. Chawla)</w:t>
      </w:r>
    </w:p>
    <w:p w:rsidR="007032F6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Court Master                                     AR-cum-PS</w:t>
      </w:r>
    </w:p>
    <w:p w:rsidR="00606823" w:rsidRPr="007032F6" w:rsidRDefault="007032F6" w:rsidP="007032F6">
      <w:pPr>
        <w:rPr>
          <w:szCs w:val="25"/>
        </w:rPr>
      </w:pPr>
      <w:r w:rsidRPr="007032F6">
        <w:rPr>
          <w:szCs w:val="25"/>
        </w:rPr>
        <w:t xml:space="preserve">            [signed order is placed on the file]</w:t>
      </w:r>
    </w:p>
    <w:sectPr w:rsidR="00606823" w:rsidRPr="007032F6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91B" w:rsidRDefault="00D8791B" w:rsidP="00607A95">
      <w:pPr>
        <w:spacing w:after="0" w:line="240" w:lineRule="auto"/>
      </w:pPr>
      <w:r>
        <w:separator/>
      </w:r>
    </w:p>
  </w:endnote>
  <w:endnote w:type="continuationSeparator" w:id="1">
    <w:p w:rsidR="00D8791B" w:rsidRDefault="00D8791B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7032F6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91B" w:rsidRDefault="00D8791B" w:rsidP="00607A95">
      <w:pPr>
        <w:spacing w:after="0" w:line="240" w:lineRule="auto"/>
      </w:pPr>
      <w:r>
        <w:separator/>
      </w:r>
    </w:p>
  </w:footnote>
  <w:footnote w:type="continuationSeparator" w:id="1">
    <w:p w:rsidR="00D8791B" w:rsidRDefault="00D8791B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03D93"/>
    <w:rsid w:val="00115014"/>
    <w:rsid w:val="00130F0F"/>
    <w:rsid w:val="001358EE"/>
    <w:rsid w:val="0016546A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867F3"/>
    <w:rsid w:val="002935AF"/>
    <w:rsid w:val="00294085"/>
    <w:rsid w:val="002A245B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44AEF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477AE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10B9B"/>
    <w:rsid w:val="00516B3E"/>
    <w:rsid w:val="005304B2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B134F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6823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1C53"/>
    <w:rsid w:val="006E22F6"/>
    <w:rsid w:val="006E4377"/>
    <w:rsid w:val="006F0582"/>
    <w:rsid w:val="007032F6"/>
    <w:rsid w:val="0073559E"/>
    <w:rsid w:val="00736E37"/>
    <w:rsid w:val="007373D7"/>
    <w:rsid w:val="007375E8"/>
    <w:rsid w:val="007435F5"/>
    <w:rsid w:val="0074714B"/>
    <w:rsid w:val="00783FD6"/>
    <w:rsid w:val="00786AA1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748EE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33077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11417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4BC"/>
    <w:rsid w:val="00D23930"/>
    <w:rsid w:val="00D36201"/>
    <w:rsid w:val="00D37FDB"/>
    <w:rsid w:val="00D418E6"/>
    <w:rsid w:val="00D73B88"/>
    <w:rsid w:val="00D75E12"/>
    <w:rsid w:val="00D832AB"/>
    <w:rsid w:val="00D8791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C4B0D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50FC8"/>
    <w:rsid w:val="00F56DD1"/>
    <w:rsid w:val="00F82F7B"/>
    <w:rsid w:val="00F8663B"/>
    <w:rsid w:val="00F97722"/>
    <w:rsid w:val="00FA00E2"/>
    <w:rsid w:val="00FA3E87"/>
    <w:rsid w:val="00FB22C7"/>
    <w:rsid w:val="00FB697F"/>
    <w:rsid w:val="00FD13BD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2016-05-04T10:18:00Z</dcterms:created>
  <dcterms:modified xsi:type="dcterms:W3CDTF">2016-05-04T10:18:00Z</dcterms:modified>
</cp:coreProperties>
</file>