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CIVIL ORIGINAL JURISDICTION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WRIT PETITION (C) NO. 441 OF 2015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DM Wayanad Institute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Medical Sciences                        …..Petitioner(s)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Union of India and another              …..Respondent(s)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WRIT PETITION (C) NO. 448 OF 2015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P. Krishna Das and another              …..Petitioner(s)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Union of India and others                          …..Respondent(s)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M. Y. EQBAL, J.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Knocking the doors of this Court in the first instance under the garb of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 under Article 32 of the Constitution, instead  of  approaching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High Court, for the enforcement of right claimed in these writ petitions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preliminary question we are deciding herein.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2.    In  these  two  writ  petitions,  the  petitioners  have  invoked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jurisdiction of this Court under Article 32 of  the  Constitution  of  India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challenging the refusal of the Medical Council of India (MCI)  to  recommend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renewal of permission for admitting students for the academic year 2015-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16 in the MBBS Course  of  the  petitioner  institutes  and  the  consequent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refusal of the Union Government to renew such permission.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W.P. (Civil) No. 441 of 2015: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3.    The petitioner institute was said to have been granted permission  for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admitting 150 students in the MBBS course for the academic year 2013-14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permission was  renewed  for  the  academic  year  2014-15.  The  petitioner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applied for renewal of permission for the academic year 2015-16 pursuant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which the assessors from the MCI conducted an inspection on  12th  and  13th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December,  2014  and  submitted  a  report  dated  15.12.2014  in  which  no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deficiencies were alleged to have been pointed out.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4.    However, the assessors from MCI were  alleged  to  have  made  another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surprise inspection on 6th February, 2015 at 3.00 PM and directed  the  Dean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to call for a faculty meeting at 3.30 PM.  Many teachers  could  not  attend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meeting alleged to have left the college for lunch or Friday prayers  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having gone home for the weekend while many others who came  after  3.30  PM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from different parts of the campus were not allowed to attend  the  meeting.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Many of the Resident Doctors were stated to have been absent on  account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 imminent  State  Level  PG  Entrance  Test.   Another  inspection   was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conducted on 7th February, 2015. The inspection report was alleged  to  have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been inaccurate and signed in protest by the Dean.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5.    The aforesaid report was considered by the Executive Committee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MCI on 10th February, 2015 and it was decided not to recommend  the  renewal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the permission of the petitioner and the same  was  communicated  to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Union Government, which sent letter dated 04.03.2015 to  the  petitioner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appear for a hearing. After the hearing where the  petitioner  was  said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have  justified  the  deficiencies  that  were  pointed  out,  the   Central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Government sent letter dated 22.05.2015  directing  the  MCI  to  conduct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reassessment. However, the MCI was alleged to have not done a  re-inspection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as directed on the ground that a decision  had  already  been  made  not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recommend  the  renewal  by  invoking  Regulation  8  (3)  (1)  (a)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Establishment of Medical College Regulations, 1999.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6.    Thereafter, the  Union  Government  published  a  list  on  17.06.2015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stating that the permission of the petitioner college for the academic  year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2015-16 had not been renewed and a letter dated 15.06.2015 was sent  to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 informing the same.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7.    The petitioner filed the present petition praying  for  declaring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second inspection conducted on 6th and 7th February, 2015 to be illegal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for directing the MCI to recommend  the  renewal  of  the  approval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 college for the academic year 2015-16 on the basis of  the  first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inspection conducted on 12th and 13th December,  2014.  A  prayer  has  also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been made for directing the  Central  Government  to  issue  the  letter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renewal accordingly.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W.P. (Civil) No.448 of 2015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8.     The  petitioner-college  was  granted  provisional  affiliation   for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starting  the  MBBS  course  for  the  academic  session  2014-15  with  150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students.  It appears that a surprise inspection was made by  MCI  and  many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deficiencies were  pointed  out.   The  Executive  Committee  of  MCI  after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considering the inspection report recommended disapproval  of  the  college.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Central Government directed the MCI to reconsider the matter.   However,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MCI reiterated its stand of not recommending the renewal  of  permission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for the sessions 2015-16. The petitioner has challenged the decision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Medical Council of India.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9.    We have heard Mr. Kapil Sibal, learned  senior  counsel  appearing  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W.P. (Civil) No.441  of  2015  and  Mr.  V.  Giri,  learned  senior  counsel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appearing in W.P.(Civil) No. 448 of 2015  on  the  maintainability 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writ petition under Article 32 of the Constitution of India.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10.   Mr. Sibal,  learned  senior  counsel  appearing  for  the  petitioner,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submitted that because of the time schedule fixed  in  Priya  Gupta’s  case,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2012 (7) SCC 433, the petitioner has no option but to  move  this  Court  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order to get the  relief  by  issuance  of  appropriate  directions  to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respondents.  Learned senior counsel also drawn our attention to para 13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judgment rendered by this Court  in  Priyadarshini  Dental  College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Hospital vs. Union of India &amp; Ors., (2011) 4 SCC 623.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11.   Mr. V. Giri, learned senior counsel  appearing  in  one  of  the  writ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petitions, advanced the same arguments for filing the writ  petition  before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this Court under Article 32 of the Constitution instead of  approaching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High Court.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12.    Both  the  learned  senior  counsel,  however,  claimed  their  right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guaranteed under Article 19(1)(g) of the Constitution of India.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13.   At the very outset,  we  wish  to  extract  the  relevant  portion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19 of the Constitution which reads as under:-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“19. Protection of certain rights regarding freedom of speech etc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(1) All citizens shall have the right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(a) to freedom of speech and expression;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(b) to assemble peaceably and without arms;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(c) to form associations or unions;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(d) to move freely throughout the territory of India;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(e) to reside and settle in any part of the territory of India;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(f) omitted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(g) to practise any profession, or to carry  on  any  occupation,  trade  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business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(2) -----------------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(3) ------------------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(4) ---------------------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(5) ---------------------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(6) Nothing in sub clause (g) of the said clause shall affect the  operation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any existing law in so far as it  imposes,  or  prevent  the  State  from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making any law imposing, in the interests of the general public,  reasonable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restrictions on the exercise of the right conferred by the said sub  clause,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and, in particular,  nothing  in  the  said  sub  clause  shall  affect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operation of any existing law in so far as it relates  to,  or  prevent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State from making any law relating to,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(i) the professional or technical qualifications  necessary  for  practising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any profession or carrying on any occupation, trade or business, 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(ii) the carrying on by the State, or by a corporation owned  or  controlled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by the State, of any trade, business, industry or service,  whether  to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exclusion, complete or partial, of citizens or otherwise.”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14.    From a bare reading of the provision contained  in  Article  19(1)(g)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it is evidently clear  that the citizens have been conferred with the  right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to practice any profession or carry on any occupation,  trade  or  business,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but such right is subject to the restriction and imposition of condition  as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provided under Article 19(6) of the Constitution.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15.   In Unni Krishnan’s case, 1993 (1) SCC 645, the right guaranteed  under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 19(1)(g)  has  been  elaborately  discussed  by  the  five   Judges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 Bench.  The Court  held  that  imparting  education  cannot  be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treated as a trade or business.  Trade  or  business  normally  connotes  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activity carried  on  with  a  profit  motive.   This  Court  observed  that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education has never been nor can it be allowed to become  commerce  in  this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country.  Education has always been treated in  this  country  as  religious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and charitable activity and making it commercial is opposed  to  the  ethos,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tradition and sensibilities of this nation.  A citizen of this  country  may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have a right to establish an educational institution but no citizen,  person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or institution has a right much less of fundamental right to affiliation  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recognition.  Their Lordships observed:-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“67. Even on general principles, the matter could be  approached  this  way.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Educational institutions can be classified under two categories: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1. Those requiring recognition by the State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2. Those who do not require such a recognition.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67a. It is not merely an establishment of educational institution,  that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urged by the petitioners, but, to run the educational institution  dependent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on recognition by the State. There is absolutely  no  fundamental  right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recognition  in  any  citizen.  The  right  to  establishment  and  run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educational institution with State’s recognition arises only  on  the  State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permitting, pursuant to a policy  decision  or  on  the  fulfilment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conditions  of  the  statute.  Therefore,  where  it  is  dependent  on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permission under the statute or the  exercise  of  an  executive  power,  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cannot qualify to be a fundamental right. Then again, the State  policy  may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dictate a different course.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xxx xxx xxx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72. Accordingly, it is  held  that  there  is  no  fundamental  right  under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19(1)(g) to establish an educational institution, if recognition  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affiliation is sought for such an educational institution. It  may  be  made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clear that anyone  desirous  of  starting  an  institution  purely  for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purposes of educating the students could do so but Sections  22  and  23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University Grants Commission Act which prohibits the  award  of  degrees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except by a University must be kept in mind.”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16.   Considering the facts of the case as averred by  the  petitioners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rights claimed therein, we  are  of  the  considered  opinion  that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petitioners,  even  though  have  a  right  to  establish  institutions  for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imparting medical and technical education, such right is not  a  fundamental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right.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17.   From reading of Article 32,  it  is  manifest  that  clause  1(i) 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 32  guarantees  the  right  to  move  the  Supreme  Court  for   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appropriate writ  for  the  purpose  of  enforcing  the  Fundamental  Rights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included in Part-III of the Constitution. The sole object of Article  32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enforcement of Fundamental Rights guaranteed  by  the  Constitution.  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follows that no question other than relating to the Fundamental  Right  will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be determined in a proceeding under Article 32  of  the  Constitution. 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difference between Article 32 and 226 of the Constitution is that  while  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application under Article 32 lies only for the  enforcement  of  Fundamental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Rights, the High Court under Article 226 has a wider power to  exercise  its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jurisdiction not only for the enforcement of  Fundamental  Rights  but  also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ordinary legal right.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18.  It is equally well settled that this Court under Article  32  will  not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interfere with an administrative order where the  constitutionality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statute or the order made thereunder is not  challenged  on  the  ground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contravention of Fundamental Rights.  At the same time if  the  validity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provisions of statute  is  challenged  on  the  ground  other  than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contravention of Fundamental Rights, this  Court  will  not  entertain  that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challenge in a proceeding under Article 32 of the Constitution.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19.  In the case of Northern Corporation vs. Union of India,  (1990)  4  SCC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239, a petition under Article 32 of the Constitution of India was  moved  by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transferee licence  holder.   The  maintainability  of  the  application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under Article 32 of the Constitution of India was seriously objected by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Union of India.  Writing the judgment,  Hon’ble  Sabyasachi  Mukherjee,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then CJI, held:-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“11. However, there is a far more serious  objection  in  entertaining  this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application under  Article  32  of  the  Constitution,  Article  32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 guarantees the right to move the Supreme Court for  enforcement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fundamental rights. If there is breach of  the  fundamental  rights,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 can certainly have recourse to Article  32  of  the  Constitution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provided other conditions are satisfied. But we must, in all such cases,  be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circumventive of what is the right claimed. In this case, the petitioner  as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such has no fundamental right to clear the  goods  imported  except  in  due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process of law. Now in the facts of this case, such clearance  can  only  be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made on payment of duty as enjoined by the  Customs  Act.  In  a  particular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situation whether customs duty  is  payable  at  the  rate  prevalent  on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particular date or not has to be determined within the four corners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Customs Act, 1962. The petitioner has no fundamental right as such to  clear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any goods imported without payment of duties in  accordance  with  the  law.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There is procedure provided by law  for  determination  of  the  payment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customs duty. The revenue  has  proceeded  on  that  basis.  The  petitioner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contends that duty at a particular rate prevalent at a particular  date  was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not payable. The petitioner cannot seek to remove the goods without  payment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at that rate or without  having  the  matter  determined  by  the  procedure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envisaged and enjoined by the law for  that  determination.  The  petitioner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without seeking to take any relief within the procedure envisaged under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Act had moved this Court for  breach  of  fundamental  right.  This  is  not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permissible and should never be entertained. In  a  matter  of  this  nature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where  liability  of  a  citizen  to  pay  a  particular  duty  depends   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interpretation of law and determination of facts  and  the  provision  of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particular statute for which elaborate procedure is  prescribed,  it  cannot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conceivably be contended that enforcing  of  those  provisions  of  the  Act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would breach fundamental right which entitle a citizen to seek  recourse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32 of the Constitution. We are, therefore, clearly  of  the  opinion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that relief under Article 32 of the Constitution is wholly inappropriate  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facts and  the  circumstances  of  this  case.  It  has  further  to  be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reiterated that for enforcement of  fundamental  right  which  is  dependent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upon adjudication or determination of questions of law as well  as  question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fact without taking any resort to the provisions of the Act,  it  is  not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permissible to move this Court  on  the  theoretical  basis  that  there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breach of the fundamental right. Whenever  a  person  complains  and  claims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that there is a violation of law, it does not automatically  involve  breach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fundamental right for the enforcement of which alone Article  32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 is attracted. It appears that the facts of this nature  require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elaborate procedural investigation and this Court should not  be  moved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should not entertain on these averments (sic)  of  the  Article  32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Constitution. This position is clearly well settled, but  sometimes  we  are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persuaded to accept that an allegation of breach of  law  is  an  action  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breach of fundamental right.”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20.   In the case of Kanubhai Brahmbhatt vs. State of Gujarat, AIR  1987  SC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1159, this Court took serious concern of the litigants coming to this  Court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under  Article  32  of  the  Constitution  instead  of  first   moving 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appropriate High Court for the redressal of their  grievances.   This  Court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observed as under: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“3. If this Court takes upon itself to do everything  which  even  the  High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Court can do, this Court will not be able to do what this  Court  alone  can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do under Article 136 of the Constitution  of  India,  and  other  provisions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conferring exclusive jurisdiction on this  Court.  There  is  no  reason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assume that the concerned High Court will  not  do  justice.  Or  that  this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Court alone can do justice. If this Court entertains writ petitions  at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instance of parties who approach this Court directly instead of  approaching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concerned High Court in the first instance, tens of  thousands  of  writ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petitions would in course of time be instituted in this Court directly.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inevitable result will be that the arrears pertaining to matters in  respect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which this Court exercises exclusive jurisdiction under the  Constitution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will assume more alarming proportions. As it is, more  than  ten  years  old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civil appeals and criminal  appeals  are  sobbing  for  attention.  It  will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occasion  great  misery  and  immense  hardship  to  tens  of  thousands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litigants if the seriousness of this aspect is  not  sufficiently  realized.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And this is no imaginary phobia. A dismissed government servant has to  wait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for nearly ten years for redress in this Court. Kashinth Dikshita  v.  Union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India, (1986) 3 SCC 229: (AIR 1986) SC 2118).  A  litigant  whose  appeal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has been dismissed by wrongly refusing to condone delay has to wait  for  14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years  before  his  wrong  is  righted  by   this   Court.   Shankarrao   v.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Chandrasenkunwar, Civil Appeal No.1335(N) of 1973  decided  on  January  29,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1987. The time for imposing self-discipline has already  come,  even  if  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involves shedding of some amount of institutional ego, or  raising  of  some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eyebrows. Again, it is as important to do  justice  at  this  level,  as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inspire confidence in the litigants that justice will be meted out  to  them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at the High Court level, and other levels. Faith must  be  inspired  in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hierarchy of courts and the institution as a whole, not only in  this  Court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alone. And this objective can be achieved only this Court showing  trust  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High Court by directing the litigants to approach the High Court in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first instance. Besides, as a matter of fact, if matters  like  the  present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one are instituted in the High Court, there is  a  likelihood  of  the  same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being disposed of much more quickly, and equally effectively, on account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decentralisation of the process of administering justice. We are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opinion that the petitioner should be directed  to  adopt  this  course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approach the High Court.”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21.   In the case of  Ram Jawaya Kapur vs. State of Punjab, AIR 1955 SC  549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= (1955) 2 SCR 225, the petitioner was carrying  on  business  of  printing,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publishing books for sale including text books used in the schools of  State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Punjab.  The State of Punjab decided in furtherance of  their  policy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nationalization of text books for the school  students.   According  to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Policy, all recognized schools had to follow the course of studies  approved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by the Government.  The petitioners alleged in support  of  their  petitions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under Article 32 that the  Punjab  Government  has  in  pursuance  of  their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policy of nationalization of text books issued  a  series  of  notifications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regarding the printing, publication and sale  of  these  books  and  thereby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ousted them from the business altogether.  Dismissing the writ  petition,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five Judges Constitution Bench, headed by the then Chief Justice observed:-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“21. As in our view  the  petitioners  have  no  fundamental  right  in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present case which can be said to have been infringed by the action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Government, the petition is bound to fail on that  ground.  This  being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position,  the  other  two  points  raised  by  Mr  Pathak  do  not  require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consideration at all. As the petitioners have  no  fundamental  right  under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19(1)(g) of the Constitution, the question  whether  the  Government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could establish a monopoly without any legislation under  Article  19(6)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Constitution is altogether immaterial.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Again a mere chance or prospect of having  particular  customers  cannot  be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said to be a right to property or to any interest in an  undertaking  within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meaning of Article 31(2) of the Constitution and no question of  payment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of compensation can arise because the petitioners have been deprived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same. The result is that the petition is dismissed with costs.”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22.   In the case of Hindi Hitrakshak Samiti vs. Union of  India,  (1990)  2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SCC 352, a similar question relating to  the  maintainability  of  the  writ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 under Article 32 of the Constitution came for consideration  before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 three Judges’ Bench of this Court for the enforcement  of  any  Government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policy.  In the writ petition, the petitioner sought  for  issuance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writ of mandamus directing Central Government to hold pre-medical  and  pre-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dental examination in Hindi and regional languages, which according  to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 is mandated by  Article  29(2)  of  the  Constitution  of  India.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While  permitting  the  petitioner  to  withdraw  its  petition,  the  Court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observed that Article 32  of  the  Constitution  guarantees  enforcement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Fundamental Rights but violation of Fundamental Right is the  sine  qua  non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for seeking enforcement of those rights by the Supreme Court.  In  order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establish the violation of fundamental right, the Court has to consider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direct and inevitable consequences of the  action  which  is  sought  to  be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remedied or the guarantee of which is  sought  to  be  enforced.  Where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existence of fundamental right has to be  established  by  acceptance  of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particular policy, or a course  of  action  for  which  there  is  no  legal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compulsion or statutory imperative and on which there are  divergent  views,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same cannot be sought to be enforced by Article 32 of the Constitution.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23.   In the case of J. Fernandes &amp; Co. vs. Dy. Chief Controller of  Imports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and Exports, (1975) 1 SCC 716, this Court, while considering  writ  petition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under Article 32  of  the  Constitution,  observed  that  a  petition  under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32 will not be competent to challenge any erroneous decision  of  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authority.  A wrong application of law would not amount to  a  violation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fundamental right. If the provisions of law are good and the  orders  passed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are within the jurisdiction of the authorities, there is  no  infraction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fundamental right if the authorities are right or wrong on facts.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24.   In the case of Ujjam Bai vs. State of U.P, AIR 1962 SC  1621=(1963)  1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SCR 778, before the seven Judges’ Constitution Bench, a  question  came  for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consideration as to whether an assessment made by  an  authority  under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taxing statute which is intra vires and in the  undoubted  exercise  of  its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jurisdiction can be challenged under  Article  32  of  the  Constitution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India?  Answering the question, Their Lordships held as under: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“21. In my opinion, the correct answer to the two questions which have  been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referred to this  larger  Bench  must  be  in  the  negative.  An  order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assessment made by an authority under a taxing statute which is intra  vires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and in the undoubted exercise of its jurisdiction cannot  be  challenged  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sole ground that it is passed on a misconstruction  of  a  provision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Act or of a notification issued thereunder.  Nor  can  the  validity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such an  order  be  questioned  in  a  petition  under  Article  32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Constitution. The proper remedy for correcting an error in such an order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to proceed by way of appeal, or if the error is an  error  apparent  on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face of the record,  then  by  an  application  under  Article  226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Constitution. It is necessary  to  observe  here  that  Article  32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 does not give this Court an appellate jurisdiction such  as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given  by  Arts  132  to  136.  Article  32  guarantees  the  right   to 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constitutional remedy and relates only to  the  enforcement  of  the  rights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conferred by Part  III  of  the  Constitution.  Unless  a  question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enforcement of a fundamental right arises, Article 32 does not apply.  There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can be no question of the enforcement of a fundamental right  if  the  order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challenged is a valid and legal order, in spite of the  allegation  that  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is erroneous. I have, therefore, come to the conclusion that no question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enforcement of fundamental right  arises  in  this  case  and  the  writ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 is not maintainable.”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25.         Their Lordships further observed: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“38. As I  have  said  above,  the  submission  of  the  learned  Additional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Solicitor General is well founded. It  has  the  support  of  the  following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decisions of this Court  which  I  shall  now  deal  with.  In  Gulabdas  v.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Assistant Collector of Custom 1957 AIR(SC) 733, 736.) it was  held  that  if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order impugned is made under the provisions of a statue which  is  intra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vires and the order is within the jurisdiction of the  authority  making  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then  whether  it  is  right  or  wrong,  there  is  no  infraction  of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fundamental rights and it has to be challenged in  the  manner  provided  in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Statute and not by a  petition  under  Article  32.  In  that  case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 was aggrieved by the order of the Assistant Collector of  Customs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who assessed the goods imported under a licence under a different entry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>consequently a higher Excise  Duty  was  imposed.  The  petitioners  feeling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aggrieved by the order filed a petition under Article 32 and  the  objection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to its maintainability was that  the  application  could  not  be  sustained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because no fundamental right had been violated  by  the  impugned  order  it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having been properly and correctly made  by  the  authorities  competent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make it. The petitioner there contended that the goods imported, which  were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called &amp;'Lyra&amp;'  brand  Crayons  were  not  crayons  at  all  and  therefore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imposition  of  a  higher  duty  by  holding  them  to  be  crayons  was  an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infringement of fundamental right under Article 19(1)(f) &amp; (g).”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26.    Coming  back  to  the  instant  writ  petitions,  indisputably, 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petitioners have challenged the decision of MCI and the  Central  Government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refusing to grant permission or renewal to carry on their  courses  for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Academic Session  2015-16.   The  decisions  are  based  on  the  inspection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reports submitted by the teams of MCI.   The  jurisdiction  of  MCI  or  the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Central Government to grant or refuse  to  grant  permission  has  not  been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challenged. Hence, it is well  within  the  jurisdiction  of  MCI  which  is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statutory body to take a decision based on the inspection of the college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satisfy itself the compliance of various provisions of the acts,  rules  and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regulations.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27.   Under Article 32 of the Constitution, this Court is  not  supposed  to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go into finding of facts recorded by  the  authorities  and  to  come  to  a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different conclusion.   Moreover,  having  regard  to  the  law  settled  by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Constitution Bench of this Court in number of decisions, in  our  considered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opinion, the rights so  claimed  by  the  petitioners  are  not  fundamental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rights; hence the same cannot be agitated directly before this  Court  under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Article 32 of the constitution.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28.   We, therefore, dismiss these writ petitions filed under Article 32  of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the Constitution.  However, this  will  not  prevent  the  petitioners  from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agitating their grievances before the appropriate forum including  the  High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Court having jurisdiction to deal with the matter.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Eqbal)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   (Arun Mishra)</w:t>
      </w:r>
    </w:p>
    <w:p w:rsidR="00344AEF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New Delhi</w:t>
      </w:r>
    </w:p>
    <w:p w:rsidR="00606823" w:rsidRPr="00344AEF" w:rsidRDefault="00344AEF" w:rsidP="00344A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44AEF">
        <w:rPr>
          <w:rFonts w:ascii="Times New Roman" w:hAnsi="Times New Roman" w:cs="Times New Roman"/>
          <w:sz w:val="25"/>
          <w:szCs w:val="25"/>
        </w:rPr>
        <w:t>July 23, 2015</w:t>
      </w:r>
    </w:p>
    <w:sectPr w:rsidR="00606823" w:rsidRPr="00344AEF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036" w:rsidRDefault="00F76036" w:rsidP="00607A95">
      <w:pPr>
        <w:spacing w:after="0" w:line="240" w:lineRule="auto"/>
      </w:pPr>
      <w:r>
        <w:separator/>
      </w:r>
    </w:p>
  </w:endnote>
  <w:endnote w:type="continuationSeparator" w:id="1">
    <w:p w:rsidR="00F76036" w:rsidRDefault="00F76036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344AE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036" w:rsidRDefault="00F76036" w:rsidP="00607A95">
      <w:pPr>
        <w:spacing w:after="0" w:line="240" w:lineRule="auto"/>
      </w:pPr>
      <w:r>
        <w:separator/>
      </w:r>
    </w:p>
  </w:footnote>
  <w:footnote w:type="continuationSeparator" w:id="1">
    <w:p w:rsidR="00F76036" w:rsidRDefault="00F76036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03D93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867F3"/>
    <w:rsid w:val="002935AF"/>
    <w:rsid w:val="00294085"/>
    <w:rsid w:val="002A245B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44AEF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477AE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B134F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6823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35F5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11417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76036"/>
    <w:rsid w:val="00F82F7B"/>
    <w:rsid w:val="00F8663B"/>
    <w:rsid w:val="00F97722"/>
    <w:rsid w:val="00FA00E2"/>
    <w:rsid w:val="00FA3E87"/>
    <w:rsid w:val="00FB22C7"/>
    <w:rsid w:val="00FB697F"/>
    <w:rsid w:val="00FD13BD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2016-05-04T10:13:00Z</dcterms:created>
  <dcterms:modified xsi:type="dcterms:W3CDTF">2016-05-04T10:13:00Z</dcterms:modified>
</cp:coreProperties>
</file>