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F8A" w:rsidRPr="00C20F8A" w:rsidRDefault="00C20F8A" w:rsidP="00C20F8A">
      <w:pPr>
        <w:spacing w:after="0" w:line="240" w:lineRule="auto"/>
        <w:jc w:val="center"/>
        <w:rPr>
          <w:rFonts w:ascii="Times New Roman" w:hAnsi="Times New Roman" w:cs="Times New Roman"/>
          <w:b/>
          <w:sz w:val="25"/>
          <w:szCs w:val="25"/>
        </w:rPr>
      </w:pPr>
      <w:r w:rsidRPr="00C20F8A">
        <w:rPr>
          <w:rFonts w:ascii="Times New Roman" w:hAnsi="Times New Roman" w:cs="Times New Roman"/>
          <w:b/>
          <w:sz w:val="25"/>
          <w:szCs w:val="25"/>
        </w:rPr>
        <w:t>SUPREME COURT OF INDIA</w:t>
      </w:r>
    </w:p>
    <w:p w:rsidR="00C20F8A" w:rsidRPr="00C20F8A" w:rsidRDefault="00C20F8A" w:rsidP="00C20F8A">
      <w:pPr>
        <w:spacing w:after="0" w:line="240" w:lineRule="auto"/>
        <w:rPr>
          <w:rFonts w:ascii="Times New Roman" w:hAnsi="Times New Roman" w:cs="Times New Roman"/>
          <w:sz w:val="25"/>
          <w:szCs w:val="25"/>
        </w:rPr>
      </w:pPr>
    </w:p>
    <w:p w:rsidR="00C20F8A" w:rsidRDefault="00C20F8A" w:rsidP="00C20F8A">
      <w:pPr>
        <w:spacing w:after="0" w:line="240" w:lineRule="auto"/>
        <w:jc w:val="center"/>
        <w:rPr>
          <w:rFonts w:ascii="Times New Roman" w:hAnsi="Times New Roman" w:cs="Times New Roman"/>
          <w:sz w:val="25"/>
          <w:szCs w:val="25"/>
        </w:rPr>
      </w:pPr>
      <w:r w:rsidRPr="00C20F8A">
        <w:rPr>
          <w:rFonts w:ascii="Times New Roman" w:hAnsi="Times New Roman" w:cs="Times New Roman"/>
          <w:sz w:val="25"/>
          <w:szCs w:val="25"/>
        </w:rPr>
        <w:t xml:space="preserve">Justice K.S. Puttaswamy (Retd.) &amp; </w:t>
      </w:r>
      <w:r>
        <w:rPr>
          <w:rFonts w:ascii="Times New Roman" w:hAnsi="Times New Roman" w:cs="Times New Roman"/>
          <w:sz w:val="25"/>
          <w:szCs w:val="25"/>
        </w:rPr>
        <w:t>Anr.</w:t>
      </w:r>
    </w:p>
    <w:p w:rsidR="00C20F8A" w:rsidRDefault="00C20F8A" w:rsidP="00C20F8A">
      <w:pPr>
        <w:spacing w:after="0" w:line="240" w:lineRule="auto"/>
        <w:jc w:val="center"/>
        <w:rPr>
          <w:rFonts w:ascii="Times New Roman" w:hAnsi="Times New Roman" w:cs="Times New Roman"/>
          <w:sz w:val="25"/>
          <w:szCs w:val="25"/>
        </w:rPr>
      </w:pPr>
    </w:p>
    <w:p w:rsidR="00C20F8A" w:rsidRDefault="00C20F8A" w:rsidP="00C20F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20F8A" w:rsidRPr="00C20F8A" w:rsidRDefault="00C20F8A" w:rsidP="00C20F8A">
      <w:pPr>
        <w:spacing w:after="0" w:line="240" w:lineRule="auto"/>
        <w:jc w:val="center"/>
        <w:rPr>
          <w:rFonts w:ascii="Times New Roman" w:hAnsi="Times New Roman" w:cs="Times New Roman"/>
          <w:sz w:val="25"/>
          <w:szCs w:val="25"/>
        </w:rPr>
      </w:pPr>
    </w:p>
    <w:p w:rsidR="00C20F8A" w:rsidRDefault="00C20F8A" w:rsidP="00C20F8A">
      <w:pPr>
        <w:spacing w:after="0" w:line="240" w:lineRule="auto"/>
        <w:jc w:val="center"/>
        <w:rPr>
          <w:rFonts w:ascii="Times New Roman" w:hAnsi="Times New Roman" w:cs="Times New Roman"/>
          <w:sz w:val="25"/>
          <w:szCs w:val="25"/>
        </w:rPr>
      </w:pPr>
      <w:r w:rsidRPr="00C20F8A">
        <w:rPr>
          <w:rFonts w:ascii="Times New Roman" w:hAnsi="Times New Roman" w:cs="Times New Roman"/>
          <w:sz w:val="25"/>
          <w:szCs w:val="25"/>
        </w:rPr>
        <w:t xml:space="preserve">Union of India &amp; </w:t>
      </w:r>
      <w:r>
        <w:rPr>
          <w:rFonts w:ascii="Times New Roman" w:hAnsi="Times New Roman" w:cs="Times New Roman"/>
          <w:sz w:val="25"/>
          <w:szCs w:val="25"/>
        </w:rPr>
        <w:t>Ors.</w:t>
      </w:r>
    </w:p>
    <w:p w:rsidR="00C20F8A" w:rsidRDefault="00C20F8A" w:rsidP="00C20F8A">
      <w:pPr>
        <w:spacing w:after="0" w:line="240" w:lineRule="auto"/>
        <w:jc w:val="center"/>
        <w:rPr>
          <w:rFonts w:ascii="Times New Roman" w:hAnsi="Times New Roman" w:cs="Times New Roman"/>
          <w:sz w:val="25"/>
          <w:szCs w:val="25"/>
        </w:rPr>
      </w:pPr>
    </w:p>
    <w:p w:rsidR="00C20F8A" w:rsidRDefault="00C20F8A" w:rsidP="00C20F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W.P.(Civil)No.494 of</w:t>
      </w:r>
      <w:r w:rsidRPr="00C20F8A">
        <w:rPr>
          <w:rFonts w:ascii="Times New Roman" w:hAnsi="Times New Roman" w:cs="Times New Roman"/>
          <w:sz w:val="25"/>
          <w:szCs w:val="25"/>
        </w:rPr>
        <w:t xml:space="preserve"> 2012</w:t>
      </w:r>
    </w:p>
    <w:p w:rsidR="00C20F8A" w:rsidRDefault="00C20F8A" w:rsidP="00C20F8A">
      <w:pPr>
        <w:spacing w:after="0" w:line="240" w:lineRule="auto"/>
        <w:jc w:val="center"/>
        <w:rPr>
          <w:rFonts w:ascii="Times New Roman" w:hAnsi="Times New Roman" w:cs="Times New Roman"/>
          <w:sz w:val="25"/>
          <w:szCs w:val="25"/>
        </w:rPr>
      </w:pPr>
    </w:p>
    <w:p w:rsidR="00C20F8A" w:rsidRDefault="00C20F8A" w:rsidP="00C20F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C20F8A">
        <w:rPr>
          <w:rFonts w:ascii="Times New Roman" w:hAnsi="Times New Roman" w:cs="Times New Roman"/>
          <w:sz w:val="25"/>
          <w:szCs w:val="25"/>
        </w:rPr>
        <w:t>J. Chelameswar</w:t>
      </w:r>
      <w:r w:rsidR="00214012">
        <w:rPr>
          <w:rFonts w:ascii="Times New Roman" w:hAnsi="Times New Roman" w:cs="Times New Roman"/>
          <w:sz w:val="25"/>
          <w:szCs w:val="25"/>
        </w:rPr>
        <w:t>,J., S.A.Bobde and</w:t>
      </w:r>
      <w:r>
        <w:rPr>
          <w:rFonts w:ascii="Times New Roman" w:hAnsi="Times New Roman" w:cs="Times New Roman"/>
          <w:sz w:val="25"/>
          <w:szCs w:val="25"/>
        </w:rPr>
        <w:t xml:space="preserve"> C.Nagapan,JJ.,)</w:t>
      </w:r>
    </w:p>
    <w:p w:rsidR="00C20F8A" w:rsidRDefault="00C20F8A" w:rsidP="00C20F8A">
      <w:pPr>
        <w:spacing w:after="0" w:line="240" w:lineRule="auto"/>
        <w:jc w:val="center"/>
        <w:rPr>
          <w:rFonts w:ascii="Times New Roman" w:hAnsi="Times New Roman" w:cs="Times New Roman"/>
          <w:sz w:val="25"/>
          <w:szCs w:val="25"/>
        </w:rPr>
      </w:pPr>
    </w:p>
    <w:p w:rsidR="00C20F8A" w:rsidRDefault="00C20F8A" w:rsidP="00C20F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11.08.2015</w:t>
      </w:r>
    </w:p>
    <w:p w:rsidR="00C20F8A" w:rsidRPr="00C20F8A" w:rsidRDefault="00C20F8A" w:rsidP="00C20F8A">
      <w:pPr>
        <w:spacing w:after="0" w:line="240" w:lineRule="auto"/>
        <w:jc w:val="center"/>
        <w:rPr>
          <w:rFonts w:ascii="Times New Roman" w:hAnsi="Times New Roman" w:cs="Times New Roman"/>
          <w:b/>
          <w:sz w:val="25"/>
          <w:szCs w:val="25"/>
        </w:rPr>
      </w:pPr>
    </w:p>
    <w:p w:rsidR="00C20F8A" w:rsidRPr="00C20F8A" w:rsidRDefault="00C20F8A" w:rsidP="00C20F8A">
      <w:pPr>
        <w:spacing w:after="0" w:line="240" w:lineRule="auto"/>
        <w:jc w:val="center"/>
        <w:rPr>
          <w:rFonts w:ascii="Times New Roman" w:hAnsi="Times New Roman" w:cs="Times New Roman"/>
          <w:b/>
          <w:sz w:val="25"/>
          <w:szCs w:val="25"/>
        </w:rPr>
      </w:pPr>
      <w:r w:rsidRPr="00C20F8A">
        <w:rPr>
          <w:rFonts w:ascii="Times New Roman" w:hAnsi="Times New Roman" w:cs="Times New Roman"/>
          <w:b/>
          <w:sz w:val="25"/>
          <w:szCs w:val="25"/>
        </w:rPr>
        <w:t>ORDER</w:t>
      </w:r>
    </w:p>
    <w:p w:rsidR="00C20F8A" w:rsidRPr="00C20F8A" w:rsidRDefault="00C20F8A" w:rsidP="00C20F8A">
      <w:pPr>
        <w:spacing w:after="0" w:line="240" w:lineRule="auto"/>
        <w:jc w:val="both"/>
        <w:rPr>
          <w:rFonts w:ascii="Times New Roman" w:hAnsi="Times New Roman" w:cs="Times New Roman"/>
          <w:sz w:val="25"/>
          <w:szCs w:val="25"/>
        </w:rPr>
      </w:pPr>
    </w:p>
    <w:p w:rsidR="00C20F8A" w:rsidRDefault="00C20F8A" w:rsidP="00C20F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20F8A">
        <w:rPr>
          <w:rFonts w:ascii="Times New Roman" w:hAnsi="Times New Roman" w:cs="Times New Roman"/>
          <w:sz w:val="25"/>
          <w:szCs w:val="25"/>
        </w:rPr>
        <w:t>In this batch of matters, a scheme propounded by the Government of India popularly known as “Aadhaar Card Scheme” is under attack on various counts. For the purpose of this order, it is</w:t>
      </w:r>
      <w:r>
        <w:rPr>
          <w:rFonts w:ascii="Times New Roman" w:hAnsi="Times New Roman" w:cs="Times New Roman"/>
          <w:sz w:val="25"/>
          <w:szCs w:val="25"/>
        </w:rPr>
        <w:t xml:space="preserve"> </w:t>
      </w:r>
      <w:r w:rsidRPr="00C20F8A">
        <w:rPr>
          <w:rFonts w:ascii="Times New Roman" w:hAnsi="Times New Roman" w:cs="Times New Roman"/>
          <w:sz w:val="25"/>
          <w:szCs w:val="25"/>
        </w:rPr>
        <w:t>not necessary for us to go into the details of the nature of the scheme and the various counts on which the scheme is attacked. Suffice it to say that under the said scheme the Government of India is collecting and compiling both the demographic and biometric data of the residents of this country to be used for various purposes, the details of which are not relevant at present.</w:t>
      </w:r>
    </w:p>
    <w:p w:rsidR="00C20F8A" w:rsidRPr="00C20F8A" w:rsidRDefault="00C20F8A" w:rsidP="00C20F8A">
      <w:pPr>
        <w:spacing w:after="0" w:line="240" w:lineRule="auto"/>
        <w:jc w:val="both"/>
        <w:rPr>
          <w:rFonts w:ascii="Times New Roman" w:hAnsi="Times New Roman" w:cs="Times New Roman"/>
          <w:sz w:val="25"/>
          <w:szCs w:val="25"/>
        </w:rPr>
      </w:pPr>
    </w:p>
    <w:p w:rsidR="00C20F8A" w:rsidRDefault="00C20F8A" w:rsidP="00C20F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20F8A">
        <w:rPr>
          <w:rFonts w:ascii="Times New Roman" w:hAnsi="Times New Roman" w:cs="Times New Roman"/>
          <w:sz w:val="25"/>
          <w:szCs w:val="25"/>
        </w:rPr>
        <w:t>One of the grounds of attack on the scheme is that the very collection of such biometric data is violative of the “right to privacy”. Some of the petitioners assert that the right to privacy is implied under Article 21 of the Constitution of India while other petitioners assert that such a right emanates not only from Article 21 but also from various other articles embodying the fundamental rights guaranteed under Part-III of the Constitution of India.</w:t>
      </w:r>
    </w:p>
    <w:p w:rsidR="00C20F8A" w:rsidRPr="00C20F8A" w:rsidRDefault="00C20F8A" w:rsidP="00C20F8A">
      <w:pPr>
        <w:spacing w:after="0" w:line="240" w:lineRule="auto"/>
        <w:jc w:val="both"/>
        <w:rPr>
          <w:rFonts w:ascii="Times New Roman" w:hAnsi="Times New Roman" w:cs="Times New Roman"/>
          <w:sz w:val="25"/>
          <w:szCs w:val="25"/>
        </w:rPr>
      </w:pPr>
    </w:p>
    <w:p w:rsidR="00C20F8A" w:rsidRDefault="00C20F8A" w:rsidP="00C20F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20F8A">
        <w:rPr>
          <w:rFonts w:ascii="Times New Roman" w:hAnsi="Times New Roman" w:cs="Times New Roman"/>
          <w:sz w:val="25"/>
          <w:szCs w:val="25"/>
        </w:rPr>
        <w:t xml:space="preserve"> When the matter was taken up for hearing, Shri Mukul Rohatgi, learned Attorney General made a submission that in view of the judgments of this Court in </w:t>
      </w:r>
      <w:r w:rsidRPr="00C20F8A">
        <w:rPr>
          <w:rFonts w:ascii="Times New Roman" w:hAnsi="Times New Roman" w:cs="Times New Roman"/>
          <w:i/>
          <w:sz w:val="25"/>
          <w:szCs w:val="25"/>
        </w:rPr>
        <w:t>M.P. Sharma &amp; Others v. Satish Chandra &amp; Others</w:t>
      </w:r>
      <w:r w:rsidRPr="00C20F8A">
        <w:rPr>
          <w:rFonts w:ascii="Times New Roman" w:hAnsi="Times New Roman" w:cs="Times New Roman"/>
          <w:i/>
          <w:sz w:val="20"/>
          <w:szCs w:val="20"/>
          <w:vertAlign w:val="superscript"/>
        </w:rPr>
        <w:t>1</w:t>
      </w:r>
      <w:r w:rsidRPr="00C20F8A">
        <w:rPr>
          <w:rFonts w:ascii="Times New Roman" w:hAnsi="Times New Roman" w:cs="Times New Roman"/>
          <w:i/>
          <w:sz w:val="25"/>
          <w:szCs w:val="25"/>
        </w:rPr>
        <w:t>, and Kharak Singh v. State of U.P. &amp; Others</w:t>
      </w:r>
      <w:r w:rsidRPr="00C20F8A">
        <w:rPr>
          <w:rFonts w:ascii="Times New Roman" w:hAnsi="Times New Roman" w:cs="Times New Roman"/>
          <w:i/>
          <w:sz w:val="20"/>
          <w:szCs w:val="20"/>
          <w:vertAlign w:val="superscript"/>
        </w:rPr>
        <w:t>2</w:t>
      </w:r>
      <w:r w:rsidRPr="00C20F8A">
        <w:rPr>
          <w:rFonts w:ascii="Times New Roman" w:hAnsi="Times New Roman" w:cs="Times New Roman"/>
          <w:i/>
          <w:sz w:val="25"/>
          <w:szCs w:val="25"/>
        </w:rPr>
        <w:t xml:space="preserve">, </w:t>
      </w:r>
      <w:r w:rsidRPr="00C20F8A">
        <w:rPr>
          <w:rFonts w:ascii="Times New Roman" w:hAnsi="Times New Roman" w:cs="Times New Roman"/>
          <w:sz w:val="25"/>
          <w:szCs w:val="25"/>
        </w:rPr>
        <w:t>(decided by Eight and Six Judges respectively) the legal position regarding the existence of the fundamental right to privacy is doubtful. Further, the learned</w:t>
      </w:r>
      <w:r>
        <w:rPr>
          <w:rFonts w:ascii="Times New Roman" w:hAnsi="Times New Roman" w:cs="Times New Roman"/>
          <w:sz w:val="25"/>
          <w:szCs w:val="25"/>
        </w:rPr>
        <w:t xml:space="preserve"> </w:t>
      </w:r>
      <w:r w:rsidRPr="00C20F8A">
        <w:rPr>
          <w:rFonts w:ascii="Times New Roman" w:hAnsi="Times New Roman" w:cs="Times New Roman"/>
          <w:sz w:val="25"/>
          <w:szCs w:val="25"/>
        </w:rPr>
        <w:t>Attorney General also submitted that in a catena of decisions of this Court rendered subsequently, this Court referred to “right to privacy”, contrary to the judgments in the abovementioned cases which resulted in a jurisprudentially impermissible divergence of judicial opinions.</w:t>
      </w:r>
    </w:p>
    <w:p w:rsidR="00C20F8A" w:rsidRPr="00C20F8A" w:rsidRDefault="00C20F8A" w:rsidP="00C20F8A">
      <w:pPr>
        <w:spacing w:after="0" w:line="240" w:lineRule="auto"/>
        <w:jc w:val="both"/>
        <w:rPr>
          <w:rFonts w:ascii="Times New Roman" w:hAnsi="Times New Roman" w:cs="Times New Roman"/>
          <w:sz w:val="25"/>
          <w:szCs w:val="25"/>
        </w:rPr>
      </w:pPr>
    </w:p>
    <w:p w:rsidR="00C20F8A" w:rsidRDefault="00C20F8A" w:rsidP="00C20F8A">
      <w:pPr>
        <w:spacing w:after="0" w:line="240" w:lineRule="auto"/>
        <w:ind w:left="720"/>
        <w:jc w:val="both"/>
        <w:rPr>
          <w:rFonts w:ascii="Times New Roman" w:hAnsi="Times New Roman" w:cs="Times New Roman"/>
          <w:sz w:val="25"/>
          <w:szCs w:val="25"/>
        </w:rPr>
      </w:pPr>
      <w:r w:rsidRPr="00C20F8A">
        <w:rPr>
          <w:rFonts w:ascii="Times New Roman" w:hAnsi="Times New Roman" w:cs="Times New Roman"/>
          <w:sz w:val="25"/>
          <w:szCs w:val="25"/>
        </w:rPr>
        <w:t xml:space="preserve">“A power of search and seizure is in any system of jurisprudence an overriding power of the State for the protection of social security and that power is necessarily regulated by law. When the Constitution makers have thought fit not to subject such regulation to constitutional limitations by recognition of a fundamental right to privacy, analogous to the American Fourth Amendment, we have no justification to import it, into a totally different fundamental right, by some process of strained </w:t>
      </w:r>
      <w:r w:rsidRPr="00C20F8A">
        <w:rPr>
          <w:rFonts w:ascii="Times New Roman" w:hAnsi="Times New Roman" w:cs="Times New Roman"/>
          <w:sz w:val="25"/>
          <w:szCs w:val="25"/>
        </w:rPr>
        <w:lastRenderedPageBreak/>
        <w:t xml:space="preserve">construction. [See: </w:t>
      </w:r>
      <w:r w:rsidRPr="00C20F8A">
        <w:rPr>
          <w:rFonts w:ascii="Times New Roman" w:hAnsi="Times New Roman" w:cs="Times New Roman"/>
          <w:i/>
          <w:sz w:val="25"/>
          <w:szCs w:val="25"/>
        </w:rPr>
        <w:t>M.P. Singh &amp; Others v. Satish Chandra &amp; Others</w:t>
      </w:r>
      <w:r w:rsidRPr="00C20F8A">
        <w:rPr>
          <w:rFonts w:ascii="Times New Roman" w:hAnsi="Times New Roman" w:cs="Times New Roman"/>
          <w:i/>
          <w:sz w:val="20"/>
          <w:szCs w:val="20"/>
          <w:vertAlign w:val="superscript"/>
        </w:rPr>
        <w:t>3</w:t>
      </w:r>
      <w:r w:rsidRPr="00C20F8A">
        <w:rPr>
          <w:rFonts w:ascii="Times New Roman" w:hAnsi="Times New Roman" w:cs="Times New Roman"/>
          <w:i/>
          <w:sz w:val="25"/>
          <w:szCs w:val="25"/>
        </w:rPr>
        <w:t>,</w:t>
      </w:r>
      <w:r>
        <w:rPr>
          <w:rFonts w:ascii="Times New Roman" w:hAnsi="Times New Roman" w:cs="Times New Roman"/>
          <w:i/>
          <w:sz w:val="25"/>
          <w:szCs w:val="25"/>
        </w:rPr>
        <w:t xml:space="preserve"> </w:t>
      </w:r>
      <w:r w:rsidRPr="00C20F8A">
        <w:rPr>
          <w:rFonts w:ascii="Times New Roman" w:hAnsi="Times New Roman" w:cs="Times New Roman"/>
          <w:sz w:val="25"/>
          <w:szCs w:val="25"/>
        </w:rPr>
        <w:t>page 306 para 18]</w:t>
      </w:r>
    </w:p>
    <w:p w:rsidR="00C20F8A" w:rsidRPr="00C20F8A" w:rsidRDefault="00C20F8A" w:rsidP="00C20F8A">
      <w:pPr>
        <w:spacing w:after="0" w:line="240" w:lineRule="auto"/>
        <w:ind w:left="720"/>
        <w:jc w:val="both"/>
        <w:rPr>
          <w:rFonts w:ascii="Times New Roman" w:hAnsi="Times New Roman" w:cs="Times New Roman"/>
          <w:i/>
          <w:sz w:val="25"/>
          <w:szCs w:val="25"/>
        </w:rPr>
      </w:pPr>
    </w:p>
    <w:p w:rsidR="00C20F8A" w:rsidRDefault="00C20F8A" w:rsidP="00C20F8A">
      <w:pPr>
        <w:spacing w:after="0" w:line="240" w:lineRule="auto"/>
        <w:jc w:val="both"/>
        <w:rPr>
          <w:rFonts w:ascii="Times New Roman" w:hAnsi="Times New Roman" w:cs="Times New Roman"/>
          <w:sz w:val="25"/>
          <w:szCs w:val="25"/>
        </w:rPr>
      </w:pPr>
      <w:r w:rsidRPr="00C20F8A">
        <w:rPr>
          <w:rFonts w:ascii="Times New Roman" w:hAnsi="Times New Roman" w:cs="Times New Roman"/>
          <w:sz w:val="25"/>
          <w:szCs w:val="25"/>
        </w:rPr>
        <w:t xml:space="preserve">“... Nor do we consider that Art. 21 has any relevance in the context as was sought to be suggested by learned counsel for the petitioner. As already pointed out, the right of privacy is not a guaranteed right under our Constitution and therefore the attempt to ascertain the movement of an individual which is merely a manner in which privacy is invaded is not an infringement of a fundamental right guaranteed by Part III.” [See: </w:t>
      </w:r>
      <w:r w:rsidRPr="00C20F8A">
        <w:rPr>
          <w:rFonts w:ascii="Times New Roman" w:hAnsi="Times New Roman" w:cs="Times New Roman"/>
          <w:i/>
          <w:sz w:val="25"/>
          <w:szCs w:val="25"/>
        </w:rPr>
        <w:t>Kharak Singh v. State of U.P. &amp; Others</w:t>
      </w:r>
      <w:r>
        <w:rPr>
          <w:rFonts w:ascii="Times New Roman" w:hAnsi="Times New Roman" w:cs="Times New Roman"/>
          <w:i/>
          <w:sz w:val="20"/>
          <w:szCs w:val="20"/>
          <w:vertAlign w:val="superscript"/>
        </w:rPr>
        <w:t>2</w:t>
      </w:r>
      <w:r w:rsidRPr="00C20F8A">
        <w:rPr>
          <w:rFonts w:ascii="Times New Roman" w:hAnsi="Times New Roman" w:cs="Times New Roman"/>
          <w:i/>
          <w:sz w:val="25"/>
          <w:szCs w:val="25"/>
        </w:rPr>
        <w:t xml:space="preserve">, </w:t>
      </w:r>
      <w:r w:rsidRPr="00C20F8A">
        <w:rPr>
          <w:rFonts w:ascii="Times New Roman" w:hAnsi="Times New Roman" w:cs="Times New Roman"/>
          <w:sz w:val="25"/>
          <w:szCs w:val="25"/>
        </w:rPr>
        <w:t>page 1303 para 20]</w:t>
      </w:r>
    </w:p>
    <w:p w:rsidR="00C20F8A" w:rsidRDefault="00C20F8A" w:rsidP="007C7422">
      <w:pPr>
        <w:spacing w:after="0" w:line="240" w:lineRule="auto"/>
        <w:jc w:val="right"/>
        <w:rPr>
          <w:rFonts w:ascii="Times New Roman" w:hAnsi="Times New Roman" w:cs="Times New Roman"/>
          <w:sz w:val="25"/>
          <w:szCs w:val="25"/>
        </w:rPr>
      </w:pPr>
      <w:r w:rsidRPr="00C20F8A">
        <w:rPr>
          <w:rFonts w:ascii="Times New Roman" w:hAnsi="Times New Roman" w:cs="Times New Roman"/>
          <w:sz w:val="25"/>
          <w:szCs w:val="25"/>
        </w:rPr>
        <w:t>[Emphasis supplied]</w:t>
      </w:r>
    </w:p>
    <w:p w:rsidR="00C20F8A" w:rsidRPr="00C20F8A" w:rsidRDefault="00C20F8A" w:rsidP="00C20F8A">
      <w:pPr>
        <w:spacing w:after="0" w:line="240" w:lineRule="auto"/>
        <w:jc w:val="both"/>
        <w:rPr>
          <w:rFonts w:ascii="Times New Roman" w:hAnsi="Times New Roman" w:cs="Times New Roman"/>
          <w:sz w:val="25"/>
          <w:szCs w:val="25"/>
        </w:rPr>
      </w:pPr>
    </w:p>
    <w:p w:rsidR="00C20F8A" w:rsidRDefault="00C20F8A" w:rsidP="00C20F8A">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4. </w:t>
      </w:r>
      <w:r w:rsidRPr="00C20F8A">
        <w:rPr>
          <w:rFonts w:ascii="Times New Roman" w:hAnsi="Times New Roman" w:cs="Times New Roman"/>
          <w:sz w:val="25"/>
          <w:szCs w:val="25"/>
        </w:rPr>
        <w:t xml:space="preserve">Learned Attorney General submitted that such impermissible divergence of opinion commenced with the judgment of this Court in </w:t>
      </w:r>
      <w:r w:rsidRPr="00C20F8A">
        <w:rPr>
          <w:rFonts w:ascii="Times New Roman" w:hAnsi="Times New Roman" w:cs="Times New Roman"/>
          <w:i/>
          <w:sz w:val="25"/>
          <w:szCs w:val="25"/>
        </w:rPr>
        <w:t>Gobind v</w:t>
      </w:r>
      <w:r>
        <w:rPr>
          <w:rFonts w:ascii="Times New Roman" w:hAnsi="Times New Roman" w:cs="Times New Roman"/>
          <w:i/>
          <w:sz w:val="25"/>
          <w:szCs w:val="25"/>
        </w:rPr>
        <w:t>. State of M.P. &amp; Another</w:t>
      </w:r>
      <w:r w:rsidRPr="00C20F8A">
        <w:rPr>
          <w:rFonts w:ascii="Times New Roman" w:hAnsi="Times New Roman" w:cs="Times New Roman"/>
          <w:i/>
          <w:sz w:val="20"/>
          <w:szCs w:val="20"/>
          <w:vertAlign w:val="superscript"/>
        </w:rPr>
        <w:t>4</w:t>
      </w:r>
      <w:r w:rsidRPr="00C20F8A">
        <w:rPr>
          <w:rFonts w:ascii="Times New Roman" w:hAnsi="Times New Roman" w:cs="Times New Roman"/>
          <w:i/>
          <w:sz w:val="25"/>
          <w:szCs w:val="25"/>
        </w:rPr>
        <w:t>,</w:t>
      </w:r>
      <w:r w:rsidRPr="00C20F8A">
        <w:rPr>
          <w:rFonts w:ascii="Times New Roman" w:hAnsi="Times New Roman" w:cs="Times New Roman"/>
          <w:sz w:val="25"/>
          <w:szCs w:val="25"/>
        </w:rPr>
        <w:t xml:space="preserve"> which formed the basis for the subsequent decision of this Court wherein the “right to privacy” is asserted or at least referred to. The most</w:t>
      </w:r>
      <w:r>
        <w:rPr>
          <w:rFonts w:ascii="Times New Roman" w:hAnsi="Times New Roman" w:cs="Times New Roman"/>
          <w:sz w:val="25"/>
          <w:szCs w:val="25"/>
        </w:rPr>
        <w:t xml:space="preserve"> </w:t>
      </w:r>
      <w:r w:rsidRPr="00C20F8A">
        <w:rPr>
          <w:rFonts w:ascii="Times New Roman" w:hAnsi="Times New Roman" w:cs="Times New Roman"/>
          <w:sz w:val="25"/>
          <w:szCs w:val="25"/>
        </w:rPr>
        <w:t xml:space="preserve">important of such cases are </w:t>
      </w:r>
      <w:r w:rsidRPr="00C20F8A">
        <w:rPr>
          <w:rFonts w:ascii="Times New Roman" w:hAnsi="Times New Roman" w:cs="Times New Roman"/>
          <w:i/>
          <w:sz w:val="25"/>
          <w:szCs w:val="25"/>
        </w:rPr>
        <w:t>R. Rajagopal &amp; Another v. State of Tamil Nadu &amp; Others</w:t>
      </w:r>
      <w:r w:rsidRPr="00C20F8A">
        <w:rPr>
          <w:rFonts w:ascii="Times New Roman" w:hAnsi="Times New Roman" w:cs="Times New Roman"/>
          <w:i/>
          <w:sz w:val="20"/>
          <w:szCs w:val="20"/>
          <w:vertAlign w:val="superscript"/>
        </w:rPr>
        <w:t>5</w:t>
      </w:r>
      <w:r w:rsidRPr="00C20F8A">
        <w:rPr>
          <w:rFonts w:ascii="Times New Roman" w:hAnsi="Times New Roman" w:cs="Times New Roman"/>
          <w:i/>
          <w:sz w:val="25"/>
          <w:szCs w:val="25"/>
        </w:rPr>
        <w:t xml:space="preserve"> </w:t>
      </w:r>
      <w:r w:rsidRPr="00C20F8A">
        <w:rPr>
          <w:rFonts w:ascii="Times New Roman" w:hAnsi="Times New Roman" w:cs="Times New Roman"/>
          <w:sz w:val="25"/>
          <w:szCs w:val="25"/>
        </w:rPr>
        <w:t xml:space="preserve">(popularly known as Auto Shanker’s case) and People’s </w:t>
      </w:r>
      <w:r w:rsidRPr="00C20F8A">
        <w:rPr>
          <w:rFonts w:ascii="Times New Roman" w:hAnsi="Times New Roman" w:cs="Times New Roman"/>
          <w:i/>
          <w:sz w:val="25"/>
          <w:szCs w:val="25"/>
        </w:rPr>
        <w:t>Union for Civil Liberties (PUCL) v. Union of India &amp; Another</w:t>
      </w:r>
      <w:r w:rsidRPr="00C20F8A">
        <w:rPr>
          <w:rFonts w:ascii="Times New Roman" w:hAnsi="Times New Roman" w:cs="Times New Roman"/>
          <w:i/>
          <w:sz w:val="20"/>
          <w:szCs w:val="20"/>
          <w:vertAlign w:val="superscript"/>
        </w:rPr>
        <w:t>6</w:t>
      </w:r>
      <w:r w:rsidRPr="00C20F8A">
        <w:rPr>
          <w:rFonts w:ascii="Times New Roman" w:hAnsi="Times New Roman" w:cs="Times New Roman"/>
          <w:i/>
          <w:sz w:val="25"/>
          <w:szCs w:val="25"/>
        </w:rPr>
        <w:t xml:space="preserve">, </w:t>
      </w:r>
    </w:p>
    <w:p w:rsidR="00C20F8A" w:rsidRPr="00C20F8A" w:rsidRDefault="00C20F8A" w:rsidP="00C20F8A">
      <w:pPr>
        <w:spacing w:after="0" w:line="240" w:lineRule="auto"/>
        <w:jc w:val="both"/>
        <w:rPr>
          <w:rFonts w:ascii="Times New Roman" w:hAnsi="Times New Roman" w:cs="Times New Roman"/>
          <w:sz w:val="25"/>
          <w:szCs w:val="25"/>
        </w:rPr>
      </w:pPr>
    </w:p>
    <w:p w:rsidR="00C20F8A" w:rsidRDefault="00C20F8A" w:rsidP="00C20F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C20F8A">
        <w:rPr>
          <w:rFonts w:ascii="Times New Roman" w:hAnsi="Times New Roman" w:cs="Times New Roman"/>
          <w:sz w:val="25"/>
          <w:szCs w:val="25"/>
        </w:rPr>
        <w:t xml:space="preserve"> All the judgments referred to above were rendered by smaller Benches of two or three Judges.</w:t>
      </w:r>
    </w:p>
    <w:p w:rsidR="00C20F8A" w:rsidRPr="00C20F8A" w:rsidRDefault="00C20F8A" w:rsidP="00C20F8A">
      <w:pPr>
        <w:spacing w:after="0" w:line="240" w:lineRule="auto"/>
        <w:jc w:val="both"/>
        <w:rPr>
          <w:rFonts w:ascii="Times New Roman" w:hAnsi="Times New Roman" w:cs="Times New Roman"/>
          <w:sz w:val="25"/>
          <w:szCs w:val="25"/>
        </w:rPr>
      </w:pPr>
    </w:p>
    <w:p w:rsidR="00C20F8A" w:rsidRDefault="00C20F8A" w:rsidP="00C20F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C20F8A">
        <w:rPr>
          <w:rFonts w:ascii="Times New Roman" w:hAnsi="Times New Roman" w:cs="Times New Roman"/>
          <w:sz w:val="25"/>
          <w:szCs w:val="25"/>
        </w:rPr>
        <w:t xml:space="preserve"> Shri K.K. Venugopal, learned senior counsel appearing for one of the respondents submitted that the decision of this Court in Gobind (supra) is not consistent with the decisions of this Court i</w:t>
      </w:r>
      <w:r w:rsidR="007C7422">
        <w:rPr>
          <w:rFonts w:ascii="Times New Roman" w:hAnsi="Times New Roman" w:cs="Times New Roman"/>
          <w:sz w:val="25"/>
          <w:szCs w:val="25"/>
        </w:rPr>
        <w:t xml:space="preserve">n M.P. Sharma and Kharak Singh. </w:t>
      </w:r>
      <w:r w:rsidRPr="00C20F8A">
        <w:rPr>
          <w:rFonts w:ascii="Times New Roman" w:hAnsi="Times New Roman" w:cs="Times New Roman"/>
          <w:sz w:val="25"/>
          <w:szCs w:val="25"/>
        </w:rPr>
        <w:t>He submitted that such divergence is also noticed by the academicians, Shri F.S. Nariman, Senior Advocate of this Cou</w:t>
      </w:r>
      <w:r w:rsidR="007C7422">
        <w:rPr>
          <w:rFonts w:ascii="Times New Roman" w:hAnsi="Times New Roman" w:cs="Times New Roman"/>
          <w:sz w:val="25"/>
          <w:szCs w:val="25"/>
        </w:rPr>
        <w:t xml:space="preserve">rt and </w:t>
      </w:r>
      <w:r w:rsidR="007C7422" w:rsidRPr="007C7422">
        <w:rPr>
          <w:rFonts w:ascii="Times New Roman" w:hAnsi="Times New Roman" w:cs="Times New Roman"/>
          <w:i/>
          <w:sz w:val="25"/>
          <w:szCs w:val="25"/>
        </w:rPr>
        <w:t>Shri A.M. Bhattacharjee</w:t>
      </w:r>
      <w:r w:rsidR="007C7422">
        <w:rPr>
          <w:rFonts w:ascii="Times New Roman" w:hAnsi="Times New Roman" w:cs="Times New Roman"/>
          <w:i/>
          <w:sz w:val="20"/>
          <w:szCs w:val="20"/>
          <w:vertAlign w:val="superscript"/>
        </w:rPr>
        <w:t>7</w:t>
      </w:r>
      <w:r w:rsidR="007C7422">
        <w:rPr>
          <w:rFonts w:ascii="Times New Roman" w:hAnsi="Times New Roman" w:cs="Times New Roman"/>
          <w:sz w:val="25"/>
          <w:szCs w:val="25"/>
        </w:rPr>
        <w:t>,</w:t>
      </w:r>
      <w:r w:rsidRPr="00C20F8A">
        <w:rPr>
          <w:rFonts w:ascii="Times New Roman" w:hAnsi="Times New Roman" w:cs="Times New Roman"/>
          <w:sz w:val="25"/>
          <w:szCs w:val="25"/>
        </w:rPr>
        <w:t xml:space="preserve"> Former Chief Justice, High Court at Calcutta and High Court at Bombay.</w:t>
      </w:r>
    </w:p>
    <w:p w:rsidR="00C20F8A" w:rsidRPr="00C20F8A" w:rsidRDefault="00C20F8A" w:rsidP="00C20F8A">
      <w:pPr>
        <w:spacing w:after="0" w:line="240" w:lineRule="auto"/>
        <w:jc w:val="both"/>
        <w:rPr>
          <w:rFonts w:ascii="Times New Roman" w:hAnsi="Times New Roman" w:cs="Times New Roman"/>
          <w:sz w:val="25"/>
          <w:szCs w:val="25"/>
        </w:rPr>
      </w:pPr>
    </w:p>
    <w:p w:rsidR="007C7422" w:rsidRDefault="007C7422" w:rsidP="007C7422">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6" type="#_x0000_t32" style="position:absolute;left:0;text-align:left;margin-left:3pt;margin-top:113.4pt;width:469.5pt;height:3.75pt;flip:y;z-index:251658240" o:connectortype="straight"/>
        </w:pict>
      </w:r>
      <w:r w:rsidR="00C20F8A">
        <w:rPr>
          <w:rFonts w:ascii="Times New Roman" w:hAnsi="Times New Roman" w:cs="Times New Roman"/>
          <w:sz w:val="25"/>
          <w:szCs w:val="25"/>
        </w:rPr>
        <w:t>7.</w:t>
      </w:r>
      <w:r w:rsidR="00C20F8A" w:rsidRPr="00C20F8A">
        <w:rPr>
          <w:rFonts w:ascii="Times New Roman" w:hAnsi="Times New Roman" w:cs="Times New Roman"/>
          <w:sz w:val="25"/>
          <w:szCs w:val="25"/>
        </w:rPr>
        <w:t xml:space="preserve"> Therefore, it is submitted by the learned Attorney General and Shri Venugopal that to settle the legal position, this batch of matters is required to be heard by a larger Bench of this Court as</w:t>
      </w:r>
      <w:r w:rsidR="00C20F8A">
        <w:rPr>
          <w:rFonts w:ascii="Times New Roman" w:hAnsi="Times New Roman" w:cs="Times New Roman"/>
          <w:sz w:val="25"/>
          <w:szCs w:val="25"/>
        </w:rPr>
        <w:t xml:space="preserve"> </w:t>
      </w:r>
      <w:r w:rsidR="00C20F8A" w:rsidRPr="00C20F8A">
        <w:rPr>
          <w:rFonts w:ascii="Times New Roman" w:hAnsi="Times New Roman" w:cs="Times New Roman"/>
          <w:sz w:val="25"/>
          <w:szCs w:val="25"/>
        </w:rPr>
        <w:t xml:space="preserve">these matters throw up for debate important questions - (i) whether there is any “right to privacy” guaranteed under our Constitution. (ii) If such a right exists, what is the source and what are the contours of such a right as there is no express provision in the Constitution adumbrating the right to privacy. It is therefore submitted that these batch of matters are required to be heard and decided by a larger bench of at least five Judges in view of the mandate </w:t>
      </w:r>
      <w:r>
        <w:rPr>
          <w:rFonts w:ascii="Times New Roman" w:hAnsi="Times New Roman" w:cs="Times New Roman"/>
          <w:sz w:val="25"/>
          <w:szCs w:val="25"/>
        </w:rPr>
        <w:t>contained under Article 145(3)</w:t>
      </w:r>
      <w:r w:rsidRPr="007C7422">
        <w:rPr>
          <w:rFonts w:ascii="Times New Roman" w:hAnsi="Times New Roman" w:cs="Times New Roman"/>
          <w:sz w:val="16"/>
          <w:szCs w:val="16"/>
          <w:vertAlign w:val="superscript"/>
        </w:rPr>
        <w:t>8</w:t>
      </w:r>
      <w:r>
        <w:rPr>
          <w:rFonts w:ascii="Times New Roman" w:hAnsi="Times New Roman" w:cs="Times New Roman"/>
          <w:sz w:val="25"/>
          <w:szCs w:val="25"/>
        </w:rPr>
        <w:t xml:space="preserve"> </w:t>
      </w:r>
      <w:r w:rsidR="00C20F8A" w:rsidRPr="00C20F8A">
        <w:rPr>
          <w:rFonts w:ascii="Times New Roman" w:hAnsi="Times New Roman" w:cs="Times New Roman"/>
          <w:sz w:val="25"/>
          <w:szCs w:val="25"/>
        </w:rPr>
        <w:t>of the Constitution of India.</w:t>
      </w:r>
    </w:p>
    <w:p w:rsidR="007C7422" w:rsidRPr="007C7422" w:rsidRDefault="007C7422" w:rsidP="007C7422">
      <w:pPr>
        <w:autoSpaceDE w:val="0"/>
        <w:autoSpaceDN w:val="0"/>
        <w:adjustRightInd w:val="0"/>
        <w:spacing w:after="0" w:line="240" w:lineRule="auto"/>
        <w:rPr>
          <w:rFonts w:ascii="Times New Roman" w:hAnsi="Times New Roman" w:cs="Times New Roman"/>
          <w:b/>
          <w:i/>
          <w:sz w:val="20"/>
          <w:szCs w:val="20"/>
        </w:rPr>
      </w:pPr>
      <w:r w:rsidRPr="007C7422">
        <w:rPr>
          <w:rFonts w:ascii="Times New Roman" w:hAnsi="Times New Roman" w:cs="Times New Roman"/>
          <w:b/>
          <w:i/>
          <w:sz w:val="20"/>
          <w:szCs w:val="20"/>
          <w:vertAlign w:val="superscript"/>
        </w:rPr>
        <w:t>7</w:t>
      </w:r>
      <w:r w:rsidRPr="007C7422">
        <w:rPr>
          <w:rFonts w:ascii="Times New Roman" w:hAnsi="Times New Roman" w:cs="Times New Roman"/>
          <w:b/>
          <w:i/>
          <w:sz w:val="20"/>
          <w:szCs w:val="20"/>
        </w:rPr>
        <w:t xml:space="preserve">A.M. Bhattacharjee , </w:t>
      </w:r>
      <w:r w:rsidRPr="007C7422">
        <w:rPr>
          <w:rFonts w:ascii="Times New Roman" w:hAnsi="Times New Roman" w:cs="Times New Roman"/>
          <w:b/>
          <w:i/>
          <w:iCs/>
          <w:sz w:val="20"/>
          <w:szCs w:val="20"/>
        </w:rPr>
        <w:t xml:space="preserve">Equality, Liberty &amp; Property under the Constitution of India, </w:t>
      </w:r>
      <w:r w:rsidRPr="007C7422">
        <w:rPr>
          <w:rFonts w:ascii="Times New Roman" w:hAnsi="Times New Roman" w:cs="Times New Roman"/>
          <w:b/>
          <w:i/>
          <w:sz w:val="20"/>
          <w:szCs w:val="20"/>
        </w:rPr>
        <w:t>(Eastern Law House,</w:t>
      </w:r>
    </w:p>
    <w:p w:rsidR="007C7422" w:rsidRPr="007C7422" w:rsidRDefault="007C7422" w:rsidP="007C7422">
      <w:pPr>
        <w:spacing w:after="0" w:line="240" w:lineRule="auto"/>
        <w:jc w:val="both"/>
        <w:rPr>
          <w:rFonts w:ascii="Times New Roman" w:hAnsi="Times New Roman" w:cs="Times New Roman"/>
          <w:b/>
          <w:i/>
          <w:sz w:val="20"/>
          <w:szCs w:val="20"/>
        </w:rPr>
      </w:pPr>
      <w:r w:rsidRPr="007C7422">
        <w:rPr>
          <w:rFonts w:ascii="Times New Roman" w:hAnsi="Times New Roman" w:cs="Times New Roman"/>
          <w:b/>
          <w:i/>
          <w:sz w:val="20"/>
          <w:szCs w:val="20"/>
        </w:rPr>
        <w:t>New Delhi, 1997)</w:t>
      </w:r>
    </w:p>
    <w:p w:rsidR="00721E0C" w:rsidRPr="00721E0C" w:rsidRDefault="007C7422" w:rsidP="007C7422">
      <w:pPr>
        <w:autoSpaceDE w:val="0"/>
        <w:autoSpaceDN w:val="0"/>
        <w:adjustRightInd w:val="0"/>
        <w:spacing w:after="0" w:line="240" w:lineRule="auto"/>
        <w:jc w:val="both"/>
        <w:rPr>
          <w:rFonts w:ascii="Times New Roman" w:hAnsi="Times New Roman" w:cs="Times New Roman"/>
          <w:b/>
          <w:sz w:val="20"/>
          <w:szCs w:val="20"/>
        </w:rPr>
      </w:pPr>
      <w:r w:rsidRPr="007C7422">
        <w:rPr>
          <w:rFonts w:ascii="Times New Roman" w:hAnsi="Times New Roman" w:cs="Times New Roman"/>
          <w:b/>
          <w:sz w:val="12"/>
          <w:szCs w:val="12"/>
          <w:vertAlign w:val="superscript"/>
        </w:rPr>
        <w:t>8</w:t>
      </w:r>
      <w:r w:rsidRPr="007C7422">
        <w:rPr>
          <w:rFonts w:ascii="Times New Roman" w:hAnsi="Times New Roman" w:cs="Times New Roman"/>
          <w:b/>
          <w:sz w:val="20"/>
          <w:szCs w:val="20"/>
        </w:rPr>
        <w:t>Article 145(3). The minimum number of Judges who are to sit for the purpose of deciding any case involving a substantial question of law as to the interpretation of this Constitution or for the purpose of hearing any reference under Article 143 shall be five: Provided that, where the Court hearing an appeal under any of the provisions of this chapter other than Article 132 consists of less than five Judges and in the course of the hearing of the appeal the Court is satisfied that the appeal involves a substantial ques-tion of law as to the interpretation of this Constitution the determination of which is necessary for the disposal of the appeal, such Court shall refer the question for opinion to a Court constituted as required by this clause for the purpose of deciding any case involving such a question and shall on receipt of the opinion dispose of the appeal in conformity with such opinion</w:t>
      </w:r>
    </w:p>
    <w:p w:rsidR="00C20F8A" w:rsidRDefault="007C7422" w:rsidP="007C74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w:t>
      </w:r>
      <w:r w:rsidR="00C20F8A">
        <w:rPr>
          <w:rFonts w:ascii="Times New Roman" w:hAnsi="Times New Roman" w:cs="Times New Roman"/>
          <w:sz w:val="25"/>
          <w:szCs w:val="25"/>
        </w:rPr>
        <w:t xml:space="preserve">(i) </w:t>
      </w:r>
      <w:r w:rsidR="00C20F8A" w:rsidRPr="00C20F8A">
        <w:rPr>
          <w:rFonts w:ascii="Times New Roman" w:hAnsi="Times New Roman" w:cs="Times New Roman"/>
          <w:sz w:val="25"/>
          <w:szCs w:val="25"/>
        </w:rPr>
        <w:t>The conclusions recorded by this Court in R. Rajagopal and PUCL are legally tenable for the reason that the observations made in M.P. Sharma regarding the absence of right to privacy under our</w:t>
      </w:r>
      <w:r>
        <w:rPr>
          <w:rFonts w:ascii="Times New Roman" w:hAnsi="Times New Roman" w:cs="Times New Roman"/>
          <w:sz w:val="25"/>
          <w:szCs w:val="25"/>
        </w:rPr>
        <w:t xml:space="preserve"> </w:t>
      </w:r>
      <w:r w:rsidR="00C20F8A" w:rsidRPr="00C20F8A">
        <w:rPr>
          <w:rFonts w:ascii="Times New Roman" w:hAnsi="Times New Roman" w:cs="Times New Roman"/>
          <w:sz w:val="25"/>
          <w:szCs w:val="25"/>
        </w:rPr>
        <w:t>Constitution are not part of ratio decidendi of that case and, therefore, do not bind the subsequent smaller Benches.</w:t>
      </w:r>
    </w:p>
    <w:p w:rsidR="007C7422" w:rsidRPr="00C20F8A" w:rsidRDefault="007C7422" w:rsidP="007C7422">
      <w:pPr>
        <w:spacing w:after="0" w:line="240" w:lineRule="auto"/>
        <w:jc w:val="both"/>
        <w:rPr>
          <w:rFonts w:ascii="Times New Roman" w:hAnsi="Times New Roman" w:cs="Times New Roman"/>
          <w:sz w:val="25"/>
          <w:szCs w:val="25"/>
        </w:rPr>
      </w:pPr>
    </w:p>
    <w:p w:rsidR="007C7422" w:rsidRDefault="007C7422" w:rsidP="007C742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C20F8A">
        <w:rPr>
          <w:rFonts w:ascii="Times New Roman" w:hAnsi="Times New Roman" w:cs="Times New Roman"/>
          <w:sz w:val="25"/>
          <w:szCs w:val="25"/>
        </w:rPr>
        <w:t>On behalf of the petitioners Shri Gopal Subramanium and Shri Shyam Divan, learned senior counsel very vehemently opposed the suggestion that this batch of matters is required to be heard by a larger bench. According to them:</w:t>
      </w:r>
    </w:p>
    <w:p w:rsidR="007C7422" w:rsidRDefault="007C7422" w:rsidP="007C7422">
      <w:pPr>
        <w:spacing w:after="0" w:line="240" w:lineRule="auto"/>
        <w:ind w:left="720"/>
        <w:jc w:val="both"/>
        <w:rPr>
          <w:rFonts w:ascii="Times New Roman" w:hAnsi="Times New Roman" w:cs="Times New Roman"/>
          <w:sz w:val="25"/>
          <w:szCs w:val="25"/>
        </w:rPr>
      </w:pPr>
    </w:p>
    <w:p w:rsidR="00C20F8A" w:rsidRPr="007C7422" w:rsidRDefault="00C20F8A" w:rsidP="007C7422">
      <w:pPr>
        <w:spacing w:after="0" w:line="240" w:lineRule="auto"/>
        <w:ind w:left="720"/>
        <w:jc w:val="both"/>
        <w:rPr>
          <w:rFonts w:ascii="Times New Roman" w:hAnsi="Times New Roman" w:cs="Times New Roman"/>
          <w:sz w:val="20"/>
          <w:szCs w:val="20"/>
        </w:rPr>
      </w:pPr>
      <w:r>
        <w:rPr>
          <w:rFonts w:ascii="Times New Roman" w:hAnsi="Times New Roman" w:cs="Times New Roman"/>
          <w:sz w:val="25"/>
          <w:szCs w:val="25"/>
        </w:rPr>
        <w:t xml:space="preserve">(ii) </w:t>
      </w:r>
      <w:r w:rsidRPr="00C20F8A">
        <w:rPr>
          <w:rFonts w:ascii="Times New Roman" w:hAnsi="Times New Roman" w:cs="Times New Roman"/>
          <w:sz w:val="25"/>
          <w:szCs w:val="25"/>
        </w:rPr>
        <w:t xml:space="preserve">Coming to the case of Kharak Singh, majority in Kharak Singh did hold that the right of a person not to be disturbed at his residence by the State and its officers is recognized to be a part of a fundamental right guaranteed under Article 21 which is nothing but an aspect of privacy. The observation in para 20 of the majority judgment at best can be construed only to mean that there is no fundamental right of privacy against the State’s authority to keep surveillance on the activities of a person. Even such a conclusion cannot be good law any more in view of the express declaration made by a seven-Judge bench decision of this Court in </w:t>
      </w:r>
      <w:r w:rsidRPr="00C20F8A">
        <w:rPr>
          <w:rFonts w:ascii="Times New Roman" w:hAnsi="Times New Roman" w:cs="Times New Roman"/>
          <w:i/>
          <w:sz w:val="25"/>
          <w:szCs w:val="25"/>
        </w:rPr>
        <w:t xml:space="preserve">Maneka Gandhi v. Union of India &amp; </w:t>
      </w:r>
      <w:r w:rsidRPr="007C7422">
        <w:rPr>
          <w:rFonts w:ascii="Times New Roman" w:hAnsi="Times New Roman" w:cs="Times New Roman"/>
          <w:b/>
          <w:sz w:val="25"/>
          <w:szCs w:val="25"/>
        </w:rPr>
        <w:t>Another</w:t>
      </w:r>
      <w:r w:rsidR="007C7422" w:rsidRPr="007C7422">
        <w:rPr>
          <w:rFonts w:ascii="Times New Roman" w:hAnsi="Times New Roman" w:cs="Times New Roman"/>
          <w:b/>
          <w:sz w:val="20"/>
          <w:szCs w:val="20"/>
          <w:vertAlign w:val="superscript"/>
        </w:rPr>
        <w:t>9</w:t>
      </w:r>
      <w:r w:rsidRPr="007C7422">
        <w:rPr>
          <w:rFonts w:ascii="Times New Roman" w:hAnsi="Times New Roman" w:cs="Times New Roman"/>
          <w:b/>
          <w:sz w:val="25"/>
          <w:szCs w:val="25"/>
        </w:rPr>
        <w:t xml:space="preserve">, </w:t>
      </w:r>
      <w:r w:rsidR="007C7422" w:rsidRPr="007C7422">
        <w:rPr>
          <w:rFonts w:ascii="Times New Roman" w:hAnsi="Times New Roman" w:cs="Times New Roman"/>
          <w:b/>
          <w:sz w:val="20"/>
          <w:szCs w:val="20"/>
        </w:rPr>
        <w:t>(1978) 1 SCC 2483</w:t>
      </w:r>
      <w:r w:rsidR="007C7422" w:rsidRPr="007C7422">
        <w:rPr>
          <w:rFonts w:ascii="Times New Roman" w:hAnsi="Times New Roman" w:cs="Times New Roman"/>
          <w:b/>
          <w:sz w:val="20"/>
          <w:szCs w:val="20"/>
          <w:vertAlign w:val="superscript"/>
        </w:rPr>
        <w:t>10</w:t>
      </w:r>
      <w:r w:rsidR="007C7422" w:rsidRPr="007C7422">
        <w:rPr>
          <w:rFonts w:ascii="Times New Roman" w:hAnsi="Times New Roman" w:cs="Times New Roman"/>
          <w:b/>
          <w:sz w:val="20"/>
          <w:szCs w:val="20"/>
        </w:rPr>
        <w:t>.</w:t>
      </w:r>
    </w:p>
    <w:p w:rsidR="00C20F8A" w:rsidRPr="00C20F8A" w:rsidRDefault="00C20F8A" w:rsidP="007C7422">
      <w:pPr>
        <w:spacing w:after="0" w:line="240" w:lineRule="auto"/>
        <w:ind w:left="720"/>
        <w:jc w:val="both"/>
        <w:rPr>
          <w:rFonts w:ascii="Times New Roman" w:hAnsi="Times New Roman" w:cs="Times New Roman"/>
          <w:sz w:val="25"/>
          <w:szCs w:val="25"/>
        </w:rPr>
      </w:pPr>
    </w:p>
    <w:p w:rsidR="007C7422" w:rsidRDefault="00C20F8A" w:rsidP="007C74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C20F8A">
        <w:rPr>
          <w:rFonts w:ascii="Times New Roman" w:hAnsi="Times New Roman" w:cs="Times New Roman"/>
          <w:sz w:val="25"/>
          <w:szCs w:val="25"/>
        </w:rPr>
        <w:t xml:space="preserve">They further argued that both M.P. Sharma (supra) and Kharak Singh (supra) came to be decided on an interpretation of the Constitution based on the principles expounded </w:t>
      </w:r>
      <w:r w:rsidRPr="00C20F8A">
        <w:rPr>
          <w:rFonts w:ascii="Times New Roman" w:hAnsi="Times New Roman" w:cs="Times New Roman"/>
          <w:i/>
          <w:sz w:val="25"/>
          <w:szCs w:val="25"/>
        </w:rPr>
        <w:t>in A.K. Gopalan v. State of Madras</w:t>
      </w:r>
      <w:r w:rsidR="007C7422" w:rsidRPr="007C7422">
        <w:rPr>
          <w:rFonts w:ascii="Times New Roman" w:hAnsi="Times New Roman" w:cs="Times New Roman"/>
          <w:i/>
          <w:sz w:val="20"/>
          <w:szCs w:val="20"/>
          <w:vertAlign w:val="superscript"/>
        </w:rPr>
        <w:t>11</w:t>
      </w:r>
      <w:r w:rsidRPr="00C20F8A">
        <w:rPr>
          <w:rFonts w:ascii="Times New Roman" w:hAnsi="Times New Roman" w:cs="Times New Roman"/>
          <w:i/>
          <w:sz w:val="25"/>
          <w:szCs w:val="25"/>
        </w:rPr>
        <w:t xml:space="preserve">, </w:t>
      </w:r>
      <w:r w:rsidRPr="00C20F8A">
        <w:rPr>
          <w:rFonts w:ascii="Times New Roman" w:hAnsi="Times New Roman" w:cs="Times New Roman"/>
          <w:sz w:val="25"/>
          <w:szCs w:val="25"/>
        </w:rPr>
        <w:t xml:space="preserve">Such principles propounded by A.K. Gopalan themselves came to be declared wrong by a larger Bench of this Court in </w:t>
      </w:r>
      <w:r w:rsidRPr="007C7422">
        <w:rPr>
          <w:rFonts w:ascii="Times New Roman" w:hAnsi="Times New Roman" w:cs="Times New Roman"/>
          <w:i/>
          <w:sz w:val="25"/>
          <w:szCs w:val="25"/>
        </w:rPr>
        <w:t>Rustom Cavasjee Cooper v. Union of India</w:t>
      </w:r>
      <w:r w:rsidR="007C7422">
        <w:rPr>
          <w:rFonts w:ascii="Times New Roman" w:hAnsi="Times New Roman" w:cs="Times New Roman"/>
          <w:i/>
          <w:sz w:val="20"/>
          <w:szCs w:val="20"/>
          <w:vertAlign w:val="superscript"/>
        </w:rPr>
        <w:t>12</w:t>
      </w:r>
      <w:r w:rsidRPr="007C7422">
        <w:rPr>
          <w:rFonts w:ascii="Times New Roman" w:hAnsi="Times New Roman" w:cs="Times New Roman"/>
          <w:i/>
          <w:sz w:val="25"/>
          <w:szCs w:val="25"/>
        </w:rPr>
        <w:t xml:space="preserve">, </w:t>
      </w:r>
      <w:r w:rsidRPr="00C20F8A">
        <w:rPr>
          <w:rFonts w:ascii="Times New Roman" w:hAnsi="Times New Roman" w:cs="Times New Roman"/>
          <w:sz w:val="25"/>
          <w:szCs w:val="25"/>
        </w:rPr>
        <w:t>Therefore, there is no need for the instant batch of matters to be heard by a larger Bench.</w:t>
      </w:r>
    </w:p>
    <w:p w:rsidR="00721E0C" w:rsidRDefault="00721E0C" w:rsidP="00721E0C">
      <w:pPr>
        <w:spacing w:after="0" w:line="240" w:lineRule="auto"/>
        <w:jc w:val="both"/>
        <w:rPr>
          <w:rFonts w:ascii="Times New Roman" w:hAnsi="Times New Roman" w:cs="Times New Roman"/>
          <w:b/>
          <w:sz w:val="20"/>
          <w:szCs w:val="20"/>
          <w:vertAlign w:val="superscript"/>
        </w:rPr>
      </w:pPr>
      <w:r>
        <w:rPr>
          <w:rFonts w:ascii="Times New Roman" w:hAnsi="Times New Roman" w:cs="Times New Roman"/>
          <w:noProof/>
          <w:sz w:val="25"/>
          <w:szCs w:val="25"/>
        </w:rPr>
        <w:pict>
          <v:shape id="_x0000_s1030" type="#_x0000_t32" style="position:absolute;left:0;text-align:left;margin-left:8.25pt;margin-top:.3pt;width:473.25pt;height:3pt;flip:y;z-index:251659264" o:connectortype="straight"/>
        </w:pict>
      </w:r>
    </w:p>
    <w:p w:rsidR="007C7422" w:rsidRPr="00721E0C" w:rsidRDefault="00721E0C" w:rsidP="00721E0C">
      <w:pPr>
        <w:spacing w:after="0" w:line="240" w:lineRule="auto"/>
        <w:jc w:val="both"/>
        <w:rPr>
          <w:rFonts w:ascii="Times New Roman" w:hAnsi="Times New Roman" w:cs="Times New Roman"/>
          <w:b/>
          <w:sz w:val="20"/>
          <w:szCs w:val="20"/>
          <w:vertAlign w:val="superscript"/>
        </w:rPr>
      </w:pPr>
      <w:r>
        <w:rPr>
          <w:rFonts w:ascii="Times New Roman" w:hAnsi="Times New Roman" w:cs="Times New Roman"/>
          <w:b/>
          <w:sz w:val="20"/>
          <w:szCs w:val="20"/>
          <w:vertAlign w:val="superscript"/>
        </w:rPr>
        <w:t>10</w:t>
      </w:r>
      <w:r w:rsidR="007C7422" w:rsidRPr="00721E0C">
        <w:rPr>
          <w:rFonts w:ascii="Times New Roman" w:hAnsi="Times New Roman" w:cs="Times New Roman"/>
          <w:b/>
        </w:rPr>
        <w:t xml:space="preserve">Para 5. .. It was in </w:t>
      </w:r>
      <w:r w:rsidR="007C7422" w:rsidRPr="00721E0C">
        <w:rPr>
          <w:rFonts w:ascii="Times New Roman" w:hAnsi="Times New Roman" w:cs="Times New Roman"/>
          <w:b/>
          <w:bCs/>
          <w:i/>
          <w:iCs/>
        </w:rPr>
        <w:t xml:space="preserve">Kharak Singh </w:t>
      </w:r>
      <w:r w:rsidR="007C7422" w:rsidRPr="00721E0C">
        <w:rPr>
          <w:rFonts w:ascii="Times New Roman" w:hAnsi="Times New Roman" w:cs="Times New Roman"/>
          <w:b/>
          <w:i/>
          <w:iCs/>
        </w:rPr>
        <w:t xml:space="preserve">v. </w:t>
      </w:r>
      <w:r w:rsidR="007C7422" w:rsidRPr="00721E0C">
        <w:rPr>
          <w:rFonts w:ascii="Times New Roman" w:hAnsi="Times New Roman" w:cs="Times New Roman"/>
          <w:b/>
          <w:bCs/>
          <w:i/>
          <w:iCs/>
        </w:rPr>
        <w:t xml:space="preserve">State of U.P., </w:t>
      </w:r>
      <w:r w:rsidR="007C7422" w:rsidRPr="00721E0C">
        <w:rPr>
          <w:rFonts w:ascii="Times New Roman" w:hAnsi="Times New Roman" w:cs="Times New Roman"/>
          <w:b/>
        </w:rPr>
        <w:t>AIR 1963 SC 1295 that the question as to the proper scope and meaning of the expression 'personal liberty' came up pointedly for consideration for the first time before this Court. The majority of the Judges took the view "that 'personal liberty' is used in the article as a compendious term to include within itself all the varieties of rights which go to make up the 'personal liberties' of man other than thosedealt with in the several clauses of Article 19(1). In other words, while Article 19(1) deals with particular species or attributes, of that freedom, 'personal liberty' in Article 21 takes in and comprises the residue". The minority judges, however, disagreed with this view taken by the majority and explained their position in the following words: "No doubt the expression 'personal liberty' is a comprehensive one and the right to move freely is an attribute of personal liberty. It is said that the freedom to move freely is carved out of personal liberty and, therefore, the expression</w:t>
      </w:r>
      <w:r>
        <w:rPr>
          <w:rFonts w:ascii="Times New Roman" w:hAnsi="Times New Roman" w:cs="Times New Roman"/>
          <w:b/>
          <w:sz w:val="25"/>
          <w:szCs w:val="25"/>
        </w:rPr>
        <w:t xml:space="preserve"> </w:t>
      </w:r>
      <w:r w:rsidR="007C7422" w:rsidRPr="00721E0C">
        <w:rPr>
          <w:rFonts w:ascii="Times New Roman" w:hAnsi="Times New Roman" w:cs="Times New Roman"/>
          <w:b/>
        </w:rPr>
        <w:t>'personal liberty' in Article 21 excludes that attribute. In our view, this is not a correct approach. Both are</w:t>
      </w:r>
      <w:r>
        <w:rPr>
          <w:rFonts w:ascii="Times New Roman" w:hAnsi="Times New Roman" w:cs="Times New Roman"/>
          <w:b/>
          <w:sz w:val="25"/>
          <w:szCs w:val="25"/>
        </w:rPr>
        <w:t xml:space="preserve"> </w:t>
      </w:r>
      <w:r w:rsidR="007C7422" w:rsidRPr="00721E0C">
        <w:rPr>
          <w:rFonts w:ascii="Times New Roman" w:hAnsi="Times New Roman" w:cs="Times New Roman"/>
          <w:b/>
        </w:rPr>
        <w:t xml:space="preserve">independent fundamental rights, though there is overlapping. There is no question of one being carved out of another. The fundamental right of life and personal liberty has many attributes and some of them are found in Article 19. If a person's fundamental right under Article 21 is infringed, the State can rely upon a law to sustain the action, but that cannot be a complete answer unless the said law satisfies the test laid down in Article 19(2) so far as the attributes covered by Article 19(1) are concerned". There can be no doubt that in view of the decision of this Court in </w:t>
      </w:r>
      <w:r w:rsidR="007C7422" w:rsidRPr="00721E0C">
        <w:rPr>
          <w:rFonts w:ascii="Times New Roman" w:hAnsi="Times New Roman" w:cs="Times New Roman"/>
          <w:b/>
          <w:bCs/>
          <w:i/>
          <w:iCs/>
        </w:rPr>
        <w:t xml:space="preserve">R. C. Cooper v. Union of India, </w:t>
      </w:r>
      <w:r w:rsidR="007C7422" w:rsidRPr="00721E0C">
        <w:rPr>
          <w:rFonts w:ascii="Times New Roman" w:hAnsi="Times New Roman" w:cs="Times New Roman"/>
          <w:b/>
        </w:rPr>
        <w:t>(1970) 2 SCC 298 the minority view must be regarded as correct and the majority view must be held to have been overruled</w:t>
      </w:r>
      <w:r w:rsidR="007C7422" w:rsidRPr="007C7422">
        <w:rPr>
          <w:rFonts w:ascii="Times New Roman" w:hAnsi="Times New Roman" w:cs="Times New Roman"/>
        </w:rPr>
        <w:t>.</w:t>
      </w:r>
    </w:p>
    <w:p w:rsidR="007C7422" w:rsidRDefault="007C7422" w:rsidP="00C20F8A">
      <w:pPr>
        <w:spacing w:after="0" w:line="240" w:lineRule="auto"/>
        <w:jc w:val="both"/>
        <w:rPr>
          <w:rFonts w:ascii="Times New Roman" w:hAnsi="Times New Roman" w:cs="Times New Roman"/>
          <w:sz w:val="25"/>
          <w:szCs w:val="25"/>
        </w:rPr>
      </w:pPr>
    </w:p>
    <w:p w:rsidR="00721E0C" w:rsidRDefault="00721E0C" w:rsidP="00721E0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Pr="00C20F8A">
        <w:rPr>
          <w:rFonts w:ascii="Times New Roman" w:hAnsi="Times New Roman" w:cs="Times New Roman"/>
          <w:sz w:val="25"/>
          <w:szCs w:val="25"/>
        </w:rPr>
        <w:t xml:space="preserve"> It is true that Gobind (supra) did not make a clear declaration that there is a right to privacy flowing from any of the fundamental rights guaranteed under Part-III of the Constitution of India, but</w:t>
      </w:r>
      <w:r>
        <w:rPr>
          <w:rFonts w:ascii="Times New Roman" w:hAnsi="Times New Roman" w:cs="Times New Roman"/>
          <w:sz w:val="25"/>
          <w:szCs w:val="25"/>
        </w:rPr>
        <w:t xml:space="preserve"> </w:t>
      </w:r>
      <w:r w:rsidRPr="00C20F8A">
        <w:rPr>
          <w:rFonts w:ascii="Times New Roman" w:hAnsi="Times New Roman" w:cs="Times New Roman"/>
          <w:sz w:val="25"/>
          <w:szCs w:val="25"/>
        </w:rPr>
        <w:t>observed that “Therefore, even assuming that the right to personal liberty, the right to move freely throughout the territory of India and the freedom of speech create an independent right of privacy as an emanation from them which one can</w:t>
      </w:r>
      <w:r>
        <w:rPr>
          <w:rFonts w:ascii="Times New Roman" w:hAnsi="Times New Roman" w:cs="Times New Roman"/>
          <w:sz w:val="25"/>
          <w:szCs w:val="25"/>
        </w:rPr>
        <w:t xml:space="preserve"> </w:t>
      </w:r>
      <w:r w:rsidRPr="00C20F8A">
        <w:rPr>
          <w:rFonts w:ascii="Times New Roman" w:hAnsi="Times New Roman" w:cs="Times New Roman"/>
          <w:sz w:val="25"/>
          <w:szCs w:val="25"/>
        </w:rPr>
        <w:t>characterize as a fundamental right, we do not think that the right is absolute”. This</w:t>
      </w:r>
      <w:r>
        <w:rPr>
          <w:rFonts w:ascii="Times New Roman" w:hAnsi="Times New Roman" w:cs="Times New Roman"/>
          <w:sz w:val="25"/>
          <w:szCs w:val="25"/>
        </w:rPr>
        <w:t xml:space="preserve"> </w:t>
      </w:r>
      <w:r w:rsidRPr="00C20F8A">
        <w:rPr>
          <w:rFonts w:ascii="Times New Roman" w:hAnsi="Times New Roman" w:cs="Times New Roman"/>
          <w:sz w:val="25"/>
          <w:szCs w:val="25"/>
        </w:rPr>
        <w:t>Court proceeded to decide the case on such basis.</w:t>
      </w:r>
    </w:p>
    <w:p w:rsidR="007C7422" w:rsidRPr="00C20F8A" w:rsidRDefault="007C7422" w:rsidP="00C20F8A">
      <w:pPr>
        <w:spacing w:after="0" w:line="240" w:lineRule="auto"/>
        <w:jc w:val="both"/>
        <w:rPr>
          <w:rFonts w:ascii="Times New Roman" w:hAnsi="Times New Roman" w:cs="Times New Roman"/>
          <w:sz w:val="25"/>
          <w:szCs w:val="25"/>
        </w:rPr>
      </w:pPr>
    </w:p>
    <w:p w:rsidR="00C20F8A" w:rsidRDefault="007C7422" w:rsidP="00C20F8A">
      <w:pPr>
        <w:spacing w:after="0" w:line="240" w:lineRule="auto"/>
        <w:jc w:val="both"/>
        <w:rPr>
          <w:rFonts w:ascii="Times New Roman" w:hAnsi="Times New Roman" w:cs="Times New Roman"/>
          <w:b/>
          <w:i/>
          <w:sz w:val="25"/>
          <w:szCs w:val="25"/>
        </w:rPr>
      </w:pPr>
      <w:r>
        <w:rPr>
          <w:rFonts w:ascii="Times New Roman" w:hAnsi="Times New Roman" w:cs="Times New Roman"/>
          <w:sz w:val="25"/>
          <w:szCs w:val="25"/>
        </w:rPr>
        <w:t xml:space="preserve">10. </w:t>
      </w:r>
      <w:r w:rsidR="00C20F8A" w:rsidRPr="00C20F8A">
        <w:rPr>
          <w:rFonts w:ascii="Times New Roman" w:hAnsi="Times New Roman" w:cs="Times New Roman"/>
          <w:sz w:val="25"/>
          <w:szCs w:val="25"/>
        </w:rPr>
        <w:t>However, the subsequent decisions in R. Rajagopal (supra) and PUCL (supra), the Benches were more categoric in asserting the existence of “right to priv</w:t>
      </w:r>
      <w:r w:rsidR="00721E0C">
        <w:rPr>
          <w:rFonts w:ascii="Times New Roman" w:hAnsi="Times New Roman" w:cs="Times New Roman"/>
          <w:sz w:val="25"/>
          <w:szCs w:val="25"/>
        </w:rPr>
        <w:t>acy”. While R. Raja.gopaVs case</w:t>
      </w:r>
      <w:r w:rsidR="00721E0C" w:rsidRPr="00721E0C">
        <w:rPr>
          <w:rFonts w:ascii="Times New Roman" w:hAnsi="Times New Roman" w:cs="Times New Roman"/>
          <w:sz w:val="20"/>
          <w:szCs w:val="20"/>
          <w:vertAlign w:val="superscript"/>
        </w:rPr>
        <w:t>13</w:t>
      </w:r>
      <w:r w:rsidR="00C20F8A" w:rsidRPr="00C20F8A">
        <w:rPr>
          <w:rFonts w:ascii="Times New Roman" w:hAnsi="Times New Roman" w:cs="Times New Roman"/>
          <w:sz w:val="25"/>
          <w:szCs w:val="25"/>
        </w:rPr>
        <w:t xml:space="preserve"> held that the “right to privacy” is implicit under Article 21 of the</w:t>
      </w:r>
      <w:r>
        <w:rPr>
          <w:rFonts w:ascii="Times New Roman" w:hAnsi="Times New Roman" w:cs="Times New Roman"/>
          <w:sz w:val="25"/>
          <w:szCs w:val="25"/>
        </w:rPr>
        <w:t xml:space="preserve"> </w:t>
      </w:r>
      <w:r w:rsidR="00C20F8A" w:rsidRPr="00C20F8A">
        <w:rPr>
          <w:rFonts w:ascii="Times New Roman" w:hAnsi="Times New Roman" w:cs="Times New Roman"/>
          <w:sz w:val="25"/>
          <w:szCs w:val="25"/>
        </w:rPr>
        <w:t>Constitution, PUCL’s case held that the “right to privacy” insofar as it pertains to speech is part of fundamental rights under Articles 19(1</w:t>
      </w:r>
      <w:r w:rsidR="00721E0C">
        <w:rPr>
          <w:rFonts w:ascii="Times New Roman" w:hAnsi="Times New Roman" w:cs="Times New Roman"/>
          <w:sz w:val="25"/>
          <w:szCs w:val="25"/>
        </w:rPr>
        <w:t xml:space="preserve">)(a) and 21 of </w:t>
      </w:r>
      <w:r w:rsidR="00721E0C" w:rsidRPr="00721E0C">
        <w:rPr>
          <w:rFonts w:ascii="Times New Roman" w:hAnsi="Times New Roman" w:cs="Times New Roman"/>
          <w:b/>
          <w:i/>
          <w:sz w:val="25"/>
          <w:szCs w:val="25"/>
        </w:rPr>
        <w:t>the Constitution</w:t>
      </w:r>
      <w:r w:rsidR="00721E0C">
        <w:rPr>
          <w:rFonts w:ascii="Times New Roman" w:hAnsi="Times New Roman" w:cs="Times New Roman"/>
          <w:b/>
          <w:i/>
          <w:sz w:val="20"/>
          <w:szCs w:val="20"/>
          <w:vertAlign w:val="superscript"/>
        </w:rPr>
        <w:t>14</w:t>
      </w:r>
      <w:r w:rsidR="00C20F8A" w:rsidRPr="00721E0C">
        <w:rPr>
          <w:rFonts w:ascii="Times New Roman" w:hAnsi="Times New Roman" w:cs="Times New Roman"/>
          <w:b/>
          <w:i/>
          <w:sz w:val="25"/>
          <w:szCs w:val="25"/>
        </w:rPr>
        <w:t>.</w:t>
      </w:r>
    </w:p>
    <w:p w:rsidR="00721E0C" w:rsidRDefault="00721E0C" w:rsidP="00C20F8A">
      <w:pPr>
        <w:spacing w:after="0" w:line="240" w:lineRule="auto"/>
        <w:jc w:val="both"/>
        <w:rPr>
          <w:rFonts w:ascii="Times New Roman" w:hAnsi="Times New Roman" w:cs="Times New Roman"/>
          <w:sz w:val="25"/>
          <w:szCs w:val="25"/>
        </w:rPr>
      </w:pPr>
    </w:p>
    <w:p w:rsidR="00721E0C" w:rsidRDefault="00721E0C" w:rsidP="00721E0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C20F8A">
        <w:rPr>
          <w:rFonts w:ascii="Times New Roman" w:hAnsi="Times New Roman" w:cs="Times New Roman"/>
          <w:sz w:val="25"/>
          <w:szCs w:val="25"/>
        </w:rPr>
        <w:t>Elaborate submissions are made at the bar by the learned counsel for the petitioners to demonstrate that world over in all the countries where Anglo-Saxon jurisprudence is followed, ‘privacy’ is recognised as an important aspect of the liberty of human beings. It is further submitted that it is too late in the day for the Union of India to argue that the Constitution of India does not recognise privacy as an aspect of the liberty under Article 21 of the Constitution of India. At least to the extent that the right of a person to be secure in his house and not to be disturbed unreasonably by the State or its officers is expressly recognized and protected in Kharak Singh (supra) though the majority did not describe that aspect of the liberty as a right of privacy, it is nothing but the right of privacy.</w:t>
      </w:r>
    </w:p>
    <w:p w:rsidR="00721E0C" w:rsidRPr="00C20F8A" w:rsidRDefault="00721E0C" w:rsidP="00721E0C">
      <w:pPr>
        <w:spacing w:after="0" w:line="240" w:lineRule="auto"/>
        <w:jc w:val="both"/>
        <w:rPr>
          <w:rFonts w:ascii="Times New Roman" w:hAnsi="Times New Roman" w:cs="Times New Roman"/>
          <w:sz w:val="25"/>
          <w:szCs w:val="25"/>
        </w:rPr>
      </w:pPr>
    </w:p>
    <w:p w:rsidR="007C7422" w:rsidRDefault="00721E0C" w:rsidP="00721E0C">
      <w:pPr>
        <w:spacing w:after="0" w:line="240" w:lineRule="auto"/>
        <w:jc w:val="both"/>
        <w:rPr>
          <w:rFonts w:ascii="Times New Roman" w:hAnsi="Times New Roman" w:cs="Times New Roman"/>
          <w:sz w:val="25"/>
          <w:szCs w:val="25"/>
        </w:rPr>
      </w:pPr>
      <w:r w:rsidRPr="00C20F8A">
        <w:rPr>
          <w:rFonts w:ascii="Times New Roman" w:hAnsi="Times New Roman" w:cs="Times New Roman"/>
          <w:sz w:val="25"/>
          <w:szCs w:val="25"/>
        </w:rPr>
        <w:t>12. We are of the opinion that the cases on hand raise far reaching questions of importance involving interpretation of the Constitution. What is at stake is the amplitude of the fundamental rights including that precious and inalienable right under Article 21. If the observations made in M.P. Sharma (supra) and Kharak Singh (supra) are to be read literally and accepted as the law of this country, the fundamental rights guaranteed under the</w:t>
      </w:r>
    </w:p>
    <w:p w:rsidR="00721E0C" w:rsidRPr="00721E0C" w:rsidRDefault="00721E0C" w:rsidP="00721E0C">
      <w:pPr>
        <w:spacing w:after="0" w:line="240" w:lineRule="auto"/>
        <w:jc w:val="both"/>
        <w:rPr>
          <w:rFonts w:ascii="Times New Roman" w:hAnsi="Times New Roman" w:cs="Times New Roman"/>
          <w:b/>
          <w:sz w:val="25"/>
          <w:szCs w:val="25"/>
        </w:rPr>
      </w:pPr>
      <w:r>
        <w:rPr>
          <w:rFonts w:ascii="Times New Roman" w:hAnsi="Times New Roman" w:cs="Times New Roman"/>
          <w:noProof/>
          <w:sz w:val="25"/>
          <w:szCs w:val="25"/>
        </w:rPr>
        <w:pict>
          <v:shape id="_x0000_s1034" type="#_x0000_t32" style="position:absolute;left:0;text-align:left;margin-left:2.25pt;margin-top:4.55pt;width:471pt;height:3.75pt;flip:y;z-index:251662336" o:connectortype="straight"/>
        </w:pict>
      </w:r>
    </w:p>
    <w:p w:rsidR="00721E0C" w:rsidRDefault="00721E0C" w:rsidP="00721E0C">
      <w:pPr>
        <w:autoSpaceDE w:val="0"/>
        <w:autoSpaceDN w:val="0"/>
        <w:adjustRightInd w:val="0"/>
        <w:spacing w:after="0" w:line="240" w:lineRule="auto"/>
        <w:jc w:val="both"/>
        <w:rPr>
          <w:rFonts w:ascii="Times New Roman" w:hAnsi="Times New Roman" w:cs="Times New Roman"/>
          <w:b/>
          <w:i/>
        </w:rPr>
      </w:pPr>
      <w:r w:rsidRPr="00721E0C">
        <w:rPr>
          <w:rFonts w:ascii="Times New Roman" w:hAnsi="Times New Roman" w:cs="Times New Roman"/>
          <w:b/>
          <w:i/>
          <w:vertAlign w:val="superscript"/>
        </w:rPr>
        <w:t>13</w:t>
      </w:r>
      <w:r w:rsidRPr="00721E0C">
        <w:rPr>
          <w:rFonts w:ascii="Times New Roman" w:hAnsi="Times New Roman" w:cs="Times New Roman"/>
          <w:b/>
          <w:i/>
        </w:rPr>
        <w:t>Para 9. “Right to privacy is not enumerated as a fundamental right in our Constitution but has been inferred from Article 21.”</w:t>
      </w:r>
    </w:p>
    <w:p w:rsidR="00721E0C" w:rsidRPr="00721E0C" w:rsidRDefault="00721E0C" w:rsidP="00721E0C">
      <w:pPr>
        <w:autoSpaceDE w:val="0"/>
        <w:autoSpaceDN w:val="0"/>
        <w:adjustRightInd w:val="0"/>
        <w:spacing w:after="0" w:line="240" w:lineRule="auto"/>
        <w:jc w:val="both"/>
        <w:rPr>
          <w:rFonts w:ascii="Times New Roman" w:hAnsi="Times New Roman" w:cs="Times New Roman"/>
          <w:b/>
          <w:i/>
        </w:rPr>
      </w:pPr>
    </w:p>
    <w:p w:rsidR="00721E0C" w:rsidRPr="00721E0C" w:rsidRDefault="00721E0C" w:rsidP="00721E0C">
      <w:pPr>
        <w:autoSpaceDE w:val="0"/>
        <w:autoSpaceDN w:val="0"/>
        <w:adjustRightInd w:val="0"/>
        <w:spacing w:after="0" w:line="240" w:lineRule="auto"/>
        <w:jc w:val="both"/>
        <w:rPr>
          <w:rFonts w:ascii="Times New Roman" w:hAnsi="Times New Roman" w:cs="Times New Roman"/>
          <w:b/>
          <w:sz w:val="20"/>
          <w:szCs w:val="20"/>
        </w:rPr>
      </w:pPr>
      <w:r w:rsidRPr="00721E0C">
        <w:rPr>
          <w:rFonts w:ascii="Times New Roman" w:hAnsi="Times New Roman" w:cs="Times New Roman"/>
          <w:b/>
          <w:sz w:val="13"/>
          <w:szCs w:val="13"/>
          <w:vertAlign w:val="superscript"/>
        </w:rPr>
        <w:t>14</w:t>
      </w:r>
      <w:r w:rsidRPr="00721E0C">
        <w:rPr>
          <w:rFonts w:ascii="Times New Roman" w:hAnsi="Times New Roman" w:cs="Times New Roman"/>
          <w:b/>
          <w:sz w:val="20"/>
          <w:szCs w:val="20"/>
        </w:rPr>
        <w:t xml:space="preserve">Para </w:t>
      </w:r>
      <w:r w:rsidRPr="00721E0C">
        <w:rPr>
          <w:rFonts w:ascii="Times New Roman" w:hAnsi="Times New Roman" w:cs="Times New Roman"/>
          <w:b/>
          <w:bCs/>
          <w:sz w:val="20"/>
          <w:szCs w:val="20"/>
        </w:rPr>
        <w:t xml:space="preserve">18. </w:t>
      </w:r>
      <w:r w:rsidRPr="00721E0C">
        <w:rPr>
          <w:rFonts w:ascii="Times New Roman" w:hAnsi="Times New Roman" w:cs="Times New Roman"/>
          <w:b/>
          <w:sz w:val="20"/>
          <w:szCs w:val="20"/>
        </w:rPr>
        <w:t>“The right to privacy — by itself — has not been identified under the Constitution. As a concept it may be too broad and moralistic to define it judicially. Whether right to privacy can be claimed or has been infringed in a given case would depend on the facts of the said case. But the right to hold a telephone conversation in the privacy</w:t>
      </w:r>
      <w:r>
        <w:rPr>
          <w:rFonts w:ascii="Times New Roman" w:hAnsi="Times New Roman" w:cs="Times New Roman"/>
          <w:b/>
          <w:sz w:val="20"/>
          <w:szCs w:val="20"/>
        </w:rPr>
        <w:t xml:space="preserve"> </w:t>
      </w:r>
      <w:r w:rsidRPr="00721E0C">
        <w:rPr>
          <w:rFonts w:ascii="Times New Roman" w:hAnsi="Times New Roman" w:cs="Times New Roman"/>
          <w:b/>
          <w:sz w:val="20"/>
          <w:szCs w:val="20"/>
        </w:rPr>
        <w:t>of one’s home or office without interference can certainly be claimed as “right to privacy”. Conversations on the telephone are often of an intimate and confidential character. Telephone conversation is a part of modern man’s life.</w:t>
      </w:r>
      <w:r>
        <w:rPr>
          <w:rFonts w:ascii="Times New Roman" w:hAnsi="Times New Roman" w:cs="Times New Roman"/>
          <w:b/>
          <w:sz w:val="20"/>
          <w:szCs w:val="20"/>
        </w:rPr>
        <w:t xml:space="preserve"> </w:t>
      </w:r>
      <w:r w:rsidRPr="00721E0C">
        <w:rPr>
          <w:rFonts w:ascii="Times New Roman" w:hAnsi="Times New Roman" w:cs="Times New Roman"/>
          <w:b/>
          <w:sz w:val="20"/>
          <w:szCs w:val="20"/>
        </w:rPr>
        <w:t>It is considered so important that more and more people are carrying mobile telephone instruments in their pockets.</w:t>
      </w:r>
      <w:r>
        <w:rPr>
          <w:rFonts w:ascii="Times New Roman" w:hAnsi="Times New Roman" w:cs="Times New Roman"/>
          <w:b/>
          <w:sz w:val="20"/>
          <w:szCs w:val="20"/>
        </w:rPr>
        <w:t xml:space="preserve"> </w:t>
      </w:r>
      <w:r w:rsidRPr="00721E0C">
        <w:rPr>
          <w:rFonts w:ascii="Times New Roman" w:hAnsi="Times New Roman" w:cs="Times New Roman"/>
          <w:b/>
          <w:sz w:val="20"/>
          <w:szCs w:val="20"/>
        </w:rPr>
        <w:t>Telephone conversation is an important facet of a man’s private life. Right to privacy would certainly include conversation in the privacy of one’s home or office. Telephone-tapping would, thus, infract Article 21 of</w:t>
      </w:r>
      <w:r>
        <w:rPr>
          <w:rFonts w:ascii="Times New Roman" w:hAnsi="Times New Roman" w:cs="Times New Roman"/>
          <w:b/>
          <w:sz w:val="20"/>
          <w:szCs w:val="20"/>
        </w:rPr>
        <w:t xml:space="preserve"> </w:t>
      </w:r>
      <w:r w:rsidRPr="00721E0C">
        <w:rPr>
          <w:rFonts w:ascii="Times New Roman" w:hAnsi="Times New Roman" w:cs="Times New Roman"/>
          <w:b/>
          <w:sz w:val="20"/>
          <w:szCs w:val="20"/>
        </w:rPr>
        <w:t xml:space="preserve">the Constitution of India unless it is permitted under the procedure established by law. </w:t>
      </w:r>
    </w:p>
    <w:p w:rsidR="00721E0C" w:rsidRPr="00721E0C" w:rsidRDefault="00721E0C" w:rsidP="00721E0C">
      <w:pPr>
        <w:autoSpaceDE w:val="0"/>
        <w:autoSpaceDN w:val="0"/>
        <w:adjustRightInd w:val="0"/>
        <w:spacing w:after="0" w:line="240" w:lineRule="auto"/>
        <w:jc w:val="both"/>
        <w:rPr>
          <w:rFonts w:ascii="Times New Roman" w:hAnsi="Times New Roman" w:cs="Times New Roman"/>
          <w:b/>
          <w:sz w:val="20"/>
          <w:szCs w:val="20"/>
        </w:rPr>
      </w:pPr>
      <w:r w:rsidRPr="00721E0C">
        <w:rPr>
          <w:rFonts w:ascii="Times New Roman" w:hAnsi="Times New Roman" w:cs="Times New Roman"/>
          <w:b/>
          <w:bCs/>
          <w:sz w:val="20"/>
          <w:szCs w:val="20"/>
        </w:rPr>
        <w:t xml:space="preserve">19. </w:t>
      </w:r>
      <w:r w:rsidRPr="00721E0C">
        <w:rPr>
          <w:rFonts w:ascii="Times New Roman" w:hAnsi="Times New Roman" w:cs="Times New Roman"/>
          <w:b/>
          <w:sz w:val="20"/>
          <w:szCs w:val="20"/>
        </w:rPr>
        <w:t>Right to freedom of speech and expression is guaranteed under Article 19(1)(</w:t>
      </w:r>
      <w:r w:rsidRPr="00721E0C">
        <w:rPr>
          <w:rFonts w:ascii="Times New Roman" w:hAnsi="Times New Roman" w:cs="Times New Roman"/>
          <w:b/>
          <w:i/>
          <w:iCs/>
          <w:sz w:val="20"/>
          <w:szCs w:val="20"/>
        </w:rPr>
        <w:t>a</w:t>
      </w:r>
      <w:r w:rsidRPr="00721E0C">
        <w:rPr>
          <w:rFonts w:ascii="Times New Roman" w:hAnsi="Times New Roman" w:cs="Times New Roman"/>
          <w:b/>
          <w:sz w:val="20"/>
          <w:szCs w:val="20"/>
        </w:rPr>
        <w:t>) of the Constitution. This freedom means the right to express one’s convictions and opinions freely by word of mouth, writing, printing, picture, or in any other manner. When a person is talking on telephone, he is exercising his right to freedom</w:t>
      </w:r>
      <w:r>
        <w:rPr>
          <w:rFonts w:ascii="Times New Roman" w:hAnsi="Times New Roman" w:cs="Times New Roman"/>
          <w:b/>
          <w:sz w:val="20"/>
          <w:szCs w:val="20"/>
        </w:rPr>
        <w:t xml:space="preserve"> </w:t>
      </w:r>
      <w:r w:rsidRPr="00721E0C">
        <w:rPr>
          <w:rFonts w:ascii="Times New Roman" w:hAnsi="Times New Roman" w:cs="Times New Roman"/>
          <w:b/>
          <w:sz w:val="20"/>
          <w:szCs w:val="20"/>
        </w:rPr>
        <w:t>of speech and expression. Telephone-tapping unless it comes within the grounds of restrictions under Article 19(2) would infract Article 19(1)(</w:t>
      </w:r>
      <w:r w:rsidRPr="00721E0C">
        <w:rPr>
          <w:rFonts w:ascii="Times New Roman" w:hAnsi="Times New Roman" w:cs="Times New Roman"/>
          <w:b/>
          <w:i/>
          <w:iCs/>
          <w:sz w:val="20"/>
          <w:szCs w:val="20"/>
        </w:rPr>
        <w:t>a</w:t>
      </w:r>
      <w:r w:rsidRPr="00721E0C">
        <w:rPr>
          <w:rFonts w:ascii="Times New Roman" w:hAnsi="Times New Roman" w:cs="Times New Roman"/>
          <w:b/>
          <w:sz w:val="20"/>
          <w:szCs w:val="20"/>
        </w:rPr>
        <w:t>) of the Constitution.”</w:t>
      </w:r>
    </w:p>
    <w:p w:rsidR="00721E0C" w:rsidRPr="00721E0C" w:rsidRDefault="00721E0C" w:rsidP="00721E0C">
      <w:pPr>
        <w:autoSpaceDE w:val="0"/>
        <w:autoSpaceDN w:val="0"/>
        <w:adjustRightInd w:val="0"/>
        <w:spacing w:after="0" w:line="240" w:lineRule="auto"/>
        <w:jc w:val="both"/>
        <w:rPr>
          <w:rFonts w:ascii="Times New Roman" w:hAnsi="Times New Roman" w:cs="Times New Roman"/>
          <w:sz w:val="20"/>
          <w:szCs w:val="20"/>
        </w:rPr>
      </w:pPr>
    </w:p>
    <w:p w:rsidR="00721E0C" w:rsidRDefault="00721E0C" w:rsidP="00721E0C">
      <w:pPr>
        <w:spacing w:after="0" w:line="240" w:lineRule="auto"/>
        <w:jc w:val="both"/>
        <w:rPr>
          <w:rFonts w:ascii="Times New Roman" w:hAnsi="Times New Roman" w:cs="Times New Roman"/>
          <w:sz w:val="25"/>
          <w:szCs w:val="25"/>
        </w:rPr>
      </w:pPr>
      <w:r w:rsidRPr="00C20F8A">
        <w:rPr>
          <w:rFonts w:ascii="Times New Roman" w:hAnsi="Times New Roman" w:cs="Times New Roman"/>
          <w:sz w:val="25"/>
          <w:szCs w:val="25"/>
        </w:rPr>
        <w:t>Constitution of India and more particularly right to liberty under Article 21 would be denuded of vigour and vitality. At the same time, we are also of the opinion that the institutional integrity and judicial discipline require that pronouncement made by larger Benches of this Court cannot be ignored by the smaller Benches without appropriately explaining the reasons for not following the pronouncements made by such larger Benches. With due respect to all the learned Judges who rendered the subsequent judgments - where right to privacy is asserted or referred to their Lordships concern for the liberty of human beings, we are of the humble opinion that there appears to be certain amount of apparent unresolved contradiction in the law declared by this Court.</w:t>
      </w:r>
    </w:p>
    <w:p w:rsidR="00721E0C" w:rsidRDefault="00721E0C" w:rsidP="00721E0C">
      <w:pPr>
        <w:spacing w:after="0" w:line="240" w:lineRule="auto"/>
        <w:jc w:val="both"/>
        <w:rPr>
          <w:rFonts w:ascii="Times New Roman" w:hAnsi="Times New Roman" w:cs="Times New Roman"/>
          <w:sz w:val="25"/>
          <w:szCs w:val="25"/>
        </w:rPr>
      </w:pPr>
    </w:p>
    <w:p w:rsidR="00721E0C" w:rsidRDefault="00721E0C" w:rsidP="00721E0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C20F8A">
        <w:rPr>
          <w:rFonts w:ascii="Times New Roman" w:hAnsi="Times New Roman" w:cs="Times New Roman"/>
          <w:sz w:val="25"/>
          <w:szCs w:val="25"/>
        </w:rPr>
        <w:t xml:space="preserve"> Therefore, in our opinion to give a quietus to the kind of controversy raised in this batch of cases once for all, it is better that the ratio decidendi of M.P. Sharma (supra) and Kharak </w:t>
      </w:r>
    </w:p>
    <w:p w:rsidR="00C20F8A" w:rsidRDefault="00C20F8A" w:rsidP="00C20F8A">
      <w:pPr>
        <w:spacing w:after="0" w:line="240" w:lineRule="auto"/>
        <w:jc w:val="both"/>
        <w:rPr>
          <w:rFonts w:ascii="Times New Roman" w:hAnsi="Times New Roman" w:cs="Times New Roman"/>
          <w:sz w:val="25"/>
          <w:szCs w:val="25"/>
        </w:rPr>
      </w:pPr>
      <w:r w:rsidRPr="00C20F8A">
        <w:rPr>
          <w:rFonts w:ascii="Times New Roman" w:hAnsi="Times New Roman" w:cs="Times New Roman"/>
          <w:sz w:val="25"/>
          <w:szCs w:val="25"/>
        </w:rPr>
        <w:t>Singh (supra) is scrutinized and the jurisprudential correctness of the subsequent decisions of this Court where the right to privacy is either asserted or referred be examined and authoritatively decided by a Bench of appropriate strength.</w:t>
      </w:r>
    </w:p>
    <w:p w:rsidR="007C7422" w:rsidRPr="00C20F8A" w:rsidRDefault="007C7422" w:rsidP="00C20F8A">
      <w:pPr>
        <w:spacing w:after="0" w:line="240" w:lineRule="auto"/>
        <w:jc w:val="both"/>
        <w:rPr>
          <w:rFonts w:ascii="Times New Roman" w:hAnsi="Times New Roman" w:cs="Times New Roman"/>
          <w:sz w:val="25"/>
          <w:szCs w:val="25"/>
        </w:rPr>
      </w:pPr>
    </w:p>
    <w:p w:rsidR="00C20F8A" w:rsidRDefault="007C7422" w:rsidP="00C20F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C20F8A" w:rsidRPr="00C20F8A">
        <w:rPr>
          <w:rFonts w:ascii="Times New Roman" w:hAnsi="Times New Roman" w:cs="Times New Roman"/>
          <w:sz w:val="25"/>
          <w:szCs w:val="25"/>
        </w:rPr>
        <w:t xml:space="preserve"> We, therefore, direct the Registry to place these matters before the Hon’ble the Chief Justice of India for appropriate orders.</w:t>
      </w:r>
    </w:p>
    <w:p w:rsidR="007C7422" w:rsidRPr="00C20F8A" w:rsidRDefault="007C7422" w:rsidP="00C20F8A">
      <w:pPr>
        <w:spacing w:after="0" w:line="240" w:lineRule="auto"/>
        <w:jc w:val="both"/>
        <w:rPr>
          <w:rFonts w:ascii="Times New Roman" w:hAnsi="Times New Roman" w:cs="Times New Roman"/>
          <w:sz w:val="25"/>
          <w:szCs w:val="25"/>
        </w:rPr>
      </w:pPr>
    </w:p>
    <w:p w:rsidR="00C20F8A" w:rsidRPr="00721E0C" w:rsidRDefault="00721E0C" w:rsidP="00721E0C">
      <w:pPr>
        <w:spacing w:after="0" w:line="240" w:lineRule="auto"/>
        <w:jc w:val="center"/>
        <w:rPr>
          <w:rFonts w:ascii="Times New Roman" w:hAnsi="Times New Roman" w:cs="Times New Roman"/>
          <w:b/>
          <w:sz w:val="25"/>
          <w:szCs w:val="25"/>
        </w:rPr>
      </w:pPr>
      <w:r w:rsidRPr="00721E0C">
        <w:rPr>
          <w:rFonts w:ascii="Times New Roman" w:hAnsi="Times New Roman" w:cs="Times New Roman"/>
          <w:b/>
          <w:sz w:val="25"/>
          <w:szCs w:val="25"/>
        </w:rPr>
        <w:t>INTERI</w:t>
      </w:r>
      <w:r w:rsidR="00C20F8A" w:rsidRPr="00721E0C">
        <w:rPr>
          <w:rFonts w:ascii="Times New Roman" w:hAnsi="Times New Roman" w:cs="Times New Roman"/>
          <w:b/>
          <w:sz w:val="25"/>
          <w:szCs w:val="25"/>
        </w:rPr>
        <w:t xml:space="preserve">M </w:t>
      </w:r>
      <w:r w:rsidRPr="00721E0C">
        <w:rPr>
          <w:rFonts w:ascii="Times New Roman" w:hAnsi="Times New Roman" w:cs="Times New Roman"/>
          <w:b/>
          <w:sz w:val="25"/>
          <w:szCs w:val="25"/>
        </w:rPr>
        <w:t>ORDER</w:t>
      </w:r>
    </w:p>
    <w:p w:rsidR="00721E0C" w:rsidRPr="00C20F8A" w:rsidRDefault="00721E0C" w:rsidP="00C20F8A">
      <w:pPr>
        <w:spacing w:after="0" w:line="240" w:lineRule="auto"/>
        <w:jc w:val="both"/>
        <w:rPr>
          <w:rFonts w:ascii="Times New Roman" w:hAnsi="Times New Roman" w:cs="Times New Roman"/>
          <w:sz w:val="25"/>
          <w:szCs w:val="25"/>
        </w:rPr>
      </w:pPr>
    </w:p>
    <w:p w:rsidR="00721E0C" w:rsidRDefault="00721E0C" w:rsidP="00C20F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C20F8A" w:rsidRPr="00C20F8A">
        <w:rPr>
          <w:rFonts w:ascii="Times New Roman" w:hAnsi="Times New Roman" w:cs="Times New Roman"/>
          <w:sz w:val="25"/>
          <w:szCs w:val="25"/>
        </w:rPr>
        <w:t>After the matter was referred for decision by a larger Bench, the learned counsel for the petitioners prayed for further interim</w:t>
      </w:r>
      <w:r>
        <w:rPr>
          <w:rFonts w:ascii="Times New Roman" w:hAnsi="Times New Roman" w:cs="Times New Roman"/>
          <w:sz w:val="25"/>
          <w:szCs w:val="25"/>
        </w:rPr>
        <w:t xml:space="preserve"> </w:t>
      </w:r>
      <w:r w:rsidR="00C20F8A" w:rsidRPr="00C20F8A">
        <w:rPr>
          <w:rFonts w:ascii="Times New Roman" w:hAnsi="Times New Roman" w:cs="Times New Roman"/>
          <w:sz w:val="25"/>
          <w:szCs w:val="25"/>
        </w:rPr>
        <w:t>orders. The last interim order in force is the order of this Court dated 23.9.2013 which reads as follows:-</w:t>
      </w:r>
    </w:p>
    <w:p w:rsidR="00C20F8A" w:rsidRPr="00C20F8A" w:rsidRDefault="00C20F8A" w:rsidP="00C20F8A">
      <w:pPr>
        <w:spacing w:after="0" w:line="240" w:lineRule="auto"/>
        <w:jc w:val="both"/>
        <w:rPr>
          <w:rFonts w:ascii="Times New Roman" w:hAnsi="Times New Roman" w:cs="Times New Roman"/>
          <w:sz w:val="25"/>
          <w:szCs w:val="25"/>
        </w:rPr>
      </w:pPr>
    </w:p>
    <w:p w:rsidR="00C20F8A" w:rsidRDefault="00721E0C" w:rsidP="00721E0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C20F8A" w:rsidRPr="00C20F8A">
        <w:rPr>
          <w:rFonts w:ascii="Times New Roman" w:hAnsi="Times New Roman" w:cs="Times New Roman"/>
          <w:sz w:val="25"/>
          <w:szCs w:val="25"/>
        </w:rPr>
        <w:t>All the matters require to be heard finally. List all matters for final hearing after the Constitution Bench is over.</w:t>
      </w:r>
      <w:r>
        <w:rPr>
          <w:rFonts w:ascii="Times New Roman" w:hAnsi="Times New Roman" w:cs="Times New Roman"/>
          <w:sz w:val="25"/>
          <w:szCs w:val="25"/>
        </w:rPr>
        <w:t xml:space="preserve"> </w:t>
      </w:r>
      <w:r w:rsidR="00C20F8A" w:rsidRPr="00C20F8A">
        <w:rPr>
          <w:rFonts w:ascii="Times New Roman" w:hAnsi="Times New Roman" w:cs="Times New Roman"/>
          <w:sz w:val="25"/>
          <w:szCs w:val="25"/>
        </w:rPr>
        <w:t>In the meanwhile, no person should suffer for not getting the Aadhaar card inspite of the fact that some authority had issued a circular making it mandatory and when any person applies to get the Aadhaar card voluntarily, it may be checked whether that person is entitled for it under the law and it should not be given to any illegal immigrant.”</w:t>
      </w:r>
    </w:p>
    <w:p w:rsidR="00721E0C" w:rsidRPr="00C20F8A" w:rsidRDefault="00721E0C" w:rsidP="00C20F8A">
      <w:pPr>
        <w:spacing w:after="0" w:line="240" w:lineRule="auto"/>
        <w:jc w:val="both"/>
        <w:rPr>
          <w:rFonts w:ascii="Times New Roman" w:hAnsi="Times New Roman" w:cs="Times New Roman"/>
          <w:sz w:val="25"/>
          <w:szCs w:val="25"/>
        </w:rPr>
      </w:pPr>
    </w:p>
    <w:p w:rsidR="00C20F8A" w:rsidRDefault="00721E0C" w:rsidP="00C20F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C20F8A" w:rsidRPr="00C20F8A">
        <w:rPr>
          <w:rFonts w:ascii="Times New Roman" w:hAnsi="Times New Roman" w:cs="Times New Roman"/>
          <w:sz w:val="25"/>
          <w:szCs w:val="25"/>
        </w:rPr>
        <w:t>It was submitted by Shri Shyam Divan, learned counsel for the petitioners that the petitioners having pointed out a serious breach of privacy in their submissions, preceding the reference, this Court may grant an injunction restraining the authorities from proceeding further in the matter of obtaining biometrics etc. for an Aadhaar card. Shri Shyam Divan submitted that the biometric information of an individual can be circulated to other authorities or corporate bodies which, in turn can be used by them for commercial exploitation and, therefore, must be stopped.</w:t>
      </w:r>
    </w:p>
    <w:p w:rsidR="00721E0C" w:rsidRPr="00C20F8A" w:rsidRDefault="00721E0C" w:rsidP="00C20F8A">
      <w:pPr>
        <w:spacing w:after="0" w:line="240" w:lineRule="auto"/>
        <w:jc w:val="both"/>
        <w:rPr>
          <w:rFonts w:ascii="Times New Roman" w:hAnsi="Times New Roman" w:cs="Times New Roman"/>
          <w:sz w:val="25"/>
          <w:szCs w:val="25"/>
        </w:rPr>
      </w:pPr>
    </w:p>
    <w:p w:rsidR="00C20F8A" w:rsidRDefault="00721E0C" w:rsidP="00C20F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C20F8A" w:rsidRPr="00C20F8A">
        <w:rPr>
          <w:rFonts w:ascii="Times New Roman" w:hAnsi="Times New Roman" w:cs="Times New Roman"/>
          <w:sz w:val="25"/>
          <w:szCs w:val="25"/>
        </w:rPr>
        <w:t>The learned Attorney General pointed out, on the other hand, that this Court has at no point of time, even while making the interim order dated 23.9.2013 granted an injunction restraining the Unique Identification Authority of India from going ahead and</w:t>
      </w:r>
      <w:r>
        <w:rPr>
          <w:rFonts w:ascii="Times New Roman" w:hAnsi="Times New Roman" w:cs="Times New Roman"/>
          <w:sz w:val="25"/>
          <w:szCs w:val="25"/>
        </w:rPr>
        <w:t xml:space="preserve"> </w:t>
      </w:r>
      <w:r w:rsidR="00C20F8A" w:rsidRPr="00C20F8A">
        <w:rPr>
          <w:rFonts w:ascii="Times New Roman" w:hAnsi="Times New Roman" w:cs="Times New Roman"/>
          <w:sz w:val="25"/>
          <w:szCs w:val="25"/>
        </w:rPr>
        <w:t xml:space="preserve">obtaining biometric or other information from a citizen for the purpose of a Unique Identification </w:t>
      </w:r>
      <w:r w:rsidR="00C20F8A" w:rsidRPr="00C20F8A">
        <w:rPr>
          <w:rFonts w:ascii="Times New Roman" w:hAnsi="Times New Roman" w:cs="Times New Roman"/>
          <w:sz w:val="25"/>
          <w:szCs w:val="25"/>
        </w:rPr>
        <w:lastRenderedPageBreak/>
        <w:t>Number, better known as “Aadhaar card”. It was further submitted that the respondents have gone ahead with the project and have issued Aadhaar cards to about 90% of the population. Also that a large amount of money has been spent by the Union Government on this project for issuing Aadhaar cards and that in the circumstances, none of the well-known consideration for grant of injunction are in favour of the petitioners.</w:t>
      </w:r>
    </w:p>
    <w:p w:rsidR="00721E0C" w:rsidRPr="00C20F8A" w:rsidRDefault="00721E0C" w:rsidP="00C20F8A">
      <w:pPr>
        <w:spacing w:after="0" w:line="240" w:lineRule="auto"/>
        <w:jc w:val="both"/>
        <w:rPr>
          <w:rFonts w:ascii="Times New Roman" w:hAnsi="Times New Roman" w:cs="Times New Roman"/>
          <w:sz w:val="25"/>
          <w:szCs w:val="25"/>
        </w:rPr>
      </w:pPr>
    </w:p>
    <w:p w:rsidR="00C20F8A" w:rsidRDefault="00721E0C" w:rsidP="00C20F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C20F8A" w:rsidRPr="00C20F8A">
        <w:rPr>
          <w:rFonts w:ascii="Times New Roman" w:hAnsi="Times New Roman" w:cs="Times New Roman"/>
          <w:sz w:val="25"/>
          <w:szCs w:val="25"/>
        </w:rPr>
        <w:t>The learned Attorney General stated that the respondents do not share any personal information of an Aadhaar card holder through biometrics or otherwise with any other person or authority. This statement allays the apprehension for now, that there is a widespread breach of privacy of those to whom an Aadhaar card has been issued. It was further contended on behalf of the petitioners that there still is breach of privacy. This is a matter which need not be gone into further at this stage.</w:t>
      </w:r>
    </w:p>
    <w:p w:rsidR="00721E0C" w:rsidRPr="00C20F8A" w:rsidRDefault="00721E0C" w:rsidP="00C20F8A">
      <w:pPr>
        <w:spacing w:after="0" w:line="240" w:lineRule="auto"/>
        <w:jc w:val="both"/>
        <w:rPr>
          <w:rFonts w:ascii="Times New Roman" w:hAnsi="Times New Roman" w:cs="Times New Roman"/>
          <w:sz w:val="25"/>
          <w:szCs w:val="25"/>
        </w:rPr>
      </w:pPr>
    </w:p>
    <w:p w:rsidR="00C20F8A" w:rsidRPr="00C20F8A" w:rsidRDefault="00721E0C" w:rsidP="00C20F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C20F8A" w:rsidRPr="00C20F8A">
        <w:rPr>
          <w:rFonts w:ascii="Times New Roman" w:hAnsi="Times New Roman" w:cs="Times New Roman"/>
          <w:sz w:val="25"/>
          <w:szCs w:val="25"/>
        </w:rPr>
        <w:t>The learned Attorney General has further submitted that the Aadhaar card is of great benefit since it ensures an effective implementation of several social benefit schemes of the Government like MGNREGA, the distribution of food, ration and kerosene through PDS system and grant of subsidies in the distribution of LPG. It was, therefore, submitted that restraining the respondents from issuing further Aadhaar cards or fully utilising the existing</w:t>
      </w:r>
    </w:p>
    <w:p w:rsidR="00C20F8A" w:rsidRPr="00C20F8A" w:rsidRDefault="00C20F8A" w:rsidP="00C20F8A">
      <w:pPr>
        <w:spacing w:after="0" w:line="240" w:lineRule="auto"/>
        <w:jc w:val="both"/>
        <w:rPr>
          <w:rFonts w:ascii="Times New Roman" w:hAnsi="Times New Roman" w:cs="Times New Roman"/>
          <w:sz w:val="25"/>
          <w:szCs w:val="25"/>
        </w:rPr>
      </w:pPr>
    </w:p>
    <w:p w:rsidR="00C20F8A" w:rsidRDefault="00721E0C" w:rsidP="00C20F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C20F8A" w:rsidRPr="00C20F8A">
        <w:rPr>
          <w:rFonts w:ascii="Times New Roman" w:hAnsi="Times New Roman" w:cs="Times New Roman"/>
          <w:sz w:val="25"/>
          <w:szCs w:val="25"/>
        </w:rPr>
        <w:t>Aadhaar cards for the social schemes of the Government should be allowed.</w:t>
      </w:r>
      <w:r>
        <w:rPr>
          <w:rFonts w:ascii="Times New Roman" w:hAnsi="Times New Roman" w:cs="Times New Roman"/>
          <w:sz w:val="25"/>
          <w:szCs w:val="25"/>
        </w:rPr>
        <w:t xml:space="preserve"> </w:t>
      </w:r>
      <w:r w:rsidR="00C20F8A" w:rsidRPr="00C20F8A">
        <w:rPr>
          <w:rFonts w:ascii="Times New Roman" w:hAnsi="Times New Roman" w:cs="Times New Roman"/>
          <w:sz w:val="25"/>
          <w:szCs w:val="25"/>
        </w:rPr>
        <w:t>The learned Attorney General further stated that the respondent Union of India would ensure that Aadhaar cards would only be issued on a consensual basis after informing the public at large about the fact that the preparation of Aadhaar card involving the parting of biometric information of the individual, which shall however not be used for any purpose other than a social benefit schemes.</w:t>
      </w:r>
    </w:p>
    <w:p w:rsidR="00721E0C" w:rsidRPr="00C20F8A" w:rsidRDefault="00721E0C" w:rsidP="00C20F8A">
      <w:pPr>
        <w:spacing w:after="0" w:line="240" w:lineRule="auto"/>
        <w:jc w:val="both"/>
        <w:rPr>
          <w:rFonts w:ascii="Times New Roman" w:hAnsi="Times New Roman" w:cs="Times New Roman"/>
          <w:sz w:val="25"/>
          <w:szCs w:val="25"/>
        </w:rPr>
      </w:pPr>
    </w:p>
    <w:p w:rsidR="00C20F8A" w:rsidRDefault="00721E0C" w:rsidP="00C20F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C20F8A" w:rsidRPr="00C20F8A">
        <w:rPr>
          <w:rFonts w:ascii="Times New Roman" w:hAnsi="Times New Roman" w:cs="Times New Roman"/>
          <w:sz w:val="25"/>
          <w:szCs w:val="25"/>
        </w:rPr>
        <w:t>Having considered the matter, we are of the view that the balance of interest would be best served, till the matter is finally decided by a larger Bench if the Union of India or the UIDA proceed in the following manner:-</w:t>
      </w:r>
    </w:p>
    <w:p w:rsidR="00721E0C" w:rsidRPr="00C20F8A" w:rsidRDefault="00721E0C" w:rsidP="00C20F8A">
      <w:pPr>
        <w:spacing w:after="0" w:line="240" w:lineRule="auto"/>
        <w:jc w:val="both"/>
        <w:rPr>
          <w:rFonts w:ascii="Times New Roman" w:hAnsi="Times New Roman" w:cs="Times New Roman"/>
          <w:sz w:val="25"/>
          <w:szCs w:val="25"/>
        </w:rPr>
      </w:pPr>
    </w:p>
    <w:p w:rsidR="00C20F8A" w:rsidRDefault="00721E0C" w:rsidP="00721E0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C20F8A" w:rsidRPr="00C20F8A">
        <w:rPr>
          <w:rFonts w:ascii="Times New Roman" w:hAnsi="Times New Roman" w:cs="Times New Roman"/>
          <w:sz w:val="25"/>
          <w:szCs w:val="25"/>
        </w:rPr>
        <w:t>The Union of India shall give wide publicity in the electronic and print media including radio and television networks that it is not mandatory for a citizen to obtain an Aadhaar card;</w:t>
      </w:r>
    </w:p>
    <w:p w:rsidR="00721E0C" w:rsidRPr="00C20F8A" w:rsidRDefault="00721E0C" w:rsidP="00721E0C">
      <w:pPr>
        <w:spacing w:after="0" w:line="240" w:lineRule="auto"/>
        <w:ind w:left="720"/>
        <w:jc w:val="both"/>
        <w:rPr>
          <w:rFonts w:ascii="Times New Roman" w:hAnsi="Times New Roman" w:cs="Times New Roman"/>
          <w:sz w:val="25"/>
          <w:szCs w:val="25"/>
        </w:rPr>
      </w:pPr>
    </w:p>
    <w:p w:rsidR="00C20F8A" w:rsidRDefault="00721E0C" w:rsidP="00721E0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20F8A" w:rsidRPr="00C20F8A">
        <w:rPr>
          <w:rFonts w:ascii="Times New Roman" w:hAnsi="Times New Roman" w:cs="Times New Roman"/>
          <w:sz w:val="25"/>
          <w:szCs w:val="25"/>
        </w:rPr>
        <w:t>The production of an Aadhaar card will not be condition for obtaining any benefits otherwise due to a citizen;</w:t>
      </w:r>
    </w:p>
    <w:p w:rsidR="00721E0C" w:rsidRPr="00C20F8A" w:rsidRDefault="00721E0C" w:rsidP="00721E0C">
      <w:pPr>
        <w:spacing w:after="0" w:line="240" w:lineRule="auto"/>
        <w:ind w:left="720"/>
        <w:jc w:val="both"/>
        <w:rPr>
          <w:rFonts w:ascii="Times New Roman" w:hAnsi="Times New Roman" w:cs="Times New Roman"/>
          <w:sz w:val="25"/>
          <w:szCs w:val="25"/>
        </w:rPr>
      </w:pPr>
    </w:p>
    <w:p w:rsidR="00C20F8A" w:rsidRDefault="00721E0C" w:rsidP="00721E0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C20F8A" w:rsidRPr="00C20F8A">
        <w:rPr>
          <w:rFonts w:ascii="Times New Roman" w:hAnsi="Times New Roman" w:cs="Times New Roman"/>
          <w:sz w:val="25"/>
          <w:szCs w:val="25"/>
        </w:rPr>
        <w:t xml:space="preserve"> The Unique Identification Number or the Aadhaar card will not</w:t>
      </w:r>
      <w:r>
        <w:rPr>
          <w:rFonts w:ascii="Times New Roman" w:hAnsi="Times New Roman" w:cs="Times New Roman"/>
          <w:sz w:val="25"/>
          <w:szCs w:val="25"/>
        </w:rPr>
        <w:t xml:space="preserve"> </w:t>
      </w:r>
      <w:r w:rsidR="00C20F8A" w:rsidRPr="00C20F8A">
        <w:rPr>
          <w:rFonts w:ascii="Times New Roman" w:hAnsi="Times New Roman" w:cs="Times New Roman"/>
          <w:sz w:val="25"/>
          <w:szCs w:val="25"/>
        </w:rPr>
        <w:t>be used by the respondents for any purpose other than the PDS</w:t>
      </w:r>
      <w:r>
        <w:rPr>
          <w:rFonts w:ascii="Times New Roman" w:hAnsi="Times New Roman" w:cs="Times New Roman"/>
          <w:sz w:val="25"/>
          <w:szCs w:val="25"/>
        </w:rPr>
        <w:t xml:space="preserve"> </w:t>
      </w:r>
      <w:r w:rsidR="00C20F8A" w:rsidRPr="00C20F8A">
        <w:rPr>
          <w:rFonts w:ascii="Times New Roman" w:hAnsi="Times New Roman" w:cs="Times New Roman"/>
          <w:sz w:val="25"/>
          <w:szCs w:val="25"/>
        </w:rPr>
        <w:t>Scheme and in particular for the purpose of distribution of</w:t>
      </w:r>
      <w:r>
        <w:rPr>
          <w:rFonts w:ascii="Times New Roman" w:hAnsi="Times New Roman" w:cs="Times New Roman"/>
          <w:sz w:val="25"/>
          <w:szCs w:val="25"/>
        </w:rPr>
        <w:t xml:space="preserve"> </w:t>
      </w:r>
      <w:r w:rsidR="00C20F8A" w:rsidRPr="00C20F8A">
        <w:rPr>
          <w:rFonts w:ascii="Times New Roman" w:hAnsi="Times New Roman" w:cs="Times New Roman"/>
          <w:sz w:val="25"/>
          <w:szCs w:val="25"/>
        </w:rPr>
        <w:t>foodgrains, etc. and cooking fuel, such as kerosene. The Aadhaar</w:t>
      </w:r>
      <w:r>
        <w:rPr>
          <w:rFonts w:ascii="Times New Roman" w:hAnsi="Times New Roman" w:cs="Times New Roman"/>
          <w:sz w:val="25"/>
          <w:szCs w:val="25"/>
        </w:rPr>
        <w:t xml:space="preserve"> </w:t>
      </w:r>
      <w:r w:rsidR="00C20F8A" w:rsidRPr="00C20F8A">
        <w:rPr>
          <w:rFonts w:ascii="Times New Roman" w:hAnsi="Times New Roman" w:cs="Times New Roman"/>
          <w:sz w:val="25"/>
          <w:szCs w:val="25"/>
        </w:rPr>
        <w:t>card may also be used for the purpose of the LPG Distribution</w:t>
      </w:r>
      <w:r>
        <w:rPr>
          <w:rFonts w:ascii="Times New Roman" w:hAnsi="Times New Roman" w:cs="Times New Roman"/>
          <w:sz w:val="25"/>
          <w:szCs w:val="25"/>
        </w:rPr>
        <w:t xml:space="preserve"> </w:t>
      </w:r>
      <w:r w:rsidR="00C20F8A" w:rsidRPr="00C20F8A">
        <w:rPr>
          <w:rFonts w:ascii="Times New Roman" w:hAnsi="Times New Roman" w:cs="Times New Roman"/>
          <w:sz w:val="25"/>
          <w:szCs w:val="25"/>
        </w:rPr>
        <w:t>Scheme;</w:t>
      </w:r>
      <w:r w:rsidR="00C20F8A" w:rsidRPr="00C20F8A">
        <w:rPr>
          <w:rFonts w:ascii="Times New Roman" w:hAnsi="Times New Roman" w:cs="Times New Roman"/>
          <w:sz w:val="25"/>
          <w:szCs w:val="25"/>
        </w:rPr>
        <w:tab/>
      </w:r>
    </w:p>
    <w:p w:rsidR="00721E0C" w:rsidRPr="00C20F8A" w:rsidRDefault="00721E0C" w:rsidP="00721E0C">
      <w:pPr>
        <w:spacing w:after="0" w:line="240" w:lineRule="auto"/>
        <w:ind w:left="720"/>
        <w:jc w:val="both"/>
        <w:rPr>
          <w:rFonts w:ascii="Times New Roman" w:hAnsi="Times New Roman" w:cs="Times New Roman"/>
          <w:sz w:val="25"/>
          <w:szCs w:val="25"/>
        </w:rPr>
      </w:pPr>
    </w:p>
    <w:p w:rsidR="00721E0C" w:rsidRDefault="00C20F8A" w:rsidP="00721E0C">
      <w:pPr>
        <w:spacing w:after="0" w:line="240" w:lineRule="auto"/>
        <w:ind w:left="720"/>
        <w:jc w:val="both"/>
        <w:rPr>
          <w:rFonts w:ascii="Times New Roman" w:hAnsi="Times New Roman" w:cs="Times New Roman"/>
          <w:sz w:val="25"/>
          <w:szCs w:val="25"/>
        </w:rPr>
      </w:pPr>
      <w:r w:rsidRPr="00C20F8A">
        <w:rPr>
          <w:rFonts w:ascii="Times New Roman" w:hAnsi="Times New Roman" w:cs="Times New Roman"/>
          <w:sz w:val="25"/>
          <w:szCs w:val="25"/>
        </w:rPr>
        <w:t>4. The information about an individual obtained by the Unique</w:t>
      </w:r>
      <w:r w:rsidR="00721E0C">
        <w:rPr>
          <w:rFonts w:ascii="Times New Roman" w:hAnsi="Times New Roman" w:cs="Times New Roman"/>
          <w:sz w:val="25"/>
          <w:szCs w:val="25"/>
        </w:rPr>
        <w:t xml:space="preserve"> </w:t>
      </w:r>
      <w:r w:rsidRPr="00C20F8A">
        <w:rPr>
          <w:rFonts w:ascii="Times New Roman" w:hAnsi="Times New Roman" w:cs="Times New Roman"/>
          <w:sz w:val="25"/>
          <w:szCs w:val="25"/>
        </w:rPr>
        <w:t>Identification Authority of India while issuing an Aadhaar card shall</w:t>
      </w:r>
      <w:r w:rsidR="00721E0C">
        <w:rPr>
          <w:rFonts w:ascii="Times New Roman" w:hAnsi="Times New Roman" w:cs="Times New Roman"/>
          <w:sz w:val="25"/>
          <w:szCs w:val="25"/>
        </w:rPr>
        <w:t xml:space="preserve"> </w:t>
      </w:r>
      <w:r w:rsidRPr="00C20F8A">
        <w:rPr>
          <w:rFonts w:ascii="Times New Roman" w:hAnsi="Times New Roman" w:cs="Times New Roman"/>
          <w:sz w:val="25"/>
          <w:szCs w:val="25"/>
        </w:rPr>
        <w:t xml:space="preserve">not be used for any other </w:t>
      </w:r>
      <w:r w:rsidRPr="00C20F8A">
        <w:rPr>
          <w:rFonts w:ascii="Times New Roman" w:hAnsi="Times New Roman" w:cs="Times New Roman"/>
          <w:sz w:val="25"/>
          <w:szCs w:val="25"/>
        </w:rPr>
        <w:lastRenderedPageBreak/>
        <w:t>purpose, save as above, except as may be</w:t>
      </w:r>
      <w:r w:rsidR="00721E0C">
        <w:rPr>
          <w:rFonts w:ascii="Times New Roman" w:hAnsi="Times New Roman" w:cs="Times New Roman"/>
          <w:sz w:val="25"/>
          <w:szCs w:val="25"/>
        </w:rPr>
        <w:t xml:space="preserve"> </w:t>
      </w:r>
      <w:r w:rsidRPr="00C20F8A">
        <w:rPr>
          <w:rFonts w:ascii="Times New Roman" w:hAnsi="Times New Roman" w:cs="Times New Roman"/>
          <w:sz w:val="25"/>
          <w:szCs w:val="25"/>
        </w:rPr>
        <w:t>directed by a Court for the purpose of criminal investigation.</w:t>
      </w:r>
      <w:r w:rsidR="00721E0C">
        <w:rPr>
          <w:rFonts w:ascii="Times New Roman" w:hAnsi="Times New Roman" w:cs="Times New Roman"/>
          <w:sz w:val="25"/>
          <w:szCs w:val="25"/>
        </w:rPr>
        <w:t>”</w:t>
      </w:r>
      <w:r w:rsidRPr="00C20F8A">
        <w:rPr>
          <w:rFonts w:ascii="Times New Roman" w:hAnsi="Times New Roman" w:cs="Times New Roman"/>
          <w:sz w:val="25"/>
          <w:szCs w:val="25"/>
        </w:rPr>
        <w:tab/>
      </w:r>
      <w:r w:rsidR="00721E0C">
        <w:rPr>
          <w:rFonts w:ascii="Times New Roman" w:hAnsi="Times New Roman" w:cs="Times New Roman"/>
          <w:sz w:val="25"/>
          <w:szCs w:val="25"/>
        </w:rPr>
        <w:t xml:space="preserve"> </w:t>
      </w:r>
    </w:p>
    <w:p w:rsidR="00721E0C" w:rsidRDefault="00721E0C" w:rsidP="00721E0C">
      <w:pPr>
        <w:spacing w:after="0" w:line="240" w:lineRule="auto"/>
        <w:ind w:left="720"/>
        <w:jc w:val="both"/>
        <w:rPr>
          <w:rFonts w:ascii="Times New Roman" w:hAnsi="Times New Roman" w:cs="Times New Roman"/>
          <w:sz w:val="25"/>
          <w:szCs w:val="25"/>
        </w:rPr>
      </w:pPr>
    </w:p>
    <w:p w:rsidR="00C20F8A" w:rsidRPr="00C20F8A" w:rsidRDefault="00721E0C" w:rsidP="00721E0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 Ordered accordingly.</w:t>
      </w:r>
    </w:p>
    <w:p w:rsidR="00B7242D" w:rsidRDefault="00B7242D" w:rsidP="00C20F8A">
      <w:pPr>
        <w:spacing w:after="0" w:line="240" w:lineRule="auto"/>
        <w:jc w:val="both"/>
        <w:rPr>
          <w:rFonts w:ascii="Times New Roman" w:hAnsi="Times New Roman" w:cs="Times New Roman"/>
          <w:sz w:val="25"/>
          <w:szCs w:val="25"/>
        </w:rPr>
      </w:pPr>
    </w:p>
    <w:p w:rsidR="00721E0C" w:rsidRDefault="00721E0C" w:rsidP="00C20F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21E0C" w:rsidRPr="00721E0C" w:rsidRDefault="00721E0C" w:rsidP="00C20F8A">
      <w:pPr>
        <w:spacing w:after="0" w:line="240" w:lineRule="auto"/>
        <w:jc w:val="both"/>
        <w:rPr>
          <w:rFonts w:ascii="Times New Roman" w:hAnsi="Times New Roman" w:cs="Times New Roman"/>
          <w:i/>
          <w:sz w:val="20"/>
          <w:szCs w:val="20"/>
        </w:rPr>
      </w:pPr>
    </w:p>
    <w:p w:rsidR="00721E0C" w:rsidRPr="00721E0C" w:rsidRDefault="00721E0C" w:rsidP="00721E0C">
      <w:pPr>
        <w:spacing w:after="0" w:line="240" w:lineRule="auto"/>
        <w:jc w:val="both"/>
        <w:rPr>
          <w:rFonts w:ascii="Times New Roman" w:hAnsi="Times New Roman" w:cs="Times New Roman"/>
          <w:i/>
          <w:sz w:val="20"/>
          <w:szCs w:val="20"/>
        </w:rPr>
      </w:pPr>
      <w:r w:rsidRPr="00721E0C">
        <w:rPr>
          <w:rFonts w:ascii="Times New Roman" w:hAnsi="Times New Roman" w:cs="Times New Roman"/>
          <w:i/>
          <w:sz w:val="20"/>
          <w:szCs w:val="20"/>
          <w:vertAlign w:val="superscript"/>
        </w:rPr>
        <w:t>1</w:t>
      </w:r>
      <w:r w:rsidRPr="00721E0C">
        <w:rPr>
          <w:rFonts w:ascii="Times New Roman" w:hAnsi="Times New Roman" w:cs="Times New Roman"/>
          <w:i/>
          <w:sz w:val="20"/>
          <w:szCs w:val="20"/>
        </w:rPr>
        <w:t xml:space="preserve">AIR 1954 SC 0300 </w:t>
      </w:r>
    </w:p>
    <w:p w:rsidR="00721E0C" w:rsidRPr="00721E0C" w:rsidRDefault="00721E0C" w:rsidP="00721E0C">
      <w:pPr>
        <w:spacing w:after="0" w:line="240" w:lineRule="auto"/>
        <w:jc w:val="both"/>
        <w:rPr>
          <w:rFonts w:ascii="Times New Roman" w:hAnsi="Times New Roman" w:cs="Times New Roman"/>
          <w:i/>
          <w:sz w:val="20"/>
          <w:szCs w:val="20"/>
        </w:rPr>
      </w:pPr>
      <w:r w:rsidRPr="00721E0C">
        <w:rPr>
          <w:rFonts w:ascii="Times New Roman" w:hAnsi="Times New Roman" w:cs="Times New Roman"/>
          <w:i/>
          <w:sz w:val="20"/>
          <w:szCs w:val="20"/>
          <w:vertAlign w:val="superscript"/>
        </w:rPr>
        <w:t>2</w:t>
      </w:r>
      <w:r w:rsidRPr="00721E0C">
        <w:rPr>
          <w:rFonts w:ascii="Times New Roman" w:hAnsi="Times New Roman" w:cs="Times New Roman"/>
          <w:i/>
          <w:sz w:val="20"/>
          <w:szCs w:val="20"/>
        </w:rPr>
        <w:t>AIR 1963 SC 1295</w:t>
      </w:r>
    </w:p>
    <w:p w:rsidR="00721E0C" w:rsidRPr="00721E0C" w:rsidRDefault="00721E0C" w:rsidP="00721E0C">
      <w:pPr>
        <w:spacing w:after="0" w:line="240" w:lineRule="auto"/>
        <w:jc w:val="both"/>
        <w:rPr>
          <w:rFonts w:ascii="Times New Roman" w:hAnsi="Times New Roman" w:cs="Times New Roman"/>
          <w:i/>
          <w:sz w:val="20"/>
          <w:szCs w:val="20"/>
        </w:rPr>
      </w:pPr>
      <w:r w:rsidRPr="00721E0C">
        <w:rPr>
          <w:rFonts w:ascii="Times New Roman" w:hAnsi="Times New Roman" w:cs="Times New Roman"/>
          <w:i/>
          <w:sz w:val="20"/>
          <w:szCs w:val="20"/>
          <w:vertAlign w:val="superscript"/>
        </w:rPr>
        <w:t>3</w:t>
      </w:r>
      <w:r w:rsidRPr="00721E0C">
        <w:rPr>
          <w:rFonts w:ascii="Times New Roman" w:hAnsi="Times New Roman" w:cs="Times New Roman"/>
          <w:i/>
          <w:sz w:val="20"/>
          <w:szCs w:val="20"/>
        </w:rPr>
        <w:t>AIR 1954 SC 0300</w:t>
      </w:r>
    </w:p>
    <w:p w:rsidR="00721E0C" w:rsidRPr="00721E0C" w:rsidRDefault="00721E0C" w:rsidP="00721E0C">
      <w:pPr>
        <w:spacing w:after="0" w:line="240" w:lineRule="auto"/>
        <w:jc w:val="both"/>
        <w:rPr>
          <w:rFonts w:ascii="Times New Roman" w:hAnsi="Times New Roman" w:cs="Times New Roman"/>
          <w:i/>
          <w:sz w:val="20"/>
          <w:szCs w:val="20"/>
        </w:rPr>
      </w:pPr>
      <w:r w:rsidRPr="00721E0C">
        <w:rPr>
          <w:rFonts w:ascii="Times New Roman" w:hAnsi="Times New Roman" w:cs="Times New Roman"/>
          <w:i/>
          <w:sz w:val="20"/>
          <w:szCs w:val="20"/>
          <w:vertAlign w:val="superscript"/>
        </w:rPr>
        <w:t>4</w:t>
      </w:r>
      <w:r w:rsidRPr="00721E0C">
        <w:rPr>
          <w:rFonts w:ascii="Times New Roman" w:hAnsi="Times New Roman" w:cs="Times New Roman"/>
          <w:i/>
          <w:sz w:val="20"/>
          <w:szCs w:val="20"/>
        </w:rPr>
        <w:t>(1975) 2 SCC 0148</w:t>
      </w:r>
    </w:p>
    <w:p w:rsidR="00721E0C" w:rsidRPr="00721E0C" w:rsidRDefault="00721E0C" w:rsidP="00721E0C">
      <w:pPr>
        <w:spacing w:after="0" w:line="240" w:lineRule="auto"/>
        <w:jc w:val="both"/>
        <w:rPr>
          <w:rFonts w:ascii="Times New Roman" w:hAnsi="Times New Roman" w:cs="Times New Roman"/>
          <w:i/>
          <w:sz w:val="20"/>
          <w:szCs w:val="20"/>
        </w:rPr>
      </w:pPr>
      <w:r w:rsidRPr="00721E0C">
        <w:rPr>
          <w:rFonts w:ascii="Times New Roman" w:hAnsi="Times New Roman" w:cs="Times New Roman"/>
          <w:i/>
          <w:sz w:val="20"/>
          <w:szCs w:val="20"/>
          <w:vertAlign w:val="superscript"/>
        </w:rPr>
        <w:t>5</w:t>
      </w:r>
      <w:r w:rsidRPr="00721E0C">
        <w:rPr>
          <w:rFonts w:ascii="Times New Roman" w:hAnsi="Times New Roman" w:cs="Times New Roman"/>
          <w:i/>
          <w:sz w:val="20"/>
          <w:szCs w:val="20"/>
        </w:rPr>
        <w:t xml:space="preserve">(1994) 6 SCC 0632 </w:t>
      </w:r>
    </w:p>
    <w:p w:rsidR="00721E0C" w:rsidRPr="00721E0C" w:rsidRDefault="00721E0C" w:rsidP="00721E0C">
      <w:pPr>
        <w:spacing w:after="0" w:line="240" w:lineRule="auto"/>
        <w:jc w:val="both"/>
        <w:rPr>
          <w:rFonts w:ascii="Times New Roman" w:hAnsi="Times New Roman" w:cs="Times New Roman"/>
          <w:i/>
          <w:sz w:val="20"/>
          <w:szCs w:val="20"/>
        </w:rPr>
      </w:pPr>
      <w:r w:rsidRPr="00721E0C">
        <w:rPr>
          <w:rFonts w:ascii="Times New Roman" w:hAnsi="Times New Roman" w:cs="Times New Roman"/>
          <w:i/>
          <w:sz w:val="20"/>
          <w:szCs w:val="20"/>
          <w:vertAlign w:val="superscript"/>
        </w:rPr>
        <w:t>6</w:t>
      </w:r>
      <w:r w:rsidRPr="00721E0C">
        <w:rPr>
          <w:rFonts w:ascii="Times New Roman" w:hAnsi="Times New Roman" w:cs="Times New Roman"/>
          <w:i/>
          <w:sz w:val="20"/>
          <w:szCs w:val="20"/>
        </w:rPr>
        <w:t>(1997) 1 SCC 0301</w:t>
      </w:r>
    </w:p>
    <w:p w:rsidR="00721E0C" w:rsidRPr="00721E0C" w:rsidRDefault="00721E0C" w:rsidP="00721E0C">
      <w:pPr>
        <w:spacing w:after="0" w:line="240" w:lineRule="auto"/>
        <w:jc w:val="both"/>
        <w:rPr>
          <w:rFonts w:ascii="Times New Roman" w:hAnsi="Times New Roman" w:cs="Times New Roman"/>
          <w:i/>
          <w:sz w:val="20"/>
          <w:szCs w:val="20"/>
        </w:rPr>
      </w:pPr>
      <w:r w:rsidRPr="00721E0C">
        <w:rPr>
          <w:rFonts w:ascii="Times New Roman" w:hAnsi="Times New Roman" w:cs="Times New Roman"/>
          <w:i/>
          <w:sz w:val="20"/>
          <w:szCs w:val="20"/>
          <w:vertAlign w:val="superscript"/>
        </w:rPr>
        <w:t>7</w:t>
      </w:r>
      <w:r w:rsidRPr="00721E0C">
        <w:rPr>
          <w:rFonts w:ascii="Times New Roman" w:hAnsi="Times New Roman" w:cs="Times New Roman"/>
          <w:i/>
          <w:sz w:val="20"/>
          <w:szCs w:val="20"/>
        </w:rPr>
        <w:t>(1978) 1 SCC 0248</w:t>
      </w:r>
    </w:p>
    <w:p w:rsidR="00721E0C" w:rsidRPr="00721E0C" w:rsidRDefault="00721E0C" w:rsidP="00721E0C">
      <w:pPr>
        <w:spacing w:after="0" w:line="240" w:lineRule="auto"/>
        <w:jc w:val="both"/>
        <w:rPr>
          <w:rFonts w:ascii="Times New Roman" w:hAnsi="Times New Roman" w:cs="Times New Roman"/>
          <w:i/>
          <w:sz w:val="20"/>
          <w:szCs w:val="20"/>
        </w:rPr>
      </w:pPr>
      <w:r w:rsidRPr="00721E0C">
        <w:rPr>
          <w:rFonts w:ascii="Times New Roman" w:hAnsi="Times New Roman" w:cs="Times New Roman"/>
          <w:i/>
          <w:sz w:val="20"/>
          <w:szCs w:val="20"/>
          <w:vertAlign w:val="superscript"/>
        </w:rPr>
        <w:t>8</w:t>
      </w:r>
      <w:r w:rsidRPr="00721E0C">
        <w:rPr>
          <w:rFonts w:ascii="Times New Roman" w:hAnsi="Times New Roman" w:cs="Times New Roman"/>
          <w:i/>
          <w:sz w:val="20"/>
          <w:szCs w:val="20"/>
        </w:rPr>
        <w:t>AIR 1950 SC 0027</w:t>
      </w:r>
    </w:p>
    <w:p w:rsidR="00721E0C" w:rsidRPr="00721E0C" w:rsidRDefault="00721E0C" w:rsidP="00721E0C">
      <w:pPr>
        <w:spacing w:after="0" w:line="240" w:lineRule="auto"/>
        <w:jc w:val="both"/>
        <w:rPr>
          <w:rFonts w:ascii="Times New Roman" w:hAnsi="Times New Roman" w:cs="Times New Roman"/>
          <w:i/>
          <w:sz w:val="20"/>
          <w:szCs w:val="20"/>
        </w:rPr>
      </w:pPr>
      <w:r w:rsidRPr="00721E0C">
        <w:rPr>
          <w:rFonts w:ascii="Times New Roman" w:hAnsi="Times New Roman" w:cs="Times New Roman"/>
          <w:i/>
          <w:sz w:val="20"/>
          <w:szCs w:val="20"/>
          <w:vertAlign w:val="superscript"/>
        </w:rPr>
        <w:t>9</w:t>
      </w:r>
      <w:r w:rsidRPr="00721E0C">
        <w:rPr>
          <w:rFonts w:ascii="Times New Roman" w:hAnsi="Times New Roman" w:cs="Times New Roman"/>
          <w:i/>
          <w:sz w:val="20"/>
          <w:szCs w:val="20"/>
        </w:rPr>
        <w:t>(1970) 1 SCC 0248</w:t>
      </w:r>
    </w:p>
    <w:p w:rsidR="00721E0C" w:rsidRPr="00C20F8A" w:rsidRDefault="00721E0C" w:rsidP="00721E0C">
      <w:pPr>
        <w:spacing w:after="0" w:line="240" w:lineRule="auto"/>
        <w:jc w:val="both"/>
        <w:rPr>
          <w:rFonts w:ascii="Times New Roman" w:hAnsi="Times New Roman" w:cs="Times New Roman"/>
          <w:sz w:val="25"/>
          <w:szCs w:val="25"/>
        </w:rPr>
      </w:pPr>
    </w:p>
    <w:sectPr w:rsidR="00721E0C" w:rsidRPr="00C20F8A" w:rsidSect="00D84E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501" w:rsidRDefault="00DF1501" w:rsidP="00ED08BA">
      <w:pPr>
        <w:spacing w:after="0" w:line="240" w:lineRule="auto"/>
      </w:pPr>
      <w:r>
        <w:separator/>
      </w:r>
    </w:p>
  </w:endnote>
  <w:endnote w:type="continuationSeparator" w:id="1">
    <w:p w:rsidR="00DF1501" w:rsidRDefault="00DF1501"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ED08BA" w:rsidRPr="00ED08BA" w:rsidRDefault="00ED08BA">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214012">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ED08BA" w:rsidRPr="00ED08BA" w:rsidRDefault="00ED08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501" w:rsidRDefault="00DF1501" w:rsidP="00ED08BA">
      <w:pPr>
        <w:spacing w:after="0" w:line="240" w:lineRule="auto"/>
      </w:pPr>
      <w:r>
        <w:separator/>
      </w:r>
    </w:p>
  </w:footnote>
  <w:footnote w:type="continuationSeparator" w:id="1">
    <w:p w:rsidR="00DF1501" w:rsidRDefault="00DF1501"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0006BB"/>
    <w:rsid w:val="00083E62"/>
    <w:rsid w:val="000970E7"/>
    <w:rsid w:val="00097A95"/>
    <w:rsid w:val="001D1550"/>
    <w:rsid w:val="001E29FF"/>
    <w:rsid w:val="0021048F"/>
    <w:rsid w:val="00214012"/>
    <w:rsid w:val="002324ED"/>
    <w:rsid w:val="00290F4E"/>
    <w:rsid w:val="002C4E3C"/>
    <w:rsid w:val="002D4853"/>
    <w:rsid w:val="00370804"/>
    <w:rsid w:val="003927DE"/>
    <w:rsid w:val="003A5F10"/>
    <w:rsid w:val="004C5667"/>
    <w:rsid w:val="004D23C6"/>
    <w:rsid w:val="004F2FF7"/>
    <w:rsid w:val="00516081"/>
    <w:rsid w:val="00556855"/>
    <w:rsid w:val="0064469C"/>
    <w:rsid w:val="006E2C5B"/>
    <w:rsid w:val="006E5979"/>
    <w:rsid w:val="006F44B8"/>
    <w:rsid w:val="00721E0C"/>
    <w:rsid w:val="007A6F19"/>
    <w:rsid w:val="007C7422"/>
    <w:rsid w:val="00840B60"/>
    <w:rsid w:val="008C5014"/>
    <w:rsid w:val="00975571"/>
    <w:rsid w:val="009F7072"/>
    <w:rsid w:val="00AC5439"/>
    <w:rsid w:val="00B6507F"/>
    <w:rsid w:val="00B7242D"/>
    <w:rsid w:val="00BB2628"/>
    <w:rsid w:val="00C20F8A"/>
    <w:rsid w:val="00C97A5B"/>
    <w:rsid w:val="00CC57FE"/>
    <w:rsid w:val="00CE1D8D"/>
    <w:rsid w:val="00CF05D3"/>
    <w:rsid w:val="00D67C17"/>
    <w:rsid w:val="00D84EE3"/>
    <w:rsid w:val="00DC6620"/>
    <w:rsid w:val="00DD7664"/>
    <w:rsid w:val="00DF1501"/>
    <w:rsid w:val="00DF5A70"/>
    <w:rsid w:val="00E37F15"/>
    <w:rsid w:val="00E47DD9"/>
    <w:rsid w:val="00E561E4"/>
    <w:rsid w:val="00E81F90"/>
    <w:rsid w:val="00EB77DA"/>
    <w:rsid w:val="00EC5DCC"/>
    <w:rsid w:val="00ED08BA"/>
    <w:rsid w:val="00EE3B46"/>
    <w:rsid w:val="00F74651"/>
    <w:rsid w:val="00F83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8" type="connector" idref="#_x0000_s1030"/>
        <o:r id="V:Rule15"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 w:type="table" w:styleId="TableGrid">
    <w:name w:val="Table Grid"/>
    <w:basedOn w:val="TableNormal"/>
    <w:uiPriority w:val="59"/>
    <w:rsid w:val="006E59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924340214">
      <w:bodyDiv w:val="1"/>
      <w:marLeft w:val="0"/>
      <w:marRight w:val="0"/>
      <w:marTop w:val="0"/>
      <w:marBottom w:val="0"/>
      <w:divBdr>
        <w:top w:val="none" w:sz="0" w:space="0" w:color="auto"/>
        <w:left w:val="none" w:sz="0" w:space="0" w:color="auto"/>
        <w:bottom w:val="none" w:sz="0" w:space="0" w:color="auto"/>
        <w:right w:val="none" w:sz="0" w:space="0" w:color="auto"/>
      </w:divBdr>
      <w:divsChild>
        <w:div w:id="2115323389">
          <w:marLeft w:val="0"/>
          <w:marRight w:val="0"/>
          <w:marTop w:val="0"/>
          <w:marBottom w:val="150"/>
          <w:divBdr>
            <w:top w:val="none" w:sz="0" w:space="0" w:color="auto"/>
            <w:left w:val="none" w:sz="0" w:space="0" w:color="auto"/>
            <w:bottom w:val="none" w:sz="0" w:space="0" w:color="auto"/>
            <w:right w:val="none" w:sz="0" w:space="0" w:color="auto"/>
          </w:divBdr>
        </w:div>
        <w:div w:id="702943226">
          <w:marLeft w:val="0"/>
          <w:marRight w:val="0"/>
          <w:marTop w:val="0"/>
          <w:marBottom w:val="75"/>
          <w:divBdr>
            <w:top w:val="none" w:sz="0" w:space="0" w:color="auto"/>
            <w:left w:val="none" w:sz="0" w:space="0" w:color="auto"/>
            <w:bottom w:val="none" w:sz="0" w:space="0" w:color="auto"/>
            <w:right w:val="none" w:sz="0" w:space="0" w:color="auto"/>
          </w:divBdr>
        </w:div>
        <w:div w:id="1050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8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171342">
      <w:bodyDiv w:val="1"/>
      <w:marLeft w:val="0"/>
      <w:marRight w:val="0"/>
      <w:marTop w:val="0"/>
      <w:marBottom w:val="0"/>
      <w:divBdr>
        <w:top w:val="none" w:sz="0" w:space="0" w:color="auto"/>
        <w:left w:val="none" w:sz="0" w:space="0" w:color="auto"/>
        <w:bottom w:val="none" w:sz="0" w:space="0" w:color="auto"/>
        <w:right w:val="none" w:sz="0" w:space="0" w:color="auto"/>
      </w:divBdr>
      <w:divsChild>
        <w:div w:id="1165324133">
          <w:marLeft w:val="0"/>
          <w:marRight w:val="0"/>
          <w:marTop w:val="0"/>
          <w:marBottom w:val="150"/>
          <w:divBdr>
            <w:top w:val="none" w:sz="0" w:space="0" w:color="auto"/>
            <w:left w:val="none" w:sz="0" w:space="0" w:color="auto"/>
            <w:bottom w:val="none" w:sz="0" w:space="0" w:color="auto"/>
            <w:right w:val="none" w:sz="0" w:space="0" w:color="auto"/>
          </w:divBdr>
        </w:div>
        <w:div w:id="254822827">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sChild>
        <w:div w:id="752048382">
          <w:marLeft w:val="0"/>
          <w:marRight w:val="0"/>
          <w:marTop w:val="0"/>
          <w:marBottom w:val="150"/>
          <w:divBdr>
            <w:top w:val="none" w:sz="0" w:space="0" w:color="auto"/>
            <w:left w:val="none" w:sz="0" w:space="0" w:color="auto"/>
            <w:bottom w:val="none" w:sz="0" w:space="0" w:color="auto"/>
            <w:right w:val="none" w:sz="0" w:space="0" w:color="auto"/>
          </w:divBdr>
        </w:div>
        <w:div w:id="578102350">
          <w:marLeft w:val="0"/>
          <w:marRight w:val="0"/>
          <w:marTop w:val="0"/>
          <w:marBottom w:val="75"/>
          <w:divBdr>
            <w:top w:val="none" w:sz="0" w:space="0" w:color="auto"/>
            <w:left w:val="none" w:sz="0" w:space="0" w:color="auto"/>
            <w:bottom w:val="none" w:sz="0" w:space="0" w:color="auto"/>
            <w:right w:val="none" w:sz="0" w:space="0" w:color="auto"/>
          </w:divBdr>
        </w:div>
      </w:divsChild>
    </w:div>
    <w:div w:id="2104766568">
      <w:bodyDiv w:val="1"/>
      <w:marLeft w:val="0"/>
      <w:marRight w:val="0"/>
      <w:marTop w:val="0"/>
      <w:marBottom w:val="0"/>
      <w:divBdr>
        <w:top w:val="none" w:sz="0" w:space="0" w:color="auto"/>
        <w:left w:val="none" w:sz="0" w:space="0" w:color="auto"/>
        <w:bottom w:val="none" w:sz="0" w:space="0" w:color="auto"/>
        <w:right w:val="none" w:sz="0" w:space="0" w:color="auto"/>
      </w:divBdr>
      <w:divsChild>
        <w:div w:id="1715305928">
          <w:marLeft w:val="0"/>
          <w:marRight w:val="0"/>
          <w:marTop w:val="0"/>
          <w:marBottom w:val="150"/>
          <w:divBdr>
            <w:top w:val="none" w:sz="0" w:space="0" w:color="auto"/>
            <w:left w:val="none" w:sz="0" w:space="0" w:color="auto"/>
            <w:bottom w:val="none" w:sz="0" w:space="0" w:color="auto"/>
            <w:right w:val="none" w:sz="0" w:space="0" w:color="auto"/>
          </w:divBdr>
        </w:div>
        <w:div w:id="24067959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2918</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2016-05-31T08:45:00Z</cp:lastPrinted>
  <dcterms:created xsi:type="dcterms:W3CDTF">2016-05-31T08:46:00Z</dcterms:created>
  <dcterms:modified xsi:type="dcterms:W3CDTF">2016-05-31T08:46:00Z</dcterms:modified>
</cp:coreProperties>
</file>