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341E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Hanumappa Channappa Hullur</w:t>
      </w: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Shivamaruthappa Parappa Kalli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&amp; Ors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C.A.No.411-412 of</w:t>
      </w:r>
      <w:r w:rsidRPr="0071341E">
        <w:rPr>
          <w:rFonts w:ascii="Times New Roman" w:hAnsi="Times New Roman" w:cs="Times New Roman"/>
          <w:sz w:val="25"/>
          <w:szCs w:val="25"/>
        </w:rPr>
        <w:t xml:space="preserve"> 2004</w:t>
      </w: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(C.Nagappan and  M.Y.Eqbal, JJ.)</w:t>
      </w: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21.08.2015</w:t>
      </w:r>
    </w:p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341E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1341E">
        <w:rPr>
          <w:rFonts w:ascii="Times New Roman" w:hAnsi="Times New Roman" w:cs="Times New Roman"/>
          <w:b/>
          <w:sz w:val="25"/>
          <w:szCs w:val="25"/>
        </w:rPr>
        <w:t>C.Nagappan, J.</w:t>
      </w:r>
    </w:p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820"/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Pr="0071341E">
        <w:rPr>
          <w:rFonts w:ascii="Times New Roman" w:hAnsi="Times New Roman" w:cs="Times New Roman"/>
          <w:sz w:val="25"/>
          <w:szCs w:val="25"/>
        </w:rPr>
        <w:t>These two appeals are directed against common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71341E">
        <w:rPr>
          <w:rFonts w:ascii="Times New Roman" w:hAnsi="Times New Roman" w:cs="Times New Roman"/>
          <w:sz w:val="25"/>
          <w:szCs w:val="25"/>
        </w:rPr>
        <w:t>judgment and decree dated 11.3.2002 made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RSA No.63/99 and 64/99 made by the High Court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of Karnataka at Bangalore, by which the High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Court has allowed the Second Appeals filed by the</w:t>
      </w:r>
    </w:p>
    <w:p w:rsid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Signature Not Verified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“</w:t>
      </w:r>
      <w:r w:rsidRPr="0071341E">
        <w:rPr>
          <w:rFonts w:ascii="Times New Roman" w:hAnsi="Times New Roman" w:cs="Times New Roman"/>
          <w:sz w:val="25"/>
          <w:szCs w:val="25"/>
        </w:rPr>
        <w:t>Digitally signed by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respondents herein.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Sukhbir Paul Kaur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Date: 2015.08.21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16:54:37 IST</w:t>
      </w:r>
    </w:p>
    <w:p w:rsidR="0071341E" w:rsidRDefault="0071341E" w:rsidP="0071341E">
      <w:pPr>
        <w:tabs>
          <w:tab w:val="left" w:pos="8910"/>
          <w:tab w:val="left" w:pos="91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Reason:</w:t>
      </w:r>
      <w:r>
        <w:rPr>
          <w:rFonts w:ascii="Times New Roman" w:hAnsi="Times New Roman" w:cs="Times New Roman"/>
          <w:sz w:val="25"/>
          <w:szCs w:val="25"/>
        </w:rPr>
        <w:t>”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 </w:t>
      </w:r>
      <w:r w:rsidRPr="0071341E">
        <w:rPr>
          <w:rFonts w:ascii="Times New Roman" w:hAnsi="Times New Roman" w:cs="Times New Roman"/>
          <w:sz w:val="25"/>
          <w:szCs w:val="25"/>
        </w:rPr>
        <w:t>The suit in OS 133/82 was filed by deceased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Hanumappa Channappa Hullur for seeking decree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for specific performance of contract on the strength</w:t>
      </w:r>
      <w:r>
        <w:rPr>
          <w:rFonts w:ascii="Times New Roman" w:hAnsi="Times New Roman" w:cs="Times New Roman"/>
          <w:sz w:val="25"/>
          <w:szCs w:val="25"/>
        </w:rPr>
        <w:t xml:space="preserve"> of agreement of sale dated </w:t>
      </w:r>
      <w:r w:rsidRPr="0071341E">
        <w:rPr>
          <w:rFonts w:ascii="Times New Roman" w:hAnsi="Times New Roman" w:cs="Times New Roman"/>
          <w:sz w:val="25"/>
          <w:szCs w:val="25"/>
        </w:rPr>
        <w:t>15.10.1981 executed by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defendant No.1 in his favour in respect of the suit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land RS 80/1-2/A measuring 11 acres and 24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guntas situated in Adavisomapur village in Gadag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71341E">
        <w:rPr>
          <w:rFonts w:ascii="Times New Roman" w:hAnsi="Times New Roman" w:cs="Times New Roman"/>
          <w:sz w:val="25"/>
          <w:szCs w:val="25"/>
        </w:rPr>
        <w:t>Taluk restraining the defendants from interfering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in their possession and enjoyment of the suit land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and alternatively for refund of earnest money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Rs.53,000/- received by defendant No.1 with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interest and damages. The suit in OS 136/82 was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filed by defendants 2 and 3 in OS 133/82 against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 plaintiff-Hanumappa Channappa Hullur for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seeking decree of declaration that the agreement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sale dated 15.10.1981 said to have been executed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by their father-Paramma is not binding on them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and their one-third share in the suit land and for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grant    of    consequ</w:t>
      </w:r>
      <w:r>
        <w:rPr>
          <w:rFonts w:ascii="Times New Roman" w:hAnsi="Times New Roman" w:cs="Times New Roman"/>
          <w:sz w:val="25"/>
          <w:szCs w:val="25"/>
        </w:rPr>
        <w:t xml:space="preserve">ential   relief of  </w:t>
      </w:r>
      <w:r w:rsidRPr="0071341E">
        <w:rPr>
          <w:rFonts w:ascii="Times New Roman" w:hAnsi="Times New Roman" w:cs="Times New Roman"/>
          <w:sz w:val="25"/>
          <w:szCs w:val="25"/>
        </w:rPr>
        <w:t>permanent</w:t>
      </w:r>
      <w:r>
        <w:rPr>
          <w:rFonts w:ascii="Times New Roman" w:hAnsi="Times New Roman" w:cs="Times New Roman"/>
          <w:sz w:val="25"/>
          <w:szCs w:val="25"/>
        </w:rPr>
        <w:t xml:space="preserve"> injunction    restraining    Hanumappa   </w:t>
      </w:r>
      <w:r w:rsidRPr="0071341E">
        <w:rPr>
          <w:rFonts w:ascii="Times New Roman" w:hAnsi="Times New Roman" w:cs="Times New Roman"/>
          <w:sz w:val="25"/>
          <w:szCs w:val="25"/>
        </w:rPr>
        <w:t xml:space="preserve"> Channappa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Hullur    from interfering in their possession and</w:t>
      </w:r>
      <w:r>
        <w:rPr>
          <w:rFonts w:ascii="Times New Roman" w:hAnsi="Times New Roman" w:cs="Times New Roman"/>
          <w:sz w:val="25"/>
          <w:szCs w:val="25"/>
        </w:rPr>
        <w:t xml:space="preserve"> enjoyment    </w:t>
      </w:r>
      <w:r w:rsidRPr="0071341E">
        <w:rPr>
          <w:rFonts w:ascii="Times New Roman" w:hAnsi="Times New Roman" w:cs="Times New Roman"/>
          <w:sz w:val="25"/>
          <w:szCs w:val="25"/>
        </w:rPr>
        <w:t>of the suit land.</w:t>
      </w:r>
    </w:p>
    <w:p w:rsid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3.   It is the case of Hanumappa Hullar, that the suit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belongs to Parappa as it is his self acquired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property and he for the sake of legal necessity, i.e.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 for purchasing the land at </w:t>
      </w:r>
      <w:r w:rsidRPr="0071341E">
        <w:rPr>
          <w:rFonts w:ascii="Times New Roman" w:hAnsi="Times New Roman" w:cs="Times New Roman"/>
          <w:sz w:val="25"/>
          <w:szCs w:val="25"/>
        </w:rPr>
        <w:lastRenderedPageBreak/>
        <w:t>Kanavi village offered 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sell the land to him. Hence he agreed to purchase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 same for Rs. 72,000/- and paid a sum of Rs.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53,000/- as earnest money and Parappa received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the     </w:t>
      </w:r>
      <w:r>
        <w:rPr>
          <w:rFonts w:ascii="Times New Roman" w:hAnsi="Times New Roman" w:cs="Times New Roman"/>
          <w:sz w:val="25"/>
          <w:szCs w:val="25"/>
        </w:rPr>
        <w:t xml:space="preserve">same    and   executed an  Agreement </w:t>
      </w:r>
      <w:r w:rsidRPr="0071341E">
        <w:rPr>
          <w:rFonts w:ascii="Times New Roman" w:hAnsi="Times New Roman" w:cs="Times New Roman"/>
          <w:sz w:val="25"/>
          <w:szCs w:val="25"/>
        </w:rPr>
        <w:t xml:space="preserve"> on</w:t>
      </w:r>
      <w:r>
        <w:rPr>
          <w:rFonts w:ascii="Times New Roman" w:hAnsi="Times New Roman" w:cs="Times New Roman"/>
          <w:sz w:val="25"/>
          <w:szCs w:val="25"/>
        </w:rPr>
        <w:t xml:space="preserve"> 15.12.1981   and </w:t>
      </w:r>
      <w:r w:rsidRPr="0071341E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 xml:space="preserve">n   the  </w:t>
      </w:r>
      <w:r w:rsidRPr="0071341E">
        <w:rPr>
          <w:rFonts w:ascii="Times New Roman" w:hAnsi="Times New Roman" w:cs="Times New Roman"/>
          <w:sz w:val="25"/>
          <w:szCs w:val="25"/>
        </w:rPr>
        <w:t xml:space="preserve"> same </w:t>
      </w:r>
      <w:r>
        <w:rPr>
          <w:rFonts w:ascii="Times New Roman" w:hAnsi="Times New Roman" w:cs="Times New Roman"/>
          <w:sz w:val="25"/>
          <w:szCs w:val="25"/>
        </w:rPr>
        <w:t xml:space="preserve">  day   </w:t>
      </w:r>
      <w:r w:rsidRPr="0071341E">
        <w:rPr>
          <w:rFonts w:ascii="Times New Roman" w:hAnsi="Times New Roman" w:cs="Times New Roman"/>
          <w:sz w:val="25"/>
          <w:szCs w:val="25"/>
        </w:rPr>
        <w:t>delivered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possession of the land and since then he is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possession and enjoyment </w:t>
      </w:r>
      <w:r>
        <w:rPr>
          <w:rFonts w:ascii="Times New Roman" w:hAnsi="Times New Roman" w:cs="Times New Roman"/>
          <w:sz w:val="25"/>
          <w:szCs w:val="25"/>
        </w:rPr>
        <w:t xml:space="preserve">of the same.  </w:t>
      </w:r>
      <w:r w:rsidRPr="0071341E">
        <w:rPr>
          <w:rFonts w:ascii="Times New Roman" w:hAnsi="Times New Roman" w:cs="Times New Roman"/>
          <w:sz w:val="25"/>
          <w:szCs w:val="25"/>
        </w:rPr>
        <w:t>But the</w:t>
      </w:r>
      <w:r>
        <w:rPr>
          <w:rFonts w:ascii="Times New Roman" w:hAnsi="Times New Roman" w:cs="Times New Roman"/>
          <w:sz w:val="25"/>
          <w:szCs w:val="25"/>
        </w:rPr>
        <w:t xml:space="preserve"> said  Parappa  failed  to receive </w:t>
      </w:r>
      <w:r w:rsidRPr="0071341E">
        <w:rPr>
          <w:rFonts w:ascii="Times New Roman" w:hAnsi="Times New Roman" w:cs="Times New Roman"/>
          <w:sz w:val="25"/>
          <w:szCs w:val="25"/>
        </w:rPr>
        <w:t>balance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consideration amount of Rs.19,000/- and execute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 sale deed as agreed before the end of May 1982,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along with his two sons.    So, he gave notice 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24.5.1982 calling upon them to perform their part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of contract, since he was ready and willing 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perform his part of contract. Sons of Parappa gave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reply to that notice and did not perform their part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of contract.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 </w:t>
      </w:r>
      <w:r w:rsidRPr="0071341E">
        <w:rPr>
          <w:rFonts w:ascii="Times New Roman" w:hAnsi="Times New Roman" w:cs="Times New Roman"/>
          <w:sz w:val="25"/>
          <w:szCs w:val="25"/>
        </w:rPr>
        <w:t>It is the case of Parappa and his two sons that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there is no agreement of sale, as contended by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Hanumappa Hullar, but it was a loan transaction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and   Parappa    never    received   the   sum   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Rs.53,000/- and he did not put Hanumappa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Hullar in possession of the land, but his signature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was taken on a blank stamped paper and it was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misused. It is also contended that the suit land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not the self acquired property of Parappa and it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not his exclusive ownership. It is the joint family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property and his two sons have got equal one third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share in it. There is no legal necessity for sale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land and as such, the alleged sale agreement is not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binding on them. Hanumappa Hullar, was never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put in possession of the land. They have filed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suit for decree for declaration that the alleged sale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agreement is not biding on them and also for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con</w:t>
      </w:r>
      <w:r>
        <w:rPr>
          <w:rFonts w:ascii="Times New Roman" w:hAnsi="Times New Roman" w:cs="Times New Roman"/>
          <w:sz w:val="25"/>
          <w:szCs w:val="25"/>
        </w:rPr>
        <w:t xml:space="preserve">sequential  permanent  </w:t>
      </w:r>
      <w:r w:rsidRPr="0071341E">
        <w:rPr>
          <w:rFonts w:ascii="Times New Roman" w:hAnsi="Times New Roman" w:cs="Times New Roman"/>
          <w:sz w:val="25"/>
          <w:szCs w:val="25"/>
        </w:rPr>
        <w:t>injuncti</w:t>
      </w:r>
      <w:r>
        <w:rPr>
          <w:rFonts w:ascii="Times New Roman" w:hAnsi="Times New Roman" w:cs="Times New Roman"/>
          <w:sz w:val="25"/>
          <w:szCs w:val="25"/>
        </w:rPr>
        <w:t xml:space="preserve">on </w:t>
      </w:r>
      <w:r w:rsidRPr="0071341E">
        <w:rPr>
          <w:rFonts w:ascii="Times New Roman" w:hAnsi="Times New Roman" w:cs="Times New Roman"/>
          <w:sz w:val="25"/>
          <w:szCs w:val="25"/>
        </w:rPr>
        <w:t>against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Hanumappa Hullar.</w:t>
      </w:r>
    </w:p>
    <w:p w:rsid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71341E">
        <w:rPr>
          <w:rFonts w:ascii="Times New Roman" w:hAnsi="Times New Roman" w:cs="Times New Roman"/>
          <w:sz w:val="25"/>
          <w:szCs w:val="25"/>
        </w:rPr>
        <w:t>Both the suits were tried together and on 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consideration of oral and documentary evidence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   trial   court    decreed     the    suit    in    O.S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No.133/1982      and     dismissed       the     suit   O.S</w:t>
      </w:r>
      <w:r>
        <w:rPr>
          <w:rFonts w:ascii="Times New Roman" w:hAnsi="Times New Roman" w:cs="Times New Roman"/>
          <w:sz w:val="25"/>
          <w:szCs w:val="25"/>
        </w:rPr>
        <w:t xml:space="preserve"> No.136/1982. Aggrieved by the </w:t>
      </w:r>
      <w:r w:rsidRPr="0071341E">
        <w:rPr>
          <w:rFonts w:ascii="Times New Roman" w:hAnsi="Times New Roman" w:cs="Times New Roman"/>
          <w:sz w:val="25"/>
          <w:szCs w:val="25"/>
        </w:rPr>
        <w:t xml:space="preserve"> same  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defendants 2 and 3 in O.S.No.133/1982 and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plaintiffs in O.S.</w:t>
      </w:r>
      <w:r>
        <w:rPr>
          <w:rFonts w:ascii="Times New Roman" w:hAnsi="Times New Roman" w:cs="Times New Roman"/>
          <w:sz w:val="25"/>
          <w:szCs w:val="25"/>
        </w:rPr>
        <w:t xml:space="preserve"> No.136/1982 preferred  </w:t>
      </w:r>
      <w:r w:rsidRPr="0071341E">
        <w:rPr>
          <w:rFonts w:ascii="Times New Roman" w:hAnsi="Times New Roman" w:cs="Times New Roman"/>
          <w:sz w:val="25"/>
          <w:szCs w:val="25"/>
        </w:rPr>
        <w:t xml:space="preserve"> appeals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in RA No.55/1990 and 56</w:t>
      </w:r>
      <w:r>
        <w:rPr>
          <w:rFonts w:ascii="Times New Roman" w:hAnsi="Times New Roman" w:cs="Times New Roman"/>
          <w:sz w:val="25"/>
          <w:szCs w:val="25"/>
        </w:rPr>
        <w:t xml:space="preserve">/1990 respectively. </w:t>
      </w:r>
      <w:r w:rsidRPr="0071341E">
        <w:rPr>
          <w:rFonts w:ascii="Times New Roman" w:hAnsi="Times New Roman" w:cs="Times New Roman"/>
          <w:sz w:val="25"/>
          <w:szCs w:val="25"/>
        </w:rPr>
        <w:t xml:space="preserve">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lower appellate court by common judgment dated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17.10.1998     dismissed    both    the    appeals     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challenging the same the said appellants </w:t>
      </w:r>
      <w:r>
        <w:rPr>
          <w:rFonts w:ascii="Times New Roman" w:hAnsi="Times New Roman" w:cs="Times New Roman"/>
          <w:sz w:val="25"/>
          <w:szCs w:val="25"/>
        </w:rPr>
        <w:t xml:space="preserve">preferred </w:t>
      </w:r>
      <w:r w:rsidRPr="0071341E">
        <w:rPr>
          <w:rFonts w:ascii="Times New Roman" w:hAnsi="Times New Roman" w:cs="Times New Roman"/>
          <w:sz w:val="25"/>
          <w:szCs w:val="25"/>
        </w:rPr>
        <w:t xml:space="preserve"> RSA Nos.63/1999 and 64/1999 n the file of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High Court.      The High Court allowed both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Second Appeals by impugned common judgment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and dismissed the suit in O.S.No.133/1982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decreed the suit in O.S. No.136/1982 as prayed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71341E">
        <w:rPr>
          <w:rFonts w:ascii="Times New Roman" w:hAnsi="Times New Roman" w:cs="Times New Roman"/>
          <w:sz w:val="25"/>
          <w:szCs w:val="25"/>
        </w:rPr>
        <w:t>for. Challenging the same the present civil appeals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are preferred.</w:t>
      </w:r>
    </w:p>
    <w:p w:rsid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6.</w:t>
      </w:r>
      <w:r w:rsidRPr="0071341E">
        <w:rPr>
          <w:rFonts w:ascii="Times New Roman" w:hAnsi="Times New Roman" w:cs="Times New Roman"/>
          <w:sz w:val="25"/>
          <w:szCs w:val="25"/>
        </w:rPr>
        <w:t xml:space="preserve"> For the sake of convenience in this judgment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parties are referred to as arrayed in the suit in OS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No.133 of 1982 on the file of the trial court.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920736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 </w:t>
      </w:r>
      <w:r w:rsidRPr="0071341E">
        <w:rPr>
          <w:rFonts w:ascii="Times New Roman" w:hAnsi="Times New Roman" w:cs="Times New Roman"/>
          <w:sz w:val="25"/>
          <w:szCs w:val="25"/>
        </w:rPr>
        <w:t>The learned counsel appearing for the appellants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contended that the sale agreement was entered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into   by    the   vendor-father     after   receiving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substantial part of consideration for the benefit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 estate and the High Court erred in reversing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 concurrent findings of the courts below,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hence the impugned judgment is liable to be set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aside. It is his further contention that the deceased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appellant sold his only piece of property 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purchase the suit land and in any case, the sale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agreement       could   be     enforced   against  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vendor-father to the extent of his 1/3rd share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he is bound to execute the sale deed. In support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of his submission he relied on the decisions of this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Court in   </w:t>
      </w:r>
      <w:r>
        <w:rPr>
          <w:rFonts w:ascii="Times New Roman" w:hAnsi="Times New Roman" w:cs="Times New Roman"/>
          <w:sz w:val="25"/>
          <w:szCs w:val="25"/>
        </w:rPr>
        <w:t xml:space="preserve"> A. </w:t>
      </w:r>
      <w:r w:rsidRPr="00920736">
        <w:rPr>
          <w:rFonts w:ascii="Times New Roman" w:hAnsi="Times New Roman" w:cs="Times New Roman"/>
          <w:i/>
          <w:sz w:val="25"/>
          <w:szCs w:val="25"/>
        </w:rPr>
        <w:t>Abdul Rashid Khan (Dead) an</w:t>
      </w:r>
      <w:r w:rsidR="00920736" w:rsidRPr="00920736">
        <w:rPr>
          <w:rFonts w:ascii="Times New Roman" w:hAnsi="Times New Roman" w:cs="Times New Roman"/>
          <w:i/>
          <w:vertAlign w:val="superscript"/>
        </w:rPr>
        <w:t>1</w:t>
      </w:r>
    </w:p>
    <w:p w:rsid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and  </w:t>
      </w:r>
      <w:r w:rsidR="0071341E" w:rsidRPr="00920736">
        <w:rPr>
          <w:rFonts w:ascii="Times New Roman" w:hAnsi="Times New Roman" w:cs="Times New Roman"/>
          <w:i/>
          <w:sz w:val="25"/>
          <w:szCs w:val="25"/>
        </w:rPr>
        <w:t>Kamman</w:t>
      </w:r>
      <w:r w:rsidRPr="0092073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71341E" w:rsidRPr="00920736">
        <w:rPr>
          <w:rFonts w:ascii="Times New Roman" w:hAnsi="Times New Roman" w:cs="Times New Roman"/>
          <w:i/>
          <w:sz w:val="25"/>
          <w:szCs w:val="25"/>
        </w:rPr>
        <w:t xml:space="preserve">  Sambamurthy (Dead) by LRs. Vs. Kalipatnapu</w:t>
      </w:r>
      <w:r w:rsidRPr="0092073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71341E" w:rsidRPr="00920736">
        <w:rPr>
          <w:rFonts w:ascii="Times New Roman" w:hAnsi="Times New Roman" w:cs="Times New Roman"/>
          <w:i/>
          <w:sz w:val="25"/>
          <w:szCs w:val="25"/>
        </w:rPr>
        <w:t>Atchutamma (Dead) and others</w:t>
      </w:r>
      <w:r w:rsidRPr="00920736">
        <w:rPr>
          <w:rFonts w:ascii="Times New Roman" w:hAnsi="Times New Roman" w:cs="Times New Roman"/>
          <w:i/>
          <w:vertAlign w:val="superscript"/>
        </w:rPr>
        <w:t>2</w:t>
      </w:r>
      <w:r w:rsidR="0071341E" w:rsidRPr="00920736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920736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8.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learned counsel appearing for the respondents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contended that the plaintiff did not exercise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option under Section 12(3) of the Specific Relief Act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for claiming lesser share viz. 1/3rd share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vendor-father at the available opportunity and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view of non compliance of the said provision even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partial relief of specific performance cannot be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granted.   Reliance was placed on the decision of</w:t>
      </w:r>
      <w:r>
        <w:rPr>
          <w:rFonts w:ascii="Times New Roman" w:hAnsi="Times New Roman" w:cs="Times New Roman"/>
          <w:sz w:val="25"/>
          <w:szCs w:val="25"/>
        </w:rPr>
        <w:t xml:space="preserve"> this   Court     in   </w:t>
      </w:r>
      <w:r>
        <w:rPr>
          <w:rFonts w:ascii="Times New Roman" w:hAnsi="Times New Roman" w:cs="Times New Roman"/>
          <w:i/>
          <w:sz w:val="25"/>
          <w:szCs w:val="25"/>
        </w:rPr>
        <w:t xml:space="preserve">HPA </w:t>
      </w:r>
      <w:r w:rsidR="0071341E" w:rsidRPr="00920736">
        <w:rPr>
          <w:rFonts w:ascii="Times New Roman" w:hAnsi="Times New Roman" w:cs="Times New Roman"/>
          <w:i/>
          <w:sz w:val="25"/>
          <w:szCs w:val="25"/>
        </w:rPr>
        <w:t>International    Vs.</w:t>
      </w:r>
      <w:r w:rsidRPr="0092073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71341E" w:rsidRPr="00920736">
        <w:rPr>
          <w:rFonts w:ascii="Times New Roman" w:hAnsi="Times New Roman" w:cs="Times New Roman"/>
          <w:i/>
          <w:sz w:val="25"/>
          <w:szCs w:val="25"/>
        </w:rPr>
        <w:t>Bhagwandas Fateh Chand Daswani</w:t>
      </w:r>
      <w:r w:rsidRPr="00920736">
        <w:rPr>
          <w:rFonts w:ascii="Times New Roman" w:hAnsi="Times New Roman" w:cs="Times New Roman"/>
          <w:i/>
          <w:sz w:val="25"/>
          <w:szCs w:val="25"/>
          <w:vertAlign w:val="superscript"/>
        </w:rPr>
        <w:t>3</w:t>
      </w:r>
      <w:r w:rsidR="0071341E" w:rsidRPr="0071341E">
        <w:rPr>
          <w:rFonts w:ascii="Times New Roman" w:hAnsi="Times New Roman" w:cs="Times New Roman"/>
          <w:sz w:val="25"/>
          <w:szCs w:val="25"/>
        </w:rPr>
        <w:t xml:space="preserve"> and others</w:t>
      </w:r>
    </w:p>
    <w:p w:rsidR="00920736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9. </w:t>
      </w:r>
      <w:r w:rsidR="0071341E" w:rsidRPr="0071341E">
        <w:rPr>
          <w:rFonts w:ascii="Times New Roman" w:hAnsi="Times New Roman" w:cs="Times New Roman"/>
          <w:sz w:val="25"/>
          <w:szCs w:val="25"/>
        </w:rPr>
        <w:t>It is not in dispute that the suit property is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joint family property belonging to father and two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sons namely defendants 1 to 3. In fact the courts</w:t>
      </w:r>
      <w:r>
        <w:rPr>
          <w:rFonts w:ascii="Times New Roman" w:hAnsi="Times New Roman" w:cs="Times New Roman"/>
          <w:sz w:val="25"/>
          <w:szCs w:val="25"/>
        </w:rPr>
        <w:t xml:space="preserve"> below held so.</w:t>
      </w:r>
      <w:r w:rsidR="0071341E" w:rsidRPr="0071341E">
        <w:rPr>
          <w:rFonts w:ascii="Times New Roman" w:hAnsi="Times New Roman" w:cs="Times New Roman"/>
          <w:sz w:val="25"/>
          <w:szCs w:val="25"/>
        </w:rPr>
        <w:t xml:space="preserve"> Exh. P-1 is the Sale Agreement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dated 15.10.1981 executed by the first defendant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father in favour of the plaintiff.      There is no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mention therein that the first defendant father was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executing the agreement for himself and on behalf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of the defendants 2 and 3, who are his major sons.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 xml:space="preserve">There is no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suit property is joint family property and it is being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sold for the benefit of joint family. The joint family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members who jointly owned the property have not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executed the said agreement to enable them 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purchase another property in the neighbouring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village. Neither the plaintiff nor the first defendant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have produced evidence in the case to show that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pursuant to Exh. P-1 sale agreement, any property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was purchased by the first defendant for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benefit of the estate of the joint family. The High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Court has rightly held that the agreement entered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into by the first defendant father without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concurrence     of   the    other   sharers   namely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defendants 2 and 3 to sell the joint family property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is not legal and valid.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10.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terms of the sale agreement show that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vendor-father represented to the vendee that he was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absolute owner of the p</w:t>
      </w:r>
      <w:r>
        <w:rPr>
          <w:rFonts w:ascii="Times New Roman" w:hAnsi="Times New Roman" w:cs="Times New Roman"/>
          <w:sz w:val="25"/>
          <w:szCs w:val="25"/>
        </w:rPr>
        <w:t xml:space="preserve">roperty and he would come along </w:t>
      </w:r>
      <w:r w:rsidR="0071341E" w:rsidRPr="0071341E">
        <w:rPr>
          <w:rFonts w:ascii="Times New Roman" w:hAnsi="Times New Roman" w:cs="Times New Roman"/>
          <w:sz w:val="25"/>
          <w:szCs w:val="25"/>
        </w:rPr>
        <w:t>with his children on the day fixed for the registration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sale deed and he is putting the vendee in physical</w:t>
      </w:r>
      <w:r>
        <w:rPr>
          <w:rFonts w:ascii="Times New Roman" w:hAnsi="Times New Roman" w:cs="Times New Roman"/>
          <w:sz w:val="25"/>
          <w:szCs w:val="25"/>
        </w:rPr>
        <w:t xml:space="preserve"> possession of the land. </w:t>
      </w:r>
      <w:r w:rsidR="0071341E" w:rsidRPr="0071341E">
        <w:rPr>
          <w:rFonts w:ascii="Times New Roman" w:hAnsi="Times New Roman" w:cs="Times New Roman"/>
          <w:sz w:val="25"/>
          <w:szCs w:val="25"/>
        </w:rPr>
        <w:t>In fact, the High Court has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confirmed the findings of the courts below that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plaintiff-vendee is in possession of the suit property.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</w:t>
      </w:r>
      <w:r w:rsidR="0071341E" w:rsidRPr="0071341E">
        <w:rPr>
          <w:rFonts w:ascii="Times New Roman" w:hAnsi="Times New Roman" w:cs="Times New Roman"/>
          <w:sz w:val="25"/>
          <w:szCs w:val="25"/>
        </w:rPr>
        <w:t>The contention of the learned counsel for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respondents that Section 12 of the Specific Relief Act,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1963 is attracted to the facts in the present case is devoid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of merit and the decision relied on in HPA International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(supra) is not applicable.     In the agreement of sale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HPA International case, full interest in the property i.e.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life interest of the vendor and spes successionis of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reversioners with sanction of the court was agreed to be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sold.    The reversioners were not parties to the sale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agreement and the parties were conscious that the vendor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had only life interest in the property. The present case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not a case of the performance of a part of the contract but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whole of the contract insofar as the vendor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concerned, since he had agreed to sell the property in its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entirety but it later turned out that he had only 1/3 rd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share in the property. The sale agreement is binding 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vendor as it is without being fractured.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lastRenderedPageBreak/>
        <w:t>12.   We are, therefore, of the view that this is not a case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which is covered by Section 12 of the Act.</w:t>
      </w:r>
    </w:p>
    <w:p w:rsidR="00920736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13. </w:t>
      </w:r>
      <w:r w:rsidR="0071341E" w:rsidRPr="0071341E">
        <w:rPr>
          <w:rFonts w:ascii="Times New Roman" w:hAnsi="Times New Roman" w:cs="Times New Roman"/>
          <w:sz w:val="25"/>
          <w:szCs w:val="25"/>
        </w:rPr>
        <w:t>This Court in the decision in A. Abdul Rashid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Khan's case while considering the grant of relief for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specific performance pertaining to the contract to sell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property held jointly, laid down thus :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14. Thus we have no hesitation to hold,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even where any property is held jointly, and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once any party to the contract has agreed  to sell such joint property by agreement,then, even if the other co-sharer has not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 joined, at least to the extent of his share, he is bound to execute the sale deed. However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 in the absence of the other co-sharer, there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could not be any decree of any specified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part of the property to be partitioned and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 possession given. The decree could only be to the extent of transferring the share of the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appellants in such property to other such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contracting party. In the present case, it is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not in dispute that the appellants have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5/6th      share in the property. So, the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plaintiff's suit for specific performance to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 extent of this 5/6th share was rightly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decreed by the High Court which requires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no interference."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20736" w:rsidRDefault="00920736" w:rsidP="00920736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14.  </w:t>
      </w:r>
      <w:r w:rsidR="0071341E" w:rsidRPr="0071341E">
        <w:rPr>
          <w:rFonts w:ascii="Times New Roman" w:hAnsi="Times New Roman" w:cs="Times New Roman"/>
          <w:sz w:val="25"/>
          <w:szCs w:val="25"/>
        </w:rPr>
        <w:t>In Kammana Sambamurthy Vs. Kalipatnapu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Atchutamma case (supra) this Court was concerned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with a case where vendor-husband and his wife had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each half share in the suit property and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agreement    for   the   sale   was   executed   by  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vendor-husband concerning the entire suit property.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question arose as to whether the agreement be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enforced against the vendor-husband to the extent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his half share in the property. This Court relying o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decision in Kartar Singh Vs. Harjinder Singh</w:t>
      </w:r>
      <w:r w:rsidRPr="00920736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and the decision in A. Abdul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Rashid Khan's case (supra) held that the vendee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not entitled to seek specific performance of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agreement to the extent of half share of the vendor's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wife and there is no impediment for enforcement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the agreement against the vendor-husband to the</w:t>
      </w:r>
      <w:r>
        <w:rPr>
          <w:rFonts w:ascii="Times New Roman" w:hAnsi="Times New Roman" w:cs="Times New Roman"/>
          <w:sz w:val="25"/>
          <w:szCs w:val="25"/>
        </w:rPr>
        <w:t xml:space="preserve">  extent of </w:t>
      </w:r>
    </w:p>
    <w:p w:rsidR="0071341E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His half share in the </w:t>
      </w:r>
      <w:r w:rsidRPr="0071341E">
        <w:rPr>
          <w:rFonts w:ascii="Times New Roman" w:hAnsi="Times New Roman" w:cs="Times New Roman"/>
          <w:sz w:val="25"/>
          <w:szCs w:val="25"/>
        </w:rPr>
        <w:t>property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1341E">
        <w:rPr>
          <w:rFonts w:ascii="Times New Roman" w:hAnsi="Times New Roman" w:cs="Times New Roman"/>
          <w:sz w:val="25"/>
          <w:szCs w:val="25"/>
        </w:rPr>
        <w:t>15.   In view of the above decisions of this Court and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 facts and circumstances which have already been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noticed by us, we are of the considered opinion that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there is no impediment for enforcement of the sale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agreement against vendor-father-first defendant to the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 xml:space="preserve">extent of his 1/3rd share in </w:t>
      </w:r>
      <w:r w:rsidR="00920736">
        <w:rPr>
          <w:rFonts w:ascii="Times New Roman" w:hAnsi="Times New Roman" w:cs="Times New Roman"/>
          <w:sz w:val="25"/>
          <w:szCs w:val="25"/>
        </w:rPr>
        <w:t xml:space="preserve">the suit property. </w:t>
      </w:r>
      <w:r w:rsidRPr="0071341E">
        <w:rPr>
          <w:rFonts w:ascii="Times New Roman" w:hAnsi="Times New Roman" w:cs="Times New Roman"/>
          <w:sz w:val="25"/>
          <w:szCs w:val="25"/>
        </w:rPr>
        <w:t>The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impugned judgment of the High Court dismissing the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suit seeking for specific performance is liable to be set</w:t>
      </w:r>
      <w:r w:rsidR="00920736">
        <w:rPr>
          <w:rFonts w:ascii="Times New Roman" w:hAnsi="Times New Roman" w:cs="Times New Roman"/>
          <w:sz w:val="25"/>
          <w:szCs w:val="25"/>
        </w:rPr>
        <w:t xml:space="preserve"> </w:t>
      </w:r>
      <w:r w:rsidRPr="0071341E">
        <w:rPr>
          <w:rFonts w:ascii="Times New Roman" w:hAnsi="Times New Roman" w:cs="Times New Roman"/>
          <w:sz w:val="25"/>
          <w:szCs w:val="25"/>
        </w:rPr>
        <w:t>aside to the extent indicated above.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Pr="0071341E" w:rsidRDefault="00920736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16.</w:t>
      </w:r>
      <w:r w:rsidR="0071341E" w:rsidRPr="0071341E">
        <w:rPr>
          <w:rFonts w:ascii="Times New Roman" w:hAnsi="Times New Roman" w:cs="Times New Roman"/>
          <w:sz w:val="25"/>
          <w:szCs w:val="25"/>
        </w:rPr>
        <w:t xml:space="preserve"> In the result Civil Appeal No.411 of 2004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partly allowed and the suit in OS No.133 of 1982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partly decreed to the extent of 1/3rd share of the first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defendant in the suit prop</w:t>
      </w:r>
      <w:r>
        <w:rPr>
          <w:rFonts w:ascii="Times New Roman" w:hAnsi="Times New Roman" w:cs="Times New Roman"/>
          <w:sz w:val="25"/>
          <w:szCs w:val="25"/>
        </w:rPr>
        <w:t>erty is concerned</w:t>
      </w:r>
      <w:r w:rsidR="0071341E" w:rsidRPr="0071341E">
        <w:rPr>
          <w:rFonts w:ascii="Times New Roman" w:hAnsi="Times New Roman" w:cs="Times New Roman"/>
          <w:sz w:val="25"/>
          <w:szCs w:val="25"/>
        </w:rPr>
        <w:t xml:space="preserve">  Civil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Appeal No.412 of 2004 is dismissed. No order as 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1341E" w:rsidRPr="0071341E">
        <w:rPr>
          <w:rFonts w:ascii="Times New Roman" w:hAnsi="Times New Roman" w:cs="Times New Roman"/>
          <w:sz w:val="25"/>
          <w:szCs w:val="25"/>
        </w:rPr>
        <w:t>costs</w:t>
      </w:r>
    </w:p>
    <w:p w:rsidR="0071341E" w:rsidRPr="0071341E" w:rsidRDefault="0071341E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1341E" w:rsidRDefault="00C96800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Judgment Referred.</w:t>
      </w:r>
    </w:p>
    <w:p w:rsidR="00C96800" w:rsidRPr="00C96800" w:rsidRDefault="00C96800" w:rsidP="0071341E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96800" w:rsidRPr="00C96800" w:rsidRDefault="00C96800" w:rsidP="00C96800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96800">
        <w:rPr>
          <w:rFonts w:ascii="Times New Roman" w:hAnsi="Times New Roman" w:cs="Times New Roman"/>
          <w:i/>
          <w:vertAlign w:val="superscript"/>
        </w:rPr>
        <w:t>1</w:t>
      </w:r>
      <w:r w:rsidRPr="00C96800">
        <w:rPr>
          <w:rFonts w:ascii="Times New Roman" w:hAnsi="Times New Roman" w:cs="Times New Roman"/>
          <w:i/>
        </w:rPr>
        <w:t xml:space="preserve">(2000) 10 SCC 636        </w:t>
      </w:r>
    </w:p>
    <w:p w:rsidR="00C96800" w:rsidRPr="00C96800" w:rsidRDefault="00C96800" w:rsidP="00C96800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96800">
        <w:rPr>
          <w:rFonts w:ascii="Times New Roman" w:hAnsi="Times New Roman" w:cs="Times New Roman"/>
          <w:i/>
          <w:vertAlign w:val="superscript"/>
        </w:rPr>
        <w:t>2</w:t>
      </w:r>
      <w:r w:rsidRPr="00C96800">
        <w:rPr>
          <w:rFonts w:ascii="Times New Roman" w:hAnsi="Times New Roman" w:cs="Times New Roman"/>
          <w:i/>
        </w:rPr>
        <w:t xml:space="preserve">(2011)11 SCC 153              </w:t>
      </w:r>
    </w:p>
    <w:p w:rsidR="00C96800" w:rsidRPr="00C96800" w:rsidRDefault="00C96800" w:rsidP="00C96800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96800">
        <w:rPr>
          <w:rFonts w:ascii="Times New Roman" w:hAnsi="Times New Roman" w:cs="Times New Roman"/>
          <w:i/>
          <w:vertAlign w:val="superscript"/>
        </w:rPr>
        <w:t>3</w:t>
      </w:r>
      <w:r w:rsidRPr="00C96800">
        <w:rPr>
          <w:rFonts w:ascii="Times New Roman" w:hAnsi="Times New Roman" w:cs="Times New Roman"/>
          <w:i/>
        </w:rPr>
        <w:t xml:space="preserve"> (2004) 6 SCC 537         </w:t>
      </w:r>
    </w:p>
    <w:p w:rsidR="00C96800" w:rsidRPr="00C96800" w:rsidRDefault="00C96800" w:rsidP="00C96800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96800">
        <w:rPr>
          <w:rFonts w:ascii="Times New Roman" w:hAnsi="Times New Roman" w:cs="Times New Roman"/>
          <w:i/>
          <w:vertAlign w:val="superscript"/>
        </w:rPr>
        <w:t>4</w:t>
      </w:r>
      <w:r w:rsidRPr="00C96800">
        <w:rPr>
          <w:rFonts w:ascii="Times New Roman" w:hAnsi="Times New Roman" w:cs="Times New Roman"/>
          <w:i/>
        </w:rPr>
        <w:t>(1990) 3 SCC 517</w:t>
      </w:r>
    </w:p>
    <w:p w:rsidR="00C96800" w:rsidRPr="0071341E" w:rsidRDefault="00C96800" w:rsidP="00C96800">
      <w:pPr>
        <w:tabs>
          <w:tab w:val="left" w:pos="891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C96800" w:rsidRPr="0071341E" w:rsidSect="00E623A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84F" w:rsidRDefault="00AA584F" w:rsidP="00390945">
      <w:pPr>
        <w:spacing w:after="0" w:line="240" w:lineRule="auto"/>
      </w:pPr>
      <w:r>
        <w:separator/>
      </w:r>
    </w:p>
  </w:endnote>
  <w:endnote w:type="continuationSeparator" w:id="1">
    <w:p w:rsidR="00AA584F" w:rsidRDefault="00AA584F" w:rsidP="0039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8647"/>
      <w:docPartObj>
        <w:docPartGallery w:val="Page Numbers (Bottom of Page)"/>
        <w:docPartUnique/>
      </w:docPartObj>
    </w:sdtPr>
    <w:sdtContent>
      <w:p w:rsidR="00390945" w:rsidRDefault="00390945">
        <w:pPr>
          <w:pStyle w:val="Footer"/>
          <w:jc w:val="center"/>
        </w:pPr>
        <w:r>
          <w:t xml:space="preserve">                                                                      </w:t>
        </w:r>
        <w:r w:rsidR="00B67103" w:rsidRPr="00390945">
          <w:rPr>
            <w:rFonts w:ascii="Times New Roman" w:hAnsi="Times New Roman" w:cs="Times New Roman"/>
          </w:rPr>
          <w:fldChar w:fldCharType="begin"/>
        </w:r>
        <w:r w:rsidRPr="00390945">
          <w:rPr>
            <w:rFonts w:ascii="Times New Roman" w:hAnsi="Times New Roman" w:cs="Times New Roman"/>
          </w:rPr>
          <w:instrText xml:space="preserve"> PAGE   \* MERGEFORMAT </w:instrText>
        </w:r>
        <w:r w:rsidR="00B67103" w:rsidRPr="00390945">
          <w:rPr>
            <w:rFonts w:ascii="Times New Roman" w:hAnsi="Times New Roman" w:cs="Times New Roman"/>
          </w:rPr>
          <w:fldChar w:fldCharType="separate"/>
        </w:r>
        <w:r w:rsidR="00970163">
          <w:rPr>
            <w:rFonts w:ascii="Times New Roman" w:hAnsi="Times New Roman" w:cs="Times New Roman"/>
            <w:noProof/>
          </w:rPr>
          <w:t>1</w:t>
        </w:r>
        <w:r w:rsidR="00B67103" w:rsidRPr="00390945">
          <w:rPr>
            <w:rFonts w:ascii="Times New Roman" w:hAnsi="Times New Roman" w:cs="Times New Roman"/>
          </w:rPr>
          <w:fldChar w:fldCharType="end"/>
        </w:r>
        <w:r w:rsidRPr="00390945">
          <w:rPr>
            <w:rFonts w:ascii="Times New Roman" w:hAnsi="Times New Roman" w:cs="Times New Roman"/>
          </w:rPr>
          <w:t xml:space="preserve">                        </w:t>
        </w:r>
        <w:r>
          <w:rPr>
            <w:rFonts w:ascii="Times New Roman" w:hAnsi="Times New Roman" w:cs="Times New Roman"/>
          </w:rPr>
          <w:t xml:space="preserve">                  </w:t>
        </w:r>
        <w:r w:rsidRPr="00390945">
          <w:rPr>
            <w:rFonts w:ascii="Times New Roman" w:hAnsi="Times New Roman" w:cs="Times New Roman"/>
          </w:rPr>
          <w:t xml:space="preserve">                           SpotLaw</w:t>
        </w:r>
      </w:p>
    </w:sdtContent>
  </w:sdt>
  <w:p w:rsidR="00390945" w:rsidRDefault="00390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84F" w:rsidRDefault="00AA584F" w:rsidP="00390945">
      <w:pPr>
        <w:spacing w:after="0" w:line="240" w:lineRule="auto"/>
      </w:pPr>
      <w:r>
        <w:separator/>
      </w:r>
    </w:p>
  </w:footnote>
  <w:footnote w:type="continuationSeparator" w:id="1">
    <w:p w:rsidR="00AA584F" w:rsidRDefault="00AA584F" w:rsidP="00390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41E"/>
    <w:rsid w:val="00390945"/>
    <w:rsid w:val="004305AA"/>
    <w:rsid w:val="00475547"/>
    <w:rsid w:val="0071341E"/>
    <w:rsid w:val="0091182D"/>
    <w:rsid w:val="00920736"/>
    <w:rsid w:val="00970163"/>
    <w:rsid w:val="00AA584F"/>
    <w:rsid w:val="00B67103"/>
    <w:rsid w:val="00BA5C0A"/>
    <w:rsid w:val="00C96800"/>
    <w:rsid w:val="00E6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945"/>
  </w:style>
  <w:style w:type="paragraph" w:styleId="Footer">
    <w:name w:val="footer"/>
    <w:basedOn w:val="Normal"/>
    <w:link w:val="FooterChar"/>
    <w:uiPriority w:val="99"/>
    <w:unhideWhenUsed/>
    <w:rsid w:val="00390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2016-05-10T09:45:00Z</dcterms:created>
  <dcterms:modified xsi:type="dcterms:W3CDTF">2016-05-10T09:45:00Z</dcterms:modified>
</cp:coreProperties>
</file>