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9A" w:rsidRDefault="00E02D9A" w:rsidP="00E02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SUPREME COURT OF INDIA</w:t>
      </w:r>
    </w:p>
    <w:p w:rsidR="00E02D9A" w:rsidRDefault="00E02D9A" w:rsidP="00E02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</w:p>
    <w:p w:rsidR="00E02D9A" w:rsidRDefault="00E02D9A" w:rsidP="00E02D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Dr.Shivraj S/o.</w:t>
      </w:r>
      <w:r w:rsidRPr="00E02D9A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Namdeo Gaikwad</w:t>
      </w:r>
    </w:p>
    <w:p w:rsidR="00E02D9A" w:rsidRPr="00E02D9A" w:rsidRDefault="00E02D9A" w:rsidP="00E02D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</w:pPr>
    </w:p>
    <w:p w:rsidR="00E02D9A" w:rsidRDefault="00E02D9A" w:rsidP="00E02D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</w:pPr>
      <w:r w:rsidRPr="00E02D9A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Vs.</w:t>
      </w:r>
    </w:p>
    <w:p w:rsidR="00E02D9A" w:rsidRPr="00E02D9A" w:rsidRDefault="00E02D9A" w:rsidP="00E02D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</w:pPr>
    </w:p>
    <w:p w:rsidR="00E02D9A" w:rsidRDefault="00E02D9A" w:rsidP="00E02D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</w:pPr>
      <w:r w:rsidRPr="00E02D9A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State of Maharashtra &amp; Anr.</w:t>
      </w:r>
    </w:p>
    <w:p w:rsidR="00E02D9A" w:rsidRPr="00E02D9A" w:rsidRDefault="00E02D9A" w:rsidP="00E02D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E02D9A" w:rsidRDefault="00E02D9A" w:rsidP="00E02D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</w:pPr>
      <w:r w:rsidRPr="00E02D9A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Crl.A.No.1257 of 2015</w:t>
      </w:r>
    </w:p>
    <w:p w:rsidR="00E02D9A" w:rsidRDefault="00E02D9A" w:rsidP="00E02D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</w:pPr>
    </w:p>
    <w:p w:rsidR="00E02D9A" w:rsidRDefault="00E02D9A" w:rsidP="00E02D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(Anil R.Dave and Adarsh Kumar Goel,JJ.,)</w:t>
      </w:r>
    </w:p>
    <w:p w:rsidR="00E02D9A" w:rsidRDefault="00E02D9A" w:rsidP="00E02D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</w:pPr>
    </w:p>
    <w:p w:rsidR="00E02D9A" w:rsidRDefault="00E02D9A" w:rsidP="00E02D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21.09.2015</w:t>
      </w:r>
    </w:p>
    <w:p w:rsidR="00E02D9A" w:rsidRDefault="00E02D9A" w:rsidP="00E02D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</w:pPr>
    </w:p>
    <w:p w:rsidR="00E02D9A" w:rsidRDefault="00E02D9A" w:rsidP="00E02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  <w:r w:rsidRPr="00E02D9A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JUDGMENT</w:t>
      </w:r>
    </w:p>
    <w:p w:rsidR="00E02D9A" w:rsidRPr="00E02D9A" w:rsidRDefault="00E02D9A" w:rsidP="00E02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</w:p>
    <w:p w:rsidR="00E02D9A" w:rsidRPr="00E02D9A" w:rsidRDefault="00E02D9A" w:rsidP="00E02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E02D9A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Anil R.Dave,J.,</w:t>
      </w:r>
    </w:p>
    <w:p w:rsidR="00E02D9A" w:rsidRPr="00E02D9A" w:rsidRDefault="00E02D9A" w:rsidP="00E02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E02D9A" w:rsidRPr="00E02D9A" w:rsidRDefault="00E02D9A" w:rsidP="00E02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02D9A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SLP (CRL.) No.6815 of 2015]</w:t>
      </w:r>
    </w:p>
    <w:p w:rsidR="00E02D9A" w:rsidRPr="00E02D9A" w:rsidRDefault="00E02D9A" w:rsidP="00E02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E02D9A" w:rsidRDefault="00E02D9A" w:rsidP="00E02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02D9A">
        <w:rPr>
          <w:rFonts w:ascii="Times New Roman" w:eastAsia="Times New Roman" w:hAnsi="Times New Roman" w:cs="Times New Roman"/>
          <w:color w:val="000000"/>
          <w:sz w:val="25"/>
          <w:szCs w:val="25"/>
        </w:rPr>
        <w:t>1. Heard the learned counsel.</w:t>
      </w:r>
    </w:p>
    <w:p w:rsidR="00E02D9A" w:rsidRPr="00E02D9A" w:rsidRDefault="00E02D9A" w:rsidP="00E02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E02D9A" w:rsidRDefault="00E02D9A" w:rsidP="00E02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02D9A">
        <w:rPr>
          <w:rFonts w:ascii="Times New Roman" w:eastAsia="Times New Roman" w:hAnsi="Times New Roman" w:cs="Times New Roman"/>
          <w:color w:val="000000"/>
          <w:sz w:val="25"/>
          <w:szCs w:val="25"/>
        </w:rPr>
        <w:t>2. Leave granted.</w:t>
      </w:r>
    </w:p>
    <w:p w:rsidR="00E02D9A" w:rsidRPr="00E02D9A" w:rsidRDefault="00E02D9A" w:rsidP="00E02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E02D9A" w:rsidRDefault="00E02D9A" w:rsidP="00E02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02D9A">
        <w:rPr>
          <w:rFonts w:ascii="Times New Roman" w:eastAsia="Times New Roman" w:hAnsi="Times New Roman" w:cs="Times New Roman"/>
          <w:color w:val="000000"/>
          <w:sz w:val="25"/>
          <w:szCs w:val="25"/>
        </w:rPr>
        <w:t>3. Ad-interim relief granted on 20th August, 2015, is made absolute.</w:t>
      </w:r>
    </w:p>
    <w:p w:rsidR="00E02D9A" w:rsidRPr="00E02D9A" w:rsidRDefault="00E02D9A" w:rsidP="00E02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E02D9A" w:rsidRDefault="00E02D9A" w:rsidP="00E02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02D9A">
        <w:rPr>
          <w:rFonts w:ascii="Times New Roman" w:eastAsia="Times New Roman" w:hAnsi="Times New Roman" w:cs="Times New Roman"/>
          <w:color w:val="000000"/>
          <w:sz w:val="25"/>
          <w:szCs w:val="25"/>
        </w:rPr>
        <w:t>4. The appeal is disposed of as allowed to the above extent.</w:t>
      </w:r>
    </w:p>
    <w:p w:rsidR="00E02D9A" w:rsidRPr="00E02D9A" w:rsidRDefault="00E02D9A" w:rsidP="00E02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E02D9A" w:rsidRDefault="00E02D9A" w:rsidP="00E02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02D9A">
        <w:rPr>
          <w:rFonts w:ascii="Times New Roman" w:eastAsia="Times New Roman" w:hAnsi="Times New Roman" w:cs="Times New Roman"/>
          <w:color w:val="000000"/>
          <w:sz w:val="25"/>
          <w:szCs w:val="25"/>
        </w:rPr>
        <w:t>5. The learned counsel appearing for the appellant has submitted that the appellant shall extend his cooperation to the Investigating Officer.</w:t>
      </w:r>
    </w:p>
    <w:p w:rsidR="00E02D9A" w:rsidRPr="00E02D9A" w:rsidRDefault="00E02D9A" w:rsidP="00E02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E02D9A" w:rsidRDefault="00E02D9A" w:rsidP="00E02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ORDER</w:t>
      </w:r>
    </w:p>
    <w:p w:rsidR="00E02D9A" w:rsidRPr="00E02D9A" w:rsidRDefault="00E02D9A" w:rsidP="00E02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E02D9A" w:rsidRPr="00E02D9A" w:rsidRDefault="00E02D9A" w:rsidP="00E02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02D9A">
        <w:rPr>
          <w:rFonts w:ascii="Times New Roman" w:eastAsia="Times New Roman" w:hAnsi="Times New Roman" w:cs="Times New Roman"/>
          <w:color w:val="000000"/>
          <w:sz w:val="25"/>
          <w:szCs w:val="25"/>
        </w:rPr>
        <w:t>Leave granted. The appeal is disposed of as allowed in terms of the signed order.</w:t>
      </w:r>
    </w:p>
    <w:p w:rsidR="00255CF8" w:rsidRPr="00E02D9A" w:rsidRDefault="00255CF8" w:rsidP="00E02D9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255CF8" w:rsidRPr="00E02D9A" w:rsidSect="00FE3E4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3F2" w:rsidRDefault="00F843F2" w:rsidP="00255CF8">
      <w:pPr>
        <w:spacing w:after="0" w:line="240" w:lineRule="auto"/>
      </w:pPr>
      <w:r>
        <w:separator/>
      </w:r>
    </w:p>
  </w:endnote>
  <w:endnote w:type="continuationSeparator" w:id="1">
    <w:p w:rsidR="00F843F2" w:rsidRDefault="00F843F2" w:rsidP="0025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861059"/>
      <w:docPartObj>
        <w:docPartGallery w:val="Page Numbers (Bottom of Page)"/>
        <w:docPartUnique/>
      </w:docPartObj>
    </w:sdtPr>
    <w:sdtContent>
      <w:p w:rsidR="00255CF8" w:rsidRPr="00255CF8" w:rsidRDefault="00255CF8">
        <w:pPr>
          <w:pStyle w:val="Footer"/>
          <w:jc w:val="center"/>
          <w:rPr>
            <w:rFonts w:ascii="Times New Roman" w:hAnsi="Times New Roman" w:cs="Times New Roman"/>
          </w:rPr>
        </w:pPr>
        <w:r w:rsidRPr="00255CF8">
          <w:rPr>
            <w:rFonts w:ascii="Times New Roman" w:hAnsi="Times New Roman" w:cs="Times New Roman"/>
          </w:rPr>
          <w:t xml:space="preserve">                                                                           </w:t>
        </w:r>
        <w:r w:rsidRPr="00255CF8">
          <w:rPr>
            <w:rFonts w:ascii="Times New Roman" w:hAnsi="Times New Roman" w:cs="Times New Roman"/>
          </w:rPr>
          <w:fldChar w:fldCharType="begin"/>
        </w:r>
        <w:r w:rsidRPr="00255CF8">
          <w:rPr>
            <w:rFonts w:ascii="Times New Roman" w:hAnsi="Times New Roman" w:cs="Times New Roman"/>
          </w:rPr>
          <w:instrText xml:space="preserve"> PAGE   \* MERGEFORMAT </w:instrText>
        </w:r>
        <w:r w:rsidRPr="00255CF8">
          <w:rPr>
            <w:rFonts w:ascii="Times New Roman" w:hAnsi="Times New Roman" w:cs="Times New Roman"/>
          </w:rPr>
          <w:fldChar w:fldCharType="separate"/>
        </w:r>
        <w:r w:rsidR="00E02D9A">
          <w:rPr>
            <w:rFonts w:ascii="Times New Roman" w:hAnsi="Times New Roman" w:cs="Times New Roman"/>
            <w:noProof/>
          </w:rPr>
          <w:t>1</w:t>
        </w:r>
        <w:r w:rsidRPr="00255CF8">
          <w:rPr>
            <w:rFonts w:ascii="Times New Roman" w:hAnsi="Times New Roman" w:cs="Times New Roman"/>
          </w:rPr>
          <w:fldChar w:fldCharType="end"/>
        </w:r>
        <w:r w:rsidRPr="00255CF8">
          <w:rPr>
            <w:rFonts w:ascii="Times New Roman" w:hAnsi="Times New Roman" w:cs="Times New Roman"/>
          </w:rPr>
          <w:t xml:space="preserve">                                                                      SpotLaw</w:t>
        </w:r>
      </w:p>
    </w:sdtContent>
  </w:sdt>
  <w:p w:rsidR="00255CF8" w:rsidRPr="00255CF8" w:rsidRDefault="00255CF8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3F2" w:rsidRDefault="00F843F2" w:rsidP="00255CF8">
      <w:pPr>
        <w:spacing w:after="0" w:line="240" w:lineRule="auto"/>
      </w:pPr>
      <w:r>
        <w:separator/>
      </w:r>
    </w:p>
  </w:footnote>
  <w:footnote w:type="continuationSeparator" w:id="1">
    <w:p w:rsidR="00F843F2" w:rsidRDefault="00F843F2" w:rsidP="00255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3281"/>
    <w:rsid w:val="001322DF"/>
    <w:rsid w:val="00147D68"/>
    <w:rsid w:val="001C24BB"/>
    <w:rsid w:val="002328EA"/>
    <w:rsid w:val="00255CF8"/>
    <w:rsid w:val="002C6F10"/>
    <w:rsid w:val="00632097"/>
    <w:rsid w:val="006B2D29"/>
    <w:rsid w:val="006E3281"/>
    <w:rsid w:val="00A508A7"/>
    <w:rsid w:val="00C05D06"/>
    <w:rsid w:val="00E02D9A"/>
    <w:rsid w:val="00E852AF"/>
    <w:rsid w:val="00F843F2"/>
    <w:rsid w:val="00FE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5CF8"/>
  </w:style>
  <w:style w:type="paragraph" w:styleId="Footer">
    <w:name w:val="footer"/>
    <w:basedOn w:val="Normal"/>
    <w:link w:val="FooterChar"/>
    <w:uiPriority w:val="99"/>
    <w:unhideWhenUsed/>
    <w:rsid w:val="0025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CF8"/>
  </w:style>
  <w:style w:type="paragraph" w:styleId="NormalWeb">
    <w:name w:val="Normal (Web)"/>
    <w:basedOn w:val="Normal"/>
    <w:uiPriority w:val="99"/>
    <w:unhideWhenUsed/>
    <w:rsid w:val="00E0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cp:lastPrinted>2016-06-10T07:39:00Z</cp:lastPrinted>
  <dcterms:created xsi:type="dcterms:W3CDTF">2016-06-10T07:48:00Z</dcterms:created>
  <dcterms:modified xsi:type="dcterms:W3CDTF">2016-06-10T07:48:00Z</dcterms:modified>
</cp:coreProperties>
</file>