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A66" w:rsidRPr="001D5BA8" w:rsidRDefault="00B72A66" w:rsidP="001D5BA8">
      <w:pPr>
        <w:jc w:val="center"/>
        <w:rPr>
          <w:b/>
        </w:rPr>
      </w:pPr>
      <w:r w:rsidRPr="001D5BA8">
        <w:rPr>
          <w:b/>
        </w:rPr>
        <w:t>SUPREME COURT OF INDIA</w:t>
      </w:r>
    </w:p>
    <w:p w:rsidR="007715EF" w:rsidRDefault="007715EF" w:rsidP="001D5BA8">
      <w:pPr>
        <w:jc w:val="center"/>
      </w:pPr>
    </w:p>
    <w:p w:rsidR="00B72A66" w:rsidRDefault="001D5BA8" w:rsidP="001D5BA8">
      <w:pPr>
        <w:jc w:val="center"/>
      </w:pPr>
      <w:r>
        <w:t>Krishna Bhatacharjee</w:t>
      </w:r>
    </w:p>
    <w:p w:rsidR="007715EF" w:rsidRDefault="007715EF" w:rsidP="001D5BA8">
      <w:pPr>
        <w:jc w:val="center"/>
      </w:pPr>
    </w:p>
    <w:p w:rsidR="007715EF" w:rsidRDefault="007715EF" w:rsidP="001D5BA8">
      <w:pPr>
        <w:jc w:val="center"/>
      </w:pPr>
      <w:r>
        <w:t>Vs.</w:t>
      </w:r>
    </w:p>
    <w:p w:rsidR="007715EF" w:rsidRDefault="007715EF" w:rsidP="001D5BA8">
      <w:pPr>
        <w:jc w:val="center"/>
      </w:pPr>
    </w:p>
    <w:p w:rsidR="00B72A66" w:rsidRDefault="00B72A66" w:rsidP="001D5BA8">
      <w:pPr>
        <w:jc w:val="center"/>
      </w:pPr>
      <w:r>
        <w:t xml:space="preserve">Sarathi Choudhury </w:t>
      </w:r>
      <w:r w:rsidR="007715EF">
        <w:t>&amp; Anr.</w:t>
      </w:r>
    </w:p>
    <w:p w:rsidR="007715EF" w:rsidRDefault="007715EF" w:rsidP="001D5BA8">
      <w:pPr>
        <w:jc w:val="center"/>
        <w:rPr>
          <w:b/>
        </w:rPr>
      </w:pPr>
    </w:p>
    <w:p w:rsidR="001D5BA8" w:rsidRDefault="001D5BA8" w:rsidP="001D5BA8">
      <w:pPr>
        <w:jc w:val="center"/>
      </w:pPr>
      <w:r>
        <w:t>Crl.A.No.1545 of 2015</w:t>
      </w:r>
    </w:p>
    <w:p w:rsidR="001D5BA8" w:rsidRDefault="001D5BA8" w:rsidP="001D5BA8">
      <w:pPr>
        <w:jc w:val="center"/>
      </w:pPr>
    </w:p>
    <w:p w:rsidR="001D5BA8" w:rsidRDefault="001D5BA8" w:rsidP="001D5BA8">
      <w:pPr>
        <w:jc w:val="center"/>
      </w:pPr>
      <w:r>
        <w:t>(Dipak Misra and Prafulla C.Pant,JJ.,)</w:t>
      </w:r>
    </w:p>
    <w:p w:rsidR="001D5BA8" w:rsidRDefault="001D5BA8" w:rsidP="001D5BA8">
      <w:pPr>
        <w:jc w:val="center"/>
      </w:pPr>
    </w:p>
    <w:p w:rsidR="001D5BA8" w:rsidRDefault="001D5BA8" w:rsidP="001D5BA8">
      <w:pPr>
        <w:jc w:val="center"/>
      </w:pPr>
      <w:r>
        <w:t>20.11.2015</w:t>
      </w:r>
    </w:p>
    <w:p w:rsidR="001D5BA8" w:rsidRPr="001D5BA8" w:rsidRDefault="001D5BA8" w:rsidP="001D5BA8">
      <w:pPr>
        <w:jc w:val="center"/>
      </w:pPr>
    </w:p>
    <w:p w:rsidR="007715EF" w:rsidRPr="001D5BA8" w:rsidRDefault="007715EF" w:rsidP="001D5BA8">
      <w:pPr>
        <w:jc w:val="center"/>
        <w:rPr>
          <w:b/>
        </w:rPr>
      </w:pPr>
      <w:r w:rsidRPr="001D5BA8">
        <w:rPr>
          <w:b/>
        </w:rPr>
        <w:t>JUDGE</w:t>
      </w:r>
      <w:r w:rsidR="001D5BA8" w:rsidRPr="001D5BA8">
        <w:rPr>
          <w:b/>
        </w:rPr>
        <w:t>MENT</w:t>
      </w:r>
    </w:p>
    <w:p w:rsidR="007715EF" w:rsidRPr="001D5BA8" w:rsidRDefault="007715EF" w:rsidP="007715EF">
      <w:pPr>
        <w:jc w:val="both"/>
        <w:rPr>
          <w:b/>
        </w:rPr>
      </w:pPr>
    </w:p>
    <w:p w:rsidR="00B72A66" w:rsidRDefault="001D5BA8" w:rsidP="007715EF">
      <w:pPr>
        <w:jc w:val="both"/>
        <w:rPr>
          <w:b/>
        </w:rPr>
      </w:pPr>
      <w:r w:rsidRPr="001D5BA8">
        <w:rPr>
          <w:b/>
        </w:rPr>
        <w:t>Dipak Misra,</w:t>
      </w:r>
      <w:r w:rsidR="00B72A66" w:rsidRPr="001D5BA8">
        <w:rPr>
          <w:b/>
        </w:rPr>
        <w:t>J.</w:t>
      </w:r>
      <w:r w:rsidRPr="001D5BA8">
        <w:rPr>
          <w:b/>
        </w:rPr>
        <w:t>,</w:t>
      </w:r>
    </w:p>
    <w:p w:rsidR="001D5BA8" w:rsidRPr="001D5BA8" w:rsidRDefault="001D5BA8" w:rsidP="007715EF">
      <w:pPr>
        <w:jc w:val="both"/>
        <w:rPr>
          <w:b/>
        </w:rPr>
      </w:pPr>
    </w:p>
    <w:p w:rsidR="001D5BA8" w:rsidRDefault="001D5BA8" w:rsidP="001D5BA8">
      <w:pPr>
        <w:jc w:val="both"/>
      </w:pPr>
      <w:r>
        <w:t>SLP(Crl)No. 10223 of 2014</w:t>
      </w:r>
    </w:p>
    <w:p w:rsidR="001D5BA8" w:rsidRDefault="001D5BA8" w:rsidP="007715EF">
      <w:pPr>
        <w:jc w:val="both"/>
      </w:pPr>
    </w:p>
    <w:p w:rsidR="00B72A66" w:rsidRDefault="001D5BA8" w:rsidP="007715EF">
      <w:pPr>
        <w:jc w:val="both"/>
      </w:pPr>
      <w:r>
        <w:t xml:space="preserve">1. </w:t>
      </w:r>
      <w:r w:rsidR="00B72A66">
        <w:t>Leave granted.</w:t>
      </w:r>
    </w:p>
    <w:p w:rsidR="001D5BA8" w:rsidRDefault="001D5BA8" w:rsidP="007715EF">
      <w:pPr>
        <w:jc w:val="both"/>
      </w:pPr>
    </w:p>
    <w:p w:rsidR="00B72A66" w:rsidRDefault="001D5BA8" w:rsidP="007715EF">
      <w:pPr>
        <w:jc w:val="both"/>
      </w:pPr>
      <w:r>
        <w:t xml:space="preserve">2. </w:t>
      </w:r>
      <w:r w:rsidR="00B72A66">
        <w:t xml:space="preserve">The appellant having lost the battle for getting her Stridhan back from her husband, the first respondent herein, before the learned Magistrate on the ground that the claim preferred under Section 12 of the Protection of Women from Domestic Violence Act, 2005 (for short, </w:t>
      </w:r>
      <w:r>
        <w:t xml:space="preserve"> </w:t>
      </w:r>
      <w:r w:rsidR="00B72A66">
        <w:t>the 2005 Act</w:t>
      </w:r>
      <w:r w:rsidR="00B72A66">
        <w:rPr>
          <w:rFonts w:hint="eastAsia"/>
        </w:rPr>
        <w:t>’</w:t>
      </w:r>
      <w:r w:rsidR="00B72A66">
        <w:t xml:space="preserve">) was not entertainable as she had ceased to be an </w:t>
      </w:r>
      <w:r w:rsidR="00B72A66">
        <w:rPr>
          <w:rFonts w:hint="eastAsia"/>
        </w:rPr>
        <w:t>“</w:t>
      </w:r>
      <w:r w:rsidR="00B72A66">
        <w:t>aggrieved person</w:t>
      </w:r>
      <w:r w:rsidR="00B72A66">
        <w:rPr>
          <w:rFonts w:hint="eastAsia"/>
        </w:rPr>
        <w:t>”</w:t>
      </w:r>
      <w:r>
        <w:t xml:space="preserve"> </w:t>
      </w:r>
      <w:r w:rsidR="00B72A66">
        <w:t>under Section 2(a) of the 2005 Act and further that the claim as put forth was barred by limitation; preferred an appeal before the learned Additional Sessions Judge who concurred with the view expressed by the learned Magistrate, and being determined to get her lawful claim, she, despite the repeated non-success, approached the High Court of Tripura, Agartala in Criminal Revision No. 19 of 2014 with the hope that she will be victorious in the war to get her own property, but the High Court, as is perceivable, without much analysis, declined to interfere by passing an order with Spartan austerity possibly thinking lack of reasoning is equivalent to a magnificent virtue and that had led the agonised and perturbed wife to prefer the present appeal, by special leave.</w:t>
      </w:r>
    </w:p>
    <w:p w:rsidR="001D5BA8" w:rsidRDefault="001D5BA8" w:rsidP="007715EF">
      <w:pPr>
        <w:jc w:val="both"/>
      </w:pPr>
    </w:p>
    <w:p w:rsidR="00B72A66" w:rsidRDefault="001D5BA8" w:rsidP="007715EF">
      <w:pPr>
        <w:jc w:val="both"/>
      </w:pPr>
      <w:r>
        <w:t xml:space="preserve">3. </w:t>
      </w:r>
      <w:r w:rsidR="00B72A66">
        <w:t xml:space="preserve"> Prior to the narration of facts which are essential for adjudication of this appeal, we may state that the 2005 Act has been legislated, as its Preamble would reflect, to provide for more effective protection of the rights of the women guaranteed under the Constitution who are victims of violence of any kind occurring within the family and for matters connected therewith or incidental thereto. The 2005 Act is a detailed Act. The dictionary clause of the 2005 Act, which we shall advert to slightly at a later stage, is in a broader spectrum. The definition of </w:t>
      </w:r>
      <w:r w:rsidR="00B72A66">
        <w:rPr>
          <w:rFonts w:hint="eastAsia"/>
        </w:rPr>
        <w:t>“</w:t>
      </w:r>
      <w:r w:rsidR="00B72A66">
        <w:t>domestic violence</w:t>
      </w:r>
      <w:r w:rsidR="00B72A66">
        <w:rPr>
          <w:rFonts w:hint="eastAsia"/>
        </w:rPr>
        <w:t>”</w:t>
      </w:r>
      <w:r w:rsidR="00B72A66">
        <w:t xml:space="preserve"> covers a range of violence which takes within its sweep </w:t>
      </w:r>
      <w:r w:rsidR="00B72A66">
        <w:rPr>
          <w:rFonts w:hint="eastAsia"/>
        </w:rPr>
        <w:lastRenderedPageBreak/>
        <w:t>“</w:t>
      </w:r>
      <w:r w:rsidR="00B72A66">
        <w:t>economic abuse</w:t>
      </w:r>
      <w:r w:rsidR="00B72A66">
        <w:rPr>
          <w:rFonts w:hint="eastAsia"/>
        </w:rPr>
        <w:t>”</w:t>
      </w:r>
      <w:r w:rsidR="00B72A66">
        <w:t xml:space="preserve"> and the words </w:t>
      </w:r>
      <w:r w:rsidR="00B72A66">
        <w:rPr>
          <w:rFonts w:hint="eastAsia"/>
        </w:rPr>
        <w:t>“</w:t>
      </w:r>
      <w:r w:rsidR="00B72A66">
        <w:t>economic abuse</w:t>
      </w:r>
      <w:r w:rsidR="00B72A66">
        <w:rPr>
          <w:rFonts w:hint="eastAsia"/>
        </w:rPr>
        <w:t>”</w:t>
      </w:r>
      <w:r w:rsidR="00B72A66">
        <w:t>, as the provision would show, has many a facet.</w:t>
      </w:r>
    </w:p>
    <w:p w:rsidR="001D5BA8" w:rsidRDefault="001D5BA8" w:rsidP="007715EF">
      <w:pPr>
        <w:jc w:val="both"/>
      </w:pPr>
    </w:p>
    <w:p w:rsidR="00B72A66" w:rsidRDefault="001D5BA8" w:rsidP="007715EF">
      <w:pPr>
        <w:jc w:val="both"/>
      </w:pPr>
      <w:r>
        <w:t xml:space="preserve">4. </w:t>
      </w:r>
      <w:r w:rsidR="00B72A66">
        <w:t xml:space="preserve"> Regard being had to the nature of the legislation, a more sensitive approach is expected from the courts where under the 2005</w:t>
      </w:r>
      <w:r>
        <w:t xml:space="preserve"> </w:t>
      </w:r>
      <w:r w:rsidR="00B72A66">
        <w:t xml:space="preserve">Act no relief can be granted, it should never be conceived of but, before throwing a petition at the threshold on the ground of maintainability, there has to be an apposite discussion and thorough deliberation on the issues raised. It should be borne in mind that helpless and hapless </w:t>
      </w:r>
      <w:r w:rsidR="00B72A66">
        <w:rPr>
          <w:rFonts w:hint="eastAsia"/>
        </w:rPr>
        <w:t>“</w:t>
      </w:r>
      <w:r w:rsidR="00B72A66">
        <w:t>aggrieved person</w:t>
      </w:r>
      <w:r w:rsidR="00B72A66">
        <w:rPr>
          <w:rFonts w:hint="eastAsia"/>
        </w:rPr>
        <w:t>”</w:t>
      </w:r>
      <w:r w:rsidR="00B72A66">
        <w:t xml:space="preserve"> under the 2005 Act approaches the court under the compelling circumstances. It is the duty of the court to scrutinise the facts from all angles whether a plea advanced by the respondent to nullify the grievance of the aggrieved person is really legally sound and correct. The principle </w:t>
      </w:r>
      <w:r w:rsidR="00B72A66">
        <w:rPr>
          <w:rFonts w:hint="eastAsia"/>
        </w:rPr>
        <w:t>“</w:t>
      </w:r>
      <w:r w:rsidR="00B72A66">
        <w:t>justice to the cause is equivalent to the salt of ocean</w:t>
      </w:r>
      <w:r w:rsidR="00B72A66">
        <w:rPr>
          <w:rFonts w:hint="eastAsia"/>
        </w:rPr>
        <w:t>”</w:t>
      </w:r>
      <w:r w:rsidR="00B72A66">
        <w:t xml:space="preserve"> should be kept in mind. The court of law is bound to uphold the truth which sparkles when justice is done. Before throwing a petition at the threshold, it is obligatory to see that the person aggrieved under such a legislation is not faced with a situation of non-adjudication, for the 2005 Act as we have stated is a beneficial as well as assertively affirmative enactment for the realisation of the constitutional rights of women and to ensure that they do not become victims of any kind of domestic violence.</w:t>
      </w:r>
    </w:p>
    <w:p w:rsidR="001D5BA8" w:rsidRDefault="001D5BA8" w:rsidP="007715EF">
      <w:pPr>
        <w:jc w:val="both"/>
      </w:pPr>
    </w:p>
    <w:p w:rsidR="001D5BA8" w:rsidRDefault="001D5BA8" w:rsidP="007715EF">
      <w:pPr>
        <w:jc w:val="both"/>
      </w:pPr>
      <w:r>
        <w:t xml:space="preserve">5. </w:t>
      </w:r>
      <w:r w:rsidR="00B72A66">
        <w:t xml:space="preserve">Presently to the narration of the facts. The marriage between the appellant and the </w:t>
      </w:r>
    </w:p>
    <w:p w:rsidR="00B72A66" w:rsidRDefault="00B72A66" w:rsidP="007715EF">
      <w:pPr>
        <w:jc w:val="both"/>
      </w:pPr>
      <w:r>
        <w:t>respondent No. 1 was solemnised on 27.11.2005 and they lived as husband and wife. As the allegations proceed, there was demand of dowry by the husband including his relatives and, demands not being satisfied, the appellant was driven out from the matrimonial home. However, due to intervention of the elderly people of the locality, there was some kind of conciliation as a consequence of which both the husband and the wife stayed in a rented house for two months. With the efflux of time, the husband filed a petition seeking judicial separation before the Family Court and eventually the said prayer was granted by the learned Judge, Family Court. After the judicial separation, on 22.5.2010 the appellant filed an application under Section 12 of the 2005 Act before the Child Development Protection Officer (CDPO), O/O the District Inspector, Social Welfare &amp; Social Education, A.D. Nagar, Agartala, Tripura West seeking necessary help as per the provisions contained in the 2005 Act. She sought seizure of Stridhan articles from the possession of the husband. The application which was made before the CDPO was forwarded by the said authority to the learned Chief Judicial Magistrate, Agartala Sadar, West Tripura by letter dated 1.6.2010. The learned Magistrate issued notice to the respondent who filed his written objections on 14.2.2011.</w:t>
      </w:r>
    </w:p>
    <w:p w:rsidR="001D5BA8" w:rsidRDefault="001D5BA8" w:rsidP="007715EF">
      <w:pPr>
        <w:jc w:val="both"/>
      </w:pPr>
    </w:p>
    <w:p w:rsidR="00B72A66" w:rsidRDefault="001D5BA8" w:rsidP="007715EF">
      <w:pPr>
        <w:jc w:val="both"/>
      </w:pPr>
      <w:r>
        <w:t xml:space="preserve">6. </w:t>
      </w:r>
      <w:r w:rsidR="00B72A66">
        <w:t>Before the learned Magistrate it was contended by the respondent that the application preferred by the wife was barred by limitation and that she could not have raised claim as regards Stridhan after the de</w:t>
      </w:r>
      <w:r w:rsidR="00B72A66">
        <w:rPr>
          <w:rFonts w:hint="eastAsia"/>
        </w:rPr>
        <w:t>¬</w:t>
      </w:r>
      <w:r w:rsidR="00B72A66">
        <w:t xml:space="preserve">cree of judicial separation passed by the competent court. The learned Magistrate taking into consideration the admitted fact that respondent  </w:t>
      </w:r>
      <w:r>
        <w:t xml:space="preserve"> </w:t>
      </w:r>
      <w:r w:rsidR="00B72A66">
        <w:t xml:space="preserve">and the appellant had entered into wedlock treated her as an </w:t>
      </w:r>
      <w:r w:rsidR="00B72A66">
        <w:rPr>
          <w:rFonts w:hint="eastAsia"/>
        </w:rPr>
        <w:t>“</w:t>
      </w:r>
      <w:r w:rsidR="00B72A66">
        <w:t>ag</w:t>
      </w:r>
      <w:r w:rsidR="00B72A66">
        <w:rPr>
          <w:rFonts w:hint="eastAsia"/>
        </w:rPr>
        <w:t>¬</w:t>
      </w:r>
      <w:r w:rsidR="00B72A66">
        <w:t>grieved person</w:t>
      </w:r>
      <w:r w:rsidR="00B72A66">
        <w:rPr>
          <w:rFonts w:hint="eastAsia"/>
        </w:rPr>
        <w:t>”</w:t>
      </w:r>
      <w:r w:rsidR="00B72A66">
        <w:t xml:space="preserve">, but opined that no </w:t>
      </w:r>
      <w:r w:rsidR="00B72A66">
        <w:rPr>
          <w:rFonts w:hint="eastAsia"/>
        </w:rPr>
        <w:t>“</w:t>
      </w:r>
      <w:r w:rsidR="00B72A66">
        <w:t>domestic relationship</w:t>
      </w:r>
      <w:r w:rsidR="00B72A66">
        <w:rPr>
          <w:rFonts w:hint="eastAsia"/>
        </w:rPr>
        <w:t>”</w:t>
      </w:r>
      <w:r w:rsidR="00B72A66">
        <w:t xml:space="preserve"> as defined under Section 2(f) of the 2005 Act existed between the parties and, therefore, wife was not entitled to file the application under Section 12 of the 2005 Act. The learned Magistrate came to hold that though the parties had not been divorced </w:t>
      </w:r>
      <w:r w:rsidR="00B72A66">
        <w:lastRenderedPageBreak/>
        <w:t>but the decree of judicial separation would be an impediment for entertaining the application and being of this view, he opined that no domestic relationship subsisted under the 2005 Act and hence, no relief could be granted. Be it stated here that before the learned Magistrate, apart from herself, the appellant exam</w:t>
      </w:r>
      <w:r w:rsidR="00B72A66">
        <w:rPr>
          <w:rFonts w:hint="eastAsia"/>
        </w:rPr>
        <w:t>¬</w:t>
      </w:r>
      <w:r w:rsidR="00B72A66">
        <w:t>ined three witnesses and the husband had examined himself as DW-1. The learned Magistrate while dealing with the maintainability of the petition had noted the contentions of the parties as regards merits, but has really not recorded any finding thereon.</w:t>
      </w:r>
    </w:p>
    <w:p w:rsidR="001D5BA8" w:rsidRDefault="001D5BA8" w:rsidP="007715EF">
      <w:pPr>
        <w:jc w:val="both"/>
      </w:pPr>
    </w:p>
    <w:p w:rsidR="00B72A66" w:rsidRDefault="001D5BA8" w:rsidP="007715EF">
      <w:pPr>
        <w:jc w:val="both"/>
      </w:pPr>
      <w:r>
        <w:t xml:space="preserve">7. </w:t>
      </w:r>
      <w:r w:rsidR="00B72A66">
        <w:t>The aggrieved wife preferred criminal appeal No. 6(1) of 2014 which has been decided by the learned Additional Sessions Judge, Agartala holding, inter alia, that the object of the 2005 Act is primarily to give immediate relief to the victims; that as per the decision of this Court in Inderjit Singh Grewal v. State of Punjab1 that Section 468 of the Code of Criminal Procedure applies to the proceedings under the 2005 Act and, therefore, her application was barred by time. Being of this view, the appellate court dismissed the appeal.</w:t>
      </w:r>
    </w:p>
    <w:p w:rsidR="001D5BA8" w:rsidRDefault="001D5BA8" w:rsidP="007715EF">
      <w:pPr>
        <w:jc w:val="both"/>
      </w:pPr>
    </w:p>
    <w:p w:rsidR="00B72A66" w:rsidRDefault="001D5BA8" w:rsidP="007715EF">
      <w:pPr>
        <w:jc w:val="both"/>
      </w:pPr>
      <w:r>
        <w:t xml:space="preserve">8. </w:t>
      </w:r>
      <w:r w:rsidR="00B72A66">
        <w:t xml:space="preserve"> On a revision being preferred, the High Court, as is demonstrable from the impugned order, after referring to the decision in Inderjit Singh Grewal (supra), has stated that the wife had filed a criminal case under Section 498(A) IPC in the year 2006 and the husband had obtained a decree of judicial separation in 2008, and hence, the pro</w:t>
      </w:r>
      <w:r w:rsidR="00B72A66">
        <w:rPr>
          <w:rFonts w:hint="eastAsia"/>
        </w:rPr>
        <w:t>¬</w:t>
      </w:r>
      <w:r w:rsidR="00B72A66">
        <w:t>ceedings under the 2005 Act was barred by limitation. That apart, it has also in a way expressed the view that the proceedings under the 2005 Act was not maintainable.</w:t>
      </w:r>
    </w:p>
    <w:p w:rsidR="001D5BA8" w:rsidRDefault="001D5BA8" w:rsidP="007715EF">
      <w:pPr>
        <w:jc w:val="both"/>
      </w:pPr>
    </w:p>
    <w:p w:rsidR="00B72A66" w:rsidRDefault="001D5BA8" w:rsidP="007715EF">
      <w:pPr>
        <w:jc w:val="both"/>
      </w:pPr>
      <w:r>
        <w:t xml:space="preserve">9. </w:t>
      </w:r>
      <w:r w:rsidR="00B72A66">
        <w:t xml:space="preserve"> In our prefatory note, we have stated about the need of sensitive approach to these kinds of cases. There can be erroneous perception of law, but as we find, neither the learned Magistrate nor the appellate court nor the High Court has made any effort to understand and ap</w:t>
      </w:r>
      <w:r w:rsidR="00B72A66">
        <w:rPr>
          <w:rFonts w:hint="eastAsia"/>
        </w:rPr>
        <w:t>¬</w:t>
      </w:r>
      <w:r w:rsidR="00B72A66">
        <w:t>preciate the stand of the appellant. Such type of cases and at such stage should not travel to this Court. We are compelled to say so as we are of the considered opinion that had the appellate court and the High Court been more vigilant, in all possibility, there could have been adjudication on merits. Be that as it may.</w:t>
      </w:r>
    </w:p>
    <w:p w:rsidR="001D5BA8" w:rsidRDefault="001D5BA8" w:rsidP="007715EF">
      <w:pPr>
        <w:jc w:val="both"/>
      </w:pPr>
    </w:p>
    <w:p w:rsidR="00B72A66" w:rsidRDefault="001D5BA8" w:rsidP="007715EF">
      <w:pPr>
        <w:jc w:val="both"/>
      </w:pPr>
      <w:r>
        <w:t xml:space="preserve">10. </w:t>
      </w:r>
      <w:r w:rsidR="00B72A66">
        <w:t xml:space="preserve"> The facts that we have enumerated as regards the </w:t>
      </w:r>
      <w:r w:rsidR="00B72A66">
        <w:rPr>
          <w:rFonts w:hint="eastAsia"/>
        </w:rPr>
        <w:t>“</w:t>
      </w:r>
      <w:r w:rsidR="00B72A66">
        <w:t>status of the parties</w:t>
      </w:r>
      <w:r w:rsidR="00B72A66">
        <w:rPr>
          <w:rFonts w:hint="eastAsia"/>
        </w:rPr>
        <w:t>”</w:t>
      </w:r>
      <w:r w:rsidR="00B72A66">
        <w:t xml:space="preserve">, </w:t>
      </w:r>
      <w:r w:rsidR="00B72A66">
        <w:rPr>
          <w:rFonts w:hint="eastAsia"/>
        </w:rPr>
        <w:t>“</w:t>
      </w:r>
      <w:r w:rsidR="00B72A66">
        <w:t>judicial separation</w:t>
      </w:r>
      <w:r w:rsidR="00B72A66">
        <w:rPr>
          <w:rFonts w:hint="eastAsia"/>
        </w:rPr>
        <w:t>”</w:t>
      </w:r>
      <w:r w:rsidR="00B72A66">
        <w:t xml:space="preserve"> and </w:t>
      </w:r>
      <w:r w:rsidR="00B72A66">
        <w:rPr>
          <w:rFonts w:hint="eastAsia"/>
        </w:rPr>
        <w:t>“</w:t>
      </w:r>
      <w:r w:rsidR="00B72A66">
        <w:t>the claim for Stridhan</w:t>
      </w:r>
      <w:r w:rsidR="00B72A66">
        <w:rPr>
          <w:rFonts w:hint="eastAsia"/>
        </w:rPr>
        <w:t>”</w:t>
      </w:r>
      <w:r w:rsidR="00B72A66">
        <w:t xml:space="preserve"> are not in dispute. Regard being had to the undisputed facts, it is necessary to appreciate the scheme of the 2005 Act. Section 2(a) defines </w:t>
      </w:r>
      <w:r w:rsidR="00B72A66">
        <w:rPr>
          <w:rFonts w:hint="eastAsia"/>
        </w:rPr>
        <w:t>“</w:t>
      </w:r>
      <w:r w:rsidR="00B72A66">
        <w:t>aggrieved person</w:t>
      </w:r>
      <w:r w:rsidR="00B72A66">
        <w:rPr>
          <w:rFonts w:hint="eastAsia"/>
        </w:rPr>
        <w:t>”</w:t>
      </w:r>
      <w:r w:rsidR="00B72A66">
        <w:t xml:space="preserve"> which means any woman who is, or has been, in a domestic relationship with the respondent and who alleges to have been sub</w:t>
      </w:r>
      <w:r w:rsidR="00B72A66">
        <w:rPr>
          <w:rFonts w:hint="eastAsia"/>
        </w:rPr>
        <w:t>¬</w:t>
      </w:r>
      <w:r w:rsidR="00B72A66">
        <w:t xml:space="preserve">jected to any act of domestic violence by the respondent. Section 2(f) defines </w:t>
      </w:r>
      <w:r w:rsidR="00B72A66">
        <w:rPr>
          <w:rFonts w:hint="eastAsia"/>
        </w:rPr>
        <w:t>“</w:t>
      </w:r>
      <w:r w:rsidR="00B72A66">
        <w:t>domestic relationship</w:t>
      </w:r>
      <w:r w:rsidR="00B72A66">
        <w:rPr>
          <w:rFonts w:hint="eastAsia"/>
        </w:rPr>
        <w:t>”</w:t>
      </w:r>
      <w:r w:rsidR="00B72A66">
        <w:t xml:space="preserve"> which means a relationship between two persons who live or have, at any point of time, lived together in a shared household, when they are related by consanguinity, marriage, or through a relationship in the nature of marriage, adoption or are family members living together as a joint family. Section 2(g) defines the term </w:t>
      </w:r>
      <w:r w:rsidR="00B72A66">
        <w:rPr>
          <w:rFonts w:hint="eastAsia"/>
        </w:rPr>
        <w:t>“</w:t>
      </w:r>
      <w:r w:rsidR="00B72A66">
        <w:t>domestic violence</w:t>
      </w:r>
      <w:r w:rsidR="00B72A66">
        <w:rPr>
          <w:rFonts w:hint="eastAsia"/>
        </w:rPr>
        <w:t>”</w:t>
      </w:r>
      <w:r w:rsidR="00B72A66">
        <w:t xml:space="preserve"> which has been assigned and given the same meaning as in Section 3. Sub-section (iv) of Section 3 deals with </w:t>
      </w:r>
      <w:r w:rsidR="00B72A66">
        <w:rPr>
          <w:rFonts w:hint="eastAsia"/>
        </w:rPr>
        <w:t>“</w:t>
      </w:r>
      <w:r w:rsidR="00B72A66">
        <w:t>economic abuse</w:t>
      </w:r>
      <w:r w:rsidR="00B72A66">
        <w:rPr>
          <w:rFonts w:hint="eastAsia"/>
        </w:rPr>
        <w:t>”</w:t>
      </w:r>
      <w:r w:rsidR="00B72A66">
        <w:t xml:space="preserve">. As in the facts at hand, we are concerned with the </w:t>
      </w:r>
      <w:r w:rsidR="00B72A66">
        <w:rPr>
          <w:rFonts w:hint="eastAsia"/>
        </w:rPr>
        <w:t>“</w:t>
      </w:r>
      <w:r w:rsidR="00B72A66">
        <w:t>economic abuse</w:t>
      </w:r>
      <w:r w:rsidR="00B72A66">
        <w:rPr>
          <w:rFonts w:hint="eastAsia"/>
        </w:rPr>
        <w:t>”</w:t>
      </w:r>
      <w:r w:rsidR="00B72A66">
        <w:t>, we reproduce Section 3(iv) which reads as fol</w:t>
      </w:r>
      <w:r w:rsidR="00B72A66">
        <w:rPr>
          <w:rFonts w:hint="eastAsia"/>
        </w:rPr>
        <w:t>¬</w:t>
      </w:r>
      <w:r w:rsidR="00B72A66">
        <w:t>lows:-</w:t>
      </w:r>
    </w:p>
    <w:p w:rsidR="001D5BA8" w:rsidRDefault="001D5BA8" w:rsidP="007715EF">
      <w:pPr>
        <w:jc w:val="both"/>
      </w:pPr>
    </w:p>
    <w:p w:rsidR="00B72A66" w:rsidRDefault="00B72A66" w:rsidP="001D5BA8">
      <w:pPr>
        <w:ind w:left="720"/>
        <w:jc w:val="both"/>
      </w:pPr>
      <w:r>
        <w:rPr>
          <w:rFonts w:hint="eastAsia"/>
        </w:rPr>
        <w:lastRenderedPageBreak/>
        <w:t>“</w:t>
      </w:r>
      <w:r>
        <w:t>Section 3. Definition of domestic violence.</w:t>
      </w:r>
    </w:p>
    <w:p w:rsidR="00B72A66" w:rsidRDefault="00B72A66" w:rsidP="001D5BA8">
      <w:pPr>
        <w:ind w:left="720"/>
        <w:jc w:val="both"/>
      </w:pPr>
      <w:r>
        <w:t>(iv) "economic abuse" includes-</w:t>
      </w:r>
    </w:p>
    <w:p w:rsidR="001D5BA8" w:rsidRDefault="001D5BA8" w:rsidP="001D5BA8">
      <w:pPr>
        <w:ind w:left="720"/>
        <w:jc w:val="both"/>
      </w:pPr>
    </w:p>
    <w:p w:rsidR="00B72A66" w:rsidRDefault="001D5BA8" w:rsidP="001D5BA8">
      <w:pPr>
        <w:ind w:left="720"/>
        <w:jc w:val="both"/>
      </w:pPr>
      <w:r>
        <w:t xml:space="preserve">(a) </w:t>
      </w:r>
      <w:r w:rsidR="00B72A66">
        <w:t xml:space="preserve"> deprivation of all or any economic or financial resources to which the aggrieved person is entitled under any law or custom whether payable under an order of a court or other</w:t>
      </w:r>
      <w:r w:rsidR="00B72A66">
        <w:rPr>
          <w:rFonts w:hint="eastAsia"/>
        </w:rPr>
        <w:t>¬</w:t>
      </w:r>
      <w:r w:rsidR="00B72A66">
        <w:t>wise or which the aggrieved person requires out of necessity including, but not limited to, household necessities for the aggrieved person and her children, if any, stridhan, prop</w:t>
      </w:r>
      <w:r w:rsidR="00B72A66">
        <w:rPr>
          <w:rFonts w:hint="eastAsia"/>
        </w:rPr>
        <w:t>¬</w:t>
      </w:r>
      <w:r w:rsidR="00B72A66">
        <w:t>erty, jointly or separately owned by the aggrieved person, payment of rental related to the shared household and maintenance;</w:t>
      </w:r>
    </w:p>
    <w:p w:rsidR="001D5BA8" w:rsidRDefault="001D5BA8" w:rsidP="001D5BA8">
      <w:pPr>
        <w:ind w:left="720"/>
        <w:jc w:val="both"/>
      </w:pPr>
    </w:p>
    <w:p w:rsidR="00B72A66" w:rsidRDefault="001D5BA8" w:rsidP="001D5BA8">
      <w:pPr>
        <w:ind w:left="720"/>
        <w:jc w:val="both"/>
      </w:pPr>
      <w:r>
        <w:t xml:space="preserve">(b) </w:t>
      </w:r>
      <w:r w:rsidR="00B72A66">
        <w:t xml:space="preserve"> disposal of household effects, any alienation of assets whether movable or immovable, valuables, shares, securi</w:t>
      </w:r>
      <w:r w:rsidR="00B72A66">
        <w:rPr>
          <w:rFonts w:hint="eastAsia"/>
        </w:rPr>
        <w:t>¬</w:t>
      </w:r>
      <w:r w:rsidR="00B72A66">
        <w:t>ties, bonds and the like or other property in which the ag</w:t>
      </w:r>
      <w:r w:rsidR="00B72A66">
        <w:rPr>
          <w:rFonts w:hint="eastAsia"/>
        </w:rPr>
        <w:t>¬</w:t>
      </w:r>
      <w:r w:rsidR="00B72A66">
        <w:t>grieved person has an interest or is entitled to use by virtue of the domestic relationship or which may be reasonably re</w:t>
      </w:r>
      <w:r w:rsidR="00B72A66">
        <w:rPr>
          <w:rFonts w:hint="eastAsia"/>
        </w:rPr>
        <w:t>¬</w:t>
      </w:r>
      <w:r w:rsidR="00B72A66">
        <w:t>quired by the aggrieved person or her children or her strid- han or any other property jointly or separately held by the aggrieved person; and</w:t>
      </w:r>
    </w:p>
    <w:p w:rsidR="001D5BA8" w:rsidRDefault="001D5BA8" w:rsidP="001D5BA8">
      <w:pPr>
        <w:ind w:left="720"/>
        <w:jc w:val="both"/>
      </w:pPr>
    </w:p>
    <w:p w:rsidR="00B72A66" w:rsidRDefault="001D5BA8" w:rsidP="001D5BA8">
      <w:pPr>
        <w:ind w:left="720"/>
        <w:jc w:val="both"/>
      </w:pPr>
      <w:r>
        <w:t xml:space="preserve">(c) </w:t>
      </w:r>
      <w:r w:rsidR="00B72A66">
        <w:t>prohibition or restriction to continued access to re</w:t>
      </w:r>
      <w:r w:rsidR="00B72A66">
        <w:rPr>
          <w:rFonts w:hint="eastAsia"/>
        </w:rPr>
        <w:t>¬</w:t>
      </w:r>
      <w:r w:rsidR="00B72A66">
        <w:t>sources or facilities which the aggrieved person is entitled to use or enjoy by virtue of the domestic relationship in</w:t>
      </w:r>
      <w:r w:rsidR="00B72A66">
        <w:rPr>
          <w:rFonts w:hint="eastAsia"/>
        </w:rPr>
        <w:t>¬</w:t>
      </w:r>
      <w:r w:rsidR="00B72A66">
        <w:t>cluding access to the shared household.</w:t>
      </w:r>
      <w:r>
        <w:t xml:space="preserve"> </w:t>
      </w:r>
      <w:r w:rsidR="00B72A66">
        <w:t>Explanation II.-For the purpose of determining whether any act, omission, commission or conduct of the respondent constitutes "domestic violence" under this section, the over</w:t>
      </w:r>
      <w:r w:rsidR="00B72A66">
        <w:rPr>
          <w:rFonts w:hint="eastAsia"/>
        </w:rPr>
        <w:t>¬</w:t>
      </w:r>
      <w:r w:rsidR="00B72A66">
        <w:t>all facts and circumstances of the case shall be taken into consideration.</w:t>
      </w:r>
      <w:r w:rsidR="00B72A66">
        <w:rPr>
          <w:rFonts w:hint="eastAsia"/>
        </w:rPr>
        <w:t>”</w:t>
      </w:r>
    </w:p>
    <w:p w:rsidR="001D5BA8" w:rsidRDefault="001D5BA8" w:rsidP="007715EF">
      <w:pPr>
        <w:jc w:val="both"/>
      </w:pPr>
    </w:p>
    <w:p w:rsidR="00B72A66" w:rsidRDefault="001D5BA8" w:rsidP="007715EF">
      <w:pPr>
        <w:jc w:val="both"/>
      </w:pPr>
      <w:r>
        <w:t xml:space="preserve">11. </w:t>
      </w:r>
      <w:r w:rsidR="00B72A66">
        <w:t>Section 8(1) empowers the State Government to appoint such number of Protection Officers in each district as it may consider nec</w:t>
      </w:r>
      <w:r w:rsidR="00B72A66">
        <w:rPr>
          <w:rFonts w:hint="eastAsia"/>
        </w:rPr>
        <w:t>¬</w:t>
      </w:r>
      <w:r w:rsidR="00B72A66">
        <w:t>essary and also to notify the area or areas within which a Protection Officer shall exercise the powers and perform the duties conferred on him by or under the 2005 Act. The provision, as is manifest, is mandatory and the State Government is under the legal obligation to appoint such Protection Officers. Section 12 deals with application to Magistrate. Sub-sections (1) and (2) being relevant are reproduced be</w:t>
      </w:r>
      <w:r w:rsidR="00B72A66">
        <w:rPr>
          <w:rFonts w:hint="eastAsia"/>
        </w:rPr>
        <w:t>¬</w:t>
      </w:r>
      <w:r w:rsidR="00B72A66">
        <w:t>low:-</w:t>
      </w:r>
    </w:p>
    <w:p w:rsidR="001D5BA8" w:rsidRDefault="001D5BA8" w:rsidP="007715EF">
      <w:pPr>
        <w:jc w:val="both"/>
      </w:pPr>
    </w:p>
    <w:p w:rsidR="00B72A66" w:rsidRDefault="00B72A66" w:rsidP="001D5BA8">
      <w:pPr>
        <w:ind w:left="720"/>
        <w:jc w:val="both"/>
      </w:pPr>
      <w:r>
        <w:rPr>
          <w:rFonts w:hint="eastAsia"/>
        </w:rPr>
        <w:t>“</w:t>
      </w:r>
      <w:r>
        <w:t>Section 12. Application to Magistrate.-(1) An aggrieved person or a Protection Officer or any other person on behalf of the aggrieved person may present an application to the Magistrate seeking one or more reliefs under this Act: Pro</w:t>
      </w:r>
      <w:r>
        <w:rPr>
          <w:rFonts w:hint="eastAsia"/>
        </w:rPr>
        <w:t>¬</w:t>
      </w:r>
      <w:r>
        <w:t>vided that before passing any order on such application, the Magistrate shall take into consideration any domestic inci</w:t>
      </w:r>
      <w:r>
        <w:rPr>
          <w:rFonts w:hint="eastAsia"/>
        </w:rPr>
        <w:t>¬</w:t>
      </w:r>
      <w:r>
        <w:t xml:space="preserve"> </w:t>
      </w:r>
    </w:p>
    <w:p w:rsidR="00B72A66" w:rsidRDefault="00B72A66" w:rsidP="001D5BA8">
      <w:pPr>
        <w:ind w:left="720"/>
        <w:jc w:val="both"/>
      </w:pPr>
      <w:r>
        <w:t>dent report received by him from the Protection Officer or the service provider.</w:t>
      </w:r>
    </w:p>
    <w:p w:rsidR="001D5BA8" w:rsidRDefault="001D5BA8" w:rsidP="001D5BA8">
      <w:pPr>
        <w:ind w:left="720"/>
        <w:jc w:val="both"/>
      </w:pPr>
    </w:p>
    <w:p w:rsidR="00B72A66" w:rsidRDefault="00B72A66" w:rsidP="001D5BA8">
      <w:pPr>
        <w:ind w:left="720"/>
        <w:jc w:val="both"/>
      </w:pPr>
      <w:r>
        <w:t>(2) The relief sought for under sub-section (1) may include a relief for issuance of an order for payment of compensation or damages without prejudice to the right of such person to institute a suit for compensation or damages for the in</w:t>
      </w:r>
      <w:r>
        <w:rPr>
          <w:rFonts w:hint="eastAsia"/>
        </w:rPr>
        <w:t>¬</w:t>
      </w:r>
      <w:r>
        <w:t xml:space="preserve">juries caused by the acts of domestic violence committed by the respondent: Provided that where a decree for any amount as compensation or damages has been passed by any court in favour </w:t>
      </w:r>
      <w:r>
        <w:lastRenderedPageBreak/>
        <w:t>of the aggrieved person, the amount, if any, paid or payable in pursuance of the order made by the Magistrate under this Act shall be set off against the amount payable under such decree and the decree shall, notwithstanding anything contained in the Code of Civil Procedure, 1908 (5 of 1908), or any other law for the time being in force, be executable for the balance amount, if any, left after such set off.</w:t>
      </w:r>
      <w:r>
        <w:rPr>
          <w:rFonts w:hint="eastAsia"/>
        </w:rPr>
        <w:t>”</w:t>
      </w:r>
    </w:p>
    <w:p w:rsidR="001D5BA8" w:rsidRDefault="001D5BA8" w:rsidP="001D5BA8">
      <w:pPr>
        <w:ind w:left="720"/>
        <w:jc w:val="both"/>
      </w:pPr>
    </w:p>
    <w:p w:rsidR="00B72A66" w:rsidRDefault="001D5BA8" w:rsidP="007715EF">
      <w:pPr>
        <w:jc w:val="both"/>
      </w:pPr>
      <w:r>
        <w:t xml:space="preserve">12. </w:t>
      </w:r>
      <w:r w:rsidR="00B72A66">
        <w:t xml:space="preserve"> Section 18 deals with passing of protection orders by the Magis</w:t>
      </w:r>
      <w:r w:rsidR="00B72A66">
        <w:rPr>
          <w:rFonts w:hint="eastAsia"/>
        </w:rPr>
        <w:t>¬</w:t>
      </w:r>
      <w:r w:rsidR="00B72A66">
        <w:t>trate. Section 19 deals with the residence orders and Section 20 deals with monetary reliefs. Section 28 deals with procedure and stipulates that all proceedings under Sections 12, 18, 19, 20, 21, 22 and 23 and offences under Section 31 shall be governed by the provisions of the Code of Criminal Procedure, 1973. Section 36 lays down that the pro</w:t>
      </w:r>
      <w:r w:rsidR="00B72A66">
        <w:rPr>
          <w:rFonts w:hint="eastAsia"/>
        </w:rPr>
        <w:t>¬</w:t>
      </w:r>
      <w:r w:rsidR="00B72A66">
        <w:t>visions of the 2005 Act shall be in addition to, and not in derogation of the provisions of any other law, for the time being in force.</w:t>
      </w:r>
    </w:p>
    <w:p w:rsidR="001D5BA8" w:rsidRDefault="001D5BA8" w:rsidP="007715EF">
      <w:pPr>
        <w:jc w:val="both"/>
      </w:pPr>
    </w:p>
    <w:p w:rsidR="00B72A66" w:rsidRDefault="001D5BA8" w:rsidP="007715EF">
      <w:pPr>
        <w:jc w:val="both"/>
      </w:pPr>
      <w:r>
        <w:t xml:space="preserve">13. </w:t>
      </w:r>
      <w:r w:rsidR="00B72A66">
        <w:t xml:space="preserve"> Having scanned the anatomy of the 2005 Act, we may now refer to a few decisions of this Courts that have dealt with the provisions of the 2005 Act. In V.D. Bhanot v. Savita Bhanot2 the question arose whether the provisions of the 2005 Act can be made applicable in rela</w:t>
      </w:r>
      <w:r w:rsidR="00B72A66">
        <w:rPr>
          <w:rFonts w:hint="eastAsia"/>
        </w:rPr>
        <w:t>¬</w:t>
      </w:r>
      <w:r w:rsidR="00B72A66">
        <w:t>tion to an incident that had occurred prior to the coming into force of the said Act. Be it noted, the High Court had rejected the stand of the respondent therein that the provisions of the 2005 Act cannot be in</w:t>
      </w:r>
      <w:r w:rsidR="00B72A66">
        <w:rPr>
          <w:rFonts w:hint="eastAsia"/>
        </w:rPr>
        <w:t>¬</w:t>
      </w:r>
      <w:r w:rsidR="00B72A66">
        <w:t>voked if the occurrence had taken place prior to the coming into force of the 2005 Act. This Court while dealing with the same referred to the decision rendered in the High Court which after considering the constitutional safeguards under Article 21 of the Constitution vis-a-vis the provisions of Sections 31 and 33 of the 2005 Act and after examin</w:t>
      </w:r>
      <w:r w:rsidR="00B72A66">
        <w:rPr>
          <w:rFonts w:hint="eastAsia"/>
        </w:rPr>
        <w:t>¬</w:t>
      </w:r>
      <w:r w:rsidR="00B72A66">
        <w:t>ing the Statement of Objects and Reasons for the enactment of the 2005 Act, had held that it was with the view of protecting the rights of women under Articles 14, 15 and 21 of the Constitution that Parlia</w:t>
      </w:r>
      <w:r w:rsidR="00B72A66">
        <w:rPr>
          <w:rFonts w:hint="eastAsia"/>
        </w:rPr>
        <w:t>¬</w:t>
      </w:r>
      <w:r w:rsidR="00B72A66">
        <w:t>ment enacted the 2005 Act in order to provide for some effective pro</w:t>
      </w:r>
      <w:r w:rsidR="00B72A66">
        <w:rPr>
          <w:rFonts w:hint="eastAsia"/>
        </w:rPr>
        <w:t>¬</w:t>
      </w:r>
      <w:r w:rsidR="00B72A66">
        <w:t>tection of rights guaranteed under the Constitution to women, who are victims of any kind of violence occurring within the family and matters connected therewith and incidental thereto, and to provide an efficient and expeditious civil remedy to them and further that a petition under the provisions of the 2005 Act is maintainable even if the acts of do</w:t>
      </w:r>
      <w:r w:rsidR="00B72A66">
        <w:rPr>
          <w:rFonts w:hint="eastAsia"/>
        </w:rPr>
        <w:t>¬</w:t>
      </w:r>
      <w:r w:rsidR="00B72A66">
        <w:t xml:space="preserve">mestic violence had been committed prior to the coming into force of the said Act, notwithstanding the fact that in the past she had lived together with her husband in a shared household, but was no more living with him, at the time when the Act came into force. After analyz- </w:t>
      </w:r>
      <w:r>
        <w:t xml:space="preserve"> </w:t>
      </w:r>
      <w:r w:rsidR="00B72A66">
        <w:t>ing the verdict of the High Court, the Court concurred with the view expressed by the High Court by stating thus:-</w:t>
      </w:r>
    </w:p>
    <w:p w:rsidR="001D5BA8" w:rsidRDefault="001D5BA8" w:rsidP="007715EF">
      <w:pPr>
        <w:jc w:val="both"/>
      </w:pPr>
    </w:p>
    <w:p w:rsidR="00B72A66" w:rsidRDefault="00B72A66" w:rsidP="001D5BA8">
      <w:pPr>
        <w:ind w:left="720"/>
        <w:jc w:val="both"/>
      </w:pPr>
      <w:r>
        <w:rPr>
          <w:rFonts w:hint="eastAsia"/>
        </w:rPr>
        <w:t>“</w:t>
      </w:r>
      <w:r>
        <w:t>We agree with the view expressed by the High Court that in looking into a complaint under Section 12 of the PWD Act,</w:t>
      </w:r>
      <w:r w:rsidR="001D5BA8">
        <w:t xml:space="preserve"> </w:t>
      </w:r>
      <w:r>
        <w:t>2005, the conduct of the parties even prior to the coming into force of the PWD Act, could be taken into consideration while passing an order under Sections 18, 19 and 20 thereof. In our view, the Delhi High Court has also rightly held that even if a wife, who had shared a household in the past, but was no longer doing so when the Act came into force, would still be entitled to the protection of the PWD Act, 2005.</w:t>
      </w:r>
      <w:r>
        <w:rPr>
          <w:rFonts w:hint="eastAsia"/>
        </w:rPr>
        <w:t>”</w:t>
      </w:r>
    </w:p>
    <w:p w:rsidR="001D5BA8" w:rsidRDefault="001D5BA8" w:rsidP="001D5BA8">
      <w:pPr>
        <w:ind w:left="720"/>
        <w:jc w:val="both"/>
      </w:pPr>
    </w:p>
    <w:p w:rsidR="00B72A66" w:rsidRDefault="001D5BA8" w:rsidP="007715EF">
      <w:pPr>
        <w:jc w:val="both"/>
      </w:pPr>
      <w:r>
        <w:lastRenderedPageBreak/>
        <w:t xml:space="preserve">14. </w:t>
      </w:r>
      <w:r w:rsidR="00B72A66">
        <w:t xml:space="preserve">In </w:t>
      </w:r>
      <w:r w:rsidR="00B72A66" w:rsidRPr="001D5BA8">
        <w:rPr>
          <w:i/>
        </w:rPr>
        <w:t>Saraswathy v. Babu</w:t>
      </w:r>
      <w:r w:rsidR="00B72A66" w:rsidRPr="001D5BA8">
        <w:rPr>
          <w:i/>
          <w:sz w:val="20"/>
          <w:szCs w:val="20"/>
          <w:vertAlign w:val="superscript"/>
        </w:rPr>
        <w:t>3</w:t>
      </w:r>
      <w:r w:rsidR="00B72A66" w:rsidRPr="001D5BA8">
        <w:rPr>
          <w:sz w:val="20"/>
          <w:szCs w:val="20"/>
          <w:vertAlign w:val="superscript"/>
        </w:rPr>
        <w:t xml:space="preserve"> </w:t>
      </w:r>
      <w:r w:rsidR="00B72A66">
        <w:t>a two-Judge Bench, after referring to the decision in V.D. Bhanot (supra), reiterated the principle. It has been held therein:-</w:t>
      </w:r>
    </w:p>
    <w:p w:rsidR="001D5BA8" w:rsidRDefault="001D5BA8" w:rsidP="007715EF">
      <w:pPr>
        <w:jc w:val="both"/>
      </w:pPr>
    </w:p>
    <w:p w:rsidR="00B72A66" w:rsidRDefault="00B72A66" w:rsidP="001D5BA8">
      <w:pPr>
        <w:ind w:left="720"/>
        <w:jc w:val="both"/>
      </w:pPr>
      <w:r>
        <w:rPr>
          <w:rFonts w:hint="eastAsia"/>
        </w:rPr>
        <w:t>“</w:t>
      </w:r>
      <w:r>
        <w:t>We are of the view that the act of the respondent husband squarely comes within the ambit of Section 3 of the DVA,</w:t>
      </w:r>
      <w:r w:rsidR="001D5BA8">
        <w:t xml:space="preserve"> </w:t>
      </w:r>
      <w:r>
        <w:t xml:space="preserve">2005, which defines </w:t>
      </w:r>
      <w:r>
        <w:rPr>
          <w:rFonts w:hint="eastAsia"/>
        </w:rPr>
        <w:t>“</w:t>
      </w:r>
      <w:r>
        <w:t>domestic violence</w:t>
      </w:r>
      <w:r>
        <w:rPr>
          <w:rFonts w:hint="eastAsia"/>
        </w:rPr>
        <w:t>”</w:t>
      </w:r>
      <w:r>
        <w:t xml:space="preserve"> in wide terms. The High Court made an apparent error in holding that the con</w:t>
      </w:r>
      <w:r>
        <w:rPr>
          <w:rFonts w:hint="eastAsia"/>
        </w:rPr>
        <w:t>¬</w:t>
      </w:r>
      <w:r>
        <w:t>duct of the parties prior to the coming into force of the DVA,</w:t>
      </w:r>
      <w:r w:rsidR="001D5BA8">
        <w:t xml:space="preserve"> </w:t>
      </w:r>
      <w:r>
        <w:t>2005 cannot be taken into consideration while passing an order. This is a case where the respondent husband has not complied with the order and direction passed by the trial court and the appellate court. He also misleads the Court by giving wrong statement before the High Court in the con</w:t>
      </w:r>
      <w:r>
        <w:rPr>
          <w:rFonts w:hint="eastAsia"/>
        </w:rPr>
        <w:t>¬</w:t>
      </w:r>
      <w:r>
        <w:t>tempt petition filed by the appellant wife. The appellant wife having being harassed since 2000 is entitled for protection order and residence order under Sections 18 and 19 of the DVA, 2005 along with the maintenance as allowed by the trial court under Section 20(1)(d) of the DVA, 2005. Apart from these reliefs, she is also entitled for compensation and damages for the injuries, including mental torture and emo</w:t>
      </w:r>
      <w:r>
        <w:rPr>
          <w:rFonts w:hint="eastAsia"/>
        </w:rPr>
        <w:t>¬</w:t>
      </w:r>
      <w:r>
        <w:t>tional distress, caused by the acts of domestic violence com</w:t>
      </w:r>
      <w:r>
        <w:rPr>
          <w:rFonts w:hint="eastAsia"/>
        </w:rPr>
        <w:t>¬</w:t>
      </w:r>
      <w:r>
        <w:t>mitted by the respondent husband. Therefore, in addition to the reliefs granted by the courts below, we are of the view that the appellant wife should be compensated by the re-</w:t>
      </w:r>
      <w:r w:rsidR="001D5BA8">
        <w:t xml:space="preserve"> </w:t>
      </w:r>
      <w:r>
        <w:t>spondent husband. Hence, the respondent is hereby di</w:t>
      </w:r>
      <w:r>
        <w:rPr>
          <w:rFonts w:hint="eastAsia"/>
        </w:rPr>
        <w:t>¬</w:t>
      </w:r>
      <w:r>
        <w:t>rected to pay compensation and damages to the extent of Rs 5,00,000 in favour of the appellant wife.</w:t>
      </w:r>
      <w:r>
        <w:rPr>
          <w:rFonts w:hint="eastAsia"/>
        </w:rPr>
        <w:t>”</w:t>
      </w:r>
    </w:p>
    <w:p w:rsidR="001D5BA8" w:rsidRDefault="001D5BA8" w:rsidP="001D5BA8">
      <w:pPr>
        <w:ind w:left="720"/>
        <w:jc w:val="both"/>
      </w:pPr>
    </w:p>
    <w:p w:rsidR="00B72A66" w:rsidRDefault="001D5BA8" w:rsidP="007715EF">
      <w:pPr>
        <w:jc w:val="both"/>
      </w:pPr>
      <w:r>
        <w:t xml:space="preserve">15. </w:t>
      </w:r>
      <w:r w:rsidR="00B72A66">
        <w:t>In the instant case, as has been indicated earlier, the courts</w:t>
      </w:r>
      <w:r>
        <w:t xml:space="preserve"> </w:t>
      </w:r>
      <w:r w:rsidR="00B72A66">
        <w:t>below as well as the High Court have referred to the decision in</w:t>
      </w:r>
      <w:r>
        <w:t xml:space="preserve"> </w:t>
      </w:r>
      <w:r w:rsidR="00B72A66">
        <w:t>Inderjit Singh Grewal (supra). The said case has to be understood</w:t>
      </w:r>
      <w:r>
        <w:t xml:space="preserve"> </w:t>
      </w:r>
      <w:r w:rsidR="00B72A66">
        <w:t>regard being had to the factual expose therein. The Court had referred</w:t>
      </w:r>
      <w:r>
        <w:t xml:space="preserve"> </w:t>
      </w:r>
      <w:r w:rsidR="00B72A66">
        <w:t xml:space="preserve">to the decision in </w:t>
      </w:r>
      <w:r w:rsidR="00B72A66" w:rsidRPr="00EB3588">
        <w:rPr>
          <w:i/>
        </w:rPr>
        <w:t>D. Velusamy v. D. Patch.aiamm.af</w:t>
      </w:r>
      <w:r w:rsidR="00EB3588" w:rsidRPr="00EB3588">
        <w:rPr>
          <w:i/>
          <w:vertAlign w:val="superscript"/>
        </w:rPr>
        <w:t>4</w:t>
      </w:r>
      <w:r w:rsidR="00B72A66">
        <w:t xml:space="preserve"> wherein this</w:t>
      </w:r>
      <w:r>
        <w:t xml:space="preserve"> </w:t>
      </w:r>
      <w:r w:rsidR="00B72A66">
        <w:t xml:space="preserve">Court had considered the expression </w:t>
      </w:r>
      <w:r w:rsidR="00B72A66">
        <w:rPr>
          <w:rFonts w:hint="eastAsia"/>
        </w:rPr>
        <w:t>“</w:t>
      </w:r>
      <w:r w:rsidR="00B72A66">
        <w:t>domestic relationship</w:t>
      </w:r>
      <w:r w:rsidR="00B72A66">
        <w:rPr>
          <w:rFonts w:hint="eastAsia"/>
        </w:rPr>
        <w:t>”</w:t>
      </w:r>
      <w:r w:rsidR="00B72A66">
        <w:t xml:space="preserve"> under</w:t>
      </w:r>
      <w:r>
        <w:t xml:space="preserve"> </w:t>
      </w:r>
      <w:r w:rsidR="00B72A66">
        <w:t xml:space="preserve">Section 2(f) of the Act and judgment in </w:t>
      </w:r>
      <w:r w:rsidR="00B72A66" w:rsidRPr="001D5BA8">
        <w:rPr>
          <w:i/>
        </w:rPr>
        <w:t>Savitaben Somabhai Bhatiya</w:t>
      </w:r>
      <w:r w:rsidRPr="001D5BA8">
        <w:rPr>
          <w:i/>
        </w:rPr>
        <w:t xml:space="preserve"> </w:t>
      </w:r>
      <w:r w:rsidR="00B72A66" w:rsidRPr="001D5BA8">
        <w:rPr>
          <w:i/>
        </w:rPr>
        <w:t>v. State of Gujara</w:t>
      </w:r>
      <w:r w:rsidR="00B72A66">
        <w:t>t</w:t>
      </w:r>
      <w:r w:rsidR="00B72A66" w:rsidRPr="00EB3588">
        <w:rPr>
          <w:sz w:val="20"/>
          <w:szCs w:val="20"/>
          <w:vertAlign w:val="superscript"/>
        </w:rPr>
        <w:t xml:space="preserve"> </w:t>
      </w:r>
      <w:r w:rsidR="00EB3588" w:rsidRPr="00EB3588">
        <w:rPr>
          <w:sz w:val="20"/>
          <w:szCs w:val="20"/>
          <w:vertAlign w:val="superscript"/>
        </w:rPr>
        <w:t>5</w:t>
      </w:r>
      <w:r w:rsidR="00B72A66">
        <w:t xml:space="preserve"> and distinguished the said judgments as those</w:t>
      </w:r>
      <w:r>
        <w:t xml:space="preserve"> </w:t>
      </w:r>
      <w:r w:rsidR="00B72A66">
        <w:t>cases related to live-in relationship without marriage. The Court</w:t>
      </w:r>
      <w:r>
        <w:t xml:space="preserve"> </w:t>
      </w:r>
      <w:r w:rsidR="00B72A66">
        <w:t>analyzing the earlier judgments opined that the couple must hold</w:t>
      </w:r>
      <w:r>
        <w:t xml:space="preserve"> </w:t>
      </w:r>
      <w:r w:rsidR="00B72A66">
        <w:t>themselves out to society as being akin to spouses in addition to</w:t>
      </w:r>
      <w:r>
        <w:t xml:space="preserve"> </w:t>
      </w:r>
      <w:r w:rsidR="00B72A66">
        <w:t>fulfilling all other requisite conditions for a valid marriage. The said</w:t>
      </w:r>
      <w:r>
        <w:t xml:space="preserve"> </w:t>
      </w:r>
      <w:r w:rsidR="00B72A66">
        <w:t>judgments were distinguished on facts as those cases related to live-in</w:t>
      </w:r>
      <w:r>
        <w:t xml:space="preserve"> </w:t>
      </w:r>
      <w:r w:rsidR="00B72A66">
        <w:t>relationship without marriage. The Court opined that the parties</w:t>
      </w:r>
      <w:r>
        <w:t xml:space="preserve"> </w:t>
      </w:r>
      <w:r w:rsidR="00B72A66">
        <w:t>therein had got married and the decree of the civil court for divorce</w:t>
      </w:r>
      <w:r>
        <w:t xml:space="preserve"> </w:t>
      </w:r>
      <w:r w:rsidR="00B72A66">
        <w:t>subsisted and that apart a suit to declare the said judgment and</w:t>
      </w:r>
      <w:r>
        <w:t xml:space="preserve"> </w:t>
      </w:r>
      <w:r w:rsidR="00B72A66">
        <w:t>decree as a nullity was still pending consideration before the</w:t>
      </w:r>
      <w:r>
        <w:t xml:space="preserve"> </w:t>
      </w:r>
      <w:r w:rsidR="00B72A66">
        <w:t>competent court. In that background, the Court ruled that:-</w:t>
      </w:r>
    </w:p>
    <w:p w:rsidR="001D5BA8" w:rsidRDefault="001D5BA8" w:rsidP="007715EF">
      <w:pPr>
        <w:jc w:val="both"/>
      </w:pPr>
    </w:p>
    <w:p w:rsidR="00B72A66" w:rsidRDefault="00B72A66" w:rsidP="001D5BA8">
      <w:pPr>
        <w:ind w:left="720"/>
        <w:jc w:val="both"/>
      </w:pPr>
      <w:r>
        <w:rPr>
          <w:rFonts w:hint="eastAsia"/>
        </w:rPr>
        <w:t>“</w:t>
      </w:r>
      <w:r>
        <w:t>In the facts and circumstances of the case, the submission made on behalf of Respondent 2 that the judgment and de</w:t>
      </w:r>
      <w:r>
        <w:rPr>
          <w:rFonts w:hint="eastAsia"/>
        </w:rPr>
        <w:t>¬</w:t>
      </w:r>
      <w:r>
        <w:t>cree of a civil court granting divorce is null and void and they continued to be the husband and wife, cannot be taken note of at this stage unless the suit filed by Respon</w:t>
      </w:r>
      <w:r>
        <w:rPr>
          <w:rFonts w:hint="eastAsia"/>
        </w:rPr>
        <w:t>¬</w:t>
      </w:r>
      <w:r>
        <w:t>dent 2 to declare the said judgment and decree dated 20-3-2008 is decided in her favour. In view thereof, the evi-dence adduced by her particularly the record of the tele</w:t>
      </w:r>
      <w:r>
        <w:rPr>
          <w:rFonts w:hint="eastAsia"/>
        </w:rPr>
        <w:t>¬</w:t>
      </w:r>
      <w:r>
        <w:t xml:space="preserve">phone calls, photographs attending a wedding together and her signatures in school diary of the child cannot be taken into consideration so long as the judgment and decree of the civil court subsists. On a </w:t>
      </w:r>
      <w:r>
        <w:lastRenderedPageBreak/>
        <w:t>similar footing, the contention advanced by her counsel that even after the decree of di</w:t>
      </w:r>
      <w:r>
        <w:rPr>
          <w:rFonts w:hint="eastAsia"/>
        </w:rPr>
        <w:t>¬</w:t>
      </w:r>
      <w:r>
        <w:t>vorce, they continued to live together as husband and wife and therefore the complaint under the 2005 Act is main-tainable. is not worth acceptance at this stage.</w:t>
      </w:r>
      <w:r>
        <w:rPr>
          <w:rFonts w:hint="eastAsia"/>
        </w:rPr>
        <w:t>”</w:t>
      </w:r>
    </w:p>
    <w:p w:rsidR="001D5BA8" w:rsidRDefault="001D5BA8" w:rsidP="001D5BA8">
      <w:pPr>
        <w:ind w:left="720"/>
        <w:jc w:val="both"/>
      </w:pPr>
    </w:p>
    <w:p w:rsidR="00B72A66" w:rsidRDefault="00B72A66" w:rsidP="001D5BA8">
      <w:pPr>
        <w:jc w:val="right"/>
      </w:pPr>
      <w:r>
        <w:t>[Emphasis supplied]</w:t>
      </w:r>
    </w:p>
    <w:p w:rsidR="001D5BA8" w:rsidRDefault="001D5BA8" w:rsidP="001D5BA8">
      <w:pPr>
        <w:tabs>
          <w:tab w:val="left" w:pos="1200"/>
        </w:tabs>
        <w:jc w:val="both"/>
      </w:pPr>
      <w:r>
        <w:tab/>
      </w:r>
    </w:p>
    <w:p w:rsidR="00B72A66" w:rsidRDefault="001D5BA8" w:rsidP="007715EF">
      <w:pPr>
        <w:jc w:val="both"/>
      </w:pPr>
      <w:r>
        <w:t xml:space="preserve">16. </w:t>
      </w:r>
      <w:r w:rsidR="00B72A66">
        <w:t>It may be noted that a submission was advanced by the wife with</w:t>
      </w:r>
      <w:r>
        <w:t xml:space="preserve"> </w:t>
      </w:r>
      <w:r w:rsidR="00B72A66">
        <w:t>regard to the applicability of Section 468 CrPC. While dealing with the</w:t>
      </w:r>
      <w:r>
        <w:t xml:space="preserve"> </w:t>
      </w:r>
      <w:r w:rsidR="00B72A66">
        <w:t>submission on the issue of limitation, the Court opined:-</w:t>
      </w:r>
    </w:p>
    <w:p w:rsidR="001D5BA8" w:rsidRDefault="001D5BA8" w:rsidP="007715EF">
      <w:pPr>
        <w:jc w:val="both"/>
      </w:pPr>
    </w:p>
    <w:p w:rsidR="00B72A66" w:rsidRDefault="00B72A66" w:rsidP="001D5BA8">
      <w:pPr>
        <w:ind w:left="720"/>
        <w:jc w:val="both"/>
        <w:rPr>
          <w:i/>
        </w:rPr>
      </w:pPr>
      <w:r>
        <w:rPr>
          <w:rFonts w:hint="eastAsia"/>
        </w:rPr>
        <w:t>“</w:t>
      </w:r>
      <w:r w:rsidR="001D5BA8">
        <w:t xml:space="preserve"> </w:t>
      </w:r>
      <w:r>
        <w:t xml:space="preserve"> in view of the provisions of Section 468 CrPC, that the</w:t>
      </w:r>
      <w:r w:rsidR="001D5BA8">
        <w:t xml:space="preserve"> </w:t>
      </w:r>
      <w:r>
        <w:t xml:space="preserve">complaint could be filed only within a period of one year from the date of the incident seem to be preponderous in view of the provisions of Sections 28 and 32 of the 2005 Act read with Rule 15(6) of the Protection of Women from Domestic Violence Rules, 2006 which make the provisions of CrPC applicable and stand fortified by the judgments of this Court in </w:t>
      </w:r>
      <w:r w:rsidRPr="001D5BA8">
        <w:rPr>
          <w:i/>
        </w:rPr>
        <w:t>Japani Sahoo v. Chandra Sekhar Mohanty, (2007) 7 SCC 394, and NOIDA Entrepreneurs Assn. v. NOIDA, (2011) 6 SCC 508.</w:t>
      </w:r>
      <w:r w:rsidRPr="001D5BA8">
        <w:rPr>
          <w:rFonts w:hint="eastAsia"/>
          <w:i/>
        </w:rPr>
        <w:t>”</w:t>
      </w:r>
    </w:p>
    <w:p w:rsidR="001D5BA8" w:rsidRPr="001D5BA8" w:rsidRDefault="001D5BA8" w:rsidP="007715EF">
      <w:pPr>
        <w:jc w:val="both"/>
        <w:rPr>
          <w:i/>
        </w:rPr>
      </w:pPr>
    </w:p>
    <w:p w:rsidR="00B72A66" w:rsidRDefault="001D5BA8" w:rsidP="007715EF">
      <w:pPr>
        <w:jc w:val="both"/>
      </w:pPr>
      <w:r>
        <w:t xml:space="preserve">17. </w:t>
      </w:r>
      <w:r w:rsidR="00B72A66">
        <w:t xml:space="preserve"> As it appears, the High Court has referred to the same but the same has really not been adverted. In fact, it is not necessary to advert to the said aspect in the present case.</w:t>
      </w:r>
    </w:p>
    <w:p w:rsidR="001D5BA8" w:rsidRDefault="001D5BA8" w:rsidP="007715EF">
      <w:pPr>
        <w:jc w:val="both"/>
      </w:pPr>
    </w:p>
    <w:p w:rsidR="00B72A66" w:rsidRDefault="001D5BA8" w:rsidP="007715EF">
      <w:pPr>
        <w:jc w:val="both"/>
      </w:pPr>
      <w:r>
        <w:t xml:space="preserve">18. </w:t>
      </w:r>
      <w:r w:rsidR="00B72A66">
        <w:t xml:space="preserve"> The core issue that is requisite to be addressed is whether the appellant has ceased to be an </w:t>
      </w:r>
      <w:r w:rsidR="00B72A66">
        <w:rPr>
          <w:rFonts w:hint="eastAsia"/>
        </w:rPr>
        <w:t>“</w:t>
      </w:r>
      <w:r w:rsidR="00B72A66">
        <w:t>aggrieved person</w:t>
      </w:r>
      <w:r w:rsidR="00B72A66">
        <w:rPr>
          <w:rFonts w:hint="eastAsia"/>
        </w:rPr>
        <w:t>”</w:t>
      </w:r>
      <w:r w:rsidR="00B72A66">
        <w:t xml:space="preserve"> because of the decree of judicial separation. Once the decree of divorce is passed, the status of the parties becomes different, but that is not so when there is a decree for judicial separation. A three-Judge Bench in </w:t>
      </w:r>
      <w:r w:rsidR="00B72A66" w:rsidRPr="00EB3588">
        <w:rPr>
          <w:i/>
        </w:rPr>
        <w:t xml:space="preserve">Jeet Singh and Others Vs. State of U.P. and Others </w:t>
      </w:r>
      <w:r w:rsidR="00EB3588" w:rsidRPr="00EB3588">
        <w:rPr>
          <w:sz w:val="20"/>
          <w:szCs w:val="20"/>
          <w:vertAlign w:val="superscript"/>
        </w:rPr>
        <w:t>6</w:t>
      </w:r>
      <w:r w:rsidR="00B72A66">
        <w:t xml:space="preserve"> though in a different context, adverted to the concept of judicial separation and ruled that the judicial separation creates rights and obligations. A decree or an order for judicial separation permits the parties to live apart. There would be no obligation for either party to cohabit with the other. Mutual rights and obligations arising out of a marriage are suspended. The decree however, does not sever or dissolve the marriage. It affords an opportunity for reconciliation and adjustment. Though judicial separation after a certain period may become a ground for divorce, it is not necessary and the parties are not bound to have recourse to that remedy and the parties can live keeping their status as wife and husband till their lifetime.</w:t>
      </w:r>
    </w:p>
    <w:p w:rsidR="001D5BA8" w:rsidRDefault="001D5BA8" w:rsidP="007715EF">
      <w:pPr>
        <w:jc w:val="both"/>
      </w:pPr>
    </w:p>
    <w:p w:rsidR="00B72A66" w:rsidRDefault="001D5BA8" w:rsidP="007715EF">
      <w:pPr>
        <w:jc w:val="both"/>
      </w:pPr>
      <w:r>
        <w:t xml:space="preserve">19. </w:t>
      </w:r>
      <w:r w:rsidR="00B72A66">
        <w:t xml:space="preserve">In this regard, we may fruitfully refer to the authority in Hirac- hand </w:t>
      </w:r>
      <w:r w:rsidR="00B72A66" w:rsidRPr="00EB3588">
        <w:rPr>
          <w:i/>
        </w:rPr>
        <w:t xml:space="preserve">Srinivas Managaonkar v. Sunanda </w:t>
      </w:r>
      <w:r w:rsidR="00EB3588" w:rsidRPr="00EB3588">
        <w:rPr>
          <w:sz w:val="20"/>
          <w:szCs w:val="20"/>
          <w:vertAlign w:val="superscript"/>
        </w:rPr>
        <w:t>7</w:t>
      </w:r>
      <w:r w:rsidR="00B72A66">
        <w:t xml:space="preserve"> wherein the issue that arose for determination was whether the husband who had filed a pe</w:t>
      </w:r>
      <w:r w:rsidR="00B72A66">
        <w:rPr>
          <w:rFonts w:hint="eastAsia"/>
        </w:rPr>
        <w:t>¬</w:t>
      </w:r>
      <w:r w:rsidR="00B72A66">
        <w:t>tition seeking dissolution of the marriage by a decree of divorce under Section 13(1-A)(i) of the Hindu Marriage Act, 1955 can be declined re</w:t>
      </w:r>
      <w:r w:rsidR="00B72A66">
        <w:rPr>
          <w:rFonts w:hint="eastAsia"/>
        </w:rPr>
        <w:t>¬</w:t>
      </w:r>
      <w:r w:rsidR="00B72A66">
        <w:t>lief on the ground that he had failed to pay maintenance for his wife and daughter despite an order of the court. The husband was appel</w:t>
      </w:r>
      <w:r w:rsidR="00B72A66">
        <w:rPr>
          <w:rFonts w:hint="eastAsia"/>
        </w:rPr>
        <w:t>¬</w:t>
      </w:r>
      <w:r w:rsidR="00B72A66">
        <w:t xml:space="preserve">lant before this Court and had filed an application under Section 10 of the Hindu Marriage Act, 1955 for seeking judicial separation on the ground of adultery on the part of the appellant. Thereafter, the appellant presented the petition for </w:t>
      </w:r>
      <w:r w:rsidR="00B72A66">
        <w:lastRenderedPageBreak/>
        <w:t>dissolution of marriage by decree of divorce on the ground that there has</w:t>
      </w:r>
      <w:r w:rsidR="00EB3588">
        <w:t xml:space="preserve"> been no resumption of cohabita</w:t>
      </w:r>
      <w:r w:rsidR="00B72A66">
        <w:t>tion as between the parties to the marriage for a period of more than one year after passing of the decree for judicial separation. The stand of the wife was that the appellant having failed to pay the maintenance as ordered by the court, the petition for divorce filed by the husband was liable to be rejected inasmuch he was trying to get advantage of his own wrong for getting the relief. The High Court accepted the plea of the wife and refused to grant the prayer of the appellant seeking di</w:t>
      </w:r>
      <w:r w:rsidR="00B72A66">
        <w:rPr>
          <w:rFonts w:hint="eastAsia"/>
        </w:rPr>
        <w:t>¬</w:t>
      </w:r>
      <w:r w:rsidR="00B72A66">
        <w:t>vorce. It was contended before this Court that the only condition for getting divorce under Section 13(1-A)(i) of the Hindu Marriage Act, 1955 is that there has been no resumption of cohabitation between the parties to the marriage for a period of one year or upwards after the passing of the decree for judicial separation in a proceeding to which both the spouses are parties. It was urged that if the said con</w:t>
      </w:r>
      <w:r w:rsidR="00B72A66">
        <w:rPr>
          <w:rFonts w:hint="eastAsia"/>
        </w:rPr>
        <w:t>¬</w:t>
      </w:r>
      <w:r w:rsidR="00B72A66">
        <w:t>dition is satisfied the court is required to pass a decree of divorce. On behalf of the wife, the said submissions were resisted on the score that the husband had been living in continuous adultery even after passing of the decree of judicial separation and had reasonably failed to main</w:t>
      </w:r>
      <w:r w:rsidR="00B72A66">
        <w:rPr>
          <w:rFonts w:hint="eastAsia"/>
        </w:rPr>
        <w:t>¬</w:t>
      </w:r>
      <w:r w:rsidR="00B72A66">
        <w:t>tain the wife and daughter. The Court proceeded to analyse Section 13(1-A)(i) of the Hindu Marriage Act, 1955. Analysing the provisions at length and speaking about judicial separation, it expressed that after the decree for judicial separation was passed on the petition filed by the wife it was the duty of both the spouses to do their part for cohabi</w:t>
      </w:r>
      <w:r w:rsidR="00B72A66">
        <w:rPr>
          <w:rFonts w:hint="eastAsia"/>
        </w:rPr>
        <w:t>¬</w:t>
      </w:r>
      <w:r w:rsidR="00B72A66">
        <w:t>tation. The husband was expected to act as a dutiful husband towards the wife and the wife was to act as a devoted wife towards the hus</w:t>
      </w:r>
      <w:r w:rsidR="00B72A66">
        <w:rPr>
          <w:rFonts w:hint="eastAsia"/>
        </w:rPr>
        <w:t>¬</w:t>
      </w:r>
      <w:r w:rsidR="00B72A66">
        <w:t>band. If this concept of both the spouses making sincere contribution for the purpose of successful cohabitation after a judicial separation is ordered then it can reasonably be said that in the facts and circum</w:t>
      </w:r>
      <w:r w:rsidR="00B72A66">
        <w:rPr>
          <w:rFonts w:hint="eastAsia"/>
        </w:rPr>
        <w:t>¬</w:t>
      </w:r>
      <w:r w:rsidR="00B72A66">
        <w:t xml:space="preserve">stances of the case the husband in refusing to pay maintenance to the wife failed to act as a husband. Thereby he committed a </w:t>
      </w:r>
      <w:r w:rsidR="00B72A66">
        <w:rPr>
          <w:rFonts w:hint="eastAsia"/>
        </w:rPr>
        <w:t>“</w:t>
      </w:r>
      <w:r w:rsidR="00B72A66">
        <w:t>wrong</w:t>
      </w:r>
      <w:r w:rsidR="00B72A66">
        <w:rPr>
          <w:rFonts w:hint="eastAsia"/>
        </w:rPr>
        <w:t>”</w:t>
      </w:r>
      <w:r w:rsidR="00B72A66">
        <w:t xml:space="preserve"> within the meaning of Section 23 of the Act. Therefore, the High Court was justified in declining to allow the prayer of the husband for disso</w:t>
      </w:r>
      <w:r w:rsidR="00B72A66">
        <w:rPr>
          <w:rFonts w:hint="eastAsia"/>
        </w:rPr>
        <w:t>¬</w:t>
      </w:r>
      <w:r w:rsidR="00B72A66">
        <w:t>lution of the marriage by divorce under Section 13(1-A) of the Act.</w:t>
      </w:r>
    </w:p>
    <w:p w:rsidR="001D5BA8" w:rsidRDefault="001D5BA8" w:rsidP="007715EF">
      <w:pPr>
        <w:jc w:val="both"/>
      </w:pPr>
    </w:p>
    <w:p w:rsidR="00B72A66" w:rsidRDefault="00B72A66" w:rsidP="007715EF">
      <w:pPr>
        <w:jc w:val="both"/>
      </w:pPr>
      <w:r>
        <w:t>20.</w:t>
      </w:r>
      <w:r>
        <w:tab/>
        <w:t>And, the Court further stated thus:-</w:t>
      </w:r>
    </w:p>
    <w:p w:rsidR="001D5BA8" w:rsidRDefault="001D5BA8" w:rsidP="007715EF">
      <w:pPr>
        <w:jc w:val="both"/>
      </w:pPr>
    </w:p>
    <w:p w:rsidR="00B72A66" w:rsidRDefault="00B72A66" w:rsidP="001D5BA8">
      <w:pPr>
        <w:ind w:left="720"/>
        <w:jc w:val="both"/>
      </w:pPr>
      <w:r>
        <w:rPr>
          <w:rFonts w:hint="eastAsia"/>
        </w:rPr>
        <w:t>“</w:t>
      </w:r>
      <w:r>
        <w:t>... The effect of the decree is that certain mutual rights and obligations arising from the marriage are as it were sus</w:t>
      </w:r>
      <w:r>
        <w:rPr>
          <w:rFonts w:hint="eastAsia"/>
        </w:rPr>
        <w:t>¬</w:t>
      </w:r>
      <w:r>
        <w:t>pended and the rights and duties prescribed in the decree are substituted therefor. The decree for judicial separation does not sever or dissolve the marriage tie which continues to subsist. It affords an opportunity to the spouse for recon</w:t>
      </w:r>
      <w:r>
        <w:rPr>
          <w:rFonts w:hint="eastAsia"/>
        </w:rPr>
        <w:t>¬</w:t>
      </w:r>
      <w:r>
        <w:t>ciliation and readjustment. The decree may fall by a concili</w:t>
      </w:r>
      <w:r>
        <w:rPr>
          <w:rFonts w:hint="eastAsia"/>
        </w:rPr>
        <w:t>¬</w:t>
      </w:r>
      <w:r>
        <w:t>ation of the parties in which case the rights of the respec</w:t>
      </w:r>
      <w:r>
        <w:rPr>
          <w:rFonts w:hint="eastAsia"/>
        </w:rPr>
        <w:t>¬</w:t>
      </w:r>
      <w:r>
        <w:t>tive parties which float from the marriage and were sus</w:t>
      </w:r>
      <w:r>
        <w:rPr>
          <w:rFonts w:hint="eastAsia"/>
        </w:rPr>
        <w:t>¬</w:t>
      </w:r>
      <w:r>
        <w:t>pended are restored. Therefore the impression that Section 10(2) vests a right in the petitioner to get the decree of di</w:t>
      </w:r>
      <w:r>
        <w:rPr>
          <w:rFonts w:hint="eastAsia"/>
        </w:rPr>
        <w:t>¬</w:t>
      </w:r>
      <w:r>
        <w:t>vorce notwithstanding the fact that he has not made any at</w:t>
      </w:r>
      <w:r>
        <w:rPr>
          <w:rFonts w:hint="eastAsia"/>
        </w:rPr>
        <w:t>¬</w:t>
      </w:r>
      <w:r>
        <w:t>tempt for cohabitation with the respondent and has even acted in a manner to thwart any move for cohabitation does not flow from a reasonable interpretation of the statutory provisions. At the cost of repetition it may be stated here that the object and purpose of the Act is to maintain the marital relationship between the spouses and not to en</w:t>
      </w:r>
      <w:r>
        <w:rPr>
          <w:rFonts w:hint="eastAsia"/>
        </w:rPr>
        <w:t>¬</w:t>
      </w:r>
      <w:r>
        <w:t>courage snapping of such relationship.</w:t>
      </w:r>
      <w:r>
        <w:rPr>
          <w:rFonts w:hint="eastAsia"/>
        </w:rPr>
        <w:t>”</w:t>
      </w:r>
    </w:p>
    <w:p w:rsidR="001D5BA8" w:rsidRDefault="001D5BA8" w:rsidP="001D5BA8">
      <w:pPr>
        <w:ind w:left="720"/>
        <w:jc w:val="both"/>
      </w:pPr>
    </w:p>
    <w:p w:rsidR="00B72A66" w:rsidRDefault="001D5BA8" w:rsidP="007715EF">
      <w:pPr>
        <w:jc w:val="both"/>
      </w:pPr>
      <w:r>
        <w:lastRenderedPageBreak/>
        <w:t xml:space="preserve">21. </w:t>
      </w:r>
      <w:r w:rsidR="00B72A66">
        <w:t xml:space="preserve">It is interesting to note that an issue arose whether matrimonial offence of adultery had exhausted itself when the decree for judicial separation was granted and, therefore, it cannot be said that it is a new fact or circumstance amounting to wrong which will stand as an obstacle in the way of the husband to obtain the relief which he claims in the divorce proceedings. Be it stated that reliance was placed on the decision of Gujarat High Court in </w:t>
      </w:r>
      <w:r w:rsidR="00B72A66" w:rsidRPr="00E33EE8">
        <w:rPr>
          <w:i/>
        </w:rPr>
        <w:t>Bai Mani v. Jayantilal Dahyabhai</w:t>
      </w:r>
      <w:r w:rsidR="00B72A66">
        <w:t xml:space="preserve"> </w:t>
      </w:r>
      <w:r w:rsidR="00E33EE8" w:rsidRPr="00E33EE8">
        <w:rPr>
          <w:sz w:val="20"/>
          <w:szCs w:val="20"/>
          <w:vertAlign w:val="superscript"/>
        </w:rPr>
        <w:t>8</w:t>
      </w:r>
      <w:r w:rsidR="00B72A66">
        <w:t>. This Court did not accept the contention by holding that living in adultery on the part of the husband is a continuing matrimo</w:t>
      </w:r>
      <w:r w:rsidR="00B72A66">
        <w:rPr>
          <w:rFonts w:hint="eastAsia"/>
        </w:rPr>
        <w:t>¬</w:t>
      </w:r>
      <w:r w:rsidR="00B72A66">
        <w:t>nial offence, and it does not get frozen or wiped out merely on passing of a decree for judicial separation which merely suspends certain du</w:t>
      </w:r>
      <w:r w:rsidR="00B72A66">
        <w:rPr>
          <w:rFonts w:hint="eastAsia"/>
        </w:rPr>
        <w:t>¬</w:t>
      </w:r>
      <w:r w:rsidR="00B72A66">
        <w:t>ties and obligations of the spouses in connection with their marriage and does not snap the matrimonial tie. The Court ruled that the deci</w:t>
      </w:r>
      <w:r w:rsidR="00B72A66">
        <w:rPr>
          <w:rFonts w:hint="eastAsia"/>
        </w:rPr>
        <w:t>¬</w:t>
      </w:r>
      <w:r w:rsidR="00B72A66">
        <w:t>sion of the Gujarat High Court does not lay down the correct position</w:t>
      </w:r>
      <w:r>
        <w:t xml:space="preserve"> </w:t>
      </w:r>
      <w:r w:rsidR="00B72A66">
        <w:t>of law. The Court approved the principle stated by the Madras High</w:t>
      </w:r>
      <w:r>
        <w:t xml:space="preserve"> </w:t>
      </w:r>
      <w:r w:rsidR="00B72A66">
        <w:t xml:space="preserve">Court in the case of </w:t>
      </w:r>
      <w:r w:rsidR="00B72A66" w:rsidRPr="001D5BA8">
        <w:rPr>
          <w:i/>
        </w:rPr>
        <w:t>Soundara</w:t>
      </w:r>
      <w:r w:rsidR="00E33EE8">
        <w:rPr>
          <w:i/>
        </w:rPr>
        <w:t>mmal v. Sundara Mahalinga Nadar</w:t>
      </w:r>
      <w:r w:rsidR="00E33EE8" w:rsidRPr="00E33EE8">
        <w:rPr>
          <w:i/>
          <w:sz w:val="20"/>
          <w:szCs w:val="20"/>
          <w:vertAlign w:val="superscript"/>
        </w:rPr>
        <w:t>9</w:t>
      </w:r>
      <w:r w:rsidRPr="001D5BA8">
        <w:rPr>
          <w:i/>
        </w:rPr>
        <w:t xml:space="preserve"> </w:t>
      </w:r>
      <w:r w:rsidR="00B72A66" w:rsidRPr="001D5BA8">
        <w:rPr>
          <w:i/>
        </w:rPr>
        <w:t>i</w:t>
      </w:r>
      <w:r w:rsidR="00B72A66">
        <w:t>n which a Single Judge had taken the view that the husband who continued to live in adultery even after decree at the instance of the wife could not succeed in a petition seeking decree for divorce and that Section 23(1)(a) barred the relief.</w:t>
      </w:r>
    </w:p>
    <w:p w:rsidR="001D5BA8" w:rsidRDefault="001D5BA8" w:rsidP="007715EF">
      <w:pPr>
        <w:jc w:val="both"/>
      </w:pPr>
    </w:p>
    <w:p w:rsidR="00B72A66" w:rsidRDefault="001D5BA8" w:rsidP="007715EF">
      <w:pPr>
        <w:jc w:val="both"/>
      </w:pPr>
      <w:r>
        <w:t xml:space="preserve">22. </w:t>
      </w:r>
      <w:r w:rsidR="00B72A66">
        <w:t xml:space="preserve"> In view of the aforesaid pronouncement, it is quite clear that there is a distinction between a decree for divorce and decree of judi</w:t>
      </w:r>
      <w:r w:rsidR="00B72A66">
        <w:rPr>
          <w:rFonts w:hint="eastAsia"/>
        </w:rPr>
        <w:t>¬</w:t>
      </w:r>
      <w:r w:rsidR="00B72A66">
        <w:t>cial separation; in the former, there is a severance of status and the parties do not remain as husband and wife, whereas in the later, the relationship between husband and wife continues and the legal rela</w:t>
      </w:r>
      <w:r w:rsidR="00B72A66">
        <w:rPr>
          <w:rFonts w:hint="eastAsia"/>
        </w:rPr>
        <w:t>¬</w:t>
      </w:r>
      <w:r w:rsidR="00B72A66">
        <w:t>tionship continues as it has not been snapped. Thus understood, the finding recorded by the courts below which have been concurred by the High Court that the parties having been judicial separated, the ap</w:t>
      </w:r>
      <w:r w:rsidR="00B72A66">
        <w:rPr>
          <w:rFonts w:hint="eastAsia"/>
        </w:rPr>
        <w:t>¬</w:t>
      </w:r>
      <w:r w:rsidR="00B72A66">
        <w:t xml:space="preserve">pellant wife has ceased to be an </w:t>
      </w:r>
      <w:r w:rsidR="00B72A66">
        <w:rPr>
          <w:rFonts w:hint="eastAsia"/>
        </w:rPr>
        <w:t>“</w:t>
      </w:r>
      <w:r w:rsidR="00B72A66">
        <w:t>aggrieved person</w:t>
      </w:r>
      <w:r w:rsidR="00B72A66">
        <w:rPr>
          <w:rFonts w:hint="eastAsia"/>
        </w:rPr>
        <w:t>”</w:t>
      </w:r>
      <w:r w:rsidR="00B72A66">
        <w:t xml:space="preserve"> is wholly unsus-tainable.</w:t>
      </w:r>
    </w:p>
    <w:p w:rsidR="001D5BA8" w:rsidRDefault="001D5BA8" w:rsidP="007715EF">
      <w:pPr>
        <w:jc w:val="both"/>
      </w:pPr>
    </w:p>
    <w:p w:rsidR="00B72A66" w:rsidRDefault="001D5BA8" w:rsidP="007715EF">
      <w:pPr>
        <w:jc w:val="both"/>
      </w:pPr>
      <w:r>
        <w:t xml:space="preserve">23. </w:t>
      </w:r>
      <w:r w:rsidR="00B72A66">
        <w:t xml:space="preserve"> The next issue that arises for consideration is the issue of limita</w:t>
      </w:r>
      <w:r w:rsidR="00B72A66">
        <w:rPr>
          <w:rFonts w:hint="eastAsia"/>
        </w:rPr>
        <w:t>¬</w:t>
      </w:r>
      <w:r w:rsidR="00B72A66">
        <w:t xml:space="preserve">tion. In the application preferred by the wife, she was claiming to get back her stridhan. Stridhan has been described as saudayika by Sir Gooroodas Banerjee in </w:t>
      </w:r>
      <w:r w:rsidR="00B72A66">
        <w:rPr>
          <w:rFonts w:hint="eastAsia"/>
        </w:rPr>
        <w:t>“</w:t>
      </w:r>
      <w:r w:rsidR="00B72A66">
        <w:t>Hindu Law of Marriage and Stridhan</w:t>
      </w:r>
      <w:r w:rsidR="00B72A66">
        <w:rPr>
          <w:rFonts w:hint="eastAsia"/>
        </w:rPr>
        <w:t>”</w:t>
      </w:r>
      <w:r w:rsidR="00B72A66">
        <w:t xml:space="preserve"> which is as follows:-</w:t>
      </w:r>
    </w:p>
    <w:p w:rsidR="001D5BA8" w:rsidRDefault="001D5BA8" w:rsidP="007715EF">
      <w:pPr>
        <w:jc w:val="both"/>
      </w:pPr>
    </w:p>
    <w:p w:rsidR="00B72A66" w:rsidRDefault="00B72A66" w:rsidP="001D5BA8">
      <w:pPr>
        <w:ind w:left="720"/>
        <w:jc w:val="both"/>
      </w:pPr>
      <w:r>
        <w:rPr>
          <w:rFonts w:hint="eastAsia"/>
        </w:rPr>
        <w:t>“</w:t>
      </w:r>
      <w:r>
        <w:t>First, take the case of property obtained by gift. Gifts of af</w:t>
      </w:r>
      <w:r>
        <w:rPr>
          <w:rFonts w:hint="eastAsia"/>
        </w:rPr>
        <w:t>¬</w:t>
      </w:r>
      <w:r>
        <w:t xml:space="preserve">fectionate kindred, which are known by the name of sau-  </w:t>
      </w:r>
      <w:r w:rsidR="001D5BA8">
        <w:t xml:space="preserve"> </w:t>
      </w:r>
      <w:r>
        <w:t>dayika stridhan, constitute a woman</w:t>
      </w:r>
      <w:r>
        <w:rPr>
          <w:rFonts w:hint="eastAsia"/>
        </w:rPr>
        <w:t>’</w:t>
      </w:r>
      <w:r>
        <w:t>s absolute property, which she has at all times independent power to alienate, and over which her husband has only a qualified right, namely, the right of use in times of distress.</w:t>
      </w:r>
      <w:r>
        <w:rPr>
          <w:rFonts w:hint="eastAsia"/>
        </w:rPr>
        <w:t>”</w:t>
      </w:r>
    </w:p>
    <w:p w:rsidR="001D5BA8" w:rsidRDefault="001D5BA8" w:rsidP="007715EF">
      <w:pPr>
        <w:jc w:val="both"/>
      </w:pPr>
    </w:p>
    <w:p w:rsidR="00B72A66" w:rsidRDefault="001D5BA8" w:rsidP="007715EF">
      <w:pPr>
        <w:jc w:val="both"/>
      </w:pPr>
      <w:r>
        <w:t xml:space="preserve">24. </w:t>
      </w:r>
      <w:r w:rsidR="00B72A66">
        <w:t xml:space="preserve">The said passage, be it noted, has been quoted </w:t>
      </w:r>
      <w:r w:rsidR="00B72A66" w:rsidRPr="00E33EE8">
        <w:rPr>
          <w:i/>
        </w:rPr>
        <w:t>Pratibha Rani v. Suraj Kumar</w:t>
      </w:r>
      <w:r w:rsidR="00E33EE8" w:rsidRPr="00E33EE8">
        <w:rPr>
          <w:i/>
          <w:sz w:val="20"/>
          <w:szCs w:val="20"/>
          <w:vertAlign w:val="superscript"/>
        </w:rPr>
        <w:t>10</w:t>
      </w:r>
      <w:r w:rsidR="00B72A66">
        <w:t xml:space="preserve"> and Another10. In the said case, the majority referred to the stridhan as described in </w:t>
      </w:r>
      <w:r w:rsidR="00B72A66">
        <w:rPr>
          <w:rFonts w:hint="eastAsia"/>
        </w:rPr>
        <w:t>“</w:t>
      </w:r>
      <w:r w:rsidR="00B72A66">
        <w:t>Hindu Law</w:t>
      </w:r>
      <w:r w:rsidR="00B72A66">
        <w:rPr>
          <w:rFonts w:hint="eastAsia"/>
        </w:rPr>
        <w:t>”</w:t>
      </w:r>
      <w:r w:rsidR="00B72A66">
        <w:t xml:space="preserve"> by N.R. Raghavachariar and Maine</w:t>
      </w:r>
      <w:r w:rsidR="00B72A66">
        <w:rPr>
          <w:rFonts w:hint="eastAsia"/>
        </w:rPr>
        <w:t>’</w:t>
      </w:r>
      <w:r w:rsidR="00B72A66">
        <w:t xml:space="preserve">s </w:t>
      </w:r>
      <w:r w:rsidR="00B72A66">
        <w:rPr>
          <w:rFonts w:hint="eastAsia"/>
        </w:rPr>
        <w:t>“</w:t>
      </w:r>
      <w:r w:rsidR="00B72A66">
        <w:t>Treatise on Hindu Law</w:t>
      </w:r>
      <w:r w:rsidR="00B72A66">
        <w:rPr>
          <w:rFonts w:hint="eastAsia"/>
        </w:rPr>
        <w:t>”</w:t>
      </w:r>
      <w:r w:rsidR="00B72A66">
        <w:t>. The Court after analyzing the classical texts opined that:-</w:t>
      </w:r>
    </w:p>
    <w:p w:rsidR="001D5BA8" w:rsidRDefault="001D5BA8" w:rsidP="007715EF">
      <w:pPr>
        <w:jc w:val="both"/>
      </w:pPr>
    </w:p>
    <w:p w:rsidR="00B72A66" w:rsidRDefault="00B72A66" w:rsidP="001D5BA8">
      <w:pPr>
        <w:ind w:left="720"/>
        <w:jc w:val="both"/>
      </w:pPr>
      <w:r>
        <w:rPr>
          <w:rFonts w:hint="eastAsia"/>
        </w:rPr>
        <w:t>”</w:t>
      </w:r>
      <w:r>
        <w:t>It is, therefore, manifest that the position of stridhan of a Hindu married woman</w:t>
      </w:r>
      <w:r>
        <w:rPr>
          <w:rFonts w:hint="eastAsia"/>
        </w:rPr>
        <w:t>’</w:t>
      </w:r>
      <w:r>
        <w:t>s property during coverture is abso</w:t>
      </w:r>
      <w:r>
        <w:rPr>
          <w:rFonts w:hint="eastAsia"/>
        </w:rPr>
        <w:t>¬</w:t>
      </w:r>
      <w:r>
        <w:t xml:space="preserve">lutely clear and unambiguous; she is the absolute owner of such property and can deal with it in any manner she likes </w:t>
      </w:r>
      <w:r>
        <w:rPr>
          <w:rFonts w:hint="eastAsia"/>
        </w:rPr>
        <w:t>—</w:t>
      </w:r>
      <w:r>
        <w:t xml:space="preserve"> she may spend </w:t>
      </w:r>
      <w:r>
        <w:lastRenderedPageBreak/>
        <w:t>the whole of it or give it away at her own pleasure by gift or will without any reference to her hus</w:t>
      </w:r>
      <w:r>
        <w:rPr>
          <w:rFonts w:hint="eastAsia"/>
        </w:rPr>
        <w:t>¬</w:t>
      </w:r>
      <w:r>
        <w:t>band. Ordinarily, the husband has no right or interest in it with the sole exception that in times of extreme distress, as in famine, illness or the like, the husband can utilise it but he is morally bound to restore it or its value when he is able to do so. It may be further noted that this right is purely personal to the husband and the property so received by him in marriage cannot be proceeded against even in execu</w:t>
      </w:r>
      <w:r>
        <w:rPr>
          <w:rFonts w:hint="eastAsia"/>
        </w:rPr>
        <w:t>¬</w:t>
      </w:r>
      <w:r>
        <w:t>tion of a decree for debt.</w:t>
      </w:r>
      <w:r>
        <w:rPr>
          <w:rFonts w:hint="eastAsia"/>
        </w:rPr>
        <w:t>”</w:t>
      </w:r>
    </w:p>
    <w:p w:rsidR="001D5BA8" w:rsidRDefault="001D5BA8" w:rsidP="001D5BA8">
      <w:pPr>
        <w:ind w:left="720"/>
        <w:jc w:val="both"/>
      </w:pPr>
    </w:p>
    <w:p w:rsidR="00B72A66" w:rsidRDefault="00B72A66" w:rsidP="007715EF">
      <w:pPr>
        <w:jc w:val="both"/>
      </w:pPr>
      <w:r>
        <w:t>2</w:t>
      </w:r>
      <w:r w:rsidR="001D5BA8">
        <w:t xml:space="preserve">5. </w:t>
      </w:r>
      <w:r>
        <w:t xml:space="preserve"> In the said case, the Court ruled:-</w:t>
      </w:r>
    </w:p>
    <w:p w:rsidR="001D5BA8" w:rsidRDefault="001D5BA8" w:rsidP="007715EF">
      <w:pPr>
        <w:jc w:val="both"/>
      </w:pPr>
    </w:p>
    <w:p w:rsidR="00B72A66" w:rsidRDefault="00B72A66" w:rsidP="001D5BA8">
      <w:pPr>
        <w:ind w:left="720"/>
        <w:jc w:val="both"/>
      </w:pPr>
      <w:r>
        <w:rPr>
          <w:rFonts w:hint="eastAsia"/>
        </w:rPr>
        <w:t>“</w:t>
      </w:r>
      <w:r>
        <w:t>... a pure and simple entrustment of stridhan without cre</w:t>
      </w:r>
      <w:r>
        <w:rPr>
          <w:rFonts w:hint="eastAsia"/>
        </w:rPr>
        <w:t>¬</w:t>
      </w:r>
      <w:r>
        <w:t>ating any rights in the husband excepting putting the arti</w:t>
      </w:r>
      <w:r>
        <w:rPr>
          <w:rFonts w:hint="eastAsia"/>
        </w:rPr>
        <w:t>¬</w:t>
      </w:r>
      <w:r>
        <w:t>cles in his possession does not entitle him to use the same to the detriment of his wife without her consent. The hus</w:t>
      </w:r>
      <w:r>
        <w:rPr>
          <w:rFonts w:hint="eastAsia"/>
        </w:rPr>
        <w:t>¬</w:t>
      </w:r>
      <w:r>
        <w:t>band has no justification for not returning the said articles as and when demanded by the wife nor can he burden her with losses of business by using the said property which was never intended by her while entrusting possession of stridhan. On the allegations in the complaint, the husband is no more and no less than a pure and simple custodian</w:t>
      </w:r>
      <w:r w:rsidR="001D5BA8">
        <w:t xml:space="preserve"> </w:t>
      </w:r>
      <w:r>
        <w:t>acting on behalf of his wife and if he diverts the entrusted property elsewhere or for different purposes he takes a clear risk of prosecution under Section 406 of the IPC. On a par</w:t>
      </w:r>
      <w:r>
        <w:rPr>
          <w:rFonts w:hint="eastAsia"/>
        </w:rPr>
        <w:t>¬</w:t>
      </w:r>
      <w:r>
        <w:t>ity of reasoning, it is manifest that the husband, being only a custodian of the stridhan of his wife, cannot be said to be in joint possession thereof and thus acquire a joint interest in the property.</w:t>
      </w:r>
      <w:r>
        <w:rPr>
          <w:rFonts w:hint="eastAsia"/>
        </w:rPr>
        <w:t>”</w:t>
      </w:r>
    </w:p>
    <w:p w:rsidR="001D5BA8" w:rsidRDefault="001D5BA8" w:rsidP="007715EF">
      <w:pPr>
        <w:jc w:val="both"/>
      </w:pPr>
    </w:p>
    <w:p w:rsidR="00B72A66" w:rsidRDefault="001D5BA8" w:rsidP="007715EF">
      <w:pPr>
        <w:jc w:val="both"/>
      </w:pPr>
      <w:r>
        <w:t xml:space="preserve">26. </w:t>
      </w:r>
      <w:r w:rsidR="00B72A66">
        <w:t>The decision rendered in the said case was referred for a fresh</w:t>
      </w:r>
      <w:r>
        <w:t xml:space="preserve"> </w:t>
      </w:r>
      <w:r w:rsidR="00B72A66">
        <w:t xml:space="preserve">look by a three-Judge Bench. The </w:t>
      </w:r>
      <w:r w:rsidR="00B72A66" w:rsidRPr="001D5BA8">
        <w:rPr>
          <w:i/>
        </w:rPr>
        <w:t>three-Judge Bench Rashmi Kumar</w:t>
      </w:r>
      <w:r w:rsidRPr="001D5BA8">
        <w:rPr>
          <w:i/>
        </w:rPr>
        <w:t xml:space="preserve"> </w:t>
      </w:r>
      <w:r w:rsidR="00B72A66" w:rsidRPr="001D5BA8">
        <w:rPr>
          <w:i/>
        </w:rPr>
        <w:t>(Smt) v. Mahesh Kumar Bhada</w:t>
      </w:r>
      <w:r w:rsidR="00B72A66" w:rsidRPr="001D5BA8">
        <w:rPr>
          <w:i/>
          <w:sz w:val="20"/>
          <w:szCs w:val="20"/>
          <w:vertAlign w:val="superscript"/>
        </w:rPr>
        <w:t>11</w:t>
      </w:r>
      <w:r w:rsidR="00B72A66">
        <w:t xml:space="preserve"> while considering the issue in the</w:t>
      </w:r>
      <w:r>
        <w:t xml:space="preserve"> </w:t>
      </w:r>
      <w:r w:rsidR="00B72A66">
        <w:t>said case, ruled that :-</w:t>
      </w:r>
    </w:p>
    <w:p w:rsidR="001D5BA8" w:rsidRDefault="001D5BA8" w:rsidP="007715EF">
      <w:pPr>
        <w:jc w:val="both"/>
      </w:pPr>
    </w:p>
    <w:p w:rsidR="00B72A66" w:rsidRDefault="00B72A66" w:rsidP="001D5BA8">
      <w:pPr>
        <w:ind w:left="720"/>
        <w:jc w:val="both"/>
      </w:pPr>
      <w:r>
        <w:rPr>
          <w:rFonts w:hint="eastAsia"/>
        </w:rPr>
        <w:t>“</w:t>
      </w:r>
      <w:r>
        <w:t>9. A woman</w:t>
      </w:r>
      <w:r>
        <w:rPr>
          <w:rFonts w:hint="eastAsia"/>
        </w:rPr>
        <w:t>’</w:t>
      </w:r>
      <w:r>
        <w:t>s power of disposal, independent of her hus</w:t>
      </w:r>
      <w:r>
        <w:rPr>
          <w:rFonts w:hint="eastAsia"/>
        </w:rPr>
        <w:t>¬</w:t>
      </w:r>
      <w:r>
        <w:t>band</w:t>
      </w:r>
      <w:r>
        <w:rPr>
          <w:rFonts w:hint="eastAsia"/>
        </w:rPr>
        <w:t>’</w:t>
      </w:r>
      <w:r>
        <w:t xml:space="preserve">s control, is not confined to saudayika but extends to other properties as well. Devala says: </w:t>
      </w:r>
      <w:r>
        <w:rPr>
          <w:rFonts w:hint="eastAsia"/>
        </w:rPr>
        <w:t>“</w:t>
      </w:r>
      <w:r>
        <w:t>A woman</w:t>
      </w:r>
      <w:r>
        <w:rPr>
          <w:rFonts w:hint="eastAsia"/>
        </w:rPr>
        <w:t>’</w:t>
      </w:r>
      <w:r>
        <w:t>s mainte</w:t>
      </w:r>
      <w:r>
        <w:rPr>
          <w:rFonts w:hint="eastAsia"/>
        </w:rPr>
        <w:t>¬</w:t>
      </w:r>
      <w:r>
        <w:t>nance (vritti), ornaments, perquisites (suZka), gains (labha), are her stridhana. She herself has the exclusive right to en</w:t>
      </w:r>
      <w:r>
        <w:rPr>
          <w:rFonts w:hint="eastAsia"/>
        </w:rPr>
        <w:t>¬</w:t>
      </w:r>
      <w:r>
        <w:t>joy it. Her husband has no right to use it except in distress....</w:t>
      </w:r>
      <w:r>
        <w:rPr>
          <w:rFonts w:hint="eastAsia"/>
        </w:rPr>
        <w:t>”</w:t>
      </w:r>
      <w:r>
        <w:t xml:space="preserve"> In N.R. Raghavachariar</w:t>
      </w:r>
      <w:r>
        <w:rPr>
          <w:rFonts w:hint="eastAsia"/>
        </w:rPr>
        <w:t>’</w:t>
      </w:r>
      <w:r>
        <w:t xml:space="preserve">s Hindu Law </w:t>
      </w:r>
      <w:r>
        <w:rPr>
          <w:rFonts w:hint="eastAsia"/>
        </w:rPr>
        <w:t>—</w:t>
      </w:r>
      <w:r>
        <w:t xml:space="preserve"> Princi</w:t>
      </w:r>
      <w:r>
        <w:rPr>
          <w:rFonts w:hint="eastAsia"/>
        </w:rPr>
        <w:t>¬</w:t>
      </w:r>
      <w:r>
        <w:t xml:space="preserve">ples and Precedents, (8th Edn.) edited by Prof. S. Venkataraman, one of the renowned Professors of Hindu Law para 468 deals with </w:t>
      </w:r>
      <w:r>
        <w:rPr>
          <w:rFonts w:hint="eastAsia"/>
        </w:rPr>
        <w:t>“</w:t>
      </w:r>
      <w:r>
        <w:t>Definition of Stridhana</w:t>
      </w:r>
      <w:r>
        <w:rPr>
          <w:rFonts w:hint="eastAsia"/>
        </w:rPr>
        <w:t>”</w:t>
      </w:r>
      <w:r>
        <w:t xml:space="preserve">. In para 469 dealing with </w:t>
      </w:r>
      <w:r>
        <w:rPr>
          <w:rFonts w:hint="eastAsia"/>
        </w:rPr>
        <w:t>“</w:t>
      </w:r>
      <w:r>
        <w:t>Sources of acquisition</w:t>
      </w:r>
      <w:r>
        <w:rPr>
          <w:rFonts w:hint="eastAsia"/>
        </w:rPr>
        <w:t>”</w:t>
      </w:r>
      <w:r>
        <w:t xml:space="preserve"> it is stated that the sources of acquisition of property in a woman</w:t>
      </w:r>
      <w:r>
        <w:rPr>
          <w:rFonts w:hint="eastAsia"/>
        </w:rPr>
        <w:t>’</w:t>
      </w:r>
      <w:r>
        <w:t>s posses</w:t>
      </w:r>
      <w:r>
        <w:rPr>
          <w:rFonts w:hint="eastAsia"/>
        </w:rPr>
        <w:t>¬</w:t>
      </w:r>
      <w:r>
        <w:t>sion are: gifts before marriage, wedding gifts, gifts subse</w:t>
      </w:r>
      <w:r>
        <w:rPr>
          <w:rFonts w:hint="eastAsia"/>
        </w:rPr>
        <w:t>¬</w:t>
      </w:r>
      <w:r>
        <w:t xml:space="preserve">quent to marriage etc. Para 470 deals with </w:t>
      </w:r>
      <w:r>
        <w:rPr>
          <w:rFonts w:hint="eastAsia"/>
        </w:rPr>
        <w:t>“</w:t>
      </w:r>
      <w:r>
        <w:t>Gifts to a maiden</w:t>
      </w:r>
      <w:r>
        <w:rPr>
          <w:rFonts w:hint="eastAsia"/>
        </w:rPr>
        <w:t>”</w:t>
      </w:r>
      <w:r>
        <w:t xml:space="preserve">. Para 471 deals with </w:t>
      </w:r>
      <w:r>
        <w:rPr>
          <w:rFonts w:hint="eastAsia"/>
        </w:rPr>
        <w:t>“</w:t>
      </w:r>
      <w:r>
        <w:t>Wedding gifts</w:t>
      </w:r>
      <w:r>
        <w:rPr>
          <w:rFonts w:hint="eastAsia"/>
        </w:rPr>
        <w:t>”</w:t>
      </w:r>
      <w:r>
        <w:t xml:space="preserve"> and it is stated therein that properties gifted at the time of marriage to the bride, whether by relations or strangers, either Ad- hiyagni or Adhyavahanika, are the bride</w:t>
      </w:r>
      <w:r>
        <w:rPr>
          <w:rFonts w:hint="eastAsia"/>
        </w:rPr>
        <w:t>’</w:t>
      </w:r>
      <w:r>
        <w:t xml:space="preserve">s stridhana. In para 481 at page 426, it is stated that ornaments presented to the bride by her husband or father constitute her Strid- hana property. In para 487 dealing with </w:t>
      </w:r>
      <w:r>
        <w:rPr>
          <w:rFonts w:hint="eastAsia"/>
        </w:rPr>
        <w:t>“</w:t>
      </w:r>
      <w:r>
        <w:t>powers during coverture</w:t>
      </w:r>
      <w:r>
        <w:rPr>
          <w:rFonts w:hint="eastAsia"/>
        </w:rPr>
        <w:t>”</w:t>
      </w:r>
      <w:r>
        <w:t xml:space="preserve"> it is stated that saudayika meaning the gift of af</w:t>
      </w:r>
      <w:r>
        <w:rPr>
          <w:rFonts w:hint="eastAsia"/>
        </w:rPr>
        <w:t>¬</w:t>
      </w:r>
      <w:r>
        <w:t xml:space="preserve">fectionate kindred, </w:t>
      </w:r>
      <w:r>
        <w:lastRenderedPageBreak/>
        <w:t xml:space="preserve">includes both Yautaka or gifts received at the time of marriage as well as its negative Ayautaka. In respect of such property, whether given by gift or will she is the absolute owner and can deal with it in any way she </w:t>
      </w:r>
      <w:r w:rsidR="001D5BA8">
        <w:t xml:space="preserve"> </w:t>
      </w:r>
      <w:r>
        <w:t>likes. She may spend, sell or give it away at her own plea</w:t>
      </w:r>
      <w:r>
        <w:rPr>
          <w:rFonts w:hint="eastAsia"/>
        </w:rPr>
        <w:t>¬</w:t>
      </w:r>
      <w:r>
        <w:t>sure.</w:t>
      </w:r>
    </w:p>
    <w:p w:rsidR="001D5BA8" w:rsidRDefault="001D5BA8" w:rsidP="001D5BA8">
      <w:pPr>
        <w:ind w:left="720"/>
        <w:jc w:val="both"/>
      </w:pPr>
    </w:p>
    <w:p w:rsidR="00B72A66" w:rsidRDefault="001D5BA8" w:rsidP="001D5BA8">
      <w:pPr>
        <w:ind w:left="720"/>
        <w:jc w:val="both"/>
      </w:pPr>
      <w:r>
        <w:t xml:space="preserve">10. </w:t>
      </w:r>
      <w:r w:rsidR="00B72A66">
        <w:t>It is thus clear that the properties gifted to her before the marriage, at the time of marriage or at the time of giving farewell or thereafter are her stridhana properties. It is her absolute property with all rights to dispose at her own plea</w:t>
      </w:r>
      <w:r w:rsidR="00B72A66">
        <w:rPr>
          <w:rFonts w:hint="eastAsia"/>
        </w:rPr>
        <w:t>¬</w:t>
      </w:r>
      <w:r w:rsidR="00B72A66">
        <w:t>sure. He has no control over her stridhana property. Hus</w:t>
      </w:r>
      <w:r w:rsidR="00B72A66">
        <w:rPr>
          <w:rFonts w:hint="eastAsia"/>
        </w:rPr>
        <w:t>¬</w:t>
      </w:r>
      <w:r w:rsidR="00B72A66">
        <w:t>band may use it during the time of his distress but none</w:t>
      </w:r>
      <w:r w:rsidR="00B72A66">
        <w:rPr>
          <w:rFonts w:hint="eastAsia"/>
        </w:rPr>
        <w:t>¬</w:t>
      </w:r>
      <w:r w:rsidR="00B72A66">
        <w:t>theless he has a moral obligation to restore the same or its value to his wife. Therefore, stridhana property does not be</w:t>
      </w:r>
      <w:r w:rsidR="00B72A66">
        <w:rPr>
          <w:rFonts w:hint="eastAsia"/>
        </w:rPr>
        <w:t>¬</w:t>
      </w:r>
      <w:r w:rsidR="00B72A66">
        <w:t>come a joint property of the wife and the husband and the husband has no title or independent dominion over the property as owner thereof.</w:t>
      </w:r>
      <w:r w:rsidR="00B72A66">
        <w:rPr>
          <w:rFonts w:hint="eastAsia"/>
        </w:rPr>
        <w:t>”</w:t>
      </w:r>
    </w:p>
    <w:p w:rsidR="001D5BA8" w:rsidRDefault="001D5BA8" w:rsidP="007715EF">
      <w:pPr>
        <w:jc w:val="both"/>
      </w:pPr>
    </w:p>
    <w:p w:rsidR="00B72A66" w:rsidRDefault="001D5BA8" w:rsidP="007715EF">
      <w:pPr>
        <w:jc w:val="both"/>
      </w:pPr>
      <w:r>
        <w:t xml:space="preserve">27. </w:t>
      </w:r>
      <w:r w:rsidR="00B72A66">
        <w:t>After so stating the Court proceeded to rule that stridhana prop</w:t>
      </w:r>
      <w:r w:rsidR="00B72A66">
        <w:rPr>
          <w:rFonts w:hint="eastAsia"/>
        </w:rPr>
        <w:t>¬</w:t>
      </w:r>
      <w:r w:rsidR="00B72A66">
        <w:t>erty is the exclusive property of the wife on proof that she entrusted the property or dominion over the stridhana property to her husband or any other member of the family, there is no need to establish any further special agreement to establish that the property was given to the husband or other member of the family. Further, the Court ob</w:t>
      </w:r>
      <w:r w:rsidR="00B72A66">
        <w:rPr>
          <w:rFonts w:hint="eastAsia"/>
        </w:rPr>
        <w:t>¬</w:t>
      </w:r>
      <w:r w:rsidR="00B72A66">
        <w:t>served that it is always a question of fact in each case as to how the property came to be entrusted to the husband or any other member of the family by the wife when she left the matrimonial home or was driven out therefrom. Thereafter, the Court adverted to the concept of entrustment and eventually concurred with the view in the case of Pratibha Rani (supra). It is necessary to note here that the question had arisen whether it is a continuing offence and limitation could be</w:t>
      </w:r>
      <w:r w:rsidR="00B72A66">
        <w:rPr>
          <w:rFonts w:hint="eastAsia"/>
        </w:rPr>
        <w:t>¬</w:t>
      </w:r>
      <w:r w:rsidR="00B72A66">
        <w:t>gin to run everyday lost its relevance in the said case, for the Court on scrutiny came to hold that the complaint preferred by the complainant for the commission of the criminal breach of trust under Section 406 of the Indian Penal Code was within limitation.</w:t>
      </w:r>
    </w:p>
    <w:p w:rsidR="001D5BA8" w:rsidRDefault="001D5BA8" w:rsidP="007715EF">
      <w:pPr>
        <w:jc w:val="both"/>
      </w:pPr>
    </w:p>
    <w:p w:rsidR="00B72A66" w:rsidRDefault="001D5BA8" w:rsidP="007715EF">
      <w:pPr>
        <w:jc w:val="both"/>
      </w:pPr>
      <w:r>
        <w:t xml:space="preserve">28. </w:t>
      </w:r>
      <w:r w:rsidR="00B72A66">
        <w:t xml:space="preserve">Having appreciated the concept of Stridhan, we shall now proceed to deal with the meaning of </w:t>
      </w:r>
      <w:r w:rsidR="00B72A66">
        <w:rPr>
          <w:rFonts w:hint="eastAsia"/>
        </w:rPr>
        <w:t>“</w:t>
      </w:r>
      <w:r w:rsidR="00B72A66">
        <w:t>continuing cause of action</w:t>
      </w:r>
      <w:r w:rsidR="00B72A66">
        <w:rPr>
          <w:rFonts w:hint="eastAsia"/>
        </w:rPr>
        <w:t>”</w:t>
      </w:r>
      <w:r w:rsidR="00B72A66">
        <w:t xml:space="preserve">. In </w:t>
      </w:r>
      <w:r w:rsidR="00B72A66" w:rsidRPr="001D5BA8">
        <w:rPr>
          <w:i/>
        </w:rPr>
        <w:t>Raja Bhadur Singh v. Provident Fund Inspector and Others</w:t>
      </w:r>
      <w:r w:rsidR="00B72A66">
        <w:t xml:space="preserve"> </w:t>
      </w:r>
      <w:r w:rsidR="00E33EE8" w:rsidRPr="00E33EE8">
        <w:rPr>
          <w:sz w:val="20"/>
          <w:szCs w:val="20"/>
          <w:vertAlign w:val="superscript"/>
        </w:rPr>
        <w:t>12</w:t>
      </w:r>
      <w:r w:rsidR="00B72A66">
        <w:t xml:space="preserve"> the Court while dealing with the continuous offence opined that the expression </w:t>
      </w:r>
      <w:r w:rsidR="00B72A66">
        <w:rPr>
          <w:rFonts w:hint="eastAsia"/>
        </w:rPr>
        <w:t>“</w:t>
      </w:r>
      <w:r w:rsidR="00B72A66">
        <w:t>continuing offence</w:t>
      </w:r>
      <w:r w:rsidR="00B72A66">
        <w:rPr>
          <w:rFonts w:hint="eastAsia"/>
        </w:rPr>
        <w:t>”</w:t>
      </w:r>
      <w:r w:rsidR="00B72A66">
        <w:t xml:space="preserve"> is not defined in the Code but that is because the expressions which do not have a fixed connotation or a static import are difficult to define. The Court referred to the earlier decision in </w:t>
      </w:r>
      <w:r w:rsidR="00B72A66" w:rsidRPr="00E33EE8">
        <w:rPr>
          <w:i/>
        </w:rPr>
        <w:t>State of Bihar v. Deokaran Nenshi</w:t>
      </w:r>
      <w:r w:rsidR="00E33EE8" w:rsidRPr="00E33EE8">
        <w:rPr>
          <w:sz w:val="20"/>
          <w:szCs w:val="20"/>
          <w:vertAlign w:val="superscript"/>
        </w:rPr>
        <w:t>13</w:t>
      </w:r>
      <w:r w:rsidR="00B72A66">
        <w:t xml:space="preserve"> and reproduced a passage from the same which is to the following effect:-</w:t>
      </w:r>
    </w:p>
    <w:p w:rsidR="001D5BA8" w:rsidRDefault="001D5BA8" w:rsidP="001D5BA8">
      <w:pPr>
        <w:ind w:left="720"/>
        <w:jc w:val="both"/>
      </w:pPr>
    </w:p>
    <w:p w:rsidR="00B72A66" w:rsidRDefault="00B72A66" w:rsidP="001D5BA8">
      <w:pPr>
        <w:ind w:left="720"/>
        <w:jc w:val="both"/>
      </w:pPr>
      <w:r>
        <w:rPr>
          <w:rFonts w:hint="eastAsia"/>
        </w:rPr>
        <w:t>“</w:t>
      </w:r>
      <w:r>
        <w:t>A continuing offence is one which is susceptible of continu</w:t>
      </w:r>
      <w:r>
        <w:rPr>
          <w:rFonts w:hint="eastAsia"/>
        </w:rPr>
        <w:t>¬</w:t>
      </w:r>
      <w:r>
        <w:t>ance and is distinguishable from the one which is commit</w:t>
      </w:r>
      <w:r>
        <w:rPr>
          <w:rFonts w:hint="eastAsia"/>
        </w:rPr>
        <w:t>¬</w:t>
      </w:r>
      <w:r>
        <w:t>ted once and for all. It is one of those offences which arises out of a failure to obey or comply with a rule or its require</w:t>
      </w:r>
      <w:r>
        <w:rPr>
          <w:rFonts w:hint="eastAsia"/>
        </w:rPr>
        <w:t>¬</w:t>
      </w:r>
      <w:r>
        <w:t>ment and which involves a penalty, the liability for which continues until the rule or its requirement is obeyed or complied with. On every occasion that such disobedience or non-compliance occurs and reoccurs, there is the offence committed. The distinction between the two kinds of of</w:t>
      </w:r>
      <w:r>
        <w:rPr>
          <w:rFonts w:hint="eastAsia"/>
        </w:rPr>
        <w:t>¬</w:t>
      </w:r>
      <w:r>
        <w:t xml:space="preserve">fences is between an act or omission which constitutes an offence once and for all and an act or omission which </w:t>
      </w:r>
      <w:r>
        <w:lastRenderedPageBreak/>
        <w:t>con</w:t>
      </w:r>
      <w:r>
        <w:rPr>
          <w:rFonts w:hint="eastAsia"/>
        </w:rPr>
        <w:t>¬</w:t>
      </w:r>
      <w:r>
        <w:t>tinues, and therefore, constitutes a fresh offence every time or occasion on which it continues. In the case of a continu</w:t>
      </w:r>
      <w:r>
        <w:rPr>
          <w:rFonts w:hint="eastAsia"/>
        </w:rPr>
        <w:t>¬</w:t>
      </w:r>
      <w:r>
        <w:t>ing offence, there is thus the ingredient of continuance of the offence which is absent in the case of an offence which takes place when an act or omission is committed once and for all.</w:t>
      </w:r>
      <w:r>
        <w:rPr>
          <w:rFonts w:hint="eastAsia"/>
        </w:rPr>
        <w:t>”</w:t>
      </w:r>
    </w:p>
    <w:p w:rsidR="001D5BA8" w:rsidRDefault="001D5BA8" w:rsidP="001D5BA8">
      <w:pPr>
        <w:ind w:left="720"/>
        <w:jc w:val="both"/>
      </w:pPr>
    </w:p>
    <w:p w:rsidR="00B72A66" w:rsidRDefault="001D5BA8" w:rsidP="007715EF">
      <w:pPr>
        <w:jc w:val="both"/>
      </w:pPr>
      <w:r>
        <w:t xml:space="preserve">29. </w:t>
      </w:r>
      <w:r w:rsidR="00B72A66">
        <w:t xml:space="preserve"> The Court further observed :-</w:t>
      </w:r>
    </w:p>
    <w:p w:rsidR="001D5BA8" w:rsidRDefault="001D5BA8" w:rsidP="007715EF">
      <w:pPr>
        <w:jc w:val="both"/>
      </w:pPr>
    </w:p>
    <w:p w:rsidR="00B72A66" w:rsidRDefault="00B72A66" w:rsidP="001D5BA8">
      <w:pPr>
        <w:ind w:left="720"/>
        <w:jc w:val="both"/>
      </w:pPr>
      <w:r>
        <w:rPr>
          <w:rFonts w:hint="eastAsia"/>
        </w:rPr>
        <w:t>“</w:t>
      </w:r>
      <w:r>
        <w:t>This passage shows that apart from saying that a continu</w:t>
      </w:r>
      <w:r>
        <w:rPr>
          <w:rFonts w:hint="eastAsia"/>
        </w:rPr>
        <w:t>¬</w:t>
      </w:r>
      <w:r>
        <w:t>ing offence is one which continues and a non-continuing of</w:t>
      </w:r>
      <w:r>
        <w:rPr>
          <w:rFonts w:hint="eastAsia"/>
        </w:rPr>
        <w:t>¬</w:t>
      </w:r>
      <w:r>
        <w:t>fence is one which is committed once and for all, the Court found it difficult to explain as to when an offence can be de</w:t>
      </w:r>
      <w:r>
        <w:rPr>
          <w:rFonts w:hint="eastAsia"/>
        </w:rPr>
        <w:t>¬</w:t>
      </w:r>
      <w:r>
        <w:t>scribed as a continuing offence. Seeing that difficulty, the Court observed that a few illustrative cases would help to bring out the distinction between a continuing offence and a non-continuing offence. The illustrative cases referred to by the Court are three from England, two from Bombay and one from Bihar.</w:t>
      </w:r>
      <w:r>
        <w:rPr>
          <w:rFonts w:hint="eastAsia"/>
        </w:rPr>
        <w:t>”</w:t>
      </w:r>
    </w:p>
    <w:p w:rsidR="001D5BA8" w:rsidRDefault="001D5BA8" w:rsidP="007715EF">
      <w:pPr>
        <w:jc w:val="both"/>
      </w:pPr>
    </w:p>
    <w:p w:rsidR="00B72A66" w:rsidRDefault="001D5BA8" w:rsidP="007715EF">
      <w:pPr>
        <w:jc w:val="both"/>
      </w:pPr>
      <w:r>
        <w:t xml:space="preserve">30. </w:t>
      </w:r>
      <w:r w:rsidR="00B72A66">
        <w:t>Thereafter, the Court referred to the authorities and adverted to Deokaran Nenshi (supra) and eventually held:-</w:t>
      </w:r>
    </w:p>
    <w:p w:rsidR="001D5BA8" w:rsidRDefault="001D5BA8" w:rsidP="007715EF">
      <w:pPr>
        <w:jc w:val="both"/>
      </w:pPr>
    </w:p>
    <w:p w:rsidR="00B72A66" w:rsidRDefault="00B72A66" w:rsidP="001D5BA8">
      <w:pPr>
        <w:ind w:left="720"/>
        <w:jc w:val="both"/>
      </w:pPr>
      <w:r>
        <w:rPr>
          <w:rFonts w:hint="eastAsia"/>
        </w:rPr>
        <w:t>“</w:t>
      </w:r>
      <w:r>
        <w:t>The question whether a particular offence is a continuing offence must necessarily depend upon the language of the statute which creates that offence, the nature of the offence and, above all, the purpose which is intended to be achieved by constituting the particular act as an offence...</w:t>
      </w:r>
      <w:r>
        <w:rPr>
          <w:rFonts w:hint="eastAsia"/>
        </w:rPr>
        <w:t>”</w:t>
      </w:r>
    </w:p>
    <w:p w:rsidR="001D5BA8" w:rsidRDefault="001D5BA8" w:rsidP="007715EF">
      <w:pPr>
        <w:jc w:val="both"/>
      </w:pPr>
    </w:p>
    <w:p w:rsidR="00B72A66" w:rsidRDefault="001D5BA8" w:rsidP="007715EF">
      <w:pPr>
        <w:jc w:val="both"/>
      </w:pPr>
      <w:r>
        <w:t xml:space="preserve">31. </w:t>
      </w:r>
      <w:r w:rsidR="00B72A66">
        <w:t xml:space="preserve"> Regard being had to the aforesaid statement of law, we have to see whether retention of stridhan by the husband or any other family members is a continuing offence or not. There can be no dispute that wife can file a suit for realization of the stridhan but it does not debar her to lodge a criminal complaint for criminal breach of trust. We must state that was the situation before the 2005 Act came into force. In the 2005 Act, the definition of </w:t>
      </w:r>
      <w:r w:rsidR="00B72A66">
        <w:rPr>
          <w:rFonts w:hint="eastAsia"/>
        </w:rPr>
        <w:t>“</w:t>
      </w:r>
      <w:r w:rsidR="00B72A66">
        <w:t>aggrieved person</w:t>
      </w:r>
      <w:r w:rsidR="00B72A66">
        <w:rPr>
          <w:rFonts w:hint="eastAsia"/>
        </w:rPr>
        <w:t>”</w:t>
      </w:r>
      <w:r w:rsidR="00B72A66">
        <w:t xml:space="preserve"> clearly postulates about the status of any woman who has been subjected to domestic vi</w:t>
      </w:r>
      <w:r w:rsidR="00B72A66">
        <w:rPr>
          <w:rFonts w:hint="eastAsia"/>
        </w:rPr>
        <w:t>¬</w:t>
      </w:r>
      <w:r w:rsidR="00B72A66">
        <w:t xml:space="preserve">olence as defined under Section 3 of the said Act. </w:t>
      </w:r>
      <w:r w:rsidR="00B72A66">
        <w:rPr>
          <w:rFonts w:hint="eastAsia"/>
        </w:rPr>
        <w:t>“</w:t>
      </w:r>
      <w:r w:rsidR="00B72A66">
        <w:t>Economic abuse</w:t>
      </w:r>
      <w:r w:rsidR="00B72A66">
        <w:rPr>
          <w:rFonts w:hint="eastAsia"/>
        </w:rPr>
        <w:t>”</w:t>
      </w:r>
      <w:r w:rsidR="00B72A66">
        <w:t xml:space="preserve"> as it has been defined in Section 3(iv) of the said Act has a large can</w:t>
      </w:r>
      <w:r w:rsidR="00B72A66">
        <w:rPr>
          <w:rFonts w:hint="eastAsia"/>
        </w:rPr>
        <w:t>¬</w:t>
      </w:r>
      <w:r w:rsidR="00B72A66">
        <w:t>vass. Section 12, relevant portion of which have been reproduced hereinbefore, provides for procedure for obtaining orders of reliefs. It has been held in Inderjit Singh Grewal (supra) that Section 498 of the Code of Criminal Procedure applies to the said case under the 2005 Act as envisaged under Sections 28 and 32 of the said Act read with Rule 15(6) of the Protection of Women from Domestic Violence Rules, 2006. We need not advert to the same as we are of the consid</w:t>
      </w:r>
      <w:r w:rsidR="00B72A66">
        <w:rPr>
          <w:rFonts w:hint="eastAsia"/>
        </w:rPr>
        <w:t>¬</w:t>
      </w:r>
      <w:r w:rsidR="00B72A66">
        <w:t>ered opinion that as long as the status of the aggrieved person remains and stridhan remains in the custody of the husband, the wife can al</w:t>
      </w:r>
      <w:r w:rsidR="00B72A66">
        <w:rPr>
          <w:rFonts w:hint="eastAsia"/>
        </w:rPr>
        <w:t>¬</w:t>
      </w:r>
      <w:r w:rsidR="00B72A66">
        <w:t>ways put forth her claim under Section 12 of the 2005 Act. We are dis-posed to think so as the status between the parties is not severed be</w:t>
      </w:r>
      <w:r w:rsidR="00B72A66">
        <w:rPr>
          <w:rFonts w:hint="eastAsia"/>
        </w:rPr>
        <w:t>¬</w:t>
      </w:r>
      <w:r w:rsidR="00B72A66">
        <w:t xml:space="preserve">cause of the decree of dissolution of marriage. The concept of </w:t>
      </w:r>
      <w:r w:rsidR="00B72A66">
        <w:rPr>
          <w:rFonts w:hint="eastAsia"/>
        </w:rPr>
        <w:t>“</w:t>
      </w:r>
      <w:r w:rsidR="00B72A66">
        <w:t>continu</w:t>
      </w:r>
      <w:r w:rsidR="00B72A66">
        <w:rPr>
          <w:rFonts w:hint="eastAsia"/>
        </w:rPr>
        <w:t>¬</w:t>
      </w:r>
      <w:r w:rsidR="00B72A66">
        <w:t>ing offence</w:t>
      </w:r>
      <w:r w:rsidR="00B72A66">
        <w:rPr>
          <w:rFonts w:hint="eastAsia"/>
        </w:rPr>
        <w:t>”</w:t>
      </w:r>
      <w:r w:rsidR="00B72A66">
        <w:t xml:space="preserve"> gets attracted from the date of deprivation of stridhan, for neither the husband nor any other family members can have any right over the stridhan and they remain the custodians. For the purpose of the 2005 Act, she can submit an application to the Protection </w:t>
      </w:r>
      <w:r w:rsidR="00B72A66">
        <w:lastRenderedPageBreak/>
        <w:t>Officer for one or more of the reliefs under the 2005 Act. In the present case, the wife had submitted the application on 22.05.2010 and the said au</w:t>
      </w:r>
      <w:r w:rsidR="00B72A66">
        <w:rPr>
          <w:rFonts w:hint="eastAsia"/>
        </w:rPr>
        <w:t>¬</w:t>
      </w:r>
      <w:r w:rsidR="00B72A66">
        <w:t xml:space="preserve">thority had forwarded the same on 01.06.2010. In the application, the wife had mentioned that the husband had stopped payment of monthly maintenance from January 2010 and, therefore, she had been com-pelled to file the application for stridhan. Regard being had to the said concept of </w:t>
      </w:r>
      <w:r w:rsidR="00B72A66">
        <w:rPr>
          <w:rFonts w:hint="eastAsia"/>
        </w:rPr>
        <w:t>“</w:t>
      </w:r>
      <w:r w:rsidR="00B72A66">
        <w:t>continuing offence</w:t>
      </w:r>
      <w:r w:rsidR="00B72A66">
        <w:rPr>
          <w:rFonts w:hint="eastAsia"/>
        </w:rPr>
        <w:t>”</w:t>
      </w:r>
      <w:r w:rsidR="00B72A66">
        <w:t xml:space="preserve"> and the demands made, we are dis</w:t>
      </w:r>
      <w:r w:rsidR="00B72A66">
        <w:rPr>
          <w:rFonts w:hint="eastAsia"/>
        </w:rPr>
        <w:t>¬</w:t>
      </w:r>
      <w:r w:rsidR="00B72A66">
        <w:t>posed to think that the application was not barred by limitation and the courts below as well as the High Court had fallen into a grave error by dismissing the application being barred by limitation.</w:t>
      </w:r>
    </w:p>
    <w:p w:rsidR="001D5BA8" w:rsidRDefault="001D5BA8" w:rsidP="007715EF">
      <w:pPr>
        <w:jc w:val="both"/>
      </w:pPr>
    </w:p>
    <w:p w:rsidR="00B72A66" w:rsidRDefault="001D5BA8" w:rsidP="007715EF">
      <w:pPr>
        <w:jc w:val="both"/>
      </w:pPr>
      <w:r>
        <w:t xml:space="preserve">32. </w:t>
      </w:r>
      <w:r w:rsidR="00B72A66">
        <w:t>Consequently, the appeal is allowed and the orders passed by the High Court and the courts below are set aside. The matter is remitted to the learned Magistrate to proceed with the application under Section 12 of the 2005 Act on merits.</w:t>
      </w:r>
    </w:p>
    <w:p w:rsidR="001D5BA8" w:rsidRDefault="001D5BA8" w:rsidP="007715EF">
      <w:pPr>
        <w:jc w:val="both"/>
      </w:pPr>
    </w:p>
    <w:p w:rsidR="00790838" w:rsidRPr="00F85F34" w:rsidRDefault="00B72A66" w:rsidP="001D5BA8">
      <w:pPr>
        <w:jc w:val="both"/>
      </w:pPr>
      <w:r>
        <w:tab/>
      </w:r>
    </w:p>
    <w:p w:rsidR="007715EF" w:rsidRPr="00EB3588" w:rsidRDefault="00E33EE8">
      <w:pPr>
        <w:jc w:val="both"/>
        <w:rPr>
          <w:i/>
          <w:sz w:val="22"/>
          <w:szCs w:val="22"/>
        </w:rPr>
      </w:pPr>
      <w:r w:rsidRPr="00EB3588">
        <w:rPr>
          <w:i/>
          <w:sz w:val="22"/>
          <w:szCs w:val="22"/>
          <w:vertAlign w:val="superscript"/>
        </w:rPr>
        <w:t xml:space="preserve">1 </w:t>
      </w:r>
      <w:r w:rsidRPr="00EB3588">
        <w:rPr>
          <w:i/>
          <w:sz w:val="22"/>
          <w:szCs w:val="22"/>
        </w:rPr>
        <w:t>(2011) 12 SCC 588</w:t>
      </w:r>
    </w:p>
    <w:p w:rsidR="00E33EE8" w:rsidRPr="00EB3588" w:rsidRDefault="00E33EE8">
      <w:pPr>
        <w:jc w:val="both"/>
        <w:rPr>
          <w:rFonts w:cs="RupeeForadian"/>
          <w:i/>
          <w:sz w:val="22"/>
          <w:szCs w:val="22"/>
        </w:rPr>
      </w:pPr>
      <w:r w:rsidRPr="00EB3588">
        <w:rPr>
          <w:rFonts w:cs="RupeeForadian"/>
          <w:i/>
          <w:sz w:val="22"/>
          <w:szCs w:val="22"/>
          <w:vertAlign w:val="superscript"/>
        </w:rPr>
        <w:t xml:space="preserve">2 </w:t>
      </w:r>
      <w:r w:rsidRPr="00EB3588">
        <w:rPr>
          <w:rFonts w:cs="RupeeForadian"/>
          <w:i/>
          <w:sz w:val="22"/>
          <w:szCs w:val="22"/>
        </w:rPr>
        <w:t>(2012) 3 SCC 183</w:t>
      </w:r>
    </w:p>
    <w:p w:rsidR="00E33EE8" w:rsidRPr="00EB3588" w:rsidRDefault="00E33EE8">
      <w:pPr>
        <w:jc w:val="both"/>
        <w:rPr>
          <w:rFonts w:cs="RupeeForadian"/>
          <w:i/>
          <w:sz w:val="22"/>
          <w:szCs w:val="22"/>
        </w:rPr>
      </w:pPr>
      <w:r w:rsidRPr="00EB3588">
        <w:rPr>
          <w:rFonts w:cs="RupeeForadian"/>
          <w:i/>
          <w:sz w:val="22"/>
          <w:szCs w:val="22"/>
          <w:vertAlign w:val="superscript"/>
        </w:rPr>
        <w:t xml:space="preserve">3 </w:t>
      </w:r>
      <w:r w:rsidRPr="00EB3588">
        <w:rPr>
          <w:rFonts w:cs="RupeeForadian"/>
          <w:i/>
          <w:sz w:val="22"/>
          <w:szCs w:val="22"/>
        </w:rPr>
        <w:t>(2014) 3 SCC 712</w:t>
      </w:r>
    </w:p>
    <w:p w:rsidR="00E33EE8" w:rsidRPr="00EB3588" w:rsidRDefault="00E33EE8" w:rsidP="00E33EE8">
      <w:pPr>
        <w:autoSpaceDE w:val="0"/>
        <w:autoSpaceDN w:val="0"/>
        <w:adjustRightInd w:val="0"/>
        <w:rPr>
          <w:rFonts w:cs="RupeeForadian"/>
          <w:i/>
          <w:sz w:val="22"/>
          <w:szCs w:val="22"/>
        </w:rPr>
      </w:pPr>
      <w:r w:rsidRPr="00EB3588">
        <w:rPr>
          <w:rFonts w:cs="RupeeForadian"/>
          <w:i/>
          <w:sz w:val="22"/>
          <w:szCs w:val="22"/>
          <w:vertAlign w:val="superscript"/>
        </w:rPr>
        <w:t>4</w:t>
      </w:r>
      <w:r w:rsidRPr="00EB3588">
        <w:rPr>
          <w:rFonts w:cs="RupeeForadian"/>
          <w:i/>
          <w:sz w:val="22"/>
          <w:szCs w:val="22"/>
        </w:rPr>
        <w:t xml:space="preserve"> (2010) 10 SCC 469</w:t>
      </w:r>
    </w:p>
    <w:p w:rsidR="00E33EE8" w:rsidRPr="00EB3588" w:rsidRDefault="00E33EE8" w:rsidP="00E33EE8">
      <w:pPr>
        <w:jc w:val="both"/>
        <w:rPr>
          <w:rFonts w:cs="RupeeForadian"/>
          <w:i/>
          <w:sz w:val="22"/>
          <w:szCs w:val="22"/>
        </w:rPr>
      </w:pPr>
      <w:r w:rsidRPr="00EB3588">
        <w:rPr>
          <w:rFonts w:cs="RupeeForadian"/>
          <w:i/>
          <w:sz w:val="22"/>
          <w:szCs w:val="22"/>
          <w:vertAlign w:val="superscript"/>
        </w:rPr>
        <w:t xml:space="preserve">5 </w:t>
      </w:r>
      <w:r w:rsidRPr="00EB3588">
        <w:rPr>
          <w:rFonts w:cs="RupeeForadian"/>
          <w:i/>
          <w:sz w:val="22"/>
          <w:szCs w:val="22"/>
        </w:rPr>
        <w:t>(2005) 3 SCC 636</w:t>
      </w:r>
    </w:p>
    <w:p w:rsidR="00E33EE8" w:rsidRPr="00EB3588" w:rsidRDefault="00E33EE8" w:rsidP="00E33EE8">
      <w:pPr>
        <w:autoSpaceDE w:val="0"/>
        <w:autoSpaceDN w:val="0"/>
        <w:adjustRightInd w:val="0"/>
        <w:rPr>
          <w:rFonts w:cs="RupeeForadian"/>
          <w:i/>
          <w:sz w:val="22"/>
          <w:szCs w:val="22"/>
        </w:rPr>
      </w:pPr>
      <w:r w:rsidRPr="00EB3588">
        <w:rPr>
          <w:rFonts w:cs="RupeeForadian"/>
          <w:i/>
          <w:sz w:val="22"/>
          <w:szCs w:val="22"/>
          <w:vertAlign w:val="superscript"/>
        </w:rPr>
        <w:t>6</w:t>
      </w:r>
      <w:r w:rsidRPr="00EB3588">
        <w:rPr>
          <w:rFonts w:cs="RupeeForadian"/>
          <w:i/>
          <w:sz w:val="22"/>
          <w:szCs w:val="22"/>
        </w:rPr>
        <w:t xml:space="preserve"> (1993) 1 SCC 325</w:t>
      </w:r>
    </w:p>
    <w:p w:rsidR="00E33EE8" w:rsidRPr="00EB3588" w:rsidRDefault="00E33EE8" w:rsidP="00E33EE8">
      <w:pPr>
        <w:jc w:val="both"/>
        <w:rPr>
          <w:rFonts w:cs="RupeeForadian"/>
          <w:i/>
          <w:sz w:val="22"/>
          <w:szCs w:val="22"/>
        </w:rPr>
      </w:pPr>
      <w:r w:rsidRPr="00EB3588">
        <w:rPr>
          <w:rFonts w:cs="RupeeForadian"/>
          <w:i/>
          <w:sz w:val="22"/>
          <w:szCs w:val="22"/>
          <w:vertAlign w:val="superscript"/>
        </w:rPr>
        <w:t>7</w:t>
      </w:r>
      <w:r w:rsidRPr="00EB3588">
        <w:rPr>
          <w:rFonts w:cs="RupeeForadian"/>
          <w:i/>
          <w:sz w:val="22"/>
          <w:szCs w:val="22"/>
        </w:rPr>
        <w:t xml:space="preserve"> (2001) 4 SCC 125</w:t>
      </w:r>
    </w:p>
    <w:p w:rsidR="00E33EE8" w:rsidRPr="00EB3588" w:rsidRDefault="00E33EE8" w:rsidP="00E33EE8">
      <w:pPr>
        <w:jc w:val="both"/>
        <w:rPr>
          <w:rFonts w:cs="RupeeForadian"/>
          <w:i/>
          <w:sz w:val="22"/>
          <w:szCs w:val="22"/>
        </w:rPr>
      </w:pPr>
      <w:r w:rsidRPr="00EB3588">
        <w:rPr>
          <w:rFonts w:cs="RupeeForadian"/>
          <w:i/>
          <w:sz w:val="22"/>
          <w:szCs w:val="22"/>
          <w:vertAlign w:val="superscript"/>
        </w:rPr>
        <w:t>8</w:t>
      </w:r>
      <w:r w:rsidRPr="00EB3588">
        <w:rPr>
          <w:rFonts w:cs="RupeeForadian"/>
          <w:i/>
          <w:sz w:val="22"/>
          <w:szCs w:val="22"/>
        </w:rPr>
        <w:t xml:space="preserve"> AIR 1979 Guj 209</w:t>
      </w:r>
    </w:p>
    <w:p w:rsidR="00E33EE8" w:rsidRPr="00EB3588" w:rsidRDefault="00E33EE8" w:rsidP="00E33EE8">
      <w:pPr>
        <w:jc w:val="both"/>
        <w:rPr>
          <w:rFonts w:cs="RupeeForadian"/>
          <w:i/>
          <w:sz w:val="22"/>
          <w:szCs w:val="22"/>
        </w:rPr>
      </w:pPr>
      <w:r w:rsidRPr="00EB3588">
        <w:rPr>
          <w:rFonts w:cs="RupeeForadian"/>
          <w:i/>
          <w:sz w:val="22"/>
          <w:szCs w:val="22"/>
          <w:vertAlign w:val="superscript"/>
        </w:rPr>
        <w:t xml:space="preserve">9 </w:t>
      </w:r>
      <w:r w:rsidRPr="00EB3588">
        <w:rPr>
          <w:rFonts w:cs="RupeeForadian"/>
          <w:i/>
          <w:sz w:val="22"/>
          <w:szCs w:val="22"/>
        </w:rPr>
        <w:t>AIR 1980 Mad 294</w:t>
      </w:r>
    </w:p>
    <w:p w:rsidR="00E33EE8" w:rsidRPr="00EB3588" w:rsidRDefault="00E33EE8" w:rsidP="00E33EE8">
      <w:pPr>
        <w:jc w:val="both"/>
        <w:rPr>
          <w:rFonts w:cs="RupeeForadian"/>
          <w:i/>
          <w:sz w:val="22"/>
          <w:szCs w:val="22"/>
        </w:rPr>
      </w:pPr>
      <w:r w:rsidRPr="00EB3588">
        <w:rPr>
          <w:rFonts w:cs="RupeeForadian"/>
          <w:i/>
          <w:sz w:val="22"/>
          <w:szCs w:val="22"/>
          <w:vertAlign w:val="superscript"/>
        </w:rPr>
        <w:t xml:space="preserve">10 </w:t>
      </w:r>
      <w:r w:rsidRPr="00EB3588">
        <w:rPr>
          <w:rFonts w:cs="RupeeForadian"/>
          <w:i/>
          <w:sz w:val="22"/>
          <w:szCs w:val="22"/>
        </w:rPr>
        <w:t>(1985) 2 SCC 370</w:t>
      </w:r>
    </w:p>
    <w:p w:rsidR="00E33EE8" w:rsidRPr="00EB3588" w:rsidRDefault="00E33EE8" w:rsidP="00E33EE8">
      <w:pPr>
        <w:jc w:val="both"/>
        <w:rPr>
          <w:rFonts w:cs="RupeeForadian"/>
          <w:i/>
          <w:sz w:val="22"/>
          <w:szCs w:val="22"/>
        </w:rPr>
      </w:pPr>
      <w:r w:rsidRPr="00EB3588">
        <w:rPr>
          <w:rFonts w:cs="RupeeForadian"/>
          <w:i/>
          <w:sz w:val="22"/>
          <w:szCs w:val="22"/>
          <w:vertAlign w:val="superscript"/>
        </w:rPr>
        <w:t>11</w:t>
      </w:r>
      <w:r w:rsidRPr="00EB3588">
        <w:rPr>
          <w:rFonts w:cs="RupeeForadian"/>
          <w:i/>
          <w:sz w:val="22"/>
          <w:szCs w:val="22"/>
        </w:rPr>
        <w:t xml:space="preserve"> (1997) 2 SCC 397</w:t>
      </w:r>
    </w:p>
    <w:p w:rsidR="00E33EE8" w:rsidRPr="00EB3588" w:rsidRDefault="00E33EE8" w:rsidP="00E33EE8">
      <w:pPr>
        <w:autoSpaceDE w:val="0"/>
        <w:autoSpaceDN w:val="0"/>
        <w:adjustRightInd w:val="0"/>
        <w:rPr>
          <w:rFonts w:cs="RupeeForadian"/>
          <w:i/>
          <w:sz w:val="22"/>
          <w:szCs w:val="22"/>
        </w:rPr>
      </w:pPr>
      <w:r w:rsidRPr="00EB3588">
        <w:rPr>
          <w:rFonts w:cs="RupeeForadian"/>
          <w:i/>
          <w:sz w:val="22"/>
          <w:szCs w:val="22"/>
          <w:vertAlign w:val="superscript"/>
        </w:rPr>
        <w:t>12</w:t>
      </w:r>
      <w:r w:rsidRPr="00EB3588">
        <w:rPr>
          <w:rFonts w:cs="RupeeForadian"/>
          <w:i/>
          <w:sz w:val="22"/>
          <w:szCs w:val="22"/>
        </w:rPr>
        <w:t xml:space="preserve"> (1984) 4 SCC 222</w:t>
      </w:r>
    </w:p>
    <w:p w:rsidR="00E33EE8" w:rsidRPr="00EB3588" w:rsidRDefault="00E33EE8" w:rsidP="00E33EE8">
      <w:pPr>
        <w:jc w:val="both"/>
        <w:rPr>
          <w:i/>
          <w:sz w:val="22"/>
          <w:szCs w:val="22"/>
        </w:rPr>
      </w:pPr>
      <w:r w:rsidRPr="00EB3588">
        <w:rPr>
          <w:rFonts w:cs="RupeeForadian"/>
          <w:i/>
          <w:sz w:val="22"/>
          <w:szCs w:val="22"/>
          <w:vertAlign w:val="superscript"/>
        </w:rPr>
        <w:t xml:space="preserve">13 </w:t>
      </w:r>
      <w:r w:rsidRPr="00EB3588">
        <w:rPr>
          <w:rFonts w:cs="RupeeForadian"/>
          <w:i/>
          <w:sz w:val="22"/>
          <w:szCs w:val="22"/>
        </w:rPr>
        <w:t>(1972) 2 SCC 890</w:t>
      </w:r>
    </w:p>
    <w:sectPr w:rsidR="00E33EE8" w:rsidRPr="00EB3588"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5E36" w:rsidRDefault="000A5E36" w:rsidP="00C01EA2">
      <w:r>
        <w:separator/>
      </w:r>
    </w:p>
  </w:endnote>
  <w:endnote w:type="continuationSeparator" w:id="1">
    <w:p w:rsidR="000A5E36" w:rsidRDefault="000A5E36" w:rsidP="00C01EA2">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RupeeForadi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7772470"/>
      <w:docPartObj>
        <w:docPartGallery w:val="Page Numbers (Bottom of Page)"/>
        <w:docPartUnique/>
      </w:docPartObj>
    </w:sdtPr>
    <w:sdtContent>
      <w:p w:rsidR="00311460" w:rsidRPr="00C01EA2" w:rsidRDefault="00311460">
        <w:pPr>
          <w:pStyle w:val="Footer"/>
          <w:jc w:val="center"/>
          <w:rPr>
            <w:sz w:val="22"/>
            <w:szCs w:val="22"/>
          </w:rPr>
        </w:pPr>
        <w:r>
          <w:rPr>
            <w:sz w:val="22"/>
            <w:szCs w:val="22"/>
          </w:rPr>
          <w:t xml:space="preserve">                                                                 </w:t>
        </w:r>
        <w:r w:rsidRPr="00C01EA2">
          <w:rPr>
            <w:sz w:val="22"/>
            <w:szCs w:val="22"/>
          </w:rPr>
          <w:fldChar w:fldCharType="begin"/>
        </w:r>
        <w:r w:rsidRPr="00C01EA2">
          <w:rPr>
            <w:sz w:val="22"/>
            <w:szCs w:val="22"/>
          </w:rPr>
          <w:instrText xml:space="preserve"> PAGE   \* MERGEFORMAT </w:instrText>
        </w:r>
        <w:r w:rsidRPr="00C01EA2">
          <w:rPr>
            <w:sz w:val="22"/>
            <w:szCs w:val="22"/>
          </w:rPr>
          <w:fldChar w:fldCharType="separate"/>
        </w:r>
        <w:r w:rsidR="00EB3588">
          <w:rPr>
            <w:noProof/>
            <w:sz w:val="22"/>
            <w:szCs w:val="22"/>
          </w:rPr>
          <w:t>1</w:t>
        </w:r>
        <w:r w:rsidRPr="00C01EA2">
          <w:rPr>
            <w:sz w:val="22"/>
            <w:szCs w:val="22"/>
          </w:rPr>
          <w:fldChar w:fldCharType="end"/>
        </w:r>
        <w:r w:rsidRPr="00C01EA2">
          <w:rPr>
            <w:sz w:val="22"/>
            <w:szCs w:val="22"/>
          </w:rPr>
          <w:t xml:space="preserve">                        </w:t>
        </w:r>
        <w:r>
          <w:rPr>
            <w:sz w:val="22"/>
            <w:szCs w:val="22"/>
          </w:rPr>
          <w:t xml:space="preserve">         </w:t>
        </w:r>
        <w:r w:rsidRPr="00C01EA2">
          <w:rPr>
            <w:sz w:val="22"/>
            <w:szCs w:val="22"/>
          </w:rPr>
          <w:t xml:space="preserve">                </w:t>
        </w:r>
        <w:r>
          <w:rPr>
            <w:sz w:val="22"/>
            <w:szCs w:val="22"/>
          </w:rPr>
          <w:t xml:space="preserve">                    </w:t>
        </w:r>
        <w:r w:rsidRPr="00C01EA2">
          <w:rPr>
            <w:sz w:val="22"/>
            <w:szCs w:val="22"/>
          </w:rPr>
          <w:t xml:space="preserve">   SpotLaw</w:t>
        </w:r>
      </w:p>
    </w:sdtContent>
  </w:sdt>
  <w:p w:rsidR="00311460" w:rsidRPr="00C01EA2" w:rsidRDefault="00311460">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5E36" w:rsidRDefault="000A5E36" w:rsidP="00C01EA2">
      <w:r>
        <w:separator/>
      </w:r>
    </w:p>
  </w:footnote>
  <w:footnote w:type="continuationSeparator" w:id="1">
    <w:p w:rsidR="000A5E36" w:rsidRDefault="000A5E36" w:rsidP="00C01E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52115"/>
    <w:rsid w:val="0004230B"/>
    <w:rsid w:val="000A5E36"/>
    <w:rsid w:val="00131D5D"/>
    <w:rsid w:val="001D5BA8"/>
    <w:rsid w:val="001E62AD"/>
    <w:rsid w:val="001F535F"/>
    <w:rsid w:val="001F7470"/>
    <w:rsid w:val="0023429A"/>
    <w:rsid w:val="002A300F"/>
    <w:rsid w:val="002E2059"/>
    <w:rsid w:val="00311460"/>
    <w:rsid w:val="00316583"/>
    <w:rsid w:val="003F76E1"/>
    <w:rsid w:val="00417230"/>
    <w:rsid w:val="0047769C"/>
    <w:rsid w:val="00486871"/>
    <w:rsid w:val="005C07D9"/>
    <w:rsid w:val="00646B1F"/>
    <w:rsid w:val="00652115"/>
    <w:rsid w:val="00663E79"/>
    <w:rsid w:val="0067637F"/>
    <w:rsid w:val="006C7DA9"/>
    <w:rsid w:val="006F228C"/>
    <w:rsid w:val="007621FC"/>
    <w:rsid w:val="00765C76"/>
    <w:rsid w:val="007715EF"/>
    <w:rsid w:val="00773BB0"/>
    <w:rsid w:val="00790838"/>
    <w:rsid w:val="007E7663"/>
    <w:rsid w:val="007F5868"/>
    <w:rsid w:val="00890566"/>
    <w:rsid w:val="008C0489"/>
    <w:rsid w:val="008C3962"/>
    <w:rsid w:val="00912F56"/>
    <w:rsid w:val="009614DD"/>
    <w:rsid w:val="009B2C53"/>
    <w:rsid w:val="00A62FC2"/>
    <w:rsid w:val="00A65CF6"/>
    <w:rsid w:val="00AA49F1"/>
    <w:rsid w:val="00AC058C"/>
    <w:rsid w:val="00B12445"/>
    <w:rsid w:val="00B574A0"/>
    <w:rsid w:val="00B72A66"/>
    <w:rsid w:val="00BA4487"/>
    <w:rsid w:val="00BC7B8E"/>
    <w:rsid w:val="00BE116C"/>
    <w:rsid w:val="00BE4BF4"/>
    <w:rsid w:val="00C01EA2"/>
    <w:rsid w:val="00C80FB6"/>
    <w:rsid w:val="00CA2B0F"/>
    <w:rsid w:val="00D0485E"/>
    <w:rsid w:val="00D71747"/>
    <w:rsid w:val="00DB2509"/>
    <w:rsid w:val="00E33EE8"/>
    <w:rsid w:val="00E35387"/>
    <w:rsid w:val="00EB3588"/>
    <w:rsid w:val="00F57D58"/>
    <w:rsid w:val="00F85F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115"/>
    <w:pPr>
      <w:ind w:left="720"/>
      <w:contextualSpacing/>
    </w:pPr>
  </w:style>
  <w:style w:type="paragraph" w:styleId="Header">
    <w:name w:val="header"/>
    <w:basedOn w:val="Normal"/>
    <w:link w:val="HeaderChar"/>
    <w:uiPriority w:val="99"/>
    <w:semiHidden/>
    <w:unhideWhenUsed/>
    <w:rsid w:val="00C01EA2"/>
    <w:pPr>
      <w:tabs>
        <w:tab w:val="center" w:pos="4680"/>
        <w:tab w:val="right" w:pos="9360"/>
      </w:tabs>
    </w:pPr>
  </w:style>
  <w:style w:type="character" w:customStyle="1" w:styleId="HeaderChar">
    <w:name w:val="Header Char"/>
    <w:basedOn w:val="DefaultParagraphFont"/>
    <w:link w:val="Header"/>
    <w:uiPriority w:val="99"/>
    <w:semiHidden/>
    <w:rsid w:val="00C01EA2"/>
  </w:style>
  <w:style w:type="paragraph" w:styleId="Footer">
    <w:name w:val="footer"/>
    <w:basedOn w:val="Normal"/>
    <w:link w:val="FooterChar"/>
    <w:uiPriority w:val="99"/>
    <w:unhideWhenUsed/>
    <w:rsid w:val="00C01EA2"/>
    <w:pPr>
      <w:tabs>
        <w:tab w:val="center" w:pos="4680"/>
        <w:tab w:val="right" w:pos="9360"/>
      </w:tabs>
    </w:pPr>
  </w:style>
  <w:style w:type="character" w:customStyle="1" w:styleId="FooterChar">
    <w:name w:val="Footer Char"/>
    <w:basedOn w:val="DefaultParagraphFont"/>
    <w:link w:val="Footer"/>
    <w:uiPriority w:val="99"/>
    <w:rsid w:val="00C01EA2"/>
  </w:style>
  <w:style w:type="paragraph" w:styleId="NormalWeb">
    <w:name w:val="Normal (Web)"/>
    <w:basedOn w:val="Normal"/>
    <w:uiPriority w:val="99"/>
    <w:semiHidden/>
    <w:unhideWhenUsed/>
    <w:rsid w:val="008C3962"/>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6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14DD"/>
    <w:rPr>
      <w:rFonts w:ascii="Courier New" w:eastAsia="Times New Roman" w:hAnsi="Courier New" w:cs="Courier New"/>
      <w:sz w:val="20"/>
      <w:szCs w:val="20"/>
    </w:rPr>
  </w:style>
  <w:style w:type="character" w:customStyle="1" w:styleId="apple-converted-space">
    <w:name w:val="apple-converted-space"/>
    <w:basedOn w:val="DefaultParagraphFont"/>
    <w:rsid w:val="009614DD"/>
  </w:style>
  <w:style w:type="character" w:styleId="Hyperlink">
    <w:name w:val="Hyperlink"/>
    <w:basedOn w:val="DefaultParagraphFont"/>
    <w:uiPriority w:val="99"/>
    <w:semiHidden/>
    <w:unhideWhenUsed/>
    <w:rsid w:val="009614DD"/>
    <w:rPr>
      <w:color w:val="0000FF"/>
      <w:u w:val="single"/>
    </w:rPr>
  </w:style>
</w:styles>
</file>

<file path=word/webSettings.xml><?xml version="1.0" encoding="utf-8"?>
<w:webSettings xmlns:r="http://schemas.openxmlformats.org/officeDocument/2006/relationships" xmlns:w="http://schemas.openxmlformats.org/wordprocessingml/2006/main">
  <w:divs>
    <w:div w:id="48313071">
      <w:bodyDiv w:val="1"/>
      <w:marLeft w:val="0"/>
      <w:marRight w:val="0"/>
      <w:marTop w:val="0"/>
      <w:marBottom w:val="0"/>
      <w:divBdr>
        <w:top w:val="none" w:sz="0" w:space="0" w:color="auto"/>
        <w:left w:val="none" w:sz="0" w:space="0" w:color="auto"/>
        <w:bottom w:val="none" w:sz="0" w:space="0" w:color="auto"/>
        <w:right w:val="none" w:sz="0" w:space="0" w:color="auto"/>
      </w:divBdr>
      <w:divsChild>
        <w:div w:id="2039237053">
          <w:marLeft w:val="0"/>
          <w:marRight w:val="0"/>
          <w:marTop w:val="0"/>
          <w:marBottom w:val="150"/>
          <w:divBdr>
            <w:top w:val="none" w:sz="0" w:space="0" w:color="auto"/>
            <w:left w:val="none" w:sz="0" w:space="0" w:color="auto"/>
            <w:bottom w:val="none" w:sz="0" w:space="0" w:color="auto"/>
            <w:right w:val="none" w:sz="0" w:space="0" w:color="auto"/>
          </w:divBdr>
        </w:div>
        <w:div w:id="1934392432">
          <w:marLeft w:val="0"/>
          <w:marRight w:val="0"/>
          <w:marTop w:val="0"/>
          <w:marBottom w:val="75"/>
          <w:divBdr>
            <w:top w:val="none" w:sz="0" w:space="0" w:color="auto"/>
            <w:left w:val="none" w:sz="0" w:space="0" w:color="auto"/>
            <w:bottom w:val="none" w:sz="0" w:space="0" w:color="auto"/>
            <w:right w:val="none" w:sz="0" w:space="0" w:color="auto"/>
          </w:divBdr>
        </w:div>
      </w:divsChild>
    </w:div>
    <w:div w:id="1225873610">
      <w:bodyDiv w:val="1"/>
      <w:marLeft w:val="0"/>
      <w:marRight w:val="0"/>
      <w:marTop w:val="0"/>
      <w:marBottom w:val="0"/>
      <w:divBdr>
        <w:top w:val="none" w:sz="0" w:space="0" w:color="auto"/>
        <w:left w:val="none" w:sz="0" w:space="0" w:color="auto"/>
        <w:bottom w:val="none" w:sz="0" w:space="0" w:color="auto"/>
        <w:right w:val="none" w:sz="0" w:space="0" w:color="auto"/>
      </w:divBdr>
    </w:div>
    <w:div w:id="1349797171">
      <w:bodyDiv w:val="1"/>
      <w:marLeft w:val="0"/>
      <w:marRight w:val="0"/>
      <w:marTop w:val="0"/>
      <w:marBottom w:val="0"/>
      <w:divBdr>
        <w:top w:val="none" w:sz="0" w:space="0" w:color="auto"/>
        <w:left w:val="none" w:sz="0" w:space="0" w:color="auto"/>
        <w:bottom w:val="none" w:sz="0" w:space="0" w:color="auto"/>
        <w:right w:val="none" w:sz="0" w:space="0" w:color="auto"/>
      </w:divBdr>
      <w:divsChild>
        <w:div w:id="1737318382">
          <w:marLeft w:val="0"/>
          <w:marRight w:val="0"/>
          <w:marTop w:val="0"/>
          <w:marBottom w:val="150"/>
          <w:divBdr>
            <w:top w:val="none" w:sz="0" w:space="0" w:color="auto"/>
            <w:left w:val="none" w:sz="0" w:space="0" w:color="auto"/>
            <w:bottom w:val="none" w:sz="0" w:space="0" w:color="auto"/>
            <w:right w:val="none" w:sz="0" w:space="0" w:color="auto"/>
          </w:divBdr>
        </w:div>
        <w:div w:id="1394160389">
          <w:marLeft w:val="0"/>
          <w:marRight w:val="0"/>
          <w:marTop w:val="0"/>
          <w:marBottom w:val="75"/>
          <w:divBdr>
            <w:top w:val="none" w:sz="0" w:space="0" w:color="auto"/>
            <w:left w:val="none" w:sz="0" w:space="0" w:color="auto"/>
            <w:bottom w:val="none" w:sz="0" w:space="0" w:color="auto"/>
            <w:right w:val="none" w:sz="0" w:space="0" w:color="auto"/>
          </w:divBdr>
        </w:div>
      </w:divsChild>
    </w:div>
    <w:div w:id="1417555263">
      <w:bodyDiv w:val="1"/>
      <w:marLeft w:val="0"/>
      <w:marRight w:val="0"/>
      <w:marTop w:val="0"/>
      <w:marBottom w:val="0"/>
      <w:divBdr>
        <w:top w:val="none" w:sz="0" w:space="0" w:color="auto"/>
        <w:left w:val="none" w:sz="0" w:space="0" w:color="auto"/>
        <w:bottom w:val="none" w:sz="0" w:space="0" w:color="auto"/>
        <w:right w:val="none" w:sz="0" w:space="0" w:color="auto"/>
      </w:divBdr>
      <w:divsChild>
        <w:div w:id="983433988">
          <w:marLeft w:val="0"/>
          <w:marRight w:val="0"/>
          <w:marTop w:val="0"/>
          <w:marBottom w:val="150"/>
          <w:divBdr>
            <w:top w:val="none" w:sz="0" w:space="0" w:color="auto"/>
            <w:left w:val="none" w:sz="0" w:space="0" w:color="auto"/>
            <w:bottom w:val="none" w:sz="0" w:space="0" w:color="auto"/>
            <w:right w:val="none" w:sz="0" w:space="0" w:color="auto"/>
          </w:divBdr>
        </w:div>
        <w:div w:id="111995403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13</Pages>
  <Words>5816</Words>
  <Characters>33157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2016-06-22T11:07:00Z</cp:lastPrinted>
  <dcterms:created xsi:type="dcterms:W3CDTF">2016-06-22T12:22:00Z</dcterms:created>
  <dcterms:modified xsi:type="dcterms:W3CDTF">2016-06-22T12:22:00Z</dcterms:modified>
</cp:coreProperties>
</file>