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BF" w:rsidRDefault="00E21ABF" w:rsidP="00E21ABF">
      <w:pPr>
        <w:spacing w:after="0" w:line="240" w:lineRule="auto"/>
        <w:jc w:val="center"/>
        <w:rPr>
          <w:rFonts w:ascii="Times New Roman" w:hAnsi="Times New Roman" w:cs="Times New Roman"/>
          <w:b/>
          <w:sz w:val="25"/>
          <w:szCs w:val="25"/>
        </w:rPr>
      </w:pPr>
      <w:r w:rsidRPr="00E21ABF">
        <w:rPr>
          <w:rFonts w:ascii="Times New Roman" w:hAnsi="Times New Roman" w:cs="Times New Roman"/>
          <w:b/>
          <w:sz w:val="25"/>
          <w:szCs w:val="25"/>
        </w:rPr>
        <w:t>SUPREME COURT OF INDIA</w:t>
      </w:r>
    </w:p>
    <w:p w:rsidR="00E21ABF" w:rsidRPr="00E21ABF" w:rsidRDefault="00E21ABF" w:rsidP="00E21ABF">
      <w:pPr>
        <w:spacing w:after="0" w:line="240" w:lineRule="auto"/>
        <w:jc w:val="center"/>
        <w:rPr>
          <w:rFonts w:ascii="Times New Roman" w:hAnsi="Times New Roman" w:cs="Times New Roman"/>
          <w:b/>
          <w:sz w:val="25"/>
          <w:szCs w:val="25"/>
        </w:rPr>
      </w:pPr>
    </w:p>
    <w:p w:rsidR="00E21ABF" w:rsidRDefault="00E21ABF" w:rsidP="00E21ABF">
      <w:pPr>
        <w:spacing w:after="0" w:line="240" w:lineRule="auto"/>
        <w:jc w:val="center"/>
        <w:rPr>
          <w:rFonts w:ascii="Times New Roman" w:hAnsi="Times New Roman" w:cs="Times New Roman"/>
          <w:sz w:val="25"/>
          <w:szCs w:val="25"/>
        </w:rPr>
      </w:pPr>
      <w:r w:rsidRPr="00E21ABF">
        <w:rPr>
          <w:rFonts w:ascii="Times New Roman" w:hAnsi="Times New Roman" w:cs="Times New Roman"/>
          <w:sz w:val="25"/>
          <w:szCs w:val="25"/>
        </w:rPr>
        <w:t>Ira Basu Chowdhury &amp; Ors.</w:t>
      </w:r>
    </w:p>
    <w:p w:rsidR="00E21ABF" w:rsidRDefault="00E21ABF" w:rsidP="00E21ABF">
      <w:pPr>
        <w:spacing w:after="0" w:line="240" w:lineRule="auto"/>
        <w:jc w:val="center"/>
        <w:rPr>
          <w:rFonts w:ascii="Times New Roman" w:hAnsi="Times New Roman" w:cs="Times New Roman"/>
          <w:sz w:val="25"/>
          <w:szCs w:val="25"/>
        </w:rPr>
      </w:pPr>
    </w:p>
    <w:p w:rsidR="00E21ABF" w:rsidRDefault="00E21ABF" w:rsidP="00E21A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21ABF" w:rsidRPr="00E21ABF" w:rsidRDefault="00E21ABF" w:rsidP="00E21ABF">
      <w:pPr>
        <w:spacing w:after="0" w:line="240" w:lineRule="auto"/>
        <w:jc w:val="center"/>
        <w:rPr>
          <w:rFonts w:ascii="Times New Roman" w:hAnsi="Times New Roman" w:cs="Times New Roman"/>
          <w:sz w:val="25"/>
          <w:szCs w:val="25"/>
        </w:rPr>
      </w:pPr>
    </w:p>
    <w:p w:rsidR="00E21ABF" w:rsidRDefault="00E21ABF" w:rsidP="00E21ABF">
      <w:pPr>
        <w:spacing w:after="0" w:line="240" w:lineRule="auto"/>
        <w:jc w:val="center"/>
        <w:rPr>
          <w:rFonts w:ascii="Times New Roman" w:hAnsi="Times New Roman" w:cs="Times New Roman"/>
          <w:sz w:val="25"/>
          <w:szCs w:val="25"/>
        </w:rPr>
      </w:pPr>
      <w:r w:rsidRPr="00E21ABF">
        <w:rPr>
          <w:rFonts w:ascii="Times New Roman" w:hAnsi="Times New Roman" w:cs="Times New Roman"/>
          <w:sz w:val="25"/>
          <w:szCs w:val="25"/>
        </w:rPr>
        <w:t>Calcutta Metropolitan Dev.Auth. &amp; Ors</w:t>
      </w:r>
      <w:r>
        <w:rPr>
          <w:rFonts w:ascii="Times New Roman" w:hAnsi="Times New Roman" w:cs="Times New Roman"/>
          <w:sz w:val="25"/>
          <w:szCs w:val="25"/>
        </w:rPr>
        <w:t>.</w:t>
      </w:r>
    </w:p>
    <w:p w:rsidR="00E21ABF" w:rsidRDefault="00E21ABF" w:rsidP="00E21ABF">
      <w:pPr>
        <w:spacing w:after="0" w:line="240" w:lineRule="auto"/>
        <w:jc w:val="center"/>
        <w:rPr>
          <w:rFonts w:ascii="Times New Roman" w:hAnsi="Times New Roman" w:cs="Times New Roman"/>
          <w:sz w:val="25"/>
          <w:szCs w:val="25"/>
        </w:rPr>
      </w:pPr>
    </w:p>
    <w:p w:rsidR="00E21ABF" w:rsidRDefault="00E21ABF" w:rsidP="00E21A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C.A.No.2148 of</w:t>
      </w:r>
      <w:r w:rsidRPr="00E21ABF">
        <w:rPr>
          <w:rFonts w:ascii="Times New Roman" w:hAnsi="Times New Roman" w:cs="Times New Roman"/>
          <w:sz w:val="25"/>
          <w:szCs w:val="25"/>
        </w:rPr>
        <w:t xml:space="preserve"> 2006</w:t>
      </w:r>
    </w:p>
    <w:p w:rsidR="00E21ABF" w:rsidRPr="00E21ABF" w:rsidRDefault="00E21ABF" w:rsidP="00E21ABF">
      <w:pPr>
        <w:spacing w:after="0" w:line="240" w:lineRule="auto"/>
        <w:jc w:val="center"/>
        <w:rPr>
          <w:rFonts w:ascii="Times New Roman" w:hAnsi="Times New Roman" w:cs="Times New Roman"/>
          <w:sz w:val="25"/>
          <w:szCs w:val="25"/>
        </w:rPr>
      </w:pPr>
    </w:p>
    <w:p w:rsidR="00E21ABF" w:rsidRDefault="00E21ABF" w:rsidP="00E21A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E21ABF" w:rsidRDefault="00E21ABF" w:rsidP="00E21ABF">
      <w:pPr>
        <w:spacing w:after="0" w:line="240" w:lineRule="auto"/>
        <w:jc w:val="center"/>
        <w:rPr>
          <w:rFonts w:ascii="Times New Roman" w:hAnsi="Times New Roman" w:cs="Times New Roman"/>
          <w:sz w:val="25"/>
          <w:szCs w:val="25"/>
        </w:rPr>
      </w:pPr>
    </w:p>
    <w:p w:rsidR="00E21ABF" w:rsidRDefault="00E21ABF" w:rsidP="00E21A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20.01.2016</w:t>
      </w:r>
    </w:p>
    <w:p w:rsidR="00E21ABF" w:rsidRDefault="00E21ABF" w:rsidP="00E21ABF">
      <w:pPr>
        <w:spacing w:after="0" w:line="240" w:lineRule="auto"/>
        <w:jc w:val="center"/>
        <w:rPr>
          <w:rFonts w:ascii="Times New Roman" w:hAnsi="Times New Roman" w:cs="Times New Roman"/>
          <w:sz w:val="25"/>
          <w:szCs w:val="25"/>
        </w:rPr>
      </w:pPr>
    </w:p>
    <w:p w:rsidR="00E21ABF" w:rsidRDefault="00E21ABF" w:rsidP="00E21ABF">
      <w:pPr>
        <w:spacing w:after="0" w:line="240" w:lineRule="auto"/>
        <w:jc w:val="center"/>
        <w:rPr>
          <w:rFonts w:ascii="Times New Roman" w:hAnsi="Times New Roman" w:cs="Times New Roman"/>
          <w:b/>
          <w:sz w:val="25"/>
          <w:szCs w:val="25"/>
        </w:rPr>
      </w:pPr>
      <w:r w:rsidRPr="00E21ABF">
        <w:rPr>
          <w:rFonts w:ascii="Times New Roman" w:hAnsi="Times New Roman" w:cs="Times New Roman"/>
          <w:b/>
          <w:sz w:val="25"/>
          <w:szCs w:val="25"/>
        </w:rPr>
        <w:t>JUDGMENT</w:t>
      </w:r>
    </w:p>
    <w:p w:rsidR="00E21ABF" w:rsidRPr="00E21ABF" w:rsidRDefault="00E21ABF" w:rsidP="00E21ABF">
      <w:pPr>
        <w:spacing w:after="0" w:line="240" w:lineRule="auto"/>
        <w:jc w:val="both"/>
        <w:rPr>
          <w:rFonts w:ascii="Times New Roman" w:hAnsi="Times New Roman" w:cs="Times New Roman"/>
          <w:b/>
          <w:sz w:val="25"/>
          <w:szCs w:val="25"/>
        </w:rPr>
      </w:pPr>
    </w:p>
    <w:p w:rsidR="00E21ABF" w:rsidRDefault="00E21ABF" w:rsidP="00E21ABF">
      <w:pPr>
        <w:spacing w:after="0" w:line="240" w:lineRule="auto"/>
        <w:jc w:val="both"/>
        <w:rPr>
          <w:rFonts w:ascii="Times New Roman" w:hAnsi="Times New Roman" w:cs="Times New Roman"/>
          <w:b/>
          <w:sz w:val="25"/>
          <w:szCs w:val="25"/>
        </w:rPr>
      </w:pPr>
      <w:r w:rsidRPr="00E21ABF">
        <w:rPr>
          <w:rFonts w:ascii="Times New Roman" w:hAnsi="Times New Roman" w:cs="Times New Roman"/>
          <w:b/>
          <w:sz w:val="25"/>
          <w:szCs w:val="25"/>
        </w:rPr>
        <w:t>Kurian Joseph, J.</w:t>
      </w:r>
    </w:p>
    <w:p w:rsidR="00E21ABF" w:rsidRPr="00E21ABF" w:rsidRDefault="00E21ABF" w:rsidP="00E21ABF">
      <w:pPr>
        <w:spacing w:after="0" w:line="240" w:lineRule="auto"/>
        <w:jc w:val="both"/>
        <w:rPr>
          <w:rFonts w:ascii="Times New Roman" w:hAnsi="Times New Roman" w:cs="Times New Roman"/>
          <w:b/>
          <w:sz w:val="25"/>
          <w:szCs w:val="25"/>
        </w:rPr>
      </w:pPr>
    </w:p>
    <w:p w:rsidR="00E21ABF" w:rsidRDefault="00E21ABF" w:rsidP="00E21A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21ABF">
        <w:rPr>
          <w:rFonts w:ascii="Times New Roman" w:hAnsi="Times New Roman" w:cs="Times New Roman"/>
          <w:sz w:val="25"/>
          <w:szCs w:val="25"/>
        </w:rPr>
        <w:t>The appellants are essentially aggrieved by the interference made by the High Court on the land value fixed by the Reference Court on the ground that the Requisitioning Authority was not put to notice while the Refere</w:t>
      </w:r>
      <w:r>
        <w:rPr>
          <w:rFonts w:ascii="Times New Roman" w:hAnsi="Times New Roman" w:cs="Times New Roman"/>
          <w:sz w:val="25"/>
          <w:szCs w:val="25"/>
        </w:rPr>
        <w:t xml:space="preserve">nce Court fixed the land value. </w:t>
      </w:r>
      <w:r w:rsidRPr="00E21ABF">
        <w:rPr>
          <w:rFonts w:ascii="Times New Roman" w:hAnsi="Times New Roman" w:cs="Times New Roman"/>
          <w:sz w:val="25"/>
          <w:szCs w:val="25"/>
        </w:rPr>
        <w:t>Mr. Jaideep Gupta, learned senior counsel appearing for the appellants, has invited our attention that in any case, the Requisitioning Authority may not have any difficulty in accepting the land value at the rate of Rs. 10,000/- per cottah, since the said value has been accepted by the first respondent in LRA Case No. 363/93(v) in respect of the adjoining land.</w:t>
      </w:r>
    </w:p>
    <w:p w:rsidR="00E21ABF" w:rsidRPr="00E21ABF" w:rsidRDefault="00E21ABF" w:rsidP="00E21ABF">
      <w:pPr>
        <w:spacing w:after="0" w:line="240" w:lineRule="auto"/>
        <w:jc w:val="both"/>
        <w:rPr>
          <w:rFonts w:ascii="Times New Roman" w:hAnsi="Times New Roman" w:cs="Times New Roman"/>
          <w:sz w:val="25"/>
          <w:szCs w:val="25"/>
        </w:rPr>
      </w:pPr>
    </w:p>
    <w:p w:rsidR="00E21ABF" w:rsidRDefault="00E21ABF" w:rsidP="00E21A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21ABF">
        <w:rPr>
          <w:rFonts w:ascii="Times New Roman" w:hAnsi="Times New Roman" w:cs="Times New Roman"/>
          <w:sz w:val="25"/>
          <w:szCs w:val="25"/>
        </w:rPr>
        <w:t>In our opinion, this is certainly a matter for the Reference Court to consider while disposing of the case as per the direction issued by the High Court in the impugned Judgment.</w:t>
      </w:r>
    </w:p>
    <w:p w:rsidR="00E21ABF" w:rsidRPr="00E21ABF" w:rsidRDefault="00E21ABF" w:rsidP="00E21ABF">
      <w:pPr>
        <w:spacing w:after="0" w:line="240" w:lineRule="auto"/>
        <w:jc w:val="both"/>
        <w:rPr>
          <w:rFonts w:ascii="Times New Roman" w:hAnsi="Times New Roman" w:cs="Times New Roman"/>
          <w:sz w:val="25"/>
          <w:szCs w:val="25"/>
        </w:rPr>
      </w:pPr>
    </w:p>
    <w:p w:rsidR="00E21ABF" w:rsidRDefault="00E21ABF" w:rsidP="00E21A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21ABF">
        <w:rPr>
          <w:rFonts w:ascii="Times New Roman" w:hAnsi="Times New Roman" w:cs="Times New Roman"/>
          <w:sz w:val="25"/>
          <w:szCs w:val="25"/>
        </w:rPr>
        <w:t xml:space="preserve">In order to avoid </w:t>
      </w:r>
      <w:r>
        <w:rPr>
          <w:rFonts w:ascii="Times New Roman" w:hAnsi="Times New Roman" w:cs="Times New Roman"/>
          <w:sz w:val="25"/>
          <w:szCs w:val="25"/>
        </w:rPr>
        <w:t>further</w:t>
      </w:r>
      <w:r w:rsidRPr="00E21ABF">
        <w:rPr>
          <w:rFonts w:ascii="Times New Roman" w:hAnsi="Times New Roman" w:cs="Times New Roman"/>
          <w:sz w:val="25"/>
          <w:szCs w:val="25"/>
        </w:rPr>
        <w:t xml:space="preserve"> delay, we direct the parties to appear before the Reference Court on 15.02.2016.</w:t>
      </w:r>
    </w:p>
    <w:p w:rsidR="00E21ABF" w:rsidRPr="00E21ABF" w:rsidRDefault="00E21ABF" w:rsidP="00E21ABF">
      <w:pPr>
        <w:spacing w:after="0" w:line="240" w:lineRule="auto"/>
        <w:jc w:val="both"/>
        <w:rPr>
          <w:rFonts w:ascii="Times New Roman" w:hAnsi="Times New Roman" w:cs="Times New Roman"/>
          <w:sz w:val="25"/>
          <w:szCs w:val="25"/>
        </w:rPr>
      </w:pPr>
    </w:p>
    <w:p w:rsidR="00E21ABF" w:rsidRDefault="00E21ABF" w:rsidP="00E21A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21ABF">
        <w:rPr>
          <w:rFonts w:ascii="Times New Roman" w:hAnsi="Times New Roman" w:cs="Times New Roman"/>
          <w:sz w:val="25"/>
          <w:szCs w:val="25"/>
        </w:rPr>
        <w:t>In view of the above, this civil appeal is disposed of with a direction to the Reference Court to dispose of the reference in accordance with law within a period of two months from the date mentioned above.</w:t>
      </w:r>
    </w:p>
    <w:p w:rsidR="00E21ABF" w:rsidRPr="00E21ABF" w:rsidRDefault="00E21ABF" w:rsidP="00E21ABF">
      <w:pPr>
        <w:spacing w:after="0" w:line="240" w:lineRule="auto"/>
        <w:jc w:val="both"/>
        <w:rPr>
          <w:rFonts w:ascii="Times New Roman" w:hAnsi="Times New Roman" w:cs="Times New Roman"/>
          <w:sz w:val="25"/>
          <w:szCs w:val="25"/>
        </w:rPr>
      </w:pPr>
    </w:p>
    <w:p w:rsidR="00E21ABF" w:rsidRPr="00E21ABF" w:rsidRDefault="00E21ABF" w:rsidP="00E21A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21ABF">
        <w:rPr>
          <w:rFonts w:ascii="Times New Roman" w:hAnsi="Times New Roman" w:cs="Times New Roman"/>
          <w:sz w:val="25"/>
          <w:szCs w:val="25"/>
        </w:rPr>
        <w:t>There shall be no order as to costs.</w:t>
      </w:r>
    </w:p>
    <w:sectPr w:rsidR="00E21ABF" w:rsidRPr="00E21ABF" w:rsidSect="00BD313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62B" w:rsidRDefault="0042062B" w:rsidP="00E21ABF">
      <w:pPr>
        <w:spacing w:after="0" w:line="240" w:lineRule="auto"/>
      </w:pPr>
      <w:r>
        <w:separator/>
      </w:r>
    </w:p>
  </w:endnote>
  <w:endnote w:type="continuationSeparator" w:id="1">
    <w:p w:rsidR="0042062B" w:rsidRDefault="0042062B" w:rsidP="00E21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604686"/>
      <w:docPartObj>
        <w:docPartGallery w:val="Page Numbers (Bottom of Page)"/>
        <w:docPartUnique/>
      </w:docPartObj>
    </w:sdtPr>
    <w:sdtContent>
      <w:p w:rsidR="00E21ABF" w:rsidRPr="00E21ABF" w:rsidRDefault="00E21ABF">
        <w:pPr>
          <w:pStyle w:val="Footer"/>
          <w:jc w:val="center"/>
          <w:rPr>
            <w:rFonts w:ascii="Times New Roman" w:hAnsi="Times New Roman" w:cs="Times New Roman"/>
          </w:rPr>
        </w:pPr>
        <w:r w:rsidRPr="00E21ABF">
          <w:rPr>
            <w:rFonts w:ascii="Times New Roman" w:hAnsi="Times New Roman" w:cs="Times New Roman"/>
          </w:rPr>
          <w:t xml:space="preserve">                                                                  </w:t>
        </w:r>
        <w:r w:rsidRPr="00E21ABF">
          <w:rPr>
            <w:rFonts w:ascii="Times New Roman" w:hAnsi="Times New Roman" w:cs="Times New Roman"/>
          </w:rPr>
          <w:fldChar w:fldCharType="begin"/>
        </w:r>
        <w:r w:rsidRPr="00E21ABF">
          <w:rPr>
            <w:rFonts w:ascii="Times New Roman" w:hAnsi="Times New Roman" w:cs="Times New Roman"/>
          </w:rPr>
          <w:instrText xml:space="preserve"> PAGE   \* MERGEFORMAT </w:instrText>
        </w:r>
        <w:r w:rsidRPr="00E21ABF">
          <w:rPr>
            <w:rFonts w:ascii="Times New Roman" w:hAnsi="Times New Roman" w:cs="Times New Roman"/>
          </w:rPr>
          <w:fldChar w:fldCharType="separate"/>
        </w:r>
        <w:r>
          <w:rPr>
            <w:rFonts w:ascii="Times New Roman" w:hAnsi="Times New Roman" w:cs="Times New Roman"/>
            <w:noProof/>
          </w:rPr>
          <w:t>1</w:t>
        </w:r>
        <w:r w:rsidRPr="00E21ABF">
          <w:rPr>
            <w:rFonts w:ascii="Times New Roman" w:hAnsi="Times New Roman" w:cs="Times New Roman"/>
          </w:rPr>
          <w:fldChar w:fldCharType="end"/>
        </w:r>
        <w:r w:rsidRPr="00E21ABF">
          <w:rPr>
            <w:rFonts w:ascii="Times New Roman" w:hAnsi="Times New Roman" w:cs="Times New Roman"/>
          </w:rPr>
          <w:t xml:space="preserve">                  </w:t>
        </w:r>
        <w:r>
          <w:rPr>
            <w:rFonts w:ascii="Times New Roman" w:hAnsi="Times New Roman" w:cs="Times New Roman"/>
          </w:rPr>
          <w:t xml:space="preserve">      </w:t>
        </w:r>
        <w:r w:rsidRPr="00E21ABF">
          <w:rPr>
            <w:rFonts w:ascii="Times New Roman" w:hAnsi="Times New Roman" w:cs="Times New Roman"/>
          </w:rPr>
          <w:t xml:space="preserve">              </w:t>
        </w:r>
        <w:r>
          <w:rPr>
            <w:rFonts w:ascii="Times New Roman" w:hAnsi="Times New Roman" w:cs="Times New Roman"/>
          </w:rPr>
          <w:t xml:space="preserve">  </w:t>
        </w:r>
        <w:r w:rsidRPr="00E21ABF">
          <w:rPr>
            <w:rFonts w:ascii="Times New Roman" w:hAnsi="Times New Roman" w:cs="Times New Roman"/>
          </w:rPr>
          <w:t xml:space="preserve">      </w:t>
        </w:r>
        <w:r>
          <w:rPr>
            <w:rFonts w:ascii="Times New Roman" w:hAnsi="Times New Roman" w:cs="Times New Roman"/>
          </w:rPr>
          <w:t xml:space="preserve">           </w:t>
        </w:r>
        <w:r w:rsidRPr="00E21ABF">
          <w:rPr>
            <w:rFonts w:ascii="Times New Roman" w:hAnsi="Times New Roman" w:cs="Times New Roman"/>
          </w:rPr>
          <w:t xml:space="preserve">                  SpotLaw</w:t>
        </w:r>
      </w:p>
    </w:sdtContent>
  </w:sdt>
  <w:p w:rsidR="00E21ABF" w:rsidRPr="00E21ABF" w:rsidRDefault="00E21ABF">
    <w:pPr>
      <w:pStyle w:val="Footer"/>
      <w:rPr>
        <w:rFonts w:ascii="Times New Roman" w:hAnsi="Times New Roman" w:cs="Times New Roman"/>
      </w:rPr>
    </w:pPr>
    <w:r w:rsidRPr="00E21ABF">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62B" w:rsidRDefault="0042062B" w:rsidP="00E21ABF">
      <w:pPr>
        <w:spacing w:after="0" w:line="240" w:lineRule="auto"/>
      </w:pPr>
      <w:r>
        <w:separator/>
      </w:r>
    </w:p>
  </w:footnote>
  <w:footnote w:type="continuationSeparator" w:id="1">
    <w:p w:rsidR="0042062B" w:rsidRDefault="0042062B" w:rsidP="00E21A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1ABF"/>
    <w:rsid w:val="00412DA4"/>
    <w:rsid w:val="0042062B"/>
    <w:rsid w:val="00A02AF8"/>
    <w:rsid w:val="00BD3138"/>
    <w:rsid w:val="00E21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ABF"/>
    <w:pPr>
      <w:ind w:left="720"/>
      <w:contextualSpacing/>
    </w:pPr>
  </w:style>
  <w:style w:type="paragraph" w:styleId="Header">
    <w:name w:val="header"/>
    <w:basedOn w:val="Normal"/>
    <w:link w:val="HeaderChar"/>
    <w:uiPriority w:val="99"/>
    <w:semiHidden/>
    <w:unhideWhenUsed/>
    <w:rsid w:val="00E21A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1ABF"/>
  </w:style>
  <w:style w:type="paragraph" w:styleId="Footer">
    <w:name w:val="footer"/>
    <w:basedOn w:val="Normal"/>
    <w:link w:val="FooterChar"/>
    <w:uiPriority w:val="99"/>
    <w:unhideWhenUsed/>
    <w:rsid w:val="00E21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2016-01-21T11:23:00Z</dcterms:created>
  <dcterms:modified xsi:type="dcterms:W3CDTF">2016-01-21T11:26:00Z</dcterms:modified>
</cp:coreProperties>
</file>