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CA7" w:rsidRPr="00235CA7" w:rsidRDefault="00235CA7" w:rsidP="00235CA7">
      <w:pPr>
        <w:spacing w:after="0" w:line="240" w:lineRule="auto"/>
        <w:jc w:val="center"/>
        <w:rPr>
          <w:rFonts w:ascii="Times New Roman" w:hAnsi="Times New Roman" w:cs="Times New Roman"/>
          <w:b/>
          <w:sz w:val="25"/>
          <w:szCs w:val="25"/>
        </w:rPr>
      </w:pPr>
      <w:r w:rsidRPr="00235CA7">
        <w:rPr>
          <w:rFonts w:ascii="Times New Roman" w:hAnsi="Times New Roman" w:cs="Times New Roman"/>
          <w:b/>
          <w:sz w:val="25"/>
          <w:szCs w:val="25"/>
        </w:rPr>
        <w:t>SUPREME COURT OF INDIA</w:t>
      </w:r>
    </w:p>
    <w:p w:rsidR="00235CA7" w:rsidRPr="00235CA7" w:rsidRDefault="00235CA7" w:rsidP="00235CA7">
      <w:pPr>
        <w:spacing w:after="0" w:line="240" w:lineRule="auto"/>
        <w:jc w:val="center"/>
        <w:rPr>
          <w:rFonts w:ascii="Times New Roman" w:hAnsi="Times New Roman" w:cs="Times New Roman"/>
          <w:b/>
          <w:sz w:val="25"/>
          <w:szCs w:val="25"/>
        </w:rPr>
      </w:pPr>
    </w:p>
    <w:p w:rsidR="00235CA7" w:rsidRPr="00235CA7" w:rsidRDefault="00235CA7" w:rsidP="00235CA7">
      <w:pPr>
        <w:spacing w:after="0" w:line="240" w:lineRule="auto"/>
        <w:jc w:val="center"/>
        <w:rPr>
          <w:rFonts w:ascii="Times New Roman" w:hAnsi="Times New Roman" w:cs="Times New Roman"/>
          <w:sz w:val="25"/>
          <w:szCs w:val="25"/>
        </w:rPr>
      </w:pPr>
      <w:r w:rsidRPr="00235CA7">
        <w:rPr>
          <w:rFonts w:ascii="Times New Roman" w:hAnsi="Times New Roman" w:cs="Times New Roman"/>
          <w:sz w:val="25"/>
          <w:szCs w:val="25"/>
        </w:rPr>
        <w:t>The Kelvin Jute Co.Ltd.Wors.P.F.&amp; Ors.</w:t>
      </w:r>
    </w:p>
    <w:p w:rsidR="00235CA7" w:rsidRPr="00235CA7" w:rsidRDefault="00235CA7" w:rsidP="00235CA7">
      <w:pPr>
        <w:spacing w:after="0" w:line="240" w:lineRule="auto"/>
        <w:jc w:val="center"/>
        <w:rPr>
          <w:rFonts w:ascii="Times New Roman" w:hAnsi="Times New Roman" w:cs="Times New Roman"/>
          <w:sz w:val="25"/>
          <w:szCs w:val="25"/>
        </w:rPr>
      </w:pPr>
    </w:p>
    <w:p w:rsidR="00235CA7" w:rsidRPr="00235CA7" w:rsidRDefault="00235CA7" w:rsidP="00235CA7">
      <w:pPr>
        <w:spacing w:after="0" w:line="240" w:lineRule="auto"/>
        <w:jc w:val="center"/>
        <w:rPr>
          <w:rFonts w:ascii="Times New Roman" w:hAnsi="Times New Roman" w:cs="Times New Roman"/>
          <w:sz w:val="25"/>
          <w:szCs w:val="25"/>
        </w:rPr>
      </w:pPr>
      <w:r w:rsidRPr="00235CA7">
        <w:rPr>
          <w:rFonts w:ascii="Times New Roman" w:hAnsi="Times New Roman" w:cs="Times New Roman"/>
          <w:sz w:val="25"/>
          <w:szCs w:val="25"/>
        </w:rPr>
        <w:t>Vs.</w:t>
      </w:r>
    </w:p>
    <w:p w:rsidR="00235CA7" w:rsidRPr="00235CA7" w:rsidRDefault="00235CA7" w:rsidP="00235CA7">
      <w:pPr>
        <w:spacing w:after="0" w:line="240" w:lineRule="auto"/>
        <w:jc w:val="center"/>
        <w:rPr>
          <w:rFonts w:ascii="Times New Roman" w:hAnsi="Times New Roman" w:cs="Times New Roman"/>
          <w:sz w:val="25"/>
          <w:szCs w:val="25"/>
        </w:rPr>
      </w:pPr>
    </w:p>
    <w:p w:rsidR="00235CA7" w:rsidRPr="00235CA7" w:rsidRDefault="00235CA7" w:rsidP="00235CA7">
      <w:pPr>
        <w:spacing w:after="0" w:line="240" w:lineRule="auto"/>
        <w:jc w:val="center"/>
        <w:rPr>
          <w:rFonts w:ascii="Times New Roman" w:hAnsi="Times New Roman" w:cs="Times New Roman"/>
          <w:sz w:val="25"/>
          <w:szCs w:val="25"/>
        </w:rPr>
      </w:pPr>
      <w:r w:rsidRPr="00235CA7">
        <w:rPr>
          <w:rFonts w:ascii="Times New Roman" w:hAnsi="Times New Roman" w:cs="Times New Roman"/>
          <w:sz w:val="25"/>
          <w:szCs w:val="25"/>
        </w:rPr>
        <w:t>Krishna Kumar Agarwala &amp; Ors.</w:t>
      </w:r>
    </w:p>
    <w:p w:rsidR="00235CA7" w:rsidRPr="00235CA7" w:rsidRDefault="00235CA7" w:rsidP="00235CA7">
      <w:pPr>
        <w:spacing w:after="0" w:line="240" w:lineRule="auto"/>
        <w:jc w:val="center"/>
        <w:rPr>
          <w:rFonts w:ascii="Times New Roman" w:hAnsi="Times New Roman" w:cs="Times New Roman"/>
          <w:sz w:val="25"/>
          <w:szCs w:val="25"/>
        </w:rPr>
      </w:pPr>
    </w:p>
    <w:p w:rsidR="00235CA7" w:rsidRPr="00235CA7" w:rsidRDefault="00235CA7" w:rsidP="00235CA7">
      <w:pPr>
        <w:spacing w:after="0" w:line="240" w:lineRule="auto"/>
        <w:jc w:val="center"/>
        <w:rPr>
          <w:rFonts w:ascii="Times New Roman" w:hAnsi="Times New Roman" w:cs="Times New Roman"/>
          <w:sz w:val="25"/>
          <w:szCs w:val="25"/>
        </w:rPr>
      </w:pPr>
      <w:r w:rsidRPr="00235CA7">
        <w:rPr>
          <w:rFonts w:ascii="Times New Roman" w:hAnsi="Times New Roman" w:cs="Times New Roman"/>
          <w:sz w:val="25"/>
          <w:szCs w:val="25"/>
        </w:rPr>
        <w:t>C.A.No.2591 of 2006</w:t>
      </w:r>
    </w:p>
    <w:p w:rsidR="00235CA7" w:rsidRPr="00235CA7" w:rsidRDefault="00235CA7" w:rsidP="00235CA7">
      <w:pPr>
        <w:spacing w:after="0" w:line="240" w:lineRule="auto"/>
        <w:jc w:val="center"/>
        <w:rPr>
          <w:rFonts w:ascii="Times New Roman" w:hAnsi="Times New Roman" w:cs="Times New Roman"/>
          <w:sz w:val="25"/>
          <w:szCs w:val="25"/>
        </w:rPr>
      </w:pPr>
    </w:p>
    <w:p w:rsidR="00235CA7" w:rsidRPr="00235CA7" w:rsidRDefault="00235CA7" w:rsidP="00235CA7">
      <w:pPr>
        <w:spacing w:after="0" w:line="240" w:lineRule="auto"/>
        <w:jc w:val="center"/>
        <w:rPr>
          <w:rFonts w:ascii="Times New Roman" w:hAnsi="Times New Roman" w:cs="Times New Roman"/>
          <w:sz w:val="25"/>
          <w:szCs w:val="25"/>
        </w:rPr>
      </w:pPr>
      <w:r w:rsidRPr="00235CA7">
        <w:rPr>
          <w:rFonts w:ascii="Times New Roman" w:hAnsi="Times New Roman" w:cs="Times New Roman"/>
          <w:sz w:val="25"/>
          <w:szCs w:val="25"/>
        </w:rPr>
        <w:t>(Kurian Joseph and R.F.Nariman,JJ.)</w:t>
      </w:r>
    </w:p>
    <w:p w:rsidR="00235CA7" w:rsidRPr="00235CA7" w:rsidRDefault="00235CA7" w:rsidP="00235CA7">
      <w:pPr>
        <w:spacing w:after="0" w:line="240" w:lineRule="auto"/>
        <w:jc w:val="center"/>
        <w:rPr>
          <w:rFonts w:ascii="Times New Roman" w:hAnsi="Times New Roman" w:cs="Times New Roman"/>
          <w:sz w:val="25"/>
          <w:szCs w:val="25"/>
        </w:rPr>
      </w:pPr>
    </w:p>
    <w:p w:rsidR="00235CA7" w:rsidRPr="00235CA7" w:rsidRDefault="00235CA7" w:rsidP="00235CA7">
      <w:pPr>
        <w:spacing w:after="0" w:line="240" w:lineRule="auto"/>
        <w:jc w:val="center"/>
        <w:rPr>
          <w:rFonts w:ascii="Times New Roman" w:hAnsi="Times New Roman" w:cs="Times New Roman"/>
          <w:sz w:val="25"/>
          <w:szCs w:val="25"/>
        </w:rPr>
      </w:pPr>
      <w:r w:rsidRPr="00235CA7">
        <w:rPr>
          <w:rFonts w:ascii="Times New Roman" w:hAnsi="Times New Roman" w:cs="Times New Roman"/>
          <w:sz w:val="25"/>
          <w:szCs w:val="25"/>
        </w:rPr>
        <w:t>21.01.2016</w:t>
      </w:r>
    </w:p>
    <w:p w:rsidR="00235CA7" w:rsidRPr="00235CA7" w:rsidRDefault="00235CA7" w:rsidP="00235CA7">
      <w:pPr>
        <w:spacing w:after="0" w:line="240" w:lineRule="auto"/>
        <w:jc w:val="center"/>
        <w:rPr>
          <w:rFonts w:ascii="Times New Roman" w:hAnsi="Times New Roman" w:cs="Times New Roman"/>
          <w:sz w:val="25"/>
          <w:szCs w:val="25"/>
        </w:rPr>
      </w:pPr>
    </w:p>
    <w:p w:rsidR="00235CA7" w:rsidRPr="00235CA7" w:rsidRDefault="00235CA7" w:rsidP="00235CA7">
      <w:pPr>
        <w:spacing w:after="0" w:line="240" w:lineRule="auto"/>
        <w:jc w:val="center"/>
        <w:rPr>
          <w:rFonts w:ascii="Times New Roman" w:hAnsi="Times New Roman" w:cs="Times New Roman"/>
          <w:b/>
          <w:sz w:val="25"/>
          <w:szCs w:val="25"/>
        </w:rPr>
      </w:pPr>
      <w:r w:rsidRPr="00235CA7">
        <w:rPr>
          <w:rFonts w:ascii="Times New Roman" w:hAnsi="Times New Roman" w:cs="Times New Roman"/>
          <w:b/>
          <w:sz w:val="25"/>
          <w:szCs w:val="25"/>
        </w:rPr>
        <w:t>JUDGMENT</w:t>
      </w:r>
    </w:p>
    <w:p w:rsidR="00235CA7" w:rsidRPr="00235CA7" w:rsidRDefault="00235CA7" w:rsidP="00235CA7">
      <w:pPr>
        <w:spacing w:after="0" w:line="240" w:lineRule="auto"/>
        <w:jc w:val="both"/>
        <w:rPr>
          <w:rFonts w:ascii="Times New Roman" w:hAnsi="Times New Roman" w:cs="Times New Roman"/>
          <w:b/>
          <w:sz w:val="25"/>
          <w:szCs w:val="25"/>
        </w:rPr>
      </w:pPr>
    </w:p>
    <w:p w:rsidR="00235CA7" w:rsidRPr="00235CA7" w:rsidRDefault="00235CA7" w:rsidP="00235CA7">
      <w:pPr>
        <w:spacing w:after="0" w:line="240" w:lineRule="auto"/>
        <w:jc w:val="both"/>
        <w:rPr>
          <w:rFonts w:ascii="Times New Roman" w:hAnsi="Times New Roman" w:cs="Times New Roman"/>
          <w:b/>
          <w:sz w:val="25"/>
          <w:szCs w:val="25"/>
        </w:rPr>
      </w:pPr>
      <w:r w:rsidRPr="00235CA7">
        <w:rPr>
          <w:rFonts w:ascii="Times New Roman" w:hAnsi="Times New Roman" w:cs="Times New Roman"/>
          <w:b/>
          <w:sz w:val="25"/>
          <w:szCs w:val="25"/>
        </w:rPr>
        <w:t>Kurian Joseph, J.</w:t>
      </w:r>
    </w:p>
    <w:p w:rsidR="00235CA7" w:rsidRPr="00235CA7" w:rsidRDefault="00235CA7" w:rsidP="00235CA7">
      <w:pPr>
        <w:spacing w:after="0" w:line="240" w:lineRule="auto"/>
        <w:jc w:val="both"/>
        <w:rPr>
          <w:rFonts w:ascii="Times New Roman" w:hAnsi="Times New Roman" w:cs="Times New Roman"/>
          <w:b/>
          <w:sz w:val="25"/>
          <w:szCs w:val="25"/>
        </w:rPr>
      </w:pPr>
    </w:p>
    <w:p w:rsidR="00235CA7" w:rsidRDefault="00235CA7" w:rsidP="00235CA7">
      <w:pPr>
        <w:spacing w:after="0" w:line="240" w:lineRule="auto"/>
        <w:jc w:val="both"/>
        <w:rPr>
          <w:rFonts w:ascii="Times New Roman" w:hAnsi="Times New Roman" w:cs="Times New Roman"/>
          <w:sz w:val="25"/>
          <w:szCs w:val="25"/>
        </w:rPr>
      </w:pPr>
      <w:r w:rsidRPr="00235CA7">
        <w:rPr>
          <w:rFonts w:ascii="Times New Roman" w:hAnsi="Times New Roman" w:cs="Times New Roman"/>
          <w:sz w:val="25"/>
          <w:szCs w:val="25"/>
        </w:rPr>
        <w:t>1.  After having extensively heard Mr. Dushyant Dave and Mr. Jayant Bhushan, learned senior counsel appearing for the appellants and Mr. Sudhir Chandra,</w:t>
      </w:r>
      <w:r>
        <w:rPr>
          <w:rFonts w:ascii="Times New Roman" w:hAnsi="Times New Roman" w:cs="Times New Roman"/>
          <w:sz w:val="25"/>
          <w:szCs w:val="25"/>
        </w:rPr>
        <w:t xml:space="preserve"> </w:t>
      </w:r>
      <w:r w:rsidRPr="00235CA7">
        <w:rPr>
          <w:rFonts w:ascii="Times New Roman" w:hAnsi="Times New Roman" w:cs="Times New Roman"/>
          <w:sz w:val="25"/>
          <w:szCs w:val="25"/>
        </w:rPr>
        <w:t>Mr. Bhaskar P. Gupta and Mr. Krishnan Venugopal, learned senior counsel appearing for the respondents, we see no ground to interfere with the well reasoned order passed by the learned Single Judge of the Calcutta High Court, as affirmed by the Division Bench of the High Court, since the High Court has mainly proceeded on undisputed facts.</w:t>
      </w:r>
    </w:p>
    <w:p w:rsidR="00235CA7" w:rsidRPr="00235CA7" w:rsidRDefault="00235CA7" w:rsidP="00235CA7">
      <w:pPr>
        <w:spacing w:after="0" w:line="240" w:lineRule="auto"/>
        <w:jc w:val="both"/>
        <w:rPr>
          <w:rFonts w:ascii="Times New Roman" w:hAnsi="Times New Roman" w:cs="Times New Roman"/>
          <w:sz w:val="25"/>
          <w:szCs w:val="25"/>
        </w:rPr>
      </w:pPr>
    </w:p>
    <w:p w:rsidR="00235CA7" w:rsidRPr="00235CA7" w:rsidRDefault="00235CA7" w:rsidP="00235CA7">
      <w:pPr>
        <w:spacing w:after="0" w:line="240" w:lineRule="auto"/>
        <w:jc w:val="both"/>
        <w:rPr>
          <w:rFonts w:ascii="Times New Roman" w:hAnsi="Times New Roman" w:cs="Times New Roman"/>
          <w:sz w:val="25"/>
          <w:szCs w:val="25"/>
        </w:rPr>
      </w:pPr>
      <w:r w:rsidRPr="00235CA7">
        <w:rPr>
          <w:rFonts w:ascii="Times New Roman" w:hAnsi="Times New Roman" w:cs="Times New Roman"/>
          <w:sz w:val="25"/>
          <w:szCs w:val="25"/>
        </w:rPr>
        <w:t>2.  Mr. Krishnan Venugopal, learned senior counsel, has submitted that the Kelvin Jute Company Ltd. has since merged into Trend Vyapaar Ltd. in 2001 under a scheme formed by BIFR. We see from the Judgment that the direction for payment of the provident fund dues</w:t>
      </w:r>
    </w:p>
    <w:p w:rsidR="00235CA7" w:rsidRDefault="00235CA7" w:rsidP="00235CA7">
      <w:pPr>
        <w:spacing w:after="0" w:line="240" w:lineRule="auto"/>
        <w:jc w:val="both"/>
        <w:rPr>
          <w:rFonts w:ascii="Times New Roman" w:hAnsi="Times New Roman" w:cs="Times New Roman"/>
          <w:sz w:val="25"/>
          <w:szCs w:val="25"/>
        </w:rPr>
      </w:pPr>
      <w:r w:rsidRPr="00235CA7">
        <w:rPr>
          <w:rFonts w:ascii="Times New Roman" w:hAnsi="Times New Roman" w:cs="Times New Roman"/>
          <w:sz w:val="25"/>
          <w:szCs w:val="25"/>
        </w:rPr>
        <w:t>is to the Trust as well as to the Company.</w:t>
      </w:r>
    </w:p>
    <w:p w:rsidR="00235CA7" w:rsidRPr="00235CA7" w:rsidRDefault="00235CA7" w:rsidP="00235CA7">
      <w:pPr>
        <w:spacing w:after="0" w:line="240" w:lineRule="auto"/>
        <w:jc w:val="both"/>
        <w:rPr>
          <w:rFonts w:ascii="Times New Roman" w:hAnsi="Times New Roman" w:cs="Times New Roman"/>
          <w:sz w:val="25"/>
          <w:szCs w:val="25"/>
        </w:rPr>
      </w:pPr>
    </w:p>
    <w:p w:rsidR="00235CA7" w:rsidRDefault="00235CA7" w:rsidP="00235CA7">
      <w:pPr>
        <w:spacing w:after="0" w:line="240" w:lineRule="auto"/>
        <w:jc w:val="both"/>
        <w:rPr>
          <w:rFonts w:ascii="Times New Roman" w:hAnsi="Times New Roman" w:cs="Times New Roman"/>
          <w:sz w:val="25"/>
          <w:szCs w:val="25"/>
        </w:rPr>
      </w:pPr>
      <w:r w:rsidRPr="00235CA7">
        <w:rPr>
          <w:rFonts w:ascii="Times New Roman" w:hAnsi="Times New Roman" w:cs="Times New Roman"/>
          <w:sz w:val="25"/>
          <w:szCs w:val="25"/>
        </w:rPr>
        <w:t>3.  In the unlikely event of the Trust not able to meet the payment as directed by the High Court, it would be open to the new company referred to above to approach this Court for appropriate directions.</w:t>
      </w:r>
    </w:p>
    <w:p w:rsidR="00235CA7" w:rsidRPr="00235CA7" w:rsidRDefault="00235CA7" w:rsidP="00235CA7">
      <w:pPr>
        <w:spacing w:after="0" w:line="240" w:lineRule="auto"/>
        <w:jc w:val="both"/>
        <w:rPr>
          <w:rFonts w:ascii="Times New Roman" w:hAnsi="Times New Roman" w:cs="Times New Roman"/>
          <w:sz w:val="25"/>
          <w:szCs w:val="25"/>
        </w:rPr>
      </w:pPr>
    </w:p>
    <w:p w:rsidR="00235CA7" w:rsidRDefault="00235CA7" w:rsidP="00235CA7">
      <w:pPr>
        <w:spacing w:after="0" w:line="240" w:lineRule="auto"/>
        <w:jc w:val="both"/>
        <w:rPr>
          <w:rFonts w:ascii="Times New Roman" w:hAnsi="Times New Roman" w:cs="Times New Roman"/>
          <w:sz w:val="25"/>
          <w:szCs w:val="25"/>
        </w:rPr>
      </w:pPr>
      <w:r w:rsidRPr="00235CA7">
        <w:rPr>
          <w:rFonts w:ascii="Times New Roman" w:hAnsi="Times New Roman" w:cs="Times New Roman"/>
          <w:sz w:val="25"/>
          <w:szCs w:val="25"/>
        </w:rPr>
        <w:t>4.  Since the matter has been pending before this Court since 2006 and as there was an order of stay of the Judgment of the High Court, we grant further period of three months for payment of the amount as directed by the High Court.</w:t>
      </w:r>
    </w:p>
    <w:p w:rsidR="00235CA7" w:rsidRPr="00235CA7" w:rsidRDefault="00235CA7" w:rsidP="00235CA7">
      <w:pPr>
        <w:spacing w:after="0" w:line="240" w:lineRule="auto"/>
        <w:jc w:val="both"/>
        <w:rPr>
          <w:rFonts w:ascii="Times New Roman" w:hAnsi="Times New Roman" w:cs="Times New Roman"/>
          <w:sz w:val="25"/>
          <w:szCs w:val="25"/>
        </w:rPr>
      </w:pPr>
    </w:p>
    <w:p w:rsidR="00235CA7" w:rsidRPr="00235CA7" w:rsidRDefault="00235CA7" w:rsidP="00235CA7">
      <w:pPr>
        <w:spacing w:after="0" w:line="240" w:lineRule="auto"/>
        <w:jc w:val="both"/>
        <w:rPr>
          <w:rFonts w:ascii="Times New Roman" w:hAnsi="Times New Roman" w:cs="Times New Roman"/>
          <w:sz w:val="25"/>
          <w:szCs w:val="25"/>
        </w:rPr>
      </w:pPr>
      <w:r w:rsidRPr="00235CA7">
        <w:rPr>
          <w:rFonts w:ascii="Times New Roman" w:hAnsi="Times New Roman" w:cs="Times New Roman"/>
          <w:sz w:val="25"/>
          <w:szCs w:val="25"/>
        </w:rPr>
        <w:t>5. In view of the above, the Civil Appeals are dismissed with no order as to costs.</w:t>
      </w:r>
    </w:p>
    <w:p w:rsidR="00235CA7" w:rsidRPr="00235CA7" w:rsidRDefault="00235CA7" w:rsidP="00235CA7">
      <w:pPr>
        <w:spacing w:after="0" w:line="240" w:lineRule="auto"/>
        <w:jc w:val="both"/>
        <w:rPr>
          <w:rFonts w:ascii="Times New Roman" w:hAnsi="Times New Roman" w:cs="Times New Roman"/>
          <w:sz w:val="25"/>
          <w:szCs w:val="25"/>
        </w:rPr>
      </w:pPr>
      <w:r w:rsidRPr="00235CA7">
        <w:rPr>
          <w:rFonts w:ascii="Times New Roman" w:hAnsi="Times New Roman" w:cs="Times New Roman"/>
          <w:sz w:val="25"/>
          <w:szCs w:val="25"/>
        </w:rPr>
        <w:tab/>
      </w:r>
    </w:p>
    <w:p w:rsidR="00E8470C" w:rsidRPr="00235CA7" w:rsidRDefault="007967F6" w:rsidP="00235CA7">
      <w:pPr>
        <w:spacing w:after="0" w:line="240" w:lineRule="auto"/>
        <w:jc w:val="both"/>
        <w:rPr>
          <w:rFonts w:ascii="Times New Roman" w:hAnsi="Times New Roman" w:cs="Times New Roman"/>
          <w:sz w:val="25"/>
          <w:szCs w:val="25"/>
        </w:rPr>
      </w:pPr>
    </w:p>
    <w:sectPr w:rsidR="00E8470C" w:rsidRPr="00235CA7" w:rsidSect="00107B5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67F6" w:rsidRDefault="007967F6" w:rsidP="00235CA7">
      <w:pPr>
        <w:spacing w:after="0" w:line="240" w:lineRule="auto"/>
      </w:pPr>
      <w:r>
        <w:separator/>
      </w:r>
    </w:p>
  </w:endnote>
  <w:endnote w:type="continuationSeparator" w:id="1">
    <w:p w:rsidR="007967F6" w:rsidRDefault="007967F6" w:rsidP="00235C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953337"/>
      <w:docPartObj>
        <w:docPartGallery w:val="Page Numbers (Bottom of Page)"/>
        <w:docPartUnique/>
      </w:docPartObj>
    </w:sdtPr>
    <w:sdtContent>
      <w:p w:rsidR="00235CA7" w:rsidRPr="00235CA7" w:rsidRDefault="00235CA7">
        <w:pPr>
          <w:pStyle w:val="Footer"/>
          <w:jc w:val="center"/>
          <w:rPr>
            <w:rFonts w:ascii="Times New Roman" w:hAnsi="Times New Roman" w:cs="Times New Roman"/>
          </w:rPr>
        </w:pPr>
        <w:r w:rsidRPr="00235CA7">
          <w:rPr>
            <w:rFonts w:ascii="Times New Roman" w:hAnsi="Times New Roman" w:cs="Times New Roman"/>
          </w:rPr>
          <w:t xml:space="preserve">                                                              </w:t>
        </w:r>
        <w:r>
          <w:rPr>
            <w:rFonts w:ascii="Times New Roman" w:hAnsi="Times New Roman" w:cs="Times New Roman"/>
          </w:rPr>
          <w:t xml:space="preserve">         </w:t>
        </w:r>
        <w:r w:rsidRPr="00235CA7">
          <w:rPr>
            <w:rFonts w:ascii="Times New Roman" w:hAnsi="Times New Roman" w:cs="Times New Roman"/>
          </w:rPr>
          <w:t xml:space="preserve">    </w:t>
        </w:r>
        <w:r w:rsidRPr="00235CA7">
          <w:rPr>
            <w:rFonts w:ascii="Times New Roman" w:hAnsi="Times New Roman" w:cs="Times New Roman"/>
          </w:rPr>
          <w:fldChar w:fldCharType="begin"/>
        </w:r>
        <w:r w:rsidRPr="00235CA7">
          <w:rPr>
            <w:rFonts w:ascii="Times New Roman" w:hAnsi="Times New Roman" w:cs="Times New Roman"/>
          </w:rPr>
          <w:instrText xml:space="preserve"> PAGE   \* MERGEFORMAT </w:instrText>
        </w:r>
        <w:r w:rsidRPr="00235CA7">
          <w:rPr>
            <w:rFonts w:ascii="Times New Roman" w:hAnsi="Times New Roman" w:cs="Times New Roman"/>
          </w:rPr>
          <w:fldChar w:fldCharType="separate"/>
        </w:r>
        <w:r>
          <w:rPr>
            <w:rFonts w:ascii="Times New Roman" w:hAnsi="Times New Roman" w:cs="Times New Roman"/>
            <w:noProof/>
          </w:rPr>
          <w:t>1</w:t>
        </w:r>
        <w:r w:rsidRPr="00235CA7">
          <w:rPr>
            <w:rFonts w:ascii="Times New Roman" w:hAnsi="Times New Roman" w:cs="Times New Roman"/>
          </w:rPr>
          <w:fldChar w:fldCharType="end"/>
        </w:r>
        <w:r w:rsidRPr="00235CA7">
          <w:rPr>
            <w:rFonts w:ascii="Times New Roman" w:hAnsi="Times New Roman" w:cs="Times New Roman"/>
          </w:rPr>
          <w:t xml:space="preserve">              </w:t>
        </w:r>
        <w:r>
          <w:rPr>
            <w:rFonts w:ascii="Times New Roman" w:hAnsi="Times New Roman" w:cs="Times New Roman"/>
          </w:rPr>
          <w:t xml:space="preserve"> </w:t>
        </w:r>
        <w:r w:rsidRPr="00235CA7">
          <w:rPr>
            <w:rFonts w:ascii="Times New Roman" w:hAnsi="Times New Roman" w:cs="Times New Roman"/>
          </w:rPr>
          <w:t xml:space="preserve">                                                    SpotLaw</w:t>
        </w:r>
      </w:p>
    </w:sdtContent>
  </w:sdt>
  <w:p w:rsidR="00235CA7" w:rsidRPr="00235CA7" w:rsidRDefault="00235CA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67F6" w:rsidRDefault="007967F6" w:rsidP="00235CA7">
      <w:pPr>
        <w:spacing w:after="0" w:line="240" w:lineRule="auto"/>
      </w:pPr>
      <w:r>
        <w:separator/>
      </w:r>
    </w:p>
  </w:footnote>
  <w:footnote w:type="continuationSeparator" w:id="1">
    <w:p w:rsidR="007967F6" w:rsidRDefault="007967F6" w:rsidP="00235CA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35CA7"/>
    <w:rsid w:val="00107B5F"/>
    <w:rsid w:val="00235CA7"/>
    <w:rsid w:val="00412DA4"/>
    <w:rsid w:val="007967F6"/>
    <w:rsid w:val="00A0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B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CA7"/>
    <w:pPr>
      <w:ind w:left="720"/>
      <w:contextualSpacing/>
    </w:pPr>
  </w:style>
  <w:style w:type="paragraph" w:styleId="Header">
    <w:name w:val="header"/>
    <w:basedOn w:val="Normal"/>
    <w:link w:val="HeaderChar"/>
    <w:uiPriority w:val="99"/>
    <w:semiHidden/>
    <w:unhideWhenUsed/>
    <w:rsid w:val="00235C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5CA7"/>
  </w:style>
  <w:style w:type="paragraph" w:styleId="Footer">
    <w:name w:val="footer"/>
    <w:basedOn w:val="Normal"/>
    <w:link w:val="FooterChar"/>
    <w:uiPriority w:val="99"/>
    <w:unhideWhenUsed/>
    <w:rsid w:val="00235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CA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227</Words>
  <Characters>1300</Characters>
  <Application>Microsoft Office Word</Application>
  <DocSecurity>0</DocSecurity>
  <Lines>10</Lines>
  <Paragraphs>3</Paragraphs>
  <ScaleCrop>false</ScaleCrop>
  <Company/>
  <LinksUpToDate>false</LinksUpToDate>
  <CharactersWithSpaces>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2016-02-02T07:00:00Z</dcterms:created>
  <dcterms:modified xsi:type="dcterms:W3CDTF">2016-02-02T07:04:00Z</dcterms:modified>
</cp:coreProperties>
</file>