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331" w:rsidRPr="008A2331" w:rsidRDefault="008A2331" w:rsidP="008A2331">
      <w:pPr>
        <w:jc w:val="center"/>
        <w:rPr>
          <w:rFonts w:ascii="Times New Roman" w:hAnsi="Times New Roman" w:cs="Times New Roman"/>
          <w:b/>
          <w:sz w:val="25"/>
          <w:szCs w:val="25"/>
        </w:rPr>
      </w:pPr>
      <w:r w:rsidRPr="008A2331">
        <w:rPr>
          <w:rFonts w:ascii="Times New Roman" w:hAnsi="Times New Roman" w:cs="Times New Roman"/>
          <w:b/>
          <w:sz w:val="25"/>
          <w:szCs w:val="25"/>
        </w:rPr>
        <w:t>SUPREME COURT OF INDIA</w:t>
      </w:r>
    </w:p>
    <w:p w:rsidR="008A2331" w:rsidRPr="008A2331" w:rsidRDefault="008A2331" w:rsidP="008A2331">
      <w:pPr>
        <w:jc w:val="center"/>
        <w:rPr>
          <w:rFonts w:ascii="Times New Roman" w:hAnsi="Times New Roman" w:cs="Times New Roman"/>
          <w:sz w:val="25"/>
          <w:szCs w:val="25"/>
        </w:rPr>
      </w:pPr>
    </w:p>
    <w:p w:rsidR="008A2331" w:rsidRDefault="008A2331" w:rsidP="008A2331">
      <w:pPr>
        <w:jc w:val="center"/>
        <w:rPr>
          <w:rFonts w:ascii="Times New Roman" w:hAnsi="Times New Roman" w:cs="Times New Roman"/>
          <w:sz w:val="25"/>
          <w:szCs w:val="25"/>
        </w:rPr>
      </w:pPr>
      <w:r w:rsidRPr="008A2331">
        <w:rPr>
          <w:rFonts w:ascii="Times New Roman" w:hAnsi="Times New Roman" w:cs="Times New Roman"/>
          <w:sz w:val="25"/>
          <w:szCs w:val="25"/>
        </w:rPr>
        <w:t>Mukul Sharma</w:t>
      </w:r>
    </w:p>
    <w:p w:rsidR="008A2331" w:rsidRPr="008A2331" w:rsidRDefault="008A2331" w:rsidP="008A2331">
      <w:pPr>
        <w:jc w:val="center"/>
        <w:rPr>
          <w:rFonts w:ascii="Times New Roman" w:hAnsi="Times New Roman" w:cs="Times New Roman"/>
          <w:sz w:val="25"/>
          <w:szCs w:val="25"/>
        </w:rPr>
      </w:pPr>
    </w:p>
    <w:p w:rsidR="008A2331" w:rsidRDefault="008A2331" w:rsidP="008A2331">
      <w:pPr>
        <w:jc w:val="center"/>
        <w:rPr>
          <w:rFonts w:ascii="Times New Roman" w:hAnsi="Times New Roman" w:cs="Times New Roman"/>
          <w:sz w:val="25"/>
          <w:szCs w:val="25"/>
        </w:rPr>
      </w:pPr>
      <w:r>
        <w:rPr>
          <w:rFonts w:ascii="Times New Roman" w:hAnsi="Times New Roman" w:cs="Times New Roman"/>
          <w:sz w:val="25"/>
          <w:szCs w:val="25"/>
        </w:rPr>
        <w:t>Vs.</w:t>
      </w:r>
    </w:p>
    <w:p w:rsidR="008A2331" w:rsidRPr="008A2331" w:rsidRDefault="008A2331" w:rsidP="008A2331">
      <w:pPr>
        <w:jc w:val="center"/>
        <w:rPr>
          <w:rFonts w:ascii="Times New Roman" w:hAnsi="Times New Roman" w:cs="Times New Roman"/>
          <w:sz w:val="25"/>
          <w:szCs w:val="25"/>
        </w:rPr>
      </w:pPr>
    </w:p>
    <w:p w:rsidR="008A2331" w:rsidRDefault="008A2331" w:rsidP="008A2331">
      <w:pPr>
        <w:jc w:val="center"/>
        <w:rPr>
          <w:rFonts w:ascii="Times New Roman" w:hAnsi="Times New Roman" w:cs="Times New Roman"/>
          <w:sz w:val="25"/>
          <w:szCs w:val="25"/>
        </w:rPr>
      </w:pPr>
      <w:r w:rsidRPr="008A2331">
        <w:rPr>
          <w:rFonts w:ascii="Times New Roman" w:hAnsi="Times New Roman" w:cs="Times New Roman"/>
          <w:sz w:val="25"/>
          <w:szCs w:val="25"/>
        </w:rPr>
        <w:t>Orion India (P.) Ltd.</w:t>
      </w:r>
    </w:p>
    <w:p w:rsidR="008A2331" w:rsidRPr="008A2331" w:rsidRDefault="008A2331" w:rsidP="008A2331">
      <w:pPr>
        <w:jc w:val="center"/>
        <w:rPr>
          <w:rFonts w:ascii="Times New Roman" w:hAnsi="Times New Roman" w:cs="Times New Roman"/>
          <w:sz w:val="25"/>
          <w:szCs w:val="25"/>
        </w:rPr>
      </w:pPr>
    </w:p>
    <w:p w:rsidR="008A2331" w:rsidRDefault="008A2331" w:rsidP="008A2331">
      <w:pPr>
        <w:jc w:val="center"/>
        <w:rPr>
          <w:rFonts w:ascii="Times New Roman" w:hAnsi="Times New Roman" w:cs="Times New Roman"/>
          <w:sz w:val="25"/>
          <w:szCs w:val="25"/>
        </w:rPr>
      </w:pPr>
      <w:r>
        <w:rPr>
          <w:rFonts w:ascii="Times New Roman" w:hAnsi="Times New Roman" w:cs="Times New Roman"/>
          <w:sz w:val="25"/>
          <w:szCs w:val="25"/>
        </w:rPr>
        <w:t>C.A.No.4997 of</w:t>
      </w:r>
      <w:r w:rsidRPr="008A2331">
        <w:rPr>
          <w:rFonts w:ascii="Times New Roman" w:hAnsi="Times New Roman" w:cs="Times New Roman"/>
          <w:sz w:val="25"/>
          <w:szCs w:val="25"/>
        </w:rPr>
        <w:t xml:space="preserve"> 2016</w:t>
      </w:r>
    </w:p>
    <w:p w:rsidR="008A2331" w:rsidRDefault="008A2331" w:rsidP="008A2331">
      <w:pPr>
        <w:jc w:val="center"/>
        <w:rPr>
          <w:rFonts w:ascii="Times New Roman" w:hAnsi="Times New Roman" w:cs="Times New Roman"/>
          <w:sz w:val="25"/>
          <w:szCs w:val="25"/>
        </w:rPr>
      </w:pPr>
    </w:p>
    <w:p w:rsidR="008A2331" w:rsidRDefault="008A2331" w:rsidP="008A2331">
      <w:pPr>
        <w:jc w:val="center"/>
        <w:rPr>
          <w:rFonts w:ascii="Times New Roman" w:hAnsi="Times New Roman" w:cs="Times New Roman"/>
          <w:sz w:val="25"/>
          <w:szCs w:val="25"/>
        </w:rPr>
      </w:pPr>
      <w:r>
        <w:rPr>
          <w:rFonts w:ascii="Times New Roman" w:hAnsi="Times New Roman" w:cs="Times New Roman"/>
          <w:sz w:val="25"/>
          <w:szCs w:val="25"/>
        </w:rPr>
        <w:t>(Kurain Joseph and R.F.Nariman,JJ.,)</w:t>
      </w:r>
    </w:p>
    <w:p w:rsidR="008A2331" w:rsidRDefault="008A2331" w:rsidP="008A2331">
      <w:pPr>
        <w:jc w:val="center"/>
        <w:rPr>
          <w:rFonts w:ascii="Times New Roman" w:hAnsi="Times New Roman" w:cs="Times New Roman"/>
          <w:sz w:val="25"/>
          <w:szCs w:val="25"/>
        </w:rPr>
      </w:pPr>
    </w:p>
    <w:p w:rsidR="008A2331" w:rsidRDefault="008A2331" w:rsidP="008A2331">
      <w:pPr>
        <w:jc w:val="center"/>
        <w:rPr>
          <w:rFonts w:ascii="Times New Roman" w:hAnsi="Times New Roman" w:cs="Times New Roman"/>
          <w:sz w:val="25"/>
          <w:szCs w:val="25"/>
        </w:rPr>
      </w:pPr>
      <w:r>
        <w:rPr>
          <w:rFonts w:ascii="Times New Roman" w:hAnsi="Times New Roman" w:cs="Times New Roman"/>
          <w:sz w:val="25"/>
          <w:szCs w:val="25"/>
        </w:rPr>
        <w:t>10.05.2016</w:t>
      </w:r>
    </w:p>
    <w:p w:rsidR="008A2331" w:rsidRDefault="008A2331" w:rsidP="008A2331">
      <w:pPr>
        <w:jc w:val="center"/>
        <w:rPr>
          <w:rFonts w:ascii="Times New Roman" w:hAnsi="Times New Roman" w:cs="Times New Roman"/>
          <w:sz w:val="25"/>
          <w:szCs w:val="25"/>
        </w:rPr>
      </w:pPr>
    </w:p>
    <w:p w:rsidR="008A2331" w:rsidRPr="008A2331" w:rsidRDefault="008A2331" w:rsidP="008A2331">
      <w:pPr>
        <w:jc w:val="center"/>
        <w:rPr>
          <w:rFonts w:ascii="Times New Roman" w:hAnsi="Times New Roman" w:cs="Times New Roman"/>
          <w:b/>
          <w:sz w:val="25"/>
          <w:szCs w:val="25"/>
        </w:rPr>
      </w:pPr>
      <w:r w:rsidRPr="008A2331">
        <w:rPr>
          <w:rFonts w:ascii="Times New Roman" w:hAnsi="Times New Roman" w:cs="Times New Roman"/>
          <w:b/>
          <w:sz w:val="25"/>
          <w:szCs w:val="25"/>
        </w:rPr>
        <w:t>JUDGMENT</w:t>
      </w:r>
    </w:p>
    <w:p w:rsidR="008A2331" w:rsidRPr="008A2331" w:rsidRDefault="008A2331" w:rsidP="008A2331">
      <w:pPr>
        <w:jc w:val="both"/>
        <w:rPr>
          <w:rFonts w:ascii="Times New Roman" w:hAnsi="Times New Roman" w:cs="Times New Roman"/>
          <w:b/>
          <w:sz w:val="25"/>
          <w:szCs w:val="25"/>
        </w:rPr>
      </w:pPr>
    </w:p>
    <w:p w:rsidR="008A2331" w:rsidRPr="008A2331" w:rsidRDefault="008A2331" w:rsidP="008A2331">
      <w:pPr>
        <w:jc w:val="both"/>
        <w:rPr>
          <w:rFonts w:ascii="Times New Roman" w:hAnsi="Times New Roman" w:cs="Times New Roman"/>
          <w:b/>
          <w:sz w:val="25"/>
          <w:szCs w:val="25"/>
        </w:rPr>
      </w:pPr>
      <w:r w:rsidRPr="008A2331">
        <w:rPr>
          <w:rFonts w:ascii="Times New Roman" w:hAnsi="Times New Roman" w:cs="Times New Roman"/>
          <w:b/>
          <w:sz w:val="25"/>
          <w:szCs w:val="25"/>
        </w:rPr>
        <w:t>Kurain Joseph,J.,</w:t>
      </w:r>
    </w:p>
    <w:p w:rsidR="008A2331" w:rsidRDefault="008A2331" w:rsidP="008A2331">
      <w:pPr>
        <w:jc w:val="both"/>
        <w:rPr>
          <w:rFonts w:ascii="Times New Roman" w:hAnsi="Times New Roman" w:cs="Times New Roman"/>
          <w:sz w:val="25"/>
          <w:szCs w:val="25"/>
        </w:rPr>
      </w:pPr>
    </w:p>
    <w:p w:rsidR="008A2331" w:rsidRDefault="008A2331" w:rsidP="008A2331">
      <w:pPr>
        <w:jc w:val="both"/>
        <w:rPr>
          <w:rFonts w:ascii="Times New Roman" w:hAnsi="Times New Roman" w:cs="Times New Roman"/>
          <w:sz w:val="25"/>
          <w:szCs w:val="25"/>
        </w:rPr>
      </w:pPr>
      <w:r>
        <w:rPr>
          <w:rFonts w:ascii="Times New Roman" w:hAnsi="Times New Roman" w:cs="Times New Roman"/>
          <w:sz w:val="25"/>
          <w:szCs w:val="25"/>
        </w:rPr>
        <w:t>SLP</w:t>
      </w:r>
      <w:r w:rsidRPr="008A2331">
        <w:rPr>
          <w:rFonts w:ascii="Times New Roman" w:hAnsi="Times New Roman" w:cs="Times New Roman"/>
          <w:sz w:val="25"/>
          <w:szCs w:val="25"/>
        </w:rPr>
        <w:t>(C</w:t>
      </w:r>
      <w:r>
        <w:rPr>
          <w:rFonts w:ascii="Times New Roman" w:hAnsi="Times New Roman" w:cs="Times New Roman"/>
          <w:sz w:val="25"/>
          <w:szCs w:val="25"/>
        </w:rPr>
        <w:t>ivil)No.32544 of 2015</w:t>
      </w:r>
    </w:p>
    <w:p w:rsidR="008A2331" w:rsidRDefault="008A2331" w:rsidP="008A2331">
      <w:pPr>
        <w:jc w:val="both"/>
        <w:rPr>
          <w:rFonts w:ascii="Times New Roman" w:hAnsi="Times New Roman" w:cs="Times New Roman"/>
          <w:sz w:val="25"/>
          <w:szCs w:val="25"/>
        </w:rPr>
      </w:pPr>
    </w:p>
    <w:p w:rsidR="008A2331" w:rsidRDefault="008A2331" w:rsidP="008A2331">
      <w:pPr>
        <w:jc w:val="both"/>
        <w:rPr>
          <w:rFonts w:ascii="Times New Roman" w:hAnsi="Times New Roman" w:cs="Times New Roman"/>
          <w:sz w:val="25"/>
          <w:szCs w:val="25"/>
        </w:rPr>
      </w:pPr>
      <w:r>
        <w:rPr>
          <w:rFonts w:ascii="Times New Roman" w:hAnsi="Times New Roman" w:cs="Times New Roman"/>
          <w:sz w:val="25"/>
          <w:szCs w:val="25"/>
        </w:rPr>
        <w:t xml:space="preserve">1. </w:t>
      </w:r>
      <w:r w:rsidRPr="008A2331">
        <w:rPr>
          <w:rFonts w:ascii="Times New Roman" w:hAnsi="Times New Roman" w:cs="Times New Roman"/>
          <w:sz w:val="25"/>
          <w:szCs w:val="25"/>
        </w:rPr>
        <w:t>Leave granted.</w:t>
      </w:r>
    </w:p>
    <w:p w:rsidR="008A2331" w:rsidRPr="008A2331" w:rsidRDefault="008A2331" w:rsidP="008A2331">
      <w:pPr>
        <w:jc w:val="both"/>
        <w:rPr>
          <w:rFonts w:ascii="Times New Roman" w:hAnsi="Times New Roman" w:cs="Times New Roman"/>
          <w:sz w:val="25"/>
          <w:szCs w:val="25"/>
        </w:rPr>
      </w:pPr>
    </w:p>
    <w:p w:rsidR="008A2331" w:rsidRDefault="008A2331" w:rsidP="008A2331">
      <w:pPr>
        <w:jc w:val="both"/>
        <w:rPr>
          <w:rFonts w:ascii="Times New Roman" w:hAnsi="Times New Roman" w:cs="Times New Roman"/>
          <w:sz w:val="25"/>
          <w:szCs w:val="25"/>
        </w:rPr>
      </w:pPr>
      <w:r>
        <w:rPr>
          <w:rFonts w:ascii="Times New Roman" w:hAnsi="Times New Roman" w:cs="Times New Roman"/>
          <w:sz w:val="25"/>
          <w:szCs w:val="25"/>
        </w:rPr>
        <w:t xml:space="preserve">2. </w:t>
      </w:r>
      <w:r w:rsidRPr="008A2331">
        <w:rPr>
          <w:rFonts w:ascii="Times New Roman" w:hAnsi="Times New Roman" w:cs="Times New Roman"/>
          <w:sz w:val="25"/>
          <w:szCs w:val="25"/>
        </w:rPr>
        <w:t>The appellant filed Title Suit No.195 of 1998 before the Civil Judge (Senior Division) No.1 at Guwahati praying for specific performance of the instrument dated 25.8.1992 between the appellant and the respondent.</w:t>
      </w:r>
    </w:p>
    <w:p w:rsidR="008A2331" w:rsidRPr="008A2331" w:rsidRDefault="008A2331" w:rsidP="008A2331">
      <w:pPr>
        <w:jc w:val="both"/>
        <w:rPr>
          <w:rFonts w:ascii="Times New Roman" w:hAnsi="Times New Roman" w:cs="Times New Roman"/>
          <w:sz w:val="25"/>
          <w:szCs w:val="25"/>
        </w:rPr>
      </w:pPr>
    </w:p>
    <w:p w:rsidR="008A2331" w:rsidRDefault="008A2331" w:rsidP="008A2331">
      <w:pPr>
        <w:jc w:val="both"/>
        <w:rPr>
          <w:rFonts w:ascii="Times New Roman" w:hAnsi="Times New Roman" w:cs="Times New Roman"/>
          <w:sz w:val="25"/>
          <w:szCs w:val="25"/>
        </w:rPr>
      </w:pPr>
      <w:r>
        <w:rPr>
          <w:rFonts w:ascii="Times New Roman" w:hAnsi="Times New Roman" w:cs="Times New Roman"/>
          <w:sz w:val="25"/>
          <w:szCs w:val="25"/>
        </w:rPr>
        <w:t>3.</w:t>
      </w:r>
      <w:r w:rsidRPr="008A2331">
        <w:rPr>
          <w:rFonts w:ascii="Times New Roman" w:hAnsi="Times New Roman" w:cs="Times New Roman"/>
          <w:sz w:val="25"/>
          <w:szCs w:val="25"/>
        </w:rPr>
        <w:t xml:space="preserve"> The dispute is only on a narrow compass. As per paragraph (1) of the aforesaid agreement, half of the built up area on the ground floor of the proposed North Block of the complex as per the drawing No.GBA/891/03A dated 14.12.1990 and half of the built up area on the mezzanine floor of the same building and complete built up area on the first floor in the same building, were liable to be handed over to the appellant. On a dispute as to what is the built up area, the appellant filed the civil suit. The suit was decreed. Aggrieved by the same, the respondent-defendant filed first appeal before the High Court. The following points for determination were found to arise in the first appeal :</w:t>
      </w:r>
    </w:p>
    <w:p w:rsidR="008A2331" w:rsidRPr="008A2331" w:rsidRDefault="008A2331" w:rsidP="008A2331">
      <w:pPr>
        <w:jc w:val="both"/>
        <w:rPr>
          <w:rFonts w:ascii="Times New Roman" w:hAnsi="Times New Roman" w:cs="Times New Roman"/>
          <w:sz w:val="25"/>
          <w:szCs w:val="25"/>
        </w:rPr>
      </w:pPr>
    </w:p>
    <w:p w:rsidR="008A2331" w:rsidRDefault="008A2331" w:rsidP="008A2331">
      <w:pPr>
        <w:ind w:left="720"/>
        <w:jc w:val="both"/>
        <w:rPr>
          <w:rFonts w:ascii="Times New Roman" w:hAnsi="Times New Roman" w:cs="Times New Roman"/>
          <w:sz w:val="25"/>
          <w:szCs w:val="25"/>
        </w:rPr>
      </w:pPr>
      <w:r>
        <w:rPr>
          <w:rFonts w:ascii="Times New Roman" w:hAnsi="Times New Roman" w:cs="Times New Roman"/>
          <w:sz w:val="25"/>
          <w:szCs w:val="25"/>
        </w:rPr>
        <w:t>“(i)</w:t>
      </w:r>
      <w:r w:rsidRPr="008A2331">
        <w:rPr>
          <w:rFonts w:ascii="Times New Roman" w:hAnsi="Times New Roman" w:cs="Times New Roman"/>
          <w:sz w:val="25"/>
          <w:szCs w:val="25"/>
        </w:rPr>
        <w:t xml:space="preserve"> Whether the parties had entered into agreement knowing that ’built up area’ as mentioned in Ext.1 agreement includes the common area?</w:t>
      </w:r>
    </w:p>
    <w:p w:rsidR="008A2331" w:rsidRPr="008A2331" w:rsidRDefault="008A2331" w:rsidP="008A2331">
      <w:pPr>
        <w:ind w:left="720"/>
        <w:jc w:val="both"/>
        <w:rPr>
          <w:rFonts w:ascii="Times New Roman" w:hAnsi="Times New Roman" w:cs="Times New Roman"/>
          <w:sz w:val="25"/>
          <w:szCs w:val="25"/>
        </w:rPr>
      </w:pPr>
    </w:p>
    <w:p w:rsidR="008A2331" w:rsidRDefault="008A2331" w:rsidP="008A2331">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8A2331">
        <w:rPr>
          <w:rFonts w:ascii="Times New Roman" w:hAnsi="Times New Roman" w:cs="Times New Roman"/>
          <w:sz w:val="25"/>
          <w:szCs w:val="25"/>
        </w:rPr>
        <w:t xml:space="preserve"> Whether the plaintiff is entitled to specific performance as claimed?</w:t>
      </w:r>
    </w:p>
    <w:p w:rsidR="008A2331" w:rsidRPr="008A2331" w:rsidRDefault="008A2331" w:rsidP="008A2331">
      <w:pPr>
        <w:ind w:left="720"/>
        <w:jc w:val="both"/>
        <w:rPr>
          <w:rFonts w:ascii="Times New Roman" w:hAnsi="Times New Roman" w:cs="Times New Roman"/>
          <w:sz w:val="25"/>
          <w:szCs w:val="25"/>
        </w:rPr>
      </w:pPr>
    </w:p>
    <w:p w:rsidR="008A2331" w:rsidRDefault="008A2331" w:rsidP="008A2331">
      <w:pPr>
        <w:ind w:left="720"/>
        <w:jc w:val="both"/>
        <w:rPr>
          <w:rFonts w:ascii="Times New Roman" w:hAnsi="Times New Roman" w:cs="Times New Roman"/>
          <w:sz w:val="25"/>
          <w:szCs w:val="25"/>
        </w:rPr>
      </w:pPr>
      <w:r w:rsidRPr="008A2331">
        <w:rPr>
          <w:rFonts w:ascii="Times New Roman" w:hAnsi="Times New Roman" w:cs="Times New Roman"/>
          <w:sz w:val="25"/>
          <w:szCs w:val="25"/>
        </w:rPr>
        <w:t>(</w:t>
      </w:r>
      <w:r>
        <w:rPr>
          <w:rFonts w:ascii="Times New Roman" w:hAnsi="Times New Roman" w:cs="Times New Roman"/>
          <w:sz w:val="25"/>
          <w:szCs w:val="25"/>
        </w:rPr>
        <w:t xml:space="preserve">iii) </w:t>
      </w:r>
      <w:r w:rsidRPr="008A2331">
        <w:rPr>
          <w:rFonts w:ascii="Times New Roman" w:hAnsi="Times New Roman" w:cs="Times New Roman"/>
          <w:sz w:val="25"/>
          <w:szCs w:val="25"/>
        </w:rPr>
        <w:t>Whether plaintiff is entitled to a money decree as prayed for?</w:t>
      </w:r>
      <w:r>
        <w:rPr>
          <w:rFonts w:ascii="Times New Roman" w:hAnsi="Times New Roman" w:cs="Times New Roman"/>
          <w:sz w:val="25"/>
          <w:szCs w:val="25"/>
        </w:rPr>
        <w:t>”</w:t>
      </w:r>
    </w:p>
    <w:p w:rsidR="008A2331" w:rsidRPr="008A2331" w:rsidRDefault="008A2331" w:rsidP="008A2331">
      <w:pPr>
        <w:ind w:left="720"/>
        <w:jc w:val="both"/>
        <w:rPr>
          <w:rFonts w:ascii="Times New Roman" w:hAnsi="Times New Roman" w:cs="Times New Roman"/>
          <w:sz w:val="25"/>
          <w:szCs w:val="25"/>
        </w:rPr>
      </w:pPr>
    </w:p>
    <w:p w:rsidR="008A2331" w:rsidRDefault="008A2331" w:rsidP="008A2331">
      <w:pPr>
        <w:jc w:val="both"/>
        <w:rPr>
          <w:rFonts w:ascii="Times New Roman" w:hAnsi="Times New Roman" w:cs="Times New Roman"/>
          <w:sz w:val="25"/>
          <w:szCs w:val="25"/>
        </w:rPr>
      </w:pPr>
      <w:r>
        <w:rPr>
          <w:rFonts w:ascii="Times New Roman" w:hAnsi="Times New Roman" w:cs="Times New Roman"/>
          <w:sz w:val="25"/>
          <w:szCs w:val="25"/>
        </w:rPr>
        <w:t xml:space="preserve">4. </w:t>
      </w:r>
      <w:r w:rsidRPr="008A2331">
        <w:rPr>
          <w:rFonts w:ascii="Times New Roman" w:hAnsi="Times New Roman" w:cs="Times New Roman"/>
          <w:sz w:val="25"/>
          <w:szCs w:val="25"/>
        </w:rPr>
        <w:t xml:space="preserve"> As per the impugned order, the High Court has taken the view that the built up area includes the common area as understood by the parties. Reliance is placed on Ex.'H' letter dated 15.9.1997 written by the appellant-plaintiff to the respondent-defendant. As per the said letter, indisputably, the built up area has been understood to include the common area.</w:t>
      </w:r>
    </w:p>
    <w:p w:rsidR="008A2331" w:rsidRPr="008A2331" w:rsidRDefault="008A2331" w:rsidP="008A2331">
      <w:pPr>
        <w:jc w:val="both"/>
        <w:rPr>
          <w:rFonts w:ascii="Times New Roman" w:hAnsi="Times New Roman" w:cs="Times New Roman"/>
          <w:sz w:val="25"/>
          <w:szCs w:val="25"/>
        </w:rPr>
      </w:pPr>
    </w:p>
    <w:p w:rsidR="008A2331" w:rsidRDefault="008A2331" w:rsidP="008A2331">
      <w:pPr>
        <w:jc w:val="both"/>
        <w:rPr>
          <w:rFonts w:ascii="Times New Roman" w:hAnsi="Times New Roman" w:cs="Times New Roman"/>
          <w:sz w:val="25"/>
          <w:szCs w:val="25"/>
        </w:rPr>
      </w:pPr>
      <w:r>
        <w:rPr>
          <w:rFonts w:ascii="Times New Roman" w:hAnsi="Times New Roman" w:cs="Times New Roman"/>
          <w:sz w:val="25"/>
          <w:szCs w:val="25"/>
        </w:rPr>
        <w:t xml:space="preserve">5. </w:t>
      </w:r>
      <w:r w:rsidRPr="008A2331">
        <w:rPr>
          <w:rFonts w:ascii="Times New Roman" w:hAnsi="Times New Roman" w:cs="Times New Roman"/>
          <w:sz w:val="25"/>
          <w:szCs w:val="25"/>
        </w:rPr>
        <w:t xml:space="preserve"> However, the High Court has failed to appreciate Ex.3 letter dated 9.3.1998 and Ex.4 letter dated 16.3.1998 in the correct perspective. The relevant portion of annexure Ex.3 </w:t>
      </w:r>
      <w:r w:rsidRPr="008A2331">
        <w:rPr>
          <w:rFonts w:ascii="Times New Roman" w:hAnsi="Times New Roman" w:cs="Times New Roman"/>
          <w:sz w:val="25"/>
          <w:szCs w:val="25"/>
        </w:rPr>
        <w:lastRenderedPageBreak/>
        <w:t>letter dated 9.3.1998 reads as follows :</w:t>
      </w:r>
    </w:p>
    <w:p w:rsidR="008A2331" w:rsidRPr="008A2331" w:rsidRDefault="008A2331" w:rsidP="008A2331">
      <w:pPr>
        <w:jc w:val="both"/>
        <w:rPr>
          <w:rFonts w:ascii="Times New Roman" w:hAnsi="Times New Roman" w:cs="Times New Roman"/>
          <w:sz w:val="25"/>
          <w:szCs w:val="25"/>
        </w:rPr>
      </w:pPr>
    </w:p>
    <w:p w:rsidR="008A2331" w:rsidRDefault="008A2331" w:rsidP="008A2331">
      <w:pPr>
        <w:ind w:left="720"/>
        <w:jc w:val="both"/>
        <w:rPr>
          <w:rFonts w:ascii="Times New Roman" w:hAnsi="Times New Roman" w:cs="Times New Roman"/>
          <w:sz w:val="25"/>
          <w:szCs w:val="25"/>
        </w:rPr>
      </w:pPr>
      <w:r w:rsidRPr="008A2331">
        <w:rPr>
          <w:rFonts w:ascii="Times New Roman" w:hAnsi="Times New Roman" w:cs="Times New Roman"/>
          <w:sz w:val="25"/>
          <w:szCs w:val="25"/>
        </w:rPr>
        <w:t>"(1) That the "built-up area" as in clause 1(i), (ii) &amp; (iii) of the Agreement between yourself and the Company (Deed No.5581 dated 25/8/98) should be defined as "the area within the four walls excluding the common area</w:t>
      </w:r>
      <w:r>
        <w:rPr>
          <w:rFonts w:ascii="Times New Roman" w:hAnsi="Times New Roman" w:cs="Times New Roman"/>
          <w:sz w:val="25"/>
          <w:szCs w:val="25"/>
        </w:rPr>
        <w:t xml:space="preserve"> </w:t>
      </w:r>
      <w:r w:rsidRPr="008A2331">
        <w:rPr>
          <w:rFonts w:ascii="Times New Roman" w:hAnsi="Times New Roman" w:cs="Times New Roman"/>
          <w:sz w:val="25"/>
          <w:szCs w:val="25"/>
        </w:rPr>
        <w:t>as lift well, lobby, corridor, etc.</w:t>
      </w:r>
    </w:p>
    <w:p w:rsidR="008A2331" w:rsidRPr="008A2331" w:rsidRDefault="008A2331" w:rsidP="008A2331">
      <w:pPr>
        <w:ind w:left="720"/>
        <w:jc w:val="both"/>
        <w:rPr>
          <w:rFonts w:ascii="Times New Roman" w:hAnsi="Times New Roman" w:cs="Times New Roman"/>
          <w:sz w:val="25"/>
          <w:szCs w:val="25"/>
        </w:rPr>
      </w:pPr>
    </w:p>
    <w:p w:rsidR="008A2331" w:rsidRDefault="008A2331" w:rsidP="008A2331">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8A2331">
        <w:rPr>
          <w:rFonts w:ascii="Times New Roman" w:hAnsi="Times New Roman" w:cs="Times New Roman"/>
          <w:sz w:val="25"/>
          <w:szCs w:val="25"/>
        </w:rPr>
        <w:t>That our method of calculation and the area</w:t>
      </w:r>
      <w:r>
        <w:rPr>
          <w:rFonts w:ascii="Times New Roman" w:hAnsi="Times New Roman" w:cs="Times New Roman"/>
          <w:sz w:val="25"/>
          <w:szCs w:val="25"/>
        </w:rPr>
        <w:t xml:space="preserve"> </w:t>
      </w:r>
      <w:r w:rsidRPr="008A2331">
        <w:rPr>
          <w:rFonts w:ascii="Times New Roman" w:hAnsi="Times New Roman" w:cs="Times New Roman"/>
          <w:sz w:val="25"/>
          <w:szCs w:val="25"/>
        </w:rPr>
        <w:t>so calculated is not acceptable to you.</w:t>
      </w:r>
      <w:r>
        <w:rPr>
          <w:rFonts w:ascii="Times New Roman" w:hAnsi="Times New Roman" w:cs="Times New Roman"/>
          <w:sz w:val="25"/>
          <w:szCs w:val="25"/>
        </w:rPr>
        <w:t xml:space="preserve"> </w:t>
      </w:r>
      <w:r w:rsidRPr="008A2331">
        <w:rPr>
          <w:rFonts w:ascii="Times New Roman" w:hAnsi="Times New Roman" w:cs="Times New Roman"/>
          <w:sz w:val="25"/>
          <w:szCs w:val="25"/>
        </w:rPr>
        <w:t>Since we wish to resolve this long outstanding issue as early as possible, we agree to your definition of "built-up area" and shall recalculate the area to be allotted to you and shall inform you shortly."</w:t>
      </w:r>
    </w:p>
    <w:p w:rsidR="008A2331" w:rsidRPr="008A2331" w:rsidRDefault="008A2331" w:rsidP="008A2331">
      <w:pPr>
        <w:jc w:val="both"/>
        <w:rPr>
          <w:rFonts w:ascii="Times New Roman" w:hAnsi="Times New Roman" w:cs="Times New Roman"/>
          <w:sz w:val="25"/>
          <w:szCs w:val="25"/>
        </w:rPr>
      </w:pPr>
    </w:p>
    <w:p w:rsidR="008A2331" w:rsidRDefault="008A2331" w:rsidP="008A2331">
      <w:pPr>
        <w:jc w:val="both"/>
        <w:rPr>
          <w:rFonts w:ascii="Times New Roman" w:hAnsi="Times New Roman" w:cs="Times New Roman"/>
          <w:sz w:val="25"/>
          <w:szCs w:val="25"/>
        </w:rPr>
      </w:pPr>
      <w:r>
        <w:rPr>
          <w:rFonts w:ascii="Times New Roman" w:hAnsi="Times New Roman" w:cs="Times New Roman"/>
          <w:sz w:val="25"/>
          <w:szCs w:val="25"/>
        </w:rPr>
        <w:t xml:space="preserve">6. </w:t>
      </w:r>
      <w:r w:rsidRPr="008A2331">
        <w:rPr>
          <w:rFonts w:ascii="Times New Roman" w:hAnsi="Times New Roman" w:cs="Times New Roman"/>
          <w:sz w:val="25"/>
          <w:szCs w:val="25"/>
        </w:rPr>
        <w:t>This was followed by Ex.4 letter dated 16.3.1998 wherein it is stated in the very opening paragraph of the said letter as follows :</w:t>
      </w:r>
    </w:p>
    <w:p w:rsidR="008A2331" w:rsidRPr="008A2331" w:rsidRDefault="008A2331" w:rsidP="008A2331">
      <w:pPr>
        <w:jc w:val="both"/>
        <w:rPr>
          <w:rFonts w:ascii="Times New Roman" w:hAnsi="Times New Roman" w:cs="Times New Roman"/>
          <w:sz w:val="25"/>
          <w:szCs w:val="25"/>
        </w:rPr>
      </w:pPr>
    </w:p>
    <w:p w:rsidR="008A2331" w:rsidRDefault="008A2331" w:rsidP="008A2331">
      <w:pPr>
        <w:ind w:left="720"/>
        <w:jc w:val="both"/>
        <w:rPr>
          <w:rFonts w:ascii="Times New Roman" w:hAnsi="Times New Roman" w:cs="Times New Roman"/>
          <w:sz w:val="25"/>
          <w:szCs w:val="25"/>
        </w:rPr>
      </w:pPr>
      <w:r w:rsidRPr="008A2331">
        <w:rPr>
          <w:rFonts w:ascii="Times New Roman" w:hAnsi="Times New Roman" w:cs="Times New Roman"/>
          <w:sz w:val="25"/>
          <w:szCs w:val="25"/>
        </w:rPr>
        <w:t>"Further to our letter No.ORION/44-1/98/028</w:t>
      </w:r>
      <w:r>
        <w:rPr>
          <w:rFonts w:ascii="Times New Roman" w:hAnsi="Times New Roman" w:cs="Times New Roman"/>
          <w:sz w:val="25"/>
          <w:szCs w:val="25"/>
        </w:rPr>
        <w:t xml:space="preserve"> </w:t>
      </w:r>
      <w:r w:rsidRPr="008A2331">
        <w:rPr>
          <w:rFonts w:ascii="Times New Roman" w:hAnsi="Times New Roman" w:cs="Times New Roman"/>
          <w:sz w:val="25"/>
          <w:szCs w:val="25"/>
        </w:rPr>
        <w:t>dt.9/3/98, we furnish below</w:t>
      </w:r>
      <w:r w:rsidRPr="008A2331">
        <w:rPr>
          <w:rFonts w:ascii="Times New Roman" w:hAnsi="Times New Roman" w:cs="Times New Roman"/>
          <w:sz w:val="25"/>
          <w:szCs w:val="25"/>
        </w:rPr>
        <w:tab/>
        <w:t>the built-up areas</w:t>
      </w:r>
      <w:r>
        <w:rPr>
          <w:rFonts w:ascii="Times New Roman" w:hAnsi="Times New Roman" w:cs="Times New Roman"/>
          <w:sz w:val="25"/>
          <w:szCs w:val="25"/>
        </w:rPr>
        <w:t xml:space="preserve"> </w:t>
      </w:r>
      <w:r w:rsidRPr="008A2331">
        <w:rPr>
          <w:rFonts w:ascii="Times New Roman" w:hAnsi="Times New Roman" w:cs="Times New Roman"/>
          <w:sz w:val="25"/>
          <w:szCs w:val="25"/>
        </w:rPr>
        <w:t>calculated for drg.</w:t>
      </w:r>
      <w:r w:rsidRPr="008A2331">
        <w:rPr>
          <w:rFonts w:ascii="Times New Roman" w:hAnsi="Times New Roman" w:cs="Times New Roman"/>
          <w:sz w:val="25"/>
          <w:szCs w:val="25"/>
        </w:rPr>
        <w:tab/>
        <w:t>Nos.GBA/891/03A,</w:t>
      </w:r>
      <w:r>
        <w:rPr>
          <w:rFonts w:ascii="Times New Roman" w:hAnsi="Times New Roman" w:cs="Times New Roman"/>
          <w:sz w:val="25"/>
          <w:szCs w:val="25"/>
        </w:rPr>
        <w:t xml:space="preserve"> </w:t>
      </w:r>
      <w:r w:rsidRPr="008A2331">
        <w:rPr>
          <w:rFonts w:ascii="Times New Roman" w:hAnsi="Times New Roman" w:cs="Times New Roman"/>
          <w:sz w:val="25"/>
          <w:szCs w:val="25"/>
        </w:rPr>
        <w:t>GBA/891/04A and GBA/891/05A</w:t>
      </w:r>
      <w:r>
        <w:rPr>
          <w:rFonts w:ascii="Times New Roman" w:hAnsi="Times New Roman" w:cs="Times New Roman"/>
          <w:sz w:val="25"/>
          <w:szCs w:val="25"/>
        </w:rPr>
        <w:t xml:space="preserve"> </w:t>
      </w:r>
      <w:r w:rsidRPr="008A2331">
        <w:rPr>
          <w:rFonts w:ascii="Times New Roman" w:hAnsi="Times New Roman" w:cs="Times New Roman"/>
          <w:sz w:val="25"/>
          <w:szCs w:val="25"/>
        </w:rPr>
        <w:t>using our accepted</w:t>
      </w:r>
      <w:r>
        <w:rPr>
          <w:rFonts w:ascii="Times New Roman" w:hAnsi="Times New Roman" w:cs="Times New Roman"/>
          <w:sz w:val="25"/>
          <w:szCs w:val="25"/>
        </w:rPr>
        <w:t xml:space="preserve"> </w:t>
      </w:r>
      <w:r w:rsidRPr="008A2331">
        <w:rPr>
          <w:rFonts w:ascii="Times New Roman" w:hAnsi="Times New Roman" w:cs="Times New Roman"/>
          <w:sz w:val="25"/>
          <w:szCs w:val="25"/>
        </w:rPr>
        <w:t>definition of "built-up area</w:t>
      </w:r>
      <w:r w:rsidRPr="008A2331">
        <w:rPr>
          <w:rFonts w:ascii="Times New Roman" w:hAnsi="Times New Roman" w:cs="Times New Roman"/>
          <w:sz w:val="25"/>
          <w:szCs w:val="25"/>
        </w:rPr>
        <w:tab/>
        <w:t>". Please note that</w:t>
      </w:r>
      <w:r>
        <w:rPr>
          <w:rFonts w:ascii="Times New Roman" w:hAnsi="Times New Roman" w:cs="Times New Roman"/>
          <w:sz w:val="25"/>
          <w:szCs w:val="25"/>
        </w:rPr>
        <w:t xml:space="preserve"> </w:t>
      </w:r>
      <w:r w:rsidRPr="008A2331">
        <w:rPr>
          <w:rFonts w:ascii="Times New Roman" w:hAnsi="Times New Roman" w:cs="Times New Roman"/>
          <w:sz w:val="25"/>
          <w:szCs w:val="25"/>
        </w:rPr>
        <w:t>all common area such as lift well, corridor,</w:t>
      </w:r>
      <w:r>
        <w:rPr>
          <w:rFonts w:ascii="Times New Roman" w:hAnsi="Times New Roman" w:cs="Times New Roman"/>
          <w:sz w:val="25"/>
          <w:szCs w:val="25"/>
        </w:rPr>
        <w:t xml:space="preserve"> lobby, duct, etc., have </w:t>
      </w:r>
      <w:r w:rsidRPr="008A2331">
        <w:rPr>
          <w:rFonts w:ascii="Times New Roman" w:hAnsi="Times New Roman" w:cs="Times New Roman"/>
          <w:sz w:val="25"/>
          <w:szCs w:val="25"/>
        </w:rPr>
        <w:t>been excluded as</w:t>
      </w:r>
      <w:r>
        <w:rPr>
          <w:rFonts w:ascii="Times New Roman" w:hAnsi="Times New Roman" w:cs="Times New Roman"/>
          <w:sz w:val="25"/>
          <w:szCs w:val="25"/>
        </w:rPr>
        <w:t xml:space="preserve"> </w:t>
      </w:r>
      <w:r w:rsidRPr="008A2331">
        <w:rPr>
          <w:rFonts w:ascii="Times New Roman" w:hAnsi="Times New Roman" w:cs="Times New Roman"/>
          <w:sz w:val="25"/>
          <w:szCs w:val="25"/>
        </w:rPr>
        <w:t>suggested by you."</w:t>
      </w:r>
      <w:r w:rsidRPr="008A2331">
        <w:rPr>
          <w:rFonts w:ascii="Times New Roman" w:hAnsi="Times New Roman" w:cs="Times New Roman"/>
          <w:sz w:val="25"/>
          <w:szCs w:val="25"/>
        </w:rPr>
        <w:tab/>
      </w:r>
    </w:p>
    <w:p w:rsidR="008A2331" w:rsidRPr="008A2331" w:rsidRDefault="008A2331" w:rsidP="008A2331">
      <w:pPr>
        <w:ind w:left="720"/>
        <w:jc w:val="both"/>
        <w:rPr>
          <w:rFonts w:ascii="Times New Roman" w:hAnsi="Times New Roman" w:cs="Times New Roman"/>
          <w:sz w:val="25"/>
          <w:szCs w:val="25"/>
        </w:rPr>
      </w:pPr>
    </w:p>
    <w:p w:rsidR="008A2331" w:rsidRDefault="008A2331" w:rsidP="008A2331">
      <w:pPr>
        <w:ind w:left="720"/>
        <w:jc w:val="both"/>
        <w:rPr>
          <w:rFonts w:ascii="Times New Roman" w:hAnsi="Times New Roman" w:cs="Times New Roman"/>
          <w:sz w:val="25"/>
          <w:szCs w:val="25"/>
        </w:rPr>
      </w:pPr>
      <w:r>
        <w:rPr>
          <w:rFonts w:ascii="Times New Roman" w:hAnsi="Times New Roman" w:cs="Times New Roman"/>
          <w:sz w:val="25"/>
          <w:szCs w:val="25"/>
        </w:rPr>
        <w:t xml:space="preserve">(All </w:t>
      </w:r>
      <w:r w:rsidRPr="008A2331">
        <w:rPr>
          <w:rFonts w:ascii="Times New Roman" w:hAnsi="Times New Roman" w:cs="Times New Roman"/>
          <w:sz w:val="25"/>
          <w:szCs w:val="25"/>
        </w:rPr>
        <w:t>emphasis supplied)</w:t>
      </w:r>
    </w:p>
    <w:p w:rsidR="008A2331" w:rsidRPr="008A2331" w:rsidRDefault="008A2331" w:rsidP="008A2331">
      <w:pPr>
        <w:jc w:val="both"/>
        <w:rPr>
          <w:rFonts w:ascii="Times New Roman" w:hAnsi="Times New Roman" w:cs="Times New Roman"/>
          <w:sz w:val="25"/>
          <w:szCs w:val="25"/>
        </w:rPr>
      </w:pPr>
    </w:p>
    <w:p w:rsidR="008A2331" w:rsidRDefault="008A2331" w:rsidP="008A2331">
      <w:pPr>
        <w:jc w:val="both"/>
        <w:rPr>
          <w:rFonts w:ascii="Times New Roman" w:hAnsi="Times New Roman" w:cs="Times New Roman"/>
          <w:sz w:val="25"/>
          <w:szCs w:val="25"/>
        </w:rPr>
      </w:pPr>
      <w:r>
        <w:rPr>
          <w:rFonts w:ascii="Times New Roman" w:hAnsi="Times New Roman" w:cs="Times New Roman"/>
          <w:sz w:val="25"/>
          <w:szCs w:val="25"/>
        </w:rPr>
        <w:t xml:space="preserve">7. </w:t>
      </w:r>
      <w:r w:rsidRPr="008A2331">
        <w:rPr>
          <w:rFonts w:ascii="Times New Roman" w:hAnsi="Times New Roman" w:cs="Times New Roman"/>
          <w:sz w:val="25"/>
          <w:szCs w:val="25"/>
        </w:rPr>
        <w:t>It is unfortunate that the High Court has gone by the earlier understanding of the plaintiff on the concept of built-up area and wholly ignoring the understanding mutually entered into between the plaintiff and the defendant on a later date. According to the High Court, since the plaintiff had once accepted the position that built-up area included common areas, he is always bound by the same. If plaintiff had once accepted the position in regard to the concept of ’built-up area’ he cannot resile subsequently in view of bar under section 5 of the Indian Contract Act, 1872, once offer and acceptance is complete, it is held.</w:t>
      </w:r>
    </w:p>
    <w:p w:rsidR="008A2331" w:rsidRPr="008A2331" w:rsidRDefault="008A2331" w:rsidP="008A2331">
      <w:pPr>
        <w:jc w:val="both"/>
        <w:rPr>
          <w:rFonts w:ascii="Times New Roman" w:hAnsi="Times New Roman" w:cs="Times New Roman"/>
          <w:sz w:val="25"/>
          <w:szCs w:val="25"/>
        </w:rPr>
      </w:pPr>
    </w:p>
    <w:p w:rsidR="008A2331" w:rsidRDefault="008A2331" w:rsidP="008A2331">
      <w:pPr>
        <w:jc w:val="both"/>
        <w:rPr>
          <w:rFonts w:ascii="Times New Roman" w:hAnsi="Times New Roman" w:cs="Times New Roman"/>
          <w:sz w:val="25"/>
          <w:szCs w:val="25"/>
        </w:rPr>
      </w:pPr>
      <w:r>
        <w:rPr>
          <w:rFonts w:ascii="Times New Roman" w:hAnsi="Times New Roman" w:cs="Times New Roman"/>
          <w:sz w:val="25"/>
          <w:szCs w:val="25"/>
        </w:rPr>
        <w:t xml:space="preserve">8. </w:t>
      </w:r>
      <w:r w:rsidRPr="008A2331">
        <w:rPr>
          <w:rFonts w:ascii="Times New Roman" w:hAnsi="Times New Roman" w:cs="Times New Roman"/>
          <w:sz w:val="25"/>
          <w:szCs w:val="25"/>
        </w:rPr>
        <w:t>The relevant consideration by the High Court at</w:t>
      </w:r>
      <w:r>
        <w:rPr>
          <w:rFonts w:ascii="Times New Roman" w:hAnsi="Times New Roman" w:cs="Times New Roman"/>
          <w:sz w:val="25"/>
          <w:szCs w:val="25"/>
        </w:rPr>
        <w:t xml:space="preserve"> Para </w:t>
      </w:r>
      <w:r w:rsidRPr="008A2331">
        <w:rPr>
          <w:rFonts w:ascii="Times New Roman" w:hAnsi="Times New Roman" w:cs="Times New Roman"/>
          <w:sz w:val="25"/>
          <w:szCs w:val="25"/>
        </w:rPr>
        <w:t>26 of the impugned judgment reads as follows :</w:t>
      </w:r>
    </w:p>
    <w:p w:rsidR="008A2331" w:rsidRPr="008A2331" w:rsidRDefault="008A2331" w:rsidP="008A2331">
      <w:pPr>
        <w:jc w:val="both"/>
        <w:rPr>
          <w:rFonts w:ascii="Times New Roman" w:hAnsi="Times New Roman" w:cs="Times New Roman"/>
          <w:sz w:val="25"/>
          <w:szCs w:val="25"/>
        </w:rPr>
      </w:pPr>
    </w:p>
    <w:p w:rsidR="008A2331" w:rsidRDefault="008A2331" w:rsidP="008A2331">
      <w:pPr>
        <w:ind w:left="720"/>
        <w:jc w:val="both"/>
        <w:rPr>
          <w:rFonts w:ascii="Times New Roman" w:hAnsi="Times New Roman" w:cs="Times New Roman"/>
          <w:sz w:val="25"/>
          <w:szCs w:val="25"/>
        </w:rPr>
      </w:pPr>
      <w:r w:rsidRPr="008A2331">
        <w:rPr>
          <w:rFonts w:ascii="Times New Roman" w:hAnsi="Times New Roman" w:cs="Times New Roman"/>
          <w:sz w:val="25"/>
          <w:szCs w:val="25"/>
        </w:rPr>
        <w:t>"If Ext.3 and Ext.4 are studied an</w:t>
      </w:r>
      <w:r>
        <w:rPr>
          <w:rFonts w:ascii="Times New Roman" w:hAnsi="Times New Roman" w:cs="Times New Roman"/>
          <w:sz w:val="25"/>
          <w:szCs w:val="25"/>
        </w:rPr>
        <w:t>d compared it would</w:t>
      </w:r>
      <w:r>
        <w:rPr>
          <w:rFonts w:ascii="Times New Roman" w:hAnsi="Times New Roman" w:cs="Times New Roman"/>
          <w:sz w:val="25"/>
          <w:szCs w:val="25"/>
        </w:rPr>
        <w:tab/>
        <w:t xml:space="preserve">appear that </w:t>
      </w:r>
      <w:r w:rsidRPr="008A2331">
        <w:rPr>
          <w:rFonts w:ascii="Times New Roman" w:hAnsi="Times New Roman" w:cs="Times New Roman"/>
          <w:sz w:val="25"/>
          <w:szCs w:val="25"/>
        </w:rPr>
        <w:t>prima</w:t>
      </w:r>
      <w:r>
        <w:rPr>
          <w:rFonts w:ascii="Times New Roman" w:hAnsi="Times New Roman" w:cs="Times New Roman"/>
          <w:sz w:val="25"/>
          <w:szCs w:val="25"/>
        </w:rPr>
        <w:t xml:space="preserve"> </w:t>
      </w:r>
      <w:r w:rsidRPr="008A2331">
        <w:rPr>
          <w:rFonts w:ascii="Times New Roman" w:hAnsi="Times New Roman" w:cs="Times New Roman"/>
          <w:sz w:val="25"/>
          <w:szCs w:val="25"/>
        </w:rPr>
        <w:t>facie,</w:t>
      </w:r>
      <w:r>
        <w:rPr>
          <w:rFonts w:ascii="Times New Roman" w:hAnsi="Times New Roman" w:cs="Times New Roman"/>
          <w:sz w:val="25"/>
          <w:szCs w:val="25"/>
        </w:rPr>
        <w:t xml:space="preserve">  </w:t>
      </w:r>
      <w:r w:rsidRPr="008A2331">
        <w:rPr>
          <w:rFonts w:ascii="Times New Roman" w:hAnsi="Times New Roman" w:cs="Times New Roman"/>
          <w:sz w:val="25"/>
          <w:szCs w:val="25"/>
        </w:rPr>
        <w:t>defendant</w:t>
      </w:r>
      <w:r>
        <w:rPr>
          <w:rFonts w:ascii="Times New Roman" w:hAnsi="Times New Roman" w:cs="Times New Roman"/>
          <w:sz w:val="25"/>
          <w:szCs w:val="25"/>
        </w:rPr>
        <w:t xml:space="preserve"> </w:t>
      </w:r>
      <w:r w:rsidRPr="008A2331">
        <w:rPr>
          <w:rFonts w:ascii="Times New Roman" w:hAnsi="Times New Roman" w:cs="Times New Roman"/>
          <w:sz w:val="25"/>
          <w:szCs w:val="25"/>
        </w:rPr>
        <w:t>undertook to accept the definition of ’built up area’ given by the plaintiff and therafter deferred the matter for recalculation of the entitlement on the light of such definition. But in the subsequent communication, the defendant made</w:t>
      </w:r>
      <w:r>
        <w:rPr>
          <w:rFonts w:ascii="Times New Roman" w:hAnsi="Times New Roman" w:cs="Times New Roman"/>
          <w:sz w:val="25"/>
          <w:szCs w:val="25"/>
        </w:rPr>
        <w:t xml:space="preserve"> </w:t>
      </w:r>
      <w:r w:rsidRPr="008A2331">
        <w:rPr>
          <w:rFonts w:ascii="Times New Roman" w:hAnsi="Times New Roman" w:cs="Times New Roman"/>
          <w:sz w:val="25"/>
          <w:szCs w:val="25"/>
        </w:rPr>
        <w:t>recalculation as to</w:t>
      </w:r>
      <w:r>
        <w:rPr>
          <w:rFonts w:ascii="Times New Roman" w:hAnsi="Times New Roman" w:cs="Times New Roman"/>
          <w:sz w:val="25"/>
          <w:szCs w:val="25"/>
        </w:rPr>
        <w:t xml:space="preserve"> </w:t>
      </w:r>
      <w:r w:rsidRPr="008A2331">
        <w:rPr>
          <w:rFonts w:ascii="Times New Roman" w:hAnsi="Times New Roman" w:cs="Times New Roman"/>
          <w:sz w:val="25"/>
          <w:szCs w:val="25"/>
        </w:rPr>
        <w:t>entitlement of the</w:t>
      </w:r>
      <w:r>
        <w:rPr>
          <w:rFonts w:ascii="Times New Roman" w:hAnsi="Times New Roman" w:cs="Times New Roman"/>
          <w:sz w:val="25"/>
          <w:szCs w:val="25"/>
        </w:rPr>
        <w:t xml:space="preserve"> </w:t>
      </w:r>
      <w:r w:rsidRPr="008A2331">
        <w:rPr>
          <w:rFonts w:ascii="Times New Roman" w:hAnsi="Times New Roman" w:cs="Times New Roman"/>
          <w:sz w:val="25"/>
          <w:szCs w:val="25"/>
        </w:rPr>
        <w:t>plaintiff by applying his own definition of the 'built up area’ and thus included common areas in the 'built up area'. This letter was written on</w:t>
      </w:r>
      <w:r>
        <w:rPr>
          <w:rFonts w:ascii="Times New Roman" w:hAnsi="Times New Roman" w:cs="Times New Roman"/>
          <w:sz w:val="25"/>
          <w:szCs w:val="25"/>
        </w:rPr>
        <w:t xml:space="preserve"> </w:t>
      </w:r>
      <w:r w:rsidRPr="008A2331">
        <w:rPr>
          <w:rFonts w:ascii="Times New Roman" w:hAnsi="Times New Roman" w:cs="Times New Roman"/>
          <w:sz w:val="25"/>
          <w:szCs w:val="25"/>
        </w:rPr>
        <w:t>16.3.1998.</w:t>
      </w:r>
      <w:r w:rsidRPr="008A2331">
        <w:rPr>
          <w:rFonts w:ascii="Times New Roman" w:hAnsi="Times New Roman" w:cs="Times New Roman"/>
          <w:sz w:val="25"/>
          <w:szCs w:val="25"/>
        </w:rPr>
        <w:tab/>
        <w:t xml:space="preserve"> But prior to that it is the plaintiff who had accepted the concept of 'built up area' as given by the defendant in his letter dated</w:t>
      </w:r>
      <w:r>
        <w:rPr>
          <w:rFonts w:ascii="Times New Roman" w:hAnsi="Times New Roman" w:cs="Times New Roman"/>
          <w:sz w:val="25"/>
          <w:szCs w:val="25"/>
        </w:rPr>
        <w:t xml:space="preserve"> 15.9.1997 </w:t>
      </w:r>
      <w:r w:rsidRPr="008A2331">
        <w:rPr>
          <w:rFonts w:ascii="Times New Roman" w:hAnsi="Times New Roman" w:cs="Times New Roman"/>
          <w:sz w:val="25"/>
          <w:szCs w:val="25"/>
        </w:rPr>
        <w:t xml:space="preserve"> and made his own calculation about the entitlement of 'built up area'. According to the version of the plaintiff in the said letter dated</w:t>
      </w:r>
      <w:r>
        <w:rPr>
          <w:rFonts w:ascii="Times New Roman" w:hAnsi="Times New Roman" w:cs="Times New Roman"/>
          <w:sz w:val="25"/>
          <w:szCs w:val="25"/>
        </w:rPr>
        <w:t xml:space="preserve"> 15.9.1997 </w:t>
      </w:r>
      <w:r w:rsidRPr="008A2331">
        <w:rPr>
          <w:rFonts w:ascii="Times New Roman" w:hAnsi="Times New Roman" w:cs="Times New Roman"/>
          <w:sz w:val="25"/>
          <w:szCs w:val="25"/>
        </w:rPr>
        <w:t xml:space="preserve"> (Ext.H), he was allotted possession of</w:t>
      </w:r>
      <w:r>
        <w:rPr>
          <w:rFonts w:ascii="Times New Roman" w:hAnsi="Times New Roman" w:cs="Times New Roman"/>
          <w:sz w:val="25"/>
          <w:szCs w:val="25"/>
        </w:rPr>
        <w:t xml:space="preserve"> 8726.43 </w:t>
      </w:r>
      <w:r w:rsidRPr="008A2331">
        <w:rPr>
          <w:rFonts w:ascii="Times New Roman" w:hAnsi="Times New Roman" w:cs="Times New Roman"/>
          <w:sz w:val="25"/>
          <w:szCs w:val="25"/>
        </w:rPr>
        <w:t xml:space="preserve"> sq.ft of 'built up area' in total in three floors, namely, first floor, mezzanine floor</w:t>
      </w:r>
      <w:r w:rsidRPr="008A2331">
        <w:rPr>
          <w:rFonts w:ascii="Times New Roman" w:hAnsi="Times New Roman" w:cs="Times New Roman"/>
          <w:sz w:val="25"/>
          <w:szCs w:val="25"/>
        </w:rPr>
        <w:tab/>
        <w:t>and the third</w:t>
      </w:r>
      <w:r w:rsidRPr="008A2331">
        <w:rPr>
          <w:rFonts w:ascii="Times New Roman" w:hAnsi="Times New Roman" w:cs="Times New Roman"/>
          <w:sz w:val="25"/>
          <w:szCs w:val="25"/>
        </w:rPr>
        <w:tab/>
        <w:t>floor.</w:t>
      </w:r>
      <w:r w:rsidRPr="008A2331">
        <w:rPr>
          <w:rFonts w:ascii="Times New Roman" w:hAnsi="Times New Roman" w:cs="Times New Roman"/>
          <w:sz w:val="25"/>
          <w:szCs w:val="25"/>
        </w:rPr>
        <w:tab/>
        <w:t>Out of</w:t>
      </w:r>
      <w:r w:rsidRPr="008A2331">
        <w:rPr>
          <w:rFonts w:ascii="Times New Roman" w:hAnsi="Times New Roman" w:cs="Times New Roman"/>
          <w:sz w:val="25"/>
          <w:szCs w:val="25"/>
        </w:rPr>
        <w:tab/>
        <w:t>this total</w:t>
      </w:r>
      <w:r>
        <w:rPr>
          <w:rFonts w:ascii="Times New Roman" w:hAnsi="Times New Roman" w:cs="Times New Roman"/>
          <w:sz w:val="25"/>
          <w:szCs w:val="25"/>
        </w:rPr>
        <w:t xml:space="preserve"> 'built up area' of 8726.43 sq.ft., plaintif </w:t>
      </w:r>
      <w:r w:rsidRPr="008A2331">
        <w:rPr>
          <w:rFonts w:ascii="Times New Roman" w:hAnsi="Times New Roman" w:cs="Times New Roman"/>
          <w:sz w:val="25"/>
          <w:szCs w:val="25"/>
        </w:rPr>
        <w:t xml:space="preserve">himself admitted in the said letter that there was 558.19 sq.ft. common area in the first floor, 544.74 sq.ft common area in the </w:t>
      </w:r>
      <w:r w:rsidRPr="008A2331">
        <w:rPr>
          <w:rFonts w:ascii="Times New Roman" w:hAnsi="Times New Roman" w:cs="Times New Roman"/>
          <w:sz w:val="25"/>
          <w:szCs w:val="25"/>
        </w:rPr>
        <w:lastRenderedPageBreak/>
        <w:t>mezzanine floor and 540 sq.ft in the third floor. Thus, out of</w:t>
      </w:r>
      <w:r>
        <w:rPr>
          <w:rFonts w:ascii="Times New Roman" w:hAnsi="Times New Roman" w:cs="Times New Roman"/>
          <w:sz w:val="25"/>
          <w:szCs w:val="25"/>
        </w:rPr>
        <w:t xml:space="preserve"> 8726.43 </w:t>
      </w:r>
      <w:r w:rsidRPr="008A2331">
        <w:rPr>
          <w:rFonts w:ascii="Times New Roman" w:hAnsi="Times New Roman" w:cs="Times New Roman"/>
          <w:sz w:val="25"/>
          <w:szCs w:val="25"/>
        </w:rPr>
        <w:t xml:space="preserve"> sq.ft 'built up area' handed over to the plaintiff, there wa</w:t>
      </w:r>
      <w:r>
        <w:rPr>
          <w:rFonts w:ascii="Times New Roman" w:hAnsi="Times New Roman" w:cs="Times New Roman"/>
          <w:sz w:val="25"/>
          <w:szCs w:val="25"/>
        </w:rPr>
        <w:t xml:space="preserve">s 558.19 sq.ft + 554.74 sq.ft + 540 sq.ft = </w:t>
      </w:r>
      <w:r w:rsidRPr="008A2331">
        <w:rPr>
          <w:rFonts w:ascii="Times New Roman" w:hAnsi="Times New Roman" w:cs="Times New Roman"/>
          <w:sz w:val="25"/>
          <w:szCs w:val="25"/>
        </w:rPr>
        <w:t>1652.93 sq.ft common areas and</w:t>
      </w:r>
      <w:r>
        <w:rPr>
          <w:rFonts w:ascii="Times New Roman" w:hAnsi="Times New Roman" w:cs="Times New Roman"/>
          <w:sz w:val="25"/>
          <w:szCs w:val="25"/>
        </w:rPr>
        <w:t xml:space="preserve"> </w:t>
      </w:r>
      <w:r w:rsidRPr="008A2331">
        <w:rPr>
          <w:rFonts w:ascii="Times New Roman" w:hAnsi="Times New Roman" w:cs="Times New Roman"/>
          <w:sz w:val="25"/>
          <w:szCs w:val="25"/>
        </w:rPr>
        <w:t>balance 7083.50 sq.ft under exclusive possession of the plaintiff. The plaintiff after showing this calculation claimed thereafter that he was still entitled to 3445.57 sq.ft in the top floor i.e. eighth floor. The sum of 8726.43 sq.ft + 3445.57 sq.ft is 12172 sq.ft and so there is logic behind this calculation shown by the plaintiff. Once this calculation is accepted, it is clear that prior to issuance of letter</w:t>
      </w:r>
      <w:r>
        <w:rPr>
          <w:rFonts w:ascii="Times New Roman" w:hAnsi="Times New Roman" w:cs="Times New Roman"/>
          <w:sz w:val="25"/>
          <w:szCs w:val="25"/>
        </w:rPr>
        <w:t xml:space="preserve"> 9.3.1998, </w:t>
      </w:r>
      <w:r w:rsidRPr="008A2331">
        <w:rPr>
          <w:rFonts w:ascii="Times New Roman" w:hAnsi="Times New Roman" w:cs="Times New Roman"/>
          <w:sz w:val="25"/>
          <w:szCs w:val="25"/>
        </w:rPr>
        <w:t xml:space="preserve"> the plaintiff had accepted the proposition that built up area would include common areas. If plaintiff had accepted the proposition of the defendant in regard to concept of 'built up area' he cannot resile subsequently in view of bar under section 5 of the Indian Contract Act, 1872."</w:t>
      </w:r>
    </w:p>
    <w:p w:rsidR="008A2331" w:rsidRPr="008A2331" w:rsidRDefault="008A2331" w:rsidP="008A2331">
      <w:pPr>
        <w:ind w:left="720"/>
        <w:jc w:val="both"/>
        <w:rPr>
          <w:rFonts w:ascii="Times New Roman" w:hAnsi="Times New Roman" w:cs="Times New Roman"/>
          <w:sz w:val="25"/>
          <w:szCs w:val="25"/>
        </w:rPr>
      </w:pPr>
    </w:p>
    <w:p w:rsidR="008A2331" w:rsidRDefault="008A2331" w:rsidP="008A2331">
      <w:pPr>
        <w:jc w:val="both"/>
        <w:rPr>
          <w:rFonts w:ascii="Times New Roman" w:hAnsi="Times New Roman" w:cs="Times New Roman"/>
          <w:sz w:val="25"/>
          <w:szCs w:val="25"/>
        </w:rPr>
      </w:pPr>
      <w:r>
        <w:rPr>
          <w:rFonts w:ascii="Times New Roman" w:hAnsi="Times New Roman" w:cs="Times New Roman"/>
          <w:sz w:val="25"/>
          <w:szCs w:val="25"/>
        </w:rPr>
        <w:t xml:space="preserve">9. </w:t>
      </w:r>
      <w:r w:rsidRPr="008A2331">
        <w:rPr>
          <w:rFonts w:ascii="Times New Roman" w:hAnsi="Times New Roman" w:cs="Times New Roman"/>
          <w:sz w:val="25"/>
          <w:szCs w:val="25"/>
        </w:rPr>
        <w:t>It is not a case where the plaintiff resiled from the agreement. It is a case where the defendant himself subsequently accepted the dispute raised by the plaintiff with regard to the concept of 'built-up area’. In express terms, the respondent-defendant has subsequently agreed that the built-up area will not include the common area like lift well, corridor, lobby, duct, etc. Admittedly, the expression "built up area" is not defined in the sale deed. It is something to be deciphered from the conduct of the parties. No doubt, the appellant plaintiff had, after five years of the sale deed, as per letter Ex.'H' dated 15.9.1997 understood the built up area as including common area. But subsequently, he disputed the position and it was the respondent-defendant who accepted and agreed to the position that built up area does not include common area. It is not as if an attempt is made for interpreting the express terms of an agreement, by subsequent conduct. It is a situation where there is a dispute on a concept relating to an expression/concept which is not explained in the agreement. The plaintiff had initially understood the concept in a particular angle or manner. But that does not prevent him from raising a dispute. And on raising such a dispute, nothing prevented the defendant from insisting the plaintiff to stick to his original stand. On the contrary, it is the defendant who changed his stand as per Ex.3 and Ex.4 and accepted the position as raised by the plaintiff.</w:t>
      </w:r>
      <w:r>
        <w:rPr>
          <w:rFonts w:ascii="Times New Roman" w:hAnsi="Times New Roman" w:cs="Times New Roman"/>
          <w:sz w:val="25"/>
          <w:szCs w:val="25"/>
        </w:rPr>
        <w:t xml:space="preserve"> </w:t>
      </w:r>
      <w:r w:rsidRPr="008A2331">
        <w:rPr>
          <w:rFonts w:ascii="Times New Roman" w:hAnsi="Times New Roman" w:cs="Times New Roman"/>
          <w:sz w:val="25"/>
          <w:szCs w:val="25"/>
        </w:rPr>
        <w:t>Thereafter and therefor, under the true spirit of section 5 of the Contract Act, defendant cannot resile from the mutually agreed position.</w:t>
      </w:r>
    </w:p>
    <w:p w:rsidR="008A2331" w:rsidRPr="008A2331" w:rsidRDefault="008A2331" w:rsidP="008A2331">
      <w:pPr>
        <w:jc w:val="both"/>
        <w:rPr>
          <w:rFonts w:ascii="Times New Roman" w:hAnsi="Times New Roman" w:cs="Times New Roman"/>
          <w:sz w:val="25"/>
          <w:szCs w:val="25"/>
        </w:rPr>
      </w:pPr>
    </w:p>
    <w:p w:rsidR="008A2331" w:rsidRDefault="008A2331" w:rsidP="008A2331">
      <w:pPr>
        <w:jc w:val="both"/>
        <w:rPr>
          <w:rFonts w:ascii="Times New Roman" w:hAnsi="Times New Roman" w:cs="Times New Roman"/>
          <w:sz w:val="25"/>
          <w:szCs w:val="25"/>
        </w:rPr>
      </w:pPr>
      <w:r>
        <w:rPr>
          <w:rFonts w:ascii="Times New Roman" w:hAnsi="Times New Roman" w:cs="Times New Roman"/>
          <w:sz w:val="25"/>
          <w:szCs w:val="25"/>
        </w:rPr>
        <w:t xml:space="preserve">10. </w:t>
      </w:r>
      <w:r w:rsidRPr="008A2331">
        <w:rPr>
          <w:rFonts w:ascii="Times New Roman" w:hAnsi="Times New Roman" w:cs="Times New Roman"/>
          <w:sz w:val="25"/>
          <w:szCs w:val="25"/>
        </w:rPr>
        <w:t xml:space="preserve">In </w:t>
      </w:r>
      <w:r w:rsidRPr="008A2331">
        <w:rPr>
          <w:rFonts w:ascii="Times New Roman" w:hAnsi="Times New Roman" w:cs="Times New Roman"/>
          <w:i/>
          <w:sz w:val="25"/>
          <w:szCs w:val="25"/>
        </w:rPr>
        <w:t xml:space="preserve">Abdulla Ahmed vs. Animendra Kissen Mitter </w:t>
      </w:r>
      <w:r w:rsidRPr="008A2331">
        <w:rPr>
          <w:rFonts w:ascii="Times New Roman" w:hAnsi="Times New Roman" w:cs="Times New Roman"/>
          <w:i/>
          <w:sz w:val="20"/>
          <w:szCs w:val="20"/>
          <w:vertAlign w:val="superscript"/>
        </w:rPr>
        <w:t>1</w:t>
      </w:r>
      <w:r w:rsidRPr="008A2331">
        <w:rPr>
          <w:rFonts w:ascii="Times New Roman" w:hAnsi="Times New Roman" w:cs="Times New Roman"/>
          <w:i/>
          <w:sz w:val="25"/>
          <w:szCs w:val="25"/>
        </w:rPr>
        <w:t xml:space="preserve">- </w:t>
      </w:r>
      <w:r w:rsidRPr="008A2331">
        <w:rPr>
          <w:rFonts w:ascii="Times New Roman" w:hAnsi="Times New Roman" w:cs="Times New Roman"/>
          <w:sz w:val="25"/>
          <w:szCs w:val="25"/>
        </w:rPr>
        <w:t>this Court has dealt with a similar situation and it has been held that "</w:t>
      </w:r>
    </w:p>
    <w:p w:rsidR="008A2331" w:rsidRPr="008A2331" w:rsidRDefault="008A2331" w:rsidP="008A2331">
      <w:pPr>
        <w:jc w:val="both"/>
        <w:rPr>
          <w:rFonts w:ascii="Times New Roman" w:hAnsi="Times New Roman" w:cs="Times New Roman"/>
          <w:sz w:val="25"/>
          <w:szCs w:val="25"/>
        </w:rPr>
      </w:pPr>
    </w:p>
    <w:p w:rsidR="008A2331" w:rsidRDefault="008A2331" w:rsidP="008A2331">
      <w:pPr>
        <w:ind w:left="720"/>
        <w:jc w:val="both"/>
        <w:rPr>
          <w:rFonts w:ascii="Times New Roman" w:hAnsi="Times New Roman" w:cs="Times New Roman"/>
          <w:sz w:val="25"/>
          <w:szCs w:val="25"/>
        </w:rPr>
      </w:pPr>
      <w:r w:rsidRPr="008A2331">
        <w:rPr>
          <w:rFonts w:ascii="Times New Roman" w:hAnsi="Times New Roman" w:cs="Times New Roman"/>
          <w:sz w:val="25"/>
          <w:szCs w:val="25"/>
        </w:rPr>
        <w:t>"Extrinsic evidence to determine the effect of an instrument is permissible where there remains a doubt as to its true meaning. Evidence of the acts done under it is a guide to the intention of the parties in such a case and particularly when acts are done shortly after the date of the instrument."</w:t>
      </w:r>
    </w:p>
    <w:p w:rsidR="008A2331" w:rsidRPr="008A2331" w:rsidRDefault="008A2331" w:rsidP="008A2331">
      <w:pPr>
        <w:ind w:left="720"/>
        <w:jc w:val="both"/>
        <w:rPr>
          <w:rFonts w:ascii="Times New Roman" w:hAnsi="Times New Roman" w:cs="Times New Roman"/>
          <w:sz w:val="25"/>
          <w:szCs w:val="25"/>
        </w:rPr>
      </w:pPr>
    </w:p>
    <w:p w:rsidR="008A2331" w:rsidRDefault="008A2331" w:rsidP="008A2331">
      <w:pPr>
        <w:ind w:left="720"/>
        <w:jc w:val="both"/>
        <w:rPr>
          <w:rFonts w:ascii="Times New Roman" w:hAnsi="Times New Roman" w:cs="Times New Roman"/>
          <w:i/>
          <w:sz w:val="25"/>
          <w:szCs w:val="25"/>
        </w:rPr>
      </w:pPr>
      <w:r w:rsidRPr="008A2331">
        <w:rPr>
          <w:rFonts w:ascii="Times New Roman" w:hAnsi="Times New Roman" w:cs="Times New Roman"/>
          <w:sz w:val="25"/>
          <w:szCs w:val="25"/>
        </w:rPr>
        <w:t xml:space="preserve">This was followed in The </w:t>
      </w:r>
      <w:r w:rsidRPr="008A2331">
        <w:rPr>
          <w:rFonts w:ascii="Times New Roman" w:hAnsi="Times New Roman" w:cs="Times New Roman"/>
          <w:i/>
          <w:sz w:val="25"/>
          <w:szCs w:val="25"/>
        </w:rPr>
        <w:t>Godhra Electricity Co. Ltd &amp; Anr. vs. The State of Gujarat &amp; Anr.</w:t>
      </w:r>
      <w:r w:rsidRPr="008A2331">
        <w:rPr>
          <w:rFonts w:ascii="Times New Roman" w:hAnsi="Times New Roman" w:cs="Times New Roman"/>
          <w:i/>
          <w:sz w:val="20"/>
          <w:szCs w:val="20"/>
          <w:vertAlign w:val="superscript"/>
        </w:rPr>
        <w:t>2</w:t>
      </w:r>
      <w:r w:rsidRPr="008A2331">
        <w:rPr>
          <w:rFonts w:ascii="Times New Roman" w:hAnsi="Times New Roman" w:cs="Times New Roman"/>
          <w:i/>
          <w:sz w:val="25"/>
          <w:szCs w:val="25"/>
        </w:rPr>
        <w:t xml:space="preserve"> </w:t>
      </w:r>
      <w:r>
        <w:rPr>
          <w:rFonts w:ascii="Times New Roman" w:hAnsi="Times New Roman" w:cs="Times New Roman"/>
          <w:i/>
          <w:sz w:val="25"/>
          <w:szCs w:val="25"/>
        </w:rPr>
        <w:t>–</w:t>
      </w:r>
      <w:r w:rsidRPr="008A2331">
        <w:rPr>
          <w:rFonts w:ascii="Times New Roman" w:hAnsi="Times New Roman" w:cs="Times New Roman"/>
          <w:i/>
          <w:sz w:val="25"/>
          <w:szCs w:val="25"/>
        </w:rPr>
        <w:t xml:space="preserve"> </w:t>
      </w:r>
    </w:p>
    <w:p w:rsidR="008A2331" w:rsidRPr="008A2331" w:rsidRDefault="008A2331" w:rsidP="008A2331">
      <w:pPr>
        <w:ind w:left="720"/>
        <w:jc w:val="both"/>
        <w:rPr>
          <w:rFonts w:ascii="Times New Roman" w:hAnsi="Times New Roman" w:cs="Times New Roman"/>
          <w:i/>
          <w:sz w:val="25"/>
          <w:szCs w:val="25"/>
        </w:rPr>
      </w:pPr>
    </w:p>
    <w:p w:rsidR="008A2331" w:rsidRPr="008A2331" w:rsidRDefault="008A2331" w:rsidP="008A2331">
      <w:pPr>
        <w:ind w:left="720"/>
        <w:jc w:val="both"/>
        <w:rPr>
          <w:rFonts w:ascii="Times New Roman" w:hAnsi="Times New Roman" w:cs="Times New Roman"/>
          <w:sz w:val="25"/>
          <w:szCs w:val="25"/>
        </w:rPr>
      </w:pPr>
      <w:r w:rsidRPr="008A2331">
        <w:rPr>
          <w:rFonts w:ascii="Times New Roman" w:hAnsi="Times New Roman" w:cs="Times New Roman"/>
          <w:sz w:val="25"/>
          <w:szCs w:val="25"/>
        </w:rPr>
        <w:t xml:space="preserve">"In these circumstances, we do not think we will be justified in not following the decision of this Court in </w:t>
      </w:r>
      <w:r w:rsidRPr="008A2331">
        <w:rPr>
          <w:rFonts w:ascii="Times New Roman" w:hAnsi="Times New Roman" w:cs="Times New Roman"/>
          <w:i/>
          <w:sz w:val="25"/>
          <w:szCs w:val="25"/>
        </w:rPr>
        <w:t>Abdulla Ahm</w:t>
      </w:r>
      <w:r>
        <w:rPr>
          <w:rFonts w:ascii="Times New Roman" w:hAnsi="Times New Roman" w:cs="Times New Roman"/>
          <w:i/>
          <w:sz w:val="25"/>
          <w:szCs w:val="25"/>
        </w:rPr>
        <w:t>ed vs. Animendra Kissen Mitter</w:t>
      </w:r>
      <w:r w:rsidRPr="008A2331">
        <w:rPr>
          <w:rFonts w:ascii="Times New Roman" w:hAnsi="Times New Roman" w:cs="Times New Roman"/>
          <w:i/>
          <w:sz w:val="20"/>
          <w:szCs w:val="20"/>
          <w:vertAlign w:val="superscript"/>
        </w:rPr>
        <w:t>3</w:t>
      </w:r>
      <w:r w:rsidRPr="008A2331">
        <w:rPr>
          <w:rFonts w:ascii="Times New Roman" w:hAnsi="Times New Roman" w:cs="Times New Roman"/>
          <w:i/>
          <w:sz w:val="25"/>
          <w:szCs w:val="25"/>
        </w:rPr>
        <w:t>,</w:t>
      </w:r>
      <w:r w:rsidRPr="008A2331">
        <w:rPr>
          <w:rFonts w:ascii="Times New Roman" w:hAnsi="Times New Roman" w:cs="Times New Roman"/>
          <w:sz w:val="25"/>
          <w:szCs w:val="25"/>
        </w:rPr>
        <w:t xml:space="preserve"> where this Court said that extrinsic evidence to determine the effect of an instrument is permissible where there remains a doubt as to its true meaning and that evidence of the acts done under it is a guide to the intention of the parties, particularly, when acts are done shortly after the date of the instrument."</w:t>
      </w:r>
    </w:p>
    <w:p w:rsidR="008A2331" w:rsidRDefault="008A2331" w:rsidP="008A233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8A2331">
        <w:rPr>
          <w:rFonts w:ascii="Times New Roman" w:hAnsi="Times New Roman" w:cs="Times New Roman"/>
          <w:sz w:val="25"/>
          <w:szCs w:val="25"/>
        </w:rPr>
        <w:t>We, accordingly, allow this appeal, set aside the impugned judgment of the High Court with regard to the finding on the 'built-up area' and restore that of the trial court.</w:t>
      </w:r>
    </w:p>
    <w:p w:rsidR="008A2331" w:rsidRPr="008A2331" w:rsidRDefault="008A2331" w:rsidP="008A2331">
      <w:pPr>
        <w:jc w:val="both"/>
        <w:rPr>
          <w:rFonts w:ascii="Times New Roman" w:hAnsi="Times New Roman" w:cs="Times New Roman"/>
          <w:sz w:val="25"/>
          <w:szCs w:val="25"/>
        </w:rPr>
      </w:pPr>
    </w:p>
    <w:p w:rsidR="008A2331" w:rsidRDefault="008A2331" w:rsidP="008A2331">
      <w:pPr>
        <w:jc w:val="both"/>
        <w:rPr>
          <w:rFonts w:ascii="Times New Roman" w:hAnsi="Times New Roman" w:cs="Times New Roman"/>
          <w:sz w:val="25"/>
          <w:szCs w:val="25"/>
        </w:rPr>
      </w:pPr>
      <w:r>
        <w:rPr>
          <w:rFonts w:ascii="Times New Roman" w:hAnsi="Times New Roman" w:cs="Times New Roman"/>
          <w:sz w:val="25"/>
          <w:szCs w:val="25"/>
        </w:rPr>
        <w:t xml:space="preserve">12. </w:t>
      </w:r>
      <w:r w:rsidRPr="008A2331">
        <w:rPr>
          <w:rFonts w:ascii="Times New Roman" w:hAnsi="Times New Roman" w:cs="Times New Roman"/>
          <w:sz w:val="25"/>
          <w:szCs w:val="25"/>
        </w:rPr>
        <w:t>We find that the High Court has remanded the matter to the trial court for the purpose of calculation of the built up area to be handed over to the plaintiff-appellant. We direct the trial court to make the calculation in terms of this judgment and accordingly, dispose of the suit expeditiously.</w:t>
      </w:r>
    </w:p>
    <w:p w:rsidR="008A2331" w:rsidRPr="008A2331" w:rsidRDefault="008A2331" w:rsidP="008A2331">
      <w:pPr>
        <w:jc w:val="both"/>
        <w:rPr>
          <w:rFonts w:ascii="Times New Roman" w:hAnsi="Times New Roman" w:cs="Times New Roman"/>
          <w:sz w:val="25"/>
          <w:szCs w:val="25"/>
        </w:rPr>
      </w:pPr>
    </w:p>
    <w:p w:rsidR="008A2331" w:rsidRDefault="008A2331" w:rsidP="008A2331">
      <w:pPr>
        <w:jc w:val="both"/>
        <w:rPr>
          <w:rFonts w:ascii="Times New Roman" w:hAnsi="Times New Roman" w:cs="Times New Roman"/>
          <w:sz w:val="25"/>
          <w:szCs w:val="25"/>
        </w:rPr>
      </w:pPr>
      <w:r>
        <w:rPr>
          <w:rFonts w:ascii="Times New Roman" w:hAnsi="Times New Roman" w:cs="Times New Roman"/>
          <w:sz w:val="25"/>
          <w:szCs w:val="25"/>
        </w:rPr>
        <w:t xml:space="preserve">13. </w:t>
      </w:r>
      <w:r w:rsidRPr="008A2331">
        <w:rPr>
          <w:rFonts w:ascii="Times New Roman" w:hAnsi="Times New Roman" w:cs="Times New Roman"/>
          <w:sz w:val="25"/>
          <w:szCs w:val="25"/>
        </w:rPr>
        <w:t>No costs.</w:t>
      </w:r>
    </w:p>
    <w:p w:rsidR="008A2331" w:rsidRDefault="008A2331" w:rsidP="008A2331">
      <w:pPr>
        <w:jc w:val="both"/>
        <w:rPr>
          <w:rFonts w:ascii="Times New Roman" w:hAnsi="Times New Roman" w:cs="Times New Roman"/>
          <w:sz w:val="25"/>
          <w:szCs w:val="25"/>
        </w:rPr>
      </w:pPr>
    </w:p>
    <w:p w:rsidR="008A2331" w:rsidRDefault="008A2331" w:rsidP="008A2331">
      <w:pPr>
        <w:jc w:val="both"/>
        <w:rPr>
          <w:rFonts w:ascii="Times New Roman" w:hAnsi="Times New Roman" w:cs="Times New Roman"/>
          <w:sz w:val="25"/>
          <w:szCs w:val="25"/>
        </w:rPr>
      </w:pPr>
      <w:r>
        <w:rPr>
          <w:rFonts w:ascii="Times New Roman" w:hAnsi="Times New Roman" w:cs="Times New Roman"/>
          <w:sz w:val="25"/>
          <w:szCs w:val="25"/>
        </w:rPr>
        <w:t>Judgment Referred.</w:t>
      </w:r>
    </w:p>
    <w:p w:rsidR="008A2331" w:rsidRDefault="008A2331" w:rsidP="008A2331">
      <w:pPr>
        <w:jc w:val="both"/>
        <w:rPr>
          <w:rFonts w:ascii="Times New Roman" w:hAnsi="Times New Roman" w:cs="Times New Roman"/>
          <w:sz w:val="25"/>
          <w:szCs w:val="25"/>
        </w:rPr>
      </w:pPr>
    </w:p>
    <w:p w:rsidR="008A2331" w:rsidRPr="00664B56" w:rsidRDefault="008A2331" w:rsidP="008A2331">
      <w:pPr>
        <w:jc w:val="both"/>
        <w:rPr>
          <w:rFonts w:ascii="Times New Roman" w:hAnsi="Times New Roman" w:cs="Times New Roman"/>
          <w:i/>
          <w:sz w:val="20"/>
          <w:szCs w:val="20"/>
        </w:rPr>
      </w:pPr>
      <w:r w:rsidRPr="00664B56">
        <w:rPr>
          <w:rFonts w:ascii="Times New Roman" w:hAnsi="Times New Roman" w:cs="Times New Roman"/>
          <w:i/>
          <w:sz w:val="20"/>
          <w:szCs w:val="20"/>
          <w:vertAlign w:val="superscript"/>
        </w:rPr>
        <w:t>1</w:t>
      </w:r>
      <w:r w:rsidRPr="00664B56">
        <w:rPr>
          <w:rFonts w:ascii="Times New Roman" w:hAnsi="Times New Roman" w:cs="Times New Roman"/>
          <w:i/>
          <w:sz w:val="20"/>
          <w:szCs w:val="20"/>
        </w:rPr>
        <w:t>AIR 1950 SC 0015</w:t>
      </w:r>
    </w:p>
    <w:p w:rsidR="008A2331" w:rsidRPr="00664B56" w:rsidRDefault="008A2331" w:rsidP="008A2331">
      <w:pPr>
        <w:jc w:val="both"/>
        <w:rPr>
          <w:rFonts w:ascii="Times New Roman" w:hAnsi="Times New Roman" w:cs="Times New Roman"/>
          <w:i/>
          <w:sz w:val="20"/>
          <w:szCs w:val="20"/>
        </w:rPr>
      </w:pPr>
      <w:r w:rsidRPr="00664B56">
        <w:rPr>
          <w:rFonts w:ascii="Times New Roman" w:hAnsi="Times New Roman" w:cs="Times New Roman"/>
          <w:i/>
          <w:sz w:val="20"/>
          <w:szCs w:val="20"/>
          <w:vertAlign w:val="superscript"/>
        </w:rPr>
        <w:t>2</w:t>
      </w:r>
      <w:r w:rsidRPr="00664B56">
        <w:rPr>
          <w:rFonts w:ascii="Times New Roman" w:hAnsi="Times New Roman" w:cs="Times New Roman"/>
          <w:i/>
          <w:sz w:val="20"/>
          <w:szCs w:val="20"/>
        </w:rPr>
        <w:t xml:space="preserve">AIR 1975 SC 0032 </w:t>
      </w:r>
    </w:p>
    <w:p w:rsidR="008A2331" w:rsidRPr="00664B56" w:rsidRDefault="008A2331" w:rsidP="008A2331">
      <w:pPr>
        <w:jc w:val="both"/>
        <w:rPr>
          <w:rFonts w:ascii="Times New Roman" w:hAnsi="Times New Roman" w:cs="Times New Roman"/>
          <w:i/>
          <w:sz w:val="20"/>
          <w:szCs w:val="20"/>
        </w:rPr>
      </w:pPr>
      <w:r w:rsidRPr="00664B56">
        <w:rPr>
          <w:rFonts w:ascii="Times New Roman" w:hAnsi="Times New Roman" w:cs="Times New Roman"/>
          <w:i/>
          <w:sz w:val="20"/>
          <w:szCs w:val="20"/>
          <w:vertAlign w:val="superscript"/>
        </w:rPr>
        <w:t>3</w:t>
      </w:r>
      <w:r w:rsidRPr="00664B56">
        <w:rPr>
          <w:rFonts w:ascii="Times New Roman" w:hAnsi="Times New Roman" w:cs="Times New Roman"/>
          <w:i/>
          <w:sz w:val="20"/>
          <w:szCs w:val="20"/>
        </w:rPr>
        <w:t>(1950) SCR 00</w:t>
      </w:r>
      <w:r w:rsidR="00664B56" w:rsidRPr="00664B56">
        <w:rPr>
          <w:rFonts w:ascii="Times New Roman" w:hAnsi="Times New Roman" w:cs="Times New Roman"/>
          <w:i/>
          <w:sz w:val="20"/>
          <w:szCs w:val="20"/>
        </w:rPr>
        <w:t xml:space="preserve">30 at p.46 , </w:t>
      </w:r>
      <w:r w:rsidRPr="00664B56">
        <w:rPr>
          <w:rFonts w:ascii="Times New Roman" w:hAnsi="Times New Roman" w:cs="Times New Roman"/>
          <w:i/>
          <w:sz w:val="20"/>
          <w:szCs w:val="20"/>
        </w:rPr>
        <w:t>AIR 1950 SC 15 at p.21</w:t>
      </w:r>
    </w:p>
    <w:p w:rsidR="008A2331" w:rsidRPr="00664B56" w:rsidRDefault="008A2331" w:rsidP="008A2331">
      <w:pPr>
        <w:jc w:val="both"/>
        <w:rPr>
          <w:rFonts w:ascii="Times New Roman" w:hAnsi="Times New Roman" w:cs="Times New Roman"/>
          <w:i/>
          <w:sz w:val="20"/>
          <w:szCs w:val="20"/>
        </w:rPr>
      </w:pPr>
      <w:r w:rsidRPr="00664B56">
        <w:rPr>
          <w:rFonts w:ascii="Times New Roman" w:hAnsi="Times New Roman" w:cs="Times New Roman"/>
          <w:i/>
          <w:sz w:val="20"/>
          <w:szCs w:val="20"/>
        </w:rPr>
        <w:tab/>
      </w:r>
    </w:p>
    <w:p w:rsidR="007F13DD" w:rsidRPr="008A2331" w:rsidRDefault="007F13DD" w:rsidP="008A2331">
      <w:pPr>
        <w:jc w:val="both"/>
        <w:rPr>
          <w:rFonts w:ascii="Times New Roman" w:hAnsi="Times New Roman" w:cs="Times New Roman"/>
          <w:sz w:val="25"/>
          <w:szCs w:val="25"/>
        </w:rPr>
      </w:pPr>
    </w:p>
    <w:sectPr w:rsidR="007F13DD" w:rsidRPr="008A2331" w:rsidSect="007F13DD">
      <w:headerReference w:type="default" r:id="rId7"/>
      <w:footerReference w:type="default" r:id="rId8"/>
      <w:type w:val="continuous"/>
      <w:pgSz w:w="12240" w:h="15840"/>
      <w:pgMar w:top="888" w:right="1000" w:bottom="595" w:left="215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4E0" w:rsidRDefault="007B34E0" w:rsidP="007F13DD">
      <w:r>
        <w:separator/>
      </w:r>
    </w:p>
  </w:endnote>
  <w:endnote w:type="continuationSeparator" w:id="1">
    <w:p w:rsidR="007B34E0" w:rsidRDefault="007B34E0" w:rsidP="007F13D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2"/>
        <w:szCs w:val="22"/>
      </w:rPr>
      <w:id w:val="1583208"/>
      <w:docPartObj>
        <w:docPartGallery w:val="Page Numbers (Bottom of Page)"/>
        <w:docPartUnique/>
      </w:docPartObj>
    </w:sdtPr>
    <w:sdtContent>
      <w:p w:rsidR="008A2331" w:rsidRPr="008A2331" w:rsidRDefault="008A2331">
        <w:pPr>
          <w:pStyle w:val="Footer"/>
          <w:jc w:val="center"/>
          <w:rPr>
            <w:rFonts w:ascii="Times New Roman" w:hAnsi="Times New Roman" w:cs="Times New Roman"/>
            <w:sz w:val="22"/>
            <w:szCs w:val="22"/>
          </w:rPr>
        </w:pPr>
        <w:r w:rsidRPr="008A233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8A2331">
          <w:rPr>
            <w:rFonts w:ascii="Times New Roman" w:hAnsi="Times New Roman" w:cs="Times New Roman"/>
            <w:sz w:val="22"/>
            <w:szCs w:val="22"/>
          </w:rPr>
          <w:t xml:space="preserve">             </w:t>
        </w:r>
        <w:r w:rsidRPr="008A2331">
          <w:rPr>
            <w:rFonts w:ascii="Times New Roman" w:hAnsi="Times New Roman" w:cs="Times New Roman"/>
            <w:sz w:val="22"/>
            <w:szCs w:val="22"/>
          </w:rPr>
          <w:fldChar w:fldCharType="begin"/>
        </w:r>
        <w:r w:rsidRPr="008A2331">
          <w:rPr>
            <w:rFonts w:ascii="Times New Roman" w:hAnsi="Times New Roman" w:cs="Times New Roman"/>
            <w:sz w:val="22"/>
            <w:szCs w:val="22"/>
          </w:rPr>
          <w:instrText xml:space="preserve"> PAGE   \* MERGEFORMAT </w:instrText>
        </w:r>
        <w:r w:rsidRPr="008A2331">
          <w:rPr>
            <w:rFonts w:ascii="Times New Roman" w:hAnsi="Times New Roman" w:cs="Times New Roman"/>
            <w:sz w:val="22"/>
            <w:szCs w:val="22"/>
          </w:rPr>
          <w:fldChar w:fldCharType="separate"/>
        </w:r>
        <w:r w:rsidR="00664B56">
          <w:rPr>
            <w:rFonts w:ascii="Times New Roman" w:hAnsi="Times New Roman" w:cs="Times New Roman"/>
            <w:noProof/>
            <w:sz w:val="22"/>
            <w:szCs w:val="22"/>
          </w:rPr>
          <w:t>1</w:t>
        </w:r>
        <w:r w:rsidRPr="008A2331">
          <w:rPr>
            <w:rFonts w:ascii="Times New Roman" w:hAnsi="Times New Roman" w:cs="Times New Roman"/>
            <w:sz w:val="22"/>
            <w:szCs w:val="22"/>
          </w:rPr>
          <w:fldChar w:fldCharType="end"/>
        </w:r>
        <w:r w:rsidRPr="008A233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8A233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8A2331">
          <w:rPr>
            <w:rFonts w:ascii="Times New Roman" w:hAnsi="Times New Roman" w:cs="Times New Roman"/>
            <w:sz w:val="22"/>
            <w:szCs w:val="22"/>
          </w:rPr>
          <w:t xml:space="preserve">             SpotLaw     </w:t>
        </w:r>
      </w:p>
    </w:sdtContent>
  </w:sdt>
  <w:p w:rsidR="007F13DD" w:rsidRPr="008A2331" w:rsidRDefault="008A2331">
    <w:pPr>
      <w:rPr>
        <w:rFonts w:ascii="Times New Roman" w:hAnsi="Times New Roman" w:cs="Times New Roman"/>
        <w:sz w:val="22"/>
        <w:szCs w:val="22"/>
      </w:rPr>
    </w:pPr>
    <w:r w:rsidRPr="008A2331">
      <w:rPr>
        <w:rFonts w:ascii="Times New Roman" w:hAnsi="Times New Roman" w:cs="Times New Roman"/>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4E0" w:rsidRDefault="007B34E0"/>
  </w:footnote>
  <w:footnote w:type="continuationSeparator" w:id="1">
    <w:p w:rsidR="007B34E0" w:rsidRDefault="007B34E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3DD" w:rsidRDefault="007F13DD">
    <w:pPr>
      <w:rPr>
        <w:sz w:val="2"/>
        <w:szCs w:val="2"/>
      </w:rPr>
    </w:pPr>
    <w:r w:rsidRPr="007F13DD">
      <w:pict>
        <v:shapetype id="_x0000_t202" coordsize="21600,21600" o:spt="202" path="m,l,21600r21600,l21600,xe">
          <v:stroke joinstyle="miter"/>
          <v:path gradientshapeok="t" o:connecttype="rect"/>
        </v:shapetype>
        <v:shape id="_x0000_s1025" type="#_x0000_t202" style="position:absolute;margin-left:312.8pt;margin-top:16.55pt;width:5.3pt;height:8.65pt;z-index:-188744064;mso-wrap-style:none;mso-wrap-distance-left:5pt;mso-wrap-distance-right:5pt;mso-position-horizontal-relative:page;mso-position-vertical-relative:page" wrapcoords="0 0" filled="f" stroked="f">
          <v:textbox style="mso-fit-shape-to-text:t" inset="0,0,0,0">
            <w:txbxContent>
              <w:p w:rsidR="007F13DD" w:rsidRDefault="007F13DD">
                <w:pPr>
                  <w:pStyle w:val="Headerorfooter0"/>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04CE9"/>
    <w:multiLevelType w:val="multilevel"/>
    <w:tmpl w:val="5E926F04"/>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F13DD"/>
    <w:rsid w:val="00664B56"/>
    <w:rsid w:val="007B34E0"/>
    <w:rsid w:val="007F13DD"/>
    <w:rsid w:val="008A2331"/>
    <w:rsid w:val="00A83177"/>
    <w:rsid w:val="00B06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13D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13DD"/>
    <w:rPr>
      <w:color w:val="0066CC"/>
      <w:u w:val="single"/>
    </w:rPr>
  </w:style>
  <w:style w:type="character" w:customStyle="1" w:styleId="Bodytext">
    <w:name w:val="Body text_"/>
    <w:basedOn w:val="DefaultParagraphFont"/>
    <w:link w:val="Bodytext0"/>
    <w:rsid w:val="007F13DD"/>
    <w:rPr>
      <w:b/>
      <w:bCs/>
      <w:i w:val="0"/>
      <w:iCs w:val="0"/>
      <w:smallCaps w:val="0"/>
      <w:strike w:val="0"/>
      <w:sz w:val="22"/>
      <w:szCs w:val="22"/>
      <w:u w:val="none"/>
    </w:rPr>
  </w:style>
  <w:style w:type="character" w:customStyle="1" w:styleId="Bodytext1">
    <w:name w:val="Body text"/>
    <w:basedOn w:val="Bodytext"/>
    <w:rsid w:val="007F13DD"/>
    <w:rPr>
      <w:rFonts w:ascii="Courier New" w:eastAsia="Courier New" w:hAnsi="Courier New" w:cs="Courier New"/>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7F13DD"/>
    <w:rPr>
      <w:b/>
      <w:bCs/>
      <w:i w:val="0"/>
      <w:iCs w:val="0"/>
      <w:smallCaps w:val="0"/>
      <w:strike w:val="0"/>
      <w:spacing w:val="10"/>
      <w:sz w:val="21"/>
      <w:szCs w:val="21"/>
      <w:u w:val="none"/>
    </w:rPr>
  </w:style>
  <w:style w:type="character" w:customStyle="1" w:styleId="Headerorfooter1">
    <w:name w:val="Header or footer"/>
    <w:basedOn w:val="Headerorfooter"/>
    <w:rsid w:val="007F13DD"/>
    <w:rPr>
      <w:rFonts w:ascii="Courier New" w:eastAsia="Courier New" w:hAnsi="Courier New" w:cs="Courier New"/>
      <w:color w:val="000000"/>
      <w:w w:val="100"/>
      <w:position w:val="0"/>
      <w:lang w:val="en-US" w:eastAsia="en-US" w:bidi="en-US"/>
    </w:rPr>
  </w:style>
  <w:style w:type="paragraph" w:customStyle="1" w:styleId="Bodytext0">
    <w:name w:val="Body text"/>
    <w:basedOn w:val="Normal"/>
    <w:link w:val="Bodytext"/>
    <w:rsid w:val="007F13DD"/>
    <w:pPr>
      <w:shd w:val="clear" w:color="auto" w:fill="FFFFFF"/>
      <w:spacing w:line="0" w:lineRule="atLeast"/>
      <w:jc w:val="right"/>
    </w:pPr>
    <w:rPr>
      <w:b/>
      <w:bCs/>
      <w:sz w:val="22"/>
      <w:szCs w:val="22"/>
    </w:rPr>
  </w:style>
  <w:style w:type="paragraph" w:customStyle="1" w:styleId="Headerorfooter0">
    <w:name w:val="Header or footer"/>
    <w:basedOn w:val="Normal"/>
    <w:link w:val="Headerorfooter"/>
    <w:rsid w:val="007F13DD"/>
    <w:pPr>
      <w:shd w:val="clear" w:color="auto" w:fill="FFFFFF"/>
      <w:spacing w:line="0" w:lineRule="atLeast"/>
    </w:pPr>
    <w:rPr>
      <w:b/>
      <w:bCs/>
      <w:spacing w:val="10"/>
      <w:sz w:val="21"/>
      <w:szCs w:val="21"/>
    </w:rPr>
  </w:style>
  <w:style w:type="paragraph" w:styleId="Header">
    <w:name w:val="header"/>
    <w:basedOn w:val="Normal"/>
    <w:link w:val="HeaderChar"/>
    <w:uiPriority w:val="99"/>
    <w:semiHidden/>
    <w:unhideWhenUsed/>
    <w:rsid w:val="00B0622D"/>
    <w:pPr>
      <w:tabs>
        <w:tab w:val="center" w:pos="4680"/>
        <w:tab w:val="right" w:pos="9360"/>
      </w:tabs>
    </w:pPr>
  </w:style>
  <w:style w:type="character" w:customStyle="1" w:styleId="HeaderChar">
    <w:name w:val="Header Char"/>
    <w:basedOn w:val="DefaultParagraphFont"/>
    <w:link w:val="Header"/>
    <w:uiPriority w:val="99"/>
    <w:semiHidden/>
    <w:rsid w:val="00B0622D"/>
    <w:rPr>
      <w:color w:val="000000"/>
    </w:rPr>
  </w:style>
  <w:style w:type="paragraph" w:styleId="Footer">
    <w:name w:val="footer"/>
    <w:basedOn w:val="Normal"/>
    <w:link w:val="FooterChar"/>
    <w:uiPriority w:val="99"/>
    <w:unhideWhenUsed/>
    <w:rsid w:val="00B0622D"/>
    <w:pPr>
      <w:tabs>
        <w:tab w:val="center" w:pos="4680"/>
        <w:tab w:val="right" w:pos="9360"/>
      </w:tabs>
    </w:pPr>
  </w:style>
  <w:style w:type="character" w:customStyle="1" w:styleId="FooterChar">
    <w:name w:val="Footer Char"/>
    <w:basedOn w:val="DefaultParagraphFont"/>
    <w:link w:val="Footer"/>
    <w:uiPriority w:val="99"/>
    <w:rsid w:val="00B0622D"/>
    <w:rPr>
      <w:color w:val="000000"/>
    </w:rPr>
  </w:style>
  <w:style w:type="paragraph" w:styleId="ListParagraph">
    <w:name w:val="List Paragraph"/>
    <w:basedOn w:val="Normal"/>
    <w:uiPriority w:val="34"/>
    <w:qFormat/>
    <w:rsid w:val="00B0622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Record Of Proceedings_SUPREME COURT</vt:lpstr>
    </vt:vector>
  </TitlesOfParts>
  <Company/>
  <LinksUpToDate>false</LinksUpToDate>
  <CharactersWithSpaces>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Proceedings_SUPREME COURT</dc:title>
  <dc:creator>Main</dc:creator>
  <cp:lastModifiedBy>Main</cp:lastModifiedBy>
  <cp:revision>2</cp:revision>
  <cp:lastPrinted>2016-05-17T10:13:00Z</cp:lastPrinted>
  <dcterms:created xsi:type="dcterms:W3CDTF">2016-05-17T10:37:00Z</dcterms:created>
  <dcterms:modified xsi:type="dcterms:W3CDTF">2016-05-17T10:37:00Z</dcterms:modified>
</cp:coreProperties>
</file>