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922" w:rsidRPr="00B97922" w:rsidRDefault="00B97922" w:rsidP="00B97922">
      <w:pPr>
        <w:jc w:val="center"/>
        <w:rPr>
          <w:b/>
          <w:szCs w:val="20"/>
        </w:rPr>
      </w:pPr>
      <w:r w:rsidRPr="00B97922">
        <w:rPr>
          <w:b/>
          <w:szCs w:val="20"/>
        </w:rPr>
        <w:t>SUPREME COURT OF INDIA</w:t>
      </w:r>
    </w:p>
    <w:p w:rsidR="00B97922" w:rsidRPr="00B97922" w:rsidRDefault="00B97922" w:rsidP="00B97922">
      <w:pPr>
        <w:jc w:val="center"/>
        <w:rPr>
          <w:szCs w:val="20"/>
        </w:rPr>
      </w:pPr>
    </w:p>
    <w:p w:rsidR="00B97922" w:rsidRDefault="00B97922" w:rsidP="00B97922">
      <w:pPr>
        <w:jc w:val="center"/>
        <w:rPr>
          <w:szCs w:val="20"/>
        </w:rPr>
      </w:pPr>
      <w:r w:rsidRPr="00B97922">
        <w:rPr>
          <w:szCs w:val="20"/>
        </w:rPr>
        <w:t>Harsh International &amp; Anr.</w:t>
      </w:r>
    </w:p>
    <w:p w:rsidR="00B97922" w:rsidRDefault="00B97922" w:rsidP="00B97922">
      <w:pPr>
        <w:jc w:val="center"/>
        <w:rPr>
          <w:szCs w:val="20"/>
        </w:rPr>
      </w:pPr>
    </w:p>
    <w:p w:rsidR="00B97922" w:rsidRDefault="00B97922" w:rsidP="00B97922">
      <w:pPr>
        <w:jc w:val="center"/>
        <w:rPr>
          <w:szCs w:val="20"/>
        </w:rPr>
      </w:pPr>
      <w:r>
        <w:rPr>
          <w:szCs w:val="20"/>
        </w:rPr>
        <w:t>Vs.</w:t>
      </w:r>
    </w:p>
    <w:p w:rsidR="00B97922" w:rsidRPr="00B97922" w:rsidRDefault="00B97922" w:rsidP="00B97922">
      <w:pPr>
        <w:jc w:val="center"/>
        <w:rPr>
          <w:szCs w:val="20"/>
        </w:rPr>
      </w:pPr>
    </w:p>
    <w:p w:rsidR="00B97922" w:rsidRDefault="00B97922" w:rsidP="00B97922">
      <w:pPr>
        <w:jc w:val="center"/>
        <w:rPr>
          <w:szCs w:val="20"/>
        </w:rPr>
      </w:pPr>
      <w:r>
        <w:rPr>
          <w:szCs w:val="20"/>
        </w:rPr>
        <w:t>Union o</w:t>
      </w:r>
      <w:r w:rsidRPr="00B97922">
        <w:rPr>
          <w:szCs w:val="20"/>
        </w:rPr>
        <w:t>f India &amp; Ors.</w:t>
      </w:r>
    </w:p>
    <w:p w:rsidR="00B97922" w:rsidRDefault="00B97922" w:rsidP="00B97922">
      <w:pPr>
        <w:jc w:val="center"/>
        <w:rPr>
          <w:szCs w:val="20"/>
        </w:rPr>
      </w:pPr>
    </w:p>
    <w:p w:rsidR="00B97922" w:rsidRDefault="00B97922" w:rsidP="00B97922">
      <w:pPr>
        <w:jc w:val="center"/>
        <w:rPr>
          <w:szCs w:val="20"/>
        </w:rPr>
      </w:pPr>
      <w:r>
        <w:rPr>
          <w:szCs w:val="20"/>
        </w:rPr>
        <w:t>W.P.</w:t>
      </w:r>
      <w:r w:rsidRPr="00B97922">
        <w:rPr>
          <w:szCs w:val="20"/>
        </w:rPr>
        <w:t>(C</w:t>
      </w:r>
      <w:r>
        <w:rPr>
          <w:szCs w:val="20"/>
        </w:rPr>
        <w:t>ivil)No.856 of</w:t>
      </w:r>
      <w:r w:rsidRPr="00B97922">
        <w:rPr>
          <w:szCs w:val="20"/>
        </w:rPr>
        <w:t xml:space="preserve"> 2013</w:t>
      </w:r>
    </w:p>
    <w:p w:rsidR="00B97922" w:rsidRDefault="00B97922" w:rsidP="00B97922">
      <w:pPr>
        <w:jc w:val="center"/>
        <w:rPr>
          <w:szCs w:val="20"/>
        </w:rPr>
      </w:pPr>
    </w:p>
    <w:p w:rsidR="00B97922" w:rsidRDefault="00B97922" w:rsidP="00B97922">
      <w:pPr>
        <w:jc w:val="center"/>
        <w:rPr>
          <w:szCs w:val="20"/>
        </w:rPr>
      </w:pPr>
      <w:r>
        <w:rPr>
          <w:szCs w:val="20"/>
        </w:rPr>
        <w:t>(Kurian Joseph and R.F.Nariman,JJ.,)</w:t>
      </w:r>
    </w:p>
    <w:p w:rsidR="00B97922" w:rsidRDefault="00B97922" w:rsidP="00B97922">
      <w:pPr>
        <w:jc w:val="center"/>
        <w:rPr>
          <w:szCs w:val="20"/>
        </w:rPr>
      </w:pPr>
    </w:p>
    <w:p w:rsidR="00B97922" w:rsidRDefault="00B97922" w:rsidP="00B97922">
      <w:pPr>
        <w:jc w:val="center"/>
        <w:rPr>
          <w:szCs w:val="20"/>
        </w:rPr>
      </w:pPr>
      <w:r>
        <w:rPr>
          <w:szCs w:val="20"/>
        </w:rPr>
        <w:t>18.07.2016</w:t>
      </w:r>
    </w:p>
    <w:p w:rsidR="00B97922" w:rsidRDefault="00B97922" w:rsidP="00B97922">
      <w:pPr>
        <w:jc w:val="center"/>
        <w:rPr>
          <w:szCs w:val="20"/>
        </w:rPr>
      </w:pPr>
    </w:p>
    <w:p w:rsidR="00B97922" w:rsidRPr="00B97922" w:rsidRDefault="00B97922" w:rsidP="00B97922">
      <w:pPr>
        <w:jc w:val="center"/>
        <w:rPr>
          <w:b/>
          <w:szCs w:val="20"/>
        </w:rPr>
      </w:pPr>
      <w:r w:rsidRPr="00B97922">
        <w:rPr>
          <w:b/>
          <w:szCs w:val="20"/>
        </w:rPr>
        <w:t>JUDGMENT</w:t>
      </w:r>
    </w:p>
    <w:p w:rsidR="00B97922" w:rsidRPr="00B97922" w:rsidRDefault="00B97922" w:rsidP="00B97922">
      <w:pPr>
        <w:jc w:val="both"/>
        <w:rPr>
          <w:b/>
          <w:szCs w:val="20"/>
        </w:rPr>
      </w:pPr>
    </w:p>
    <w:p w:rsidR="00B97922" w:rsidRPr="00B97922" w:rsidRDefault="00B97922" w:rsidP="00B97922">
      <w:pPr>
        <w:jc w:val="both"/>
        <w:rPr>
          <w:b/>
          <w:szCs w:val="20"/>
        </w:rPr>
      </w:pPr>
      <w:r w:rsidRPr="00B97922">
        <w:rPr>
          <w:b/>
          <w:szCs w:val="20"/>
        </w:rPr>
        <w:t>Kurian Joseph,J.,</w:t>
      </w:r>
    </w:p>
    <w:p w:rsidR="00B97922" w:rsidRPr="00B97922" w:rsidRDefault="00B97922" w:rsidP="00B97922">
      <w:pPr>
        <w:jc w:val="both"/>
        <w:rPr>
          <w:szCs w:val="20"/>
        </w:rPr>
      </w:pPr>
    </w:p>
    <w:p w:rsidR="00B97922" w:rsidRDefault="00B97922" w:rsidP="00B97922">
      <w:pPr>
        <w:jc w:val="both"/>
        <w:rPr>
          <w:szCs w:val="20"/>
        </w:rPr>
      </w:pPr>
      <w:r>
        <w:rPr>
          <w:szCs w:val="20"/>
        </w:rPr>
        <w:t xml:space="preserve">1. </w:t>
      </w:r>
      <w:r w:rsidRPr="00B97922">
        <w:rPr>
          <w:szCs w:val="20"/>
        </w:rPr>
        <w:t>This writ petition is filed with the following prayers:</w:t>
      </w:r>
    </w:p>
    <w:p w:rsidR="00B97922" w:rsidRPr="00B97922" w:rsidRDefault="00B97922" w:rsidP="00B97922">
      <w:pPr>
        <w:jc w:val="both"/>
        <w:rPr>
          <w:szCs w:val="20"/>
        </w:rPr>
      </w:pPr>
    </w:p>
    <w:p w:rsidR="00B97922" w:rsidRDefault="00B97922" w:rsidP="00B97922">
      <w:pPr>
        <w:ind w:left="720"/>
        <w:jc w:val="both"/>
        <w:rPr>
          <w:szCs w:val="20"/>
        </w:rPr>
      </w:pPr>
      <w:r>
        <w:rPr>
          <w:rFonts w:hint="eastAsia"/>
          <w:szCs w:val="20"/>
        </w:rPr>
        <w:t>“</w:t>
      </w:r>
      <w:r>
        <w:rPr>
          <w:szCs w:val="20"/>
        </w:rPr>
        <w:t xml:space="preserve">(i) </w:t>
      </w:r>
      <w:r w:rsidRPr="00B97922">
        <w:rPr>
          <w:szCs w:val="20"/>
        </w:rPr>
        <w:t>Issue a Writ, order or direction in the nature of mandamus directing the respondents that the exemption to carry bags as contained under Rule-2 of Plastic Wastes (Management &amp; Handling) Rules, 2011 must be available to the Petitioners also to manufacture exclusively for export its product filter Khaini in plastic packaging or read down the provision contained under Rules 2 and 5 accordingly; and/or</w:t>
      </w:r>
    </w:p>
    <w:p w:rsidR="00B97922" w:rsidRPr="00B97922" w:rsidRDefault="00B97922" w:rsidP="00B97922">
      <w:pPr>
        <w:ind w:left="720"/>
        <w:jc w:val="both"/>
        <w:rPr>
          <w:szCs w:val="20"/>
        </w:rPr>
      </w:pPr>
    </w:p>
    <w:p w:rsidR="00B97922" w:rsidRDefault="00B97922" w:rsidP="00B97922">
      <w:pPr>
        <w:ind w:left="720"/>
        <w:jc w:val="both"/>
        <w:rPr>
          <w:szCs w:val="20"/>
        </w:rPr>
      </w:pPr>
      <w:r>
        <w:rPr>
          <w:szCs w:val="20"/>
        </w:rPr>
        <w:t xml:space="preserve">(ii) </w:t>
      </w:r>
      <w:r w:rsidRPr="00B97922">
        <w:rPr>
          <w:szCs w:val="20"/>
        </w:rPr>
        <w:t>Issue a writ, order or direction in the nature of mandamus directing the respondents not to prohibit the petitioners</w:t>
      </w:r>
      <w:r w:rsidRPr="00B97922">
        <w:rPr>
          <w:rFonts w:hint="eastAsia"/>
          <w:szCs w:val="20"/>
        </w:rPr>
        <w:t>’</w:t>
      </w:r>
      <w:r w:rsidRPr="00B97922">
        <w:rPr>
          <w:szCs w:val="20"/>
        </w:rPr>
        <w:t xml:space="preserve"> 100% export oriented unit located in the Noida Special Economic Zone from manufacturing its product filter Khaini in plastic packaging meant exclusively for exports purposes.</w:t>
      </w:r>
    </w:p>
    <w:p w:rsidR="00B97922" w:rsidRPr="00B97922" w:rsidRDefault="00B97922" w:rsidP="00B97922">
      <w:pPr>
        <w:ind w:left="720"/>
        <w:jc w:val="both"/>
        <w:rPr>
          <w:szCs w:val="20"/>
        </w:rPr>
      </w:pPr>
    </w:p>
    <w:p w:rsidR="00B97922" w:rsidRDefault="00B97922" w:rsidP="00B97922">
      <w:pPr>
        <w:ind w:left="720"/>
        <w:jc w:val="both"/>
        <w:rPr>
          <w:szCs w:val="20"/>
        </w:rPr>
      </w:pPr>
      <w:r>
        <w:rPr>
          <w:szCs w:val="20"/>
        </w:rPr>
        <w:t>(iii)</w:t>
      </w:r>
      <w:r w:rsidRPr="00B97922">
        <w:rPr>
          <w:szCs w:val="20"/>
        </w:rPr>
        <w:t xml:space="preserve"> Grant such and other further orders as may be deemed just and necessary in the facts and circumstances of the present case.</w:t>
      </w:r>
      <w:r>
        <w:rPr>
          <w:rFonts w:hint="eastAsia"/>
          <w:szCs w:val="20"/>
        </w:rPr>
        <w:t>”</w:t>
      </w:r>
    </w:p>
    <w:p w:rsidR="00B97922" w:rsidRPr="00B97922" w:rsidRDefault="00B97922" w:rsidP="00B97922">
      <w:pPr>
        <w:jc w:val="both"/>
        <w:rPr>
          <w:szCs w:val="20"/>
        </w:rPr>
      </w:pPr>
    </w:p>
    <w:p w:rsidR="00B97922" w:rsidRDefault="00B97922" w:rsidP="00B97922">
      <w:pPr>
        <w:jc w:val="both"/>
        <w:rPr>
          <w:szCs w:val="20"/>
        </w:rPr>
      </w:pPr>
      <w:r>
        <w:rPr>
          <w:szCs w:val="20"/>
        </w:rPr>
        <w:t xml:space="preserve">2. </w:t>
      </w:r>
      <w:r w:rsidRPr="00B97922">
        <w:rPr>
          <w:szCs w:val="20"/>
        </w:rPr>
        <w:t>W.P.(C) No. 471/2015 on the same issue has been</w:t>
      </w:r>
      <w:r>
        <w:rPr>
          <w:szCs w:val="20"/>
        </w:rPr>
        <w:t xml:space="preserve"> </w:t>
      </w:r>
      <w:r w:rsidRPr="00B97922">
        <w:rPr>
          <w:szCs w:val="20"/>
        </w:rPr>
        <w:t>allowed by this Court by following the order dated 03.09.2013 of this Court in W.P. (C) No. 466 of 2011 titled "Baba Global Ltd. Vs. Union of India" wherein this Court has permitted the use of plastic bags subject to the undertaking. We are informed that the petitioners have already filed the similar undertaking. Hence, subject to compliance of undertaking filed by the petitioners, these writ petitioners would also be exempted from operation of the Plastic Wastes (Management and Handling) Rules, 2011 and this Writ Petition is allowed in terms of the order in Baba Global Ltd (Supra).</w:t>
      </w:r>
    </w:p>
    <w:p w:rsidR="00DF4B51" w:rsidRPr="00B97922" w:rsidRDefault="00DF4B51" w:rsidP="00B97922">
      <w:pPr>
        <w:jc w:val="both"/>
        <w:rPr>
          <w:szCs w:val="20"/>
        </w:rPr>
      </w:pPr>
    </w:p>
    <w:p w:rsidR="00526A6B" w:rsidRPr="00B97922" w:rsidRDefault="00526A6B" w:rsidP="00B97922">
      <w:pPr>
        <w:jc w:val="both"/>
        <w:rPr>
          <w:szCs w:val="20"/>
        </w:rPr>
      </w:pPr>
    </w:p>
    <w:sectPr w:rsidR="00526A6B" w:rsidRPr="00B9792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BCE" w:rsidRDefault="00DF5BCE" w:rsidP="00CF3BB7">
      <w:r>
        <w:separator/>
      </w:r>
    </w:p>
  </w:endnote>
  <w:endnote w:type="continuationSeparator" w:id="1">
    <w:p w:rsidR="00DF5BCE" w:rsidRDefault="00DF5BC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76500D" w:rsidRPr="00CF3BB7">
          <w:rPr>
            <w:sz w:val="22"/>
            <w:szCs w:val="22"/>
          </w:rPr>
          <w:fldChar w:fldCharType="begin"/>
        </w:r>
        <w:r w:rsidRPr="00CF3BB7">
          <w:rPr>
            <w:sz w:val="22"/>
            <w:szCs w:val="22"/>
          </w:rPr>
          <w:instrText xml:space="preserve"> PAGE   \* MERGEFORMAT </w:instrText>
        </w:r>
        <w:r w:rsidR="0076500D" w:rsidRPr="00CF3BB7">
          <w:rPr>
            <w:sz w:val="22"/>
            <w:szCs w:val="22"/>
          </w:rPr>
          <w:fldChar w:fldCharType="separate"/>
        </w:r>
        <w:r w:rsidR="00DF4B51">
          <w:rPr>
            <w:noProof/>
            <w:sz w:val="22"/>
            <w:szCs w:val="22"/>
          </w:rPr>
          <w:t>1</w:t>
        </w:r>
        <w:r w:rsidR="007650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BCE" w:rsidRDefault="00DF5BCE" w:rsidP="00CF3BB7">
      <w:r>
        <w:separator/>
      </w:r>
    </w:p>
  </w:footnote>
  <w:footnote w:type="continuationSeparator" w:id="1">
    <w:p w:rsidR="00DF5BCE" w:rsidRDefault="00DF5BC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14B3"/>
    <w:rsid w:val="000C3881"/>
    <w:rsid w:val="00192E02"/>
    <w:rsid w:val="001C41B3"/>
    <w:rsid w:val="001D3ED1"/>
    <w:rsid w:val="001F20B4"/>
    <w:rsid w:val="00200093"/>
    <w:rsid w:val="002030FF"/>
    <w:rsid w:val="00230FE9"/>
    <w:rsid w:val="002E5238"/>
    <w:rsid w:val="0036795D"/>
    <w:rsid w:val="003A3A93"/>
    <w:rsid w:val="003B0560"/>
    <w:rsid w:val="003E19CD"/>
    <w:rsid w:val="00524B9D"/>
    <w:rsid w:val="00526A6B"/>
    <w:rsid w:val="00533ECA"/>
    <w:rsid w:val="0058585A"/>
    <w:rsid w:val="006212D9"/>
    <w:rsid w:val="0068588D"/>
    <w:rsid w:val="006A405F"/>
    <w:rsid w:val="006F33DA"/>
    <w:rsid w:val="0076500D"/>
    <w:rsid w:val="007E19FB"/>
    <w:rsid w:val="00843666"/>
    <w:rsid w:val="00896536"/>
    <w:rsid w:val="008D1259"/>
    <w:rsid w:val="008E21C3"/>
    <w:rsid w:val="00941E4C"/>
    <w:rsid w:val="0096093A"/>
    <w:rsid w:val="009A2AF4"/>
    <w:rsid w:val="009B20C3"/>
    <w:rsid w:val="009F10CE"/>
    <w:rsid w:val="00A101DA"/>
    <w:rsid w:val="00A10F89"/>
    <w:rsid w:val="00A94F25"/>
    <w:rsid w:val="00B20BB0"/>
    <w:rsid w:val="00B52D42"/>
    <w:rsid w:val="00B76037"/>
    <w:rsid w:val="00B86FD0"/>
    <w:rsid w:val="00B966B0"/>
    <w:rsid w:val="00B97922"/>
    <w:rsid w:val="00BB7D6F"/>
    <w:rsid w:val="00BD6540"/>
    <w:rsid w:val="00BF664C"/>
    <w:rsid w:val="00C6004E"/>
    <w:rsid w:val="00C620FE"/>
    <w:rsid w:val="00C87D0E"/>
    <w:rsid w:val="00CB1919"/>
    <w:rsid w:val="00CE175D"/>
    <w:rsid w:val="00CF3BB7"/>
    <w:rsid w:val="00D21C5E"/>
    <w:rsid w:val="00D86B2A"/>
    <w:rsid w:val="00DF4B51"/>
    <w:rsid w:val="00DF5BCE"/>
    <w:rsid w:val="00E35387"/>
    <w:rsid w:val="00E44FF9"/>
    <w:rsid w:val="00E51D0F"/>
    <w:rsid w:val="00E823B7"/>
    <w:rsid w:val="00EC2B6E"/>
    <w:rsid w:val="00EC75EB"/>
    <w:rsid w:val="00F20074"/>
    <w:rsid w:val="00F4229D"/>
    <w:rsid w:val="00FA0063"/>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2016-07-23T07:32:00Z</cp:lastPrinted>
  <dcterms:created xsi:type="dcterms:W3CDTF">2016-07-23T07:37:00Z</dcterms:created>
  <dcterms:modified xsi:type="dcterms:W3CDTF">2016-07-23T07:37:00Z</dcterms:modified>
</cp:coreProperties>
</file>