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818" w:rsidRPr="00F23818" w:rsidRDefault="00F23818" w:rsidP="00F23818">
      <w:pPr>
        <w:jc w:val="center"/>
        <w:rPr>
          <w:b/>
          <w:szCs w:val="20"/>
        </w:rPr>
      </w:pPr>
      <w:r w:rsidRPr="00F23818">
        <w:rPr>
          <w:b/>
          <w:szCs w:val="20"/>
        </w:rPr>
        <w:t>SUPREME COURT OF INDIA</w:t>
      </w:r>
    </w:p>
    <w:p w:rsidR="00F23818" w:rsidRDefault="00F23818" w:rsidP="00F23818">
      <w:pPr>
        <w:jc w:val="center"/>
        <w:rPr>
          <w:szCs w:val="20"/>
        </w:rPr>
      </w:pPr>
    </w:p>
    <w:p w:rsidR="00F23818" w:rsidRDefault="00F23818" w:rsidP="00F23818">
      <w:pPr>
        <w:jc w:val="center"/>
        <w:rPr>
          <w:szCs w:val="20"/>
        </w:rPr>
      </w:pPr>
      <w:r w:rsidRPr="00F23818">
        <w:rPr>
          <w:szCs w:val="20"/>
        </w:rPr>
        <w:t>Vivek Singh</w:t>
      </w:r>
    </w:p>
    <w:p w:rsidR="00F23818" w:rsidRDefault="00F23818" w:rsidP="00F23818">
      <w:pPr>
        <w:jc w:val="center"/>
        <w:rPr>
          <w:szCs w:val="20"/>
        </w:rPr>
      </w:pPr>
    </w:p>
    <w:p w:rsidR="00F23818" w:rsidRDefault="00F23818" w:rsidP="00F23818">
      <w:pPr>
        <w:jc w:val="center"/>
        <w:rPr>
          <w:szCs w:val="20"/>
        </w:rPr>
      </w:pPr>
      <w:r>
        <w:rPr>
          <w:szCs w:val="20"/>
        </w:rPr>
        <w:t>Vs.</w:t>
      </w:r>
    </w:p>
    <w:p w:rsidR="00F23818" w:rsidRPr="00F23818" w:rsidRDefault="00F23818" w:rsidP="00F23818">
      <w:pPr>
        <w:jc w:val="center"/>
        <w:rPr>
          <w:szCs w:val="20"/>
        </w:rPr>
      </w:pPr>
    </w:p>
    <w:p w:rsidR="00F23818" w:rsidRDefault="00F23818" w:rsidP="00F23818">
      <w:pPr>
        <w:jc w:val="center"/>
        <w:rPr>
          <w:szCs w:val="20"/>
        </w:rPr>
      </w:pPr>
      <w:r>
        <w:rPr>
          <w:szCs w:val="20"/>
        </w:rPr>
        <w:t>State o</w:t>
      </w:r>
      <w:r w:rsidRPr="00F23818">
        <w:rPr>
          <w:szCs w:val="20"/>
        </w:rPr>
        <w:t>f U.P. &amp; Anr.</w:t>
      </w:r>
    </w:p>
    <w:p w:rsidR="00F23818" w:rsidRDefault="00F23818" w:rsidP="00F23818">
      <w:pPr>
        <w:jc w:val="center"/>
        <w:rPr>
          <w:szCs w:val="20"/>
        </w:rPr>
      </w:pPr>
    </w:p>
    <w:p w:rsidR="00F23818" w:rsidRDefault="00F23818" w:rsidP="00F23818">
      <w:pPr>
        <w:jc w:val="center"/>
        <w:rPr>
          <w:szCs w:val="20"/>
        </w:rPr>
      </w:pPr>
      <w:r>
        <w:rPr>
          <w:szCs w:val="20"/>
        </w:rPr>
        <w:t xml:space="preserve">C.A.No.10381 of </w:t>
      </w:r>
      <w:r w:rsidRPr="00F23818">
        <w:rPr>
          <w:szCs w:val="20"/>
        </w:rPr>
        <w:t>2014</w:t>
      </w:r>
    </w:p>
    <w:p w:rsidR="00F23818" w:rsidRDefault="00F23818" w:rsidP="00F23818">
      <w:pPr>
        <w:jc w:val="center"/>
        <w:rPr>
          <w:szCs w:val="20"/>
        </w:rPr>
      </w:pPr>
    </w:p>
    <w:p w:rsidR="00F23818" w:rsidRDefault="00F23818" w:rsidP="00F23818">
      <w:pPr>
        <w:jc w:val="center"/>
        <w:rPr>
          <w:szCs w:val="20"/>
        </w:rPr>
      </w:pPr>
      <w:r>
        <w:rPr>
          <w:szCs w:val="20"/>
        </w:rPr>
        <w:t>(S.A.Bobde and Arun Bhushan,JJ.,)</w:t>
      </w:r>
    </w:p>
    <w:p w:rsidR="00F23818" w:rsidRDefault="00F23818" w:rsidP="00F23818">
      <w:pPr>
        <w:jc w:val="center"/>
        <w:rPr>
          <w:szCs w:val="20"/>
        </w:rPr>
      </w:pPr>
    </w:p>
    <w:p w:rsidR="00F23818" w:rsidRDefault="00F23818" w:rsidP="00F23818">
      <w:pPr>
        <w:jc w:val="center"/>
        <w:rPr>
          <w:szCs w:val="20"/>
        </w:rPr>
      </w:pPr>
      <w:r>
        <w:rPr>
          <w:szCs w:val="20"/>
        </w:rPr>
        <w:t>26.08.2016</w:t>
      </w:r>
    </w:p>
    <w:p w:rsidR="00F23818" w:rsidRDefault="00F23818" w:rsidP="00F23818">
      <w:pPr>
        <w:jc w:val="center"/>
        <w:rPr>
          <w:szCs w:val="20"/>
        </w:rPr>
      </w:pPr>
    </w:p>
    <w:p w:rsidR="00F23818" w:rsidRPr="00F23818" w:rsidRDefault="00F23818" w:rsidP="00F23818">
      <w:pPr>
        <w:jc w:val="center"/>
        <w:rPr>
          <w:b/>
          <w:szCs w:val="20"/>
        </w:rPr>
      </w:pPr>
      <w:r w:rsidRPr="00F23818">
        <w:rPr>
          <w:b/>
          <w:szCs w:val="20"/>
        </w:rPr>
        <w:t>JUDGMENT</w:t>
      </w:r>
    </w:p>
    <w:p w:rsidR="00F23818" w:rsidRPr="00F23818" w:rsidRDefault="00F23818" w:rsidP="00F23818">
      <w:pPr>
        <w:jc w:val="both"/>
        <w:rPr>
          <w:b/>
          <w:szCs w:val="20"/>
        </w:rPr>
      </w:pPr>
    </w:p>
    <w:p w:rsidR="00F23818" w:rsidRPr="00F23818" w:rsidRDefault="00F23818" w:rsidP="00F23818">
      <w:pPr>
        <w:jc w:val="both"/>
        <w:rPr>
          <w:b/>
          <w:szCs w:val="20"/>
        </w:rPr>
      </w:pPr>
      <w:r w:rsidRPr="00F23818">
        <w:rPr>
          <w:b/>
          <w:szCs w:val="20"/>
        </w:rPr>
        <w:t>S.A.Bobde,J.,</w:t>
      </w:r>
    </w:p>
    <w:p w:rsidR="00F23818" w:rsidRPr="00F23818" w:rsidRDefault="00F23818" w:rsidP="00F23818">
      <w:pPr>
        <w:jc w:val="both"/>
        <w:rPr>
          <w:szCs w:val="20"/>
        </w:rPr>
      </w:pPr>
    </w:p>
    <w:p w:rsidR="00F23818" w:rsidRDefault="00F23818" w:rsidP="00F23818">
      <w:pPr>
        <w:jc w:val="both"/>
        <w:rPr>
          <w:szCs w:val="20"/>
        </w:rPr>
      </w:pPr>
      <w:r>
        <w:rPr>
          <w:szCs w:val="20"/>
        </w:rPr>
        <w:t xml:space="preserve">1. </w:t>
      </w:r>
      <w:r w:rsidRPr="00F23818">
        <w:rPr>
          <w:szCs w:val="20"/>
        </w:rPr>
        <w:t>On 29.01.2001, the U.P. Public Service Commission invited applications for filling up 800 posts through the Combined State/Upper Subordinate Service Examination 2001. Amongst others the posts to be filled up were Deputy Collector - 9 posts, Deputy S.P. - 67 posts and Trade Tax Officer - 12 posts.</w:t>
      </w:r>
    </w:p>
    <w:p w:rsidR="00F23818" w:rsidRPr="00F23818" w:rsidRDefault="00F23818" w:rsidP="00F23818">
      <w:pPr>
        <w:jc w:val="both"/>
        <w:rPr>
          <w:szCs w:val="20"/>
        </w:rPr>
      </w:pPr>
    </w:p>
    <w:p w:rsidR="00F23818" w:rsidRDefault="00F23818" w:rsidP="00F23818">
      <w:pPr>
        <w:jc w:val="both"/>
        <w:rPr>
          <w:szCs w:val="20"/>
        </w:rPr>
      </w:pPr>
      <w:r>
        <w:rPr>
          <w:szCs w:val="20"/>
        </w:rPr>
        <w:t xml:space="preserve">2. </w:t>
      </w:r>
      <w:r w:rsidRPr="00F23818">
        <w:rPr>
          <w:szCs w:val="20"/>
        </w:rPr>
        <w:t>The appellant applied for selection under the physically handicapped category along with the necessary certificate. His first preference was for the post of Deputy Collector and second preference was for the post of Trade Tax Officer. The appellant was duly selected and placed at Sl.No.38 in the overall merit appellant's appointment as a Trade Tax Officer under the quota reserved for physically handicapped candidates.</w:t>
      </w:r>
    </w:p>
    <w:p w:rsidR="00F23818" w:rsidRPr="00F23818" w:rsidRDefault="00F23818" w:rsidP="00F23818">
      <w:pPr>
        <w:jc w:val="both"/>
        <w:rPr>
          <w:szCs w:val="20"/>
        </w:rPr>
      </w:pPr>
    </w:p>
    <w:p w:rsidR="00F23818" w:rsidRDefault="00F23818" w:rsidP="00F23818">
      <w:pPr>
        <w:jc w:val="both"/>
        <w:rPr>
          <w:szCs w:val="20"/>
        </w:rPr>
      </w:pPr>
      <w:r>
        <w:rPr>
          <w:szCs w:val="20"/>
        </w:rPr>
        <w:t xml:space="preserve">3. </w:t>
      </w:r>
      <w:r w:rsidRPr="00F23818">
        <w:rPr>
          <w:szCs w:val="20"/>
        </w:rPr>
        <w:t>The appellant filed a writ petition before the Allahabad High Court praying for appointment on the post of Deputy Collector. However, pending the writ petition, he joined as a Trade Tax Officer in November, 2004.</w:t>
      </w:r>
    </w:p>
    <w:p w:rsidR="00F23818" w:rsidRPr="00F23818" w:rsidRDefault="00F23818" w:rsidP="00F23818">
      <w:pPr>
        <w:jc w:val="both"/>
        <w:rPr>
          <w:szCs w:val="20"/>
        </w:rPr>
      </w:pPr>
    </w:p>
    <w:p w:rsidR="00F23818" w:rsidRDefault="00F23818" w:rsidP="00F23818">
      <w:pPr>
        <w:jc w:val="both"/>
        <w:rPr>
          <w:szCs w:val="20"/>
        </w:rPr>
      </w:pPr>
      <w:r>
        <w:rPr>
          <w:szCs w:val="20"/>
        </w:rPr>
        <w:t>4.</w:t>
      </w:r>
      <w:r w:rsidRPr="00F23818">
        <w:rPr>
          <w:szCs w:val="20"/>
        </w:rPr>
        <w:t xml:space="preserve"> On 26.11.2010, in National Federation of the Blind, U.P. Branch and others vs. State of </w:t>
      </w:r>
      <w:r w:rsidRPr="001A1B36">
        <w:rPr>
          <w:b/>
          <w:i/>
          <w:szCs w:val="20"/>
        </w:rPr>
        <w:t>Uttar Pradesh &amp; others</w:t>
      </w:r>
      <w:r w:rsidRPr="00F23818">
        <w:rPr>
          <w:szCs w:val="20"/>
        </w:rPr>
        <w:t xml:space="preserve"> </w:t>
      </w:r>
      <w:r w:rsidR="001A1B36" w:rsidRPr="001A1B36">
        <w:rPr>
          <w:sz w:val="20"/>
          <w:szCs w:val="20"/>
          <w:vertAlign w:val="superscript"/>
        </w:rPr>
        <w:t>1</w:t>
      </w:r>
      <w:r w:rsidRPr="00F23818">
        <w:rPr>
          <w:szCs w:val="20"/>
        </w:rPr>
        <w:t>, the Allahabad High Court passed an interim order directing the State Government to henceforth not fill up any vacancy unless a reservation of 3% was provided to physically handicapped candidates from the initial stage, i.e., from the stage of advertisement itself. The relevant portion of the order reads as follows:-</w:t>
      </w:r>
    </w:p>
    <w:p w:rsidR="00F23818" w:rsidRPr="00F23818" w:rsidRDefault="00F23818" w:rsidP="00F23818">
      <w:pPr>
        <w:jc w:val="both"/>
        <w:rPr>
          <w:szCs w:val="20"/>
        </w:rPr>
      </w:pPr>
    </w:p>
    <w:p w:rsidR="001A1B36" w:rsidRDefault="001A1B36" w:rsidP="00F23818">
      <w:pPr>
        <w:ind w:left="720"/>
        <w:jc w:val="both"/>
        <w:rPr>
          <w:szCs w:val="20"/>
        </w:rPr>
      </w:pPr>
      <w:r>
        <w:rPr>
          <w:noProof/>
          <w:szCs w:val="20"/>
        </w:rPr>
        <w:pict>
          <v:shapetype id="_x0000_t32" coordsize="21600,21600" o:spt="32" o:oned="t" path="m,l21600,21600e" filled="f">
            <v:path arrowok="t" fillok="f" o:connecttype="none"/>
            <o:lock v:ext="edit" shapetype="t"/>
          </v:shapetype>
          <v:shape id="_x0000_s1026" type="#_x0000_t32" style="position:absolute;left:0;text-align:left;margin-left:-.75pt;margin-top:55.15pt;width:506.25pt;height:0;z-index:251658240" o:connectortype="straight"/>
        </w:pict>
      </w:r>
      <w:r w:rsidR="00F23818" w:rsidRPr="00F23818">
        <w:rPr>
          <w:szCs w:val="20"/>
        </w:rPr>
        <w:t xml:space="preserve">"As an interim measure, we further direct that henceforth, the State Government or its authorities shall not fill up any vacancy falling within the domain of the State Government or its instrumentalities unless from the initial stage i.e. from the stage of advertisement of posts for recruitment to fill up the posts, reservation of 3% under the </w:t>
      </w:r>
    </w:p>
    <w:p w:rsidR="001A1B36" w:rsidRPr="001A1B36" w:rsidRDefault="001A1B36" w:rsidP="001A1B36">
      <w:pPr>
        <w:jc w:val="both"/>
        <w:rPr>
          <w:i/>
          <w:sz w:val="20"/>
          <w:szCs w:val="20"/>
        </w:rPr>
      </w:pPr>
      <w:r w:rsidRPr="001A1B36">
        <w:rPr>
          <w:i/>
          <w:sz w:val="20"/>
          <w:szCs w:val="20"/>
          <w:vertAlign w:val="superscript"/>
        </w:rPr>
        <w:t>1</w:t>
      </w:r>
      <w:r w:rsidRPr="001A1B36">
        <w:rPr>
          <w:i/>
          <w:sz w:val="20"/>
          <w:szCs w:val="20"/>
        </w:rPr>
        <w:t>Writ Petition No.6047 (MB) of 2009</w:t>
      </w:r>
    </w:p>
    <w:p w:rsidR="00F23818" w:rsidRDefault="00F23818" w:rsidP="00F23818">
      <w:pPr>
        <w:ind w:left="720"/>
        <w:jc w:val="both"/>
        <w:rPr>
          <w:szCs w:val="20"/>
        </w:rPr>
      </w:pPr>
      <w:r w:rsidRPr="00F23818">
        <w:rPr>
          <w:szCs w:val="20"/>
        </w:rPr>
        <w:lastRenderedPageBreak/>
        <w:t>Act is earmarked and simultaneously filled up from open recruitment process. The State shall ensure that not only the quota of blind persons but also the quota of other categories under the Act shall be filed up simultaneously while making recruitment of various posts falling under the domain of the State Government and its instrumentalities.</w:t>
      </w:r>
      <w:r>
        <w:rPr>
          <w:szCs w:val="20"/>
        </w:rPr>
        <w:t xml:space="preserve"> </w:t>
      </w:r>
      <w:r w:rsidRPr="00F23818">
        <w:rPr>
          <w:szCs w:val="20"/>
        </w:rPr>
        <w:t>Accordingly, the Government of U.P. shall issue a circular within one week from today.</w:t>
      </w:r>
      <w:r>
        <w:rPr>
          <w:szCs w:val="20"/>
        </w:rPr>
        <w:t xml:space="preserve"> </w:t>
      </w:r>
      <w:r w:rsidRPr="00F23818">
        <w:rPr>
          <w:szCs w:val="20"/>
        </w:rPr>
        <w:t>We may caution the State Government that non-compliance of the order passed by this Court today shall amount to contempt of this Court and this Court may proceed suo moto against those who are at fault in not filling the vacancies of blind and disabled persons under the Act."</w:t>
      </w:r>
    </w:p>
    <w:p w:rsidR="00F23818" w:rsidRPr="00F23818" w:rsidRDefault="00F23818" w:rsidP="00F23818">
      <w:pPr>
        <w:jc w:val="both"/>
        <w:rPr>
          <w:szCs w:val="20"/>
        </w:rPr>
      </w:pPr>
    </w:p>
    <w:p w:rsidR="00F23818" w:rsidRDefault="00F23818" w:rsidP="00F23818">
      <w:pPr>
        <w:jc w:val="both"/>
        <w:rPr>
          <w:szCs w:val="20"/>
        </w:rPr>
      </w:pPr>
      <w:r w:rsidRPr="00F23818">
        <w:rPr>
          <w:szCs w:val="20"/>
        </w:rPr>
        <w:t>This was in view of the Persons with Disabilities (Equal Opportunity, Protection of Rights and Full Participation) Act, 1995 (hereinafter referred to as the 'Act').</w:t>
      </w:r>
    </w:p>
    <w:p w:rsidR="00F23818" w:rsidRPr="00F23818" w:rsidRDefault="00F23818" w:rsidP="00F23818">
      <w:pPr>
        <w:jc w:val="both"/>
        <w:rPr>
          <w:szCs w:val="20"/>
        </w:rPr>
      </w:pPr>
    </w:p>
    <w:p w:rsidR="00F23818" w:rsidRDefault="00F23818" w:rsidP="00F23818">
      <w:pPr>
        <w:jc w:val="both"/>
        <w:rPr>
          <w:szCs w:val="20"/>
        </w:rPr>
      </w:pPr>
      <w:r>
        <w:rPr>
          <w:szCs w:val="20"/>
        </w:rPr>
        <w:t xml:space="preserve">5. </w:t>
      </w:r>
      <w:r w:rsidRPr="00F23818">
        <w:rPr>
          <w:szCs w:val="20"/>
        </w:rPr>
        <w:t>The High Court cautioned the State Government that non-compliance of the Order would amount to contempt of Court. In pursuance of this Order, the State Government carried out the following exercise:</w:t>
      </w:r>
      <w:r>
        <w:rPr>
          <w:szCs w:val="20"/>
        </w:rPr>
        <w:t xml:space="preserve"> </w:t>
      </w:r>
      <w:r w:rsidRPr="00F23818">
        <w:rPr>
          <w:szCs w:val="20"/>
        </w:rPr>
        <w:t>On 13.1.2011 in pursuance of the aforesaid exercise, the State Government issued a requisition to the Public Service Commission for selection of suitable candidates belonging to the physically handicapped category for appointment on 5 posts of Deputy Collector by a special recruitment drive to fill up the backlog quota. In the said letter, 1 post of Deputy Collector for the year 2001-2002 i.e. the year in which the appellant had appeared and was declared successful was also directed to be filled up.</w:t>
      </w:r>
    </w:p>
    <w:p w:rsidR="00F23818" w:rsidRPr="00F23818" w:rsidRDefault="00F23818" w:rsidP="00F23818">
      <w:pPr>
        <w:jc w:val="both"/>
        <w:rPr>
          <w:szCs w:val="20"/>
        </w:rPr>
      </w:pPr>
    </w:p>
    <w:p w:rsidR="00F23818" w:rsidRDefault="00F23818" w:rsidP="00F23818">
      <w:pPr>
        <w:jc w:val="both"/>
        <w:rPr>
          <w:szCs w:val="20"/>
        </w:rPr>
      </w:pPr>
      <w:r>
        <w:rPr>
          <w:szCs w:val="20"/>
        </w:rPr>
        <w:t xml:space="preserve">6. </w:t>
      </w:r>
      <w:r w:rsidRPr="00F23818">
        <w:rPr>
          <w:szCs w:val="20"/>
        </w:rPr>
        <w:t xml:space="preserve"> In the pending writ petition, the appellant modified his prayer and claimed that since 1 out of the 5 posts of Deputy Collector was to be filled up under the special recruitment drive for physically handicapped category, included the post for the year 2001-2002 in which the appellant appeared and was selected, he is entitled to be selected therein.</w:t>
      </w:r>
    </w:p>
    <w:p w:rsidR="00F23818" w:rsidRPr="00F23818" w:rsidRDefault="00F23818" w:rsidP="00F23818">
      <w:pPr>
        <w:jc w:val="both"/>
        <w:rPr>
          <w:szCs w:val="20"/>
        </w:rPr>
      </w:pPr>
    </w:p>
    <w:p w:rsidR="00F23818" w:rsidRDefault="00F23818" w:rsidP="00F23818">
      <w:pPr>
        <w:jc w:val="both"/>
        <w:rPr>
          <w:szCs w:val="20"/>
        </w:rPr>
      </w:pPr>
      <w:r>
        <w:rPr>
          <w:szCs w:val="20"/>
        </w:rPr>
        <w:t xml:space="preserve">7. </w:t>
      </w:r>
      <w:r w:rsidRPr="00F23818">
        <w:rPr>
          <w:szCs w:val="20"/>
        </w:rPr>
        <w:t>The High Court accepted that the post of Deputy Collector for selection in the year 2001-2002 was amenable to reservation for physically handicapped category under the horizontal quota of 3%. The High Court noted the contention of the State that for the year 2001-2002, 1 post of Deputy Collector for physically handicapped category was identified as backlog; that however does not mean that the appellant is entitled to be appointed on that post. The High Court reiterated the settled position of law that reservation for the physically handicapped category was to be provided as a matter of law and that such reservation was to be made on the basis of total sanctioned strength and not on the basis of available vacancy of a recruitment year. However, the Court declined relief to the appellant on the ground that if the appellant is adjusted against the sole vacancy for the year 2001-2002, the entire seniority list will get disturbed. The High Court proceeded to hold that in the year 2001-2002 all the 9 posts for which requisition was made were filled up. However, the High Court also noted that in the year 2010 it was found that 1 post out of 9 could have been reserved for physically handicapped candidates</w:t>
      </w:r>
      <w:r>
        <w:rPr>
          <w:szCs w:val="20"/>
        </w:rPr>
        <w:t xml:space="preserve">. </w:t>
      </w:r>
      <w:r w:rsidRPr="00F23818">
        <w:rPr>
          <w:szCs w:val="20"/>
        </w:rPr>
        <w:t xml:space="preserve">The appellant could not be given appointment in that recruitment year since the posts were filled up. In particular, the High Court observed that many recruitments have taken place between 2001-2002 till the date of the decision of the High Court on 10.05.2013 and if the appellant is given appointment with retrospective effect from 2001-2002, the entire seniority position of the recruitment of that year as well as the </w:t>
      </w:r>
      <w:r w:rsidRPr="00F23818">
        <w:rPr>
          <w:szCs w:val="20"/>
        </w:rPr>
        <w:lastRenderedPageBreak/>
        <w:t>subsequent years will get disturbed. The High Court noted that the gap between the recruitment year and the year in which the appointment was claimed was more than 10 years and since then recruitments have taken place almost every year.</w:t>
      </w:r>
    </w:p>
    <w:p w:rsidR="00F23818" w:rsidRPr="00F23818" w:rsidRDefault="00F23818" w:rsidP="00F23818">
      <w:pPr>
        <w:jc w:val="both"/>
        <w:rPr>
          <w:szCs w:val="20"/>
        </w:rPr>
      </w:pPr>
    </w:p>
    <w:p w:rsidR="00F23818" w:rsidRDefault="00F23818" w:rsidP="00F23818">
      <w:pPr>
        <w:jc w:val="both"/>
        <w:rPr>
          <w:szCs w:val="20"/>
        </w:rPr>
      </w:pPr>
      <w:r>
        <w:rPr>
          <w:szCs w:val="20"/>
        </w:rPr>
        <w:t xml:space="preserve">8. </w:t>
      </w:r>
      <w:r w:rsidRPr="00F23818">
        <w:rPr>
          <w:szCs w:val="20"/>
        </w:rPr>
        <w:t>Before us, Mr. Raju Ramchandran, learned senior counsel for the appellant argued that the High Court has accepted the legal entitlement of the appellant and yet did not grant any relief. It was submitted that the appellant is entitled for relief in view of the clear requirement of the law. On the other hand, it was submitted on behalf of the State that the</w:t>
      </w:r>
      <w:r>
        <w:rPr>
          <w:szCs w:val="20"/>
        </w:rPr>
        <w:t xml:space="preserve"> </w:t>
      </w:r>
      <w:r w:rsidRPr="00F23818">
        <w:rPr>
          <w:szCs w:val="20"/>
        </w:rPr>
        <w:t>State carried out an exercise in pursuance of the interim Order of the High Court in the case of National Federation of the Blind, U.P Branch (supra) where the Court directed the State Government not to fill up any vacancy unless from the stage of the advertisement itself, reservation of 3% is earmarked for the physically handicapped candidates. The State further carried out an exercise to determine the roster points on which such</w:t>
      </w:r>
      <w:r>
        <w:rPr>
          <w:szCs w:val="20"/>
        </w:rPr>
        <w:t xml:space="preserve"> </w:t>
      </w:r>
      <w:r w:rsidRPr="00F23818">
        <w:rPr>
          <w:szCs w:val="20"/>
        </w:rPr>
        <w:t>reservation would be available as follows:-</w:t>
      </w:r>
    </w:p>
    <w:p w:rsidR="00F23818" w:rsidRDefault="00F23818" w:rsidP="00F23818">
      <w:pPr>
        <w:jc w:val="both"/>
        <w:rPr>
          <w:szCs w:val="20"/>
        </w:rPr>
      </w:pPr>
    </w:p>
    <w:p w:rsidR="00F23818" w:rsidRDefault="00F23818" w:rsidP="00F23818">
      <w:pPr>
        <w:jc w:val="both"/>
        <w:rPr>
          <w:szCs w:val="20"/>
        </w:rPr>
      </w:pPr>
    </w:p>
    <w:tbl>
      <w:tblPr>
        <w:tblStyle w:val="TableGrid"/>
        <w:tblW w:w="0" w:type="auto"/>
        <w:tblLook w:val="04A0"/>
      </w:tblPr>
      <w:tblGrid>
        <w:gridCol w:w="1465"/>
        <w:gridCol w:w="1286"/>
        <w:gridCol w:w="1188"/>
        <w:gridCol w:w="1535"/>
        <w:gridCol w:w="1286"/>
        <w:gridCol w:w="2816"/>
      </w:tblGrid>
      <w:tr w:rsidR="006E3E03" w:rsidTr="006E3E03">
        <w:tc>
          <w:tcPr>
            <w:tcW w:w="1465" w:type="dxa"/>
          </w:tcPr>
          <w:p w:rsidR="00F23818" w:rsidRDefault="006E3E03" w:rsidP="00F23818">
            <w:pPr>
              <w:jc w:val="both"/>
              <w:rPr>
                <w:szCs w:val="20"/>
              </w:rPr>
            </w:pPr>
            <w:r>
              <w:rPr>
                <w:szCs w:val="20"/>
              </w:rPr>
              <w:t>Exam / Selection Year</w:t>
            </w:r>
          </w:p>
        </w:tc>
        <w:tc>
          <w:tcPr>
            <w:tcW w:w="1286" w:type="dxa"/>
          </w:tcPr>
          <w:p w:rsidR="00F23818" w:rsidRDefault="006E3E03" w:rsidP="00F23818">
            <w:pPr>
              <w:jc w:val="both"/>
              <w:rPr>
                <w:szCs w:val="20"/>
              </w:rPr>
            </w:pPr>
            <w:r>
              <w:rPr>
                <w:szCs w:val="20"/>
              </w:rPr>
              <w:t xml:space="preserve">Total requisition vacancies </w:t>
            </w:r>
          </w:p>
        </w:tc>
        <w:tc>
          <w:tcPr>
            <w:tcW w:w="1188" w:type="dxa"/>
          </w:tcPr>
          <w:p w:rsidR="00F23818" w:rsidRDefault="006E3E03" w:rsidP="00F23818">
            <w:pPr>
              <w:jc w:val="both"/>
              <w:rPr>
                <w:szCs w:val="20"/>
              </w:rPr>
            </w:pPr>
            <w:r>
              <w:rPr>
                <w:szCs w:val="20"/>
              </w:rPr>
              <w:t>Total no. of filled vacancies</w:t>
            </w:r>
          </w:p>
        </w:tc>
        <w:tc>
          <w:tcPr>
            <w:tcW w:w="1535" w:type="dxa"/>
          </w:tcPr>
          <w:p w:rsidR="00F23818" w:rsidRDefault="006E3E03" w:rsidP="00F23818">
            <w:pPr>
              <w:jc w:val="both"/>
              <w:rPr>
                <w:szCs w:val="20"/>
              </w:rPr>
            </w:pPr>
            <w:r>
              <w:rPr>
                <w:szCs w:val="20"/>
              </w:rPr>
              <w:t>Roster point for Physical Handicapped</w:t>
            </w:r>
          </w:p>
        </w:tc>
        <w:tc>
          <w:tcPr>
            <w:tcW w:w="1286" w:type="dxa"/>
          </w:tcPr>
          <w:p w:rsidR="00F23818" w:rsidRDefault="006E3E03" w:rsidP="00F23818">
            <w:pPr>
              <w:jc w:val="both"/>
              <w:rPr>
                <w:szCs w:val="20"/>
              </w:rPr>
            </w:pPr>
            <w:r>
              <w:rPr>
                <w:szCs w:val="20"/>
              </w:rPr>
              <w:t>Category</w:t>
            </w:r>
          </w:p>
        </w:tc>
        <w:tc>
          <w:tcPr>
            <w:tcW w:w="2816" w:type="dxa"/>
          </w:tcPr>
          <w:p w:rsidR="00F23818" w:rsidRDefault="006E3E03" w:rsidP="00F23818">
            <w:pPr>
              <w:jc w:val="both"/>
              <w:rPr>
                <w:szCs w:val="20"/>
              </w:rPr>
            </w:pPr>
            <w:r>
              <w:rPr>
                <w:szCs w:val="20"/>
              </w:rPr>
              <w:t>Remarks.</w:t>
            </w:r>
          </w:p>
        </w:tc>
      </w:tr>
      <w:tr w:rsidR="006E3E03" w:rsidTr="006E3E03">
        <w:tc>
          <w:tcPr>
            <w:tcW w:w="1465" w:type="dxa"/>
          </w:tcPr>
          <w:p w:rsidR="006E3E03" w:rsidRDefault="006E3E03" w:rsidP="00F23818">
            <w:pPr>
              <w:jc w:val="both"/>
              <w:rPr>
                <w:szCs w:val="20"/>
              </w:rPr>
            </w:pPr>
            <w:r>
              <w:rPr>
                <w:szCs w:val="20"/>
              </w:rPr>
              <w:t>1997-98</w:t>
            </w:r>
          </w:p>
        </w:tc>
        <w:tc>
          <w:tcPr>
            <w:tcW w:w="1286" w:type="dxa"/>
          </w:tcPr>
          <w:p w:rsidR="006E3E03" w:rsidRDefault="006E3E03" w:rsidP="00F23818">
            <w:pPr>
              <w:jc w:val="both"/>
              <w:rPr>
                <w:szCs w:val="20"/>
              </w:rPr>
            </w:pPr>
            <w:r>
              <w:rPr>
                <w:szCs w:val="20"/>
              </w:rPr>
              <w:t>20</w:t>
            </w:r>
          </w:p>
        </w:tc>
        <w:tc>
          <w:tcPr>
            <w:tcW w:w="1188" w:type="dxa"/>
          </w:tcPr>
          <w:p w:rsidR="006E3E03" w:rsidRDefault="006E3E03" w:rsidP="00F23818">
            <w:pPr>
              <w:jc w:val="both"/>
              <w:rPr>
                <w:szCs w:val="20"/>
              </w:rPr>
            </w:pPr>
            <w:r>
              <w:rPr>
                <w:szCs w:val="20"/>
              </w:rPr>
              <w:t>20</w:t>
            </w:r>
          </w:p>
        </w:tc>
        <w:tc>
          <w:tcPr>
            <w:tcW w:w="1535" w:type="dxa"/>
          </w:tcPr>
          <w:p w:rsidR="006E3E03" w:rsidRDefault="006E3E03" w:rsidP="00F23818">
            <w:pPr>
              <w:jc w:val="both"/>
              <w:rPr>
                <w:szCs w:val="20"/>
              </w:rPr>
            </w:pPr>
            <w:r>
              <w:rPr>
                <w:szCs w:val="20"/>
              </w:rPr>
              <w:t>0</w:t>
            </w:r>
          </w:p>
        </w:tc>
        <w:tc>
          <w:tcPr>
            <w:tcW w:w="1286" w:type="dxa"/>
          </w:tcPr>
          <w:p w:rsidR="006E3E03" w:rsidRDefault="006E3E03" w:rsidP="00F23818">
            <w:pPr>
              <w:jc w:val="both"/>
              <w:rPr>
                <w:szCs w:val="20"/>
              </w:rPr>
            </w:pPr>
          </w:p>
        </w:tc>
        <w:tc>
          <w:tcPr>
            <w:tcW w:w="2816" w:type="dxa"/>
            <w:vMerge w:val="restart"/>
          </w:tcPr>
          <w:p w:rsidR="006E3E03" w:rsidRDefault="006E3E03" w:rsidP="006E3E03">
            <w:pPr>
              <w:jc w:val="both"/>
              <w:rPr>
                <w:szCs w:val="20"/>
              </w:rPr>
            </w:pPr>
            <w:r w:rsidRPr="00F23818">
              <w:rPr>
                <w:szCs w:val="20"/>
              </w:rPr>
              <w:t>The</w:t>
            </w:r>
            <w:r>
              <w:rPr>
                <w:szCs w:val="20"/>
              </w:rPr>
              <w:t xml:space="preserve"> </w:t>
            </w:r>
            <w:r w:rsidRPr="00F23818">
              <w:rPr>
                <w:szCs w:val="20"/>
              </w:rPr>
              <w:t>requisition for more</w:t>
            </w:r>
            <w:r>
              <w:rPr>
                <w:szCs w:val="20"/>
              </w:rPr>
              <w:t xml:space="preserve"> than 33 vacancies had not been </w:t>
            </w:r>
            <w:r w:rsidRPr="00F23818">
              <w:rPr>
                <w:szCs w:val="20"/>
              </w:rPr>
              <w:t>sent in any Selection Year. By clubbing all the</w:t>
            </w:r>
            <w:r>
              <w:rPr>
                <w:szCs w:val="20"/>
              </w:rPr>
              <w:t xml:space="preserve"> </w:t>
            </w:r>
            <w:r w:rsidRPr="00F23818">
              <w:rPr>
                <w:szCs w:val="20"/>
              </w:rPr>
              <w:t>r</w:t>
            </w:r>
            <w:r>
              <w:rPr>
                <w:szCs w:val="20"/>
              </w:rPr>
              <w:t xml:space="preserve">equisitioned posts on the basis of roster the vacancies </w:t>
            </w:r>
            <w:r w:rsidRPr="00F23818">
              <w:rPr>
                <w:szCs w:val="20"/>
              </w:rPr>
              <w:t>had been identified</w:t>
            </w:r>
            <w:r>
              <w:rPr>
                <w:szCs w:val="20"/>
              </w:rPr>
              <w:t xml:space="preserve"> </w:t>
            </w:r>
            <w:r w:rsidRPr="00F23818">
              <w:rPr>
                <w:szCs w:val="20"/>
              </w:rPr>
              <w:t>and accordingly 5 vacancies are calculated for filling up by backlog for various categories of physical handicapped candidates.</w:t>
            </w:r>
          </w:p>
          <w:p w:rsidR="006E3E03" w:rsidRDefault="006E3E03" w:rsidP="00F23818">
            <w:pPr>
              <w:jc w:val="both"/>
              <w:rPr>
                <w:szCs w:val="20"/>
              </w:rPr>
            </w:pPr>
          </w:p>
        </w:tc>
      </w:tr>
      <w:tr w:rsidR="006E3E03" w:rsidTr="006E3E03">
        <w:tc>
          <w:tcPr>
            <w:tcW w:w="1465" w:type="dxa"/>
          </w:tcPr>
          <w:p w:rsidR="006E3E03" w:rsidRDefault="006E3E03" w:rsidP="00F23818">
            <w:pPr>
              <w:jc w:val="both"/>
              <w:rPr>
                <w:szCs w:val="20"/>
              </w:rPr>
            </w:pPr>
            <w:r>
              <w:rPr>
                <w:szCs w:val="20"/>
              </w:rPr>
              <w:t>1998-99</w:t>
            </w:r>
          </w:p>
        </w:tc>
        <w:tc>
          <w:tcPr>
            <w:tcW w:w="1286" w:type="dxa"/>
          </w:tcPr>
          <w:p w:rsidR="006E3E03" w:rsidRDefault="006E3E03" w:rsidP="00F23818">
            <w:pPr>
              <w:jc w:val="both"/>
              <w:rPr>
                <w:szCs w:val="20"/>
              </w:rPr>
            </w:pPr>
            <w:r>
              <w:rPr>
                <w:szCs w:val="20"/>
              </w:rPr>
              <w:t>20</w:t>
            </w:r>
          </w:p>
        </w:tc>
        <w:tc>
          <w:tcPr>
            <w:tcW w:w="1188" w:type="dxa"/>
          </w:tcPr>
          <w:p w:rsidR="006E3E03" w:rsidRDefault="006E3E03" w:rsidP="00F23818">
            <w:pPr>
              <w:jc w:val="both"/>
              <w:rPr>
                <w:szCs w:val="20"/>
              </w:rPr>
            </w:pPr>
            <w:r>
              <w:rPr>
                <w:szCs w:val="20"/>
              </w:rPr>
              <w:t>40</w:t>
            </w:r>
          </w:p>
        </w:tc>
        <w:tc>
          <w:tcPr>
            <w:tcW w:w="1535" w:type="dxa"/>
          </w:tcPr>
          <w:p w:rsidR="006E3E03" w:rsidRDefault="006E3E03" w:rsidP="00F23818">
            <w:pPr>
              <w:jc w:val="both"/>
              <w:rPr>
                <w:szCs w:val="20"/>
              </w:rPr>
            </w:pPr>
            <w:r>
              <w:rPr>
                <w:szCs w:val="20"/>
              </w:rPr>
              <w:t>01</w:t>
            </w:r>
          </w:p>
        </w:tc>
        <w:tc>
          <w:tcPr>
            <w:tcW w:w="1286" w:type="dxa"/>
          </w:tcPr>
          <w:p w:rsidR="006E3E03" w:rsidRDefault="006E3E03" w:rsidP="00F23818">
            <w:pPr>
              <w:jc w:val="both"/>
              <w:rPr>
                <w:szCs w:val="20"/>
              </w:rPr>
            </w:pPr>
            <w:r>
              <w:rPr>
                <w:szCs w:val="20"/>
              </w:rPr>
              <w:t>P.B.</w:t>
            </w:r>
          </w:p>
        </w:tc>
        <w:tc>
          <w:tcPr>
            <w:tcW w:w="2816" w:type="dxa"/>
            <w:vMerge/>
          </w:tcPr>
          <w:p w:rsidR="006E3E03" w:rsidRDefault="006E3E03" w:rsidP="00F23818">
            <w:pPr>
              <w:jc w:val="both"/>
              <w:rPr>
                <w:szCs w:val="20"/>
              </w:rPr>
            </w:pPr>
          </w:p>
        </w:tc>
      </w:tr>
      <w:tr w:rsidR="006E3E03" w:rsidTr="006E3E03">
        <w:tc>
          <w:tcPr>
            <w:tcW w:w="1465" w:type="dxa"/>
          </w:tcPr>
          <w:p w:rsidR="006E3E03" w:rsidRDefault="006E3E03" w:rsidP="00F23818">
            <w:pPr>
              <w:jc w:val="both"/>
              <w:rPr>
                <w:szCs w:val="20"/>
              </w:rPr>
            </w:pPr>
            <w:r>
              <w:rPr>
                <w:szCs w:val="20"/>
              </w:rPr>
              <w:t>1999-00</w:t>
            </w:r>
          </w:p>
        </w:tc>
        <w:tc>
          <w:tcPr>
            <w:tcW w:w="1286" w:type="dxa"/>
          </w:tcPr>
          <w:p w:rsidR="006E3E03" w:rsidRDefault="006E3E03" w:rsidP="00F23818">
            <w:pPr>
              <w:jc w:val="both"/>
              <w:rPr>
                <w:szCs w:val="20"/>
              </w:rPr>
            </w:pPr>
            <w:r>
              <w:rPr>
                <w:szCs w:val="20"/>
              </w:rPr>
              <w:t>10</w:t>
            </w:r>
          </w:p>
        </w:tc>
        <w:tc>
          <w:tcPr>
            <w:tcW w:w="1188" w:type="dxa"/>
          </w:tcPr>
          <w:p w:rsidR="006E3E03" w:rsidRDefault="006E3E03" w:rsidP="00F23818">
            <w:pPr>
              <w:jc w:val="both"/>
              <w:rPr>
                <w:szCs w:val="20"/>
              </w:rPr>
            </w:pPr>
            <w:r>
              <w:rPr>
                <w:szCs w:val="20"/>
              </w:rPr>
              <w:t>50</w:t>
            </w:r>
          </w:p>
        </w:tc>
        <w:tc>
          <w:tcPr>
            <w:tcW w:w="1535" w:type="dxa"/>
          </w:tcPr>
          <w:p w:rsidR="006E3E03" w:rsidRDefault="006E3E03" w:rsidP="00F23818">
            <w:pPr>
              <w:jc w:val="both"/>
              <w:rPr>
                <w:szCs w:val="20"/>
              </w:rPr>
            </w:pPr>
            <w:r>
              <w:rPr>
                <w:szCs w:val="20"/>
              </w:rPr>
              <w:t>-</w:t>
            </w:r>
          </w:p>
        </w:tc>
        <w:tc>
          <w:tcPr>
            <w:tcW w:w="1286" w:type="dxa"/>
          </w:tcPr>
          <w:p w:rsidR="006E3E03" w:rsidRDefault="006E3E03" w:rsidP="00F23818">
            <w:pPr>
              <w:jc w:val="both"/>
              <w:rPr>
                <w:szCs w:val="20"/>
              </w:rPr>
            </w:pPr>
            <w:r>
              <w:rPr>
                <w:szCs w:val="20"/>
              </w:rPr>
              <w:t>-</w:t>
            </w:r>
          </w:p>
        </w:tc>
        <w:tc>
          <w:tcPr>
            <w:tcW w:w="2816" w:type="dxa"/>
            <w:vMerge/>
          </w:tcPr>
          <w:p w:rsidR="006E3E03" w:rsidRDefault="006E3E03" w:rsidP="00F23818">
            <w:pPr>
              <w:jc w:val="both"/>
              <w:rPr>
                <w:szCs w:val="20"/>
              </w:rPr>
            </w:pPr>
          </w:p>
        </w:tc>
      </w:tr>
      <w:tr w:rsidR="006E3E03" w:rsidTr="006E3E03">
        <w:trPr>
          <w:trHeight w:val="285"/>
        </w:trPr>
        <w:tc>
          <w:tcPr>
            <w:tcW w:w="1465" w:type="dxa"/>
            <w:tcBorders>
              <w:bottom w:val="single" w:sz="4" w:space="0" w:color="auto"/>
            </w:tcBorders>
          </w:tcPr>
          <w:p w:rsidR="006E3E03" w:rsidRDefault="006E3E03" w:rsidP="00F23818">
            <w:pPr>
              <w:jc w:val="both"/>
              <w:rPr>
                <w:szCs w:val="20"/>
              </w:rPr>
            </w:pPr>
            <w:r>
              <w:rPr>
                <w:szCs w:val="20"/>
              </w:rPr>
              <w:t>2000-01</w:t>
            </w:r>
          </w:p>
        </w:tc>
        <w:tc>
          <w:tcPr>
            <w:tcW w:w="1286" w:type="dxa"/>
            <w:tcBorders>
              <w:bottom w:val="single" w:sz="4" w:space="0" w:color="auto"/>
            </w:tcBorders>
          </w:tcPr>
          <w:p w:rsidR="006E3E03" w:rsidRDefault="006E3E03" w:rsidP="00F23818">
            <w:pPr>
              <w:jc w:val="both"/>
              <w:rPr>
                <w:szCs w:val="20"/>
              </w:rPr>
            </w:pPr>
            <w:r>
              <w:rPr>
                <w:szCs w:val="20"/>
              </w:rPr>
              <w:t>09</w:t>
            </w:r>
          </w:p>
        </w:tc>
        <w:tc>
          <w:tcPr>
            <w:tcW w:w="1188" w:type="dxa"/>
            <w:tcBorders>
              <w:bottom w:val="single" w:sz="4" w:space="0" w:color="auto"/>
            </w:tcBorders>
          </w:tcPr>
          <w:p w:rsidR="006E3E03" w:rsidRDefault="006E3E03" w:rsidP="00F23818">
            <w:pPr>
              <w:jc w:val="both"/>
              <w:rPr>
                <w:szCs w:val="20"/>
              </w:rPr>
            </w:pPr>
            <w:r>
              <w:rPr>
                <w:szCs w:val="20"/>
              </w:rPr>
              <w:t>59</w:t>
            </w:r>
          </w:p>
        </w:tc>
        <w:tc>
          <w:tcPr>
            <w:tcW w:w="1535" w:type="dxa"/>
            <w:tcBorders>
              <w:bottom w:val="single" w:sz="4" w:space="0" w:color="auto"/>
            </w:tcBorders>
          </w:tcPr>
          <w:p w:rsidR="006E3E03" w:rsidRDefault="006E3E03" w:rsidP="00F23818">
            <w:pPr>
              <w:jc w:val="both"/>
              <w:rPr>
                <w:szCs w:val="20"/>
              </w:rPr>
            </w:pPr>
            <w:r>
              <w:rPr>
                <w:szCs w:val="20"/>
              </w:rPr>
              <w:t>-</w:t>
            </w:r>
          </w:p>
        </w:tc>
        <w:tc>
          <w:tcPr>
            <w:tcW w:w="1286" w:type="dxa"/>
            <w:tcBorders>
              <w:bottom w:val="single" w:sz="4" w:space="0" w:color="auto"/>
            </w:tcBorders>
          </w:tcPr>
          <w:p w:rsidR="006E3E03" w:rsidRDefault="006E3E03" w:rsidP="00F23818">
            <w:pPr>
              <w:jc w:val="both"/>
              <w:rPr>
                <w:szCs w:val="20"/>
              </w:rPr>
            </w:pPr>
            <w:r>
              <w:rPr>
                <w:szCs w:val="20"/>
              </w:rPr>
              <w:t>-</w:t>
            </w:r>
          </w:p>
        </w:tc>
        <w:tc>
          <w:tcPr>
            <w:tcW w:w="2816" w:type="dxa"/>
            <w:vMerge/>
          </w:tcPr>
          <w:p w:rsidR="006E3E03" w:rsidRDefault="006E3E03" w:rsidP="00F23818">
            <w:pPr>
              <w:jc w:val="both"/>
              <w:rPr>
                <w:szCs w:val="20"/>
              </w:rPr>
            </w:pPr>
          </w:p>
        </w:tc>
      </w:tr>
      <w:tr w:rsidR="006E3E03" w:rsidTr="006E3E03">
        <w:trPr>
          <w:trHeight w:val="345"/>
        </w:trPr>
        <w:tc>
          <w:tcPr>
            <w:tcW w:w="1465" w:type="dxa"/>
            <w:tcBorders>
              <w:top w:val="single" w:sz="4" w:space="0" w:color="auto"/>
              <w:bottom w:val="single" w:sz="4" w:space="0" w:color="auto"/>
            </w:tcBorders>
          </w:tcPr>
          <w:p w:rsidR="006E3E03" w:rsidRDefault="006E3E03" w:rsidP="00F23818">
            <w:pPr>
              <w:jc w:val="both"/>
              <w:rPr>
                <w:szCs w:val="20"/>
              </w:rPr>
            </w:pPr>
            <w:r>
              <w:rPr>
                <w:szCs w:val="20"/>
              </w:rPr>
              <w:t>2001-02</w:t>
            </w:r>
          </w:p>
        </w:tc>
        <w:tc>
          <w:tcPr>
            <w:tcW w:w="1286" w:type="dxa"/>
            <w:tcBorders>
              <w:top w:val="single" w:sz="4" w:space="0" w:color="auto"/>
              <w:bottom w:val="single" w:sz="4" w:space="0" w:color="auto"/>
            </w:tcBorders>
          </w:tcPr>
          <w:p w:rsidR="006E3E03" w:rsidRDefault="006E3E03" w:rsidP="00F23818">
            <w:pPr>
              <w:jc w:val="both"/>
              <w:rPr>
                <w:szCs w:val="20"/>
              </w:rPr>
            </w:pPr>
            <w:r>
              <w:rPr>
                <w:szCs w:val="20"/>
              </w:rPr>
              <w:t>15</w:t>
            </w:r>
          </w:p>
        </w:tc>
        <w:tc>
          <w:tcPr>
            <w:tcW w:w="1188" w:type="dxa"/>
            <w:tcBorders>
              <w:top w:val="single" w:sz="4" w:space="0" w:color="auto"/>
              <w:bottom w:val="single" w:sz="4" w:space="0" w:color="auto"/>
            </w:tcBorders>
          </w:tcPr>
          <w:p w:rsidR="006E3E03" w:rsidRDefault="006E3E03" w:rsidP="00F23818">
            <w:pPr>
              <w:jc w:val="both"/>
              <w:rPr>
                <w:szCs w:val="20"/>
              </w:rPr>
            </w:pPr>
            <w:r>
              <w:rPr>
                <w:szCs w:val="20"/>
              </w:rPr>
              <w:t>74</w:t>
            </w:r>
          </w:p>
        </w:tc>
        <w:tc>
          <w:tcPr>
            <w:tcW w:w="1535" w:type="dxa"/>
            <w:tcBorders>
              <w:top w:val="single" w:sz="4" w:space="0" w:color="auto"/>
              <w:bottom w:val="single" w:sz="4" w:space="0" w:color="auto"/>
            </w:tcBorders>
          </w:tcPr>
          <w:p w:rsidR="006E3E03" w:rsidRDefault="006E3E03" w:rsidP="00F23818">
            <w:pPr>
              <w:jc w:val="both"/>
              <w:rPr>
                <w:szCs w:val="20"/>
              </w:rPr>
            </w:pPr>
            <w:r>
              <w:rPr>
                <w:szCs w:val="20"/>
              </w:rPr>
              <w:t>01</w:t>
            </w:r>
          </w:p>
        </w:tc>
        <w:tc>
          <w:tcPr>
            <w:tcW w:w="1286" w:type="dxa"/>
            <w:tcBorders>
              <w:top w:val="single" w:sz="4" w:space="0" w:color="auto"/>
              <w:bottom w:val="single" w:sz="4" w:space="0" w:color="auto"/>
            </w:tcBorders>
          </w:tcPr>
          <w:p w:rsidR="006E3E03" w:rsidRDefault="006E3E03" w:rsidP="00F23818">
            <w:pPr>
              <w:jc w:val="both"/>
              <w:rPr>
                <w:szCs w:val="20"/>
              </w:rPr>
            </w:pPr>
            <w:r>
              <w:rPr>
                <w:szCs w:val="20"/>
              </w:rPr>
              <w:t>P.D.</w:t>
            </w:r>
          </w:p>
        </w:tc>
        <w:tc>
          <w:tcPr>
            <w:tcW w:w="2816" w:type="dxa"/>
            <w:vMerge/>
          </w:tcPr>
          <w:p w:rsidR="006E3E03" w:rsidRDefault="006E3E03" w:rsidP="00F23818">
            <w:pPr>
              <w:jc w:val="both"/>
              <w:rPr>
                <w:szCs w:val="20"/>
              </w:rPr>
            </w:pPr>
          </w:p>
        </w:tc>
      </w:tr>
      <w:tr w:rsidR="006E3E03" w:rsidTr="006E3E03">
        <w:trPr>
          <w:trHeight w:val="240"/>
        </w:trPr>
        <w:tc>
          <w:tcPr>
            <w:tcW w:w="1465" w:type="dxa"/>
            <w:tcBorders>
              <w:top w:val="single" w:sz="4" w:space="0" w:color="auto"/>
              <w:bottom w:val="single" w:sz="4" w:space="0" w:color="auto"/>
            </w:tcBorders>
          </w:tcPr>
          <w:p w:rsidR="006E3E03" w:rsidRDefault="006E3E03" w:rsidP="00F23818">
            <w:pPr>
              <w:jc w:val="both"/>
              <w:rPr>
                <w:szCs w:val="20"/>
              </w:rPr>
            </w:pPr>
            <w:r>
              <w:rPr>
                <w:szCs w:val="20"/>
              </w:rPr>
              <w:t>2002-03</w:t>
            </w:r>
          </w:p>
        </w:tc>
        <w:tc>
          <w:tcPr>
            <w:tcW w:w="1286" w:type="dxa"/>
            <w:tcBorders>
              <w:top w:val="single" w:sz="4" w:space="0" w:color="auto"/>
              <w:bottom w:val="single" w:sz="4" w:space="0" w:color="auto"/>
            </w:tcBorders>
          </w:tcPr>
          <w:p w:rsidR="006E3E03" w:rsidRDefault="006E3E03" w:rsidP="00F23818">
            <w:pPr>
              <w:jc w:val="both"/>
              <w:rPr>
                <w:szCs w:val="20"/>
              </w:rPr>
            </w:pPr>
            <w:r>
              <w:rPr>
                <w:szCs w:val="20"/>
              </w:rPr>
              <w:t>----</w:t>
            </w:r>
          </w:p>
        </w:tc>
        <w:tc>
          <w:tcPr>
            <w:tcW w:w="1188" w:type="dxa"/>
            <w:tcBorders>
              <w:top w:val="single" w:sz="4" w:space="0" w:color="auto"/>
              <w:bottom w:val="single" w:sz="4" w:space="0" w:color="auto"/>
            </w:tcBorders>
          </w:tcPr>
          <w:p w:rsidR="006E3E03" w:rsidRDefault="006E3E03" w:rsidP="00F23818">
            <w:pPr>
              <w:jc w:val="both"/>
              <w:rPr>
                <w:szCs w:val="20"/>
              </w:rPr>
            </w:pPr>
            <w:r>
              <w:rPr>
                <w:szCs w:val="20"/>
              </w:rPr>
              <w:t>93</w:t>
            </w:r>
          </w:p>
        </w:tc>
        <w:tc>
          <w:tcPr>
            <w:tcW w:w="1535" w:type="dxa"/>
            <w:tcBorders>
              <w:top w:val="single" w:sz="4" w:space="0" w:color="auto"/>
              <w:bottom w:val="single" w:sz="4" w:space="0" w:color="auto"/>
            </w:tcBorders>
          </w:tcPr>
          <w:p w:rsidR="006E3E03" w:rsidRDefault="006E3E03" w:rsidP="00F23818">
            <w:pPr>
              <w:jc w:val="both"/>
              <w:rPr>
                <w:szCs w:val="20"/>
              </w:rPr>
            </w:pPr>
            <w:r>
              <w:rPr>
                <w:szCs w:val="20"/>
              </w:rPr>
              <w:t>---</w:t>
            </w:r>
          </w:p>
        </w:tc>
        <w:tc>
          <w:tcPr>
            <w:tcW w:w="1286" w:type="dxa"/>
            <w:tcBorders>
              <w:top w:val="single" w:sz="4" w:space="0" w:color="auto"/>
              <w:bottom w:val="single" w:sz="4" w:space="0" w:color="auto"/>
            </w:tcBorders>
          </w:tcPr>
          <w:p w:rsidR="006E3E03" w:rsidRDefault="006E3E03" w:rsidP="00F23818">
            <w:pPr>
              <w:jc w:val="both"/>
              <w:rPr>
                <w:szCs w:val="20"/>
              </w:rPr>
            </w:pPr>
          </w:p>
        </w:tc>
        <w:tc>
          <w:tcPr>
            <w:tcW w:w="2816" w:type="dxa"/>
            <w:vMerge/>
          </w:tcPr>
          <w:p w:rsidR="006E3E03" w:rsidRDefault="006E3E03" w:rsidP="00F23818">
            <w:pPr>
              <w:jc w:val="both"/>
              <w:rPr>
                <w:szCs w:val="20"/>
              </w:rPr>
            </w:pPr>
          </w:p>
        </w:tc>
      </w:tr>
      <w:tr w:rsidR="006E3E03" w:rsidTr="006E3E03">
        <w:trPr>
          <w:trHeight w:val="270"/>
        </w:trPr>
        <w:tc>
          <w:tcPr>
            <w:tcW w:w="1465" w:type="dxa"/>
            <w:tcBorders>
              <w:top w:val="single" w:sz="4" w:space="0" w:color="auto"/>
              <w:bottom w:val="single" w:sz="4" w:space="0" w:color="auto"/>
            </w:tcBorders>
          </w:tcPr>
          <w:p w:rsidR="006E3E03" w:rsidRDefault="006E3E03" w:rsidP="00F23818">
            <w:pPr>
              <w:jc w:val="both"/>
              <w:rPr>
                <w:szCs w:val="20"/>
              </w:rPr>
            </w:pPr>
            <w:r>
              <w:rPr>
                <w:szCs w:val="20"/>
              </w:rPr>
              <w:t>2003-04</w:t>
            </w:r>
          </w:p>
          <w:p w:rsidR="006E3E03" w:rsidRDefault="006E3E03" w:rsidP="00F23818">
            <w:pPr>
              <w:jc w:val="both"/>
              <w:rPr>
                <w:szCs w:val="20"/>
              </w:rPr>
            </w:pPr>
            <w:r>
              <w:rPr>
                <w:szCs w:val="20"/>
              </w:rPr>
              <w:t>(Spl. Apptt.)</w:t>
            </w:r>
          </w:p>
        </w:tc>
        <w:tc>
          <w:tcPr>
            <w:tcW w:w="1286" w:type="dxa"/>
            <w:tcBorders>
              <w:top w:val="single" w:sz="4" w:space="0" w:color="auto"/>
              <w:bottom w:val="single" w:sz="4" w:space="0" w:color="auto"/>
            </w:tcBorders>
          </w:tcPr>
          <w:p w:rsidR="006E3E03" w:rsidRDefault="006E3E03" w:rsidP="00F23818">
            <w:pPr>
              <w:jc w:val="both"/>
              <w:rPr>
                <w:szCs w:val="20"/>
              </w:rPr>
            </w:pPr>
            <w:r>
              <w:rPr>
                <w:szCs w:val="20"/>
              </w:rPr>
              <w:t>19</w:t>
            </w:r>
          </w:p>
        </w:tc>
        <w:tc>
          <w:tcPr>
            <w:tcW w:w="1188" w:type="dxa"/>
            <w:tcBorders>
              <w:top w:val="single" w:sz="4" w:space="0" w:color="auto"/>
              <w:bottom w:val="single" w:sz="4" w:space="0" w:color="auto"/>
            </w:tcBorders>
          </w:tcPr>
          <w:p w:rsidR="006E3E03" w:rsidRDefault="006E3E03" w:rsidP="00F23818">
            <w:pPr>
              <w:jc w:val="both"/>
              <w:rPr>
                <w:szCs w:val="20"/>
              </w:rPr>
            </w:pPr>
            <w:r>
              <w:rPr>
                <w:szCs w:val="20"/>
              </w:rPr>
              <w:t>93</w:t>
            </w:r>
          </w:p>
        </w:tc>
        <w:tc>
          <w:tcPr>
            <w:tcW w:w="1535" w:type="dxa"/>
            <w:tcBorders>
              <w:top w:val="single" w:sz="4" w:space="0" w:color="auto"/>
              <w:bottom w:val="single" w:sz="4" w:space="0" w:color="auto"/>
            </w:tcBorders>
          </w:tcPr>
          <w:p w:rsidR="006E3E03" w:rsidRDefault="006E3E03" w:rsidP="00F23818">
            <w:pPr>
              <w:jc w:val="both"/>
              <w:rPr>
                <w:szCs w:val="20"/>
              </w:rPr>
            </w:pPr>
            <w:r>
              <w:rPr>
                <w:szCs w:val="20"/>
              </w:rPr>
              <w:t>-</w:t>
            </w:r>
          </w:p>
        </w:tc>
        <w:tc>
          <w:tcPr>
            <w:tcW w:w="1286" w:type="dxa"/>
            <w:tcBorders>
              <w:top w:val="single" w:sz="4" w:space="0" w:color="auto"/>
              <w:bottom w:val="single" w:sz="4" w:space="0" w:color="auto"/>
            </w:tcBorders>
          </w:tcPr>
          <w:p w:rsidR="006E3E03" w:rsidRDefault="006E3E03" w:rsidP="00F23818">
            <w:pPr>
              <w:jc w:val="both"/>
              <w:rPr>
                <w:szCs w:val="20"/>
              </w:rPr>
            </w:pPr>
            <w:r>
              <w:rPr>
                <w:szCs w:val="20"/>
              </w:rPr>
              <w:t>-</w:t>
            </w:r>
          </w:p>
        </w:tc>
        <w:tc>
          <w:tcPr>
            <w:tcW w:w="2816" w:type="dxa"/>
            <w:vMerge/>
          </w:tcPr>
          <w:p w:rsidR="006E3E03" w:rsidRDefault="006E3E03" w:rsidP="00F23818">
            <w:pPr>
              <w:jc w:val="both"/>
              <w:rPr>
                <w:szCs w:val="20"/>
              </w:rPr>
            </w:pPr>
          </w:p>
        </w:tc>
      </w:tr>
      <w:tr w:rsidR="006E3E03" w:rsidTr="006E3E03">
        <w:trPr>
          <w:trHeight w:val="330"/>
        </w:trPr>
        <w:tc>
          <w:tcPr>
            <w:tcW w:w="1465" w:type="dxa"/>
            <w:tcBorders>
              <w:top w:val="single" w:sz="4" w:space="0" w:color="auto"/>
              <w:bottom w:val="single" w:sz="4" w:space="0" w:color="auto"/>
            </w:tcBorders>
          </w:tcPr>
          <w:p w:rsidR="006E3E03" w:rsidRDefault="006E3E03" w:rsidP="00F23818">
            <w:pPr>
              <w:jc w:val="both"/>
              <w:rPr>
                <w:szCs w:val="20"/>
              </w:rPr>
            </w:pPr>
            <w:r>
              <w:rPr>
                <w:szCs w:val="20"/>
              </w:rPr>
              <w:t>2004-05</w:t>
            </w:r>
          </w:p>
        </w:tc>
        <w:tc>
          <w:tcPr>
            <w:tcW w:w="1286" w:type="dxa"/>
            <w:tcBorders>
              <w:top w:val="single" w:sz="4" w:space="0" w:color="auto"/>
              <w:bottom w:val="single" w:sz="4" w:space="0" w:color="auto"/>
            </w:tcBorders>
          </w:tcPr>
          <w:p w:rsidR="006E3E03" w:rsidRDefault="006E3E03" w:rsidP="00F23818">
            <w:pPr>
              <w:jc w:val="both"/>
              <w:rPr>
                <w:szCs w:val="20"/>
              </w:rPr>
            </w:pPr>
            <w:r>
              <w:rPr>
                <w:szCs w:val="20"/>
              </w:rPr>
              <w:t>--</w:t>
            </w:r>
          </w:p>
        </w:tc>
        <w:tc>
          <w:tcPr>
            <w:tcW w:w="1188" w:type="dxa"/>
            <w:tcBorders>
              <w:top w:val="single" w:sz="4" w:space="0" w:color="auto"/>
              <w:bottom w:val="single" w:sz="4" w:space="0" w:color="auto"/>
            </w:tcBorders>
          </w:tcPr>
          <w:p w:rsidR="006E3E03" w:rsidRDefault="006E3E03" w:rsidP="00F23818">
            <w:pPr>
              <w:jc w:val="both"/>
              <w:rPr>
                <w:szCs w:val="20"/>
              </w:rPr>
            </w:pPr>
            <w:r>
              <w:rPr>
                <w:szCs w:val="20"/>
              </w:rPr>
              <w:t>93</w:t>
            </w:r>
          </w:p>
        </w:tc>
        <w:tc>
          <w:tcPr>
            <w:tcW w:w="1535" w:type="dxa"/>
            <w:tcBorders>
              <w:top w:val="single" w:sz="4" w:space="0" w:color="auto"/>
              <w:bottom w:val="single" w:sz="4" w:space="0" w:color="auto"/>
            </w:tcBorders>
          </w:tcPr>
          <w:p w:rsidR="006E3E03" w:rsidRDefault="006E3E03" w:rsidP="00F23818">
            <w:pPr>
              <w:jc w:val="both"/>
              <w:rPr>
                <w:szCs w:val="20"/>
              </w:rPr>
            </w:pPr>
            <w:r>
              <w:rPr>
                <w:szCs w:val="20"/>
              </w:rPr>
              <w:t>-</w:t>
            </w:r>
          </w:p>
        </w:tc>
        <w:tc>
          <w:tcPr>
            <w:tcW w:w="1286" w:type="dxa"/>
            <w:tcBorders>
              <w:top w:val="single" w:sz="4" w:space="0" w:color="auto"/>
              <w:bottom w:val="single" w:sz="4" w:space="0" w:color="auto"/>
            </w:tcBorders>
          </w:tcPr>
          <w:p w:rsidR="006E3E03" w:rsidRDefault="006E3E03" w:rsidP="00F23818">
            <w:pPr>
              <w:jc w:val="both"/>
              <w:rPr>
                <w:szCs w:val="20"/>
              </w:rPr>
            </w:pPr>
            <w:r>
              <w:rPr>
                <w:szCs w:val="20"/>
              </w:rPr>
              <w:t>-</w:t>
            </w:r>
          </w:p>
        </w:tc>
        <w:tc>
          <w:tcPr>
            <w:tcW w:w="2816" w:type="dxa"/>
            <w:vMerge/>
          </w:tcPr>
          <w:p w:rsidR="006E3E03" w:rsidRDefault="006E3E03" w:rsidP="00F23818">
            <w:pPr>
              <w:jc w:val="both"/>
              <w:rPr>
                <w:szCs w:val="20"/>
              </w:rPr>
            </w:pPr>
          </w:p>
        </w:tc>
      </w:tr>
      <w:tr w:rsidR="006E3E03" w:rsidTr="006E3E03">
        <w:trPr>
          <w:trHeight w:val="345"/>
        </w:trPr>
        <w:tc>
          <w:tcPr>
            <w:tcW w:w="1465" w:type="dxa"/>
            <w:tcBorders>
              <w:top w:val="single" w:sz="4" w:space="0" w:color="auto"/>
              <w:bottom w:val="single" w:sz="4" w:space="0" w:color="auto"/>
            </w:tcBorders>
          </w:tcPr>
          <w:p w:rsidR="006E3E03" w:rsidRDefault="006E3E03" w:rsidP="00F23818">
            <w:pPr>
              <w:jc w:val="both"/>
              <w:rPr>
                <w:szCs w:val="20"/>
              </w:rPr>
            </w:pPr>
            <w:r>
              <w:rPr>
                <w:szCs w:val="20"/>
              </w:rPr>
              <w:t>2005-06</w:t>
            </w:r>
          </w:p>
        </w:tc>
        <w:tc>
          <w:tcPr>
            <w:tcW w:w="1286" w:type="dxa"/>
            <w:tcBorders>
              <w:top w:val="single" w:sz="4" w:space="0" w:color="auto"/>
              <w:bottom w:val="single" w:sz="4" w:space="0" w:color="auto"/>
            </w:tcBorders>
          </w:tcPr>
          <w:p w:rsidR="006E3E03" w:rsidRDefault="006E3E03" w:rsidP="00F23818">
            <w:pPr>
              <w:jc w:val="both"/>
              <w:rPr>
                <w:szCs w:val="20"/>
              </w:rPr>
            </w:pPr>
            <w:r>
              <w:rPr>
                <w:szCs w:val="20"/>
              </w:rPr>
              <w:t>25</w:t>
            </w:r>
          </w:p>
        </w:tc>
        <w:tc>
          <w:tcPr>
            <w:tcW w:w="1188" w:type="dxa"/>
            <w:tcBorders>
              <w:top w:val="single" w:sz="4" w:space="0" w:color="auto"/>
              <w:bottom w:val="single" w:sz="4" w:space="0" w:color="auto"/>
            </w:tcBorders>
          </w:tcPr>
          <w:p w:rsidR="006E3E03" w:rsidRDefault="006E3E03" w:rsidP="00F23818">
            <w:pPr>
              <w:jc w:val="both"/>
              <w:rPr>
                <w:szCs w:val="20"/>
              </w:rPr>
            </w:pPr>
            <w:r>
              <w:rPr>
                <w:szCs w:val="20"/>
              </w:rPr>
              <w:t>107</w:t>
            </w:r>
          </w:p>
        </w:tc>
        <w:tc>
          <w:tcPr>
            <w:tcW w:w="1535" w:type="dxa"/>
            <w:tcBorders>
              <w:top w:val="single" w:sz="4" w:space="0" w:color="auto"/>
              <w:bottom w:val="single" w:sz="4" w:space="0" w:color="auto"/>
            </w:tcBorders>
          </w:tcPr>
          <w:p w:rsidR="006E3E03" w:rsidRDefault="006E3E03" w:rsidP="00F23818">
            <w:pPr>
              <w:jc w:val="both"/>
              <w:rPr>
                <w:szCs w:val="20"/>
              </w:rPr>
            </w:pPr>
            <w:r>
              <w:rPr>
                <w:szCs w:val="20"/>
              </w:rPr>
              <w:t>01</w:t>
            </w:r>
          </w:p>
        </w:tc>
        <w:tc>
          <w:tcPr>
            <w:tcW w:w="1286" w:type="dxa"/>
            <w:tcBorders>
              <w:top w:val="single" w:sz="4" w:space="0" w:color="auto"/>
              <w:bottom w:val="single" w:sz="4" w:space="0" w:color="auto"/>
            </w:tcBorders>
          </w:tcPr>
          <w:p w:rsidR="006E3E03" w:rsidRDefault="006E3E03" w:rsidP="00F23818">
            <w:pPr>
              <w:jc w:val="both"/>
              <w:rPr>
                <w:szCs w:val="20"/>
              </w:rPr>
            </w:pPr>
            <w:r>
              <w:rPr>
                <w:szCs w:val="20"/>
              </w:rPr>
              <w:t>Permanent  disability</w:t>
            </w:r>
          </w:p>
        </w:tc>
        <w:tc>
          <w:tcPr>
            <w:tcW w:w="2816" w:type="dxa"/>
            <w:vMerge/>
          </w:tcPr>
          <w:p w:rsidR="006E3E03" w:rsidRDefault="006E3E03" w:rsidP="00F23818">
            <w:pPr>
              <w:jc w:val="both"/>
              <w:rPr>
                <w:szCs w:val="20"/>
              </w:rPr>
            </w:pPr>
          </w:p>
        </w:tc>
      </w:tr>
      <w:tr w:rsidR="006E3E03" w:rsidTr="006E3E03">
        <w:trPr>
          <w:trHeight w:val="195"/>
        </w:trPr>
        <w:tc>
          <w:tcPr>
            <w:tcW w:w="1465" w:type="dxa"/>
            <w:tcBorders>
              <w:top w:val="single" w:sz="4" w:space="0" w:color="auto"/>
              <w:bottom w:val="single" w:sz="4" w:space="0" w:color="auto"/>
            </w:tcBorders>
          </w:tcPr>
          <w:p w:rsidR="006E3E03" w:rsidRDefault="006E3E03" w:rsidP="00F23818">
            <w:pPr>
              <w:jc w:val="both"/>
              <w:rPr>
                <w:szCs w:val="20"/>
              </w:rPr>
            </w:pPr>
            <w:r>
              <w:rPr>
                <w:szCs w:val="20"/>
              </w:rPr>
              <w:t>2006-07</w:t>
            </w:r>
          </w:p>
        </w:tc>
        <w:tc>
          <w:tcPr>
            <w:tcW w:w="1286" w:type="dxa"/>
            <w:tcBorders>
              <w:top w:val="single" w:sz="4" w:space="0" w:color="auto"/>
              <w:bottom w:val="single" w:sz="4" w:space="0" w:color="auto"/>
            </w:tcBorders>
          </w:tcPr>
          <w:p w:rsidR="006E3E03" w:rsidRDefault="006E3E03" w:rsidP="00F23818">
            <w:pPr>
              <w:jc w:val="both"/>
              <w:rPr>
                <w:szCs w:val="20"/>
              </w:rPr>
            </w:pPr>
            <w:r>
              <w:rPr>
                <w:szCs w:val="20"/>
              </w:rPr>
              <w:t>08</w:t>
            </w:r>
          </w:p>
        </w:tc>
        <w:tc>
          <w:tcPr>
            <w:tcW w:w="1188" w:type="dxa"/>
            <w:tcBorders>
              <w:top w:val="single" w:sz="4" w:space="0" w:color="auto"/>
              <w:bottom w:val="single" w:sz="4" w:space="0" w:color="auto"/>
            </w:tcBorders>
          </w:tcPr>
          <w:p w:rsidR="006E3E03" w:rsidRDefault="006E3E03" w:rsidP="00F23818">
            <w:pPr>
              <w:jc w:val="both"/>
              <w:rPr>
                <w:szCs w:val="20"/>
              </w:rPr>
            </w:pPr>
            <w:r>
              <w:rPr>
                <w:szCs w:val="20"/>
              </w:rPr>
              <w:t>115</w:t>
            </w:r>
          </w:p>
        </w:tc>
        <w:tc>
          <w:tcPr>
            <w:tcW w:w="1535" w:type="dxa"/>
            <w:tcBorders>
              <w:top w:val="single" w:sz="4" w:space="0" w:color="auto"/>
              <w:bottom w:val="single" w:sz="4" w:space="0" w:color="auto"/>
            </w:tcBorders>
          </w:tcPr>
          <w:p w:rsidR="006E3E03" w:rsidRDefault="006E3E03" w:rsidP="00F23818">
            <w:pPr>
              <w:jc w:val="both"/>
              <w:rPr>
                <w:szCs w:val="20"/>
              </w:rPr>
            </w:pPr>
            <w:r>
              <w:rPr>
                <w:szCs w:val="20"/>
              </w:rPr>
              <w:t>--</w:t>
            </w:r>
          </w:p>
        </w:tc>
        <w:tc>
          <w:tcPr>
            <w:tcW w:w="1286" w:type="dxa"/>
            <w:tcBorders>
              <w:top w:val="single" w:sz="4" w:space="0" w:color="auto"/>
              <w:bottom w:val="single" w:sz="4" w:space="0" w:color="auto"/>
            </w:tcBorders>
          </w:tcPr>
          <w:p w:rsidR="006E3E03" w:rsidRDefault="006E3E03" w:rsidP="00F23818">
            <w:pPr>
              <w:jc w:val="both"/>
              <w:rPr>
                <w:szCs w:val="20"/>
              </w:rPr>
            </w:pPr>
          </w:p>
        </w:tc>
        <w:tc>
          <w:tcPr>
            <w:tcW w:w="2816" w:type="dxa"/>
            <w:vMerge/>
          </w:tcPr>
          <w:p w:rsidR="006E3E03" w:rsidRDefault="006E3E03" w:rsidP="00F23818">
            <w:pPr>
              <w:jc w:val="both"/>
              <w:rPr>
                <w:szCs w:val="20"/>
              </w:rPr>
            </w:pPr>
          </w:p>
        </w:tc>
      </w:tr>
      <w:tr w:rsidR="006E3E03" w:rsidTr="006E3E03">
        <w:trPr>
          <w:trHeight w:val="300"/>
        </w:trPr>
        <w:tc>
          <w:tcPr>
            <w:tcW w:w="1465" w:type="dxa"/>
            <w:tcBorders>
              <w:top w:val="single" w:sz="4" w:space="0" w:color="auto"/>
              <w:bottom w:val="single" w:sz="4" w:space="0" w:color="auto"/>
            </w:tcBorders>
          </w:tcPr>
          <w:p w:rsidR="006E3E03" w:rsidRDefault="006E3E03" w:rsidP="00F23818">
            <w:pPr>
              <w:jc w:val="both"/>
              <w:rPr>
                <w:szCs w:val="20"/>
              </w:rPr>
            </w:pPr>
            <w:r>
              <w:rPr>
                <w:szCs w:val="20"/>
              </w:rPr>
              <w:t>2007-08</w:t>
            </w:r>
          </w:p>
        </w:tc>
        <w:tc>
          <w:tcPr>
            <w:tcW w:w="1286" w:type="dxa"/>
            <w:tcBorders>
              <w:top w:val="single" w:sz="4" w:space="0" w:color="auto"/>
              <w:bottom w:val="single" w:sz="4" w:space="0" w:color="auto"/>
            </w:tcBorders>
          </w:tcPr>
          <w:p w:rsidR="006E3E03" w:rsidRDefault="006E3E03" w:rsidP="00F23818">
            <w:pPr>
              <w:jc w:val="both"/>
              <w:rPr>
                <w:szCs w:val="20"/>
              </w:rPr>
            </w:pPr>
            <w:r>
              <w:rPr>
                <w:szCs w:val="20"/>
              </w:rPr>
              <w:t>22</w:t>
            </w:r>
          </w:p>
        </w:tc>
        <w:tc>
          <w:tcPr>
            <w:tcW w:w="1188" w:type="dxa"/>
            <w:tcBorders>
              <w:top w:val="single" w:sz="4" w:space="0" w:color="auto"/>
              <w:bottom w:val="single" w:sz="4" w:space="0" w:color="auto"/>
            </w:tcBorders>
          </w:tcPr>
          <w:p w:rsidR="006E3E03" w:rsidRDefault="006E3E03" w:rsidP="00F23818">
            <w:pPr>
              <w:jc w:val="both"/>
              <w:rPr>
                <w:szCs w:val="20"/>
              </w:rPr>
            </w:pPr>
            <w:r>
              <w:rPr>
                <w:szCs w:val="20"/>
              </w:rPr>
              <w:t>137</w:t>
            </w:r>
          </w:p>
        </w:tc>
        <w:tc>
          <w:tcPr>
            <w:tcW w:w="1535" w:type="dxa"/>
            <w:tcBorders>
              <w:top w:val="single" w:sz="4" w:space="0" w:color="auto"/>
              <w:bottom w:val="single" w:sz="4" w:space="0" w:color="auto"/>
            </w:tcBorders>
          </w:tcPr>
          <w:p w:rsidR="006E3E03" w:rsidRDefault="006E3E03" w:rsidP="00F23818">
            <w:pPr>
              <w:jc w:val="both"/>
              <w:rPr>
                <w:szCs w:val="20"/>
              </w:rPr>
            </w:pPr>
            <w:r>
              <w:rPr>
                <w:szCs w:val="20"/>
              </w:rPr>
              <w:t>01</w:t>
            </w:r>
          </w:p>
        </w:tc>
        <w:tc>
          <w:tcPr>
            <w:tcW w:w="1286" w:type="dxa"/>
            <w:tcBorders>
              <w:top w:val="single" w:sz="4" w:space="0" w:color="auto"/>
              <w:bottom w:val="single" w:sz="4" w:space="0" w:color="auto"/>
            </w:tcBorders>
          </w:tcPr>
          <w:p w:rsidR="006E3E03" w:rsidRDefault="006E3E03" w:rsidP="00F23818">
            <w:pPr>
              <w:jc w:val="both"/>
              <w:rPr>
                <w:szCs w:val="20"/>
              </w:rPr>
            </w:pPr>
            <w:r>
              <w:rPr>
                <w:szCs w:val="20"/>
              </w:rPr>
              <w:t>P.B.</w:t>
            </w:r>
          </w:p>
        </w:tc>
        <w:tc>
          <w:tcPr>
            <w:tcW w:w="2816" w:type="dxa"/>
            <w:vMerge/>
          </w:tcPr>
          <w:p w:rsidR="006E3E03" w:rsidRDefault="006E3E03" w:rsidP="00F23818">
            <w:pPr>
              <w:jc w:val="both"/>
              <w:rPr>
                <w:szCs w:val="20"/>
              </w:rPr>
            </w:pPr>
          </w:p>
        </w:tc>
      </w:tr>
      <w:tr w:rsidR="006E3E03" w:rsidTr="006E3E03">
        <w:trPr>
          <w:trHeight w:val="375"/>
        </w:trPr>
        <w:tc>
          <w:tcPr>
            <w:tcW w:w="1465" w:type="dxa"/>
            <w:tcBorders>
              <w:top w:val="single" w:sz="4" w:space="0" w:color="auto"/>
              <w:bottom w:val="single" w:sz="4" w:space="0" w:color="auto"/>
            </w:tcBorders>
          </w:tcPr>
          <w:p w:rsidR="006E3E03" w:rsidRDefault="006E3E03" w:rsidP="00F23818">
            <w:pPr>
              <w:jc w:val="both"/>
              <w:rPr>
                <w:szCs w:val="20"/>
              </w:rPr>
            </w:pPr>
            <w:r>
              <w:rPr>
                <w:szCs w:val="20"/>
              </w:rPr>
              <w:t>2008-09</w:t>
            </w:r>
          </w:p>
        </w:tc>
        <w:tc>
          <w:tcPr>
            <w:tcW w:w="1286" w:type="dxa"/>
            <w:tcBorders>
              <w:top w:val="single" w:sz="4" w:space="0" w:color="auto"/>
              <w:bottom w:val="single" w:sz="4" w:space="0" w:color="auto"/>
            </w:tcBorders>
          </w:tcPr>
          <w:p w:rsidR="006E3E03" w:rsidRDefault="006E3E03" w:rsidP="00F23818">
            <w:pPr>
              <w:jc w:val="both"/>
              <w:rPr>
                <w:szCs w:val="20"/>
              </w:rPr>
            </w:pPr>
            <w:r>
              <w:rPr>
                <w:szCs w:val="20"/>
              </w:rPr>
              <w:t>14</w:t>
            </w:r>
          </w:p>
        </w:tc>
        <w:tc>
          <w:tcPr>
            <w:tcW w:w="1188" w:type="dxa"/>
            <w:tcBorders>
              <w:top w:val="single" w:sz="4" w:space="0" w:color="auto"/>
              <w:bottom w:val="single" w:sz="4" w:space="0" w:color="auto"/>
            </w:tcBorders>
          </w:tcPr>
          <w:p w:rsidR="006E3E03" w:rsidRDefault="006E3E03" w:rsidP="00F23818">
            <w:pPr>
              <w:jc w:val="both"/>
              <w:rPr>
                <w:szCs w:val="20"/>
              </w:rPr>
            </w:pPr>
            <w:r>
              <w:rPr>
                <w:szCs w:val="20"/>
              </w:rPr>
              <w:t>151</w:t>
            </w:r>
          </w:p>
        </w:tc>
        <w:tc>
          <w:tcPr>
            <w:tcW w:w="1535" w:type="dxa"/>
            <w:tcBorders>
              <w:top w:val="single" w:sz="4" w:space="0" w:color="auto"/>
              <w:bottom w:val="single" w:sz="4" w:space="0" w:color="auto"/>
            </w:tcBorders>
          </w:tcPr>
          <w:p w:rsidR="006E3E03" w:rsidRDefault="006E3E03" w:rsidP="00F23818">
            <w:pPr>
              <w:jc w:val="both"/>
              <w:rPr>
                <w:szCs w:val="20"/>
              </w:rPr>
            </w:pPr>
            <w:r>
              <w:rPr>
                <w:szCs w:val="20"/>
              </w:rPr>
              <w:t>-</w:t>
            </w:r>
          </w:p>
        </w:tc>
        <w:tc>
          <w:tcPr>
            <w:tcW w:w="1286" w:type="dxa"/>
            <w:tcBorders>
              <w:top w:val="single" w:sz="4" w:space="0" w:color="auto"/>
              <w:bottom w:val="single" w:sz="4" w:space="0" w:color="auto"/>
            </w:tcBorders>
          </w:tcPr>
          <w:p w:rsidR="006E3E03" w:rsidRDefault="006E3E03" w:rsidP="00F23818">
            <w:pPr>
              <w:jc w:val="both"/>
              <w:rPr>
                <w:szCs w:val="20"/>
              </w:rPr>
            </w:pPr>
            <w:r>
              <w:rPr>
                <w:szCs w:val="20"/>
              </w:rPr>
              <w:t>-</w:t>
            </w:r>
          </w:p>
        </w:tc>
        <w:tc>
          <w:tcPr>
            <w:tcW w:w="2816" w:type="dxa"/>
            <w:vMerge/>
          </w:tcPr>
          <w:p w:rsidR="006E3E03" w:rsidRDefault="006E3E03" w:rsidP="00F23818">
            <w:pPr>
              <w:jc w:val="both"/>
              <w:rPr>
                <w:szCs w:val="20"/>
              </w:rPr>
            </w:pPr>
          </w:p>
        </w:tc>
      </w:tr>
      <w:tr w:rsidR="006E3E03" w:rsidTr="006E3E03">
        <w:trPr>
          <w:trHeight w:val="330"/>
        </w:trPr>
        <w:tc>
          <w:tcPr>
            <w:tcW w:w="1465" w:type="dxa"/>
            <w:tcBorders>
              <w:top w:val="single" w:sz="4" w:space="0" w:color="auto"/>
            </w:tcBorders>
          </w:tcPr>
          <w:p w:rsidR="006E3E03" w:rsidRDefault="006E3E03" w:rsidP="00F23818">
            <w:pPr>
              <w:jc w:val="both"/>
              <w:rPr>
                <w:szCs w:val="20"/>
              </w:rPr>
            </w:pPr>
            <w:r>
              <w:rPr>
                <w:szCs w:val="20"/>
              </w:rPr>
              <w:t>2009-10</w:t>
            </w:r>
          </w:p>
        </w:tc>
        <w:tc>
          <w:tcPr>
            <w:tcW w:w="1286" w:type="dxa"/>
            <w:tcBorders>
              <w:top w:val="single" w:sz="4" w:space="0" w:color="auto"/>
            </w:tcBorders>
          </w:tcPr>
          <w:p w:rsidR="006E3E03" w:rsidRDefault="006E3E03" w:rsidP="00F23818">
            <w:pPr>
              <w:jc w:val="both"/>
              <w:rPr>
                <w:szCs w:val="20"/>
              </w:rPr>
            </w:pPr>
            <w:r>
              <w:rPr>
                <w:szCs w:val="20"/>
              </w:rPr>
              <w:t>32</w:t>
            </w:r>
          </w:p>
        </w:tc>
        <w:tc>
          <w:tcPr>
            <w:tcW w:w="1188" w:type="dxa"/>
            <w:tcBorders>
              <w:top w:val="single" w:sz="4" w:space="0" w:color="auto"/>
            </w:tcBorders>
          </w:tcPr>
          <w:p w:rsidR="006E3E03" w:rsidRDefault="006E3E03" w:rsidP="00F23818">
            <w:pPr>
              <w:jc w:val="both"/>
              <w:rPr>
                <w:szCs w:val="20"/>
              </w:rPr>
            </w:pPr>
            <w:r>
              <w:rPr>
                <w:szCs w:val="20"/>
              </w:rPr>
              <w:t>183</w:t>
            </w:r>
          </w:p>
        </w:tc>
        <w:tc>
          <w:tcPr>
            <w:tcW w:w="1535" w:type="dxa"/>
            <w:tcBorders>
              <w:top w:val="single" w:sz="4" w:space="0" w:color="auto"/>
            </w:tcBorders>
          </w:tcPr>
          <w:p w:rsidR="006E3E03" w:rsidRDefault="006E3E03" w:rsidP="00F23818">
            <w:pPr>
              <w:jc w:val="both"/>
              <w:rPr>
                <w:szCs w:val="20"/>
              </w:rPr>
            </w:pPr>
            <w:r>
              <w:rPr>
                <w:szCs w:val="20"/>
              </w:rPr>
              <w:t>01</w:t>
            </w:r>
          </w:p>
        </w:tc>
        <w:tc>
          <w:tcPr>
            <w:tcW w:w="1286" w:type="dxa"/>
            <w:tcBorders>
              <w:top w:val="single" w:sz="4" w:space="0" w:color="auto"/>
            </w:tcBorders>
          </w:tcPr>
          <w:p w:rsidR="006E3E03" w:rsidRDefault="006E3E03" w:rsidP="00F23818">
            <w:pPr>
              <w:jc w:val="both"/>
              <w:rPr>
                <w:szCs w:val="20"/>
              </w:rPr>
            </w:pPr>
            <w:r>
              <w:rPr>
                <w:szCs w:val="20"/>
              </w:rPr>
              <w:t>P.D.</w:t>
            </w:r>
          </w:p>
        </w:tc>
        <w:tc>
          <w:tcPr>
            <w:tcW w:w="2816" w:type="dxa"/>
            <w:vMerge/>
          </w:tcPr>
          <w:p w:rsidR="006E3E03" w:rsidRDefault="006E3E03" w:rsidP="00F23818">
            <w:pPr>
              <w:jc w:val="both"/>
              <w:rPr>
                <w:szCs w:val="20"/>
              </w:rPr>
            </w:pPr>
          </w:p>
        </w:tc>
      </w:tr>
      <w:tr w:rsidR="006E3E03" w:rsidTr="006E3E03">
        <w:tc>
          <w:tcPr>
            <w:tcW w:w="1465" w:type="dxa"/>
          </w:tcPr>
          <w:p w:rsidR="006E3E03" w:rsidRDefault="006E3E03" w:rsidP="00F23818">
            <w:pPr>
              <w:jc w:val="both"/>
              <w:rPr>
                <w:szCs w:val="20"/>
              </w:rPr>
            </w:pPr>
            <w:r>
              <w:rPr>
                <w:szCs w:val="20"/>
              </w:rPr>
              <w:t>Total:</w:t>
            </w:r>
          </w:p>
        </w:tc>
        <w:tc>
          <w:tcPr>
            <w:tcW w:w="1286" w:type="dxa"/>
          </w:tcPr>
          <w:p w:rsidR="006E3E03" w:rsidRDefault="006E3E03" w:rsidP="00F23818">
            <w:pPr>
              <w:jc w:val="both"/>
              <w:rPr>
                <w:szCs w:val="20"/>
              </w:rPr>
            </w:pPr>
            <w:r>
              <w:rPr>
                <w:szCs w:val="20"/>
              </w:rPr>
              <w:t>183</w:t>
            </w:r>
          </w:p>
        </w:tc>
        <w:tc>
          <w:tcPr>
            <w:tcW w:w="1188" w:type="dxa"/>
          </w:tcPr>
          <w:p w:rsidR="006E3E03" w:rsidRDefault="006E3E03" w:rsidP="00F23818">
            <w:pPr>
              <w:jc w:val="both"/>
              <w:rPr>
                <w:szCs w:val="20"/>
              </w:rPr>
            </w:pPr>
            <w:r>
              <w:rPr>
                <w:szCs w:val="20"/>
              </w:rPr>
              <w:t>183</w:t>
            </w:r>
          </w:p>
        </w:tc>
        <w:tc>
          <w:tcPr>
            <w:tcW w:w="1535" w:type="dxa"/>
          </w:tcPr>
          <w:p w:rsidR="006E3E03" w:rsidRDefault="006E3E03" w:rsidP="00F23818">
            <w:pPr>
              <w:jc w:val="both"/>
              <w:rPr>
                <w:szCs w:val="20"/>
              </w:rPr>
            </w:pPr>
            <w:r>
              <w:rPr>
                <w:szCs w:val="20"/>
              </w:rPr>
              <w:t>05</w:t>
            </w:r>
          </w:p>
        </w:tc>
        <w:tc>
          <w:tcPr>
            <w:tcW w:w="1286" w:type="dxa"/>
          </w:tcPr>
          <w:p w:rsidR="006E3E03" w:rsidRDefault="006E3E03" w:rsidP="00F23818">
            <w:pPr>
              <w:jc w:val="both"/>
              <w:rPr>
                <w:szCs w:val="20"/>
              </w:rPr>
            </w:pPr>
          </w:p>
        </w:tc>
        <w:tc>
          <w:tcPr>
            <w:tcW w:w="2816" w:type="dxa"/>
            <w:vMerge/>
          </w:tcPr>
          <w:p w:rsidR="006E3E03" w:rsidRDefault="006E3E03" w:rsidP="00F23818">
            <w:pPr>
              <w:jc w:val="both"/>
              <w:rPr>
                <w:szCs w:val="20"/>
              </w:rPr>
            </w:pPr>
          </w:p>
        </w:tc>
      </w:tr>
    </w:tbl>
    <w:p w:rsidR="006E3E03" w:rsidRDefault="006E3E03" w:rsidP="00F23818">
      <w:pPr>
        <w:jc w:val="both"/>
        <w:rPr>
          <w:szCs w:val="20"/>
        </w:rPr>
      </w:pPr>
    </w:p>
    <w:p w:rsidR="00F23818" w:rsidRDefault="006E3E03" w:rsidP="00F23818">
      <w:pPr>
        <w:jc w:val="both"/>
        <w:rPr>
          <w:szCs w:val="20"/>
        </w:rPr>
      </w:pPr>
      <w:r>
        <w:rPr>
          <w:szCs w:val="20"/>
        </w:rPr>
        <w:t xml:space="preserve">9. </w:t>
      </w:r>
      <w:r w:rsidR="00F23818" w:rsidRPr="00F23818">
        <w:rPr>
          <w:szCs w:val="20"/>
        </w:rPr>
        <w:t>It was pointed out on behalf of the State that for the</w:t>
      </w:r>
      <w:r>
        <w:rPr>
          <w:szCs w:val="20"/>
        </w:rPr>
        <w:t xml:space="preserve"> year 2000-2001</w:t>
      </w:r>
      <w:r>
        <w:rPr>
          <w:szCs w:val="20"/>
        </w:rPr>
        <w:tab/>
        <w:t xml:space="preserve">in which </w:t>
      </w:r>
      <w:r w:rsidR="00F23818" w:rsidRPr="00F23818">
        <w:rPr>
          <w:szCs w:val="20"/>
        </w:rPr>
        <w:t>9</w:t>
      </w:r>
      <w:r>
        <w:rPr>
          <w:szCs w:val="20"/>
        </w:rPr>
        <w:t xml:space="preserve"> vacancies for Deputy </w:t>
      </w:r>
      <w:r w:rsidR="00F23818" w:rsidRPr="00F23818">
        <w:rPr>
          <w:szCs w:val="20"/>
        </w:rPr>
        <w:t>Collector</w:t>
      </w:r>
      <w:r>
        <w:rPr>
          <w:szCs w:val="20"/>
        </w:rPr>
        <w:t xml:space="preserve"> arose, there was no roster </w:t>
      </w:r>
      <w:r w:rsidR="00F23818" w:rsidRPr="00F23818">
        <w:rPr>
          <w:szCs w:val="20"/>
        </w:rPr>
        <w:t>point for the persons with</w:t>
      </w:r>
      <w:r>
        <w:rPr>
          <w:szCs w:val="20"/>
        </w:rPr>
        <w:t xml:space="preserve"> </w:t>
      </w:r>
      <w:r w:rsidR="00F23818" w:rsidRPr="00F23818">
        <w:rPr>
          <w:szCs w:val="20"/>
        </w:rPr>
        <w:t>disability.</w:t>
      </w:r>
      <w:r>
        <w:rPr>
          <w:szCs w:val="20"/>
        </w:rPr>
        <w:t xml:space="preserve"> </w:t>
      </w:r>
      <w:r w:rsidR="00F23818" w:rsidRPr="00F23818">
        <w:rPr>
          <w:szCs w:val="20"/>
        </w:rPr>
        <w:t>Such a point is available in the next year i.e. 2001-2002. Therefore, in any case the appellant could not</w:t>
      </w:r>
      <w:r>
        <w:rPr>
          <w:szCs w:val="20"/>
        </w:rPr>
        <w:t xml:space="preserve"> have been considered</w:t>
      </w:r>
      <w:r>
        <w:rPr>
          <w:szCs w:val="20"/>
        </w:rPr>
        <w:tab/>
        <w:t>for the</w:t>
      </w:r>
      <w:r>
        <w:rPr>
          <w:szCs w:val="20"/>
        </w:rPr>
        <w:tab/>
        <w:t>9</w:t>
      </w:r>
      <w:r w:rsidR="001A1B36">
        <w:rPr>
          <w:szCs w:val="20"/>
        </w:rPr>
        <w:t xml:space="preserve"> vacancies which arose </w:t>
      </w:r>
      <w:r w:rsidR="00F23818" w:rsidRPr="00F23818">
        <w:rPr>
          <w:szCs w:val="20"/>
        </w:rPr>
        <w:t>in the</w:t>
      </w:r>
      <w:r w:rsidR="001A1B36">
        <w:rPr>
          <w:szCs w:val="20"/>
        </w:rPr>
        <w:t xml:space="preserve"> year 2000-2001. It is pointed </w:t>
      </w:r>
      <w:r w:rsidR="00F23818" w:rsidRPr="00F23818">
        <w:rPr>
          <w:szCs w:val="20"/>
        </w:rPr>
        <w:t>out on behalf of the State that as</w:t>
      </w:r>
      <w:r w:rsidR="001A1B36">
        <w:rPr>
          <w:szCs w:val="20"/>
        </w:rPr>
        <w:t xml:space="preserve"> </w:t>
      </w:r>
      <w:r w:rsidR="00F23818" w:rsidRPr="00F23818">
        <w:rPr>
          <w:szCs w:val="20"/>
        </w:rPr>
        <w:t>a result of the aforesaid exercise, 5 vacancies are calculated for filling up the backlog and have been filled up in accordance with the roster.</w:t>
      </w:r>
    </w:p>
    <w:p w:rsidR="001A1B36" w:rsidRDefault="001A1B36" w:rsidP="00F23818">
      <w:pPr>
        <w:jc w:val="both"/>
        <w:rPr>
          <w:szCs w:val="20"/>
        </w:rPr>
      </w:pPr>
    </w:p>
    <w:p w:rsidR="001A1B36" w:rsidRPr="00F23818" w:rsidRDefault="001A1B36" w:rsidP="00F23818">
      <w:pPr>
        <w:jc w:val="both"/>
        <w:rPr>
          <w:szCs w:val="20"/>
        </w:rPr>
      </w:pPr>
    </w:p>
    <w:p w:rsidR="00F23818" w:rsidRDefault="001A1B36" w:rsidP="00F23818">
      <w:pPr>
        <w:jc w:val="both"/>
        <w:rPr>
          <w:szCs w:val="20"/>
        </w:rPr>
      </w:pPr>
      <w:r>
        <w:rPr>
          <w:szCs w:val="20"/>
        </w:rPr>
        <w:t xml:space="preserve">10. </w:t>
      </w:r>
      <w:r w:rsidR="00F23818" w:rsidRPr="00F23818">
        <w:rPr>
          <w:szCs w:val="20"/>
        </w:rPr>
        <w:t>Mr. Ramchandran contested this position by submitting that the exercise has been carried out by the State from 1997-1998 as is apparent from the chart. According to Mr. Ramchandran this could have been carried out from 1995 in which case according to his calculation the roster point could have been shifted to accommodate the appellant. It is not possible to agree with this point since the exercise was undertaken in pursuance of the Order of the High Court and the year 1997-1998 was taken as the starting point since that is the first year after the Act came into force on 01.01.1996.</w:t>
      </w:r>
    </w:p>
    <w:p w:rsidR="001A1B36" w:rsidRPr="00F23818" w:rsidRDefault="001A1B36" w:rsidP="00F23818">
      <w:pPr>
        <w:jc w:val="both"/>
        <w:rPr>
          <w:szCs w:val="20"/>
        </w:rPr>
      </w:pPr>
    </w:p>
    <w:p w:rsidR="00F23818" w:rsidRDefault="001A1B36" w:rsidP="00F23818">
      <w:pPr>
        <w:jc w:val="both"/>
        <w:rPr>
          <w:szCs w:val="20"/>
        </w:rPr>
      </w:pPr>
      <w:r>
        <w:rPr>
          <w:szCs w:val="20"/>
        </w:rPr>
        <w:t xml:space="preserve">11. </w:t>
      </w:r>
      <w:r w:rsidR="00F23818" w:rsidRPr="00F23818">
        <w:rPr>
          <w:szCs w:val="20"/>
        </w:rPr>
        <w:t>We are satisfied that the reservation which must be provided for, as a matter of law has been duly provided by the</w:t>
      </w:r>
      <w:r>
        <w:rPr>
          <w:szCs w:val="20"/>
        </w:rPr>
        <w:t xml:space="preserve"> </w:t>
      </w:r>
      <w:r w:rsidR="00F23818" w:rsidRPr="00F23818">
        <w:rPr>
          <w:szCs w:val="20"/>
        </w:rPr>
        <w:t>State which has in fact determined the roster point which was calculated for the number of posts that ought to have been reserved from the year 1997-1998 to 2009-2010 and have accordingly made appointments. It is another matter that the appellant has not been appointed thereto.</w:t>
      </w:r>
    </w:p>
    <w:p w:rsidR="001A1B36" w:rsidRPr="00F23818" w:rsidRDefault="001A1B36" w:rsidP="00F23818">
      <w:pPr>
        <w:jc w:val="both"/>
        <w:rPr>
          <w:szCs w:val="20"/>
        </w:rPr>
      </w:pPr>
    </w:p>
    <w:p w:rsidR="00F23818" w:rsidRDefault="001A1B36" w:rsidP="00F23818">
      <w:pPr>
        <w:jc w:val="both"/>
        <w:rPr>
          <w:szCs w:val="20"/>
        </w:rPr>
      </w:pPr>
      <w:r>
        <w:rPr>
          <w:szCs w:val="20"/>
        </w:rPr>
        <w:t>12.</w:t>
      </w:r>
      <w:r w:rsidR="00F23818" w:rsidRPr="00F23818">
        <w:rPr>
          <w:szCs w:val="20"/>
        </w:rPr>
        <w:t xml:space="preserve"> In any case, we agree with the observation of the High Court that a direction to accommodate the appellant in the selection year 2001-2002 would create difficulties in the seniority of those who have been appointed every year since then, as observed earlier some of the Deputy Collectors who have been appointed may have got promoted.</w:t>
      </w:r>
    </w:p>
    <w:p w:rsidR="001A1B36" w:rsidRPr="00F23818" w:rsidRDefault="001A1B36" w:rsidP="00F23818">
      <w:pPr>
        <w:jc w:val="both"/>
        <w:rPr>
          <w:szCs w:val="20"/>
        </w:rPr>
      </w:pPr>
    </w:p>
    <w:p w:rsidR="00F23818" w:rsidRDefault="001A1B36" w:rsidP="00F23818">
      <w:pPr>
        <w:jc w:val="both"/>
        <w:rPr>
          <w:szCs w:val="20"/>
        </w:rPr>
      </w:pPr>
      <w:r>
        <w:rPr>
          <w:szCs w:val="20"/>
        </w:rPr>
        <w:t xml:space="preserve">13. </w:t>
      </w:r>
      <w:r w:rsidR="00F23818" w:rsidRPr="00F23818">
        <w:rPr>
          <w:szCs w:val="20"/>
        </w:rPr>
        <w:t xml:space="preserve"> Lastly, we see no merit in the appeal and it is hereby dismissed.</w:t>
      </w:r>
    </w:p>
    <w:p w:rsidR="00611253" w:rsidRPr="00F23818" w:rsidRDefault="00611253" w:rsidP="00F23818">
      <w:pPr>
        <w:jc w:val="both"/>
        <w:rPr>
          <w:szCs w:val="20"/>
        </w:rPr>
      </w:pPr>
    </w:p>
    <w:sectPr w:rsidR="00611253" w:rsidRPr="00F23818"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3126" w:rsidRDefault="00DA3126" w:rsidP="00CF3BB7">
      <w:r>
        <w:separator/>
      </w:r>
    </w:p>
  </w:endnote>
  <w:endnote w:type="continuationSeparator" w:id="1">
    <w:p w:rsidR="00DA3126" w:rsidRDefault="00DA3126"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8D5FF5" w:rsidRPr="00CF3BB7">
          <w:rPr>
            <w:sz w:val="22"/>
            <w:szCs w:val="22"/>
          </w:rPr>
          <w:fldChar w:fldCharType="begin"/>
        </w:r>
        <w:r w:rsidRPr="00CF3BB7">
          <w:rPr>
            <w:sz w:val="22"/>
            <w:szCs w:val="22"/>
          </w:rPr>
          <w:instrText xml:space="preserve"> PAGE   \* MERGEFORMAT </w:instrText>
        </w:r>
        <w:r w:rsidR="008D5FF5" w:rsidRPr="00CF3BB7">
          <w:rPr>
            <w:sz w:val="22"/>
            <w:szCs w:val="22"/>
          </w:rPr>
          <w:fldChar w:fldCharType="separate"/>
        </w:r>
        <w:r w:rsidR="001A1B36">
          <w:rPr>
            <w:noProof/>
            <w:sz w:val="22"/>
            <w:szCs w:val="22"/>
          </w:rPr>
          <w:t>1</w:t>
        </w:r>
        <w:r w:rsidR="008D5FF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3126" w:rsidRDefault="00DA3126" w:rsidP="00CF3BB7">
      <w:r>
        <w:separator/>
      </w:r>
    </w:p>
  </w:footnote>
  <w:footnote w:type="continuationSeparator" w:id="1">
    <w:p w:rsidR="00DA3126" w:rsidRDefault="00DA312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4413"/>
    <w:rsid w:val="00034AF3"/>
    <w:rsid w:val="000415B5"/>
    <w:rsid w:val="0004501A"/>
    <w:rsid w:val="00057C1D"/>
    <w:rsid w:val="00065E7A"/>
    <w:rsid w:val="000714FE"/>
    <w:rsid w:val="000745ED"/>
    <w:rsid w:val="00082A3D"/>
    <w:rsid w:val="000C3881"/>
    <w:rsid w:val="000C6A97"/>
    <w:rsid w:val="000F5244"/>
    <w:rsid w:val="00125C48"/>
    <w:rsid w:val="00141EEA"/>
    <w:rsid w:val="001636F4"/>
    <w:rsid w:val="001739CF"/>
    <w:rsid w:val="00195974"/>
    <w:rsid w:val="001A1B36"/>
    <w:rsid w:val="001B03EC"/>
    <w:rsid w:val="001B422C"/>
    <w:rsid w:val="001C41B3"/>
    <w:rsid w:val="001D3ED1"/>
    <w:rsid w:val="00201F1C"/>
    <w:rsid w:val="00205FCF"/>
    <w:rsid w:val="00206E8B"/>
    <w:rsid w:val="0021751D"/>
    <w:rsid w:val="00221136"/>
    <w:rsid w:val="002221EE"/>
    <w:rsid w:val="00237519"/>
    <w:rsid w:val="002562DC"/>
    <w:rsid w:val="0026514D"/>
    <w:rsid w:val="00274750"/>
    <w:rsid w:val="002C230D"/>
    <w:rsid w:val="002C3FFF"/>
    <w:rsid w:val="002E5238"/>
    <w:rsid w:val="0032606F"/>
    <w:rsid w:val="003274D9"/>
    <w:rsid w:val="00355CAD"/>
    <w:rsid w:val="0036795D"/>
    <w:rsid w:val="00375317"/>
    <w:rsid w:val="003B0F52"/>
    <w:rsid w:val="003C0BF1"/>
    <w:rsid w:val="003C2873"/>
    <w:rsid w:val="003D0402"/>
    <w:rsid w:val="003D0CBD"/>
    <w:rsid w:val="003E05D3"/>
    <w:rsid w:val="004212C9"/>
    <w:rsid w:val="00424856"/>
    <w:rsid w:val="0045064B"/>
    <w:rsid w:val="004929B7"/>
    <w:rsid w:val="004A453B"/>
    <w:rsid w:val="004E0D9F"/>
    <w:rsid w:val="00524B9D"/>
    <w:rsid w:val="00533ECA"/>
    <w:rsid w:val="00567970"/>
    <w:rsid w:val="0057092C"/>
    <w:rsid w:val="0058585A"/>
    <w:rsid w:val="005C78DE"/>
    <w:rsid w:val="005D1DFD"/>
    <w:rsid w:val="005E4B38"/>
    <w:rsid w:val="005E6F68"/>
    <w:rsid w:val="00604F06"/>
    <w:rsid w:val="00611253"/>
    <w:rsid w:val="00615716"/>
    <w:rsid w:val="006212D9"/>
    <w:rsid w:val="00661143"/>
    <w:rsid w:val="0068588D"/>
    <w:rsid w:val="006859CE"/>
    <w:rsid w:val="00694436"/>
    <w:rsid w:val="006C4CE8"/>
    <w:rsid w:val="006C5A7A"/>
    <w:rsid w:val="006E3E03"/>
    <w:rsid w:val="006F33DA"/>
    <w:rsid w:val="00707364"/>
    <w:rsid w:val="007618D1"/>
    <w:rsid w:val="007820BA"/>
    <w:rsid w:val="007854E8"/>
    <w:rsid w:val="007946E6"/>
    <w:rsid w:val="007A6D36"/>
    <w:rsid w:val="007B5C4B"/>
    <w:rsid w:val="007E2208"/>
    <w:rsid w:val="00822C46"/>
    <w:rsid w:val="00843666"/>
    <w:rsid w:val="00884EEE"/>
    <w:rsid w:val="008C7793"/>
    <w:rsid w:val="008C7CE8"/>
    <w:rsid w:val="008D5FF5"/>
    <w:rsid w:val="008E21C3"/>
    <w:rsid w:val="008E539F"/>
    <w:rsid w:val="00941E4C"/>
    <w:rsid w:val="00994234"/>
    <w:rsid w:val="009A2AF4"/>
    <w:rsid w:val="009B20C3"/>
    <w:rsid w:val="009C6630"/>
    <w:rsid w:val="009F0DE5"/>
    <w:rsid w:val="009F10CE"/>
    <w:rsid w:val="00A101DA"/>
    <w:rsid w:val="00A235B4"/>
    <w:rsid w:val="00A94F25"/>
    <w:rsid w:val="00AC32AE"/>
    <w:rsid w:val="00AF72E0"/>
    <w:rsid w:val="00B07531"/>
    <w:rsid w:val="00B20BB0"/>
    <w:rsid w:val="00B46EB1"/>
    <w:rsid w:val="00B52D42"/>
    <w:rsid w:val="00B54108"/>
    <w:rsid w:val="00B76037"/>
    <w:rsid w:val="00B86FD0"/>
    <w:rsid w:val="00B92B13"/>
    <w:rsid w:val="00BB6970"/>
    <w:rsid w:val="00BB7D6F"/>
    <w:rsid w:val="00BC3FC2"/>
    <w:rsid w:val="00BD6540"/>
    <w:rsid w:val="00BF664C"/>
    <w:rsid w:val="00C04408"/>
    <w:rsid w:val="00C35D9A"/>
    <w:rsid w:val="00C6004E"/>
    <w:rsid w:val="00C620FE"/>
    <w:rsid w:val="00C66AD2"/>
    <w:rsid w:val="00C851DB"/>
    <w:rsid w:val="00C87D0E"/>
    <w:rsid w:val="00CB1919"/>
    <w:rsid w:val="00CD401D"/>
    <w:rsid w:val="00CE175D"/>
    <w:rsid w:val="00CF3BB7"/>
    <w:rsid w:val="00D21C5E"/>
    <w:rsid w:val="00D30336"/>
    <w:rsid w:val="00D93FA6"/>
    <w:rsid w:val="00DA02DC"/>
    <w:rsid w:val="00DA3126"/>
    <w:rsid w:val="00DD1CAD"/>
    <w:rsid w:val="00E24DEE"/>
    <w:rsid w:val="00E26709"/>
    <w:rsid w:val="00E342E3"/>
    <w:rsid w:val="00E35387"/>
    <w:rsid w:val="00E44FF9"/>
    <w:rsid w:val="00E51D0F"/>
    <w:rsid w:val="00E56C0E"/>
    <w:rsid w:val="00E86B2B"/>
    <w:rsid w:val="00EA3545"/>
    <w:rsid w:val="00EC2B6E"/>
    <w:rsid w:val="00EC5536"/>
    <w:rsid w:val="00F20074"/>
    <w:rsid w:val="00F23818"/>
    <w:rsid w:val="00F72DB3"/>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1393</Words>
  <Characters>7945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2016-08-26T12:36:00Z</cp:lastPrinted>
  <dcterms:created xsi:type="dcterms:W3CDTF">2016-08-26T13:04:00Z</dcterms:created>
  <dcterms:modified xsi:type="dcterms:W3CDTF">2016-08-26T13:04:00Z</dcterms:modified>
</cp:coreProperties>
</file>