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016" w:rsidRPr="003557E4" w:rsidRDefault="003D0FAE" w:rsidP="0078255B">
      <w:pPr>
        <w:jc w:val="center"/>
        <w:rPr>
          <w:b/>
          <w:bCs/>
          <w:szCs w:val="20"/>
        </w:rPr>
      </w:pPr>
      <w:r w:rsidRPr="003557E4">
        <w:rPr>
          <w:b/>
          <w:bCs/>
          <w:szCs w:val="20"/>
        </w:rPr>
        <w:t>SUPREME COURT OF INDIA</w:t>
      </w:r>
    </w:p>
    <w:p w:rsidR="00D27016" w:rsidRDefault="00D27016" w:rsidP="0078255B">
      <w:pPr>
        <w:jc w:val="center"/>
        <w:rPr>
          <w:szCs w:val="20"/>
        </w:rPr>
      </w:pPr>
    </w:p>
    <w:p w:rsidR="003D0FAE" w:rsidRDefault="003557E4" w:rsidP="0078255B">
      <w:pPr>
        <w:jc w:val="center"/>
        <w:rPr>
          <w:szCs w:val="20"/>
        </w:rPr>
      </w:pPr>
      <w:r w:rsidRPr="003D0FAE">
        <w:rPr>
          <w:szCs w:val="20"/>
        </w:rPr>
        <w:t>The Central Provident Fund Commissioner,</w:t>
      </w:r>
      <w:r>
        <w:rPr>
          <w:szCs w:val="20"/>
        </w:rPr>
        <w:t xml:space="preserve"> </w:t>
      </w:r>
      <w:r w:rsidRPr="003D0FAE">
        <w:rPr>
          <w:szCs w:val="20"/>
        </w:rPr>
        <w:t xml:space="preserve">New Delhi </w:t>
      </w:r>
      <w:r>
        <w:rPr>
          <w:szCs w:val="20"/>
        </w:rPr>
        <w:t>&amp;</w:t>
      </w:r>
      <w:r w:rsidRPr="003D0FAE">
        <w:rPr>
          <w:szCs w:val="20"/>
        </w:rPr>
        <w:t xml:space="preserve"> Ors.</w:t>
      </w:r>
    </w:p>
    <w:p w:rsidR="003557E4" w:rsidRDefault="003557E4" w:rsidP="0078255B">
      <w:pPr>
        <w:jc w:val="center"/>
        <w:rPr>
          <w:szCs w:val="20"/>
        </w:rPr>
      </w:pPr>
    </w:p>
    <w:p w:rsidR="003557E4" w:rsidRDefault="003557E4" w:rsidP="0078255B">
      <w:pPr>
        <w:jc w:val="center"/>
        <w:rPr>
          <w:szCs w:val="20"/>
        </w:rPr>
      </w:pPr>
      <w:r>
        <w:rPr>
          <w:szCs w:val="20"/>
        </w:rPr>
        <w:t>Vs.</w:t>
      </w:r>
    </w:p>
    <w:p w:rsidR="003557E4" w:rsidRPr="003D0FAE" w:rsidRDefault="003557E4" w:rsidP="0078255B">
      <w:pPr>
        <w:jc w:val="center"/>
        <w:rPr>
          <w:szCs w:val="20"/>
        </w:rPr>
      </w:pPr>
    </w:p>
    <w:p w:rsidR="003557E4" w:rsidRDefault="003557E4" w:rsidP="0078255B">
      <w:pPr>
        <w:jc w:val="center"/>
        <w:rPr>
          <w:szCs w:val="20"/>
        </w:rPr>
      </w:pPr>
      <w:r w:rsidRPr="003D0FAE">
        <w:rPr>
          <w:szCs w:val="20"/>
        </w:rPr>
        <w:t>Lala J.R. E</w:t>
      </w:r>
      <w:r>
        <w:rPr>
          <w:szCs w:val="20"/>
        </w:rPr>
        <w:t>ducation Society &amp; Ors.</w:t>
      </w:r>
    </w:p>
    <w:p w:rsidR="003557E4" w:rsidRDefault="003557E4" w:rsidP="0078255B">
      <w:pPr>
        <w:jc w:val="center"/>
        <w:rPr>
          <w:szCs w:val="20"/>
        </w:rPr>
      </w:pPr>
    </w:p>
    <w:p w:rsidR="003557E4" w:rsidRDefault="003557E4" w:rsidP="0078255B">
      <w:pPr>
        <w:jc w:val="center"/>
        <w:rPr>
          <w:szCs w:val="20"/>
        </w:rPr>
      </w:pPr>
      <w:r>
        <w:rPr>
          <w:szCs w:val="20"/>
        </w:rPr>
        <w:t>C.A.No.9840 of</w:t>
      </w:r>
      <w:r w:rsidRPr="003D0FAE">
        <w:rPr>
          <w:szCs w:val="20"/>
        </w:rPr>
        <w:t xml:space="preserve"> 2016</w:t>
      </w:r>
    </w:p>
    <w:p w:rsidR="0078255B" w:rsidRDefault="0078255B" w:rsidP="0078255B">
      <w:pPr>
        <w:jc w:val="center"/>
        <w:rPr>
          <w:szCs w:val="20"/>
        </w:rPr>
      </w:pPr>
    </w:p>
    <w:p w:rsidR="0078255B" w:rsidRDefault="0078255B" w:rsidP="0078255B">
      <w:pPr>
        <w:jc w:val="center"/>
        <w:rPr>
          <w:szCs w:val="20"/>
        </w:rPr>
      </w:pPr>
      <w:r>
        <w:rPr>
          <w:szCs w:val="20"/>
        </w:rPr>
        <w:t>(Kurian Joseph and R.F.Nariman,JJ.,)</w:t>
      </w:r>
    </w:p>
    <w:p w:rsidR="0078255B" w:rsidRDefault="0078255B" w:rsidP="0078255B">
      <w:pPr>
        <w:jc w:val="center"/>
        <w:rPr>
          <w:szCs w:val="20"/>
        </w:rPr>
      </w:pPr>
    </w:p>
    <w:p w:rsidR="0078255B" w:rsidRDefault="0078255B" w:rsidP="0078255B">
      <w:pPr>
        <w:jc w:val="center"/>
        <w:rPr>
          <w:szCs w:val="20"/>
        </w:rPr>
      </w:pPr>
      <w:r>
        <w:rPr>
          <w:szCs w:val="20"/>
        </w:rPr>
        <w:t>26.09.2016</w:t>
      </w:r>
    </w:p>
    <w:p w:rsidR="003557E4" w:rsidRPr="003557E4" w:rsidRDefault="003557E4" w:rsidP="0078255B">
      <w:pPr>
        <w:jc w:val="center"/>
        <w:rPr>
          <w:b/>
          <w:bCs/>
          <w:szCs w:val="20"/>
        </w:rPr>
      </w:pPr>
    </w:p>
    <w:p w:rsidR="003D0FAE" w:rsidRPr="003557E4" w:rsidRDefault="003557E4" w:rsidP="0078255B">
      <w:pPr>
        <w:jc w:val="center"/>
        <w:rPr>
          <w:b/>
          <w:bCs/>
          <w:szCs w:val="20"/>
        </w:rPr>
      </w:pPr>
      <w:r w:rsidRPr="003557E4">
        <w:rPr>
          <w:b/>
          <w:bCs/>
          <w:szCs w:val="20"/>
        </w:rPr>
        <w:t>JUDGMENT</w:t>
      </w:r>
    </w:p>
    <w:p w:rsidR="003557E4" w:rsidRPr="003557E4" w:rsidRDefault="003557E4" w:rsidP="0078255B">
      <w:pPr>
        <w:jc w:val="both"/>
        <w:rPr>
          <w:b/>
          <w:bCs/>
          <w:szCs w:val="20"/>
        </w:rPr>
      </w:pPr>
    </w:p>
    <w:p w:rsidR="003D0FAE" w:rsidRDefault="003557E4" w:rsidP="0078255B">
      <w:pPr>
        <w:jc w:val="both"/>
        <w:rPr>
          <w:b/>
          <w:bCs/>
          <w:szCs w:val="20"/>
        </w:rPr>
      </w:pPr>
      <w:r w:rsidRPr="003557E4">
        <w:rPr>
          <w:b/>
          <w:bCs/>
          <w:szCs w:val="20"/>
        </w:rPr>
        <w:t>Kurian Joseph,J.,</w:t>
      </w:r>
    </w:p>
    <w:p w:rsidR="003557E4" w:rsidRPr="003557E4" w:rsidRDefault="003557E4" w:rsidP="0078255B">
      <w:pPr>
        <w:jc w:val="both"/>
        <w:rPr>
          <w:b/>
          <w:bCs/>
          <w:szCs w:val="20"/>
        </w:rPr>
      </w:pPr>
    </w:p>
    <w:p w:rsidR="003557E4" w:rsidRDefault="003557E4" w:rsidP="0078255B">
      <w:pPr>
        <w:jc w:val="both"/>
        <w:rPr>
          <w:szCs w:val="20"/>
        </w:rPr>
      </w:pPr>
      <w:r w:rsidRPr="003D0FAE">
        <w:rPr>
          <w:szCs w:val="20"/>
        </w:rPr>
        <w:t xml:space="preserve">SLP (C) No.28796 of 2016 </w:t>
      </w:r>
    </w:p>
    <w:p w:rsidR="003557E4" w:rsidRPr="003D0FAE" w:rsidRDefault="003557E4" w:rsidP="0078255B">
      <w:pPr>
        <w:jc w:val="both"/>
        <w:rPr>
          <w:szCs w:val="20"/>
        </w:rPr>
      </w:pPr>
    </w:p>
    <w:p w:rsidR="003D0FAE" w:rsidRDefault="0078255B" w:rsidP="0078255B">
      <w:pPr>
        <w:jc w:val="both"/>
        <w:rPr>
          <w:szCs w:val="20"/>
        </w:rPr>
      </w:pPr>
      <w:r>
        <w:rPr>
          <w:szCs w:val="20"/>
        </w:rPr>
        <w:t xml:space="preserve">1. </w:t>
      </w:r>
      <w:r w:rsidR="003D0FAE" w:rsidRPr="003D0FAE">
        <w:rPr>
          <w:szCs w:val="20"/>
        </w:rPr>
        <w:t>Delay condoned.</w:t>
      </w:r>
    </w:p>
    <w:p w:rsidR="0078255B" w:rsidRPr="003D0FAE" w:rsidRDefault="0078255B" w:rsidP="0078255B">
      <w:pPr>
        <w:jc w:val="both"/>
        <w:rPr>
          <w:szCs w:val="20"/>
        </w:rPr>
      </w:pPr>
    </w:p>
    <w:p w:rsidR="003D0FAE" w:rsidRDefault="0078255B" w:rsidP="0078255B">
      <w:pPr>
        <w:jc w:val="both"/>
        <w:rPr>
          <w:szCs w:val="20"/>
        </w:rPr>
      </w:pPr>
      <w:r>
        <w:rPr>
          <w:szCs w:val="20"/>
        </w:rPr>
        <w:t xml:space="preserve">2. </w:t>
      </w:r>
      <w:r w:rsidR="003D0FAE" w:rsidRPr="003D0FAE">
        <w:rPr>
          <w:szCs w:val="20"/>
        </w:rPr>
        <w:t>Leave granted.</w:t>
      </w:r>
    </w:p>
    <w:p w:rsidR="0078255B" w:rsidRPr="003D0FAE" w:rsidRDefault="0078255B" w:rsidP="0078255B">
      <w:pPr>
        <w:jc w:val="both"/>
        <w:rPr>
          <w:szCs w:val="20"/>
        </w:rPr>
      </w:pPr>
    </w:p>
    <w:p w:rsidR="003D0FAE" w:rsidRDefault="0078255B" w:rsidP="0078255B">
      <w:pPr>
        <w:jc w:val="both"/>
        <w:rPr>
          <w:szCs w:val="20"/>
        </w:rPr>
      </w:pPr>
      <w:r>
        <w:rPr>
          <w:szCs w:val="20"/>
        </w:rPr>
        <w:t xml:space="preserve">3. Appellants are </w:t>
      </w:r>
      <w:r w:rsidR="003D0FAE" w:rsidRPr="003D0FAE">
        <w:rPr>
          <w:szCs w:val="20"/>
        </w:rPr>
        <w:t>aggrieved since the application</w:t>
      </w:r>
      <w:r>
        <w:rPr>
          <w:szCs w:val="20"/>
        </w:rPr>
        <w:t xml:space="preserve"> </w:t>
      </w:r>
      <w:r w:rsidR="003D0FAE" w:rsidRPr="003D0FAE">
        <w:rPr>
          <w:szCs w:val="20"/>
        </w:rPr>
        <w:t>filed under Order VII, Rule 11, CPC</w:t>
      </w:r>
      <w:r w:rsidR="003D0FAE" w:rsidRPr="003D0FAE">
        <w:rPr>
          <w:szCs w:val="20"/>
        </w:rPr>
        <w:tab/>
        <w:t>has</w:t>
      </w:r>
      <w:r>
        <w:rPr>
          <w:szCs w:val="20"/>
        </w:rPr>
        <w:t xml:space="preserve"> </w:t>
      </w:r>
      <w:r w:rsidR="003D0FAE" w:rsidRPr="003D0FAE">
        <w:rPr>
          <w:szCs w:val="20"/>
        </w:rPr>
        <w:t>been rejected.</w:t>
      </w:r>
    </w:p>
    <w:p w:rsidR="0078255B" w:rsidRPr="003D0FAE" w:rsidRDefault="0078255B" w:rsidP="0078255B">
      <w:pPr>
        <w:jc w:val="both"/>
        <w:rPr>
          <w:szCs w:val="20"/>
        </w:rPr>
      </w:pPr>
    </w:p>
    <w:p w:rsidR="003D0FAE" w:rsidRDefault="0078255B" w:rsidP="0078255B">
      <w:pPr>
        <w:jc w:val="both"/>
        <w:rPr>
          <w:szCs w:val="20"/>
        </w:rPr>
      </w:pPr>
      <w:r>
        <w:rPr>
          <w:szCs w:val="20"/>
        </w:rPr>
        <w:t xml:space="preserve">4. According to the appellants, the </w:t>
      </w:r>
      <w:r w:rsidR="003D0FAE" w:rsidRPr="003D0FAE">
        <w:rPr>
          <w:szCs w:val="20"/>
        </w:rPr>
        <w:t>respondents having</w:t>
      </w:r>
      <w:r>
        <w:rPr>
          <w:szCs w:val="20"/>
        </w:rPr>
        <w:t xml:space="preserve"> </w:t>
      </w:r>
      <w:r w:rsidR="003D0FAE" w:rsidRPr="003D0FAE">
        <w:rPr>
          <w:szCs w:val="20"/>
        </w:rPr>
        <w:t>exhausted all the remedies under the Employees Provident Funds and Miscellaneous Provisio</w:t>
      </w:r>
      <w:r>
        <w:rPr>
          <w:szCs w:val="20"/>
        </w:rPr>
        <w:t xml:space="preserve">ns Act, 1952, cannot thereafter </w:t>
      </w:r>
      <w:r w:rsidR="003D0FAE" w:rsidRPr="003D0FAE">
        <w:rPr>
          <w:szCs w:val="20"/>
        </w:rPr>
        <w:t xml:space="preserve">approach the Civil Court, which is barred under Section 7L(4) of the Employees Provident Funds and Miscellaneous Provisions Act, 1952. </w:t>
      </w:r>
    </w:p>
    <w:p w:rsidR="0078255B" w:rsidRPr="003D0FAE" w:rsidRDefault="0078255B" w:rsidP="0078255B">
      <w:pPr>
        <w:jc w:val="both"/>
        <w:rPr>
          <w:szCs w:val="20"/>
        </w:rPr>
      </w:pPr>
    </w:p>
    <w:p w:rsidR="003D0FAE" w:rsidRDefault="0078255B" w:rsidP="0078255B">
      <w:pPr>
        <w:jc w:val="both"/>
        <w:rPr>
          <w:szCs w:val="20"/>
        </w:rPr>
      </w:pPr>
      <w:r>
        <w:rPr>
          <w:szCs w:val="20"/>
        </w:rPr>
        <w:t xml:space="preserve">5. On </w:t>
      </w:r>
      <w:r w:rsidR="003D0FAE" w:rsidRPr="003D0FAE">
        <w:rPr>
          <w:szCs w:val="20"/>
        </w:rPr>
        <w:t>an application filed under Order VII, Rule 11, CPC,</w:t>
      </w:r>
      <w:r>
        <w:rPr>
          <w:szCs w:val="20"/>
        </w:rPr>
        <w:t xml:space="preserve"> </w:t>
      </w:r>
      <w:r w:rsidR="003D0FAE" w:rsidRPr="003D0FAE">
        <w:rPr>
          <w:szCs w:val="20"/>
        </w:rPr>
        <w:t>the Civil Court can only see the pleadings in the plaint and not anything else including written statement.</w:t>
      </w:r>
    </w:p>
    <w:p w:rsidR="0078255B" w:rsidRPr="003D0FAE" w:rsidRDefault="0078255B" w:rsidP="0078255B">
      <w:pPr>
        <w:jc w:val="both"/>
        <w:rPr>
          <w:szCs w:val="20"/>
        </w:rPr>
      </w:pPr>
    </w:p>
    <w:p w:rsidR="003D0FAE" w:rsidRDefault="0078255B" w:rsidP="0078255B">
      <w:pPr>
        <w:jc w:val="both"/>
        <w:rPr>
          <w:szCs w:val="20"/>
        </w:rPr>
      </w:pPr>
      <w:r>
        <w:rPr>
          <w:szCs w:val="20"/>
        </w:rPr>
        <w:t xml:space="preserve">6. The main </w:t>
      </w:r>
      <w:r w:rsidR="003D0FAE" w:rsidRPr="003D0FAE">
        <w:rPr>
          <w:szCs w:val="20"/>
        </w:rPr>
        <w:t>grievance urged in the plaint is that the</w:t>
      </w:r>
      <w:r>
        <w:rPr>
          <w:szCs w:val="20"/>
        </w:rPr>
        <w:t xml:space="preserve"> </w:t>
      </w:r>
      <w:r w:rsidR="003D0FAE" w:rsidRPr="003D0FAE">
        <w:rPr>
          <w:szCs w:val="20"/>
        </w:rPr>
        <w:t xml:space="preserve">procedure under the Act has not been followed and, therefore, the appellants are entitled to file a suit. If that be so, the plaintiff is entitled to file a suit, as held by this Court in the case </w:t>
      </w:r>
      <w:r w:rsidR="003D0FAE" w:rsidRPr="0078255B">
        <w:rPr>
          <w:i/>
          <w:iCs/>
          <w:szCs w:val="20"/>
        </w:rPr>
        <w:t>of Dhulabhai and Others Vs. The State of Madhya Pradesh and Anr. reported in</w:t>
      </w:r>
      <w:r w:rsidRPr="0078255B">
        <w:rPr>
          <w:i/>
          <w:iCs/>
          <w:sz w:val="20"/>
          <w:szCs w:val="20"/>
          <w:vertAlign w:val="superscript"/>
        </w:rPr>
        <w:t>1</w:t>
      </w:r>
      <w:r w:rsidR="003D0FAE" w:rsidRPr="0078255B">
        <w:rPr>
          <w:i/>
          <w:iCs/>
          <w:szCs w:val="20"/>
        </w:rPr>
        <w:t xml:space="preserve"> </w:t>
      </w:r>
    </w:p>
    <w:p w:rsidR="0078255B" w:rsidRPr="003D0FAE" w:rsidRDefault="0078255B" w:rsidP="0078255B">
      <w:pPr>
        <w:jc w:val="both"/>
        <w:rPr>
          <w:szCs w:val="20"/>
        </w:rPr>
      </w:pPr>
    </w:p>
    <w:p w:rsidR="003D0FAE" w:rsidRDefault="0078255B" w:rsidP="0078255B">
      <w:pPr>
        <w:jc w:val="both"/>
        <w:rPr>
          <w:szCs w:val="20"/>
        </w:rPr>
      </w:pPr>
      <w:r>
        <w:rPr>
          <w:szCs w:val="20"/>
        </w:rPr>
        <w:t>7. According</w:t>
      </w:r>
      <w:r>
        <w:rPr>
          <w:szCs w:val="20"/>
        </w:rPr>
        <w:tab/>
        <w:t xml:space="preserve">to </w:t>
      </w:r>
      <w:r w:rsidR="003D0FAE" w:rsidRPr="003D0FAE">
        <w:rPr>
          <w:szCs w:val="20"/>
        </w:rPr>
        <w:t>the appellants, the respondents have</w:t>
      </w:r>
      <w:r>
        <w:rPr>
          <w:szCs w:val="20"/>
        </w:rPr>
        <w:t xml:space="preserve"> </w:t>
      </w:r>
      <w:r w:rsidR="003D0FAE" w:rsidRPr="003D0FAE">
        <w:rPr>
          <w:szCs w:val="20"/>
        </w:rPr>
        <w:t>suppressed crucial facts in the plaint, which if seen, the suit is only to be dismissed at the threshold. Rejection of a plaint on institutional grounds is different from dismissal of a suit at pre-trial stage on the ground of maintainability. For dismissal on a preliminary issue, the Court is entitled and liable to look into the entire documents including those furnished by the defendant.</w:t>
      </w:r>
    </w:p>
    <w:p w:rsidR="0078255B" w:rsidRPr="003D0FAE" w:rsidRDefault="0078255B" w:rsidP="0078255B">
      <w:pPr>
        <w:jc w:val="both"/>
        <w:rPr>
          <w:szCs w:val="20"/>
        </w:rPr>
      </w:pPr>
    </w:p>
    <w:p w:rsidR="003D0FAE" w:rsidRDefault="0078255B" w:rsidP="0078255B">
      <w:pPr>
        <w:jc w:val="both"/>
        <w:rPr>
          <w:szCs w:val="20"/>
        </w:rPr>
      </w:pPr>
      <w:r>
        <w:rPr>
          <w:szCs w:val="20"/>
        </w:rPr>
        <w:t xml:space="preserve">8. In view </w:t>
      </w:r>
      <w:r w:rsidR="003D0FAE" w:rsidRPr="003D0FAE">
        <w:rPr>
          <w:szCs w:val="20"/>
        </w:rPr>
        <w:t>o</w:t>
      </w:r>
      <w:r>
        <w:rPr>
          <w:szCs w:val="20"/>
        </w:rPr>
        <w:t xml:space="preserve">f </w:t>
      </w:r>
      <w:r w:rsidR="003D0FAE" w:rsidRPr="003D0FAE">
        <w:rPr>
          <w:szCs w:val="20"/>
        </w:rPr>
        <w:t>the above observations, the appeal is</w:t>
      </w:r>
      <w:r>
        <w:rPr>
          <w:szCs w:val="20"/>
        </w:rPr>
        <w:t xml:space="preserve"> </w:t>
      </w:r>
      <w:r w:rsidR="003D0FAE" w:rsidRPr="003D0FAE">
        <w:rPr>
          <w:szCs w:val="20"/>
        </w:rPr>
        <w:t>dismissed.</w:t>
      </w:r>
    </w:p>
    <w:p w:rsidR="0078255B" w:rsidRPr="003D0FAE" w:rsidRDefault="0078255B" w:rsidP="0078255B">
      <w:pPr>
        <w:jc w:val="both"/>
        <w:rPr>
          <w:szCs w:val="20"/>
        </w:rPr>
      </w:pPr>
    </w:p>
    <w:p w:rsidR="003D0FAE" w:rsidRDefault="0078255B" w:rsidP="0078255B">
      <w:pPr>
        <w:jc w:val="both"/>
        <w:rPr>
          <w:szCs w:val="20"/>
        </w:rPr>
      </w:pPr>
      <w:r>
        <w:rPr>
          <w:szCs w:val="20"/>
        </w:rPr>
        <w:t xml:space="preserve">9. However, we </w:t>
      </w:r>
      <w:r w:rsidR="003D0FAE" w:rsidRPr="003D0FAE">
        <w:rPr>
          <w:szCs w:val="20"/>
        </w:rPr>
        <w:t>permit the appellants to raise a</w:t>
      </w:r>
      <w:r>
        <w:rPr>
          <w:szCs w:val="20"/>
        </w:rPr>
        <w:t xml:space="preserve"> </w:t>
      </w:r>
      <w:r w:rsidR="003D0FAE" w:rsidRPr="003D0FAE">
        <w:rPr>
          <w:szCs w:val="20"/>
        </w:rPr>
        <w:t>preliminary issue on the maintainability of the suit, in which case, before proceeding with the trial, the trial court shall deal with the same in accordance with law.</w:t>
      </w:r>
    </w:p>
    <w:p w:rsidR="0078255B" w:rsidRPr="003D0FAE" w:rsidRDefault="0078255B" w:rsidP="0078255B">
      <w:pPr>
        <w:jc w:val="both"/>
        <w:rPr>
          <w:szCs w:val="20"/>
        </w:rPr>
      </w:pPr>
    </w:p>
    <w:p w:rsidR="003D0FAE" w:rsidRDefault="003D0FAE" w:rsidP="0078255B">
      <w:pPr>
        <w:jc w:val="both"/>
        <w:rPr>
          <w:szCs w:val="20"/>
        </w:rPr>
      </w:pPr>
      <w:r w:rsidRPr="003D0FAE">
        <w:rPr>
          <w:szCs w:val="20"/>
        </w:rPr>
        <w:t>No costs.</w:t>
      </w:r>
    </w:p>
    <w:p w:rsidR="0078255B" w:rsidRPr="0078255B" w:rsidRDefault="0078255B" w:rsidP="0078255B">
      <w:pPr>
        <w:jc w:val="both"/>
        <w:rPr>
          <w:i/>
          <w:iCs/>
          <w:szCs w:val="20"/>
        </w:rPr>
      </w:pPr>
    </w:p>
    <w:p w:rsidR="003D0FAE" w:rsidRPr="0078255B" w:rsidRDefault="0078255B" w:rsidP="0078255B">
      <w:pPr>
        <w:jc w:val="both"/>
        <w:rPr>
          <w:i/>
          <w:iCs/>
          <w:sz w:val="20"/>
          <w:szCs w:val="20"/>
        </w:rPr>
      </w:pPr>
      <w:r w:rsidRPr="0078255B">
        <w:rPr>
          <w:i/>
          <w:iCs/>
          <w:sz w:val="20"/>
          <w:szCs w:val="20"/>
          <w:vertAlign w:val="superscript"/>
        </w:rPr>
        <w:t>1</w:t>
      </w:r>
      <w:r w:rsidRPr="0078255B">
        <w:rPr>
          <w:i/>
          <w:iCs/>
          <w:sz w:val="20"/>
          <w:szCs w:val="20"/>
        </w:rPr>
        <w:t>(1968) 3 SCR 0662</w:t>
      </w:r>
    </w:p>
    <w:sectPr w:rsidR="003D0FAE" w:rsidRPr="0078255B" w:rsidSect="00E3538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02D" w:rsidRDefault="00D9202D" w:rsidP="00CF3BB7">
      <w:r>
        <w:separator/>
      </w:r>
    </w:p>
  </w:endnote>
  <w:endnote w:type="continuationSeparator" w:id="1">
    <w:p w:rsidR="00D9202D" w:rsidRDefault="00D9202D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CF3BB7" w:rsidRPr="00CF3BB7" w:rsidRDefault="00CF3BB7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E213B6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E213B6" w:rsidRPr="00CF3BB7">
          <w:rPr>
            <w:sz w:val="22"/>
            <w:szCs w:val="22"/>
          </w:rPr>
          <w:fldChar w:fldCharType="separate"/>
        </w:r>
        <w:r w:rsidR="00D9202D">
          <w:rPr>
            <w:noProof/>
            <w:sz w:val="22"/>
            <w:szCs w:val="22"/>
          </w:rPr>
          <w:t>1</w:t>
        </w:r>
        <w:r w:rsidR="00E213B6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CF3BB7" w:rsidRPr="00CF3BB7" w:rsidRDefault="00CF3BB7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02D" w:rsidRDefault="00D9202D" w:rsidP="00CF3BB7">
      <w:r>
        <w:separator/>
      </w:r>
    </w:p>
  </w:footnote>
  <w:footnote w:type="continuationSeparator" w:id="1">
    <w:p w:rsidR="00D9202D" w:rsidRDefault="00D9202D" w:rsidP="00CF3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745ED"/>
    <w:rsid w:val="000C3881"/>
    <w:rsid w:val="00175AE9"/>
    <w:rsid w:val="001C323F"/>
    <w:rsid w:val="001D3ED1"/>
    <w:rsid w:val="001F2DB7"/>
    <w:rsid w:val="00320C92"/>
    <w:rsid w:val="003557E4"/>
    <w:rsid w:val="0036795D"/>
    <w:rsid w:val="003D0FAE"/>
    <w:rsid w:val="0047372E"/>
    <w:rsid w:val="00496ABB"/>
    <w:rsid w:val="004D7570"/>
    <w:rsid w:val="005668D7"/>
    <w:rsid w:val="005D317E"/>
    <w:rsid w:val="0068588D"/>
    <w:rsid w:val="0078255B"/>
    <w:rsid w:val="00794C55"/>
    <w:rsid w:val="00805119"/>
    <w:rsid w:val="008C0EBA"/>
    <w:rsid w:val="009067C5"/>
    <w:rsid w:val="00973494"/>
    <w:rsid w:val="00BB7D6F"/>
    <w:rsid w:val="00CB1919"/>
    <w:rsid w:val="00CE175D"/>
    <w:rsid w:val="00CF3BB7"/>
    <w:rsid w:val="00D27016"/>
    <w:rsid w:val="00D714C8"/>
    <w:rsid w:val="00D9202D"/>
    <w:rsid w:val="00DC4BDB"/>
    <w:rsid w:val="00DF167A"/>
    <w:rsid w:val="00E213B6"/>
    <w:rsid w:val="00E35387"/>
    <w:rsid w:val="00E44FF9"/>
    <w:rsid w:val="00E51D0F"/>
    <w:rsid w:val="00E80987"/>
    <w:rsid w:val="00EC2B6E"/>
    <w:rsid w:val="00EE550E"/>
    <w:rsid w:val="00F20074"/>
    <w:rsid w:val="00F75994"/>
    <w:rsid w:val="00FB1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LAW</cp:lastModifiedBy>
  <cp:revision>2</cp:revision>
  <cp:lastPrinted>2016-10-04T05:46:00Z</cp:lastPrinted>
  <dcterms:created xsi:type="dcterms:W3CDTF">2016-10-04T06:18:00Z</dcterms:created>
  <dcterms:modified xsi:type="dcterms:W3CDTF">2016-10-04T06:18:00Z</dcterms:modified>
</cp:coreProperties>
</file>