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A66" w:rsidRPr="008D0A66" w:rsidRDefault="008D0A66" w:rsidP="008D0A66">
      <w:pPr>
        <w:jc w:val="center"/>
        <w:rPr>
          <w:rFonts w:ascii="Times New Roman" w:hAnsi="Times New Roman" w:cs="Times New Roman"/>
          <w:b/>
        </w:rPr>
      </w:pPr>
      <w:r w:rsidRPr="008D0A66">
        <w:rPr>
          <w:rFonts w:ascii="Times New Roman" w:hAnsi="Times New Roman" w:cs="Times New Roman"/>
          <w:b/>
        </w:rPr>
        <w:t>SUPREME COURT OF INDIA</w:t>
      </w:r>
    </w:p>
    <w:p w:rsidR="008D0A66" w:rsidRP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sidRPr="008D0A66">
        <w:rPr>
          <w:rFonts w:ascii="Times New Roman" w:hAnsi="Times New Roman" w:cs="Times New Roman"/>
        </w:rPr>
        <w:t>Munshi Lal</w:t>
      </w:r>
    </w:p>
    <w:p w:rsid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Pr>
          <w:rFonts w:ascii="Times New Roman" w:hAnsi="Times New Roman" w:cs="Times New Roman"/>
        </w:rPr>
        <w:t>Vs.</w:t>
      </w:r>
    </w:p>
    <w:p w:rsidR="008D0A66" w:rsidRP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sidRPr="008D0A66">
        <w:rPr>
          <w:rFonts w:ascii="Times New Roman" w:hAnsi="Times New Roman" w:cs="Times New Roman"/>
        </w:rPr>
        <w:t>Santosh</w:t>
      </w:r>
    </w:p>
    <w:p w:rsid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Pr>
          <w:rFonts w:ascii="Times New Roman" w:hAnsi="Times New Roman" w:cs="Times New Roman"/>
        </w:rPr>
        <w:t>C.A.No.1327 of</w:t>
      </w:r>
      <w:r w:rsidRPr="008D0A66">
        <w:rPr>
          <w:rFonts w:ascii="Times New Roman" w:hAnsi="Times New Roman" w:cs="Times New Roman"/>
        </w:rPr>
        <w:t xml:space="preserve"> 2017</w:t>
      </w:r>
    </w:p>
    <w:p w:rsid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Pr>
          <w:rFonts w:ascii="Times New Roman" w:hAnsi="Times New Roman" w:cs="Times New Roman"/>
        </w:rPr>
        <w:t xml:space="preserve">(S.A.Bobde and </w:t>
      </w:r>
      <w:r w:rsidRPr="008D0A66">
        <w:rPr>
          <w:rFonts w:ascii="Times New Roman" w:hAnsi="Times New Roman" w:cs="Times New Roman"/>
        </w:rPr>
        <w:t>L.Nageswara Rao</w:t>
      </w:r>
      <w:r>
        <w:rPr>
          <w:rFonts w:ascii="Times New Roman" w:hAnsi="Times New Roman" w:cs="Times New Roman"/>
        </w:rPr>
        <w:t>,JJ.,)</w:t>
      </w:r>
    </w:p>
    <w:p w:rsidR="008D0A66" w:rsidRDefault="008D0A66" w:rsidP="008D0A66">
      <w:pPr>
        <w:jc w:val="center"/>
        <w:rPr>
          <w:rFonts w:ascii="Times New Roman" w:hAnsi="Times New Roman" w:cs="Times New Roman"/>
        </w:rPr>
      </w:pPr>
    </w:p>
    <w:p w:rsidR="008D0A66" w:rsidRDefault="008D0A66" w:rsidP="008D0A66">
      <w:pPr>
        <w:jc w:val="center"/>
        <w:rPr>
          <w:rFonts w:ascii="Times New Roman" w:hAnsi="Times New Roman" w:cs="Times New Roman"/>
        </w:rPr>
      </w:pPr>
      <w:r>
        <w:rPr>
          <w:rFonts w:ascii="Times New Roman" w:hAnsi="Times New Roman" w:cs="Times New Roman"/>
        </w:rPr>
        <w:t>01.02.2017</w:t>
      </w:r>
    </w:p>
    <w:p w:rsidR="008D0A66" w:rsidRPr="008D0A66" w:rsidRDefault="008D0A66" w:rsidP="008D0A66">
      <w:pPr>
        <w:jc w:val="center"/>
        <w:rPr>
          <w:rFonts w:ascii="Times New Roman" w:hAnsi="Times New Roman" w:cs="Times New Roman"/>
          <w:b/>
        </w:rPr>
      </w:pPr>
    </w:p>
    <w:p w:rsidR="008D0A66" w:rsidRPr="008D0A66" w:rsidRDefault="008D0A66" w:rsidP="008D0A66">
      <w:pPr>
        <w:jc w:val="center"/>
        <w:rPr>
          <w:rFonts w:ascii="Times New Roman" w:hAnsi="Times New Roman" w:cs="Times New Roman"/>
          <w:b/>
        </w:rPr>
      </w:pPr>
      <w:r w:rsidRPr="008D0A66">
        <w:rPr>
          <w:rFonts w:ascii="Times New Roman" w:hAnsi="Times New Roman" w:cs="Times New Roman"/>
          <w:b/>
        </w:rPr>
        <w:t>ORDER</w:t>
      </w:r>
    </w:p>
    <w:p w:rsid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sidRPr="008D0A66">
        <w:rPr>
          <w:rFonts w:ascii="Times New Roman" w:hAnsi="Times New Roman" w:cs="Times New Roman"/>
        </w:rPr>
        <w:t>SLP(C</w:t>
      </w:r>
      <w:r>
        <w:rPr>
          <w:rFonts w:ascii="Times New Roman" w:hAnsi="Times New Roman" w:cs="Times New Roman"/>
        </w:rPr>
        <w:t>ivil) No.16096 of 2012</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1. </w:t>
      </w:r>
      <w:r w:rsidRPr="008D0A66">
        <w:rPr>
          <w:rFonts w:ascii="Times New Roman" w:hAnsi="Times New Roman" w:cs="Times New Roman"/>
        </w:rPr>
        <w:t xml:space="preserve"> Leave granted.</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2. </w:t>
      </w:r>
      <w:r w:rsidRPr="008D0A66">
        <w:rPr>
          <w:rFonts w:ascii="Times New Roman" w:hAnsi="Times New Roman" w:cs="Times New Roman"/>
        </w:rPr>
        <w:t xml:space="preserve"> This appeal has been filed by the landlord against the judgment and order of the High Court of Delhi in CM (M) No. 1574 of 2010. The High Court held that the respondent-tenant, Hakim Rai had not sub-let the premises to his son-in-law, Raj Kumar in pursuance of a partnership deed dated 20.05.1983 entered into between them.</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3. </w:t>
      </w:r>
      <w:r w:rsidRPr="008D0A66">
        <w:rPr>
          <w:rFonts w:ascii="Times New Roman" w:hAnsi="Times New Roman" w:cs="Times New Roman"/>
        </w:rPr>
        <w:t xml:space="preserve"> Hakim Rai died and was substituted by</w:t>
      </w:r>
      <w:r w:rsidRPr="008D0A66">
        <w:rPr>
          <w:rFonts w:ascii="Times New Roman" w:hAnsi="Times New Roman" w:cs="Times New Roman" w:hint="eastAsia"/>
        </w:rPr>
        <w:t>¬</w:t>
      </w:r>
      <w:r w:rsidRPr="008D0A66">
        <w:rPr>
          <w:rFonts w:ascii="Times New Roman" w:hAnsi="Times New Roman" w:cs="Times New Roman"/>
        </w:rPr>
        <w:t>respondent Nos.1 to 5 i.e. his widow and four daughters. The respondent No.1, Smt. Sumitra Devi, was deleted from the array of parties upon her death.</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4. </w:t>
      </w:r>
      <w:r w:rsidRPr="008D0A66">
        <w:rPr>
          <w:rFonts w:ascii="Times New Roman" w:hAnsi="Times New Roman" w:cs="Times New Roman"/>
        </w:rPr>
        <w:t xml:space="preserve"> The landlord sought the eviction of the tenant on the ground that the tenant had sub-let the premises to his son-in-law in contravention of Section 14 of the Delhi Rent Control Act, 1958 (hereinafter referred to as 'the Act'). The landlord had also sought eviction of the tenant on the ground of arrears of rent. As of now the only ground that survives is that of sub-letting the tenant having paid off the arrears according to law.</w:t>
      </w:r>
    </w:p>
    <w:p w:rsidR="008D0A66" w:rsidRP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 xml:space="preserve">5. </w:t>
      </w:r>
      <w:r w:rsidRPr="008D0A66">
        <w:rPr>
          <w:rFonts w:ascii="Times New Roman" w:hAnsi="Times New Roman" w:cs="Times New Roman"/>
        </w:rPr>
        <w:t xml:space="preserve"> The tenancy was in respect of a Kirana shop at the monthly rent of Rs. 50/-. The tenant was an old and infirm man, incapable of running the business on his own. It has been found that the son-in-law sat in the shop and conducted business exclusively therefrom. The dispute was whether he was doing business along with his father-in-law or independent of him, i.e. whether he was doing business exclusively behind the fagade of a partnership or as a genuine partner. It is an uncontroverted fact before us that the landlord's permission in writing was not obtained before the tenant had allowed the alleged sub-tenant to occupy the shop.</w:t>
      </w:r>
    </w:p>
    <w:p w:rsid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6. </w:t>
      </w:r>
      <w:r w:rsidRPr="008D0A66">
        <w:rPr>
          <w:rFonts w:ascii="Times New Roman" w:hAnsi="Times New Roman" w:cs="Times New Roman"/>
        </w:rPr>
        <w:t xml:space="preserve">The Rent Controller found that the partnership was a ruse and that it was the son-in-law who was in exclusive possession of the shop and running the business on his own. No books of accounts were maintained, no profit and loss accounts were maintained, and no stock registers concerning the goods in the shop were maintained, as required by the partnership deed. Moreover, the tenancy rights with respect to the lease of the shop were found to have been made property of the partnership firm. The evidence of the widow of the tenant who inherited the tenanted premises and claimed to be running the business along with her son-in-law was held incredible. She was unable to give any details of the amount invested in the shop, or </w:t>
      </w:r>
      <w:r>
        <w:rPr>
          <w:rFonts w:ascii="Times New Roman" w:hAnsi="Times New Roman" w:cs="Times New Roman"/>
        </w:rPr>
        <w:t xml:space="preserve">any details of profit and loss. </w:t>
      </w:r>
      <w:r w:rsidRPr="008D0A66">
        <w:rPr>
          <w:rFonts w:ascii="Times New Roman" w:hAnsi="Times New Roman" w:cs="Times New Roman"/>
        </w:rPr>
        <w:t>Thus, the Rent Controller clearly found that the son-in-law had been put in possession of the shop in pursuance of a sham partnership deed and was not</w:t>
      </w:r>
      <w:r>
        <w:rPr>
          <w:rFonts w:ascii="Times New Roman" w:hAnsi="Times New Roman" w:cs="Times New Roman"/>
        </w:rPr>
        <w:t xml:space="preserve"> merely assisting in the</w:t>
      </w:r>
      <w:r>
        <w:rPr>
          <w:rFonts w:ascii="Times New Roman" w:hAnsi="Times New Roman" w:cs="Times New Roman"/>
        </w:rPr>
        <w:tab/>
        <w:t xml:space="preserve">shop a </w:t>
      </w:r>
      <w:r w:rsidRPr="008D0A66">
        <w:rPr>
          <w:rFonts w:ascii="Times New Roman" w:hAnsi="Times New Roman" w:cs="Times New Roman"/>
        </w:rPr>
        <w:tab/>
        <w:t>a son-in-law.</w:t>
      </w:r>
    </w:p>
    <w:p w:rsidR="008D0A66" w:rsidRP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 xml:space="preserve">7. </w:t>
      </w:r>
      <w:r w:rsidRPr="008D0A66">
        <w:rPr>
          <w:rFonts w:ascii="Times New Roman" w:hAnsi="Times New Roman" w:cs="Times New Roman"/>
        </w:rPr>
        <w:t xml:space="preserve"> With regard to the</w:t>
      </w:r>
      <w:r w:rsidRPr="008D0A66">
        <w:rPr>
          <w:rFonts w:ascii="Times New Roman" w:hAnsi="Times New Roman" w:cs="Times New Roman"/>
        </w:rPr>
        <w:tab/>
        <w:t>arrears</w:t>
      </w:r>
      <w:r w:rsidRPr="008D0A66">
        <w:rPr>
          <w:rFonts w:ascii="Times New Roman" w:hAnsi="Times New Roman" w:cs="Times New Roman"/>
        </w:rPr>
        <w:tab/>
      </w:r>
      <w:r>
        <w:rPr>
          <w:rFonts w:ascii="Times New Roman" w:hAnsi="Times New Roman" w:cs="Times New Roman"/>
        </w:rPr>
        <w:t xml:space="preserve"> of rent, it was</w:t>
      </w:r>
      <w:r>
        <w:rPr>
          <w:rFonts w:ascii="Times New Roman" w:hAnsi="Times New Roman" w:cs="Times New Roman"/>
        </w:rPr>
        <w:tab/>
        <w:t xml:space="preserve">an </w:t>
      </w:r>
      <w:r w:rsidRPr="008D0A66">
        <w:rPr>
          <w:rFonts w:ascii="Times New Roman" w:hAnsi="Times New Roman" w:cs="Times New Roman"/>
        </w:rPr>
        <w:t>undisputed position that the tenant had been granted the benefit of Section 14(2) of the Act, as it was a case of first default and the tenant had complied with the order passed under Section 15(1) of the Act.</w:t>
      </w:r>
    </w:p>
    <w:p w:rsidR="008D0A66" w:rsidRPr="008D0A66" w:rsidRDefault="008D0A66" w:rsidP="008D0A66">
      <w:pPr>
        <w:jc w:val="both"/>
        <w:rPr>
          <w:rFonts w:ascii="Times New Roman" w:hAnsi="Times New Roman" w:cs="Times New Roman"/>
        </w:rPr>
      </w:pPr>
      <w:r>
        <w:rPr>
          <w:rFonts w:ascii="Times New Roman" w:hAnsi="Times New Roman" w:cs="Times New Roman"/>
        </w:rPr>
        <w:t xml:space="preserve">8. </w:t>
      </w:r>
      <w:r w:rsidRPr="008D0A66">
        <w:rPr>
          <w:rFonts w:ascii="Times New Roman" w:hAnsi="Times New Roman" w:cs="Times New Roman"/>
        </w:rPr>
        <w:t xml:space="preserve"> The landlord contested the appeal on the only remaining ground of sub-tenancy. The Appellate Authority observed that it could not be said that there was a parting of possession </w:t>
      </w:r>
      <w:r w:rsidRPr="008D0A66">
        <w:rPr>
          <w:rFonts w:ascii="Times New Roman" w:hAnsi="Times New Roman" w:cs="Times New Roman"/>
        </w:rPr>
        <w:lastRenderedPageBreak/>
        <w:t>if an alleged sub-tenant was closely</w:t>
      </w:r>
      <w:r w:rsidRPr="008D0A66">
        <w:rPr>
          <w:rFonts w:ascii="Times New Roman" w:hAnsi="Times New Roman" w:cs="Times New Roman"/>
        </w:rPr>
        <w:tab/>
        <w:t>related</w:t>
      </w:r>
      <w:r w:rsidRPr="008D0A66">
        <w:rPr>
          <w:rFonts w:ascii="Times New Roman" w:hAnsi="Times New Roman" w:cs="Times New Roman"/>
        </w:rPr>
        <w:tab/>
      </w:r>
      <w:r>
        <w:rPr>
          <w:rFonts w:ascii="Times New Roman" w:hAnsi="Times New Roman" w:cs="Times New Roman"/>
        </w:rPr>
        <w:t xml:space="preserve"> to a tenant, or</w:t>
      </w:r>
      <w:r>
        <w:rPr>
          <w:rFonts w:ascii="Times New Roman" w:hAnsi="Times New Roman" w:cs="Times New Roman"/>
        </w:rPr>
        <w:tab/>
        <w:t xml:space="preserve">if </w:t>
      </w:r>
      <w:r w:rsidRPr="008D0A66">
        <w:rPr>
          <w:rFonts w:ascii="Times New Roman" w:hAnsi="Times New Roman" w:cs="Times New Roman"/>
        </w:rPr>
        <w:t xml:space="preserve">he was </w:t>
      </w:r>
      <w:r>
        <w:rPr>
          <w:rFonts w:ascii="Times New Roman" w:hAnsi="Times New Roman" w:cs="Times New Roman"/>
        </w:rPr>
        <w:t xml:space="preserve">a person whose </w:t>
      </w:r>
      <w:r w:rsidRPr="008D0A66">
        <w:rPr>
          <w:rFonts w:ascii="Times New Roman" w:hAnsi="Times New Roman" w:cs="Times New Roman"/>
        </w:rPr>
        <w:t>assistance</w:t>
      </w:r>
      <w:r>
        <w:rPr>
          <w:rFonts w:ascii="Times New Roman" w:hAnsi="Times New Roman" w:cs="Times New Roman"/>
        </w:rPr>
        <w:t xml:space="preserve"> was a matter</w:t>
      </w:r>
      <w:r>
        <w:rPr>
          <w:rFonts w:ascii="Times New Roman" w:hAnsi="Times New Roman" w:cs="Times New Roman"/>
        </w:rPr>
        <w:tab/>
        <w:t xml:space="preserve">of </w:t>
      </w:r>
      <w:r w:rsidRPr="008D0A66">
        <w:rPr>
          <w:rFonts w:ascii="Times New Roman" w:hAnsi="Times New Roman" w:cs="Times New Roman"/>
        </w:rPr>
        <w:t>necessity for the survival of the business of the tenant. Thus, since the alleged sub-tenant was a close relative i.e. a son-in-law of the tenant, there was no parting of possessio</w:t>
      </w:r>
      <w:r>
        <w:rPr>
          <w:rFonts w:ascii="Times New Roman" w:hAnsi="Times New Roman" w:cs="Times New Roman"/>
        </w:rPr>
        <w:t xml:space="preserve">n and therefore no sub-letting. </w:t>
      </w:r>
      <w:r w:rsidRPr="008D0A66">
        <w:rPr>
          <w:rFonts w:ascii="Times New Roman" w:hAnsi="Times New Roman" w:cs="Times New Roman"/>
        </w:rPr>
        <w:t xml:space="preserve">The appellate authority relied on </w:t>
      </w:r>
      <w:r w:rsidRPr="008D0A66">
        <w:rPr>
          <w:rFonts w:ascii="Times New Roman" w:hAnsi="Times New Roman" w:cs="Times New Roman"/>
          <w:i/>
        </w:rPr>
        <w:t>Smt. Krishnawati Vs. Shri Hans Raj</w:t>
      </w:r>
      <w:r w:rsidRPr="008D0A66">
        <w:rPr>
          <w:rFonts w:ascii="Times New Roman" w:hAnsi="Times New Roman" w:cs="Times New Roman"/>
          <w:i/>
          <w:sz w:val="20"/>
          <w:szCs w:val="20"/>
          <w:vertAlign w:val="superscript"/>
        </w:rPr>
        <w:t>1</w:t>
      </w:r>
      <w:r w:rsidRPr="008D0A66">
        <w:rPr>
          <w:rFonts w:ascii="Times New Roman" w:hAnsi="Times New Roman" w:cs="Times New Roman"/>
          <w:i/>
        </w:rPr>
        <w:t xml:space="preserve"> </w:t>
      </w:r>
      <w:r w:rsidRPr="008D0A66">
        <w:rPr>
          <w:rFonts w:ascii="Times New Roman" w:hAnsi="Times New Roman" w:cs="Times New Roman"/>
        </w:rPr>
        <w:t>in which it was held that in an arrangement where the premises was rented by the husband, and the wife was allowed to carry out business in a part of the premises, would not amount to sub-letting.</w:t>
      </w:r>
    </w:p>
    <w:p w:rsid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 xml:space="preserve">9. </w:t>
      </w:r>
      <w:r w:rsidRPr="008D0A66">
        <w:rPr>
          <w:rFonts w:ascii="Times New Roman" w:hAnsi="Times New Roman" w:cs="Times New Roman"/>
        </w:rPr>
        <w:t>The High Court concurred with the finding of the appellate authority that the son-in-law had come to Delhi to assist his father-in-law in business for which a partnership deed had been executed between them, and he resided at the same premises as his father-in-law. The partnership was a genuine partnership as it could not be said that it had been entered into for the purpose of subletting. The father-in-law had not in any manner given the possession of the shop in question exclusively to his son-in-law thereby divesting himself of it. Thus the mere occupation of his son-in-law was not sufficient to establish a case of subletting.</w:t>
      </w:r>
    </w:p>
    <w:p w:rsid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 xml:space="preserve">10. </w:t>
      </w:r>
      <w:r w:rsidRPr="008D0A66">
        <w:rPr>
          <w:rFonts w:ascii="Times New Roman" w:hAnsi="Times New Roman" w:cs="Times New Roman"/>
        </w:rPr>
        <w:t xml:space="preserve"> Having heard the learned counsels for both parties, we find that a significant fact which has not been controverted by the respondents has been completely overlooked in the p</w:t>
      </w:r>
      <w:r>
        <w:rPr>
          <w:rFonts w:ascii="Times New Roman" w:hAnsi="Times New Roman" w:cs="Times New Roman"/>
        </w:rPr>
        <w:t xml:space="preserve">roceedings of the courts below. </w:t>
      </w:r>
      <w:r w:rsidRPr="008D0A66">
        <w:rPr>
          <w:rFonts w:ascii="Times New Roman" w:hAnsi="Times New Roman" w:cs="Times New Roman"/>
        </w:rPr>
        <w:t>That fact is that no consent in writing was obtained from the landlord before the so called partnership was entered into between the tenant and the sub-tenant, and before the sub-tenant was allowed to occupy the premises.</w:t>
      </w:r>
    </w:p>
    <w:p w:rsid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11. </w:t>
      </w:r>
      <w:r w:rsidRPr="008D0A66">
        <w:rPr>
          <w:rFonts w:ascii="Times New Roman" w:hAnsi="Times New Roman" w:cs="Times New Roman"/>
        </w:rPr>
        <w:t xml:space="preserve"> Section 14(1) of the Act reads as under:-</w:t>
      </w:r>
    </w:p>
    <w:p w:rsidR="008D0A66" w:rsidRPr="008D0A66" w:rsidRDefault="008D0A66" w:rsidP="008D0A66">
      <w:pPr>
        <w:jc w:val="both"/>
        <w:rPr>
          <w:rFonts w:ascii="Times New Roman" w:hAnsi="Times New Roman" w:cs="Times New Roman"/>
        </w:rPr>
      </w:pPr>
    </w:p>
    <w:p w:rsidR="008D0A66" w:rsidRPr="008D0A66" w:rsidRDefault="008D0A66" w:rsidP="008D0A66">
      <w:pPr>
        <w:ind w:left="720"/>
        <w:jc w:val="both"/>
        <w:rPr>
          <w:rFonts w:ascii="Times New Roman" w:hAnsi="Times New Roman" w:cs="Times New Roman"/>
        </w:rPr>
      </w:pPr>
      <w:r w:rsidRPr="008D0A66">
        <w:rPr>
          <w:rFonts w:ascii="Times New Roman" w:hAnsi="Times New Roman" w:cs="Times New Roman" w:hint="eastAsia"/>
        </w:rPr>
        <w:t>”</w:t>
      </w:r>
      <w:r w:rsidRPr="008D0A66">
        <w:rPr>
          <w:rFonts w:ascii="Times New Roman" w:hAnsi="Times New Roman" w:cs="Times New Roman"/>
        </w:rPr>
        <w:t>(14)(1) Notwithstanding anything to the contrary contained in any other law or contract, no order or decree for the recovery of possession of any premises shall be made by any court or Controller in favour of the landlord against a tenant:</w:t>
      </w:r>
    </w:p>
    <w:p w:rsidR="008D0A66" w:rsidRDefault="008D0A66" w:rsidP="008D0A66">
      <w:pPr>
        <w:ind w:left="720"/>
        <w:jc w:val="both"/>
        <w:rPr>
          <w:rFonts w:ascii="Times New Roman" w:hAnsi="Times New Roman" w:cs="Times New Roman"/>
        </w:rPr>
      </w:pPr>
    </w:p>
    <w:p w:rsidR="008D0A66" w:rsidRPr="008D0A66" w:rsidRDefault="008D0A66" w:rsidP="008D0A66">
      <w:pPr>
        <w:ind w:left="720"/>
        <w:jc w:val="both"/>
        <w:rPr>
          <w:rFonts w:ascii="Times New Roman" w:hAnsi="Times New Roman" w:cs="Times New Roman"/>
        </w:rPr>
      </w:pPr>
      <w:r w:rsidRPr="008D0A66">
        <w:rPr>
          <w:rFonts w:ascii="Times New Roman" w:hAnsi="Times New Roman" w:cs="Times New Roman"/>
        </w:rPr>
        <w:t>Provided that the Controller may, on an application made to him in the prescribed manner, make an order for the recovery of possession of the</w:t>
      </w:r>
      <w:r>
        <w:rPr>
          <w:rFonts w:ascii="Times New Roman" w:hAnsi="Times New Roman" w:cs="Times New Roman"/>
        </w:rPr>
        <w:t xml:space="preserve"> </w:t>
      </w:r>
      <w:r w:rsidRPr="008D0A66">
        <w:rPr>
          <w:rFonts w:ascii="Times New Roman" w:hAnsi="Times New Roman" w:cs="Times New Roman"/>
        </w:rPr>
        <w:t>premises on one or more of the following grounds only, namely:-</w:t>
      </w:r>
    </w:p>
    <w:p w:rsidR="008D0A66" w:rsidRDefault="008D0A66" w:rsidP="008D0A66">
      <w:pPr>
        <w:ind w:left="720"/>
        <w:jc w:val="both"/>
        <w:rPr>
          <w:rFonts w:ascii="Times New Roman" w:hAnsi="Times New Roman" w:cs="Times New Roman"/>
        </w:rPr>
      </w:pPr>
    </w:p>
    <w:p w:rsidR="008D0A66" w:rsidRPr="008D0A66" w:rsidRDefault="008D0A66" w:rsidP="008D0A66">
      <w:pPr>
        <w:ind w:left="720"/>
        <w:jc w:val="both"/>
        <w:rPr>
          <w:rFonts w:ascii="Times New Roman" w:hAnsi="Times New Roman" w:cs="Times New Roman"/>
        </w:rPr>
      </w:pPr>
      <w:r>
        <w:rPr>
          <w:rFonts w:ascii="Times New Roman" w:hAnsi="Times New Roman" w:cs="Times New Roman"/>
        </w:rPr>
        <w:t xml:space="preserve">(a)  </w:t>
      </w:r>
      <w:r w:rsidRPr="008D0A66">
        <w:rPr>
          <w:rFonts w:ascii="Times New Roman" w:hAnsi="Times New Roman" w:cs="Times New Roman"/>
        </w:rPr>
        <w:t>That the tenant has neither paid nor tendered the whole of the arrears of the rent legally recoverable from him within two months of the date on which a notice of demand for the arrears of rent has been served on him by the landlord in the manner provided in section 106 of the Transfer of Property Act, 1882;</w:t>
      </w:r>
    </w:p>
    <w:p w:rsidR="008D0A66" w:rsidRDefault="008D0A66" w:rsidP="008D0A66">
      <w:pPr>
        <w:ind w:left="720"/>
        <w:jc w:val="both"/>
        <w:rPr>
          <w:rFonts w:ascii="Times New Roman" w:hAnsi="Times New Roman" w:cs="Times New Roman"/>
        </w:rPr>
      </w:pPr>
    </w:p>
    <w:p w:rsidR="008D0A66" w:rsidRPr="008D0A66" w:rsidRDefault="008D0A66" w:rsidP="008D0A66">
      <w:pPr>
        <w:ind w:left="720"/>
        <w:jc w:val="both"/>
        <w:rPr>
          <w:rFonts w:ascii="Times New Roman" w:hAnsi="Times New Roman" w:cs="Times New Roman"/>
        </w:rPr>
      </w:pPr>
      <w:r>
        <w:rPr>
          <w:rFonts w:ascii="Times New Roman" w:hAnsi="Times New Roman" w:cs="Times New Roman"/>
        </w:rPr>
        <w:t>(b)</w:t>
      </w:r>
      <w:r w:rsidRPr="008D0A66">
        <w:rPr>
          <w:rFonts w:ascii="Times New Roman" w:hAnsi="Times New Roman" w:cs="Times New Roman"/>
        </w:rPr>
        <w:t xml:space="preserve"> that the tenant has, on or after the 9th day of June, 1952, sub-let, assigned or otherwise parted with the possession of the whole or any part of the premises without obtaining the consent in writing of the landlord".</w:t>
      </w:r>
    </w:p>
    <w:p w:rsidR="008D0A66" w:rsidRDefault="008D0A66" w:rsidP="008D0A66">
      <w:pPr>
        <w:ind w:left="720"/>
        <w:jc w:val="both"/>
        <w:rPr>
          <w:rFonts w:ascii="Times New Roman" w:hAnsi="Times New Roman" w:cs="Times New Roman"/>
        </w:rPr>
      </w:pPr>
    </w:p>
    <w:p w:rsidR="008D0A66" w:rsidRDefault="008D0A66" w:rsidP="008D0A66">
      <w:pPr>
        <w:ind w:left="720"/>
        <w:jc w:val="both"/>
        <w:rPr>
          <w:rFonts w:ascii="Times New Roman" w:hAnsi="Times New Roman" w:cs="Times New Roman"/>
        </w:rPr>
      </w:pPr>
      <w:r w:rsidRPr="008D0A66">
        <w:rPr>
          <w:rFonts w:ascii="Times New Roman" w:hAnsi="Times New Roman" w:cs="Times New Roman"/>
        </w:rPr>
        <w:t>Clause (b) of the proviso to sub-section (1)</w:t>
      </w:r>
      <w:r>
        <w:rPr>
          <w:rFonts w:ascii="Times New Roman" w:hAnsi="Times New Roman" w:cs="Times New Roman"/>
        </w:rPr>
        <w:t xml:space="preserve"> </w:t>
      </w:r>
      <w:r w:rsidRPr="008D0A66">
        <w:rPr>
          <w:rFonts w:ascii="Times New Roman" w:hAnsi="Times New Roman" w:cs="Times New Roman"/>
        </w:rPr>
        <w:t>provides for the eviction of a tenant who has</w:t>
      </w:r>
      <w:r>
        <w:rPr>
          <w:rFonts w:ascii="Times New Roman" w:hAnsi="Times New Roman" w:cs="Times New Roman"/>
        </w:rPr>
        <w:t xml:space="preserve"> </w:t>
      </w:r>
      <w:r w:rsidRPr="008D0A66">
        <w:rPr>
          <w:rFonts w:ascii="Times New Roman" w:hAnsi="Times New Roman" w:cs="Times New Roman"/>
        </w:rPr>
        <w:t>sub-let, assigned or otherwise parted with the</w:t>
      </w:r>
      <w:r>
        <w:rPr>
          <w:rFonts w:ascii="Times New Roman" w:hAnsi="Times New Roman" w:cs="Times New Roman"/>
        </w:rPr>
        <w:t xml:space="preserve"> </w:t>
      </w:r>
      <w:r w:rsidRPr="008D0A66">
        <w:rPr>
          <w:rFonts w:ascii="Times New Roman" w:hAnsi="Times New Roman" w:cs="Times New Roman"/>
        </w:rPr>
        <w:t>possession of the premises without obtaining the</w:t>
      </w:r>
      <w:r>
        <w:rPr>
          <w:rFonts w:ascii="Times New Roman" w:hAnsi="Times New Roman" w:cs="Times New Roman"/>
        </w:rPr>
        <w:t xml:space="preserve"> </w:t>
      </w:r>
      <w:r w:rsidRPr="008D0A66">
        <w:rPr>
          <w:rFonts w:ascii="Times New Roman" w:hAnsi="Times New Roman" w:cs="Times New Roman"/>
        </w:rPr>
        <w:t>consent in writing of the landlord.</w:t>
      </w:r>
      <w:r>
        <w:rPr>
          <w:rFonts w:ascii="Times New Roman" w:hAnsi="Times New Roman" w:cs="Times New Roman"/>
        </w:rPr>
        <w:t xml:space="preserve"> </w:t>
      </w:r>
    </w:p>
    <w:p w:rsidR="008D0A66" w:rsidRDefault="008D0A66" w:rsidP="008D0A66">
      <w:pPr>
        <w:ind w:left="720"/>
        <w:jc w:val="both"/>
        <w:rPr>
          <w:rFonts w:ascii="Times New Roman" w:hAnsi="Times New Roman" w:cs="Times New Roman"/>
        </w:rPr>
      </w:pPr>
    </w:p>
    <w:p w:rsidR="008D0A66" w:rsidRDefault="008D0A66" w:rsidP="008D0A66">
      <w:pPr>
        <w:ind w:left="720"/>
        <w:jc w:val="both"/>
        <w:rPr>
          <w:rFonts w:ascii="Times New Roman" w:hAnsi="Times New Roman" w:cs="Times New Roman"/>
        </w:rPr>
      </w:pPr>
      <w:r w:rsidRPr="008D0A66">
        <w:rPr>
          <w:rFonts w:ascii="Times New Roman" w:hAnsi="Times New Roman" w:cs="Times New Roman"/>
        </w:rPr>
        <w:t>Section 14 (4) reads as follows:-</w:t>
      </w:r>
    </w:p>
    <w:p w:rsidR="008D0A66" w:rsidRPr="008D0A66" w:rsidRDefault="008D0A66" w:rsidP="008D0A66">
      <w:pPr>
        <w:ind w:left="720"/>
        <w:jc w:val="both"/>
        <w:rPr>
          <w:rFonts w:ascii="Times New Roman" w:hAnsi="Times New Roman" w:cs="Times New Roman"/>
        </w:rPr>
      </w:pPr>
    </w:p>
    <w:p w:rsidR="008D0A66" w:rsidRPr="008D0A66" w:rsidRDefault="008D0A66" w:rsidP="008D0A66">
      <w:pPr>
        <w:ind w:left="720"/>
        <w:jc w:val="both"/>
        <w:rPr>
          <w:rFonts w:ascii="Times New Roman" w:hAnsi="Times New Roman" w:cs="Times New Roman"/>
        </w:rPr>
      </w:pPr>
      <w:r w:rsidRPr="008D0A66">
        <w:rPr>
          <w:rFonts w:ascii="Times New Roman" w:hAnsi="Times New Roman" w:cs="Times New Roman" w:hint="eastAsia"/>
        </w:rPr>
        <w:t>”</w:t>
      </w:r>
      <w:r w:rsidRPr="008D0A66">
        <w:rPr>
          <w:rFonts w:ascii="Times New Roman" w:hAnsi="Times New Roman" w:cs="Times New Roman"/>
        </w:rPr>
        <w:t>(14)(4)For the purposes of clause (b) of the proviso to sub-section (1), any premises which have been let for being used for the purposes of business or profession shall be deemed to have been sub-let by the tenant, if the Controller is satisfied that the tenant without obtaining the consent</w:t>
      </w:r>
      <w:r>
        <w:rPr>
          <w:rFonts w:ascii="Times New Roman" w:hAnsi="Times New Roman" w:cs="Times New Roman"/>
        </w:rPr>
        <w:t xml:space="preserve"> </w:t>
      </w:r>
      <w:r w:rsidRPr="008D0A66">
        <w:rPr>
          <w:rFonts w:ascii="Times New Roman" w:hAnsi="Times New Roman" w:cs="Times New Roman"/>
        </w:rPr>
        <w:t>in writing of the landlord has, after the 16th day of August, 1958, allowed any person to occupy the whole or any part of the premises ostensibly on the ground that such person is a partner of the tenant in the business or profession but really for the purpose of sub-letting such premises to that person."</w:t>
      </w:r>
    </w:p>
    <w:p w:rsidR="008D0A66" w:rsidRPr="008D0A66" w:rsidRDefault="008D0A66" w:rsidP="008D0A66">
      <w:pPr>
        <w:ind w:left="720"/>
        <w:jc w:val="both"/>
        <w:rPr>
          <w:rFonts w:ascii="Times New Roman" w:hAnsi="Times New Roman" w:cs="Times New Roman"/>
        </w:rPr>
      </w:pPr>
      <w:r w:rsidRPr="008D0A66">
        <w:rPr>
          <w:rFonts w:ascii="Times New Roman" w:hAnsi="Times New Roman" w:cs="Times New Roman"/>
        </w:rPr>
        <w:t>This sub-section provides that if a person is allowed to occupy the premises ostensibly as a partner of the tenant but really for the purpose of sub-letting it, such an arrangement would be deemed to be sub-letting.</w:t>
      </w:r>
      <w:r>
        <w:rPr>
          <w:rFonts w:ascii="Times New Roman" w:hAnsi="Times New Roman" w:cs="Times New Roman"/>
        </w:rPr>
        <w:t xml:space="preserve"> </w:t>
      </w:r>
      <w:r w:rsidRPr="008D0A66">
        <w:rPr>
          <w:rFonts w:ascii="Times New Roman" w:hAnsi="Times New Roman" w:cs="Times New Roman"/>
        </w:rPr>
        <w:t xml:space="preserve">Therefore, if the tenant has allowed any person to occupy the whole or any part of the premises, actually for the purpose </w:t>
      </w:r>
      <w:r w:rsidRPr="008D0A66">
        <w:rPr>
          <w:rFonts w:ascii="Times New Roman" w:hAnsi="Times New Roman" w:cs="Times New Roman"/>
        </w:rPr>
        <w:lastRenderedPageBreak/>
        <w:t>of sub-letting but speciously by entering into a partnership with him, such an arrangement shall be deemed to be sublett</w:t>
      </w:r>
      <w:r>
        <w:rPr>
          <w:rFonts w:ascii="Times New Roman" w:hAnsi="Times New Roman" w:cs="Times New Roman"/>
        </w:rPr>
        <w:t>ing. In</w:t>
      </w:r>
      <w:r>
        <w:rPr>
          <w:rFonts w:ascii="Times New Roman" w:hAnsi="Times New Roman" w:cs="Times New Roman"/>
        </w:rPr>
        <w:tab/>
        <w:t>other words,</w:t>
      </w:r>
      <w:r>
        <w:rPr>
          <w:rFonts w:ascii="Times New Roman" w:hAnsi="Times New Roman" w:cs="Times New Roman"/>
        </w:rPr>
        <w:tab/>
        <w:t xml:space="preserve">subletting </w:t>
      </w:r>
      <w:r w:rsidRPr="008D0A66">
        <w:rPr>
          <w:rFonts w:ascii="Times New Roman" w:hAnsi="Times New Roman" w:cs="Times New Roman"/>
        </w:rPr>
        <w:t>is not</w:t>
      </w:r>
    </w:p>
    <w:p w:rsidR="008D0A66" w:rsidRDefault="008D0A66" w:rsidP="008D0A66">
      <w:pPr>
        <w:ind w:left="720"/>
        <w:jc w:val="both"/>
        <w:rPr>
          <w:rFonts w:ascii="Times New Roman" w:hAnsi="Times New Roman" w:cs="Times New Roman"/>
        </w:rPr>
      </w:pPr>
      <w:r w:rsidRPr="008D0A66">
        <w:rPr>
          <w:rFonts w:ascii="Times New Roman" w:hAnsi="Times New Roman" w:cs="Times New Roman"/>
        </w:rPr>
        <w:t>permitted by camouflaging it as a partnership.</w:t>
      </w:r>
      <w:r>
        <w:rPr>
          <w:rFonts w:ascii="Times New Roman" w:hAnsi="Times New Roman" w:cs="Times New Roman"/>
        </w:rPr>
        <w:t xml:space="preserve"> </w:t>
      </w:r>
      <w:r w:rsidRPr="008D0A66">
        <w:rPr>
          <w:rFonts w:ascii="Times New Roman" w:hAnsi="Times New Roman" w:cs="Times New Roman"/>
        </w:rPr>
        <w:t>The combined reading of clause (b) of the pro</w:t>
      </w:r>
      <w:r>
        <w:rPr>
          <w:rFonts w:ascii="Times New Roman" w:hAnsi="Times New Roman" w:cs="Times New Roman"/>
        </w:rPr>
        <w:t>viso to Section 14(1)</w:t>
      </w:r>
      <w:r>
        <w:rPr>
          <w:rFonts w:ascii="Times New Roman" w:hAnsi="Times New Roman" w:cs="Times New Roman"/>
        </w:rPr>
        <w:tab/>
        <w:t xml:space="preserve">read with Section 14(4) </w:t>
      </w:r>
      <w:r w:rsidRPr="008D0A66">
        <w:rPr>
          <w:rFonts w:ascii="Times New Roman" w:hAnsi="Times New Roman" w:cs="Times New Roman"/>
        </w:rPr>
        <w:t>makes it</w:t>
      </w:r>
      <w:r>
        <w:rPr>
          <w:rFonts w:ascii="Times New Roman" w:hAnsi="Times New Roman" w:cs="Times New Roman"/>
        </w:rPr>
        <w:t xml:space="preserve"> clear that before a tenant can </w:t>
      </w:r>
      <w:r w:rsidRPr="008D0A66">
        <w:rPr>
          <w:rFonts w:ascii="Times New Roman" w:hAnsi="Times New Roman" w:cs="Times New Roman"/>
        </w:rPr>
        <w:t>sub-let, assign or</w:t>
      </w:r>
      <w:r>
        <w:rPr>
          <w:rFonts w:ascii="Times New Roman" w:hAnsi="Times New Roman" w:cs="Times New Roman"/>
        </w:rPr>
        <w:t xml:space="preserve"> part with the</w:t>
      </w:r>
      <w:r>
        <w:rPr>
          <w:rFonts w:ascii="Times New Roman" w:hAnsi="Times New Roman" w:cs="Times New Roman"/>
        </w:rPr>
        <w:tab/>
        <w:t xml:space="preserve">possession </w:t>
      </w:r>
      <w:r w:rsidRPr="008D0A66">
        <w:rPr>
          <w:rFonts w:ascii="Times New Roman" w:hAnsi="Times New Roman" w:cs="Times New Roman"/>
        </w:rPr>
        <w:t>of</w:t>
      </w:r>
      <w:r w:rsidRPr="008D0A66">
        <w:rPr>
          <w:rFonts w:ascii="Times New Roman" w:hAnsi="Times New Roman" w:cs="Times New Roman"/>
        </w:rPr>
        <w:tab/>
      </w:r>
      <w:r>
        <w:rPr>
          <w:rFonts w:ascii="Times New Roman" w:hAnsi="Times New Roman" w:cs="Times New Roman"/>
        </w:rPr>
        <w:t xml:space="preserve"> any part </w:t>
      </w:r>
      <w:r w:rsidRPr="008D0A66">
        <w:rPr>
          <w:rFonts w:ascii="Times New Roman" w:hAnsi="Times New Roman" w:cs="Times New Roman"/>
        </w:rPr>
        <w:t>of the premises or the whole, it must be preceded by the consent in writing from the landlord. In other words, the requirement of obtaining the consent in writing of the landlord is retained as a pre-requisite even for the purposes of sub-section (4). What is of importance is, in either case whether a person has been inducted genuinely as a partner and therefore allowed to occupy the premises or whether the partnership is a ruse, the requirement of consent in writing as in sub-section (1) is retained. In the present case, there is no evidence that the tenant obtained the consent in writing from the landlord before allowing the son-in-law to occupy the premises in pursuance of the Partnership deed.</w:t>
      </w:r>
    </w:p>
    <w:p w:rsidR="008D0A66" w:rsidRPr="008D0A66" w:rsidRDefault="008D0A66" w:rsidP="008D0A66">
      <w:pPr>
        <w:ind w:left="720"/>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 xml:space="preserve">12. </w:t>
      </w:r>
      <w:r w:rsidRPr="008D0A66">
        <w:rPr>
          <w:rFonts w:ascii="Times New Roman" w:hAnsi="Times New Roman" w:cs="Times New Roman"/>
        </w:rPr>
        <w:t>We are satisfied that the respondents-tenants have been found to have inducted the son-in-law as a sub-tenant for the purpose of doing business under a partnership agreement. The arrangement between Hakim Rai and his son-in-law Raj Kumar was not a casual arrangement wherein the latter was requested to conduct business at the shop because the former was old and infirm. There was no need of entering into a partnership agreement in that case.</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13.</w:t>
      </w:r>
      <w:r w:rsidRPr="008D0A66">
        <w:rPr>
          <w:rFonts w:ascii="Times New Roman" w:hAnsi="Times New Roman" w:cs="Times New Roman"/>
        </w:rPr>
        <w:t xml:space="preserve"> We find upon scrutiny of the evidence in this case that the learned Rent Controller was right in coming to the conclusion that the parties had not acted on the partnership which was shown, and that there was a parting of possession of the premises in which the son-in-law was allowed to occupy the premises and carry out business exclusively. There is no evidence on record that the account books were maintained and the profits were shared between the parties as partners. The son-in-law had accepted that he was carrying out a business of sale of merchandise from the shop.</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14.</w:t>
      </w:r>
      <w:r w:rsidRPr="008D0A66">
        <w:rPr>
          <w:rFonts w:ascii="Times New Roman" w:hAnsi="Times New Roman" w:cs="Times New Roman"/>
        </w:rPr>
        <w:t xml:space="preserve"> It is not possible for us to appreciate the view of the appellate authority that there would be no parting of possession if the alleged sub-tenant is a close relative like a son-in-law. In this case, the relationship is not like that of a spouse being allowed to carry out a business in the same house. The relationship is of a son-in-law and father-in-law who had entered into a partnership agreement.</w:t>
      </w:r>
    </w:p>
    <w:p w:rsidR="008D0A66" w:rsidRP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15.</w:t>
      </w:r>
      <w:r w:rsidRPr="008D0A66">
        <w:rPr>
          <w:rFonts w:ascii="Times New Roman" w:hAnsi="Times New Roman" w:cs="Times New Roman"/>
        </w:rPr>
        <w:t xml:space="preserve"> In any case, there was a failure to obtain consent in writing from the appellants which is a clear pre-requisite for allowing any person to occupy the premises. In other words, a tenant cannot be allowed to employ a subterfuge and permit another person to occupy the premises by claiming that he is a partner when the real intention is to sublet, without obtaining the consent in writing of the landlord.</w:t>
      </w:r>
    </w:p>
    <w:p w:rsid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16.</w:t>
      </w:r>
      <w:r w:rsidRPr="008D0A66">
        <w:rPr>
          <w:rFonts w:ascii="Times New Roman" w:hAnsi="Times New Roman" w:cs="Times New Roman"/>
        </w:rPr>
        <w:t xml:space="preserve"> In these circumstances, we find that the occupation of the shop by Raj Kumar amounts to a sub-letting within the meaning of Section 14(1)</w:t>
      </w:r>
      <w:r w:rsidRPr="008D0A66">
        <w:rPr>
          <w:rFonts w:ascii="Times New Roman" w:hAnsi="Times New Roman" w:cs="Times New Roman"/>
        </w:rPr>
        <w:tab/>
        <w:t>(b) read with Section 14(4) of the Act and the respondents are liable for eviction.</w:t>
      </w:r>
    </w:p>
    <w:p w:rsid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rPr>
      </w:pPr>
      <w:r>
        <w:rPr>
          <w:rFonts w:ascii="Times New Roman" w:hAnsi="Times New Roman" w:cs="Times New Roman"/>
        </w:rPr>
        <w:t>17.</w:t>
      </w:r>
      <w:r w:rsidRPr="008D0A66">
        <w:rPr>
          <w:rFonts w:ascii="Times New Roman" w:hAnsi="Times New Roman" w:cs="Times New Roman"/>
        </w:rPr>
        <w:t xml:space="preserve"> We accordingly, set aside the order of the High Court and direct that the respondents shall be evicted. However, time to vacate the scheduled premises is granted till 31st October, 2017 on filing the usual undertaking by them within four weeks from today. Till such a time, the rent at the rate of Rs. 10,000/- per month shall be paid by the respondents to the appellant.</w:t>
      </w:r>
    </w:p>
    <w:p w:rsid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18.</w:t>
      </w:r>
      <w:r w:rsidRPr="008D0A66">
        <w:rPr>
          <w:rFonts w:ascii="Times New Roman" w:hAnsi="Times New Roman" w:cs="Times New Roman"/>
        </w:rPr>
        <w:t>The appeal is disposed of with above observations and directions.</w:t>
      </w:r>
    </w:p>
    <w:p w:rsidR="008D0A66" w:rsidRPr="008D0A66" w:rsidRDefault="008D0A66" w:rsidP="008D0A66">
      <w:pPr>
        <w:jc w:val="both"/>
        <w:rPr>
          <w:rFonts w:ascii="Times New Roman" w:hAnsi="Times New Roman" w:cs="Times New Roman"/>
        </w:rPr>
      </w:pPr>
    </w:p>
    <w:p w:rsidR="008D0A66" w:rsidRDefault="008D0A66" w:rsidP="008D0A66">
      <w:pPr>
        <w:jc w:val="both"/>
        <w:rPr>
          <w:rFonts w:ascii="Times New Roman" w:hAnsi="Times New Roman" w:cs="Times New Roman"/>
        </w:rPr>
      </w:pPr>
      <w:r>
        <w:rPr>
          <w:rFonts w:ascii="Times New Roman" w:hAnsi="Times New Roman" w:cs="Times New Roman"/>
        </w:rPr>
        <w:t>Judgment Referred..</w:t>
      </w:r>
    </w:p>
    <w:p w:rsidR="008D0A66" w:rsidRDefault="008D0A66" w:rsidP="008D0A66">
      <w:pPr>
        <w:jc w:val="both"/>
        <w:rPr>
          <w:rFonts w:ascii="Times New Roman" w:hAnsi="Times New Roman" w:cs="Times New Roman"/>
        </w:rPr>
      </w:pPr>
    </w:p>
    <w:p w:rsidR="008D0A66" w:rsidRPr="008D0A66" w:rsidRDefault="008D0A66" w:rsidP="008D0A66">
      <w:pPr>
        <w:jc w:val="both"/>
        <w:rPr>
          <w:rFonts w:ascii="Times New Roman" w:hAnsi="Times New Roman" w:cs="Times New Roman"/>
          <w:i/>
          <w:sz w:val="18"/>
          <w:szCs w:val="18"/>
        </w:rPr>
      </w:pPr>
      <w:r w:rsidRPr="008D0A66">
        <w:rPr>
          <w:rFonts w:ascii="Times New Roman" w:hAnsi="Times New Roman" w:cs="Times New Roman"/>
          <w:i/>
          <w:sz w:val="18"/>
          <w:szCs w:val="18"/>
          <w:vertAlign w:val="superscript"/>
        </w:rPr>
        <w:t>1</w:t>
      </w:r>
      <w:r w:rsidRPr="008D0A66">
        <w:rPr>
          <w:rFonts w:ascii="Times New Roman" w:hAnsi="Times New Roman" w:cs="Times New Roman"/>
          <w:i/>
          <w:sz w:val="18"/>
          <w:szCs w:val="18"/>
        </w:rPr>
        <w:t>(1974) 1 SCC 0289</w:t>
      </w:r>
    </w:p>
    <w:sectPr w:rsidR="008D0A66" w:rsidRPr="008D0A66"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CB1" w:rsidRDefault="00085CB1" w:rsidP="00CF3BB7">
      <w:r>
        <w:separator/>
      </w:r>
    </w:p>
  </w:endnote>
  <w:endnote w:type="continuationSeparator" w:id="1">
    <w:p w:rsidR="00085CB1" w:rsidRDefault="00085C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8D0A66">
          <w:rPr>
            <w:noProof/>
            <w:sz w:val="22"/>
            <w:szCs w:val="22"/>
          </w:rPr>
          <w:t>1</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CB1" w:rsidRDefault="00085CB1" w:rsidP="00CF3BB7">
      <w:r>
        <w:separator/>
      </w:r>
    </w:p>
  </w:footnote>
  <w:footnote w:type="continuationSeparator" w:id="1">
    <w:p w:rsidR="00085CB1" w:rsidRDefault="00085C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5CB1"/>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4005"/>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5021"/>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1F64"/>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41B2"/>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1594"/>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0A66"/>
    <w:rsid w:val="008D5408"/>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75EE"/>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3E0C"/>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40D2"/>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A261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2017-02-23T08:40:00Z</cp:lastPrinted>
  <dcterms:created xsi:type="dcterms:W3CDTF">2017-02-23T08:45:00Z</dcterms:created>
  <dcterms:modified xsi:type="dcterms:W3CDTF">2017-02-23T08:45:00Z</dcterms:modified>
</cp:coreProperties>
</file>