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EFA" w:rsidRPr="003F4EFA" w:rsidRDefault="003F4EFA" w:rsidP="00EB1714">
      <w:pPr>
        <w:jc w:val="center"/>
        <w:rPr>
          <w:rFonts w:ascii="Times New Roman" w:hAnsi="Times New Roman" w:cs="Times New Roman"/>
          <w:b/>
        </w:rPr>
      </w:pPr>
      <w:r w:rsidRPr="003F4EFA">
        <w:rPr>
          <w:rFonts w:ascii="Times New Roman" w:hAnsi="Times New Roman" w:cs="Times New Roman"/>
          <w:b/>
        </w:rPr>
        <w:t>SUPREME COURT OF INDIA</w:t>
      </w:r>
    </w:p>
    <w:p w:rsidR="003F4EFA" w:rsidRPr="003F4EFA" w:rsidRDefault="003F4EFA" w:rsidP="00EB1714">
      <w:pPr>
        <w:jc w:val="center"/>
        <w:rPr>
          <w:rFonts w:ascii="Times New Roman" w:hAnsi="Times New Roman" w:cs="Times New Roman"/>
        </w:rPr>
      </w:pPr>
    </w:p>
    <w:p w:rsidR="003F4EFA" w:rsidRDefault="003F4EFA" w:rsidP="00EB1714">
      <w:pPr>
        <w:jc w:val="center"/>
        <w:rPr>
          <w:rFonts w:ascii="Times New Roman" w:hAnsi="Times New Roman" w:cs="Times New Roman"/>
        </w:rPr>
      </w:pPr>
      <w:r w:rsidRPr="003F4EFA">
        <w:rPr>
          <w:rFonts w:ascii="Times New Roman" w:hAnsi="Times New Roman" w:cs="Times New Roman"/>
        </w:rPr>
        <w:t>Sandeep Khanuja</w:t>
      </w:r>
    </w:p>
    <w:p w:rsidR="003F4EFA" w:rsidRPr="003F4EFA" w:rsidRDefault="003F4EFA" w:rsidP="00EB1714">
      <w:pPr>
        <w:jc w:val="center"/>
        <w:rPr>
          <w:rFonts w:ascii="Times New Roman" w:hAnsi="Times New Roman" w:cs="Times New Roman"/>
        </w:rPr>
      </w:pPr>
    </w:p>
    <w:p w:rsidR="003F4EFA" w:rsidRDefault="003F4EFA" w:rsidP="00EB1714">
      <w:pPr>
        <w:jc w:val="center"/>
        <w:rPr>
          <w:rFonts w:ascii="Times New Roman" w:hAnsi="Times New Roman" w:cs="Times New Roman"/>
        </w:rPr>
      </w:pPr>
      <w:r>
        <w:rPr>
          <w:rFonts w:ascii="Times New Roman" w:hAnsi="Times New Roman" w:cs="Times New Roman"/>
        </w:rPr>
        <w:t>Vs.</w:t>
      </w:r>
    </w:p>
    <w:p w:rsidR="003F4EFA" w:rsidRPr="003F4EFA" w:rsidRDefault="003F4EFA" w:rsidP="00EB1714">
      <w:pPr>
        <w:jc w:val="center"/>
        <w:rPr>
          <w:rFonts w:ascii="Times New Roman" w:hAnsi="Times New Roman" w:cs="Times New Roman"/>
        </w:rPr>
      </w:pPr>
    </w:p>
    <w:p w:rsidR="003F4EFA" w:rsidRDefault="003F4EFA" w:rsidP="00EB1714">
      <w:pPr>
        <w:jc w:val="center"/>
        <w:rPr>
          <w:rFonts w:ascii="Times New Roman" w:hAnsi="Times New Roman" w:cs="Times New Roman"/>
        </w:rPr>
      </w:pPr>
      <w:r w:rsidRPr="003F4EFA">
        <w:rPr>
          <w:rFonts w:ascii="Times New Roman" w:hAnsi="Times New Roman" w:cs="Times New Roman"/>
        </w:rPr>
        <w:t>Atul Dande</w:t>
      </w:r>
    </w:p>
    <w:p w:rsidR="003F4EFA" w:rsidRDefault="003F4EFA" w:rsidP="00EB1714">
      <w:pPr>
        <w:jc w:val="center"/>
        <w:rPr>
          <w:rFonts w:ascii="Times New Roman" w:hAnsi="Times New Roman" w:cs="Times New Roman"/>
        </w:rPr>
      </w:pPr>
    </w:p>
    <w:p w:rsidR="003F4EFA" w:rsidRDefault="003F4EFA" w:rsidP="00EB1714">
      <w:pPr>
        <w:jc w:val="center"/>
        <w:rPr>
          <w:rFonts w:ascii="Times New Roman" w:hAnsi="Times New Roman" w:cs="Times New Roman"/>
        </w:rPr>
      </w:pPr>
      <w:r>
        <w:rPr>
          <w:rFonts w:ascii="Times New Roman" w:hAnsi="Times New Roman" w:cs="Times New Roman"/>
        </w:rPr>
        <w:t xml:space="preserve">C.A.No.1329 of </w:t>
      </w:r>
      <w:r w:rsidRPr="003F4EFA">
        <w:rPr>
          <w:rFonts w:ascii="Times New Roman" w:hAnsi="Times New Roman" w:cs="Times New Roman"/>
        </w:rPr>
        <w:t>2017</w:t>
      </w:r>
    </w:p>
    <w:p w:rsidR="003F4EFA" w:rsidRDefault="003F4EFA" w:rsidP="00EB1714">
      <w:pPr>
        <w:jc w:val="center"/>
        <w:rPr>
          <w:rFonts w:ascii="Times New Roman" w:hAnsi="Times New Roman" w:cs="Times New Roman"/>
        </w:rPr>
      </w:pPr>
    </w:p>
    <w:p w:rsidR="003F4EFA" w:rsidRDefault="003F4EFA" w:rsidP="00EB1714">
      <w:pPr>
        <w:jc w:val="center"/>
        <w:rPr>
          <w:rFonts w:ascii="Times New Roman" w:hAnsi="Times New Roman" w:cs="Times New Roman"/>
        </w:rPr>
      </w:pPr>
      <w:r>
        <w:rPr>
          <w:rFonts w:ascii="Times New Roman" w:hAnsi="Times New Roman" w:cs="Times New Roman"/>
        </w:rPr>
        <w:t>(A.K.Sikri and R.K.Ag</w:t>
      </w:r>
      <w:r w:rsidR="00EB1714">
        <w:rPr>
          <w:rFonts w:ascii="Times New Roman" w:hAnsi="Times New Roman" w:cs="Times New Roman"/>
        </w:rPr>
        <w:t>rawal,JJ.,)</w:t>
      </w:r>
    </w:p>
    <w:p w:rsidR="00EB1714" w:rsidRDefault="00EB1714" w:rsidP="00EB1714">
      <w:pPr>
        <w:jc w:val="center"/>
        <w:rPr>
          <w:rFonts w:ascii="Times New Roman" w:hAnsi="Times New Roman" w:cs="Times New Roman"/>
        </w:rPr>
      </w:pPr>
    </w:p>
    <w:p w:rsidR="00EB1714" w:rsidRDefault="00EB1714" w:rsidP="00EB1714">
      <w:pPr>
        <w:jc w:val="center"/>
        <w:rPr>
          <w:rFonts w:ascii="Times New Roman" w:hAnsi="Times New Roman" w:cs="Times New Roman"/>
        </w:rPr>
      </w:pPr>
      <w:r>
        <w:rPr>
          <w:rFonts w:ascii="Times New Roman" w:hAnsi="Times New Roman" w:cs="Times New Roman"/>
        </w:rPr>
        <w:t>02.02.2017</w:t>
      </w:r>
    </w:p>
    <w:p w:rsidR="003F4EFA" w:rsidRPr="003F4EFA" w:rsidRDefault="003F4EFA" w:rsidP="00EB1714">
      <w:pPr>
        <w:jc w:val="center"/>
        <w:rPr>
          <w:rFonts w:ascii="Times New Roman" w:hAnsi="Times New Roman" w:cs="Times New Roman"/>
        </w:rPr>
      </w:pPr>
    </w:p>
    <w:p w:rsidR="003F4EFA" w:rsidRPr="00EB1714" w:rsidRDefault="003F4EFA" w:rsidP="00EB1714">
      <w:pPr>
        <w:jc w:val="center"/>
        <w:rPr>
          <w:rFonts w:ascii="Times New Roman" w:hAnsi="Times New Roman" w:cs="Times New Roman"/>
          <w:b/>
        </w:rPr>
      </w:pPr>
      <w:r w:rsidRPr="00EB1714">
        <w:rPr>
          <w:rFonts w:ascii="Times New Roman" w:hAnsi="Times New Roman" w:cs="Times New Roman"/>
          <w:b/>
        </w:rPr>
        <w:t>JUDGMENT</w:t>
      </w:r>
    </w:p>
    <w:p w:rsidR="003F4EFA" w:rsidRPr="00EB1714" w:rsidRDefault="003F4EFA" w:rsidP="003F4EFA">
      <w:pPr>
        <w:jc w:val="both"/>
        <w:rPr>
          <w:rFonts w:ascii="Times New Roman" w:hAnsi="Times New Roman" w:cs="Times New Roman"/>
          <w:b/>
        </w:rPr>
      </w:pPr>
    </w:p>
    <w:p w:rsidR="003F4EFA" w:rsidRPr="00EB1714" w:rsidRDefault="003F4EFA" w:rsidP="003F4EFA">
      <w:pPr>
        <w:jc w:val="both"/>
        <w:rPr>
          <w:rFonts w:ascii="Times New Roman" w:hAnsi="Times New Roman" w:cs="Times New Roman"/>
          <w:b/>
        </w:rPr>
      </w:pPr>
      <w:r w:rsidRPr="00EB1714">
        <w:rPr>
          <w:rFonts w:ascii="Times New Roman" w:hAnsi="Times New Roman" w:cs="Times New Roman"/>
          <w:b/>
        </w:rPr>
        <w:t>A.K.Sikri, J.</w:t>
      </w:r>
      <w:r w:rsidR="00EB1714">
        <w:rPr>
          <w:rFonts w:ascii="Times New Roman" w:hAnsi="Times New Roman" w:cs="Times New Roman"/>
          <w:b/>
        </w:rPr>
        <w:t>,</w:t>
      </w:r>
    </w:p>
    <w:p w:rsidR="003F4EFA" w:rsidRDefault="003F4EFA" w:rsidP="003F4EFA">
      <w:pPr>
        <w:jc w:val="both"/>
        <w:rPr>
          <w:rFonts w:ascii="Times New Roman" w:hAnsi="Times New Roman" w:cs="Times New Roman"/>
        </w:rPr>
      </w:pPr>
    </w:p>
    <w:p w:rsidR="003F4EFA" w:rsidRPr="003F4EFA" w:rsidRDefault="003F4EFA" w:rsidP="003F4EFA">
      <w:pPr>
        <w:jc w:val="both"/>
        <w:rPr>
          <w:rFonts w:ascii="Times New Roman" w:hAnsi="Times New Roman" w:cs="Times New Roman"/>
        </w:rPr>
      </w:pPr>
      <w:r>
        <w:rPr>
          <w:rFonts w:ascii="Times New Roman" w:hAnsi="Times New Roman" w:cs="Times New Roman"/>
        </w:rPr>
        <w:t>SLP</w:t>
      </w:r>
      <w:r w:rsidRPr="003F4EFA">
        <w:rPr>
          <w:rFonts w:ascii="Times New Roman" w:hAnsi="Times New Roman" w:cs="Times New Roman"/>
        </w:rPr>
        <w:t>(C</w:t>
      </w:r>
      <w:r>
        <w:rPr>
          <w:rFonts w:ascii="Times New Roman" w:hAnsi="Times New Roman" w:cs="Times New Roman"/>
        </w:rPr>
        <w:t>ivil)No.22790 of 2013)</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1. </w:t>
      </w:r>
      <w:r w:rsidR="003F4EFA" w:rsidRPr="003F4EFA">
        <w:rPr>
          <w:rFonts w:ascii="Times New Roman" w:hAnsi="Times New Roman" w:cs="Times New Roman"/>
        </w:rPr>
        <w:t>Leave granted.</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2. </w:t>
      </w:r>
      <w:r w:rsidR="003F4EFA" w:rsidRPr="003F4EFA">
        <w:rPr>
          <w:rFonts w:ascii="Times New Roman" w:hAnsi="Times New Roman" w:cs="Times New Roman"/>
        </w:rPr>
        <w:t xml:space="preserve">In a motor accident, the appellant herein suffered physical injuries. It happened on July 08, 2006 when the appellant was going on a scooter to Gram Pendri in the State of Chhattisgarh. When he reached near Gram Pendri, a Hyundai Getz car bearing Registration No. MH 12 CR 6917, driven by respondent No.1, hit the scooter, as a result of which the appellant fell down and sustained fractures on both the legs, thereby suffering permanent disability to some extent. He filed claim for compensation against the respondents before the Motor Accidents Claims Tribunal (MACT), Rajnandgaon, Chhattisgarh. The MACT, vide </w:t>
      </w:r>
      <w:r>
        <w:rPr>
          <w:rFonts w:ascii="Times New Roman" w:hAnsi="Times New Roman" w:cs="Times New Roman"/>
        </w:rPr>
        <w:t xml:space="preserve"> </w:t>
      </w:r>
      <w:r w:rsidR="003F4EFA" w:rsidRPr="003F4EFA">
        <w:rPr>
          <w:rFonts w:ascii="Times New Roman" w:hAnsi="Times New Roman" w:cs="Times New Roman"/>
        </w:rPr>
        <w:t>award dated May 05, 2009, granted him compensation in the sum of ^5,35,227, under the following heads:</w:t>
      </w:r>
    </w:p>
    <w:p w:rsidR="00EB1714" w:rsidRDefault="00EB1714" w:rsidP="003F4EFA">
      <w:pPr>
        <w:jc w:val="both"/>
        <w:rPr>
          <w:rFonts w:ascii="Times New Roman" w:hAnsi="Times New Roman" w:cs="Times New Roman"/>
        </w:rPr>
      </w:pPr>
    </w:p>
    <w:tbl>
      <w:tblPr>
        <w:tblStyle w:val="TableGrid"/>
        <w:tblW w:w="0" w:type="auto"/>
        <w:tblLook w:val="04A0"/>
      </w:tblPr>
      <w:tblGrid>
        <w:gridCol w:w="5778"/>
        <w:gridCol w:w="3798"/>
      </w:tblGrid>
      <w:tr w:rsidR="00EB1714" w:rsidTr="00EB1714">
        <w:tc>
          <w:tcPr>
            <w:tcW w:w="5778" w:type="dxa"/>
          </w:tcPr>
          <w:p w:rsidR="00EB1714" w:rsidRPr="00EB1714" w:rsidRDefault="00EB1714" w:rsidP="003F4EFA">
            <w:pPr>
              <w:jc w:val="both"/>
              <w:rPr>
                <w:rFonts w:ascii="Times New Roman" w:hAnsi="Times New Roman" w:cs="Times New Roman"/>
                <w:b/>
              </w:rPr>
            </w:pPr>
            <w:r w:rsidRPr="00EB1714">
              <w:rPr>
                <w:rFonts w:ascii="Times New Roman" w:hAnsi="Times New Roman" w:cs="Times New Roman"/>
                <w:b/>
              </w:rPr>
              <w:t>Head</w:t>
            </w:r>
          </w:p>
        </w:tc>
        <w:tc>
          <w:tcPr>
            <w:tcW w:w="3798" w:type="dxa"/>
          </w:tcPr>
          <w:p w:rsidR="00EB1714" w:rsidRPr="00EB1714" w:rsidRDefault="00EB1714" w:rsidP="003F4EFA">
            <w:pPr>
              <w:jc w:val="both"/>
              <w:rPr>
                <w:rFonts w:ascii="Times New Roman" w:hAnsi="Times New Roman" w:cs="Times New Roman"/>
                <w:b/>
              </w:rPr>
            </w:pPr>
            <w:r w:rsidRPr="00EB1714">
              <w:rPr>
                <w:rFonts w:ascii="Times New Roman" w:hAnsi="Times New Roman" w:cs="Times New Roman"/>
                <w:b/>
              </w:rPr>
              <w:t>Amount (in Rs.)</w:t>
            </w:r>
          </w:p>
        </w:tc>
      </w:tr>
      <w:tr w:rsidR="00EB1714" w:rsidTr="00EB1714">
        <w:tc>
          <w:tcPr>
            <w:tcW w:w="5778" w:type="dxa"/>
          </w:tcPr>
          <w:p w:rsidR="00EB1714" w:rsidRDefault="00EB1714" w:rsidP="003F4EFA">
            <w:pPr>
              <w:jc w:val="both"/>
              <w:rPr>
                <w:rFonts w:ascii="Times New Roman" w:hAnsi="Times New Roman" w:cs="Times New Roman"/>
              </w:rPr>
            </w:pPr>
            <w:r w:rsidRPr="003F4EFA">
              <w:rPr>
                <w:rFonts w:ascii="Times New Roman" w:hAnsi="Times New Roman" w:cs="Times New Roman"/>
              </w:rPr>
              <w:t>Medical &amp; Transport Expenses</w:t>
            </w:r>
            <w:r w:rsidRPr="003F4EFA">
              <w:rPr>
                <w:rFonts w:ascii="Times New Roman" w:hAnsi="Times New Roman" w:cs="Times New Roman"/>
              </w:rPr>
              <w:tab/>
              <w:t>-</w:t>
            </w:r>
          </w:p>
        </w:tc>
        <w:tc>
          <w:tcPr>
            <w:tcW w:w="3798" w:type="dxa"/>
          </w:tcPr>
          <w:p w:rsidR="00EB1714" w:rsidRDefault="00EB1714" w:rsidP="003F4EFA">
            <w:pPr>
              <w:jc w:val="both"/>
              <w:rPr>
                <w:rFonts w:ascii="Times New Roman" w:hAnsi="Times New Roman" w:cs="Times New Roman"/>
              </w:rPr>
            </w:pPr>
            <w:r w:rsidRPr="003F4EFA">
              <w:rPr>
                <w:rFonts w:ascii="Times New Roman" w:hAnsi="Times New Roman" w:cs="Times New Roman"/>
              </w:rPr>
              <w:t>3,10,227</w:t>
            </w:r>
          </w:p>
        </w:tc>
      </w:tr>
      <w:tr w:rsidR="00EB1714" w:rsidTr="00EB1714">
        <w:tc>
          <w:tcPr>
            <w:tcW w:w="5778" w:type="dxa"/>
          </w:tcPr>
          <w:p w:rsidR="00EB1714" w:rsidRDefault="00EB1714" w:rsidP="003F4EFA">
            <w:pPr>
              <w:jc w:val="both"/>
              <w:rPr>
                <w:rFonts w:ascii="Times New Roman" w:hAnsi="Times New Roman" w:cs="Times New Roman"/>
              </w:rPr>
            </w:pPr>
            <w:r w:rsidRPr="003F4EFA">
              <w:rPr>
                <w:rFonts w:ascii="Times New Roman" w:hAnsi="Times New Roman" w:cs="Times New Roman"/>
              </w:rPr>
              <w:t>Loss of Income</w:t>
            </w:r>
          </w:p>
        </w:tc>
        <w:tc>
          <w:tcPr>
            <w:tcW w:w="3798" w:type="dxa"/>
          </w:tcPr>
          <w:p w:rsidR="00EB1714" w:rsidRDefault="00EB1714" w:rsidP="003F4EFA">
            <w:pPr>
              <w:jc w:val="both"/>
              <w:rPr>
                <w:rFonts w:ascii="Times New Roman" w:hAnsi="Times New Roman" w:cs="Times New Roman"/>
              </w:rPr>
            </w:pPr>
            <w:r w:rsidRPr="003F4EFA">
              <w:rPr>
                <w:rFonts w:ascii="Times New Roman" w:hAnsi="Times New Roman" w:cs="Times New Roman"/>
              </w:rPr>
              <w:t>1,00,000</w:t>
            </w:r>
          </w:p>
        </w:tc>
      </w:tr>
      <w:tr w:rsidR="00EB1714" w:rsidTr="00EB1714">
        <w:tc>
          <w:tcPr>
            <w:tcW w:w="5778" w:type="dxa"/>
          </w:tcPr>
          <w:p w:rsidR="00EB1714" w:rsidRDefault="00EB1714" w:rsidP="003F4EFA">
            <w:pPr>
              <w:jc w:val="both"/>
              <w:rPr>
                <w:rFonts w:ascii="Times New Roman" w:hAnsi="Times New Roman" w:cs="Times New Roman"/>
              </w:rPr>
            </w:pPr>
            <w:r w:rsidRPr="003F4EFA">
              <w:rPr>
                <w:rFonts w:ascii="Times New Roman" w:hAnsi="Times New Roman" w:cs="Times New Roman"/>
              </w:rPr>
              <w:t>Mental &amp; Physical agony</w:t>
            </w:r>
          </w:p>
        </w:tc>
        <w:tc>
          <w:tcPr>
            <w:tcW w:w="3798" w:type="dxa"/>
          </w:tcPr>
          <w:p w:rsidR="00EB1714" w:rsidRDefault="00EB1714" w:rsidP="003F4EFA">
            <w:pPr>
              <w:jc w:val="both"/>
              <w:rPr>
                <w:rFonts w:ascii="Times New Roman" w:hAnsi="Times New Roman" w:cs="Times New Roman"/>
              </w:rPr>
            </w:pPr>
            <w:r w:rsidRPr="003F4EFA">
              <w:rPr>
                <w:rFonts w:ascii="Times New Roman" w:hAnsi="Times New Roman" w:cs="Times New Roman"/>
              </w:rPr>
              <w:t>30,000</w:t>
            </w:r>
          </w:p>
        </w:tc>
      </w:tr>
      <w:tr w:rsidR="00EB1714" w:rsidTr="00EB1714">
        <w:tc>
          <w:tcPr>
            <w:tcW w:w="5778" w:type="dxa"/>
          </w:tcPr>
          <w:p w:rsidR="00EB1714" w:rsidRPr="003F4EFA" w:rsidRDefault="00EB1714" w:rsidP="003F4EFA">
            <w:pPr>
              <w:jc w:val="both"/>
              <w:rPr>
                <w:rFonts w:ascii="Times New Roman" w:hAnsi="Times New Roman" w:cs="Times New Roman"/>
              </w:rPr>
            </w:pPr>
            <w:r w:rsidRPr="003F4EFA">
              <w:rPr>
                <w:rFonts w:ascii="Times New Roman" w:hAnsi="Times New Roman" w:cs="Times New Roman"/>
              </w:rPr>
              <w:t>Removal of rod inserted in right</w:t>
            </w:r>
            <w:r>
              <w:rPr>
                <w:rFonts w:ascii="Times New Roman" w:hAnsi="Times New Roman" w:cs="Times New Roman"/>
              </w:rPr>
              <w:t xml:space="preserve"> </w:t>
            </w:r>
            <w:r w:rsidRPr="003F4EFA">
              <w:rPr>
                <w:rFonts w:ascii="Times New Roman" w:hAnsi="Times New Roman" w:cs="Times New Roman"/>
              </w:rPr>
              <w:t>leg</w:t>
            </w:r>
          </w:p>
        </w:tc>
        <w:tc>
          <w:tcPr>
            <w:tcW w:w="3798" w:type="dxa"/>
          </w:tcPr>
          <w:p w:rsidR="00EB1714" w:rsidRPr="003F4EFA" w:rsidRDefault="00EB1714" w:rsidP="003F4EFA">
            <w:pPr>
              <w:jc w:val="both"/>
              <w:rPr>
                <w:rFonts w:ascii="Times New Roman" w:hAnsi="Times New Roman" w:cs="Times New Roman"/>
              </w:rPr>
            </w:pPr>
            <w:r w:rsidRPr="003F4EFA">
              <w:rPr>
                <w:rFonts w:ascii="Times New Roman" w:hAnsi="Times New Roman" w:cs="Times New Roman"/>
              </w:rPr>
              <w:t>25,000</w:t>
            </w:r>
          </w:p>
        </w:tc>
      </w:tr>
      <w:tr w:rsidR="00EB1714" w:rsidTr="00EB1714">
        <w:tc>
          <w:tcPr>
            <w:tcW w:w="5778" w:type="dxa"/>
          </w:tcPr>
          <w:p w:rsidR="00EB1714" w:rsidRPr="003F4EFA" w:rsidRDefault="00EB1714" w:rsidP="003F4EFA">
            <w:pPr>
              <w:jc w:val="both"/>
              <w:rPr>
                <w:rFonts w:ascii="Times New Roman" w:hAnsi="Times New Roman" w:cs="Times New Roman"/>
              </w:rPr>
            </w:pPr>
            <w:r w:rsidRPr="003F4EFA">
              <w:rPr>
                <w:rFonts w:ascii="Times New Roman" w:hAnsi="Times New Roman" w:cs="Times New Roman"/>
              </w:rPr>
              <w:t>Permanent disability to some</w:t>
            </w:r>
            <w:r>
              <w:rPr>
                <w:rFonts w:ascii="Times New Roman" w:hAnsi="Times New Roman" w:cs="Times New Roman"/>
              </w:rPr>
              <w:t xml:space="preserve"> </w:t>
            </w:r>
            <w:r w:rsidRPr="003F4EFA">
              <w:rPr>
                <w:rFonts w:ascii="Times New Roman" w:hAnsi="Times New Roman" w:cs="Times New Roman"/>
              </w:rPr>
              <w:t>extent</w:t>
            </w:r>
          </w:p>
        </w:tc>
        <w:tc>
          <w:tcPr>
            <w:tcW w:w="3798" w:type="dxa"/>
          </w:tcPr>
          <w:p w:rsidR="00EB1714" w:rsidRPr="003F4EFA" w:rsidRDefault="00EB1714" w:rsidP="003F4EFA">
            <w:pPr>
              <w:jc w:val="both"/>
              <w:rPr>
                <w:rFonts w:ascii="Times New Roman" w:hAnsi="Times New Roman" w:cs="Times New Roman"/>
              </w:rPr>
            </w:pPr>
            <w:r w:rsidRPr="003F4EFA">
              <w:rPr>
                <w:rFonts w:ascii="Times New Roman" w:hAnsi="Times New Roman" w:cs="Times New Roman"/>
              </w:rPr>
              <w:t>70,000</w:t>
            </w:r>
          </w:p>
        </w:tc>
      </w:tr>
      <w:tr w:rsidR="00EB1714" w:rsidTr="00EB1714">
        <w:tc>
          <w:tcPr>
            <w:tcW w:w="5778" w:type="dxa"/>
          </w:tcPr>
          <w:p w:rsidR="00EB1714" w:rsidRPr="003F4EFA" w:rsidRDefault="00EB1714" w:rsidP="003F4EFA">
            <w:pPr>
              <w:jc w:val="both"/>
              <w:rPr>
                <w:rFonts w:ascii="Times New Roman" w:hAnsi="Times New Roman" w:cs="Times New Roman"/>
              </w:rPr>
            </w:pPr>
            <w:r w:rsidRPr="003F4EFA">
              <w:rPr>
                <w:rFonts w:ascii="Times New Roman" w:hAnsi="Times New Roman" w:cs="Times New Roman"/>
              </w:rPr>
              <w:t>TOTAL</w:t>
            </w:r>
          </w:p>
        </w:tc>
        <w:tc>
          <w:tcPr>
            <w:tcW w:w="3798" w:type="dxa"/>
          </w:tcPr>
          <w:p w:rsidR="00EB1714" w:rsidRPr="003F4EFA" w:rsidRDefault="00EB1714" w:rsidP="003F4EFA">
            <w:pPr>
              <w:jc w:val="both"/>
              <w:rPr>
                <w:rFonts w:ascii="Times New Roman" w:hAnsi="Times New Roman" w:cs="Times New Roman"/>
              </w:rPr>
            </w:pPr>
            <w:r w:rsidRPr="003F4EFA">
              <w:rPr>
                <w:rFonts w:ascii="Times New Roman" w:hAnsi="Times New Roman" w:cs="Times New Roman"/>
              </w:rPr>
              <w:t>5,35,227</w:t>
            </w:r>
          </w:p>
        </w:tc>
      </w:tr>
    </w:tbl>
    <w:p w:rsidR="00EB1714" w:rsidRDefault="00EB1714" w:rsidP="003F4EFA">
      <w:pPr>
        <w:jc w:val="both"/>
        <w:rPr>
          <w:rFonts w:ascii="Times New Roman" w:hAnsi="Times New Roman" w:cs="Times New Roman"/>
        </w:rPr>
      </w:pPr>
    </w:p>
    <w:p w:rsidR="003F4EFA" w:rsidRPr="003F4EFA" w:rsidRDefault="00EB1714" w:rsidP="003F4EFA">
      <w:pPr>
        <w:jc w:val="both"/>
        <w:rPr>
          <w:rFonts w:ascii="Times New Roman" w:hAnsi="Times New Roman" w:cs="Times New Roman"/>
        </w:rPr>
      </w:pPr>
      <w:r>
        <w:rPr>
          <w:rFonts w:ascii="Times New Roman" w:hAnsi="Times New Roman" w:cs="Times New Roman"/>
        </w:rPr>
        <w:t xml:space="preserve">3. </w:t>
      </w:r>
      <w:r w:rsidR="003F4EFA" w:rsidRPr="003F4EFA">
        <w:rPr>
          <w:rFonts w:ascii="Times New Roman" w:hAnsi="Times New Roman" w:cs="Times New Roman"/>
        </w:rPr>
        <w:t>Not satisfied with the quantum of compensation, the appellant</w:t>
      </w:r>
      <w:r>
        <w:rPr>
          <w:rFonts w:ascii="Times New Roman" w:hAnsi="Times New Roman" w:cs="Times New Roman"/>
        </w:rPr>
        <w:t xml:space="preserve"> </w:t>
      </w:r>
      <w:r w:rsidR="003F4EFA" w:rsidRPr="003F4EFA">
        <w:rPr>
          <w:rFonts w:ascii="Times New Roman" w:hAnsi="Times New Roman" w:cs="Times New Roman"/>
        </w:rPr>
        <w:t>approached the High Court by way of appeal under Section 173 of the</w:t>
      </w:r>
      <w:r>
        <w:rPr>
          <w:rFonts w:ascii="Times New Roman" w:hAnsi="Times New Roman" w:cs="Times New Roman"/>
        </w:rPr>
        <w:t xml:space="preserve"> </w:t>
      </w:r>
      <w:r w:rsidR="003F4EFA" w:rsidRPr="003F4EFA">
        <w:rPr>
          <w:rFonts w:ascii="Times New Roman" w:hAnsi="Times New Roman" w:cs="Times New Roman"/>
        </w:rPr>
        <w:t>Motor Vehicles Act, 1988 (for short, the 'Act'). The High Court has, vide</w:t>
      </w:r>
      <w:r>
        <w:rPr>
          <w:rFonts w:ascii="Times New Roman" w:hAnsi="Times New Roman" w:cs="Times New Roman"/>
        </w:rPr>
        <w:t xml:space="preserve"> </w:t>
      </w:r>
      <w:r w:rsidR="003F4EFA" w:rsidRPr="003F4EFA">
        <w:rPr>
          <w:rFonts w:ascii="Times New Roman" w:hAnsi="Times New Roman" w:cs="Times New Roman"/>
        </w:rPr>
        <w:t>impugned judgment, enhanced the compensation to ^6,35,000. The</w:t>
      </w:r>
    </w:p>
    <w:p w:rsidR="003F4EFA" w:rsidRDefault="003F4EFA" w:rsidP="003F4EFA">
      <w:pPr>
        <w:jc w:val="both"/>
        <w:rPr>
          <w:rFonts w:ascii="Times New Roman" w:hAnsi="Times New Roman" w:cs="Times New Roman"/>
        </w:rPr>
      </w:pPr>
      <w:r w:rsidRPr="003F4EFA">
        <w:rPr>
          <w:rFonts w:ascii="Times New Roman" w:hAnsi="Times New Roman" w:cs="Times New Roman"/>
        </w:rPr>
        <w:lastRenderedPageBreak/>
        <w:t>High Court has not awarded compensation under different heads but has</w:t>
      </w:r>
      <w:r w:rsidR="00EB1714">
        <w:rPr>
          <w:rFonts w:ascii="Times New Roman" w:hAnsi="Times New Roman" w:cs="Times New Roman"/>
        </w:rPr>
        <w:t xml:space="preserve"> </w:t>
      </w:r>
      <w:r w:rsidRPr="003F4EFA">
        <w:rPr>
          <w:rFonts w:ascii="Times New Roman" w:hAnsi="Times New Roman" w:cs="Times New Roman"/>
        </w:rPr>
        <w:t>deemed it proper to award lump sum compensation in the aforesaid</w:t>
      </w:r>
      <w:r w:rsidR="00EB1714">
        <w:rPr>
          <w:rFonts w:ascii="Times New Roman" w:hAnsi="Times New Roman" w:cs="Times New Roman"/>
        </w:rPr>
        <w:t xml:space="preserve"> </w:t>
      </w:r>
      <w:r w:rsidRPr="003F4EFA">
        <w:rPr>
          <w:rFonts w:ascii="Times New Roman" w:hAnsi="Times New Roman" w:cs="Times New Roman"/>
        </w:rPr>
        <w:t>amount. Relevant discussion in this behalf can be traced to paras 8 and</w:t>
      </w:r>
      <w:r w:rsidR="00EB1714">
        <w:rPr>
          <w:rFonts w:ascii="Times New Roman" w:hAnsi="Times New Roman" w:cs="Times New Roman"/>
        </w:rPr>
        <w:t xml:space="preserve"> </w:t>
      </w:r>
      <w:r w:rsidRPr="003F4EFA">
        <w:rPr>
          <w:rFonts w:ascii="Times New Roman" w:hAnsi="Times New Roman" w:cs="Times New Roman"/>
        </w:rPr>
        <w:t>9 of the impugned judgment, which reads as under:</w:t>
      </w:r>
    </w:p>
    <w:p w:rsidR="00EB1714" w:rsidRPr="003F4EFA" w:rsidRDefault="00EB1714" w:rsidP="003F4EFA">
      <w:pPr>
        <w:jc w:val="both"/>
        <w:rPr>
          <w:rFonts w:ascii="Times New Roman" w:hAnsi="Times New Roman" w:cs="Times New Roman"/>
        </w:rPr>
      </w:pPr>
    </w:p>
    <w:p w:rsidR="003F4EFA" w:rsidRPr="003F4EFA" w:rsidRDefault="003F4EFA" w:rsidP="00EB1714">
      <w:pPr>
        <w:ind w:left="720"/>
        <w:jc w:val="both"/>
        <w:rPr>
          <w:rFonts w:ascii="Times New Roman" w:hAnsi="Times New Roman" w:cs="Times New Roman"/>
        </w:rPr>
      </w:pPr>
      <w:r w:rsidRPr="003F4EFA">
        <w:rPr>
          <w:rFonts w:ascii="Times New Roman" w:hAnsi="Times New Roman" w:cs="Times New Roman" w:hint="eastAsia"/>
        </w:rPr>
        <w:t>“</w:t>
      </w:r>
      <w:r w:rsidRPr="003F4EFA">
        <w:rPr>
          <w:rFonts w:ascii="Times New Roman" w:hAnsi="Times New Roman" w:cs="Times New Roman"/>
        </w:rPr>
        <w:t>(8) We have gone through the evidence adduced by the claimant on the issue of injury sustained by him. In our opinion, taking into consideration the nature of injury, the permanent disability occurred on the body of the appellant (claimant) to some extent, as a result of which he claims to be not as fit as he was prior to accident in his day-to-day work, resulting in reducing his capacity to do some extent of work, the expenditure incurred in receiving medical treatment in actual, the loss and mental pain suffered due to his involvement in accident we consider it proper to enhance in lump sum the compensation from Rs.5,35,227/- to Rs.6,35,000/-. In other words, in our view, the claimant is held entitled for a total sum of Rs.6,35,000/- by way of compensation for the injuries</w:t>
      </w:r>
      <w:r w:rsidR="00EB1714">
        <w:rPr>
          <w:rFonts w:ascii="Times New Roman" w:hAnsi="Times New Roman" w:cs="Times New Roman"/>
        </w:rPr>
        <w:t xml:space="preserve"> </w:t>
      </w:r>
      <w:r w:rsidRPr="003F4EFA">
        <w:rPr>
          <w:rFonts w:ascii="Times New Roman" w:hAnsi="Times New Roman" w:cs="Times New Roman"/>
        </w:rPr>
        <w:t>sustained by him.</w:t>
      </w:r>
    </w:p>
    <w:p w:rsidR="00EB1714" w:rsidRDefault="00EB1714" w:rsidP="00EB1714">
      <w:pPr>
        <w:ind w:left="720"/>
        <w:jc w:val="both"/>
        <w:rPr>
          <w:rFonts w:ascii="Times New Roman" w:hAnsi="Times New Roman" w:cs="Times New Roman"/>
        </w:rPr>
      </w:pPr>
    </w:p>
    <w:p w:rsidR="003F4EFA" w:rsidRDefault="003F4EFA" w:rsidP="00EB1714">
      <w:pPr>
        <w:ind w:left="720"/>
        <w:jc w:val="both"/>
        <w:rPr>
          <w:rFonts w:ascii="Times New Roman" w:hAnsi="Times New Roman" w:cs="Times New Roman"/>
        </w:rPr>
      </w:pPr>
      <w:r w:rsidRPr="003F4EFA">
        <w:rPr>
          <w:rFonts w:ascii="Times New Roman" w:hAnsi="Times New Roman" w:cs="Times New Roman"/>
        </w:rPr>
        <w:t>(9) In our considered opinion, due to injuries in both legs which is also duly proved in evidence by the claimant and his doctor, he cannot freely move and attend to his duties. His movements are restricted to a large extent and that too in young age. It is for all these reasons, we feel that the Tribunal had awarded a less compensation under this head and hence, some enhancement under the head of pain and suffering and also under the head of permanent partial disability and loss of earning capacity is called for. This enhancement figure is arrived at taking into consideration all relevant factors.</w:t>
      </w:r>
      <w:r w:rsidRPr="003F4EFA">
        <w:rPr>
          <w:rFonts w:ascii="Times New Roman" w:hAnsi="Times New Roman" w:cs="Times New Roman" w:hint="eastAsia"/>
        </w:rPr>
        <w:t>”</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4. </w:t>
      </w:r>
      <w:r w:rsidR="003F4EFA" w:rsidRPr="003F4EFA">
        <w:rPr>
          <w:rFonts w:ascii="Times New Roman" w:hAnsi="Times New Roman" w:cs="Times New Roman"/>
        </w:rPr>
        <w:t>The appellant is not satisfied with the aforesaid approach and the manner in which the compensation is awarded. According to him, had the Court applied proper provision and principles laid down under the Act, the appellant would have been entitled to much more compensation.</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5. </w:t>
      </w:r>
      <w:r w:rsidR="003F4EFA" w:rsidRPr="003F4EFA">
        <w:rPr>
          <w:rFonts w:ascii="Times New Roman" w:hAnsi="Times New Roman" w:cs="Times New Roman"/>
        </w:rPr>
        <w:t>We may state, at the outset, that the MACT recorded a specific finding that the accident took place due to rash and negligent driving of car by respondent No.1 which hit the scooter of the appellant. Respondent No.1 did not challenge the finding of the MACT and, therefore, this aspect has attained finality and we need not go into the same. The dispute, therefore, pertains only to the quantum of the compensation that has to be awarded. Few facts relevant for resolving the dispute, which appear on the record, are as under:</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6. </w:t>
      </w:r>
      <w:r w:rsidR="003F4EFA" w:rsidRPr="003F4EFA">
        <w:rPr>
          <w:rFonts w:ascii="Times New Roman" w:hAnsi="Times New Roman" w:cs="Times New Roman"/>
        </w:rPr>
        <w:t xml:space="preserve">At the time of the accident, the appellant was aged about 30 years. He was working as a Chartered Accountant. The appellant had produced evidence to the effect that he had worked as a Chartered Accountant for various institutions for which he was paid professional fee. He had produced statements in this behalf (Exhibits P-195 to P-208) and on that basis he claimed that his monthly income was ^34,600. He also proved on record the income tax return for the year 2006-2007 (Exhibit P-194). The certificates which were produced by the appellant showing the professional fee which he had received was not accepted by the MACT on the ground that he had started the business in the month of March 2006 and there </w:t>
      </w:r>
      <w:r w:rsidR="003F4EFA" w:rsidRPr="003F4EFA">
        <w:rPr>
          <w:rFonts w:ascii="Times New Roman" w:hAnsi="Times New Roman" w:cs="Times New Roman"/>
        </w:rPr>
        <w:lastRenderedPageBreak/>
        <w:t>was enough professional competition in the said field. Moreover, the person issuing the certificate had not been produced. On this basis, the Tribunal assessed the monthly income of the appellant at ^10,000.</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7. </w:t>
      </w:r>
      <w:r w:rsidR="003F4EFA" w:rsidRPr="003F4EFA">
        <w:rPr>
          <w:rFonts w:ascii="Times New Roman" w:hAnsi="Times New Roman" w:cs="Times New Roman"/>
        </w:rPr>
        <w:t xml:space="preserve"> Insofar as injuries suffered by the appellant in the said accident are concerned, he had stated that his health had impaired drastically and lungs infected because of which he was admitted in the Intensive Care Unit and he was kept on ventilator and was operated thrice. He had problem in climbing stairs, running, trouble of back while sleeping, etc. A rod is planted in his leg. Because of all this he has suffered 70% permanent disability, apart from mental and physical agony and the said disability is going to give him frustration and disappointment towards life. He pleaded that this disability has affected his efficiency in work as well resulting in loss of future income as well.</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8. </w:t>
      </w:r>
      <w:r w:rsidR="003F4EFA" w:rsidRPr="003F4EFA">
        <w:rPr>
          <w:rFonts w:ascii="Times New Roman" w:hAnsi="Times New Roman" w:cs="Times New Roman"/>
        </w:rPr>
        <w:t>As already noticed above, the MACT granted him compensation by reimbursing expenses incurred towards treatment and transportation, loss of income, mental and physical agony and expenses for removing the rod planted in his leg. The appellant contends that compensation awarded for mental agony and physical suffering is too less. That apart, his main grievanc</w:t>
      </w:r>
      <w:r>
        <w:rPr>
          <w:rFonts w:ascii="Times New Roman" w:hAnsi="Times New Roman" w:cs="Times New Roman"/>
        </w:rPr>
        <w:t xml:space="preserve">e is that only a paltry sum of </w:t>
      </w:r>
      <w:r w:rsidR="003F4EFA" w:rsidRPr="003F4EFA">
        <w:rPr>
          <w:rFonts w:ascii="Times New Roman" w:hAnsi="Times New Roman" w:cs="Times New Roman"/>
        </w:rPr>
        <w:t>70,000 is awarded by the MACT for permanent disability suffered by him, which is too inadequate.</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9. </w:t>
      </w:r>
      <w:r w:rsidR="003F4EFA" w:rsidRPr="003F4EFA">
        <w:rPr>
          <w:rFonts w:ascii="Times New Roman" w:hAnsi="Times New Roman" w:cs="Times New Roman"/>
        </w:rPr>
        <w:t xml:space="preserve"> We may note in this behalf that the MACT, though accepted the aforesaid injuries and physical incapacity suffered by the appellant, was of the opinion that even when it was not possible for the appellant to do work like a healthy person, looking to the nature of the said injuries, insofar as work of a Chartered Accountant is concerned, he could still perform it properly and there was no impairment therein. For this reason, the MACT refused to award compensation to the appellant by applying the principle of multiplier based on permanent disability and granted a lump sum amount of ^70,000. The High Court has not gone into this aspect specifically.</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10. </w:t>
      </w:r>
      <w:r w:rsidR="003F4EFA" w:rsidRPr="003F4EFA">
        <w:rPr>
          <w:rFonts w:ascii="Times New Roman" w:hAnsi="Times New Roman" w:cs="Times New Roman"/>
        </w:rPr>
        <w:t xml:space="preserve"> In this conspectus, the only argument advanced by the learned counsel for the appellant was that the appellant was entitled to the compensation on the basis of multiplier, as per the provisions of the Act, fur suffering permanent disability to the extent of 70% and there was no reason not to apply the said multiplier.</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11. </w:t>
      </w:r>
      <w:r w:rsidR="003F4EFA" w:rsidRPr="003F4EFA">
        <w:rPr>
          <w:rFonts w:ascii="Times New Roman" w:hAnsi="Times New Roman" w:cs="Times New Roman"/>
        </w:rPr>
        <w:t xml:space="preserve"> Learned counsel for the respondent, on the other hand, made an endeavour to justify the approach of the MACT with the submission that when the injuries suffered by him, even resulting in 70% permanent disability, had no adverse affect on the working of the appellant, who was a Chartered Accountant, he was not entitled to have the compensation computed by invoking the principle of multiplier.</w:t>
      </w:r>
    </w:p>
    <w:p w:rsidR="00EB1714" w:rsidRPr="003F4EFA" w:rsidRDefault="00EB1714" w:rsidP="003F4EFA">
      <w:pPr>
        <w:jc w:val="both"/>
        <w:rPr>
          <w:rFonts w:ascii="Times New Roman" w:hAnsi="Times New Roman" w:cs="Times New Roman"/>
        </w:rPr>
      </w:pPr>
    </w:p>
    <w:p w:rsidR="003F4EFA" w:rsidRPr="003F4EFA" w:rsidRDefault="00EB1714" w:rsidP="003F4EFA">
      <w:pPr>
        <w:jc w:val="both"/>
        <w:rPr>
          <w:rFonts w:ascii="Times New Roman" w:hAnsi="Times New Roman" w:cs="Times New Roman"/>
        </w:rPr>
      </w:pPr>
      <w:r>
        <w:rPr>
          <w:rFonts w:ascii="Times New Roman" w:hAnsi="Times New Roman" w:cs="Times New Roman"/>
        </w:rPr>
        <w:t xml:space="preserve">12. </w:t>
      </w:r>
      <w:r w:rsidR="003F4EFA" w:rsidRPr="003F4EFA">
        <w:rPr>
          <w:rFonts w:ascii="Times New Roman" w:hAnsi="Times New Roman" w:cs="Times New Roman"/>
        </w:rPr>
        <w:t xml:space="preserve"> We may observe at the outset that it is now a settled principle,</w:t>
      </w:r>
      <w:r>
        <w:rPr>
          <w:rFonts w:ascii="Times New Roman" w:hAnsi="Times New Roman" w:cs="Times New Roman"/>
        </w:rPr>
        <w:t xml:space="preserve"> </w:t>
      </w:r>
      <w:r w:rsidR="003F4EFA" w:rsidRPr="003F4EFA">
        <w:rPr>
          <w:rFonts w:ascii="Times New Roman" w:hAnsi="Times New Roman" w:cs="Times New Roman"/>
        </w:rPr>
        <w:t>repeatedly stated and restated time and again by this Court, that in</w:t>
      </w:r>
      <w:r>
        <w:rPr>
          <w:rFonts w:ascii="Times New Roman" w:hAnsi="Times New Roman" w:cs="Times New Roman"/>
        </w:rPr>
        <w:t xml:space="preserve"> </w:t>
      </w:r>
      <w:r w:rsidR="003F4EFA" w:rsidRPr="003F4EFA">
        <w:rPr>
          <w:rFonts w:ascii="Times New Roman" w:hAnsi="Times New Roman" w:cs="Times New Roman"/>
        </w:rPr>
        <w:t>awarding compensation the multiplier method is logically sound and</w:t>
      </w:r>
      <w:r>
        <w:rPr>
          <w:rFonts w:ascii="Times New Roman" w:hAnsi="Times New Roman" w:cs="Times New Roman"/>
        </w:rPr>
        <w:t xml:space="preserve"> </w:t>
      </w:r>
      <w:r w:rsidR="003F4EFA" w:rsidRPr="003F4EFA">
        <w:rPr>
          <w:rFonts w:ascii="Times New Roman" w:hAnsi="Times New Roman" w:cs="Times New Roman"/>
        </w:rPr>
        <w:t>legally well established. This method, known as 'principle of multiplier',</w:t>
      </w:r>
    </w:p>
    <w:p w:rsidR="003F4EFA" w:rsidRPr="003F4EFA" w:rsidRDefault="003F4EFA" w:rsidP="003F4EFA">
      <w:pPr>
        <w:jc w:val="both"/>
        <w:rPr>
          <w:rFonts w:ascii="Times New Roman" w:hAnsi="Times New Roman" w:cs="Times New Roman"/>
        </w:rPr>
      </w:pPr>
      <w:r w:rsidRPr="003F4EFA">
        <w:rPr>
          <w:rFonts w:ascii="Times New Roman" w:hAnsi="Times New Roman" w:cs="Times New Roman"/>
        </w:rPr>
        <w:lastRenderedPageBreak/>
        <w:t>has been evolved to quantify the loss of income as a result of death or</w:t>
      </w:r>
      <w:r w:rsidR="00EB1714">
        <w:rPr>
          <w:rFonts w:ascii="Times New Roman" w:hAnsi="Times New Roman" w:cs="Times New Roman"/>
        </w:rPr>
        <w:t xml:space="preserve"> </w:t>
      </w:r>
      <w:r w:rsidRPr="003F4EFA">
        <w:rPr>
          <w:rFonts w:ascii="Times New Roman" w:hAnsi="Times New Roman" w:cs="Times New Roman"/>
        </w:rPr>
        <w:t>permanent disability suffered in an accident. Recognition to this</w:t>
      </w:r>
      <w:r w:rsidR="00EB1714">
        <w:rPr>
          <w:rFonts w:ascii="Times New Roman" w:hAnsi="Times New Roman" w:cs="Times New Roman"/>
        </w:rPr>
        <w:t xml:space="preserve"> </w:t>
      </w:r>
      <w:r w:rsidRPr="003F4EFA">
        <w:rPr>
          <w:rFonts w:ascii="Times New Roman" w:hAnsi="Times New Roman" w:cs="Times New Roman"/>
        </w:rPr>
        <w:t>principle was given</w:t>
      </w:r>
      <w:r w:rsidR="00EB1714">
        <w:rPr>
          <w:rFonts w:ascii="Times New Roman" w:hAnsi="Times New Roman" w:cs="Times New Roman"/>
        </w:rPr>
        <w:t xml:space="preserve"> for the first time in the year </w:t>
      </w:r>
      <w:r w:rsidRPr="003F4EFA">
        <w:rPr>
          <w:rFonts w:ascii="Times New Roman" w:hAnsi="Times New Roman" w:cs="Times New Roman"/>
        </w:rPr>
        <w:t>1966 in the case of</w:t>
      </w:r>
      <w:r w:rsidR="00EB1714">
        <w:rPr>
          <w:rFonts w:ascii="Times New Roman" w:hAnsi="Times New Roman" w:cs="Times New Roman"/>
        </w:rPr>
        <w:t xml:space="preserve"> </w:t>
      </w:r>
      <w:r w:rsidRPr="00EB1714">
        <w:rPr>
          <w:rFonts w:ascii="Times New Roman" w:hAnsi="Times New Roman" w:cs="Times New Roman"/>
          <w:i/>
        </w:rPr>
        <w:t>Municipal Corporation of Delhi v. Subhagwanti &amp; Ors</w:t>
      </w:r>
      <w:r w:rsidR="00EB1714" w:rsidRPr="00EB1714">
        <w:rPr>
          <w:rFonts w:ascii="Times New Roman" w:hAnsi="Times New Roman" w:cs="Times New Roman"/>
          <w:i/>
          <w:sz w:val="20"/>
          <w:szCs w:val="20"/>
          <w:vertAlign w:val="superscript"/>
        </w:rPr>
        <w:t>1</w:t>
      </w:r>
      <w:r w:rsidR="00EB1714">
        <w:rPr>
          <w:rFonts w:ascii="Times New Roman" w:hAnsi="Times New Roman" w:cs="Times New Roman"/>
          <w:i/>
        </w:rPr>
        <w:t xml:space="preserve"> </w:t>
      </w:r>
      <w:r w:rsidRPr="003F4EFA">
        <w:rPr>
          <w:rFonts w:ascii="Times New Roman" w:hAnsi="Times New Roman" w:cs="Times New Roman"/>
        </w:rPr>
        <w:t>Again, in</w:t>
      </w:r>
    </w:p>
    <w:p w:rsidR="003F4EFA" w:rsidRDefault="003F4EFA" w:rsidP="003F4EFA">
      <w:pPr>
        <w:jc w:val="both"/>
        <w:rPr>
          <w:rFonts w:ascii="Times New Roman" w:hAnsi="Times New Roman" w:cs="Times New Roman"/>
        </w:rPr>
      </w:pPr>
      <w:r w:rsidRPr="00EB1714">
        <w:rPr>
          <w:rFonts w:ascii="Times New Roman" w:hAnsi="Times New Roman" w:cs="Times New Roman"/>
          <w:i/>
        </w:rPr>
        <w:t>Madhya Pradesh State Road Transport Corporation, Bairagarh,</w:t>
      </w:r>
      <w:r w:rsidR="00EB1714" w:rsidRPr="00EB1714">
        <w:rPr>
          <w:rFonts w:ascii="Times New Roman" w:hAnsi="Times New Roman" w:cs="Times New Roman"/>
          <w:i/>
        </w:rPr>
        <w:t xml:space="preserve"> </w:t>
      </w:r>
      <w:r w:rsidRPr="00EB1714">
        <w:rPr>
          <w:rFonts w:ascii="Times New Roman" w:hAnsi="Times New Roman" w:cs="Times New Roman"/>
          <w:i/>
        </w:rPr>
        <w:t>Bhopal v. Sudhakar &amp; Ors</w:t>
      </w:r>
      <w:r w:rsidR="00EB1714" w:rsidRPr="00EB1714">
        <w:rPr>
          <w:rFonts w:ascii="Times New Roman" w:hAnsi="Times New Roman" w:cs="Times New Roman"/>
          <w:sz w:val="20"/>
          <w:szCs w:val="20"/>
          <w:vertAlign w:val="superscript"/>
        </w:rPr>
        <w:t>2</w:t>
      </w:r>
      <w:r w:rsidRPr="003F4EFA">
        <w:rPr>
          <w:rFonts w:ascii="Times New Roman" w:hAnsi="Times New Roman" w:cs="Times New Roman"/>
        </w:rPr>
        <w:t>. , the Court referred to an English decision</w:t>
      </w:r>
      <w:r w:rsidR="00EB1714">
        <w:rPr>
          <w:rFonts w:ascii="Times New Roman" w:hAnsi="Times New Roman" w:cs="Times New Roman"/>
        </w:rPr>
        <w:t xml:space="preserve"> </w:t>
      </w:r>
      <w:r w:rsidRPr="003F4EFA">
        <w:rPr>
          <w:rFonts w:ascii="Times New Roman" w:hAnsi="Times New Roman" w:cs="Times New Roman"/>
        </w:rPr>
        <w:t>while emphasising the import of this principle in the following manner:</w:t>
      </w:r>
    </w:p>
    <w:p w:rsidR="00EB1714" w:rsidRPr="003F4EFA" w:rsidRDefault="00EB1714" w:rsidP="003F4EFA">
      <w:pPr>
        <w:jc w:val="both"/>
        <w:rPr>
          <w:rFonts w:ascii="Times New Roman" w:hAnsi="Times New Roman" w:cs="Times New Roman"/>
        </w:rPr>
      </w:pPr>
    </w:p>
    <w:p w:rsidR="003F4EFA" w:rsidRPr="003F4EFA" w:rsidRDefault="003F4EFA" w:rsidP="00EB1714">
      <w:pPr>
        <w:ind w:left="720"/>
        <w:jc w:val="both"/>
        <w:rPr>
          <w:rFonts w:ascii="Times New Roman" w:hAnsi="Times New Roman" w:cs="Times New Roman"/>
        </w:rPr>
      </w:pPr>
      <w:r w:rsidRPr="003F4EFA">
        <w:rPr>
          <w:rFonts w:ascii="Times New Roman" w:hAnsi="Times New Roman" w:cs="Times New Roman" w:hint="eastAsia"/>
        </w:rPr>
        <w:t>“</w:t>
      </w:r>
      <w:r w:rsidRPr="003F4EFA">
        <w:rPr>
          <w:rFonts w:ascii="Times New Roman" w:hAnsi="Times New Roman" w:cs="Times New Roman"/>
        </w:rPr>
        <w:t xml:space="preserve">4. A method of assessing damages, usually followed in England, as appears from </w:t>
      </w:r>
      <w:r w:rsidRPr="00EB1714">
        <w:rPr>
          <w:rFonts w:ascii="Times New Roman" w:hAnsi="Times New Roman" w:cs="Times New Roman"/>
          <w:i/>
        </w:rPr>
        <w:t>Mallet v. McMonagle</w:t>
      </w:r>
      <w:r w:rsidR="00EB1714" w:rsidRPr="00EB1714">
        <w:rPr>
          <w:rFonts w:ascii="Times New Roman" w:hAnsi="Times New Roman" w:cs="Times New Roman"/>
          <w:sz w:val="20"/>
          <w:szCs w:val="20"/>
          <w:vertAlign w:val="superscript"/>
        </w:rPr>
        <w:t>3</w:t>
      </w:r>
      <w:r w:rsidRPr="003F4EFA">
        <w:rPr>
          <w:rFonts w:ascii="Times New Roman" w:hAnsi="Times New Roman" w:cs="Times New Roman"/>
        </w:rPr>
        <w:t xml:space="preserve"> , is to calculate the net pecuniary loss upon an annual basis and to </w:t>
      </w:r>
      <w:r w:rsidRPr="003F4EFA">
        <w:rPr>
          <w:rFonts w:ascii="Times New Roman" w:hAnsi="Times New Roman" w:cs="Times New Roman" w:hint="eastAsia"/>
        </w:rPr>
        <w:t>“</w:t>
      </w:r>
      <w:r w:rsidRPr="003F4EFA">
        <w:rPr>
          <w:rFonts w:ascii="Times New Roman" w:hAnsi="Times New Roman" w:cs="Times New Roman"/>
        </w:rPr>
        <w:t xml:space="preserve">arrive at the total award by multiplying the figure assessed as the amount of the annual </w:t>
      </w:r>
      <w:r w:rsidRPr="003F4EFA">
        <w:rPr>
          <w:rFonts w:ascii="Times New Roman" w:hAnsi="Times New Roman" w:cs="Times New Roman" w:hint="eastAsia"/>
        </w:rPr>
        <w:t>‘</w:t>
      </w:r>
      <w:r w:rsidRPr="003F4EFA">
        <w:rPr>
          <w:rFonts w:ascii="Times New Roman" w:hAnsi="Times New Roman" w:cs="Times New Roman"/>
        </w:rPr>
        <w:t>dependency</w:t>
      </w:r>
      <w:r w:rsidRPr="003F4EFA">
        <w:rPr>
          <w:rFonts w:ascii="Times New Roman" w:hAnsi="Times New Roman" w:cs="Times New Roman" w:hint="eastAsia"/>
        </w:rPr>
        <w:t>’</w:t>
      </w:r>
      <w:r w:rsidRPr="003F4EFA">
        <w:rPr>
          <w:rFonts w:ascii="Times New Roman" w:hAnsi="Times New Roman" w:cs="Times New Roman"/>
        </w:rPr>
        <w:t xml:space="preserve"> by a number of </w:t>
      </w:r>
      <w:r w:rsidRPr="003F4EFA">
        <w:rPr>
          <w:rFonts w:ascii="Times New Roman" w:hAnsi="Times New Roman" w:cs="Times New Roman" w:hint="eastAsia"/>
        </w:rPr>
        <w:t>‘</w:t>
      </w:r>
      <w:r w:rsidRPr="003F4EFA">
        <w:rPr>
          <w:rFonts w:ascii="Times New Roman" w:hAnsi="Times New Roman" w:cs="Times New Roman"/>
        </w:rPr>
        <w:t>year's purchase</w:t>
      </w:r>
      <w:r w:rsidRPr="003F4EFA">
        <w:rPr>
          <w:rFonts w:ascii="Times New Roman" w:hAnsi="Times New Roman" w:cs="Times New Roman" w:hint="eastAsia"/>
        </w:rPr>
        <w:t>’</w:t>
      </w:r>
      <w:r w:rsidRPr="003F4EFA">
        <w:rPr>
          <w:rFonts w:ascii="Times New Roman" w:hAnsi="Times New Roman" w:cs="Times New Roman"/>
        </w:rPr>
        <w:t xml:space="preserve"> that is the number of years the benefit was expected to last, taking into consideration the imponderable factors in fixing either the multiplier or </w:t>
      </w:r>
    </w:p>
    <w:p w:rsidR="003F4EFA" w:rsidRDefault="003F4EFA" w:rsidP="00EB1714">
      <w:pPr>
        <w:ind w:left="720"/>
        <w:jc w:val="both"/>
        <w:rPr>
          <w:rFonts w:ascii="Times New Roman" w:hAnsi="Times New Roman" w:cs="Times New Roman"/>
        </w:rPr>
      </w:pPr>
      <w:r w:rsidRPr="003F4EFA">
        <w:rPr>
          <w:rFonts w:ascii="Times New Roman" w:hAnsi="Times New Roman" w:cs="Times New Roman"/>
        </w:rPr>
        <w:t>the multiplicand...</w:t>
      </w:r>
      <w:r w:rsidRPr="003F4EFA">
        <w:rPr>
          <w:rFonts w:ascii="Times New Roman" w:hAnsi="Times New Roman" w:cs="Times New Roman" w:hint="eastAsia"/>
        </w:rPr>
        <w:t>”</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13. </w:t>
      </w:r>
      <w:r w:rsidR="003F4EFA" w:rsidRPr="003F4EFA">
        <w:rPr>
          <w:rFonts w:ascii="Times New Roman" w:hAnsi="Times New Roman" w:cs="Times New Roman"/>
        </w:rPr>
        <w:t>While applying the multiplier method, future prospects on advancement</w:t>
      </w:r>
      <w:r>
        <w:rPr>
          <w:rFonts w:ascii="Times New Roman" w:hAnsi="Times New Roman" w:cs="Times New Roman"/>
        </w:rPr>
        <w:t xml:space="preserve"> </w:t>
      </w:r>
      <w:r w:rsidR="003F4EFA" w:rsidRPr="003F4EFA">
        <w:rPr>
          <w:rFonts w:ascii="Times New Roman" w:hAnsi="Times New Roman" w:cs="Times New Roman"/>
        </w:rPr>
        <w:t>in life and career are taken into consideration. In a proceeding under</w:t>
      </w:r>
      <w:r>
        <w:rPr>
          <w:rFonts w:ascii="Times New Roman" w:hAnsi="Times New Roman" w:cs="Times New Roman"/>
        </w:rPr>
        <w:t xml:space="preserve"> </w:t>
      </w:r>
      <w:r w:rsidR="003F4EFA" w:rsidRPr="003F4EFA">
        <w:rPr>
          <w:rFonts w:ascii="Times New Roman" w:hAnsi="Times New Roman" w:cs="Times New Roman"/>
        </w:rPr>
        <w:t xml:space="preserve">Section 166 </w:t>
      </w:r>
      <w:r>
        <w:rPr>
          <w:rFonts w:ascii="Times New Roman" w:hAnsi="Times New Roman" w:cs="Times New Roman"/>
        </w:rPr>
        <w:t xml:space="preserve">of the Act relating to death of </w:t>
      </w:r>
      <w:r w:rsidR="003F4EFA" w:rsidRPr="003F4EFA">
        <w:rPr>
          <w:rFonts w:ascii="Times New Roman" w:hAnsi="Times New Roman" w:cs="Times New Roman"/>
        </w:rPr>
        <w:t>the victim, multiplier method is</w:t>
      </w:r>
      <w:r>
        <w:rPr>
          <w:rFonts w:ascii="Times New Roman" w:hAnsi="Times New Roman" w:cs="Times New Roman"/>
        </w:rPr>
        <w:t xml:space="preserve"> </w:t>
      </w:r>
      <w:r w:rsidR="003F4EFA" w:rsidRPr="003F4EFA">
        <w:rPr>
          <w:rFonts w:ascii="Times New Roman" w:hAnsi="Times New Roman" w:cs="Times New Roman"/>
        </w:rPr>
        <w:t>applied after taking into consideration the loss of income to the family of</w:t>
      </w:r>
      <w:r>
        <w:rPr>
          <w:rFonts w:ascii="Times New Roman" w:hAnsi="Times New Roman" w:cs="Times New Roman"/>
        </w:rPr>
        <w:t xml:space="preserve"> </w:t>
      </w:r>
      <w:r w:rsidR="003F4EFA" w:rsidRPr="003F4EFA">
        <w:rPr>
          <w:rFonts w:ascii="Times New Roman" w:hAnsi="Times New Roman" w:cs="Times New Roman"/>
        </w:rPr>
        <w:t>the deceased that resulted due to the said demise. Thus, the multiplier</w:t>
      </w:r>
      <w:r>
        <w:rPr>
          <w:rFonts w:ascii="Times New Roman" w:hAnsi="Times New Roman" w:cs="Times New Roman"/>
        </w:rPr>
        <w:t xml:space="preserve"> </w:t>
      </w:r>
      <w:r w:rsidR="003F4EFA" w:rsidRPr="003F4EFA">
        <w:rPr>
          <w:rFonts w:ascii="Times New Roman" w:hAnsi="Times New Roman" w:cs="Times New Roman"/>
        </w:rPr>
        <w:t>method involves the ascertainment of the loss of dependency or the</w:t>
      </w:r>
      <w:r>
        <w:rPr>
          <w:rFonts w:ascii="Times New Roman" w:hAnsi="Times New Roman" w:cs="Times New Roman"/>
        </w:rPr>
        <w:t xml:space="preserve"> </w:t>
      </w:r>
      <w:r w:rsidR="003F4EFA" w:rsidRPr="003F4EFA">
        <w:rPr>
          <w:rFonts w:ascii="Times New Roman" w:hAnsi="Times New Roman" w:cs="Times New Roman"/>
        </w:rPr>
        <w:t>multiplicand having regard to the circumstances of the case and</w:t>
      </w:r>
      <w:r>
        <w:rPr>
          <w:rFonts w:ascii="Times New Roman" w:hAnsi="Times New Roman" w:cs="Times New Roman"/>
        </w:rPr>
        <w:t xml:space="preserve"> </w:t>
      </w:r>
      <w:r w:rsidR="003F4EFA" w:rsidRPr="003F4EFA">
        <w:rPr>
          <w:rFonts w:ascii="Times New Roman" w:hAnsi="Times New Roman" w:cs="Times New Roman"/>
        </w:rPr>
        <w:t>capitalising the multiplicand by an appropriate multiplier. The choice of</w:t>
      </w:r>
      <w:r>
        <w:rPr>
          <w:rFonts w:ascii="Times New Roman" w:hAnsi="Times New Roman" w:cs="Times New Roman"/>
        </w:rPr>
        <w:t xml:space="preserve"> </w:t>
      </w:r>
      <w:r w:rsidR="003F4EFA" w:rsidRPr="003F4EFA">
        <w:rPr>
          <w:rFonts w:ascii="Times New Roman" w:hAnsi="Times New Roman" w:cs="Times New Roman"/>
        </w:rPr>
        <w:t>the multiplier is determined by the age of the deceased or that of the</w:t>
      </w:r>
      <w:r>
        <w:rPr>
          <w:rFonts w:ascii="Times New Roman" w:hAnsi="Times New Roman" w:cs="Times New Roman"/>
        </w:rPr>
        <w:t xml:space="preserve"> </w:t>
      </w:r>
      <w:r w:rsidR="003F4EFA" w:rsidRPr="003F4EFA">
        <w:rPr>
          <w:rFonts w:ascii="Times New Roman" w:hAnsi="Times New Roman" w:cs="Times New Roman"/>
        </w:rPr>
        <w:t>claimant, as the case may be. In injury cases, the description of the</w:t>
      </w:r>
      <w:r>
        <w:rPr>
          <w:rFonts w:ascii="Times New Roman" w:hAnsi="Times New Roman" w:cs="Times New Roman"/>
        </w:rPr>
        <w:t xml:space="preserve"> </w:t>
      </w:r>
      <w:r w:rsidR="003F4EFA" w:rsidRPr="003F4EFA">
        <w:rPr>
          <w:rFonts w:ascii="Times New Roman" w:hAnsi="Times New Roman" w:cs="Times New Roman"/>
        </w:rPr>
        <w:t>nature of injury and the permanent disablement are the relevant factors</w:t>
      </w:r>
      <w:r>
        <w:rPr>
          <w:rFonts w:ascii="Times New Roman" w:hAnsi="Times New Roman" w:cs="Times New Roman"/>
        </w:rPr>
        <w:t xml:space="preserve"> </w:t>
      </w:r>
      <w:r w:rsidR="003F4EFA" w:rsidRPr="003F4EFA">
        <w:rPr>
          <w:rFonts w:ascii="Times New Roman" w:hAnsi="Times New Roman" w:cs="Times New Roman"/>
        </w:rPr>
        <w:t>and it has to be seen as to what would be the impact of such</w:t>
      </w:r>
      <w:r>
        <w:rPr>
          <w:rFonts w:ascii="Times New Roman" w:hAnsi="Times New Roman" w:cs="Times New Roman"/>
        </w:rPr>
        <w:t xml:space="preserve"> </w:t>
      </w:r>
      <w:r w:rsidR="003F4EFA" w:rsidRPr="003F4EFA">
        <w:rPr>
          <w:rFonts w:ascii="Times New Roman" w:hAnsi="Times New Roman" w:cs="Times New Roman"/>
        </w:rPr>
        <w:t>injury/disablement on the earning capacity of the injured. This Court, in</w:t>
      </w:r>
      <w:r>
        <w:rPr>
          <w:rFonts w:ascii="Times New Roman" w:hAnsi="Times New Roman" w:cs="Times New Roman"/>
        </w:rPr>
        <w:t xml:space="preserve"> </w:t>
      </w:r>
      <w:r w:rsidR="003F4EFA" w:rsidRPr="003F4EFA">
        <w:rPr>
          <w:rFonts w:ascii="Times New Roman" w:hAnsi="Times New Roman" w:cs="Times New Roman"/>
        </w:rPr>
        <w:t xml:space="preserve">the case of </w:t>
      </w:r>
      <w:r w:rsidR="003F4EFA" w:rsidRPr="00EB1714">
        <w:rPr>
          <w:rFonts w:ascii="Times New Roman" w:hAnsi="Times New Roman" w:cs="Times New Roman"/>
          <w:i/>
        </w:rPr>
        <w:t>U.P. State Road Transport Corporation &amp; Ors. v. Trilok</w:t>
      </w:r>
      <w:r w:rsidRPr="00EB1714">
        <w:rPr>
          <w:rFonts w:ascii="Times New Roman" w:hAnsi="Times New Roman" w:cs="Times New Roman"/>
          <w:i/>
        </w:rPr>
        <w:t xml:space="preserve"> </w:t>
      </w:r>
      <w:r w:rsidR="003F4EFA" w:rsidRPr="00EB1714">
        <w:rPr>
          <w:rFonts w:ascii="Times New Roman" w:hAnsi="Times New Roman" w:cs="Times New Roman"/>
          <w:i/>
        </w:rPr>
        <w:t>Chandra &amp; Ors</w:t>
      </w:r>
      <w:r w:rsidRPr="00EB1714">
        <w:rPr>
          <w:rFonts w:ascii="Times New Roman" w:hAnsi="Times New Roman" w:cs="Times New Roman"/>
          <w:sz w:val="20"/>
          <w:szCs w:val="20"/>
          <w:vertAlign w:val="superscript"/>
        </w:rPr>
        <w:t>4</w:t>
      </w:r>
      <w:r w:rsidR="003F4EFA" w:rsidRPr="003F4EFA">
        <w:rPr>
          <w:rFonts w:ascii="Times New Roman" w:hAnsi="Times New Roman" w:cs="Times New Roman"/>
        </w:rPr>
        <w:t>.  justified the application of multiplier method in the</w:t>
      </w:r>
      <w:r>
        <w:rPr>
          <w:rFonts w:ascii="Times New Roman" w:hAnsi="Times New Roman" w:cs="Times New Roman"/>
        </w:rPr>
        <w:t xml:space="preserve"> </w:t>
      </w:r>
      <w:r w:rsidR="003F4EFA" w:rsidRPr="003F4EFA">
        <w:rPr>
          <w:rFonts w:ascii="Times New Roman" w:hAnsi="Times New Roman" w:cs="Times New Roman"/>
        </w:rPr>
        <w:t>following manner:</w:t>
      </w:r>
    </w:p>
    <w:p w:rsidR="00EB1714" w:rsidRPr="003F4EFA" w:rsidRDefault="00EB1714" w:rsidP="003F4EFA">
      <w:pPr>
        <w:jc w:val="both"/>
        <w:rPr>
          <w:rFonts w:ascii="Times New Roman" w:hAnsi="Times New Roman" w:cs="Times New Roman"/>
        </w:rPr>
      </w:pPr>
    </w:p>
    <w:p w:rsidR="003F4EFA" w:rsidRPr="003F4EFA" w:rsidRDefault="003F4EFA" w:rsidP="00EB1714">
      <w:pPr>
        <w:ind w:left="720"/>
        <w:jc w:val="both"/>
        <w:rPr>
          <w:rFonts w:ascii="Times New Roman" w:hAnsi="Times New Roman" w:cs="Times New Roman"/>
        </w:rPr>
      </w:pPr>
      <w:r w:rsidRPr="003F4EFA">
        <w:rPr>
          <w:rFonts w:ascii="Times New Roman" w:hAnsi="Times New Roman" w:cs="Times New Roman" w:hint="eastAsia"/>
        </w:rPr>
        <w:t>“</w:t>
      </w:r>
      <w:r w:rsidRPr="003F4EFA">
        <w:rPr>
          <w:rFonts w:ascii="Times New Roman" w:hAnsi="Times New Roman" w:cs="Times New Roman"/>
        </w:rPr>
        <w:t>13. It was rightly clarified that there should be no departure from the multiplier method on the ground that Section 110-B, Motor Vehicles Act, 1939 (corresponding to the present provision of Section 168, Motor Vehicles Act,</w:t>
      </w:r>
      <w:r w:rsidR="00EB1714">
        <w:rPr>
          <w:rFonts w:ascii="Times New Roman" w:hAnsi="Times New Roman" w:cs="Times New Roman"/>
        </w:rPr>
        <w:t xml:space="preserve"> </w:t>
      </w:r>
      <w:r w:rsidRPr="003F4EFA">
        <w:rPr>
          <w:rFonts w:ascii="Times New Roman" w:hAnsi="Times New Roman" w:cs="Times New Roman"/>
        </w:rPr>
        <w:t xml:space="preserve">1988) envisaged payment of </w:t>
      </w:r>
      <w:r w:rsidRPr="003F4EFA">
        <w:rPr>
          <w:rFonts w:ascii="Times New Roman" w:hAnsi="Times New Roman" w:cs="Times New Roman" w:hint="eastAsia"/>
        </w:rPr>
        <w:t>‘</w:t>
      </w:r>
      <w:r w:rsidRPr="003F4EFA">
        <w:rPr>
          <w:rFonts w:ascii="Times New Roman" w:hAnsi="Times New Roman" w:cs="Times New Roman"/>
        </w:rPr>
        <w:t>just</w:t>
      </w:r>
      <w:r w:rsidRPr="003F4EFA">
        <w:rPr>
          <w:rFonts w:ascii="Times New Roman" w:hAnsi="Times New Roman" w:cs="Times New Roman" w:hint="eastAsia"/>
        </w:rPr>
        <w:t>’</w:t>
      </w:r>
      <w:r w:rsidRPr="003F4EFA">
        <w:rPr>
          <w:rFonts w:ascii="Times New Roman" w:hAnsi="Times New Roman" w:cs="Times New Roman"/>
        </w:rPr>
        <w:t xml:space="preserve"> compensation since the multiplier method is the accepted method for determining and ensuring payment of just compensation and is expected to bring uniformity and certainty of the awards made all over the country.</w:t>
      </w:r>
      <w:r w:rsidRPr="003F4EFA">
        <w:rPr>
          <w:rFonts w:ascii="Times New Roman" w:hAnsi="Times New Roman" w:cs="Times New Roman" w:hint="eastAsia"/>
        </w:rPr>
        <w:t>”</w:t>
      </w:r>
    </w:p>
    <w:p w:rsidR="003F4EFA" w:rsidRPr="003F4EFA" w:rsidRDefault="003F4EFA" w:rsidP="003F4EFA">
      <w:pPr>
        <w:jc w:val="both"/>
        <w:rPr>
          <w:rFonts w:ascii="Times New Roman" w:hAnsi="Times New Roman" w:cs="Times New Roman"/>
        </w:rPr>
      </w:pPr>
    </w:p>
    <w:p w:rsidR="003F4EFA" w:rsidRDefault="003F4EFA" w:rsidP="003F4EFA">
      <w:pPr>
        <w:jc w:val="both"/>
        <w:rPr>
          <w:rFonts w:ascii="Times New Roman" w:hAnsi="Times New Roman" w:cs="Times New Roman"/>
        </w:rPr>
      </w:pPr>
      <w:r w:rsidRPr="003F4EFA">
        <w:rPr>
          <w:rFonts w:ascii="Times New Roman" w:hAnsi="Times New Roman" w:cs="Times New Roman"/>
        </w:rPr>
        <w:t>The multiplier system is, thus, based on the doctrine of equity, equality</w:t>
      </w:r>
      <w:r w:rsidR="00EB1714">
        <w:rPr>
          <w:rFonts w:ascii="Times New Roman" w:hAnsi="Times New Roman" w:cs="Times New Roman"/>
        </w:rPr>
        <w:t xml:space="preserve"> </w:t>
      </w:r>
      <w:r w:rsidRPr="003F4EFA">
        <w:rPr>
          <w:rFonts w:ascii="Times New Roman" w:hAnsi="Times New Roman" w:cs="Times New Roman"/>
        </w:rPr>
        <w:t>and necessity. A departure therefrom is to be done only in rare and exceptional cases.</w:t>
      </w:r>
    </w:p>
    <w:p w:rsidR="00EB1714" w:rsidRPr="003F4EFA" w:rsidRDefault="00EB1714" w:rsidP="003F4EFA">
      <w:pPr>
        <w:jc w:val="both"/>
        <w:rPr>
          <w:rFonts w:ascii="Times New Roman" w:hAnsi="Times New Roman" w:cs="Times New Roman"/>
        </w:rPr>
      </w:pPr>
    </w:p>
    <w:p w:rsidR="003F4EFA" w:rsidRPr="003F4EFA" w:rsidRDefault="00EB1714" w:rsidP="003F4EFA">
      <w:pPr>
        <w:jc w:val="both"/>
        <w:rPr>
          <w:rFonts w:ascii="Times New Roman" w:hAnsi="Times New Roman" w:cs="Times New Roman"/>
        </w:rPr>
      </w:pPr>
      <w:r>
        <w:rPr>
          <w:rFonts w:ascii="Times New Roman" w:hAnsi="Times New Roman" w:cs="Times New Roman"/>
        </w:rPr>
        <w:t xml:space="preserve">14. </w:t>
      </w:r>
      <w:r w:rsidR="003F4EFA" w:rsidRPr="003F4EFA">
        <w:rPr>
          <w:rFonts w:ascii="Times New Roman" w:hAnsi="Times New Roman" w:cs="Times New Roman"/>
        </w:rPr>
        <w:t xml:space="preserve">In the last few years, law in this aspect has been straightened by this Court by removing certain cobwebs that had been created because of some divergent views on certain aspects. It is not even necessary to refer to all these cases. We find that the principle of determination of compensation in the case of permanent/partial disablement has been exhaustively dealt with after referring to the relevant case law on the subject in the case of </w:t>
      </w:r>
      <w:r w:rsidR="003F4EFA" w:rsidRPr="00EB1714">
        <w:rPr>
          <w:rFonts w:ascii="Times New Roman" w:hAnsi="Times New Roman" w:cs="Times New Roman"/>
          <w:i/>
        </w:rPr>
        <w:t>Raj Kumar v. Ajay Kumar &amp; Ors</w:t>
      </w:r>
      <w:r w:rsidRPr="00EB1714">
        <w:rPr>
          <w:rFonts w:ascii="Times New Roman" w:hAnsi="Times New Roman" w:cs="Times New Roman"/>
          <w:sz w:val="20"/>
          <w:szCs w:val="20"/>
          <w:vertAlign w:val="superscript"/>
        </w:rPr>
        <w:t>5</w:t>
      </w:r>
      <w:r w:rsidR="003F4EFA" w:rsidRPr="003F4EFA">
        <w:rPr>
          <w:rFonts w:ascii="Times New Roman" w:hAnsi="Times New Roman" w:cs="Times New Roman"/>
        </w:rPr>
        <w:t>.  in the following words:</w:t>
      </w:r>
    </w:p>
    <w:p w:rsidR="003F4EFA" w:rsidRPr="003F4EFA" w:rsidRDefault="003F4EFA" w:rsidP="00EB1714">
      <w:pPr>
        <w:ind w:left="720"/>
        <w:jc w:val="both"/>
        <w:rPr>
          <w:rFonts w:ascii="Times New Roman" w:hAnsi="Times New Roman" w:cs="Times New Roman"/>
        </w:rPr>
      </w:pPr>
      <w:r w:rsidRPr="003F4EFA">
        <w:rPr>
          <w:rFonts w:ascii="Times New Roman" w:hAnsi="Times New Roman" w:cs="Times New Roman" w:hint="eastAsia"/>
        </w:rPr>
        <w:lastRenderedPageBreak/>
        <w:t>“</w:t>
      </w:r>
      <w:r w:rsidRPr="003F4EFA">
        <w:rPr>
          <w:rFonts w:ascii="Times New Roman" w:hAnsi="Times New Roman" w:cs="Times New Roman"/>
        </w:rPr>
        <w:t>Assessment of future loss of earnings due to permanent disability</w:t>
      </w:r>
    </w:p>
    <w:p w:rsidR="00EB1714" w:rsidRDefault="00EB1714" w:rsidP="00EB1714">
      <w:pPr>
        <w:ind w:left="720"/>
        <w:jc w:val="both"/>
        <w:rPr>
          <w:rFonts w:ascii="Times New Roman" w:hAnsi="Times New Roman" w:cs="Times New Roman"/>
        </w:rPr>
      </w:pPr>
    </w:p>
    <w:p w:rsidR="003F4EFA" w:rsidRDefault="00EB1714" w:rsidP="00EB1714">
      <w:pPr>
        <w:ind w:left="720"/>
        <w:jc w:val="both"/>
        <w:rPr>
          <w:rFonts w:ascii="Times New Roman" w:hAnsi="Times New Roman" w:cs="Times New Roman"/>
        </w:rPr>
      </w:pPr>
      <w:r>
        <w:rPr>
          <w:rFonts w:ascii="Times New Roman" w:hAnsi="Times New Roman" w:cs="Times New Roman"/>
        </w:rPr>
        <w:t xml:space="preserve">8. </w:t>
      </w:r>
      <w:r w:rsidR="003F4EFA" w:rsidRPr="003F4EFA">
        <w:rPr>
          <w:rFonts w:ascii="Times New Roman" w:hAnsi="Times New Roman" w:cs="Times New Roman"/>
        </w:rPr>
        <w:t xml:space="preserve">Disability refers to any restriction or lack of ability to perform an activity in the manner considered normal for a human being. Permanent disability refers to the residuary incapacity or loss of use of some part of the body, found existing at the end of the period of treatment and recuperation, after achieving the maximum bodily improvement or recovery which is likely to remain for the remainder life of the injured. Temporary disability refers to the incapacity or loss of use of some part of the body on account of the injury, which will cease to exist at the end of the period of treatment and recuperation. Permanent disability can be either partial or total. Partial permanent disability refers to a person's inability to perform all the duties and bodily functions that he could perform before the accident, though he is able to perform some of them and is still able to engage in some gainful activity. Total permanent disability refers to a person's inability to perform any avocation or employment related activities as a result of the accident. The permanent disabilities that may arise from motor accident injuries, are of a much wider range when compared to the physical disabilities which are enumerated in the Persons with Disabilities (Equal Opportunities, Protection of Rights and Full </w:t>
      </w:r>
      <w:r>
        <w:rPr>
          <w:rFonts w:ascii="Times New Roman" w:hAnsi="Times New Roman" w:cs="Times New Roman"/>
        </w:rPr>
        <w:t xml:space="preserve"> </w:t>
      </w:r>
      <w:r w:rsidR="003F4EFA" w:rsidRPr="003F4EFA">
        <w:rPr>
          <w:rFonts w:ascii="Times New Roman" w:hAnsi="Times New Roman" w:cs="Times New Roman"/>
        </w:rPr>
        <w:t>Participation) Act, 1995 (</w:t>
      </w:r>
      <w:r w:rsidR="003F4EFA" w:rsidRPr="003F4EFA">
        <w:rPr>
          <w:rFonts w:ascii="Times New Roman" w:hAnsi="Times New Roman" w:cs="Times New Roman" w:hint="eastAsia"/>
        </w:rPr>
        <w:t>“</w:t>
      </w:r>
      <w:r w:rsidR="003F4EFA" w:rsidRPr="003F4EFA">
        <w:rPr>
          <w:rFonts w:ascii="Times New Roman" w:hAnsi="Times New Roman" w:cs="Times New Roman"/>
        </w:rPr>
        <w:t>the Disabilities Act</w:t>
      </w:r>
      <w:r w:rsidR="003F4EFA" w:rsidRPr="003F4EFA">
        <w:rPr>
          <w:rFonts w:ascii="Times New Roman" w:hAnsi="Times New Roman" w:cs="Times New Roman" w:hint="eastAsia"/>
        </w:rPr>
        <w:t>”</w:t>
      </w:r>
      <w:r w:rsidR="003F4EFA" w:rsidRPr="003F4EFA">
        <w:rPr>
          <w:rFonts w:ascii="Times New Roman" w:hAnsi="Times New Roman" w:cs="Times New Roman"/>
        </w:rPr>
        <w:t>, for short). But if any of the disabilities enumerated in Section 2(i) of the Disabilities Act are the result of injuries sustained in a motor accident, they can be permanent disabilities for the purpose of claiming compensation.</w:t>
      </w:r>
    </w:p>
    <w:p w:rsidR="00EB1714" w:rsidRPr="003F4EFA" w:rsidRDefault="00EB1714" w:rsidP="00EB1714">
      <w:pPr>
        <w:ind w:left="720"/>
        <w:jc w:val="both"/>
        <w:rPr>
          <w:rFonts w:ascii="Times New Roman" w:hAnsi="Times New Roman" w:cs="Times New Roman"/>
        </w:rPr>
      </w:pPr>
    </w:p>
    <w:p w:rsidR="003F4EFA" w:rsidRDefault="00EB1714" w:rsidP="00EB1714">
      <w:pPr>
        <w:ind w:left="720"/>
        <w:jc w:val="both"/>
        <w:rPr>
          <w:rFonts w:ascii="Times New Roman" w:hAnsi="Times New Roman" w:cs="Times New Roman"/>
        </w:rPr>
      </w:pPr>
      <w:r>
        <w:rPr>
          <w:rFonts w:ascii="Times New Roman" w:hAnsi="Times New Roman" w:cs="Times New Roman"/>
        </w:rPr>
        <w:t>9.</w:t>
      </w:r>
      <w:r w:rsidR="003F4EFA" w:rsidRPr="003F4EFA">
        <w:rPr>
          <w:rFonts w:ascii="Times New Roman" w:hAnsi="Times New Roman" w:cs="Times New Roman"/>
        </w:rPr>
        <w:t xml:space="preserve"> The percentage of permanent disability is expressed by the doctors with reference to the whole body, or more often than not, with reference to a particular limb. When a disability certificate states that the injured has suffered permanent disability to an extent of 45% of the left lower limb, it is not the same as 45% permanent disability with reference to the whole body. The extent of disability of a limb (or part of the body) expressed in terms of a percentage of the total functions of that limb, obviously cannot be assumed to be the extent of disability of the whole body. If there is 60% permanent disability of the right hand and 80% permanent disability of left leg, it does not mean that the extent of permanent disability with reference to the whole body is 140% (that is 80% plus 60%). If different parts of the body have suffered different percentages of disabilities, the sum total thereof expressed in terms of the permanent disability with reference to the whole body cannot obviously exceed 100%.</w:t>
      </w:r>
    </w:p>
    <w:p w:rsidR="00EB1714" w:rsidRPr="003F4EFA" w:rsidRDefault="00EB1714" w:rsidP="00EB1714">
      <w:pPr>
        <w:ind w:left="720"/>
        <w:jc w:val="both"/>
        <w:rPr>
          <w:rFonts w:ascii="Times New Roman" w:hAnsi="Times New Roman" w:cs="Times New Roman"/>
        </w:rPr>
      </w:pPr>
    </w:p>
    <w:p w:rsidR="003F4EFA" w:rsidRDefault="00EB1714" w:rsidP="00EB1714">
      <w:pPr>
        <w:ind w:left="720"/>
        <w:jc w:val="both"/>
        <w:rPr>
          <w:rFonts w:ascii="Times New Roman" w:hAnsi="Times New Roman" w:cs="Times New Roman"/>
        </w:rPr>
      </w:pPr>
      <w:r>
        <w:rPr>
          <w:rFonts w:ascii="Times New Roman" w:hAnsi="Times New Roman" w:cs="Times New Roman"/>
        </w:rPr>
        <w:t xml:space="preserve">10. </w:t>
      </w:r>
      <w:r w:rsidR="003F4EFA" w:rsidRPr="003F4EFA">
        <w:rPr>
          <w:rFonts w:ascii="Times New Roman" w:hAnsi="Times New Roman" w:cs="Times New Roman"/>
        </w:rPr>
        <w:t xml:space="preserve"> Where the claimant suffers a permanent disability as a result of injuries, the assessment of compensation under the head of loss of future earnings would depend upon the effect and impact of such permanent disability on his earning capacity. The Tribunal should not mechanically apply the percentage of permanent disability as the percentage of economic loss or loss of earning capacity. In most of the cases, the percentage of economic loss, that is, the percentage of loss of earning capacity, arising from a permanent disability will be different from the percentage of permanent disability. Some Tribunals wrongly assume that in all cases, a particular extent </w:t>
      </w:r>
      <w:r w:rsidR="003F4EFA" w:rsidRPr="003F4EFA">
        <w:rPr>
          <w:rFonts w:ascii="Times New Roman" w:hAnsi="Times New Roman" w:cs="Times New Roman"/>
        </w:rPr>
        <w:lastRenderedPageBreak/>
        <w:t>(percentage) of permanent disability would result in a corresponding loss of earning capacity, and consequently, if the evidence produced show 45% as the permanent disability, will hold that there is 45% loss of future earning capacity. In most of the cases, equating the extent (percentage) of loss of earning capacity to the extent (percentage) of permanent disability will result in award of either too low or too high a compensation.</w:t>
      </w:r>
    </w:p>
    <w:p w:rsidR="00EB1714" w:rsidRPr="003F4EFA" w:rsidRDefault="00EB1714" w:rsidP="00EB1714">
      <w:pPr>
        <w:ind w:left="720"/>
        <w:jc w:val="both"/>
        <w:rPr>
          <w:rFonts w:ascii="Times New Roman" w:hAnsi="Times New Roman" w:cs="Times New Roman"/>
        </w:rPr>
      </w:pPr>
    </w:p>
    <w:p w:rsidR="003F4EFA" w:rsidRPr="003F4EFA" w:rsidRDefault="00EB1714" w:rsidP="00EB1714">
      <w:pPr>
        <w:ind w:left="720"/>
        <w:jc w:val="both"/>
        <w:rPr>
          <w:rFonts w:ascii="Times New Roman" w:hAnsi="Times New Roman" w:cs="Times New Roman"/>
        </w:rPr>
      </w:pPr>
      <w:r>
        <w:rPr>
          <w:rFonts w:ascii="Times New Roman" w:hAnsi="Times New Roman" w:cs="Times New Roman"/>
        </w:rPr>
        <w:t>11.</w:t>
      </w:r>
      <w:r w:rsidR="003F4EFA" w:rsidRPr="003F4EFA">
        <w:rPr>
          <w:rFonts w:ascii="Times New Roman" w:hAnsi="Times New Roman" w:cs="Times New Roman"/>
        </w:rPr>
        <w:t xml:space="preserve"> What requires to be assessed by the Tribunal is the effect of the permanent disability on the earning capacity of the injured; and after assessing the loss of earning </w:t>
      </w:r>
    </w:p>
    <w:p w:rsidR="003F4EFA" w:rsidRDefault="003F4EFA" w:rsidP="00EB1714">
      <w:pPr>
        <w:ind w:left="720"/>
        <w:jc w:val="both"/>
        <w:rPr>
          <w:rFonts w:ascii="Times New Roman" w:hAnsi="Times New Roman" w:cs="Times New Roman"/>
        </w:rPr>
      </w:pPr>
      <w:r w:rsidRPr="003F4EFA">
        <w:rPr>
          <w:rFonts w:ascii="Times New Roman" w:hAnsi="Times New Roman" w:cs="Times New Roman"/>
        </w:rPr>
        <w:t>capacity in terms of a percentage of the income, it has to be quantified in terms of money, to arrive at the future loss of earnings (by applying the standard multiplier method used to determine loss of dependency). We may however note that in some cases, on appreciation of evidence and assessment, the Tribunal may find that the percentage of loss of earning capacity as a result of the permanent disability, is approximately the same as the percentage of permanent disability in which case, of course, the Tribunal will adopt the said percentage for determination of compensation.</w:t>
      </w:r>
      <w:r w:rsidRPr="003F4EFA">
        <w:rPr>
          <w:rFonts w:ascii="Times New Roman" w:hAnsi="Times New Roman" w:cs="Times New Roman" w:hint="eastAsia"/>
        </w:rPr>
        <w:t>”</w:t>
      </w:r>
    </w:p>
    <w:p w:rsidR="00EB1714" w:rsidRPr="003F4EFA" w:rsidRDefault="00EB1714" w:rsidP="00EB1714">
      <w:pPr>
        <w:ind w:left="720"/>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15. </w:t>
      </w:r>
      <w:r w:rsidR="003F4EFA" w:rsidRPr="003F4EFA">
        <w:rPr>
          <w:rFonts w:ascii="Times New Roman" w:hAnsi="Times New Roman" w:cs="Times New Roman"/>
        </w:rPr>
        <w:t xml:space="preserve">The crucial factor which has to be taken into consideration, thus, is to assess as to whether the permanent disability has any adverse effect on the earning capacity of the injured. In this sense, the MACT approached the issue in right direction by taking into consideration the aforesaid test. However, we feel that the conclusion of the MACT, on the application of the aforesaid test, is erroneous. A very myopic view is taken by the MACT in taking the view that 70% permanent disability suffered by the appellant would not impact the earning capacity of the appellant. The MACT thought that since the appellant is a Chartered Accountant, he is supposed to do sitting work and, therefore, his working capacity is not impaired. Such a conclusion was justified if the appellant was in the employment where job requirement could be to do sitting/table work and receive monthly salary for the said work. An important feature and aspect which is ignored by the MACT is that the appellant is a professional Chartered Accountant. To do this work efficiently and in order to augment his income, a Chartered Accountant is supposed to move around as well. If a Chartered Accountant is doing taxation work, he has to appear before the assessing authorities and appellate </w:t>
      </w:r>
      <w:r>
        <w:rPr>
          <w:rFonts w:ascii="Times New Roman" w:hAnsi="Times New Roman" w:cs="Times New Roman"/>
        </w:rPr>
        <w:t xml:space="preserve"> </w:t>
      </w:r>
      <w:r w:rsidR="003F4EFA" w:rsidRPr="003F4EFA">
        <w:rPr>
          <w:rFonts w:ascii="Times New Roman" w:hAnsi="Times New Roman" w:cs="Times New Roman"/>
        </w:rPr>
        <w:t>authorities under the Income Tax Act, as a Chartered Accountant is allowed to practice up to Income Tax</w:t>
      </w:r>
      <w:r w:rsidR="003F4EFA" w:rsidRPr="003F4EFA">
        <w:rPr>
          <w:rFonts w:ascii="Times New Roman" w:hAnsi="Times New Roman" w:cs="Times New Roman"/>
        </w:rPr>
        <w:tab/>
        <w:t>Appellate Tribunal. Many</w:t>
      </w:r>
      <w:r w:rsidR="003F4EFA" w:rsidRPr="003F4EFA">
        <w:rPr>
          <w:rFonts w:ascii="Times New Roman" w:hAnsi="Times New Roman" w:cs="Times New Roman"/>
        </w:rPr>
        <w:tab/>
        <w:t>times</w:t>
      </w:r>
      <w:r>
        <w:rPr>
          <w:rFonts w:ascii="Times New Roman" w:hAnsi="Times New Roman" w:cs="Times New Roman"/>
        </w:rPr>
        <w:t xml:space="preserve"> </w:t>
      </w:r>
      <w:r w:rsidR="003F4EFA" w:rsidRPr="003F4EFA">
        <w:rPr>
          <w:rFonts w:ascii="Times New Roman" w:hAnsi="Times New Roman" w:cs="Times New Roman"/>
        </w:rPr>
        <w:t>Cha</w:t>
      </w:r>
      <w:r>
        <w:rPr>
          <w:rFonts w:ascii="Times New Roman" w:hAnsi="Times New Roman" w:cs="Times New Roman"/>
        </w:rPr>
        <w:t xml:space="preserve">rtered Accountants are supposed to visit their clients as well. </w:t>
      </w:r>
      <w:r w:rsidR="003F4EFA" w:rsidRPr="003F4EFA">
        <w:rPr>
          <w:rFonts w:ascii="Times New Roman" w:hAnsi="Times New Roman" w:cs="Times New Roman"/>
        </w:rPr>
        <w:t>In</w:t>
      </w:r>
      <w:r>
        <w:rPr>
          <w:rFonts w:ascii="Times New Roman" w:hAnsi="Times New Roman" w:cs="Times New Roman"/>
        </w:rPr>
        <w:t xml:space="preserve"> </w:t>
      </w:r>
      <w:r w:rsidR="003F4EFA" w:rsidRPr="003F4EFA">
        <w:rPr>
          <w:rFonts w:ascii="Times New Roman" w:hAnsi="Times New Roman" w:cs="Times New Roman"/>
        </w:rPr>
        <w:t xml:space="preserve">case a Chartered Accountant is primarily doing audit work, he is not only required to visit his clients but various authorities as well. There are many statutory functions under various statutes which the Chartered Accountants perform. Free movement is involved for performance of such functions. A person who is engaged and cannot freely move to attend to his duties may not be able to match the earning in comparison with the one who is healthy and bodily abled. Movements of the appellant have been restricted to a large extent and that too at a young age. Though the High Court recognised this, it did not go forward to apply the principle of multiplier. We are of the opinion that in a case like this and having regard to the injuries suffered by the appellant, there is a definite loss of earning capacity and it calls for grant of compensation with the </w:t>
      </w:r>
      <w:r w:rsidR="003F4EFA" w:rsidRPr="003F4EFA">
        <w:rPr>
          <w:rFonts w:ascii="Times New Roman" w:hAnsi="Times New Roman" w:cs="Times New Roman"/>
        </w:rPr>
        <w:lastRenderedPageBreak/>
        <w:t xml:space="preserve">adoption of multiplier method, as held by this Court in </w:t>
      </w:r>
      <w:r w:rsidR="003F4EFA" w:rsidRPr="00EB1714">
        <w:rPr>
          <w:rFonts w:ascii="Times New Roman" w:hAnsi="Times New Roman" w:cs="Times New Roman"/>
          <w:i/>
        </w:rPr>
        <w:t>Yadava Kumar v. Divisional Manager, National Insurance Company Limited &amp; Anr</w:t>
      </w:r>
      <w:r w:rsidR="003F4EFA" w:rsidRPr="003F4EFA">
        <w:rPr>
          <w:rFonts w:ascii="Times New Roman" w:hAnsi="Times New Roman" w:cs="Times New Roman"/>
        </w:rPr>
        <w:t xml:space="preserve"> </w:t>
      </w:r>
      <w:r w:rsidRPr="00EB1714">
        <w:rPr>
          <w:rFonts w:ascii="Times New Roman" w:hAnsi="Times New Roman" w:cs="Times New Roman"/>
          <w:sz w:val="20"/>
          <w:szCs w:val="20"/>
          <w:vertAlign w:val="superscript"/>
        </w:rPr>
        <w:t>6</w:t>
      </w:r>
    </w:p>
    <w:p w:rsidR="00EB1714" w:rsidRPr="003F4EFA" w:rsidRDefault="00EB1714" w:rsidP="003F4EFA">
      <w:pPr>
        <w:jc w:val="both"/>
        <w:rPr>
          <w:rFonts w:ascii="Times New Roman" w:hAnsi="Times New Roman" w:cs="Times New Roman"/>
        </w:rPr>
      </w:pPr>
    </w:p>
    <w:p w:rsidR="003F4EFA" w:rsidRDefault="003F4EFA" w:rsidP="00EB1714">
      <w:pPr>
        <w:ind w:left="720"/>
        <w:jc w:val="both"/>
        <w:rPr>
          <w:rFonts w:ascii="Times New Roman" w:hAnsi="Times New Roman" w:cs="Times New Roman"/>
        </w:rPr>
      </w:pPr>
      <w:r w:rsidRPr="003F4EFA">
        <w:rPr>
          <w:rFonts w:ascii="Times New Roman" w:hAnsi="Times New Roman" w:cs="Times New Roman" w:hint="eastAsia"/>
        </w:rPr>
        <w:t>“</w:t>
      </w:r>
      <w:r w:rsidRPr="003F4EFA">
        <w:rPr>
          <w:rFonts w:ascii="Times New Roman" w:hAnsi="Times New Roman" w:cs="Times New Roman"/>
        </w:rPr>
        <w:t>9. We do not intend to review</w:t>
      </w:r>
      <w:r w:rsidRPr="003F4EFA">
        <w:rPr>
          <w:rFonts w:ascii="Times New Roman" w:hAnsi="Times New Roman" w:cs="Times New Roman"/>
        </w:rPr>
        <w:tab/>
        <w:t>in detail state of authorities</w:t>
      </w:r>
      <w:r w:rsidR="00EB1714">
        <w:rPr>
          <w:rFonts w:ascii="Times New Roman" w:hAnsi="Times New Roman" w:cs="Times New Roman"/>
        </w:rPr>
        <w:t xml:space="preserve"> </w:t>
      </w:r>
      <w:r w:rsidRPr="003F4EFA">
        <w:rPr>
          <w:rFonts w:ascii="Times New Roman" w:hAnsi="Times New Roman" w:cs="Times New Roman"/>
        </w:rPr>
        <w:t>in relation to assessment of</w:t>
      </w:r>
      <w:r w:rsidR="00EB1714">
        <w:rPr>
          <w:rFonts w:ascii="Times New Roman" w:hAnsi="Times New Roman" w:cs="Times New Roman"/>
        </w:rPr>
        <w:t xml:space="preserve"> </w:t>
      </w:r>
      <w:r w:rsidRPr="003F4EFA">
        <w:rPr>
          <w:rFonts w:ascii="Times New Roman" w:hAnsi="Times New Roman" w:cs="Times New Roman"/>
        </w:rPr>
        <w:t>all damages for personal</w:t>
      </w:r>
      <w:r w:rsidR="00EB1714">
        <w:rPr>
          <w:rFonts w:ascii="Times New Roman" w:hAnsi="Times New Roman" w:cs="Times New Roman"/>
        </w:rPr>
        <w:t xml:space="preserve"> </w:t>
      </w:r>
      <w:r w:rsidRPr="003F4EFA">
        <w:rPr>
          <w:rFonts w:ascii="Times New Roman" w:hAnsi="Times New Roman" w:cs="Times New Roman"/>
        </w:rPr>
        <w:t>injury. Suffice it to say that the basis of assessment of all damages for personal injury is compensation. The whole idea is to put the claimant in the same position as he was insofar as money can. Perfect compensation is hardly possible but one has to keep in mind that the victim has done no wrong; he has suffered at the hands of the wrongdoer and the court must take care to give him full </w:t>
      </w:r>
      <w:r w:rsidR="00EB1714">
        <w:rPr>
          <w:rFonts w:ascii="Times New Roman" w:hAnsi="Times New Roman" w:cs="Times New Roman"/>
        </w:rPr>
        <w:t xml:space="preserve"> </w:t>
      </w:r>
      <w:r w:rsidRPr="003F4EFA">
        <w:rPr>
          <w:rFonts w:ascii="Times New Roman" w:hAnsi="Times New Roman" w:cs="Times New Roman"/>
        </w:rPr>
        <w:t>and fair compensation for that he had suffered.</w:t>
      </w:r>
    </w:p>
    <w:p w:rsidR="00EB1714" w:rsidRPr="003F4EFA" w:rsidRDefault="00EB1714" w:rsidP="00EB1714">
      <w:pPr>
        <w:ind w:left="720"/>
        <w:jc w:val="both"/>
        <w:rPr>
          <w:rFonts w:ascii="Times New Roman" w:hAnsi="Times New Roman" w:cs="Times New Roman"/>
        </w:rPr>
      </w:pPr>
    </w:p>
    <w:p w:rsidR="003F4EFA" w:rsidRDefault="00EB1714" w:rsidP="00EB1714">
      <w:pPr>
        <w:ind w:left="720"/>
        <w:jc w:val="both"/>
        <w:rPr>
          <w:rFonts w:ascii="Times New Roman" w:hAnsi="Times New Roman" w:cs="Times New Roman"/>
        </w:rPr>
      </w:pPr>
      <w:r>
        <w:rPr>
          <w:rFonts w:ascii="Times New Roman" w:hAnsi="Times New Roman" w:cs="Times New Roman"/>
        </w:rPr>
        <w:t xml:space="preserve">10. </w:t>
      </w:r>
      <w:r w:rsidR="003F4EFA" w:rsidRPr="003F4EFA">
        <w:rPr>
          <w:rFonts w:ascii="Times New Roman" w:hAnsi="Times New Roman" w:cs="Times New Roman"/>
        </w:rPr>
        <w:t>In some cases for personal injury, the claim could be in respect of lifetime's earnings lost because, though he will live, he cannot earn his living. In others, the claim may be made for partial loss of earnings. Each case has to be considered in the light of its own facts and at the end, one must ask whether the sum awarded is a fair and reasonable sum. The conventional basis of assessing compensation in personal injury cases</w:t>
      </w:r>
      <w:r w:rsidR="003F4EFA" w:rsidRPr="003F4EFA">
        <w:rPr>
          <w:rFonts w:ascii="Times New Roman" w:hAnsi="Times New Roman" w:cs="Times New Roman" w:hint="eastAsia"/>
        </w:rPr>
        <w:t>—</w:t>
      </w:r>
      <w:r w:rsidR="003F4EFA" w:rsidRPr="003F4EFA">
        <w:rPr>
          <w:rFonts w:ascii="Times New Roman" w:hAnsi="Times New Roman" w:cs="Times New Roman"/>
        </w:rPr>
        <w:t>and that is now recognised mode as to the proper measure of compensation</w:t>
      </w:r>
      <w:r w:rsidR="003F4EFA" w:rsidRPr="003F4EFA">
        <w:rPr>
          <w:rFonts w:ascii="Times New Roman" w:hAnsi="Times New Roman" w:cs="Times New Roman" w:hint="eastAsia"/>
        </w:rPr>
        <w:t>—</w:t>
      </w:r>
      <w:r w:rsidR="003F4EFA" w:rsidRPr="003F4EFA">
        <w:rPr>
          <w:rFonts w:ascii="Times New Roman" w:hAnsi="Times New Roman" w:cs="Times New Roman"/>
        </w:rPr>
        <w:t>is taking an appropriate multiplier of an appropriate multiplicand.</w:t>
      </w:r>
      <w:r w:rsidR="003F4EFA" w:rsidRPr="003F4EFA">
        <w:rPr>
          <w:rFonts w:ascii="Times New Roman" w:hAnsi="Times New Roman" w:cs="Times New Roman" w:hint="eastAsia"/>
        </w:rPr>
        <w:t>”</w:t>
      </w:r>
    </w:p>
    <w:p w:rsidR="00EB1714" w:rsidRPr="003F4EFA" w:rsidRDefault="00EB1714" w:rsidP="003F4EFA">
      <w:pPr>
        <w:jc w:val="both"/>
        <w:rPr>
          <w:rFonts w:ascii="Times New Roman" w:hAnsi="Times New Roman" w:cs="Times New Roman"/>
        </w:rPr>
      </w:pPr>
    </w:p>
    <w:p w:rsidR="003F4EFA" w:rsidRDefault="00EB1714" w:rsidP="003F4EFA">
      <w:pPr>
        <w:jc w:val="both"/>
        <w:rPr>
          <w:rFonts w:ascii="Times New Roman" w:hAnsi="Times New Roman" w:cs="Times New Roman"/>
        </w:rPr>
      </w:pPr>
      <w:r>
        <w:rPr>
          <w:rFonts w:ascii="Times New Roman" w:hAnsi="Times New Roman" w:cs="Times New Roman"/>
        </w:rPr>
        <w:t xml:space="preserve">16. </w:t>
      </w:r>
      <w:r w:rsidR="003F4EFA" w:rsidRPr="003F4EFA">
        <w:rPr>
          <w:rFonts w:ascii="Times New Roman" w:hAnsi="Times New Roman" w:cs="Times New Roman"/>
        </w:rPr>
        <w:t xml:space="preserve"> In that case, after following the judgment in </w:t>
      </w:r>
      <w:r w:rsidR="003F4EFA" w:rsidRPr="00EB1714">
        <w:rPr>
          <w:rFonts w:ascii="Times New Roman" w:hAnsi="Times New Roman" w:cs="Times New Roman"/>
          <w:i/>
        </w:rPr>
        <w:t>Kerala SRTC v. Susamma Thomas</w:t>
      </w:r>
      <w:r w:rsidRPr="00EB1714">
        <w:rPr>
          <w:rFonts w:ascii="Times New Roman" w:hAnsi="Times New Roman" w:cs="Times New Roman"/>
          <w:sz w:val="20"/>
          <w:szCs w:val="20"/>
          <w:vertAlign w:val="superscript"/>
        </w:rPr>
        <w:t>7</w:t>
      </w:r>
      <w:r w:rsidR="003F4EFA" w:rsidRPr="003F4EFA">
        <w:rPr>
          <w:rFonts w:ascii="Times New Roman" w:hAnsi="Times New Roman" w:cs="Times New Roman"/>
        </w:rPr>
        <w:t>, the Court chose to apply multiplier of 18 keeping in view the age of the victim, who as 25 years at the time of the accident.</w:t>
      </w:r>
    </w:p>
    <w:p w:rsidR="00EB1714" w:rsidRPr="003F4EFA" w:rsidRDefault="00EB1714" w:rsidP="003F4EFA">
      <w:pPr>
        <w:jc w:val="both"/>
        <w:rPr>
          <w:rFonts w:ascii="Times New Roman" w:hAnsi="Times New Roman" w:cs="Times New Roman"/>
        </w:rPr>
      </w:pPr>
    </w:p>
    <w:p w:rsidR="003F4EFA" w:rsidRPr="003F4EFA" w:rsidRDefault="00EB1714" w:rsidP="003F4EFA">
      <w:pPr>
        <w:jc w:val="both"/>
        <w:rPr>
          <w:rFonts w:ascii="Times New Roman" w:hAnsi="Times New Roman" w:cs="Times New Roman"/>
        </w:rPr>
      </w:pPr>
      <w:r>
        <w:rPr>
          <w:rFonts w:ascii="Times New Roman" w:hAnsi="Times New Roman" w:cs="Times New Roman"/>
        </w:rPr>
        <w:t>17.</w:t>
      </w:r>
      <w:r w:rsidR="003F4EFA" w:rsidRPr="003F4EFA">
        <w:rPr>
          <w:rFonts w:ascii="Times New Roman" w:hAnsi="Times New Roman" w:cs="Times New Roman"/>
        </w:rPr>
        <w:t xml:space="preserve"> In the instant case, the MACT had quantified the income of the appellant</w:t>
      </w:r>
    </w:p>
    <w:p w:rsidR="003F4EFA" w:rsidRDefault="00EB1714" w:rsidP="003F4EFA">
      <w:pPr>
        <w:jc w:val="both"/>
        <w:rPr>
          <w:rFonts w:ascii="Times New Roman" w:hAnsi="Times New Roman" w:cs="Times New Roman"/>
        </w:rPr>
      </w:pPr>
      <w:r>
        <w:rPr>
          <w:rFonts w:ascii="Times New Roman" w:hAnsi="Times New Roman" w:cs="Times New Roman"/>
        </w:rPr>
        <w:t xml:space="preserve">at Rs. </w:t>
      </w:r>
      <w:r w:rsidR="003F4EFA" w:rsidRPr="003F4EFA">
        <w:rPr>
          <w:rFonts w:ascii="Times New Roman" w:hAnsi="Times New Roman" w:cs="Times New Roman"/>
        </w:rPr>
        <w:t>10,000, i.e. ^1,20,000 per annum. Going by the age of the appellant</w:t>
      </w:r>
      <w:r>
        <w:rPr>
          <w:rFonts w:ascii="Times New Roman" w:hAnsi="Times New Roman" w:cs="Times New Roman"/>
        </w:rPr>
        <w:t xml:space="preserve"> </w:t>
      </w:r>
      <w:r w:rsidR="003F4EFA" w:rsidRPr="003F4EFA">
        <w:rPr>
          <w:rFonts w:ascii="Times New Roman" w:hAnsi="Times New Roman" w:cs="Times New Roman"/>
        </w:rPr>
        <w:t>at the time of the accident, multiplier of 17 would be admissible.</w:t>
      </w:r>
      <w:r>
        <w:rPr>
          <w:rFonts w:ascii="Times New Roman" w:hAnsi="Times New Roman" w:cs="Times New Roman"/>
        </w:rPr>
        <w:t xml:space="preserve"> </w:t>
      </w:r>
      <w:r w:rsidR="003F4EFA" w:rsidRPr="003F4EFA">
        <w:rPr>
          <w:rFonts w:ascii="Times New Roman" w:hAnsi="Times New Roman" w:cs="Times New Roman"/>
        </w:rPr>
        <w:t>Keeping in view that the permanent disability is 70%, the compensation</w:t>
      </w:r>
      <w:r>
        <w:rPr>
          <w:rFonts w:ascii="Times New Roman" w:hAnsi="Times New Roman" w:cs="Times New Roman"/>
        </w:rPr>
        <w:t xml:space="preserve"> </w:t>
      </w:r>
      <w:r w:rsidR="003F4EFA" w:rsidRPr="003F4EFA">
        <w:rPr>
          <w:rFonts w:ascii="Times New Roman" w:hAnsi="Times New Roman" w:cs="Times New Roman"/>
        </w:rPr>
        <w:t>under this head would be worked out at ^14,28,000. The MACT had</w:t>
      </w:r>
      <w:r>
        <w:rPr>
          <w:rFonts w:ascii="Times New Roman" w:hAnsi="Times New Roman" w:cs="Times New Roman"/>
        </w:rPr>
        <w:t xml:space="preserve"> </w:t>
      </w:r>
      <w:r w:rsidR="003F4EFA" w:rsidRPr="003F4EFA">
        <w:rPr>
          <w:rFonts w:ascii="Times New Roman" w:hAnsi="Times New Roman" w:cs="Times New Roman"/>
        </w:rPr>
        <w:t>awarded compensation of ^70,000 for permanent disability, which</w:t>
      </w:r>
      <w:r>
        <w:rPr>
          <w:rFonts w:ascii="Times New Roman" w:hAnsi="Times New Roman" w:cs="Times New Roman"/>
        </w:rPr>
        <w:t xml:space="preserve"> stands enhanced to Rs. </w:t>
      </w:r>
      <w:r w:rsidR="003F4EFA" w:rsidRPr="003F4EFA">
        <w:rPr>
          <w:rFonts w:ascii="Times New Roman" w:hAnsi="Times New Roman" w:cs="Times New Roman"/>
        </w:rPr>
        <w:t>14,28,000. For mental and physical agony and</w:t>
      </w:r>
      <w:r>
        <w:rPr>
          <w:rFonts w:ascii="Times New Roman" w:hAnsi="Times New Roman" w:cs="Times New Roman"/>
        </w:rPr>
        <w:t xml:space="preserve"> </w:t>
      </w:r>
      <w:r w:rsidR="003F4EFA" w:rsidRPr="003F4EFA">
        <w:rPr>
          <w:rFonts w:ascii="Times New Roman" w:hAnsi="Times New Roman" w:cs="Times New Roman"/>
        </w:rPr>
        <w:t>frustration and disappointment towards life, the MACT has awarded a</w:t>
      </w:r>
      <w:r>
        <w:rPr>
          <w:rFonts w:ascii="Times New Roman" w:hAnsi="Times New Roman" w:cs="Times New Roman"/>
        </w:rPr>
        <w:t xml:space="preserve"> sum of Rs.</w:t>
      </w:r>
      <w:r w:rsidR="003F4EFA" w:rsidRPr="003F4EFA">
        <w:rPr>
          <w:rFonts w:ascii="Times New Roman" w:hAnsi="Times New Roman" w:cs="Times New Roman"/>
        </w:rPr>
        <w:t>30,000, which we enhance to ^1,30,000. In this manner, the</w:t>
      </w:r>
      <w:r>
        <w:rPr>
          <w:rFonts w:ascii="Times New Roman" w:hAnsi="Times New Roman" w:cs="Times New Roman"/>
        </w:rPr>
        <w:t xml:space="preserve"> </w:t>
      </w:r>
      <w:r w:rsidR="003F4EFA" w:rsidRPr="003F4EFA">
        <w:rPr>
          <w:rFonts w:ascii="Times New Roman" w:hAnsi="Times New Roman" w:cs="Times New Roman"/>
        </w:rPr>
        <w:t>compensation that is payable to the appellant is worked out as under:</w:t>
      </w:r>
    </w:p>
    <w:p w:rsidR="00EB1714" w:rsidRDefault="00EB1714" w:rsidP="003F4EFA">
      <w:pPr>
        <w:jc w:val="both"/>
        <w:rPr>
          <w:rFonts w:ascii="Times New Roman" w:hAnsi="Times New Roman" w:cs="Times New Roman"/>
        </w:rPr>
      </w:pPr>
    </w:p>
    <w:tbl>
      <w:tblPr>
        <w:tblStyle w:val="TableGrid"/>
        <w:tblW w:w="0" w:type="auto"/>
        <w:tblLook w:val="04A0"/>
      </w:tblPr>
      <w:tblGrid>
        <w:gridCol w:w="3192"/>
        <w:gridCol w:w="3192"/>
        <w:gridCol w:w="3192"/>
      </w:tblGrid>
      <w:tr w:rsidR="00EB1714" w:rsidTr="00EB1714">
        <w:tc>
          <w:tcPr>
            <w:tcW w:w="3192" w:type="dxa"/>
          </w:tcPr>
          <w:p w:rsidR="00EB1714" w:rsidRDefault="00EB1714" w:rsidP="003F4EFA">
            <w:pPr>
              <w:jc w:val="both"/>
              <w:rPr>
                <w:rFonts w:ascii="Times New Roman" w:hAnsi="Times New Roman" w:cs="Times New Roman"/>
              </w:rPr>
            </w:pPr>
            <w:r>
              <w:rPr>
                <w:rFonts w:ascii="Times New Roman" w:hAnsi="Times New Roman" w:cs="Times New Roman"/>
              </w:rPr>
              <w:t>Head</w:t>
            </w:r>
          </w:p>
        </w:tc>
        <w:tc>
          <w:tcPr>
            <w:tcW w:w="3192" w:type="dxa"/>
          </w:tcPr>
          <w:p w:rsidR="00EB1714" w:rsidRDefault="00EB1714" w:rsidP="003F4EFA">
            <w:pPr>
              <w:jc w:val="both"/>
              <w:rPr>
                <w:rFonts w:ascii="Times New Roman" w:hAnsi="Times New Roman" w:cs="Times New Roman"/>
              </w:rPr>
            </w:pPr>
            <w:r>
              <w:rPr>
                <w:rFonts w:ascii="Times New Roman" w:hAnsi="Times New Roman" w:cs="Times New Roman"/>
              </w:rPr>
              <w:t xml:space="preserve">Awardedby </w:t>
            </w:r>
            <w:r w:rsidRPr="003F4EFA">
              <w:rPr>
                <w:rFonts w:ascii="Times New Roman" w:hAnsi="Times New Roman" w:cs="Times New Roman"/>
              </w:rPr>
              <w:t>MACT</w:t>
            </w:r>
          </w:p>
          <w:p w:rsidR="00EB1714" w:rsidRDefault="00EB1714" w:rsidP="003F4EFA">
            <w:pPr>
              <w:jc w:val="both"/>
              <w:rPr>
                <w:rFonts w:ascii="Times New Roman" w:hAnsi="Times New Roman" w:cs="Times New Roman"/>
              </w:rPr>
            </w:pPr>
            <w:r w:rsidRPr="003F4EFA">
              <w:rPr>
                <w:rFonts w:ascii="Times New Roman" w:hAnsi="Times New Roman" w:cs="Times New Roman"/>
              </w:rPr>
              <w:t>Amount (in Rs.)</w:t>
            </w:r>
          </w:p>
        </w:tc>
        <w:tc>
          <w:tcPr>
            <w:tcW w:w="3192" w:type="dxa"/>
          </w:tcPr>
          <w:p w:rsidR="00EB1714" w:rsidRPr="003F4EFA" w:rsidRDefault="00EB1714" w:rsidP="00EB1714">
            <w:pPr>
              <w:jc w:val="both"/>
              <w:rPr>
                <w:rFonts w:ascii="Times New Roman" w:hAnsi="Times New Roman" w:cs="Times New Roman"/>
              </w:rPr>
            </w:pPr>
            <w:r>
              <w:rPr>
                <w:rFonts w:ascii="Times New Roman" w:hAnsi="Times New Roman" w:cs="Times New Roman"/>
              </w:rPr>
              <w:t>Head</w:t>
            </w:r>
            <w:r>
              <w:rPr>
                <w:rFonts w:ascii="Times New Roman" w:hAnsi="Times New Roman" w:cs="Times New Roman"/>
              </w:rPr>
              <w:tab/>
            </w:r>
            <w:r w:rsidRPr="003F4EFA">
              <w:rPr>
                <w:rFonts w:ascii="Times New Roman" w:hAnsi="Times New Roman" w:cs="Times New Roman"/>
              </w:rPr>
              <w:t>Now Payable</w:t>
            </w:r>
          </w:p>
          <w:p w:rsidR="00EB1714" w:rsidRPr="003F4EFA" w:rsidRDefault="00EB1714" w:rsidP="00EB1714">
            <w:pPr>
              <w:jc w:val="both"/>
              <w:rPr>
                <w:rFonts w:ascii="Times New Roman" w:hAnsi="Times New Roman" w:cs="Times New Roman"/>
              </w:rPr>
            </w:pPr>
            <w:r w:rsidRPr="003F4EFA">
              <w:rPr>
                <w:rFonts w:ascii="Times New Roman" w:hAnsi="Times New Roman" w:cs="Times New Roman"/>
              </w:rPr>
              <w:t>Amount (in Rs.)</w:t>
            </w:r>
          </w:p>
          <w:p w:rsidR="00EB1714" w:rsidRDefault="00EB1714" w:rsidP="003F4EFA">
            <w:pPr>
              <w:jc w:val="both"/>
              <w:rPr>
                <w:rFonts w:ascii="Times New Roman" w:hAnsi="Times New Roman" w:cs="Times New Roman"/>
              </w:rPr>
            </w:pPr>
          </w:p>
        </w:tc>
      </w:tr>
      <w:tr w:rsidR="00EB1714" w:rsidTr="00EB1714">
        <w:tc>
          <w:tcPr>
            <w:tcW w:w="3192" w:type="dxa"/>
          </w:tcPr>
          <w:p w:rsidR="00EB1714" w:rsidRDefault="00EB1714" w:rsidP="003F4EFA">
            <w:pPr>
              <w:jc w:val="both"/>
              <w:rPr>
                <w:rFonts w:ascii="Times New Roman" w:hAnsi="Times New Roman" w:cs="Times New Roman"/>
              </w:rPr>
            </w:pPr>
            <w:r w:rsidRPr="003F4EFA">
              <w:rPr>
                <w:rFonts w:ascii="Times New Roman" w:hAnsi="Times New Roman" w:cs="Times New Roman"/>
              </w:rPr>
              <w:t>Medical &amp; Transport -Expenses</w:t>
            </w:r>
            <w:r w:rsidRPr="003F4EFA">
              <w:rPr>
                <w:rFonts w:ascii="Times New Roman" w:hAnsi="Times New Roman" w:cs="Times New Roman"/>
              </w:rPr>
              <w:tab/>
            </w:r>
          </w:p>
        </w:tc>
        <w:tc>
          <w:tcPr>
            <w:tcW w:w="3192" w:type="dxa"/>
          </w:tcPr>
          <w:p w:rsidR="00EB1714" w:rsidRDefault="00EB1714" w:rsidP="003F4EFA">
            <w:pPr>
              <w:jc w:val="both"/>
              <w:rPr>
                <w:rFonts w:ascii="Times New Roman" w:hAnsi="Times New Roman" w:cs="Times New Roman"/>
              </w:rPr>
            </w:pPr>
            <w:r>
              <w:rPr>
                <w:rFonts w:ascii="Times New Roman" w:hAnsi="Times New Roman" w:cs="Times New Roman"/>
              </w:rPr>
              <w:t>3,10,227</w:t>
            </w:r>
          </w:p>
        </w:tc>
        <w:tc>
          <w:tcPr>
            <w:tcW w:w="3192" w:type="dxa"/>
          </w:tcPr>
          <w:p w:rsidR="00EB1714" w:rsidRDefault="00012E1C" w:rsidP="003F4EFA">
            <w:pPr>
              <w:jc w:val="both"/>
              <w:rPr>
                <w:rFonts w:ascii="Times New Roman" w:hAnsi="Times New Roman" w:cs="Times New Roman"/>
              </w:rPr>
            </w:pPr>
            <w:r>
              <w:rPr>
                <w:rFonts w:ascii="Times New Roman" w:hAnsi="Times New Roman" w:cs="Times New Roman"/>
              </w:rPr>
              <w:t>3,10,227</w:t>
            </w:r>
          </w:p>
        </w:tc>
      </w:tr>
      <w:tr w:rsidR="00EB1714" w:rsidTr="00EB1714">
        <w:tc>
          <w:tcPr>
            <w:tcW w:w="3192" w:type="dxa"/>
          </w:tcPr>
          <w:p w:rsidR="00EB1714" w:rsidRDefault="00012E1C" w:rsidP="003F4EFA">
            <w:pPr>
              <w:jc w:val="both"/>
              <w:rPr>
                <w:rFonts w:ascii="Times New Roman" w:hAnsi="Times New Roman" w:cs="Times New Roman"/>
              </w:rPr>
            </w:pPr>
            <w:r>
              <w:rPr>
                <w:rFonts w:ascii="Times New Roman" w:hAnsi="Times New Roman" w:cs="Times New Roman"/>
              </w:rPr>
              <w:t>Loss of Income</w:t>
            </w:r>
          </w:p>
        </w:tc>
        <w:tc>
          <w:tcPr>
            <w:tcW w:w="3192" w:type="dxa"/>
          </w:tcPr>
          <w:p w:rsidR="00EB1714" w:rsidRDefault="00012E1C" w:rsidP="003F4EFA">
            <w:pPr>
              <w:jc w:val="both"/>
              <w:rPr>
                <w:rFonts w:ascii="Times New Roman" w:hAnsi="Times New Roman" w:cs="Times New Roman"/>
              </w:rPr>
            </w:pPr>
            <w:r>
              <w:rPr>
                <w:rFonts w:ascii="Times New Roman" w:hAnsi="Times New Roman" w:cs="Times New Roman"/>
              </w:rPr>
              <w:t>100,000</w:t>
            </w:r>
          </w:p>
        </w:tc>
        <w:tc>
          <w:tcPr>
            <w:tcW w:w="3192" w:type="dxa"/>
          </w:tcPr>
          <w:p w:rsidR="00EB1714" w:rsidRDefault="00012E1C" w:rsidP="003F4EFA">
            <w:pPr>
              <w:jc w:val="both"/>
              <w:rPr>
                <w:rFonts w:ascii="Times New Roman" w:hAnsi="Times New Roman" w:cs="Times New Roman"/>
              </w:rPr>
            </w:pPr>
            <w:r>
              <w:rPr>
                <w:rFonts w:ascii="Times New Roman" w:hAnsi="Times New Roman" w:cs="Times New Roman"/>
              </w:rPr>
              <w:t>1,00,000</w:t>
            </w:r>
          </w:p>
        </w:tc>
      </w:tr>
      <w:tr w:rsidR="00EB1714" w:rsidTr="00EB1714">
        <w:tc>
          <w:tcPr>
            <w:tcW w:w="3192" w:type="dxa"/>
          </w:tcPr>
          <w:p w:rsidR="00EB1714" w:rsidRDefault="00012E1C" w:rsidP="003F4EFA">
            <w:pPr>
              <w:jc w:val="both"/>
              <w:rPr>
                <w:rFonts w:ascii="Times New Roman" w:hAnsi="Times New Roman" w:cs="Times New Roman"/>
              </w:rPr>
            </w:pPr>
            <w:r>
              <w:rPr>
                <w:rFonts w:ascii="Times New Roman" w:hAnsi="Times New Roman" w:cs="Times New Roman"/>
              </w:rPr>
              <w:t>Mental &amp; Physical agony</w:t>
            </w:r>
          </w:p>
        </w:tc>
        <w:tc>
          <w:tcPr>
            <w:tcW w:w="3192" w:type="dxa"/>
          </w:tcPr>
          <w:p w:rsidR="00EB1714" w:rsidRDefault="00012E1C" w:rsidP="003F4EFA">
            <w:pPr>
              <w:jc w:val="both"/>
              <w:rPr>
                <w:rFonts w:ascii="Times New Roman" w:hAnsi="Times New Roman" w:cs="Times New Roman"/>
              </w:rPr>
            </w:pPr>
            <w:r>
              <w:rPr>
                <w:rFonts w:ascii="Times New Roman" w:hAnsi="Times New Roman" w:cs="Times New Roman"/>
              </w:rPr>
              <w:t>30,000</w:t>
            </w:r>
          </w:p>
        </w:tc>
        <w:tc>
          <w:tcPr>
            <w:tcW w:w="3192" w:type="dxa"/>
          </w:tcPr>
          <w:p w:rsidR="00EB1714" w:rsidRDefault="00012E1C" w:rsidP="003F4EFA">
            <w:pPr>
              <w:jc w:val="both"/>
              <w:rPr>
                <w:rFonts w:ascii="Times New Roman" w:hAnsi="Times New Roman" w:cs="Times New Roman"/>
              </w:rPr>
            </w:pPr>
            <w:r>
              <w:rPr>
                <w:rFonts w:ascii="Times New Roman" w:hAnsi="Times New Roman" w:cs="Times New Roman"/>
              </w:rPr>
              <w:t>1,30,000</w:t>
            </w:r>
          </w:p>
        </w:tc>
      </w:tr>
      <w:tr w:rsidR="00012E1C" w:rsidTr="00EB1714">
        <w:tc>
          <w:tcPr>
            <w:tcW w:w="3192" w:type="dxa"/>
          </w:tcPr>
          <w:p w:rsidR="00012E1C" w:rsidRDefault="00012E1C" w:rsidP="003F4EFA">
            <w:pPr>
              <w:jc w:val="both"/>
              <w:rPr>
                <w:rFonts w:ascii="Times New Roman" w:hAnsi="Times New Roman" w:cs="Times New Roman"/>
              </w:rPr>
            </w:pPr>
            <w:r>
              <w:rPr>
                <w:rFonts w:ascii="Times New Roman" w:hAnsi="Times New Roman" w:cs="Times New Roman"/>
              </w:rPr>
              <w:t>Removal of rod inserted in right leg</w:t>
            </w:r>
          </w:p>
        </w:tc>
        <w:tc>
          <w:tcPr>
            <w:tcW w:w="3192" w:type="dxa"/>
          </w:tcPr>
          <w:p w:rsidR="00012E1C" w:rsidRDefault="00012E1C" w:rsidP="003F4EFA">
            <w:pPr>
              <w:jc w:val="both"/>
              <w:rPr>
                <w:rFonts w:ascii="Times New Roman" w:hAnsi="Times New Roman" w:cs="Times New Roman"/>
              </w:rPr>
            </w:pPr>
            <w:r>
              <w:rPr>
                <w:rFonts w:ascii="Times New Roman" w:hAnsi="Times New Roman" w:cs="Times New Roman"/>
              </w:rPr>
              <w:t>25,000</w:t>
            </w:r>
          </w:p>
        </w:tc>
        <w:tc>
          <w:tcPr>
            <w:tcW w:w="3192" w:type="dxa"/>
          </w:tcPr>
          <w:p w:rsidR="00012E1C" w:rsidRDefault="00012E1C" w:rsidP="003F4EFA">
            <w:pPr>
              <w:jc w:val="both"/>
              <w:rPr>
                <w:rFonts w:ascii="Times New Roman" w:hAnsi="Times New Roman" w:cs="Times New Roman"/>
              </w:rPr>
            </w:pPr>
            <w:r>
              <w:rPr>
                <w:rFonts w:ascii="Times New Roman" w:hAnsi="Times New Roman" w:cs="Times New Roman"/>
              </w:rPr>
              <w:t>25,000</w:t>
            </w:r>
          </w:p>
        </w:tc>
      </w:tr>
      <w:tr w:rsidR="00012E1C" w:rsidTr="00EB1714">
        <w:tc>
          <w:tcPr>
            <w:tcW w:w="3192" w:type="dxa"/>
          </w:tcPr>
          <w:p w:rsidR="00012E1C" w:rsidRDefault="00012E1C" w:rsidP="003F4EFA">
            <w:pPr>
              <w:jc w:val="both"/>
              <w:rPr>
                <w:rFonts w:ascii="Times New Roman" w:hAnsi="Times New Roman" w:cs="Times New Roman"/>
              </w:rPr>
            </w:pPr>
            <w:r>
              <w:rPr>
                <w:rFonts w:ascii="Times New Roman" w:hAnsi="Times New Roman" w:cs="Times New Roman"/>
              </w:rPr>
              <w:t>Permanent disability to some extent</w:t>
            </w:r>
          </w:p>
        </w:tc>
        <w:tc>
          <w:tcPr>
            <w:tcW w:w="3192" w:type="dxa"/>
          </w:tcPr>
          <w:p w:rsidR="00012E1C" w:rsidRDefault="00012E1C" w:rsidP="003F4EFA">
            <w:pPr>
              <w:jc w:val="both"/>
              <w:rPr>
                <w:rFonts w:ascii="Times New Roman" w:hAnsi="Times New Roman" w:cs="Times New Roman"/>
              </w:rPr>
            </w:pPr>
            <w:r>
              <w:rPr>
                <w:rFonts w:ascii="Times New Roman" w:hAnsi="Times New Roman" w:cs="Times New Roman"/>
              </w:rPr>
              <w:t>70,000</w:t>
            </w:r>
          </w:p>
        </w:tc>
        <w:tc>
          <w:tcPr>
            <w:tcW w:w="3192" w:type="dxa"/>
          </w:tcPr>
          <w:p w:rsidR="00012E1C" w:rsidRDefault="00012E1C" w:rsidP="003F4EFA">
            <w:pPr>
              <w:jc w:val="both"/>
              <w:rPr>
                <w:rFonts w:ascii="Times New Roman" w:hAnsi="Times New Roman" w:cs="Times New Roman"/>
              </w:rPr>
            </w:pPr>
            <w:r>
              <w:rPr>
                <w:rFonts w:ascii="Times New Roman" w:hAnsi="Times New Roman" w:cs="Times New Roman"/>
              </w:rPr>
              <w:t>14,28,000</w:t>
            </w:r>
          </w:p>
        </w:tc>
      </w:tr>
      <w:tr w:rsidR="00012E1C" w:rsidTr="00012E1C">
        <w:trPr>
          <w:trHeight w:val="422"/>
        </w:trPr>
        <w:tc>
          <w:tcPr>
            <w:tcW w:w="3192" w:type="dxa"/>
          </w:tcPr>
          <w:p w:rsidR="00012E1C" w:rsidRPr="00012E1C" w:rsidRDefault="00012E1C" w:rsidP="003F4EFA">
            <w:pPr>
              <w:jc w:val="both"/>
              <w:rPr>
                <w:rFonts w:ascii="Times New Roman" w:hAnsi="Times New Roman" w:cs="Times New Roman"/>
                <w:b/>
              </w:rPr>
            </w:pPr>
            <w:r w:rsidRPr="00012E1C">
              <w:rPr>
                <w:rFonts w:ascii="Times New Roman" w:hAnsi="Times New Roman" w:cs="Times New Roman"/>
                <w:b/>
              </w:rPr>
              <w:lastRenderedPageBreak/>
              <w:t>Total</w:t>
            </w:r>
          </w:p>
        </w:tc>
        <w:tc>
          <w:tcPr>
            <w:tcW w:w="3192" w:type="dxa"/>
          </w:tcPr>
          <w:p w:rsidR="00012E1C" w:rsidRPr="00012E1C" w:rsidRDefault="00012E1C" w:rsidP="003F4EFA">
            <w:pPr>
              <w:jc w:val="both"/>
              <w:rPr>
                <w:rFonts w:ascii="Times New Roman" w:hAnsi="Times New Roman" w:cs="Times New Roman"/>
                <w:b/>
              </w:rPr>
            </w:pPr>
            <w:r w:rsidRPr="00012E1C">
              <w:rPr>
                <w:rFonts w:ascii="Times New Roman" w:hAnsi="Times New Roman" w:cs="Times New Roman"/>
                <w:b/>
              </w:rPr>
              <w:t>5,35,227</w:t>
            </w:r>
          </w:p>
        </w:tc>
        <w:tc>
          <w:tcPr>
            <w:tcW w:w="3192" w:type="dxa"/>
          </w:tcPr>
          <w:p w:rsidR="00012E1C" w:rsidRPr="00012E1C" w:rsidRDefault="00012E1C" w:rsidP="003F4EFA">
            <w:pPr>
              <w:jc w:val="both"/>
              <w:rPr>
                <w:rFonts w:ascii="Times New Roman" w:hAnsi="Times New Roman" w:cs="Times New Roman"/>
                <w:b/>
              </w:rPr>
            </w:pPr>
            <w:r w:rsidRPr="00012E1C">
              <w:rPr>
                <w:rFonts w:ascii="Times New Roman" w:hAnsi="Times New Roman" w:cs="Times New Roman"/>
                <w:b/>
              </w:rPr>
              <w:t>19,93,227</w:t>
            </w:r>
          </w:p>
        </w:tc>
      </w:tr>
    </w:tbl>
    <w:p w:rsidR="00EB1714" w:rsidRPr="003F4EFA" w:rsidRDefault="00EB1714" w:rsidP="003F4EFA">
      <w:pPr>
        <w:jc w:val="both"/>
        <w:rPr>
          <w:rFonts w:ascii="Times New Roman" w:hAnsi="Times New Roman" w:cs="Times New Roman"/>
        </w:rPr>
      </w:pPr>
    </w:p>
    <w:p w:rsidR="003F4EFA" w:rsidRPr="003F4EFA" w:rsidRDefault="003F4EFA" w:rsidP="003F4EFA">
      <w:pPr>
        <w:jc w:val="both"/>
        <w:rPr>
          <w:rFonts w:ascii="Times New Roman" w:hAnsi="Times New Roman" w:cs="Times New Roman"/>
        </w:rPr>
      </w:pPr>
      <w:r w:rsidRPr="003F4EFA">
        <w:rPr>
          <w:rFonts w:ascii="Times New Roman" w:hAnsi="Times New Roman" w:cs="Times New Roman"/>
        </w:rPr>
        <w:t>,</w:t>
      </w:r>
      <w:r w:rsidRPr="003F4EFA">
        <w:rPr>
          <w:rFonts w:ascii="Times New Roman" w:hAnsi="Times New Roman" w:cs="Times New Roman"/>
        </w:rPr>
        <w:tab/>
        <w:t>,</w:t>
      </w:r>
      <w:r w:rsidRPr="003F4EFA">
        <w:rPr>
          <w:rFonts w:ascii="Times New Roman" w:hAnsi="Times New Roman" w:cs="Times New Roman"/>
        </w:rPr>
        <w:tab/>
        <w:t>,</w:t>
      </w:r>
      <w:r w:rsidRPr="003F4EFA">
        <w:rPr>
          <w:rFonts w:ascii="Times New Roman" w:hAnsi="Times New Roman" w:cs="Times New Roman"/>
        </w:rPr>
        <w:tab/>
        <w:t xml:space="preserve">, </w:t>
      </w:r>
    </w:p>
    <w:p w:rsidR="003F4EFA" w:rsidRDefault="003F4EFA" w:rsidP="003F4EFA">
      <w:pPr>
        <w:jc w:val="both"/>
        <w:rPr>
          <w:rFonts w:ascii="Times New Roman" w:hAnsi="Times New Roman" w:cs="Times New Roman"/>
        </w:rPr>
      </w:pPr>
      <w:r w:rsidRPr="003F4EFA">
        <w:rPr>
          <w:rFonts w:ascii="Times New Roman" w:hAnsi="Times New Roman" w:cs="Times New Roman"/>
        </w:rPr>
        <w:t>The appellant shall also be entitled to the interest, as awarded by the High Court, as well as costs of this appeal. The amount shall be paid to the appellant within two months after deducting the payments already made.</w:t>
      </w:r>
    </w:p>
    <w:p w:rsidR="00012E1C" w:rsidRPr="003F4EFA" w:rsidRDefault="00012E1C" w:rsidP="003F4EFA">
      <w:pPr>
        <w:jc w:val="both"/>
        <w:rPr>
          <w:rFonts w:ascii="Times New Roman" w:hAnsi="Times New Roman" w:cs="Times New Roman"/>
        </w:rPr>
      </w:pPr>
    </w:p>
    <w:p w:rsidR="003F4EFA" w:rsidRDefault="00012E1C" w:rsidP="003F4EFA">
      <w:pPr>
        <w:jc w:val="both"/>
        <w:rPr>
          <w:rFonts w:ascii="Times New Roman" w:hAnsi="Times New Roman" w:cs="Times New Roman"/>
        </w:rPr>
      </w:pPr>
      <w:r>
        <w:rPr>
          <w:rFonts w:ascii="Times New Roman" w:hAnsi="Times New Roman" w:cs="Times New Roman"/>
        </w:rPr>
        <w:t xml:space="preserve">18. </w:t>
      </w:r>
      <w:r w:rsidR="003F4EFA" w:rsidRPr="003F4EFA">
        <w:rPr>
          <w:rFonts w:ascii="Times New Roman" w:hAnsi="Times New Roman" w:cs="Times New Roman"/>
        </w:rPr>
        <w:t>The appeal is disposed of accordingly.</w:t>
      </w:r>
    </w:p>
    <w:p w:rsidR="00012E1C" w:rsidRDefault="00012E1C" w:rsidP="003F4EFA">
      <w:pPr>
        <w:jc w:val="both"/>
        <w:rPr>
          <w:rFonts w:ascii="Times New Roman" w:hAnsi="Times New Roman" w:cs="Times New Roman"/>
        </w:rPr>
      </w:pPr>
    </w:p>
    <w:p w:rsidR="00012E1C" w:rsidRPr="00012E1C" w:rsidRDefault="00012E1C" w:rsidP="00012E1C">
      <w:pPr>
        <w:jc w:val="both"/>
        <w:rPr>
          <w:rFonts w:ascii="Times New Roman" w:hAnsi="Times New Roman" w:cs="Times New Roman"/>
          <w:i/>
          <w:sz w:val="20"/>
          <w:szCs w:val="20"/>
        </w:rPr>
      </w:pPr>
      <w:r w:rsidRPr="00012E1C">
        <w:rPr>
          <w:rFonts w:ascii="Times New Roman" w:hAnsi="Times New Roman" w:cs="Times New Roman"/>
          <w:i/>
          <w:sz w:val="20"/>
          <w:szCs w:val="20"/>
          <w:vertAlign w:val="superscript"/>
        </w:rPr>
        <w:t>1</w:t>
      </w:r>
      <w:r w:rsidRPr="00012E1C">
        <w:rPr>
          <w:rFonts w:ascii="Times New Roman" w:hAnsi="Times New Roman" w:cs="Times New Roman"/>
          <w:i/>
          <w:sz w:val="20"/>
          <w:szCs w:val="20"/>
        </w:rPr>
        <w:t>(1966) 3 SCR 0649</w:t>
      </w:r>
    </w:p>
    <w:p w:rsidR="00012E1C" w:rsidRPr="00012E1C" w:rsidRDefault="00012E1C" w:rsidP="00012E1C">
      <w:pPr>
        <w:jc w:val="both"/>
        <w:rPr>
          <w:rFonts w:ascii="Times New Roman" w:hAnsi="Times New Roman" w:cs="Times New Roman"/>
          <w:i/>
          <w:sz w:val="20"/>
          <w:szCs w:val="20"/>
        </w:rPr>
      </w:pPr>
      <w:r w:rsidRPr="00012E1C">
        <w:rPr>
          <w:rFonts w:ascii="Times New Roman" w:hAnsi="Times New Roman" w:cs="Times New Roman"/>
          <w:i/>
          <w:sz w:val="20"/>
          <w:szCs w:val="20"/>
          <w:vertAlign w:val="superscript"/>
        </w:rPr>
        <w:t>2</w:t>
      </w:r>
      <w:r w:rsidRPr="00012E1C">
        <w:rPr>
          <w:rFonts w:ascii="Times New Roman" w:hAnsi="Times New Roman" w:cs="Times New Roman"/>
          <w:i/>
          <w:sz w:val="20"/>
          <w:szCs w:val="20"/>
        </w:rPr>
        <w:t>(1977) 3 SCC 0064</w:t>
      </w:r>
    </w:p>
    <w:p w:rsidR="00012E1C" w:rsidRPr="00012E1C" w:rsidRDefault="00012E1C" w:rsidP="00012E1C">
      <w:pPr>
        <w:jc w:val="both"/>
        <w:rPr>
          <w:rFonts w:ascii="Times New Roman" w:hAnsi="Times New Roman" w:cs="Times New Roman"/>
          <w:i/>
          <w:sz w:val="20"/>
          <w:szCs w:val="20"/>
        </w:rPr>
      </w:pPr>
      <w:r w:rsidRPr="00012E1C">
        <w:rPr>
          <w:rFonts w:ascii="Times New Roman" w:hAnsi="Times New Roman" w:cs="Times New Roman"/>
          <w:i/>
          <w:sz w:val="20"/>
          <w:szCs w:val="20"/>
          <w:vertAlign w:val="superscript"/>
        </w:rPr>
        <w:t>3</w:t>
      </w:r>
      <w:r w:rsidRPr="00012E1C">
        <w:rPr>
          <w:rFonts w:ascii="Times New Roman" w:hAnsi="Times New Roman" w:cs="Times New Roman"/>
          <w:i/>
          <w:sz w:val="20"/>
          <w:szCs w:val="20"/>
        </w:rPr>
        <w:t>(1969) ACJ 0312 (HL. England)</w:t>
      </w:r>
    </w:p>
    <w:p w:rsidR="00012E1C" w:rsidRPr="00012E1C" w:rsidRDefault="00012E1C" w:rsidP="00012E1C">
      <w:pPr>
        <w:jc w:val="both"/>
        <w:rPr>
          <w:rFonts w:ascii="Times New Roman" w:hAnsi="Times New Roman" w:cs="Times New Roman"/>
          <w:i/>
          <w:sz w:val="20"/>
          <w:szCs w:val="20"/>
        </w:rPr>
      </w:pPr>
      <w:r w:rsidRPr="00012E1C">
        <w:rPr>
          <w:rFonts w:ascii="Times New Roman" w:hAnsi="Times New Roman" w:cs="Times New Roman"/>
          <w:i/>
          <w:sz w:val="20"/>
          <w:szCs w:val="20"/>
          <w:vertAlign w:val="superscript"/>
        </w:rPr>
        <w:t>4</w:t>
      </w:r>
      <w:r w:rsidRPr="00012E1C">
        <w:rPr>
          <w:rFonts w:ascii="Times New Roman" w:hAnsi="Times New Roman" w:cs="Times New Roman"/>
          <w:i/>
          <w:sz w:val="20"/>
          <w:szCs w:val="20"/>
        </w:rPr>
        <w:t>(1996) 4 SCC 3625</w:t>
      </w:r>
    </w:p>
    <w:p w:rsidR="00012E1C" w:rsidRPr="00012E1C" w:rsidRDefault="00012E1C" w:rsidP="00012E1C">
      <w:pPr>
        <w:jc w:val="both"/>
        <w:rPr>
          <w:rFonts w:ascii="Times New Roman" w:hAnsi="Times New Roman" w:cs="Times New Roman"/>
          <w:i/>
          <w:sz w:val="20"/>
          <w:szCs w:val="20"/>
        </w:rPr>
      </w:pPr>
      <w:r w:rsidRPr="00012E1C">
        <w:rPr>
          <w:rFonts w:ascii="Times New Roman" w:hAnsi="Times New Roman" w:cs="Times New Roman"/>
          <w:i/>
          <w:sz w:val="20"/>
          <w:szCs w:val="20"/>
        </w:rPr>
        <w:t xml:space="preserve"> </w:t>
      </w:r>
      <w:r w:rsidRPr="00012E1C">
        <w:rPr>
          <w:rFonts w:ascii="Times New Roman" w:hAnsi="Times New Roman" w:cs="Times New Roman"/>
          <w:i/>
          <w:sz w:val="20"/>
          <w:szCs w:val="20"/>
          <w:vertAlign w:val="superscript"/>
        </w:rPr>
        <w:t>5</w:t>
      </w:r>
      <w:r w:rsidRPr="00012E1C">
        <w:rPr>
          <w:rFonts w:ascii="Times New Roman" w:hAnsi="Times New Roman" w:cs="Times New Roman"/>
          <w:i/>
          <w:sz w:val="20"/>
          <w:szCs w:val="20"/>
        </w:rPr>
        <w:t>(2011) 1 SCC 0343</w:t>
      </w:r>
    </w:p>
    <w:p w:rsidR="00012E1C" w:rsidRPr="00012E1C" w:rsidRDefault="00012E1C" w:rsidP="00012E1C">
      <w:pPr>
        <w:jc w:val="both"/>
        <w:rPr>
          <w:rFonts w:ascii="Times New Roman" w:hAnsi="Times New Roman" w:cs="Times New Roman"/>
          <w:i/>
          <w:sz w:val="20"/>
          <w:szCs w:val="20"/>
        </w:rPr>
      </w:pPr>
      <w:r w:rsidRPr="00012E1C">
        <w:rPr>
          <w:rFonts w:ascii="Times New Roman" w:hAnsi="Times New Roman" w:cs="Times New Roman"/>
          <w:i/>
          <w:sz w:val="20"/>
          <w:szCs w:val="20"/>
          <w:vertAlign w:val="superscript"/>
        </w:rPr>
        <w:t>6</w:t>
      </w:r>
      <w:r w:rsidRPr="00012E1C">
        <w:rPr>
          <w:rFonts w:ascii="Times New Roman" w:hAnsi="Times New Roman" w:cs="Times New Roman"/>
          <w:i/>
          <w:sz w:val="20"/>
          <w:szCs w:val="20"/>
        </w:rPr>
        <w:t>(2010) 10 SCC 0341</w:t>
      </w:r>
    </w:p>
    <w:p w:rsidR="00012E1C" w:rsidRPr="00012E1C" w:rsidRDefault="00012E1C" w:rsidP="00012E1C">
      <w:pPr>
        <w:jc w:val="both"/>
        <w:rPr>
          <w:rFonts w:ascii="Times New Roman" w:hAnsi="Times New Roman" w:cs="Times New Roman"/>
          <w:i/>
          <w:sz w:val="20"/>
          <w:szCs w:val="20"/>
        </w:rPr>
      </w:pPr>
      <w:r w:rsidRPr="00012E1C">
        <w:rPr>
          <w:rFonts w:ascii="Times New Roman" w:hAnsi="Times New Roman" w:cs="Times New Roman"/>
          <w:i/>
          <w:sz w:val="20"/>
          <w:szCs w:val="20"/>
          <w:vertAlign w:val="superscript"/>
        </w:rPr>
        <w:t>7</w:t>
      </w:r>
      <w:r w:rsidRPr="00012E1C">
        <w:rPr>
          <w:rFonts w:ascii="Times New Roman" w:hAnsi="Times New Roman" w:cs="Times New Roman"/>
          <w:i/>
          <w:sz w:val="20"/>
          <w:szCs w:val="20"/>
        </w:rPr>
        <w:t>(1994) 2 SCC 0176</w:t>
      </w:r>
    </w:p>
    <w:p w:rsidR="003F4EFA" w:rsidRPr="004B31EF" w:rsidRDefault="003F4EFA" w:rsidP="003F4EFA">
      <w:pPr>
        <w:jc w:val="both"/>
        <w:rPr>
          <w:rFonts w:ascii="Times New Roman" w:hAnsi="Times New Roman" w:cs="Times New Roman"/>
        </w:rPr>
      </w:pPr>
    </w:p>
    <w:sectPr w:rsidR="003F4EFA" w:rsidRPr="004B31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8DA" w:rsidRDefault="002D48DA" w:rsidP="00CF3BB7">
      <w:r>
        <w:separator/>
      </w:r>
    </w:p>
  </w:endnote>
  <w:endnote w:type="continuationSeparator" w:id="1">
    <w:p w:rsidR="002D48DA" w:rsidRDefault="002D48D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18CA" w:rsidRPr="00CF3BB7">
          <w:rPr>
            <w:sz w:val="22"/>
            <w:szCs w:val="22"/>
          </w:rPr>
          <w:fldChar w:fldCharType="begin"/>
        </w:r>
        <w:r w:rsidRPr="00CF3BB7">
          <w:rPr>
            <w:sz w:val="22"/>
            <w:szCs w:val="22"/>
          </w:rPr>
          <w:instrText xml:space="preserve"> PAGE   \* MERGEFORMAT </w:instrText>
        </w:r>
        <w:r w:rsidR="003318CA" w:rsidRPr="00CF3BB7">
          <w:rPr>
            <w:sz w:val="22"/>
            <w:szCs w:val="22"/>
          </w:rPr>
          <w:fldChar w:fldCharType="separate"/>
        </w:r>
        <w:r w:rsidR="00012E1C">
          <w:rPr>
            <w:noProof/>
            <w:sz w:val="22"/>
            <w:szCs w:val="22"/>
          </w:rPr>
          <w:t>1</w:t>
        </w:r>
        <w:r w:rsidR="003318C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8DA" w:rsidRDefault="002D48DA" w:rsidP="00CF3BB7">
      <w:r>
        <w:separator/>
      </w:r>
    </w:p>
  </w:footnote>
  <w:footnote w:type="continuationSeparator" w:id="1">
    <w:p w:rsidR="002D48DA" w:rsidRDefault="002D48D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D48DA"/>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2017-02-03T08:15:00Z</cp:lastPrinted>
  <dcterms:created xsi:type="dcterms:W3CDTF">2017-02-03T08:53:00Z</dcterms:created>
  <dcterms:modified xsi:type="dcterms:W3CDTF">2017-02-03T08:53:00Z</dcterms:modified>
</cp:coreProperties>
</file>