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36" w:rsidRPr="00F94E36" w:rsidRDefault="00F94E36" w:rsidP="00F94E36">
      <w:pPr>
        <w:jc w:val="center"/>
        <w:rPr>
          <w:rFonts w:ascii="Times New Roman" w:hAnsi="Times New Roman" w:cs="Times New Roman"/>
          <w:b/>
        </w:rPr>
      </w:pPr>
      <w:r w:rsidRPr="00F94E36">
        <w:rPr>
          <w:rFonts w:ascii="Times New Roman" w:hAnsi="Times New Roman" w:cs="Times New Roman"/>
          <w:b/>
        </w:rPr>
        <w:t>SUPREME COURT OF INDIA</w:t>
      </w:r>
    </w:p>
    <w:p w:rsidR="00F94E36" w:rsidRP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sidRPr="00F94E36">
        <w:rPr>
          <w:rFonts w:ascii="Times New Roman" w:hAnsi="Times New Roman" w:cs="Times New Roman"/>
        </w:rPr>
        <w:t>Laurel Energetics Pvt. Ltd.</w:t>
      </w:r>
    </w:p>
    <w:p w:rsid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Pr>
          <w:rFonts w:ascii="Times New Roman" w:hAnsi="Times New Roman" w:cs="Times New Roman"/>
        </w:rPr>
        <w:t>Vs.</w:t>
      </w:r>
    </w:p>
    <w:p w:rsidR="00F94E36" w:rsidRP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Pr>
          <w:rFonts w:ascii="Times New Roman" w:hAnsi="Times New Roman" w:cs="Times New Roman"/>
        </w:rPr>
        <w:t>Securities a</w:t>
      </w:r>
      <w:r w:rsidRPr="00F94E36">
        <w:rPr>
          <w:rFonts w:ascii="Times New Roman" w:hAnsi="Times New Roman" w:cs="Times New Roman"/>
        </w:rPr>
        <w:t>nd Exchange Board</w:t>
      </w:r>
      <w:r>
        <w:rPr>
          <w:rFonts w:ascii="Times New Roman" w:hAnsi="Times New Roman" w:cs="Times New Roman"/>
        </w:rPr>
        <w:t xml:space="preserve"> o</w:t>
      </w:r>
      <w:r w:rsidRPr="00F94E36">
        <w:rPr>
          <w:rFonts w:ascii="Times New Roman" w:hAnsi="Times New Roman" w:cs="Times New Roman"/>
        </w:rPr>
        <w:t>f Indi</w:t>
      </w:r>
      <w:r>
        <w:rPr>
          <w:rFonts w:ascii="Times New Roman" w:hAnsi="Times New Roman" w:cs="Times New Roman"/>
        </w:rPr>
        <w:t>a</w:t>
      </w:r>
    </w:p>
    <w:p w:rsid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Pr>
          <w:rFonts w:ascii="Times New Roman" w:hAnsi="Times New Roman" w:cs="Times New Roman"/>
        </w:rPr>
        <w:t xml:space="preserve">C.A.No.5675 of </w:t>
      </w:r>
      <w:r w:rsidRPr="00F94E36">
        <w:rPr>
          <w:rFonts w:ascii="Times New Roman" w:hAnsi="Times New Roman" w:cs="Times New Roman"/>
        </w:rPr>
        <w:t>2017</w:t>
      </w:r>
    </w:p>
    <w:p w:rsid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Pr>
          <w:rFonts w:ascii="Times New Roman" w:hAnsi="Times New Roman" w:cs="Times New Roman"/>
        </w:rPr>
        <w:t>(R.F.Nariman and Sanjay Kishan Kaul,JJ.,)</w:t>
      </w:r>
    </w:p>
    <w:p w:rsidR="00F94E36" w:rsidRDefault="00F94E36" w:rsidP="00F94E36">
      <w:pPr>
        <w:jc w:val="center"/>
        <w:rPr>
          <w:rFonts w:ascii="Times New Roman" w:hAnsi="Times New Roman" w:cs="Times New Roman"/>
        </w:rPr>
      </w:pPr>
    </w:p>
    <w:p w:rsidR="00F94E36" w:rsidRDefault="00F94E36" w:rsidP="00F94E36">
      <w:pPr>
        <w:jc w:val="center"/>
        <w:rPr>
          <w:rFonts w:ascii="Times New Roman" w:hAnsi="Times New Roman" w:cs="Times New Roman"/>
        </w:rPr>
      </w:pPr>
      <w:r>
        <w:rPr>
          <w:rFonts w:ascii="Times New Roman" w:hAnsi="Times New Roman" w:cs="Times New Roman"/>
        </w:rPr>
        <w:t>13.07.2017</w:t>
      </w:r>
    </w:p>
    <w:p w:rsidR="00F94E36" w:rsidRDefault="00F94E36" w:rsidP="00F94E36">
      <w:pPr>
        <w:jc w:val="center"/>
        <w:rPr>
          <w:rFonts w:ascii="Times New Roman" w:hAnsi="Times New Roman" w:cs="Times New Roman"/>
        </w:rPr>
      </w:pPr>
    </w:p>
    <w:p w:rsidR="00F94E36" w:rsidRPr="00F94E36" w:rsidRDefault="00F94E36" w:rsidP="00F94E36">
      <w:pPr>
        <w:jc w:val="center"/>
        <w:rPr>
          <w:rFonts w:ascii="Times New Roman" w:hAnsi="Times New Roman" w:cs="Times New Roman"/>
          <w:b/>
        </w:rPr>
      </w:pPr>
      <w:r w:rsidRPr="00F94E36">
        <w:rPr>
          <w:rFonts w:ascii="Times New Roman" w:hAnsi="Times New Roman" w:cs="Times New Roman"/>
          <w:b/>
        </w:rPr>
        <w:t>JUDGMENT</w:t>
      </w:r>
    </w:p>
    <w:p w:rsidR="00F94E36" w:rsidRPr="00F94E36" w:rsidRDefault="00F94E36" w:rsidP="00F94E36">
      <w:pPr>
        <w:jc w:val="both"/>
        <w:rPr>
          <w:rFonts w:ascii="Times New Roman" w:hAnsi="Times New Roman" w:cs="Times New Roman"/>
          <w:b/>
        </w:rPr>
      </w:pPr>
    </w:p>
    <w:p w:rsidR="00F94E36" w:rsidRPr="00F94E36" w:rsidRDefault="00F94E36" w:rsidP="00F94E36">
      <w:pPr>
        <w:jc w:val="both"/>
        <w:rPr>
          <w:rFonts w:ascii="Times New Roman" w:hAnsi="Times New Roman" w:cs="Times New Roman"/>
          <w:b/>
        </w:rPr>
      </w:pPr>
      <w:r w:rsidRPr="00F94E36">
        <w:rPr>
          <w:rFonts w:ascii="Times New Roman" w:hAnsi="Times New Roman" w:cs="Times New Roman"/>
          <w:b/>
        </w:rPr>
        <w:t>R.F.Nariman,J.,</w:t>
      </w:r>
    </w:p>
    <w:p w:rsidR="00F94E36" w:rsidRPr="00F94E36" w:rsidRDefault="00F94E36" w:rsidP="00F94E36">
      <w:pPr>
        <w:jc w:val="both"/>
        <w:rPr>
          <w:rFonts w:ascii="Times New Roman" w:hAnsi="Times New Roman" w:cs="Times New Roman"/>
        </w:rPr>
      </w:pPr>
    </w:p>
    <w:p w:rsidR="00F94E36" w:rsidRPr="00F94E36" w:rsidRDefault="00F94E36" w:rsidP="00F94E36">
      <w:pPr>
        <w:jc w:val="both"/>
        <w:rPr>
          <w:rFonts w:ascii="Times New Roman" w:hAnsi="Times New Roman" w:cs="Times New Roman"/>
        </w:rPr>
      </w:pPr>
      <w:r>
        <w:rPr>
          <w:rFonts w:ascii="Times New Roman" w:hAnsi="Times New Roman" w:cs="Times New Roman"/>
        </w:rPr>
        <w:t xml:space="preserve">1. </w:t>
      </w:r>
      <w:r w:rsidRPr="00F94E36">
        <w:rPr>
          <w:rFonts w:ascii="Times New Roman" w:hAnsi="Times New Roman" w:cs="Times New Roman"/>
        </w:rPr>
        <w:t>The present appeals relate to an interesting question regarding the interpretation of Regulation 10 of the SEBI Takeover Regulations of 2011.</w:t>
      </w:r>
    </w:p>
    <w:p w:rsidR="00F94E36" w:rsidRDefault="00F94E36" w:rsidP="00F94E36">
      <w:pPr>
        <w:jc w:val="both"/>
        <w:rPr>
          <w:rFonts w:ascii="Times New Roman" w:hAnsi="Times New Roman" w:cs="Times New Roman"/>
        </w:rPr>
      </w:pPr>
    </w:p>
    <w:p w:rsidR="00F94E36" w:rsidRPr="00F94E36" w:rsidRDefault="00F94E36" w:rsidP="00F94E36">
      <w:pPr>
        <w:jc w:val="both"/>
        <w:rPr>
          <w:rFonts w:ascii="Times New Roman" w:hAnsi="Times New Roman" w:cs="Times New Roman"/>
        </w:rPr>
      </w:pPr>
      <w:r>
        <w:rPr>
          <w:rFonts w:ascii="Times New Roman" w:hAnsi="Times New Roman" w:cs="Times New Roman"/>
        </w:rPr>
        <w:t xml:space="preserve">2. </w:t>
      </w:r>
      <w:r w:rsidRPr="00F94E36">
        <w:rPr>
          <w:rFonts w:ascii="Times New Roman" w:hAnsi="Times New Roman" w:cs="Times New Roman"/>
        </w:rPr>
        <w:t>The factual backdrop in which the present controversy arises is that Indiabulls Real Estate Ltd. (hereinafter referred to as "IBREL") was incorporated as a Public Limited Company on 4th April, 2006, which carried on the business of real estate. It was later listed on the National Stock Exchange as well as the Bombay Stock Exchange in 2007. We are further informed that the</w:t>
      </w:r>
      <w:r w:rsidR="000A6ED3">
        <w:rPr>
          <w:rFonts w:ascii="Times New Roman" w:hAnsi="Times New Roman" w:cs="Times New Roman"/>
        </w:rPr>
        <w:t xml:space="preserve"> </w:t>
      </w:r>
      <w:r w:rsidRPr="00F94E36">
        <w:rPr>
          <w:rFonts w:ascii="Times New Roman" w:hAnsi="Times New Roman" w:cs="Times New Roman"/>
        </w:rPr>
        <w:t>aforesaid company entered into the business of generating power thereafter, in the year 2009. The appellant herein</w:t>
      </w:r>
      <w:r w:rsidR="000A6ED3">
        <w:rPr>
          <w:rFonts w:ascii="Times New Roman" w:hAnsi="Times New Roman" w:cs="Times New Roman"/>
        </w:rPr>
        <w:t xml:space="preserve"> </w:t>
      </w:r>
      <w:r w:rsidRPr="00F94E36">
        <w:rPr>
          <w:rFonts w:ascii="Times New Roman" w:hAnsi="Times New Roman" w:cs="Times New Roman"/>
        </w:rPr>
        <w:t>was incorporated as a private Ltd. Company, being a wholly owned subsidiary of Nettle Construction Pvt. Ltd., some time in 2010. This Company in turn, was wholly owned by Mr. Rajiv Rattan. Both the Appellant and Rajiv Rattan were listed as promoters of the said company in IBREL in the Annual Report for the Financial Year 2009-2010.</w:t>
      </w:r>
    </w:p>
    <w:p w:rsidR="000A6ED3" w:rsidRDefault="000A6ED3" w:rsidP="00F94E36">
      <w:pPr>
        <w:jc w:val="both"/>
        <w:rPr>
          <w:rFonts w:ascii="Times New Roman" w:hAnsi="Times New Roman" w:cs="Times New Roman"/>
        </w:rPr>
      </w:pPr>
    </w:p>
    <w:p w:rsidR="00F94E36" w:rsidRPr="00F94E36" w:rsidRDefault="000A6ED3" w:rsidP="00F94E36">
      <w:pPr>
        <w:jc w:val="both"/>
        <w:rPr>
          <w:rFonts w:ascii="Times New Roman" w:hAnsi="Times New Roman" w:cs="Times New Roman"/>
        </w:rPr>
      </w:pPr>
      <w:r>
        <w:rPr>
          <w:rFonts w:ascii="Times New Roman" w:hAnsi="Times New Roman" w:cs="Times New Roman"/>
        </w:rPr>
        <w:t xml:space="preserve">3. </w:t>
      </w:r>
      <w:r w:rsidR="00F94E36" w:rsidRPr="00F94E36">
        <w:rPr>
          <w:rFonts w:ascii="Times New Roman" w:hAnsi="Times New Roman" w:cs="Times New Roman"/>
        </w:rPr>
        <w:t>For the purpose of disposing of the present appeals, the "Target Company" is Rattan India Infrastructure Ltd. It was originally incorporated as a wholly owned subsidiary of IBREL on 9th November, 2010 with a different name which is not material for the purpose of these appeals.</w:t>
      </w:r>
    </w:p>
    <w:p w:rsidR="000A6ED3"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4. </w:t>
      </w:r>
      <w:r w:rsidR="00F94E36" w:rsidRPr="00F94E36">
        <w:rPr>
          <w:rFonts w:ascii="Times New Roman" w:hAnsi="Times New Roman" w:cs="Times New Roman"/>
        </w:rPr>
        <w:t xml:space="preserve">In 2011, the Board of Directors of IBREL framed a demerger scheme by which the power business of the company would be demerged and would vest in the Target Company. The High Court of Delhi sanctioned the aforesaid demerger by its judgment and order dated 17th October, 2011. What is important for the purpose of this appeal is that on 19th July, 2012, an information Memorandum in terms of the listing agreement was filed by the Target Company, pursuant to which it was actually listed on the Bombay Stock Exchange and the National Stock Exchange on 20th July, 2012. The appellant acquired 18% of the equity share holding of the target company at a price of Rs.6.30 per share some time in July, 2014. It </w:t>
      </w:r>
      <w:r w:rsidR="00F94E36" w:rsidRPr="00F94E36">
        <w:rPr>
          <w:rFonts w:ascii="Times New Roman" w:hAnsi="Times New Roman" w:cs="Times New Roman"/>
        </w:rPr>
        <w:lastRenderedPageBreak/>
        <w:t>made certain other purchases with which we are not concerned, because the price paid for those acquisitions was less than Rs.6.30 per share.</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5. </w:t>
      </w:r>
      <w:r w:rsidR="00F94E36" w:rsidRPr="00F94E36">
        <w:rPr>
          <w:rFonts w:ascii="Times New Roman" w:hAnsi="Times New Roman" w:cs="Times New Roman"/>
        </w:rPr>
        <w:t>On 20 th October, 2015 Laurel and Arbutus Consultancy LLP along with various other entities, who were persons acting in concert, made a public announcement under Regulation 15(1) of the SEBI Substantial Acquisition of Shares and Takeover Regulations, 2011 when an open offer was made for acquisition of 35,93,90,094 equity shares of the Target Company from the equity shareholders of the Target Company at the price of Rs.3.20 per share. Necessary formalitie</w:t>
      </w:r>
      <w:r>
        <w:rPr>
          <w:rFonts w:ascii="Times New Roman" w:hAnsi="Times New Roman" w:cs="Times New Roman"/>
        </w:rPr>
        <w:t>s were</w:t>
      </w:r>
      <w:r>
        <w:rPr>
          <w:rFonts w:ascii="Times New Roman" w:hAnsi="Times New Roman" w:cs="Times New Roman"/>
        </w:rPr>
        <w:tab/>
        <w:t>observed thereafter,</w:t>
      </w:r>
      <w:r>
        <w:rPr>
          <w:rFonts w:ascii="Times New Roman" w:hAnsi="Times New Roman" w:cs="Times New Roman"/>
        </w:rPr>
        <w:tab/>
        <w:t xml:space="preserve">but </w:t>
      </w:r>
      <w:r w:rsidR="00F94E36" w:rsidRPr="00F94E36">
        <w:rPr>
          <w:rFonts w:ascii="Times New Roman" w:hAnsi="Times New Roman" w:cs="Times New Roman"/>
        </w:rPr>
        <w:t>by</w:t>
      </w:r>
      <w:r w:rsidR="00F94E36" w:rsidRPr="00F94E36">
        <w:rPr>
          <w:rFonts w:ascii="Times New Roman" w:hAnsi="Times New Roman" w:cs="Times New Roman"/>
        </w:rPr>
        <w:tab/>
        <w:t>a</w:t>
      </w:r>
      <w:r>
        <w:rPr>
          <w:rFonts w:ascii="Times New Roman" w:hAnsi="Times New Roman" w:cs="Times New Roman"/>
        </w:rPr>
        <w:t xml:space="preserve"> </w:t>
      </w:r>
      <w:r w:rsidR="00F94E36" w:rsidRPr="00F94E36">
        <w:rPr>
          <w:rFonts w:ascii="Times New Roman" w:hAnsi="Times New Roman" w:cs="Times New Roman"/>
        </w:rPr>
        <w:t>letter dated 4th Dec</w:t>
      </w:r>
      <w:r>
        <w:rPr>
          <w:rFonts w:ascii="Times New Roman" w:hAnsi="Times New Roman" w:cs="Times New Roman"/>
        </w:rPr>
        <w:t>ember,</w:t>
      </w:r>
      <w:r>
        <w:rPr>
          <w:rFonts w:ascii="Times New Roman" w:hAnsi="Times New Roman" w:cs="Times New Roman"/>
        </w:rPr>
        <w:tab/>
        <w:t xml:space="preserve">2015, SEBI observed that </w:t>
      </w:r>
      <w:r w:rsidR="00F94E36" w:rsidRPr="00F94E36">
        <w:rPr>
          <w:rFonts w:ascii="Times New Roman" w:hAnsi="Times New Roman" w:cs="Times New Roman"/>
        </w:rPr>
        <w:t>the</w:t>
      </w:r>
      <w:r>
        <w:rPr>
          <w:rFonts w:ascii="Times New Roman" w:hAnsi="Times New Roman" w:cs="Times New Roman"/>
        </w:rPr>
        <w:t xml:space="preserve"> </w:t>
      </w:r>
      <w:r w:rsidR="00F94E36" w:rsidRPr="00F94E36">
        <w:rPr>
          <w:rFonts w:ascii="Times New Roman" w:hAnsi="Times New Roman" w:cs="Times New Roman"/>
        </w:rPr>
        <w:t>exemption provisions contained in Regulation 10 would not apply to the 2014 acquisition, as a result of which the price of Rs.3.20 per share was not accepted and the higher price of Rs.6.30 was stated to be an amount that would have to be paid to the equity shareholders of the Target Company. By a letter dated 5th May, 2016, containing SEBI’s Order, SEBI stated:</w:t>
      </w:r>
    </w:p>
    <w:p w:rsidR="000A6ED3" w:rsidRPr="00F94E36" w:rsidRDefault="000A6ED3" w:rsidP="00F94E36">
      <w:pPr>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"It has been observed that the acquisitions made through inter se transfers amongst promoters on July 9,</w:t>
      </w:r>
      <w:r w:rsidR="000A6ED3">
        <w:rPr>
          <w:rFonts w:ascii="Times New Roman" w:hAnsi="Times New Roman" w:cs="Times New Roman"/>
        </w:rPr>
        <w:t xml:space="preserve"> July 10, </w:t>
      </w:r>
      <w:r w:rsidRPr="00F94E36">
        <w:rPr>
          <w:rFonts w:ascii="Times New Roman" w:hAnsi="Times New Roman" w:cs="Times New Roman"/>
        </w:rPr>
        <w:t>2014 September 5,</w:t>
      </w:r>
      <w:r w:rsidRPr="00F94E36">
        <w:rPr>
          <w:rFonts w:ascii="Times New Roman" w:hAnsi="Times New Roman" w:cs="Times New Roman"/>
        </w:rPr>
        <w:tab/>
        <w:t>2014, and</w:t>
      </w:r>
      <w:r w:rsidR="000A6ED3">
        <w:rPr>
          <w:rFonts w:ascii="Times New Roman" w:hAnsi="Times New Roman" w:cs="Times New Roman"/>
        </w:rPr>
        <w:t xml:space="preserve"> October 20, </w:t>
      </w:r>
      <w:r w:rsidRPr="00F94E36">
        <w:rPr>
          <w:rFonts w:ascii="Times New Roman" w:hAnsi="Times New Roman" w:cs="Times New Roman"/>
        </w:rPr>
        <w:t>2014, were not exempted from</w:t>
      </w:r>
      <w:r w:rsidR="000A6ED3">
        <w:rPr>
          <w:rFonts w:ascii="Times New Roman" w:hAnsi="Times New Roman" w:cs="Times New Roman"/>
        </w:rPr>
        <w:t xml:space="preserve"> </w:t>
      </w:r>
      <w:r w:rsidRPr="00F94E36">
        <w:rPr>
          <w:rFonts w:ascii="Times New Roman" w:hAnsi="Times New Roman" w:cs="Times New Roman"/>
        </w:rPr>
        <w:t>open offer obligations. You are advised to revise the Offer Price accordingly.</w:t>
      </w:r>
    </w:p>
    <w:p w:rsidR="000A6ED3" w:rsidRDefault="000A6ED3" w:rsidP="000A6ED3">
      <w:pPr>
        <w:ind w:left="720"/>
        <w:jc w:val="both"/>
        <w:rPr>
          <w:rFonts w:ascii="Times New Roman" w:hAnsi="Times New Roman" w:cs="Times New Roman"/>
        </w:rPr>
      </w:pPr>
    </w:p>
    <w:p w:rsidR="00F94E36" w:rsidRDefault="00F94E36" w:rsidP="000A6ED3">
      <w:pPr>
        <w:ind w:left="720"/>
        <w:jc w:val="both"/>
        <w:rPr>
          <w:rFonts w:ascii="Times New Roman" w:hAnsi="Times New Roman" w:cs="Times New Roman"/>
        </w:rPr>
      </w:pPr>
      <w:r w:rsidRPr="00F94E36">
        <w:rPr>
          <w:rFonts w:ascii="Times New Roman" w:hAnsi="Times New Roman" w:cs="Times New Roman"/>
        </w:rPr>
        <w:t>Further, along with the consideration amount, you are advised to pay a simple interest of 1</w:t>
      </w:r>
      <w:r w:rsidR="000A6ED3">
        <w:rPr>
          <w:rFonts w:ascii="Times New Roman" w:hAnsi="Times New Roman" w:cs="Times New Roman"/>
        </w:rPr>
        <w:t xml:space="preserve">0% per annum from the scheduled </w:t>
      </w:r>
      <w:r w:rsidRPr="00F94E36">
        <w:rPr>
          <w:rFonts w:ascii="Times New Roman" w:hAnsi="Times New Roman" w:cs="Times New Roman"/>
        </w:rPr>
        <w:t>date</w:t>
      </w:r>
      <w:r w:rsidRPr="00F94E36">
        <w:rPr>
          <w:rFonts w:ascii="Times New Roman" w:hAnsi="Times New Roman" w:cs="Times New Roman"/>
        </w:rPr>
        <w:tab/>
      </w:r>
      <w:r w:rsidR="000A6ED3">
        <w:rPr>
          <w:rFonts w:ascii="Times New Roman" w:hAnsi="Times New Roman" w:cs="Times New Roman"/>
        </w:rPr>
        <w:t xml:space="preserve"> </w:t>
      </w:r>
      <w:r w:rsidRPr="00F94E36">
        <w:rPr>
          <w:rFonts w:ascii="Times New Roman" w:hAnsi="Times New Roman" w:cs="Times New Roman"/>
        </w:rPr>
        <w:t>of payment of</w:t>
      </w:r>
      <w:r w:rsidR="000A6ED3">
        <w:rPr>
          <w:rFonts w:ascii="Times New Roman" w:hAnsi="Times New Roman" w:cs="Times New Roman"/>
        </w:rPr>
        <w:t xml:space="preserve"> </w:t>
      </w:r>
      <w:r w:rsidRPr="00F94E36">
        <w:rPr>
          <w:rFonts w:ascii="Times New Roman" w:hAnsi="Times New Roman" w:cs="Times New Roman"/>
        </w:rPr>
        <w:t>consideration based</w:t>
      </w:r>
      <w:r w:rsidR="000A6ED3">
        <w:rPr>
          <w:rFonts w:ascii="Times New Roman" w:hAnsi="Times New Roman" w:cs="Times New Roman"/>
        </w:rPr>
        <w:t xml:space="preserve"> </w:t>
      </w:r>
      <w:r w:rsidRPr="00F94E36">
        <w:rPr>
          <w:rFonts w:ascii="Times New Roman" w:hAnsi="Times New Roman" w:cs="Times New Roman"/>
        </w:rPr>
        <w:tab/>
        <w:t>on th</w:t>
      </w:r>
      <w:r w:rsidR="000A6ED3">
        <w:rPr>
          <w:rFonts w:ascii="Times New Roman" w:hAnsi="Times New Roman" w:cs="Times New Roman"/>
        </w:rPr>
        <w:t>-</w:t>
      </w:r>
      <w:r w:rsidRPr="00F94E36">
        <w:rPr>
          <w:rFonts w:ascii="Times New Roman" w:hAnsi="Times New Roman" w:cs="Times New Roman"/>
        </w:rPr>
        <w:t>ese triggering</w:t>
      </w:r>
      <w:r w:rsidR="000A6ED3">
        <w:rPr>
          <w:rFonts w:ascii="Times New Roman" w:hAnsi="Times New Roman" w:cs="Times New Roman"/>
        </w:rPr>
        <w:t xml:space="preserve"> </w:t>
      </w:r>
      <w:r w:rsidRPr="00F94E36">
        <w:rPr>
          <w:rFonts w:ascii="Times New Roman" w:hAnsi="Times New Roman" w:cs="Times New Roman"/>
        </w:rPr>
        <w:t>date</w:t>
      </w:r>
      <w:r w:rsidR="000A6ED3">
        <w:rPr>
          <w:rFonts w:ascii="Times New Roman" w:hAnsi="Times New Roman" w:cs="Times New Roman"/>
        </w:rPr>
        <w:t>s to the actual date of</w:t>
      </w:r>
      <w:r w:rsidR="000A6ED3">
        <w:rPr>
          <w:rFonts w:ascii="Times New Roman" w:hAnsi="Times New Roman" w:cs="Times New Roman"/>
        </w:rPr>
        <w:tab/>
        <w:t xml:space="preserve">payment </w:t>
      </w:r>
      <w:r w:rsidRPr="00F94E36">
        <w:rPr>
          <w:rFonts w:ascii="Times New Roman" w:hAnsi="Times New Roman" w:cs="Times New Roman"/>
        </w:rPr>
        <w:t>of</w:t>
      </w:r>
      <w:r w:rsidR="000A6ED3">
        <w:rPr>
          <w:rFonts w:ascii="Times New Roman" w:hAnsi="Times New Roman" w:cs="Times New Roman"/>
        </w:rPr>
        <w:t xml:space="preserve"> </w:t>
      </w:r>
      <w:r w:rsidRPr="00F94E36">
        <w:rPr>
          <w:rFonts w:ascii="Times New Roman" w:hAnsi="Times New Roman" w:cs="Times New Roman"/>
        </w:rPr>
        <w:t>consideration to the share</w:t>
      </w:r>
      <w:r w:rsidR="000A6ED3">
        <w:rPr>
          <w:rFonts w:ascii="Times New Roman" w:hAnsi="Times New Roman" w:cs="Times New Roman"/>
        </w:rPr>
        <w:t xml:space="preserve"> </w:t>
      </w:r>
      <w:r w:rsidRPr="00F94E36">
        <w:rPr>
          <w:rFonts w:ascii="Times New Roman" w:hAnsi="Times New Roman" w:cs="Times New Roman"/>
        </w:rPr>
        <w:t>holders who were holding shares in the Target</w:t>
      </w:r>
      <w:r w:rsidRPr="00F94E36">
        <w:rPr>
          <w:rFonts w:ascii="Times New Roman" w:hAnsi="Times New Roman" w:cs="Times New Roman"/>
        </w:rPr>
        <w:tab/>
        <w:t>Company on</w:t>
      </w:r>
      <w:r w:rsidR="000A6ED3">
        <w:rPr>
          <w:rFonts w:ascii="Times New Roman" w:hAnsi="Times New Roman" w:cs="Times New Roman"/>
        </w:rPr>
        <w:t xml:space="preserve"> </w:t>
      </w:r>
      <w:r w:rsidRPr="00F94E36">
        <w:rPr>
          <w:rFonts w:ascii="Times New Roman" w:hAnsi="Times New Roman" w:cs="Times New Roman"/>
        </w:rPr>
        <w:t>the date of violation and whose shares are accepted in the Open Offer, after adjustment of dividend paid, if any. You are also advised to enhance the financial arrangements and the amount maintained in the escrow account in terms of the revised Offer Price and the revised Offer Size, if any."</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6. </w:t>
      </w:r>
      <w:r w:rsidR="00F94E36" w:rsidRPr="00F94E36">
        <w:rPr>
          <w:rFonts w:ascii="Times New Roman" w:hAnsi="Times New Roman" w:cs="Times New Roman"/>
        </w:rPr>
        <w:t>From the aforesaid order, the Appellate Tribunal dismissed an appeal on 5th April, 2017, holding that Regulation 10 did not exempt the acquisitions of 2014, as a result of which the price payable per share necessarily became Rs.6.30 instead of Rs.3.20 per share. The correctness of the aforesaid order is now before us.</w:t>
      </w:r>
    </w:p>
    <w:p w:rsidR="000A6ED3" w:rsidRPr="00F94E36" w:rsidRDefault="000A6ED3" w:rsidP="00F94E36">
      <w:pPr>
        <w:jc w:val="both"/>
        <w:rPr>
          <w:rFonts w:ascii="Times New Roman" w:hAnsi="Times New Roman" w:cs="Times New Roman"/>
        </w:rPr>
      </w:pPr>
    </w:p>
    <w:p w:rsidR="00F94E36" w:rsidRPr="00F94E36" w:rsidRDefault="000A6ED3" w:rsidP="00F94E36">
      <w:pPr>
        <w:jc w:val="both"/>
        <w:rPr>
          <w:rFonts w:ascii="Times New Roman" w:hAnsi="Times New Roman" w:cs="Times New Roman"/>
        </w:rPr>
      </w:pPr>
      <w:r>
        <w:rPr>
          <w:rFonts w:ascii="Times New Roman" w:hAnsi="Times New Roman" w:cs="Times New Roman"/>
        </w:rPr>
        <w:t xml:space="preserve">7. </w:t>
      </w:r>
      <w:r w:rsidR="00F94E36" w:rsidRPr="00F94E36">
        <w:rPr>
          <w:rFonts w:ascii="Times New Roman" w:hAnsi="Times New Roman" w:cs="Times New Roman"/>
        </w:rPr>
        <w:t>Shri K.V. Vishwanathan, learned senior counsel appearing on behalf of the appellant, has taken us through the Appellate Tribunal judgment as well as various other documents. It is his submission that Regulation 10 must</w:t>
      </w:r>
      <w:r w:rsidR="00F94E36" w:rsidRPr="00F94E36">
        <w:rPr>
          <w:rFonts w:ascii="Times New Roman" w:hAnsi="Times New Roman" w:cs="Times New Roman"/>
        </w:rPr>
        <w:tab/>
        <w:t>be co</w:t>
      </w:r>
      <w:r>
        <w:rPr>
          <w:rFonts w:ascii="Times New Roman" w:hAnsi="Times New Roman" w:cs="Times New Roman"/>
        </w:rPr>
        <w:t xml:space="preserve">nstrued taking into account its </w:t>
      </w:r>
      <w:r w:rsidR="00F94E36" w:rsidRPr="00F94E36">
        <w:rPr>
          <w:rFonts w:ascii="Times New Roman" w:hAnsi="Times New Roman" w:cs="Times New Roman"/>
        </w:rPr>
        <w:t>object,</w:t>
      </w:r>
      <w:r>
        <w:rPr>
          <w:rFonts w:ascii="Times New Roman" w:hAnsi="Times New Roman" w:cs="Times New Roman"/>
        </w:rPr>
        <w:t xml:space="preserve"> </w:t>
      </w:r>
      <w:r w:rsidRPr="00F94E36">
        <w:rPr>
          <w:rFonts w:ascii="Times New Roman" w:hAnsi="Times New Roman" w:cs="Times New Roman"/>
        </w:rPr>
        <w:t xml:space="preserve"> </w:t>
      </w:r>
      <w:r w:rsidR="00F94E36" w:rsidRPr="00F94E36">
        <w:rPr>
          <w:rFonts w:ascii="Times New Roman" w:hAnsi="Times New Roman" w:cs="Times New Roman"/>
        </w:rPr>
        <w:t>and</w:t>
      </w:r>
      <w:r>
        <w:rPr>
          <w:rFonts w:ascii="Times New Roman" w:hAnsi="Times New Roman" w:cs="Times New Roman"/>
        </w:rPr>
        <w:t xml:space="preserve"> </w:t>
      </w:r>
      <w:r w:rsidR="00F94E36" w:rsidRPr="00F94E36">
        <w:rPr>
          <w:rFonts w:ascii="Times New Roman" w:hAnsi="Times New Roman" w:cs="Times New Roman"/>
        </w:rPr>
        <w:t>when</w:t>
      </w:r>
      <w:r>
        <w:rPr>
          <w:rFonts w:ascii="Times New Roman" w:hAnsi="Times New Roman" w:cs="Times New Roman"/>
        </w:rPr>
        <w:t xml:space="preserve"> This is done, it is clear that the promoters for </w:t>
      </w:r>
      <w:r w:rsidR="00F94E36" w:rsidRPr="00F94E36">
        <w:rPr>
          <w:rFonts w:ascii="Times New Roman" w:hAnsi="Times New Roman" w:cs="Times New Roman"/>
        </w:rPr>
        <w:t>IBREL,</w:t>
      </w:r>
      <w:r>
        <w:rPr>
          <w:rFonts w:ascii="Times New Roman" w:hAnsi="Times New Roman" w:cs="Times New Roman"/>
        </w:rPr>
        <w:t xml:space="preserve"> </w:t>
      </w:r>
      <w:r w:rsidR="00F94E36" w:rsidRPr="00F94E36">
        <w:rPr>
          <w:rFonts w:ascii="Times New Roman" w:hAnsi="Times New Roman" w:cs="Times New Roman"/>
        </w:rPr>
        <w:t>being the same right from the date of its incorporation, and by continuing as such even after the demerger into the present Target Company, the Regulation should be read in accordance with the object sought to be achieved, which is that where there is stability in the Company and the promoters in that Company do not change for a period of three years or more, inter se transfers between them at prices agreed to between them should be exempt from the</w:t>
      </w:r>
      <w:r>
        <w:rPr>
          <w:rFonts w:ascii="Times New Roman" w:hAnsi="Times New Roman" w:cs="Times New Roman"/>
        </w:rPr>
        <w:t xml:space="preserve"> </w:t>
      </w:r>
      <w:r w:rsidR="00F94E36" w:rsidRPr="00F94E36">
        <w:rPr>
          <w:rFonts w:ascii="Times New Roman" w:hAnsi="Times New Roman" w:cs="Times New Roman"/>
        </w:rPr>
        <w:t xml:space="preserve">aforesaid 2011 Regulations. For this purpose, he referred us to the earlier Regulations which are in pari materia with the 2011 Regulations and also took us through the Achuthan Committee Report dated 19th July, 2010. </w:t>
      </w:r>
      <w:r w:rsidR="00F94E36" w:rsidRPr="00F94E36">
        <w:rPr>
          <w:rFonts w:ascii="Times New Roman" w:hAnsi="Times New Roman" w:cs="Times New Roman"/>
        </w:rPr>
        <w:lastRenderedPageBreak/>
        <w:t>He also placed great emphasis on the Bhagwati Committee Report which shows that</w:t>
      </w:r>
      <w:r w:rsidR="00F94E36" w:rsidRPr="00F94E36">
        <w:rPr>
          <w:rFonts w:ascii="Times New Roman" w:hAnsi="Times New Roman" w:cs="Times New Roman"/>
        </w:rPr>
        <w:tab/>
      </w:r>
      <w:r>
        <w:rPr>
          <w:rFonts w:ascii="Times New Roman" w:hAnsi="Times New Roman" w:cs="Times New Roman"/>
        </w:rPr>
        <w:t xml:space="preserve"> </w:t>
      </w:r>
      <w:r w:rsidR="00F94E36" w:rsidRPr="00F94E36">
        <w:rPr>
          <w:rFonts w:ascii="Times New Roman" w:hAnsi="Times New Roman" w:cs="Times New Roman"/>
        </w:rPr>
        <w:t>the</w:t>
      </w:r>
      <w:r>
        <w:rPr>
          <w:rFonts w:ascii="Times New Roman" w:hAnsi="Times New Roman" w:cs="Times New Roman"/>
        </w:rPr>
        <w:t xml:space="preserve"> o-bject of Regulation 10 is</w:t>
      </w:r>
      <w:r>
        <w:rPr>
          <w:rFonts w:ascii="Times New Roman" w:hAnsi="Times New Roman" w:cs="Times New Roman"/>
        </w:rPr>
        <w:tab/>
        <w:t xml:space="preserve">not </w:t>
      </w:r>
      <w:r w:rsidR="00F94E36" w:rsidRPr="00F94E36">
        <w:rPr>
          <w:rFonts w:ascii="Times New Roman" w:hAnsi="Times New Roman" w:cs="Times New Roman"/>
        </w:rPr>
        <w:t>to</w:t>
      </w:r>
      <w:r>
        <w:rPr>
          <w:rFonts w:ascii="Times New Roman" w:hAnsi="Times New Roman" w:cs="Times New Roman"/>
        </w:rPr>
        <w:t xml:space="preserve"> </w:t>
      </w:r>
      <w:r w:rsidR="00F94E36" w:rsidRPr="00F94E36">
        <w:rPr>
          <w:rFonts w:ascii="Times New Roman" w:hAnsi="Times New Roman" w:cs="Times New Roman"/>
        </w:rPr>
        <w:t>penalise per</w:t>
      </w:r>
      <w:r>
        <w:rPr>
          <w:rFonts w:ascii="Times New Roman" w:hAnsi="Times New Roman" w:cs="Times New Roman"/>
        </w:rPr>
        <w:t xml:space="preserve">sons who had remained in control of </w:t>
      </w:r>
      <w:r w:rsidR="00F94E36" w:rsidRPr="00F94E36">
        <w:rPr>
          <w:rFonts w:ascii="Times New Roman" w:hAnsi="Times New Roman" w:cs="Times New Roman"/>
        </w:rPr>
        <w:t>a</w:t>
      </w:r>
      <w:r>
        <w:rPr>
          <w:rFonts w:ascii="Times New Roman" w:hAnsi="Times New Roman" w:cs="Times New Roman"/>
        </w:rPr>
        <w:t xml:space="preserve"> </w:t>
      </w:r>
      <w:r w:rsidR="00F94E36" w:rsidRPr="00F94E36">
        <w:rPr>
          <w:rFonts w:ascii="Times New Roman" w:hAnsi="Times New Roman" w:cs="Times New Roman"/>
        </w:rPr>
        <w:t>particular business entity, notwithstanding that it may ultimately cha</w:t>
      </w:r>
      <w:r>
        <w:rPr>
          <w:rFonts w:ascii="Times New Roman" w:hAnsi="Times New Roman" w:cs="Times New Roman"/>
        </w:rPr>
        <w:t xml:space="preserve">nge form. His argument was that </w:t>
      </w:r>
      <w:r w:rsidR="00F94E36" w:rsidRPr="00F94E36">
        <w:rPr>
          <w:rFonts w:ascii="Times New Roman" w:hAnsi="Times New Roman" w:cs="Times New Roman"/>
        </w:rPr>
        <w:t>had</w:t>
      </w:r>
      <w:r w:rsidR="00F94E36" w:rsidRPr="00F94E36">
        <w:rPr>
          <w:rFonts w:ascii="Times New Roman" w:hAnsi="Times New Roman" w:cs="Times New Roman"/>
        </w:rPr>
        <w:tab/>
        <w:t>no</w:t>
      </w:r>
      <w:r>
        <w:rPr>
          <w:rFonts w:ascii="Times New Roman" w:hAnsi="Times New Roman" w:cs="Times New Roman"/>
        </w:rPr>
        <w:t xml:space="preserve"> demerger taken </w:t>
      </w:r>
      <w:r w:rsidR="00F94E36" w:rsidRPr="00F94E36">
        <w:rPr>
          <w:rFonts w:ascii="Times New Roman" w:hAnsi="Times New Roman" w:cs="Times New Roman"/>
        </w:rPr>
        <w:t>place, it would be clear that the</w:t>
      </w:r>
      <w:r>
        <w:rPr>
          <w:rFonts w:ascii="Times New Roman" w:hAnsi="Times New Roman" w:cs="Times New Roman"/>
        </w:rPr>
        <w:t xml:space="preserve"> </w:t>
      </w:r>
      <w:r w:rsidR="00F94E36" w:rsidRPr="00F94E36">
        <w:rPr>
          <w:rFonts w:ascii="Times New Roman" w:hAnsi="Times New Roman" w:cs="Times New Roman"/>
        </w:rPr>
        <w:t>promoters of IBREL, having been promoters for over three years, would be exempt from the Takeover Regulations, in which case the 2014 purchases could not be taken into account for the purpose of the present open offer. He has also taken us through the various judgments of this Court dealing with analogous situations in which a mere change in form from a partnership firm into a limited company would not necessarily lead to the conclusion that, under various State Rent Acts, a sub-tenancy had taken place. According to him, these judgments would apply on the facts of the present case inasmuch as, at no point of time, have the promoters of the power business of IBREL and now of Rajiv Rattan ever changed.</w:t>
      </w:r>
    </w:p>
    <w:p w:rsidR="000A6ED3"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8. </w:t>
      </w:r>
      <w:r w:rsidR="00F94E36" w:rsidRPr="00F94E36">
        <w:rPr>
          <w:rFonts w:ascii="Times New Roman" w:hAnsi="Times New Roman" w:cs="Times New Roman"/>
        </w:rPr>
        <w:t>As against the said arguments, Shri Arvind P. Datar, learned senior counsel appearing on behalf of the respondent SEBI, has argued before us that there is no necessity to interfere with the well reasoned Appellate Tribunal judgment, which according to him ought not to be interfered with unless found to be perverse under 15-Z of the SEBI Act. Also, according to him, it is not possible to go to the object of a provision when the language of the said provision admits of no doubt. Therefore, according to him, the Tribunal judgment ought not to be interfered with.</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9. </w:t>
      </w:r>
      <w:r w:rsidR="00F94E36" w:rsidRPr="00F94E36">
        <w:rPr>
          <w:rFonts w:ascii="Times New Roman" w:hAnsi="Times New Roman" w:cs="Times New Roman"/>
        </w:rPr>
        <w:t>Having heard learned counsel for both parties, it is necessary to first set out the relevant Regulation of the 1997 predecessor Regulations. Regulation 3 states:</w:t>
      </w:r>
    </w:p>
    <w:p w:rsidR="000A6ED3" w:rsidRPr="00F94E36" w:rsidRDefault="000A6ED3" w:rsidP="00F94E36">
      <w:pPr>
        <w:jc w:val="both"/>
        <w:rPr>
          <w:rFonts w:ascii="Times New Roman" w:hAnsi="Times New Roman" w:cs="Times New Roman"/>
        </w:rPr>
      </w:pPr>
    </w:p>
    <w:p w:rsidR="00F94E36" w:rsidRPr="00F94E36" w:rsidRDefault="000A6ED3" w:rsidP="000A6ED3">
      <w:pPr>
        <w:ind w:left="720"/>
        <w:jc w:val="both"/>
        <w:rPr>
          <w:rFonts w:ascii="Times New Roman" w:hAnsi="Times New Roman" w:cs="Times New Roman"/>
        </w:rPr>
      </w:pPr>
      <w:r>
        <w:rPr>
          <w:rFonts w:ascii="Times New Roman" w:hAnsi="Times New Roman" w:cs="Times New Roman"/>
        </w:rPr>
        <w:t>"3.</w:t>
      </w:r>
      <w:r w:rsidR="00F94E36" w:rsidRPr="00F94E36">
        <w:rPr>
          <w:rFonts w:ascii="Times New Roman" w:hAnsi="Times New Roman" w:cs="Times New Roman"/>
        </w:rPr>
        <w:t>(1)</w:t>
      </w:r>
      <w:r w:rsidR="00F94E36" w:rsidRPr="00F94E36">
        <w:rPr>
          <w:rFonts w:ascii="Times New Roman" w:hAnsi="Times New Roman" w:cs="Times New Roman"/>
        </w:rPr>
        <w:tab/>
        <w:t>Nothing contained in</w:t>
      </w:r>
      <w:r>
        <w:rPr>
          <w:rFonts w:ascii="Times New Roman" w:hAnsi="Times New Roman" w:cs="Times New Roman"/>
        </w:rPr>
        <w:t xml:space="preserve"> regulations 10,11 and </w:t>
      </w:r>
      <w:r w:rsidR="00F94E36" w:rsidRPr="00F94E36">
        <w:rPr>
          <w:rFonts w:ascii="Times New Roman" w:hAnsi="Times New Roman" w:cs="Times New Roman"/>
        </w:rPr>
        <w:t>12 of these</w:t>
      </w:r>
      <w:r>
        <w:rPr>
          <w:rFonts w:ascii="Times New Roman" w:hAnsi="Times New Roman" w:cs="Times New Roman"/>
        </w:rPr>
        <w:t xml:space="preserve"> </w:t>
      </w:r>
      <w:r w:rsidR="00F94E36" w:rsidRPr="00F94E36">
        <w:rPr>
          <w:rFonts w:ascii="Times New Roman" w:hAnsi="Times New Roman" w:cs="Times New Roman"/>
        </w:rPr>
        <w:t>regulations shall apply to:</w:t>
      </w:r>
    </w:p>
    <w:p w:rsidR="000A6ED3" w:rsidRDefault="000A6ED3" w:rsidP="000A6ED3">
      <w:pPr>
        <w:ind w:left="720"/>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(e) inter se transfer of shares amongst-</w:t>
      </w:r>
      <w:r w:rsidR="000A6ED3">
        <w:rPr>
          <w:rFonts w:ascii="Times New Roman" w:hAnsi="Times New Roman" w:cs="Times New Roman"/>
        </w:rPr>
        <w:t xml:space="preserve"> </w:t>
      </w:r>
      <w:r w:rsidRPr="00F94E36">
        <w:rPr>
          <w:rFonts w:ascii="Times New Roman" w:hAnsi="Times New Roman" w:cs="Times New Roman"/>
        </w:rPr>
        <w:t>[(i) group coming within the definition of group as defined in the Monopolies and Restrictive Trade Practices Act, 1969</w:t>
      </w:r>
      <w:r w:rsidRPr="00F94E36">
        <w:rPr>
          <w:rFonts w:ascii="Times New Roman" w:hAnsi="Times New Roman" w:cs="Times New Roman"/>
        </w:rPr>
        <w:tab/>
        <w:t>(54 of</w:t>
      </w: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1969) where persons constituting such group have been shown as group in the last published Annual Report of the target company;]</w:t>
      </w:r>
    </w:p>
    <w:p w:rsidR="000A6ED3" w:rsidRDefault="000A6ED3" w:rsidP="000A6ED3">
      <w:pPr>
        <w:ind w:left="720"/>
        <w:jc w:val="both"/>
        <w:rPr>
          <w:rFonts w:ascii="Times New Roman" w:hAnsi="Times New Roman" w:cs="Times New Roman"/>
        </w:rPr>
      </w:pPr>
    </w:p>
    <w:p w:rsidR="00F94E36" w:rsidRPr="00F94E36" w:rsidRDefault="000A6ED3" w:rsidP="000A6ED3">
      <w:pPr>
        <w:ind w:left="720"/>
        <w:jc w:val="both"/>
        <w:rPr>
          <w:rFonts w:ascii="Times New Roman" w:hAnsi="Times New Roman" w:cs="Times New Roman"/>
        </w:rPr>
      </w:pPr>
      <w:r>
        <w:rPr>
          <w:rFonts w:ascii="Times New Roman" w:hAnsi="Times New Roman" w:cs="Times New Roman"/>
        </w:rPr>
        <w:t>(ii)</w:t>
      </w:r>
      <w:r w:rsidR="00F94E36" w:rsidRPr="00F94E36">
        <w:rPr>
          <w:rFonts w:ascii="Times New Roman" w:hAnsi="Times New Roman" w:cs="Times New Roman"/>
        </w:rPr>
        <w:t xml:space="preserve"> relatives within the meaning of section 6 of the Companies Act, 1956(1 of 1956);</w:t>
      </w:r>
    </w:p>
    <w:p w:rsidR="000A6ED3" w:rsidRDefault="000A6ED3" w:rsidP="000A6ED3">
      <w:pPr>
        <w:ind w:left="720"/>
        <w:jc w:val="both"/>
        <w:rPr>
          <w:rFonts w:ascii="Times New Roman" w:hAnsi="Times New Roman" w:cs="Times New Roman"/>
        </w:rPr>
      </w:pPr>
    </w:p>
    <w:p w:rsidR="00F94E36" w:rsidRPr="00F94E36" w:rsidRDefault="000A6ED3" w:rsidP="000A6ED3">
      <w:pPr>
        <w:ind w:left="720"/>
        <w:jc w:val="both"/>
        <w:rPr>
          <w:rFonts w:ascii="Times New Roman" w:hAnsi="Times New Roman" w:cs="Times New Roman"/>
        </w:rPr>
      </w:pPr>
      <w:r>
        <w:rPr>
          <w:rFonts w:ascii="Times New Roman" w:hAnsi="Times New Roman" w:cs="Times New Roman"/>
        </w:rPr>
        <w:t>(iii)</w:t>
      </w:r>
      <w:r w:rsidR="00F94E36" w:rsidRPr="00F94E36">
        <w:rPr>
          <w:rFonts w:ascii="Times New Roman" w:hAnsi="Times New Roman" w:cs="Times New Roman"/>
        </w:rPr>
        <w:t xml:space="preserve"> (a) [Qualifying Indian promoters] and foreign collaborators who are shareholders;</w:t>
      </w:r>
    </w:p>
    <w:p w:rsidR="00F94E36" w:rsidRDefault="00F94E36" w:rsidP="000A6ED3">
      <w:pPr>
        <w:ind w:left="720"/>
        <w:jc w:val="both"/>
        <w:rPr>
          <w:rFonts w:ascii="Times New Roman" w:hAnsi="Times New Roman" w:cs="Times New Roman"/>
        </w:rPr>
      </w:pPr>
      <w:r w:rsidRPr="00F94E36">
        <w:rPr>
          <w:rFonts w:ascii="Times New Roman" w:hAnsi="Times New Roman" w:cs="Times New Roman"/>
        </w:rPr>
        <w:t>(b) [qualifying promoters]:</w:t>
      </w:r>
    </w:p>
    <w:p w:rsidR="000A6ED3" w:rsidRPr="00F94E36" w:rsidRDefault="000A6ED3" w:rsidP="000A6ED3">
      <w:pPr>
        <w:ind w:left="720"/>
        <w:jc w:val="both"/>
        <w:rPr>
          <w:rFonts w:ascii="Times New Roman" w:hAnsi="Times New Roman" w:cs="Times New Roman"/>
        </w:rPr>
      </w:pPr>
    </w:p>
    <w:p w:rsidR="00F94E36" w:rsidRDefault="00F94E36" w:rsidP="000A6ED3">
      <w:pPr>
        <w:ind w:left="720"/>
        <w:jc w:val="both"/>
        <w:rPr>
          <w:rFonts w:ascii="Times New Roman" w:hAnsi="Times New Roman" w:cs="Times New Roman"/>
        </w:rPr>
      </w:pPr>
      <w:r w:rsidRPr="00F94E36">
        <w:rPr>
          <w:rFonts w:ascii="Times New Roman" w:hAnsi="Times New Roman" w:cs="Times New Roman"/>
        </w:rPr>
        <w:t>Provided that the transferor(s) as well as the transferee(s) have been holding shares in the target company for a period of at least three years prior to the proposed acquisition.]</w:t>
      </w:r>
    </w:p>
    <w:p w:rsidR="000A6ED3" w:rsidRPr="00F94E36" w:rsidRDefault="000A6ED3" w:rsidP="000A6ED3">
      <w:pPr>
        <w:ind w:left="720"/>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 xml:space="preserve">[Explanation- For the purpose of the exemption under sub-clause (iii) the term </w:t>
      </w: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["qualifying promoter"] means-</w:t>
      </w:r>
    </w:p>
    <w:p w:rsidR="000A6ED3" w:rsidRDefault="000A6ED3" w:rsidP="000A6ED3">
      <w:pPr>
        <w:ind w:left="720"/>
        <w:jc w:val="both"/>
        <w:rPr>
          <w:rFonts w:ascii="Times New Roman" w:hAnsi="Times New Roman" w:cs="Times New Roman"/>
        </w:rPr>
      </w:pPr>
    </w:p>
    <w:p w:rsidR="00F94E36" w:rsidRPr="00F94E36" w:rsidRDefault="000A6ED3" w:rsidP="000A6ED3">
      <w:pPr>
        <w:ind w:left="720"/>
        <w:jc w:val="both"/>
        <w:rPr>
          <w:rFonts w:ascii="Times New Roman" w:hAnsi="Times New Roman" w:cs="Times New Roman"/>
        </w:rPr>
      </w:pPr>
      <w:r>
        <w:rPr>
          <w:rFonts w:ascii="Times New Roman" w:hAnsi="Times New Roman" w:cs="Times New Roman"/>
        </w:rPr>
        <w:t>(i)</w:t>
      </w:r>
      <w:r w:rsidR="00F94E36" w:rsidRPr="00F94E36">
        <w:rPr>
          <w:rFonts w:ascii="Times New Roman" w:hAnsi="Times New Roman" w:cs="Times New Roman"/>
        </w:rPr>
        <w:t xml:space="preserve"> any person who is directly or indirectly in control of the company; or</w:t>
      </w:r>
    </w:p>
    <w:p w:rsidR="00F94E36" w:rsidRDefault="000A6ED3" w:rsidP="000A6ED3">
      <w:pPr>
        <w:ind w:left="720"/>
        <w:jc w:val="both"/>
        <w:rPr>
          <w:rFonts w:ascii="Times New Roman" w:hAnsi="Times New Roman" w:cs="Times New Roman"/>
        </w:rPr>
      </w:pPr>
      <w:r>
        <w:rPr>
          <w:rFonts w:ascii="Times New Roman" w:hAnsi="Times New Roman" w:cs="Times New Roman"/>
        </w:rPr>
        <w:lastRenderedPageBreak/>
        <w:t>(ii)</w:t>
      </w:r>
      <w:r w:rsidR="00F94E36" w:rsidRPr="00F94E36">
        <w:rPr>
          <w:rFonts w:ascii="Times New Roman" w:hAnsi="Times New Roman" w:cs="Times New Roman"/>
        </w:rPr>
        <w:t>any</w:t>
      </w:r>
      <w:r w:rsidR="00F94E36" w:rsidRPr="00F94E36">
        <w:rPr>
          <w:rFonts w:ascii="Times New Roman" w:hAnsi="Times New Roman" w:cs="Times New Roman"/>
        </w:rPr>
        <w:tab/>
        <w:t>person named as promoter in any</w:t>
      </w:r>
      <w:r>
        <w:rPr>
          <w:rFonts w:ascii="Times New Roman" w:hAnsi="Times New Roman" w:cs="Times New Roman"/>
        </w:rPr>
        <w:t xml:space="preserve"> </w:t>
      </w:r>
      <w:r w:rsidR="00F94E36" w:rsidRPr="00F94E36">
        <w:rPr>
          <w:rFonts w:ascii="Times New Roman" w:hAnsi="Times New Roman" w:cs="Times New Roman"/>
        </w:rPr>
        <w:t>document for offer of securities to the public or existing shareholders or in the shareholding pattern dis</w:t>
      </w:r>
      <w:r>
        <w:rPr>
          <w:rFonts w:ascii="Times New Roman" w:hAnsi="Times New Roman" w:cs="Times New Roman"/>
        </w:rPr>
        <w:t>closed by the company under</w:t>
      </w:r>
      <w:r>
        <w:rPr>
          <w:rFonts w:ascii="Times New Roman" w:hAnsi="Times New Roman" w:cs="Times New Roman"/>
        </w:rPr>
        <w:tab/>
        <w:t xml:space="preserve">the </w:t>
      </w:r>
      <w:r w:rsidR="00F94E36" w:rsidRPr="00F94E36">
        <w:rPr>
          <w:rFonts w:ascii="Times New Roman" w:hAnsi="Times New Roman" w:cs="Times New Roman"/>
        </w:rPr>
        <w:t>provisions</w:t>
      </w:r>
      <w:r>
        <w:rPr>
          <w:rFonts w:ascii="Times New Roman" w:hAnsi="Times New Roman" w:cs="Times New Roman"/>
        </w:rPr>
        <w:t xml:space="preserve">  </w:t>
      </w:r>
      <w:r w:rsidR="00F94E36" w:rsidRPr="00F94E36">
        <w:rPr>
          <w:rFonts w:ascii="Times New Roman" w:hAnsi="Times New Roman" w:cs="Times New Roman"/>
        </w:rPr>
        <w:t>of the</w:t>
      </w:r>
      <w:r w:rsidR="00F94E36" w:rsidRPr="00F94E36">
        <w:rPr>
          <w:rFonts w:ascii="Times New Roman" w:hAnsi="Times New Roman" w:cs="Times New Roman"/>
        </w:rPr>
        <w:tab/>
        <w:t>Listing</w:t>
      </w:r>
      <w:r>
        <w:rPr>
          <w:rFonts w:ascii="Times New Roman" w:hAnsi="Times New Roman" w:cs="Times New Roman"/>
        </w:rPr>
        <w:t xml:space="preserve"> </w:t>
      </w:r>
      <w:r w:rsidR="00F94E36" w:rsidRPr="00F94E36">
        <w:rPr>
          <w:rFonts w:ascii="Times New Roman" w:hAnsi="Times New Roman" w:cs="Times New Roman"/>
        </w:rPr>
        <w:t>Agreement, whichever is later;"</w:t>
      </w:r>
    </w:p>
    <w:p w:rsidR="000A6ED3" w:rsidRPr="00F94E36" w:rsidRDefault="000A6ED3" w:rsidP="000A6ED3">
      <w:pPr>
        <w:ind w:left="720"/>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10. </w:t>
      </w:r>
      <w:r w:rsidR="00F94E36" w:rsidRPr="00F94E36">
        <w:rPr>
          <w:rFonts w:ascii="Times New Roman" w:hAnsi="Times New Roman" w:cs="Times New Roman"/>
        </w:rPr>
        <w:t>The present Regulation with which we are directly</w:t>
      </w:r>
      <w:r>
        <w:rPr>
          <w:rFonts w:ascii="Times New Roman" w:hAnsi="Times New Roman" w:cs="Times New Roman"/>
        </w:rPr>
        <w:t xml:space="preserve"> </w:t>
      </w:r>
      <w:r w:rsidR="00F94E36" w:rsidRPr="00F94E36">
        <w:rPr>
          <w:rFonts w:ascii="Times New Roman" w:hAnsi="Times New Roman" w:cs="Times New Roman"/>
        </w:rPr>
        <w:t>concerned is Regulation 10, the relevant part of which is</w:t>
      </w:r>
      <w:r>
        <w:rPr>
          <w:rFonts w:ascii="Times New Roman" w:hAnsi="Times New Roman" w:cs="Times New Roman"/>
        </w:rPr>
        <w:t xml:space="preserve"> </w:t>
      </w:r>
      <w:r w:rsidR="00F94E36" w:rsidRPr="00F94E36">
        <w:rPr>
          <w:rFonts w:ascii="Times New Roman" w:hAnsi="Times New Roman" w:cs="Times New Roman"/>
        </w:rPr>
        <w:t>set out hereunder:</w:t>
      </w:r>
    </w:p>
    <w:p w:rsidR="000A6ED3" w:rsidRPr="00F94E36" w:rsidRDefault="000A6ED3" w:rsidP="00F94E36">
      <w:pPr>
        <w:jc w:val="both"/>
        <w:rPr>
          <w:rFonts w:ascii="Times New Roman" w:hAnsi="Times New Roman" w:cs="Times New Roman"/>
        </w:rPr>
      </w:pPr>
    </w:p>
    <w:p w:rsidR="00F94E36" w:rsidRDefault="00F94E36" w:rsidP="00F94E36">
      <w:pPr>
        <w:jc w:val="both"/>
        <w:rPr>
          <w:rFonts w:ascii="Times New Roman" w:hAnsi="Times New Roman" w:cs="Times New Roman"/>
        </w:rPr>
      </w:pPr>
      <w:r w:rsidRPr="00F94E36">
        <w:rPr>
          <w:rFonts w:ascii="Times New Roman" w:hAnsi="Times New Roman" w:cs="Times New Roman"/>
        </w:rPr>
        <w:t>GENERAL EXEMPTIONS</w:t>
      </w:r>
    </w:p>
    <w:p w:rsidR="000A6ED3" w:rsidRPr="00F94E36" w:rsidRDefault="000A6ED3" w:rsidP="00F94E36">
      <w:pPr>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10.(1) The following acquisitions shall be exempt from the o</w:t>
      </w:r>
      <w:r w:rsidR="000A6ED3">
        <w:rPr>
          <w:rFonts w:ascii="Times New Roman" w:hAnsi="Times New Roman" w:cs="Times New Roman"/>
        </w:rPr>
        <w:t xml:space="preserve">bligation to make an open offer </w:t>
      </w:r>
      <w:r w:rsidRPr="00F94E36">
        <w:rPr>
          <w:rFonts w:ascii="Times New Roman" w:hAnsi="Times New Roman" w:cs="Times New Roman"/>
        </w:rPr>
        <w:t>under</w:t>
      </w:r>
      <w:r w:rsidR="000A6ED3">
        <w:rPr>
          <w:rFonts w:ascii="Times New Roman" w:hAnsi="Times New Roman" w:cs="Times New Roman"/>
        </w:rPr>
        <w:t xml:space="preserve"> </w:t>
      </w:r>
      <w:r w:rsidRPr="00F94E36">
        <w:rPr>
          <w:rFonts w:ascii="Times New Roman" w:hAnsi="Times New Roman" w:cs="Times New Roman"/>
        </w:rPr>
        <w:t>regulation</w:t>
      </w:r>
      <w:r w:rsidR="000A6ED3">
        <w:rPr>
          <w:rFonts w:ascii="Times New Roman" w:hAnsi="Times New Roman" w:cs="Times New Roman"/>
        </w:rPr>
        <w:t xml:space="preserve"> </w:t>
      </w:r>
      <w:r w:rsidR="000A6ED3">
        <w:rPr>
          <w:rFonts w:ascii="Times New Roman" w:hAnsi="Times New Roman" w:cs="Times New Roman"/>
        </w:rPr>
        <w:tab/>
        <w:t xml:space="preserve">3 </w:t>
      </w:r>
      <w:r w:rsidRPr="00F94E36">
        <w:rPr>
          <w:rFonts w:ascii="Times New Roman" w:hAnsi="Times New Roman" w:cs="Times New Roman"/>
        </w:rPr>
        <w:t>and regulation 4</w:t>
      </w:r>
      <w:r w:rsidR="000A6ED3">
        <w:rPr>
          <w:rFonts w:ascii="Times New Roman" w:hAnsi="Times New Roman" w:cs="Times New Roman"/>
        </w:rPr>
        <w:t xml:space="preserve"> </w:t>
      </w:r>
      <w:r w:rsidRPr="00F94E36">
        <w:rPr>
          <w:rFonts w:ascii="Times New Roman" w:hAnsi="Times New Roman" w:cs="Times New Roman"/>
        </w:rPr>
        <w:t>subject to fulfillment of the conditions stipulated therefor,-</w:t>
      </w:r>
    </w:p>
    <w:p w:rsidR="000A6ED3" w:rsidRDefault="000A6ED3" w:rsidP="000A6ED3">
      <w:pPr>
        <w:ind w:left="720"/>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(a) acquisition pursuant to inter se transfer of shares amongst qualifying persons being,-</w:t>
      </w:r>
    </w:p>
    <w:p w:rsidR="000A6ED3" w:rsidRDefault="000A6ED3" w:rsidP="000A6ED3">
      <w:pPr>
        <w:ind w:left="720"/>
        <w:jc w:val="both"/>
        <w:rPr>
          <w:rFonts w:ascii="Times New Roman" w:hAnsi="Times New Roman" w:cs="Times New Roman"/>
        </w:rPr>
      </w:pPr>
    </w:p>
    <w:p w:rsidR="00F94E36" w:rsidRPr="00F94E36" w:rsidRDefault="000A6ED3" w:rsidP="000A6ED3">
      <w:pPr>
        <w:ind w:left="720"/>
        <w:jc w:val="both"/>
        <w:rPr>
          <w:rFonts w:ascii="Times New Roman" w:hAnsi="Times New Roman" w:cs="Times New Roman"/>
        </w:rPr>
      </w:pPr>
      <w:r>
        <w:rPr>
          <w:rFonts w:ascii="Times New Roman" w:hAnsi="Times New Roman" w:cs="Times New Roman"/>
        </w:rPr>
        <w:t xml:space="preserve">(i) </w:t>
      </w:r>
      <w:r w:rsidR="00F94E36" w:rsidRPr="00F94E36">
        <w:rPr>
          <w:rFonts w:ascii="Times New Roman" w:hAnsi="Times New Roman" w:cs="Times New Roman"/>
        </w:rPr>
        <w:t xml:space="preserve"> immediate relatives;</w:t>
      </w:r>
    </w:p>
    <w:p w:rsidR="000A6ED3" w:rsidRDefault="000A6ED3" w:rsidP="000A6ED3">
      <w:pPr>
        <w:ind w:left="720"/>
        <w:jc w:val="both"/>
        <w:rPr>
          <w:rFonts w:ascii="Times New Roman" w:hAnsi="Times New Roman" w:cs="Times New Roman"/>
        </w:rPr>
      </w:pPr>
    </w:p>
    <w:p w:rsidR="00F94E36" w:rsidRPr="00F94E36" w:rsidRDefault="00F94E36" w:rsidP="000A6ED3">
      <w:pPr>
        <w:ind w:left="720"/>
        <w:jc w:val="both"/>
        <w:rPr>
          <w:rFonts w:ascii="Times New Roman" w:hAnsi="Times New Roman" w:cs="Times New Roman"/>
        </w:rPr>
      </w:pPr>
      <w:r w:rsidRPr="00F94E36">
        <w:rPr>
          <w:rFonts w:ascii="Times New Roman" w:hAnsi="Times New Roman" w:cs="Times New Roman"/>
        </w:rPr>
        <w:t>(</w:t>
      </w:r>
      <w:r w:rsidR="000A6ED3">
        <w:rPr>
          <w:rFonts w:ascii="Times New Roman" w:hAnsi="Times New Roman" w:cs="Times New Roman"/>
        </w:rPr>
        <w:t>ii) persons named as</w:t>
      </w:r>
      <w:r w:rsidR="000A6ED3">
        <w:rPr>
          <w:rFonts w:ascii="Times New Roman" w:hAnsi="Times New Roman" w:cs="Times New Roman"/>
        </w:rPr>
        <w:tab/>
        <w:t xml:space="preserve">promoters </w:t>
      </w:r>
      <w:r w:rsidRPr="00F94E36">
        <w:rPr>
          <w:rFonts w:ascii="Times New Roman" w:hAnsi="Times New Roman" w:cs="Times New Roman"/>
        </w:rPr>
        <w:t>in the</w:t>
      </w:r>
      <w:r w:rsidR="000A6ED3">
        <w:rPr>
          <w:rFonts w:ascii="Times New Roman" w:hAnsi="Times New Roman" w:cs="Times New Roman"/>
        </w:rPr>
        <w:t xml:space="preserve"> shareholding </w:t>
      </w:r>
      <w:r w:rsidRPr="00F94E36">
        <w:rPr>
          <w:rFonts w:ascii="Times New Roman" w:hAnsi="Times New Roman" w:cs="Times New Roman"/>
        </w:rPr>
        <w:t>pattern filed by the</w:t>
      </w:r>
      <w:r w:rsidRPr="00F94E36">
        <w:rPr>
          <w:rFonts w:ascii="Times New Roman" w:hAnsi="Times New Roman" w:cs="Times New Roman"/>
        </w:rPr>
        <w:tab/>
      </w:r>
      <w:r w:rsidR="000A6ED3">
        <w:rPr>
          <w:rFonts w:ascii="Times New Roman" w:hAnsi="Times New Roman" w:cs="Times New Roman"/>
        </w:rPr>
        <w:t xml:space="preserve"> </w:t>
      </w:r>
      <w:r w:rsidRPr="00F94E36">
        <w:rPr>
          <w:rFonts w:ascii="Times New Roman" w:hAnsi="Times New Roman" w:cs="Times New Roman"/>
        </w:rPr>
        <w:t>target</w:t>
      </w:r>
      <w:r w:rsidR="000A6ED3">
        <w:rPr>
          <w:rFonts w:ascii="Times New Roman" w:hAnsi="Times New Roman" w:cs="Times New Roman"/>
        </w:rPr>
        <w:t xml:space="preserve"> </w:t>
      </w:r>
      <w:r w:rsidRPr="00F94E36">
        <w:rPr>
          <w:rFonts w:ascii="Times New Roman" w:hAnsi="Times New Roman" w:cs="Times New Roman"/>
        </w:rPr>
        <w:t>com</w:t>
      </w:r>
      <w:r w:rsidR="000A6ED3">
        <w:rPr>
          <w:rFonts w:ascii="Times New Roman" w:hAnsi="Times New Roman" w:cs="Times New Roman"/>
        </w:rPr>
        <w:t>-</w:t>
      </w:r>
      <w:r w:rsidRPr="00F94E36">
        <w:rPr>
          <w:rFonts w:ascii="Times New Roman" w:hAnsi="Times New Roman" w:cs="Times New Roman"/>
        </w:rPr>
        <w:t>pany in terms of the listing agreement or these regulations for not less than three years prior to the proposed acquisition;"</w:t>
      </w:r>
    </w:p>
    <w:p w:rsidR="000A6ED3"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11. </w:t>
      </w:r>
      <w:r w:rsidR="00F94E36" w:rsidRPr="00F94E36">
        <w:rPr>
          <w:rFonts w:ascii="Times New Roman" w:hAnsi="Times New Roman" w:cs="Times New Roman"/>
        </w:rPr>
        <w:t>It is important to first read the general exemption</w:t>
      </w:r>
      <w:r>
        <w:rPr>
          <w:rFonts w:ascii="Times New Roman" w:hAnsi="Times New Roman" w:cs="Times New Roman"/>
        </w:rPr>
        <w:t xml:space="preserve"> </w:t>
      </w:r>
      <w:r w:rsidR="00F94E36" w:rsidRPr="00F94E36">
        <w:rPr>
          <w:rFonts w:ascii="Times New Roman" w:hAnsi="Times New Roman" w:cs="Times New Roman"/>
        </w:rPr>
        <w:t>provision by itself. What has been stressed by Shri K.V.</w:t>
      </w:r>
      <w:r>
        <w:rPr>
          <w:rFonts w:ascii="Times New Roman" w:hAnsi="Times New Roman" w:cs="Times New Roman"/>
        </w:rPr>
        <w:t xml:space="preserve"> </w:t>
      </w:r>
      <w:r w:rsidR="00F94E36" w:rsidRPr="00F94E36">
        <w:rPr>
          <w:rFonts w:ascii="Times New Roman" w:hAnsi="Times New Roman" w:cs="Times New Roman"/>
        </w:rPr>
        <w:t>Vishwanathan, learned senior counsel for the appellant, is</w:t>
      </w:r>
      <w:r>
        <w:rPr>
          <w:rFonts w:ascii="Times New Roman" w:hAnsi="Times New Roman" w:cs="Times New Roman"/>
        </w:rPr>
        <w:t xml:space="preserve"> </w:t>
      </w:r>
      <w:r w:rsidR="00F94E36" w:rsidRPr="00F94E36">
        <w:rPr>
          <w:rFonts w:ascii="Times New Roman" w:hAnsi="Times New Roman" w:cs="Times New Roman"/>
        </w:rPr>
        <w:t>that the acquisition must be pursuant to inter se transfer</w:t>
      </w:r>
      <w:r>
        <w:rPr>
          <w:rFonts w:ascii="Times New Roman" w:hAnsi="Times New Roman" w:cs="Times New Roman"/>
        </w:rPr>
        <w:t xml:space="preserve"> </w:t>
      </w:r>
      <w:r w:rsidR="00F94E36" w:rsidRPr="00F94E36">
        <w:rPr>
          <w:rFonts w:ascii="Times New Roman" w:hAnsi="Times New Roman" w:cs="Times New Roman"/>
        </w:rPr>
        <w:t>of shares amongst qualifying persons who, for our</w:t>
      </w:r>
      <w:r>
        <w:rPr>
          <w:rFonts w:ascii="Times New Roman" w:hAnsi="Times New Roman" w:cs="Times New Roman"/>
        </w:rPr>
        <w:t xml:space="preserve"> </w:t>
      </w:r>
      <w:r w:rsidR="00F94E36" w:rsidRPr="00F94E36">
        <w:rPr>
          <w:rFonts w:ascii="Times New Roman" w:hAnsi="Times New Roman" w:cs="Times New Roman"/>
        </w:rPr>
        <w:t>purposes, are persons who are promoters of a particular</w:t>
      </w:r>
      <w:r>
        <w:rPr>
          <w:rFonts w:ascii="Times New Roman" w:hAnsi="Times New Roman" w:cs="Times New Roman"/>
        </w:rPr>
        <w:t xml:space="preserve"> </w:t>
      </w:r>
      <w:r w:rsidR="00F94E36" w:rsidRPr="00F94E36">
        <w:rPr>
          <w:rFonts w:ascii="Times New Roman" w:hAnsi="Times New Roman" w:cs="Times New Roman"/>
        </w:rPr>
        <w:t>entity. On a plain reading of the provision, it is clear</w:t>
      </w:r>
      <w:r>
        <w:rPr>
          <w:rFonts w:ascii="Times New Roman" w:hAnsi="Times New Roman" w:cs="Times New Roman"/>
        </w:rPr>
        <w:t xml:space="preserve"> </w:t>
      </w:r>
      <w:r w:rsidR="00F94E36" w:rsidRPr="00F94E36">
        <w:rPr>
          <w:rFonts w:ascii="Times New Roman" w:hAnsi="Times New Roman" w:cs="Times New Roman"/>
        </w:rPr>
        <w:t>shareholding pattern filed by the "Target Company". The Target Company is separately defined by the 2011 Regulations in paragraph 2(z) thereof as follows:</w:t>
      </w:r>
    </w:p>
    <w:p w:rsidR="000A6ED3" w:rsidRPr="00F94E36" w:rsidRDefault="000A6ED3" w:rsidP="00F94E36">
      <w:pPr>
        <w:jc w:val="both"/>
        <w:rPr>
          <w:rFonts w:ascii="Times New Roman" w:hAnsi="Times New Roman" w:cs="Times New Roman"/>
        </w:rPr>
      </w:pPr>
    </w:p>
    <w:p w:rsidR="00F94E36" w:rsidRDefault="00F94E36" w:rsidP="000A6ED3">
      <w:pPr>
        <w:ind w:left="720"/>
        <w:jc w:val="both"/>
        <w:rPr>
          <w:rFonts w:ascii="Times New Roman" w:hAnsi="Times New Roman" w:cs="Times New Roman"/>
        </w:rPr>
      </w:pPr>
      <w:r w:rsidRPr="00F94E36">
        <w:rPr>
          <w:rFonts w:ascii="Times New Roman" w:hAnsi="Times New Roman" w:cs="Times New Roman"/>
        </w:rPr>
        <w:t>2(z) "target company" means a company and includes a body corporate or corporation established under a Central legislation, State legislation or Provincial legislation for the time being in force, whose shares are listed on a stock exchange;"</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12. </w:t>
      </w:r>
      <w:r w:rsidR="00F94E36" w:rsidRPr="00F94E36">
        <w:rPr>
          <w:rFonts w:ascii="Times New Roman" w:hAnsi="Times New Roman" w:cs="Times New Roman"/>
        </w:rPr>
        <w:t xml:space="preserve">In so far as the facts of the present case are concerned, the definition that we are concerned with is that of a company, and not any other corporate entity. For the purpose of the present case, the Target Company, therefore, means a company whose shares are listed on a Stock Exchange. This would mean, on the facts of the present case, the Rattan Company, whose shares are listed on the two Stock Exchanges as mentioned above. Coming back to Regulation 10, it is thus clear that persons named as promoters in the shareholding pattern filed by the Rattan Company in terms of the listing agreement between the two Stock Exchanges is what is to be looked at. And for this purpose persons must be promoters of the Rattan Company for not less than three years prior to the proposed acquisition in order that the exemption under paragraph 10 would apply. On the facts of this case, therefore, the information memorandum having been filed on 19th July, 2012 pursuant to which listing took place one </w:t>
      </w:r>
      <w:r>
        <w:rPr>
          <w:rFonts w:ascii="Times New Roman" w:hAnsi="Times New Roman" w:cs="Times New Roman"/>
        </w:rPr>
        <w:t xml:space="preserve"> </w:t>
      </w:r>
      <w:r w:rsidR="00F94E36" w:rsidRPr="00F94E36">
        <w:rPr>
          <w:rFonts w:ascii="Times New Roman" w:hAnsi="Times New Roman" w:cs="Times New Roman"/>
        </w:rPr>
        <w:t>day later, is the relevant date from which this period is</w:t>
      </w:r>
      <w:r>
        <w:rPr>
          <w:rFonts w:ascii="Times New Roman" w:hAnsi="Times New Roman" w:cs="Times New Roman"/>
        </w:rPr>
        <w:t xml:space="preserve"> </w:t>
      </w:r>
      <w:r w:rsidR="00F94E36" w:rsidRPr="00F94E36">
        <w:rPr>
          <w:rFonts w:ascii="Times New Roman" w:hAnsi="Times New Roman" w:cs="Times New Roman"/>
        </w:rPr>
        <w:t xml:space="preserve">computed. This being </w:t>
      </w:r>
      <w:r w:rsidR="00F94E36" w:rsidRPr="00F94E36">
        <w:rPr>
          <w:rFonts w:ascii="Times New Roman" w:hAnsi="Times New Roman" w:cs="Times New Roman"/>
        </w:rPr>
        <w:lastRenderedPageBreak/>
        <w:t>the case, three years had not elapsed on 9/10th July, 2014, which was the date on which the earlier purchase of shares had taken place.</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13. </w:t>
      </w:r>
      <w:r w:rsidR="00F94E36" w:rsidRPr="00F94E36">
        <w:rPr>
          <w:rFonts w:ascii="Times New Roman" w:hAnsi="Times New Roman" w:cs="Times New Roman"/>
        </w:rPr>
        <w:t>However, Mr. Vishwanathan has argued that Regulation 10 should be read in the light of its object and has made three distinct submissions in this behalf. He argued, based on the Reports of two committees and further on the basis of Regulation 10 itself, that it would be permissible for us to get to the real state of affairs, which is that the promoters, having been the same since the inception of IBREL, we should read this provision so as to confer a benefit that was sought to be conferred by the framers of the Regulation.</w:t>
      </w:r>
    </w:p>
    <w:p w:rsidR="000A6ED3" w:rsidRPr="00F94E36" w:rsidRDefault="000A6ED3" w:rsidP="00F94E36">
      <w:pPr>
        <w:jc w:val="both"/>
        <w:rPr>
          <w:rFonts w:ascii="Times New Roman" w:hAnsi="Times New Roman" w:cs="Times New Roman"/>
        </w:rPr>
      </w:pPr>
    </w:p>
    <w:p w:rsidR="00F94E36" w:rsidRPr="000A6ED3" w:rsidRDefault="00F94E36" w:rsidP="00F94E36">
      <w:pPr>
        <w:jc w:val="both"/>
        <w:rPr>
          <w:rFonts w:ascii="Times New Roman" w:hAnsi="Times New Roman" w:cs="Times New Roman"/>
          <w:b/>
        </w:rPr>
      </w:pPr>
      <w:r w:rsidRPr="000A6ED3">
        <w:rPr>
          <w:rFonts w:ascii="Times New Roman" w:hAnsi="Times New Roman" w:cs="Times New Roman"/>
          <w:b/>
        </w:rPr>
        <w:t>First, the two Reports:</w:t>
      </w:r>
    </w:p>
    <w:p w:rsidR="000A6ED3" w:rsidRPr="00F94E36" w:rsidRDefault="000A6ED3" w:rsidP="00F94E36">
      <w:pPr>
        <w:jc w:val="both"/>
        <w:rPr>
          <w:rFonts w:ascii="Times New Roman" w:hAnsi="Times New Roman" w:cs="Times New Roman"/>
        </w:rPr>
      </w:pPr>
    </w:p>
    <w:p w:rsidR="00F94E36" w:rsidRDefault="000A6ED3" w:rsidP="00F94E36">
      <w:pPr>
        <w:jc w:val="both"/>
        <w:rPr>
          <w:rFonts w:ascii="Times New Roman" w:hAnsi="Times New Roman" w:cs="Times New Roman"/>
        </w:rPr>
      </w:pPr>
      <w:r>
        <w:rPr>
          <w:rFonts w:ascii="Times New Roman" w:hAnsi="Times New Roman" w:cs="Times New Roman"/>
        </w:rPr>
        <w:t xml:space="preserve">14. </w:t>
      </w:r>
      <w:r w:rsidR="00F94E36" w:rsidRPr="00F94E36">
        <w:rPr>
          <w:rFonts w:ascii="Times New Roman" w:hAnsi="Times New Roman" w:cs="Times New Roman"/>
        </w:rPr>
        <w:t>When we turn to the Bhagwati Committee Report of 2002, so far as inter se transfers were concerned, commenting on Regulation 3 of the 1997 Reg</w:t>
      </w:r>
      <w:r>
        <w:rPr>
          <w:rFonts w:ascii="Times New Roman" w:hAnsi="Times New Roman" w:cs="Times New Roman"/>
        </w:rPr>
        <w:t>ulations, it was noted as under</w:t>
      </w:r>
      <w:r w:rsidR="00F94E36" w:rsidRPr="00F94E36">
        <w:rPr>
          <w:rFonts w:ascii="Times New Roman" w:hAnsi="Times New Roman" w:cs="Times New Roman"/>
        </w:rPr>
        <w:t>:</w:t>
      </w:r>
    </w:p>
    <w:p w:rsidR="000A6ED3" w:rsidRPr="00F94E36" w:rsidRDefault="000A6ED3" w:rsidP="00F94E36">
      <w:pPr>
        <w:jc w:val="both"/>
        <w:rPr>
          <w:rFonts w:ascii="Times New Roman" w:hAnsi="Times New Roman" w:cs="Times New Roman"/>
        </w:rPr>
      </w:pPr>
    </w:p>
    <w:p w:rsidR="00F94E36" w:rsidRDefault="00F94E36" w:rsidP="000A6ED3">
      <w:pPr>
        <w:ind w:left="720"/>
        <w:jc w:val="both"/>
        <w:rPr>
          <w:rFonts w:ascii="Times New Roman" w:hAnsi="Times New Roman" w:cs="Times New Roman"/>
        </w:rPr>
      </w:pPr>
      <w:r w:rsidRPr="00F94E36">
        <w:rPr>
          <w:rFonts w:ascii="Times New Roman" w:hAnsi="Times New Roman" w:cs="Times New Roman"/>
        </w:rPr>
        <w:t>"The Committee noted that the Regulation 3 exempt acquisitions through inter se transfers among group companies, relatives and promoters. There may not be any cause for concern in respect of inter se transfers amongst group and relatives as in such cases, the control continues to remain with the group. However the issue assumes significance when it involves interse transfers amongst promoter groups such as between a foreign collaborator and an Indian promoter or between two groups of Indian promoters. In such cases, there is bound to be perceptible change in control. The</w:t>
      </w:r>
      <w:r w:rsidR="000A6ED3">
        <w:rPr>
          <w:rFonts w:ascii="Times New Roman" w:hAnsi="Times New Roman" w:cs="Times New Roman"/>
        </w:rPr>
        <w:t xml:space="preserve"> </w:t>
      </w:r>
      <w:r w:rsidRPr="00F94E36">
        <w:rPr>
          <w:rFonts w:ascii="Times New Roman" w:hAnsi="Times New Roman" w:cs="Times New Roman"/>
        </w:rPr>
        <w:t>Committee noted that the arguments raised in such cases are that while the shareholder with substantial holding gets an exit, sometimes at very high prices, the other shareholders are denied such benefit. It is also possible that in such cases, the investment was made by the shareholder on the strength of the existing shareholder with substantial holding. There was a strong feeling that in such cases of transfers, there should be a requirement of compulsory open offer."</w:t>
      </w:r>
    </w:p>
    <w:p w:rsidR="000A6ED3" w:rsidRPr="00F94E36" w:rsidRDefault="000A6ED3" w:rsidP="00F94E36">
      <w:pPr>
        <w:jc w:val="both"/>
        <w:rPr>
          <w:rFonts w:ascii="Times New Roman" w:hAnsi="Times New Roman" w:cs="Times New Roman"/>
        </w:rPr>
      </w:pPr>
    </w:p>
    <w:p w:rsidR="00F94E36" w:rsidRPr="00F94E36" w:rsidRDefault="000A6ED3" w:rsidP="00F94E36">
      <w:pPr>
        <w:jc w:val="both"/>
        <w:rPr>
          <w:rFonts w:ascii="Times New Roman" w:hAnsi="Times New Roman" w:cs="Times New Roman"/>
        </w:rPr>
      </w:pPr>
      <w:r>
        <w:rPr>
          <w:rFonts w:ascii="Times New Roman" w:hAnsi="Times New Roman" w:cs="Times New Roman"/>
        </w:rPr>
        <w:t xml:space="preserve">15. </w:t>
      </w:r>
      <w:r w:rsidR="00F94E36" w:rsidRPr="00F94E36">
        <w:rPr>
          <w:rFonts w:ascii="Times New Roman" w:hAnsi="Times New Roman" w:cs="Times New Roman"/>
        </w:rPr>
        <w:t>Finally, the Committee recommended that as regards inter se transfers amongst promoters, the existing provisions may continue. Indeed, therefore, there is n</w:t>
      </w:r>
      <w:r>
        <w:rPr>
          <w:rFonts w:ascii="Times New Roman" w:hAnsi="Times New Roman" w:cs="Times New Roman"/>
        </w:rPr>
        <w:t xml:space="preserve">o difference in the Regulations of 1997, and the Regulations of 2011 </w:t>
      </w:r>
      <w:r w:rsidR="00F94E36" w:rsidRPr="00F94E36">
        <w:rPr>
          <w:rFonts w:ascii="Times New Roman" w:hAnsi="Times New Roman" w:cs="Times New Roman"/>
        </w:rPr>
        <w:t>so far as</w:t>
      </w:r>
      <w:r>
        <w:rPr>
          <w:rFonts w:ascii="Times New Roman" w:hAnsi="Times New Roman" w:cs="Times New Roman"/>
        </w:rPr>
        <w:t xml:space="preserve"> </w:t>
      </w:r>
      <w:r w:rsidR="00F94E36" w:rsidRPr="00F94E36">
        <w:rPr>
          <w:rFonts w:ascii="Times New Roman" w:hAnsi="Times New Roman" w:cs="Times New Roman"/>
        </w:rPr>
        <w:t>transfers among promoters is concerned, especially</w:t>
      </w:r>
      <w:r>
        <w:rPr>
          <w:rFonts w:ascii="Times New Roman" w:hAnsi="Times New Roman" w:cs="Times New Roman"/>
        </w:rPr>
        <w:t xml:space="preserve"> after the explanation</w:t>
      </w:r>
      <w:r>
        <w:rPr>
          <w:rFonts w:ascii="Times New Roman" w:hAnsi="Times New Roman" w:cs="Times New Roman"/>
        </w:rPr>
        <w:tab/>
        <w:t xml:space="preserve">that was added to Regulation </w:t>
      </w:r>
      <w:r w:rsidR="00F94E36" w:rsidRPr="00F94E36">
        <w:rPr>
          <w:rFonts w:ascii="Times New Roman" w:hAnsi="Times New Roman" w:cs="Times New Roman"/>
        </w:rPr>
        <w:t>3 in 2005. It is</w:t>
      </w:r>
      <w:r>
        <w:rPr>
          <w:rFonts w:ascii="Times New Roman" w:hAnsi="Times New Roman" w:cs="Times New Roman"/>
        </w:rPr>
        <w:t xml:space="preserve"> Significant </w:t>
      </w:r>
      <w:r w:rsidR="00F94E36" w:rsidRPr="00F94E36">
        <w:rPr>
          <w:rFonts w:ascii="Times New Roman" w:hAnsi="Times New Roman" w:cs="Times New Roman"/>
        </w:rPr>
        <w:t>to</w:t>
      </w:r>
      <w:r w:rsidR="00F94E36" w:rsidRPr="00F94E36">
        <w:rPr>
          <w:rFonts w:ascii="Times New Roman" w:hAnsi="Times New Roman" w:cs="Times New Roman"/>
        </w:rPr>
        <w:tab/>
      </w:r>
      <w:r>
        <w:rPr>
          <w:rFonts w:ascii="Times New Roman" w:hAnsi="Times New Roman" w:cs="Times New Roman"/>
        </w:rPr>
        <w:t xml:space="preserve"> </w:t>
      </w:r>
      <w:r w:rsidR="00F94E36" w:rsidRPr="00F94E36">
        <w:rPr>
          <w:rFonts w:ascii="Times New Roman" w:hAnsi="Times New Roman" w:cs="Times New Roman"/>
        </w:rPr>
        <w:t>notice that the Committee</w:t>
      </w:r>
      <w:r w:rsidR="00F94E36" w:rsidRPr="00F94E36">
        <w:rPr>
          <w:rFonts w:ascii="Times New Roman" w:hAnsi="Times New Roman" w:cs="Times New Roman"/>
        </w:rPr>
        <w:tab/>
        <w:t>did not</w:t>
      </w:r>
      <w:r>
        <w:rPr>
          <w:rFonts w:ascii="Times New Roman" w:hAnsi="Times New Roman" w:cs="Times New Roman"/>
        </w:rPr>
        <w:t xml:space="preserve">  </w:t>
      </w:r>
      <w:r w:rsidR="00F94E36" w:rsidRPr="00F94E36">
        <w:rPr>
          <w:rFonts w:ascii="Times New Roman" w:hAnsi="Times New Roman" w:cs="Times New Roman"/>
        </w:rPr>
        <w:t>positively</w:t>
      </w:r>
      <w:r>
        <w:rPr>
          <w:rFonts w:ascii="Times New Roman" w:hAnsi="Times New Roman" w:cs="Times New Roman"/>
        </w:rPr>
        <w:t xml:space="preserve"> State that </w:t>
      </w:r>
      <w:r w:rsidR="00F94E36" w:rsidRPr="00F94E36">
        <w:rPr>
          <w:rFonts w:ascii="Times New Roman" w:hAnsi="Times New Roman" w:cs="Times New Roman"/>
        </w:rPr>
        <w:t>Regulation 3 should be construed in any</w:t>
      </w:r>
      <w:r w:rsidR="00F94E36" w:rsidRPr="00F94E36">
        <w:rPr>
          <w:rFonts w:ascii="Times New Roman" w:hAnsi="Times New Roman" w:cs="Times New Roman"/>
        </w:rPr>
        <w:tab/>
        <w:t>particular</w:t>
      </w:r>
      <w:r>
        <w:rPr>
          <w:rFonts w:ascii="Times New Roman" w:hAnsi="Times New Roman" w:cs="Times New Roman"/>
        </w:rPr>
        <w:t xml:space="preserve"> manner, </w:t>
      </w:r>
      <w:r w:rsidR="00F94E36" w:rsidRPr="00F94E36">
        <w:rPr>
          <w:rFonts w:ascii="Times New Roman" w:hAnsi="Times New Roman" w:cs="Times New Roman"/>
        </w:rPr>
        <w:t>except to state that there is no cause for</w:t>
      </w:r>
      <w:r>
        <w:rPr>
          <w:rFonts w:ascii="Times New Roman" w:hAnsi="Times New Roman" w:cs="Times New Roman"/>
        </w:rPr>
        <w:t xml:space="preserve"> </w:t>
      </w:r>
      <w:r w:rsidR="00F94E36" w:rsidRPr="00F94E36">
        <w:rPr>
          <w:rFonts w:ascii="Times New Roman" w:hAnsi="Times New Roman" w:cs="Times New Roman"/>
        </w:rPr>
        <w:t>concern</w:t>
      </w:r>
      <w:r>
        <w:rPr>
          <w:rFonts w:ascii="Times New Roman" w:hAnsi="Times New Roman" w:cs="Times New Roman"/>
        </w:rPr>
        <w:t xml:space="preserve"> </w:t>
      </w:r>
      <w:r w:rsidR="00F94E36" w:rsidRPr="00F94E36">
        <w:rPr>
          <w:rFonts w:ascii="Times New Roman" w:hAnsi="Times New Roman" w:cs="Times New Roman"/>
        </w:rPr>
        <w:t>in</w:t>
      </w:r>
    </w:p>
    <w:p w:rsidR="00F94E36" w:rsidRPr="00F94E36" w:rsidRDefault="00F94E36" w:rsidP="00F94E36">
      <w:pPr>
        <w:jc w:val="both"/>
        <w:rPr>
          <w:rFonts w:ascii="Times New Roman" w:hAnsi="Times New Roman" w:cs="Times New Roman"/>
        </w:rPr>
      </w:pPr>
      <w:r w:rsidRPr="00F94E36">
        <w:rPr>
          <w:rFonts w:ascii="Times New Roman" w:hAnsi="Times New Roman" w:cs="Times New Roman"/>
        </w:rPr>
        <w:t>respect of inter se transfer within the group if control continues to remain within the group.</w:t>
      </w:r>
    </w:p>
    <w:p w:rsidR="00F94E36" w:rsidRDefault="000A6ED3" w:rsidP="00F94E36">
      <w:pPr>
        <w:jc w:val="both"/>
        <w:rPr>
          <w:rFonts w:ascii="Times New Roman" w:hAnsi="Times New Roman" w:cs="Times New Roman"/>
        </w:rPr>
      </w:pPr>
      <w:r>
        <w:rPr>
          <w:rFonts w:ascii="Times New Roman" w:hAnsi="Times New Roman" w:cs="Times New Roman"/>
        </w:rPr>
        <w:t xml:space="preserve">Coming to </w:t>
      </w:r>
      <w:r w:rsidR="00F94E36" w:rsidRPr="00F94E36">
        <w:rPr>
          <w:rFonts w:ascii="Times New Roman" w:hAnsi="Times New Roman" w:cs="Times New Roman"/>
        </w:rPr>
        <w:t>t</w:t>
      </w:r>
      <w:r>
        <w:rPr>
          <w:rFonts w:ascii="Times New Roman" w:hAnsi="Times New Roman" w:cs="Times New Roman"/>
        </w:rPr>
        <w:t xml:space="preserve">he Achuthan Committee Report of </w:t>
      </w:r>
      <w:r w:rsidR="00F94E36" w:rsidRPr="00F94E36">
        <w:rPr>
          <w:rFonts w:ascii="Times New Roman" w:hAnsi="Times New Roman" w:cs="Times New Roman"/>
        </w:rPr>
        <w:t>2010, this</w:t>
      </w:r>
      <w:r>
        <w:rPr>
          <w:rFonts w:ascii="Times New Roman" w:hAnsi="Times New Roman" w:cs="Times New Roman"/>
        </w:rPr>
        <w:t xml:space="preserve"> Committee noted</w:t>
      </w:r>
      <w:r w:rsidR="00F94E36" w:rsidRPr="00F94E36">
        <w:rPr>
          <w:rFonts w:ascii="Times New Roman" w:hAnsi="Times New Roman" w:cs="Times New Roman"/>
        </w:rPr>
        <w:t>:</w:t>
      </w:r>
    </w:p>
    <w:p w:rsidR="000A6ED3" w:rsidRPr="00F94E36" w:rsidRDefault="000A6ED3" w:rsidP="00F94E36">
      <w:pPr>
        <w:jc w:val="both"/>
        <w:rPr>
          <w:rFonts w:ascii="Times New Roman" w:hAnsi="Times New Roman" w:cs="Times New Roman"/>
        </w:rPr>
      </w:pPr>
    </w:p>
    <w:p w:rsidR="00F94E36" w:rsidRPr="00F94E36" w:rsidRDefault="00F94E36" w:rsidP="005A43F7">
      <w:pPr>
        <w:ind w:left="720"/>
        <w:jc w:val="both"/>
        <w:rPr>
          <w:rFonts w:ascii="Times New Roman" w:hAnsi="Times New Roman" w:cs="Times New Roman"/>
        </w:rPr>
      </w:pPr>
      <w:r w:rsidRPr="00F94E36">
        <w:rPr>
          <w:rFonts w:ascii="Times New Roman" w:hAnsi="Times New Roman" w:cs="Times New Roman"/>
        </w:rPr>
        <w:t>"In respect of inter-se transfers amongst certain "qualifying parties" as listed</w:t>
      </w:r>
      <w:r w:rsidRPr="00F94E36">
        <w:rPr>
          <w:rFonts w:ascii="Times New Roman" w:hAnsi="Times New Roman" w:cs="Times New Roman"/>
        </w:rPr>
        <w:tab/>
        <w:t>and</w:t>
      </w:r>
    </w:p>
    <w:p w:rsidR="00F94E36" w:rsidRPr="00F94E36" w:rsidRDefault="00F94E36" w:rsidP="005A43F7">
      <w:pPr>
        <w:ind w:left="720"/>
        <w:jc w:val="both"/>
        <w:rPr>
          <w:rFonts w:ascii="Times New Roman" w:hAnsi="Times New Roman" w:cs="Times New Roman"/>
        </w:rPr>
      </w:pPr>
      <w:r w:rsidRPr="00F94E36">
        <w:rPr>
          <w:rFonts w:ascii="Times New Roman" w:hAnsi="Times New Roman" w:cs="Times New Roman"/>
        </w:rPr>
        <w:t>defined under the Takeover Regulations,</w:t>
      </w:r>
      <w:r w:rsidRPr="00F94E36">
        <w:rPr>
          <w:rFonts w:ascii="Times New Roman" w:hAnsi="Times New Roman" w:cs="Times New Roman"/>
        </w:rPr>
        <w:tab/>
        <w:t>the</w:t>
      </w:r>
      <w:r w:rsidR="005A43F7">
        <w:rPr>
          <w:rFonts w:ascii="Times New Roman" w:hAnsi="Times New Roman" w:cs="Times New Roman"/>
        </w:rPr>
        <w:t xml:space="preserve"> </w:t>
      </w:r>
      <w:r w:rsidRPr="00F94E36">
        <w:rPr>
          <w:rFonts w:ascii="Times New Roman" w:hAnsi="Times New Roman" w:cs="Times New Roman"/>
        </w:rPr>
        <w:t>Committee recommends that, in order to curb the abuse of introduction of new entities as qualifying parties, in most cases a requirement of pre-existing relationship of at least three years has been prescribed.</w:t>
      </w:r>
    </w:p>
    <w:p w:rsidR="00F94E36" w:rsidRDefault="00F94E36" w:rsidP="005A43F7">
      <w:pPr>
        <w:ind w:left="720"/>
        <w:jc w:val="both"/>
        <w:rPr>
          <w:rFonts w:ascii="Times New Roman" w:hAnsi="Times New Roman" w:cs="Times New Roman"/>
        </w:rPr>
      </w:pPr>
      <w:r w:rsidRPr="00F94E36">
        <w:rPr>
          <w:rFonts w:ascii="Times New Roman" w:hAnsi="Times New Roman" w:cs="Times New Roman"/>
        </w:rPr>
        <w:lastRenderedPageBreak/>
        <w:t>In particular, the current exemption on Group Companies which does not have this three year requirement has been restricted to transfers between co-subsidiaries and their parents where there is no change in</w:t>
      </w:r>
      <w:r w:rsidR="005A43F7">
        <w:rPr>
          <w:rFonts w:ascii="Times New Roman" w:hAnsi="Times New Roman" w:cs="Times New Roman"/>
        </w:rPr>
        <w:t xml:space="preserve"> </w:t>
      </w:r>
      <w:r w:rsidRPr="00F94E36">
        <w:rPr>
          <w:rFonts w:ascii="Times New Roman" w:hAnsi="Times New Roman" w:cs="Times New Roman"/>
        </w:rPr>
        <w:t>control"</w:t>
      </w:r>
    </w:p>
    <w:p w:rsidR="005A43F7" w:rsidRPr="00F94E36" w:rsidRDefault="005A43F7" w:rsidP="005A43F7">
      <w:pPr>
        <w:ind w:left="720"/>
        <w:jc w:val="both"/>
        <w:rPr>
          <w:rFonts w:ascii="Times New Roman" w:hAnsi="Times New Roman" w:cs="Times New Roman"/>
        </w:rPr>
      </w:pPr>
    </w:p>
    <w:p w:rsidR="00F94E36" w:rsidRDefault="00F94E36" w:rsidP="005A43F7">
      <w:pPr>
        <w:ind w:left="720"/>
        <w:jc w:val="both"/>
        <w:rPr>
          <w:rFonts w:ascii="Times New Roman" w:hAnsi="Times New Roman" w:cs="Times New Roman"/>
        </w:rPr>
      </w:pPr>
      <w:r w:rsidRPr="00F94E36">
        <w:rPr>
          <w:rFonts w:ascii="Times New Roman" w:hAnsi="Times New Roman" w:cs="Times New Roman"/>
        </w:rPr>
        <w:t>In a significant sentence, however it stated that :</w:t>
      </w:r>
    </w:p>
    <w:p w:rsidR="005A43F7" w:rsidRPr="00F94E36" w:rsidRDefault="005A43F7" w:rsidP="005A43F7">
      <w:pPr>
        <w:ind w:left="720"/>
        <w:jc w:val="both"/>
        <w:rPr>
          <w:rFonts w:ascii="Times New Roman" w:hAnsi="Times New Roman" w:cs="Times New Roman"/>
        </w:rPr>
      </w:pPr>
    </w:p>
    <w:p w:rsidR="00F94E36" w:rsidRDefault="00F94E36" w:rsidP="005A43F7">
      <w:pPr>
        <w:ind w:left="720"/>
        <w:jc w:val="both"/>
        <w:rPr>
          <w:rFonts w:ascii="Times New Roman" w:hAnsi="Times New Roman" w:cs="Times New Roman"/>
        </w:rPr>
      </w:pPr>
      <w:r w:rsidRPr="00F94E36">
        <w:rPr>
          <w:rFonts w:ascii="Times New Roman" w:hAnsi="Times New Roman" w:cs="Times New Roman"/>
        </w:rPr>
        <w:t>"However, if the schemes do not really involve or deal with the target company per se, and an acquisition of shares or voting rights in, or control over the target company were to take place beyond the thresholds specified for the open offer obligations, as a consequence of the main scheme, the treatment should be different."</w:t>
      </w:r>
    </w:p>
    <w:p w:rsidR="005A43F7" w:rsidRPr="00F94E36" w:rsidRDefault="005A43F7" w:rsidP="005A43F7">
      <w:pPr>
        <w:ind w:left="720"/>
        <w:jc w:val="both"/>
        <w:rPr>
          <w:rFonts w:ascii="Times New Roman" w:hAnsi="Times New Roman" w:cs="Times New Roman"/>
        </w:rPr>
      </w:pPr>
    </w:p>
    <w:p w:rsidR="00F94E36" w:rsidRDefault="005A43F7" w:rsidP="00F94E36">
      <w:pPr>
        <w:jc w:val="both"/>
        <w:rPr>
          <w:rFonts w:ascii="Times New Roman" w:hAnsi="Times New Roman" w:cs="Times New Roman"/>
        </w:rPr>
      </w:pPr>
      <w:r>
        <w:rPr>
          <w:rFonts w:ascii="Times New Roman" w:hAnsi="Times New Roman" w:cs="Times New Roman"/>
        </w:rPr>
        <w:t xml:space="preserve">16. </w:t>
      </w:r>
      <w:r w:rsidR="00F94E36" w:rsidRPr="00F94E36">
        <w:rPr>
          <w:rFonts w:ascii="Times New Roman" w:hAnsi="Times New Roman" w:cs="Times New Roman"/>
        </w:rPr>
        <w:t>Although, it is true that this Committee’s recommendations do disclose that the object of the regulation is to curb the abuse of introduction of new entities as qualifying parties, this again is tempered with a later sentence which states that if schemes do not really involve or deal with a target company per se, then only would the treatment of such open offer obligations be different.</w:t>
      </w:r>
    </w:p>
    <w:p w:rsidR="005A43F7" w:rsidRPr="00F94E36" w:rsidRDefault="005A43F7" w:rsidP="00F94E36">
      <w:pPr>
        <w:jc w:val="both"/>
        <w:rPr>
          <w:rFonts w:ascii="Times New Roman" w:hAnsi="Times New Roman" w:cs="Times New Roman"/>
        </w:rPr>
      </w:pPr>
    </w:p>
    <w:p w:rsidR="00F94E36" w:rsidRDefault="005A43F7" w:rsidP="00F94E36">
      <w:pPr>
        <w:jc w:val="both"/>
        <w:rPr>
          <w:rFonts w:ascii="Times New Roman" w:hAnsi="Times New Roman" w:cs="Times New Roman"/>
        </w:rPr>
      </w:pPr>
      <w:r>
        <w:rPr>
          <w:rFonts w:ascii="Times New Roman" w:hAnsi="Times New Roman" w:cs="Times New Roman"/>
        </w:rPr>
        <w:t xml:space="preserve">17. </w:t>
      </w:r>
      <w:r w:rsidR="00F94E36" w:rsidRPr="00F94E36">
        <w:rPr>
          <w:rFonts w:ascii="Times New Roman" w:hAnsi="Times New Roman" w:cs="Times New Roman"/>
        </w:rPr>
        <w:t>When we come to Regulation 10 itself, and we see some of the other clauses contained in the re</w:t>
      </w:r>
      <w:r>
        <w:rPr>
          <w:rFonts w:ascii="Times New Roman" w:hAnsi="Times New Roman" w:cs="Times New Roman"/>
        </w:rPr>
        <w:t>gulation, with which we are</w:t>
      </w:r>
      <w:r>
        <w:rPr>
          <w:rFonts w:ascii="Times New Roman" w:hAnsi="Times New Roman" w:cs="Times New Roman"/>
        </w:rPr>
        <w:tab/>
        <w:t xml:space="preserve">not directly </w:t>
      </w:r>
      <w:r w:rsidR="00F94E36" w:rsidRPr="00F94E36">
        <w:rPr>
          <w:rFonts w:ascii="Times New Roman" w:hAnsi="Times New Roman" w:cs="Times New Roman"/>
        </w:rPr>
        <w:t>concerned,</w:t>
      </w:r>
      <w:r>
        <w:rPr>
          <w:rFonts w:ascii="Times New Roman" w:hAnsi="Times New Roman" w:cs="Times New Roman"/>
        </w:rPr>
        <w:t xml:space="preserve"> the</w:t>
      </w:r>
      <w:r>
        <w:rPr>
          <w:rFonts w:ascii="Times New Roman" w:hAnsi="Times New Roman" w:cs="Times New Roman"/>
        </w:rPr>
        <w:tab/>
        <w:t>corporate veil</w:t>
      </w:r>
      <w:r>
        <w:rPr>
          <w:rFonts w:ascii="Times New Roman" w:hAnsi="Times New Roman" w:cs="Times New Roman"/>
        </w:rPr>
        <w:tab/>
        <w:t xml:space="preserve">is </w:t>
      </w:r>
      <w:r w:rsidR="00F94E36" w:rsidRPr="00F94E36">
        <w:rPr>
          <w:rFonts w:ascii="Times New Roman" w:hAnsi="Times New Roman" w:cs="Times New Roman"/>
        </w:rPr>
        <w:t>lifted in</w:t>
      </w:r>
      <w:r>
        <w:rPr>
          <w:rFonts w:ascii="Times New Roman" w:hAnsi="Times New Roman" w:cs="Times New Roman"/>
        </w:rPr>
        <w:t xml:space="preserve"> </w:t>
      </w:r>
      <w:r w:rsidR="00F94E36" w:rsidRPr="00F94E36">
        <w:rPr>
          <w:rFonts w:ascii="Times New Roman" w:hAnsi="Times New Roman" w:cs="Times New Roman"/>
        </w:rPr>
        <w:t>certain</w:t>
      </w:r>
      <w:r w:rsidR="00F94E36" w:rsidRPr="00F94E36">
        <w:rPr>
          <w:rFonts w:ascii="Times New Roman" w:hAnsi="Times New Roman" w:cs="Times New Roman"/>
        </w:rPr>
        <w:tab/>
      </w:r>
      <w:r>
        <w:rPr>
          <w:rFonts w:ascii="Times New Roman" w:hAnsi="Times New Roman" w:cs="Times New Roman"/>
        </w:rPr>
        <w:t xml:space="preserve"> </w:t>
      </w:r>
      <w:r w:rsidR="00F94E36" w:rsidRPr="00F94E36">
        <w:rPr>
          <w:rFonts w:ascii="Times New Roman" w:hAnsi="Times New Roman" w:cs="Times New Roman"/>
        </w:rPr>
        <w:t>s</w:t>
      </w:r>
      <w:r>
        <w:rPr>
          <w:rFonts w:ascii="Times New Roman" w:hAnsi="Times New Roman" w:cs="Times New Roman"/>
        </w:rPr>
        <w:t xml:space="preserve">pecified circumstances. </w:t>
      </w:r>
      <w:r w:rsidR="00F94E36" w:rsidRPr="00F94E36">
        <w:rPr>
          <w:rFonts w:ascii="Times New Roman" w:hAnsi="Times New Roman" w:cs="Times New Roman"/>
        </w:rPr>
        <w:t>Sub regulation</w:t>
      </w:r>
      <w:r w:rsidR="00F94E36" w:rsidRPr="00F94E36">
        <w:rPr>
          <w:rFonts w:ascii="Times New Roman" w:hAnsi="Times New Roman" w:cs="Times New Roman"/>
        </w:rPr>
        <w:tab/>
        <w:t>(iii) is set</w:t>
      </w:r>
      <w:r>
        <w:rPr>
          <w:rFonts w:ascii="Times New Roman" w:hAnsi="Times New Roman" w:cs="Times New Roman"/>
        </w:rPr>
        <w:t xml:space="preserve"> </w:t>
      </w:r>
      <w:r w:rsidR="00F94E36" w:rsidRPr="00F94E36">
        <w:rPr>
          <w:rFonts w:ascii="Times New Roman" w:hAnsi="Times New Roman" w:cs="Times New Roman"/>
        </w:rPr>
        <w:t>out hereinunder :</w:t>
      </w:r>
    </w:p>
    <w:p w:rsidR="005A43F7" w:rsidRPr="00F94E36" w:rsidRDefault="005A43F7" w:rsidP="00F94E36">
      <w:pPr>
        <w:jc w:val="both"/>
        <w:rPr>
          <w:rFonts w:ascii="Times New Roman" w:hAnsi="Times New Roman" w:cs="Times New Roman"/>
        </w:rPr>
      </w:pPr>
    </w:p>
    <w:p w:rsidR="00F94E36" w:rsidRDefault="005A43F7" w:rsidP="005A43F7">
      <w:pPr>
        <w:ind w:left="720"/>
        <w:jc w:val="both"/>
        <w:rPr>
          <w:rFonts w:ascii="Times New Roman" w:hAnsi="Times New Roman" w:cs="Times New Roman"/>
        </w:rPr>
      </w:pPr>
      <w:r>
        <w:rPr>
          <w:rFonts w:ascii="Times New Roman" w:hAnsi="Times New Roman" w:cs="Times New Roman"/>
        </w:rPr>
        <w:t xml:space="preserve">"(iii) a company, </w:t>
      </w:r>
      <w:r w:rsidR="00F94E36" w:rsidRPr="00F94E36">
        <w:rPr>
          <w:rFonts w:ascii="Times New Roman" w:hAnsi="Times New Roman" w:cs="Times New Roman"/>
        </w:rPr>
        <w:t>its subsidiaries, its</w:t>
      </w:r>
      <w:r>
        <w:rPr>
          <w:rFonts w:ascii="Times New Roman" w:hAnsi="Times New Roman" w:cs="Times New Roman"/>
        </w:rPr>
        <w:t xml:space="preserve"> </w:t>
      </w:r>
      <w:r w:rsidR="00F94E36" w:rsidRPr="00F94E36">
        <w:rPr>
          <w:rFonts w:ascii="Times New Roman" w:hAnsi="Times New Roman" w:cs="Times New Roman"/>
        </w:rPr>
        <w:t>holding company, other subsidiaries of such holding company, persons holding not less that fifty per cent of the equity shares of such company, other companies in which such persons hold not less th</w:t>
      </w:r>
      <w:r>
        <w:rPr>
          <w:rFonts w:ascii="Times New Roman" w:hAnsi="Times New Roman" w:cs="Times New Roman"/>
        </w:rPr>
        <w:t>an fifty per cent of</w:t>
      </w:r>
      <w:r>
        <w:rPr>
          <w:rFonts w:ascii="Times New Roman" w:hAnsi="Times New Roman" w:cs="Times New Roman"/>
        </w:rPr>
        <w:tab/>
        <w:t xml:space="preserve">the equity shares, and </w:t>
      </w:r>
      <w:r w:rsidR="00F94E36" w:rsidRPr="00F94E36">
        <w:rPr>
          <w:rFonts w:ascii="Times New Roman" w:hAnsi="Times New Roman" w:cs="Times New Roman"/>
        </w:rPr>
        <w:t>their</w:t>
      </w:r>
      <w:r>
        <w:rPr>
          <w:rFonts w:ascii="Times New Roman" w:hAnsi="Times New Roman" w:cs="Times New Roman"/>
        </w:rPr>
        <w:t xml:space="preserve"> </w:t>
      </w:r>
      <w:r w:rsidR="00F94E36" w:rsidRPr="00F94E36">
        <w:rPr>
          <w:rFonts w:ascii="Times New Roman" w:hAnsi="Times New Roman" w:cs="Times New Roman"/>
        </w:rPr>
        <w:t>subsidiaries subject to control over such qualifying persons being exclusively held by the same persons;"</w:t>
      </w:r>
    </w:p>
    <w:p w:rsidR="005A43F7" w:rsidRPr="00F94E36" w:rsidRDefault="005A43F7" w:rsidP="005A43F7">
      <w:pPr>
        <w:ind w:left="720"/>
        <w:jc w:val="both"/>
        <w:rPr>
          <w:rFonts w:ascii="Times New Roman" w:hAnsi="Times New Roman" w:cs="Times New Roman"/>
        </w:rPr>
      </w:pPr>
    </w:p>
    <w:p w:rsidR="005A43F7" w:rsidRDefault="005A43F7" w:rsidP="00F94E36">
      <w:pPr>
        <w:jc w:val="both"/>
        <w:rPr>
          <w:rFonts w:ascii="Times New Roman" w:hAnsi="Times New Roman" w:cs="Times New Roman"/>
        </w:rPr>
      </w:pPr>
      <w:r>
        <w:rPr>
          <w:rFonts w:ascii="Times New Roman" w:hAnsi="Times New Roman" w:cs="Times New Roman"/>
        </w:rPr>
        <w:t xml:space="preserve">18. </w:t>
      </w:r>
      <w:r w:rsidR="00F94E36" w:rsidRPr="00F94E36">
        <w:rPr>
          <w:rFonts w:ascii="Times New Roman" w:hAnsi="Times New Roman" w:cs="Times New Roman"/>
        </w:rPr>
        <w:t>A reading of this sub regulation would show that holding companies and their subsidiaries are treated as one group subject to control over such companies being exclusively held by the same persons. This shows that it has been statutorily recognized in sub regulation (iii) that in a given situation viz holding subsidiary relationship, the corporate veil would be lifted.</w:t>
      </w:r>
      <w:r>
        <w:rPr>
          <w:rFonts w:ascii="Times New Roman" w:hAnsi="Times New Roman" w:cs="Times New Roman"/>
        </w:rPr>
        <w:t xml:space="preserve"> </w:t>
      </w:r>
    </w:p>
    <w:p w:rsidR="005A43F7" w:rsidRDefault="005A43F7" w:rsidP="00F94E36">
      <w:pPr>
        <w:jc w:val="both"/>
        <w:rPr>
          <w:rFonts w:ascii="Times New Roman" w:hAnsi="Times New Roman" w:cs="Times New Roman"/>
        </w:rPr>
      </w:pPr>
    </w:p>
    <w:p w:rsidR="00623751" w:rsidRDefault="005A43F7" w:rsidP="00F94E36">
      <w:pPr>
        <w:jc w:val="both"/>
        <w:rPr>
          <w:rFonts w:ascii="Times New Roman" w:hAnsi="Times New Roman" w:cs="Times New Roman"/>
        </w:rPr>
      </w:pPr>
      <w:r>
        <w:rPr>
          <w:rFonts w:ascii="Times New Roman" w:hAnsi="Times New Roman" w:cs="Times New Roman"/>
        </w:rPr>
        <w:t xml:space="preserve">19. </w:t>
      </w:r>
      <w:r w:rsidR="00F94E36" w:rsidRPr="00F94E36">
        <w:rPr>
          <w:rFonts w:ascii="Times New Roman" w:hAnsi="Times New Roman" w:cs="Times New Roman"/>
        </w:rPr>
        <w:t>When we come to sub regulations (iv) and (v), it is clear that these two sub regulations follow the pattern contained in sub regulation (ii) in as much as when it comes to persons acting in concert, the period should be not less than three years prior to the proposed acquisition, and disclosed as such pursuant to filings under the listing agreement. Also, when it comes to shareholders of a target company who have been persons acting in concert for a period of not less than three years prior to the proposed acquisition and are disclosed as such pursuant to filings under the listing agreement, the corporate veil is not lifted. The difference between sub regulations</w:t>
      </w:r>
      <w:r>
        <w:rPr>
          <w:rFonts w:ascii="Times New Roman" w:hAnsi="Times New Roman" w:cs="Times New Roman"/>
        </w:rPr>
        <w:t xml:space="preserve"> (ii) </w:t>
      </w:r>
      <w:r w:rsidR="00F94E36" w:rsidRPr="00F94E36">
        <w:rPr>
          <w:rFonts w:ascii="Times New Roman" w:hAnsi="Times New Roman" w:cs="Times New Roman"/>
        </w:rPr>
        <w:t xml:space="preserve">, (iv) and (v) on the one hand, and sub regulation (iii) on the other, again shows us that it is impermissible for the court to lift the corporate veil, either </w:t>
      </w:r>
    </w:p>
    <w:p w:rsidR="00623751" w:rsidRDefault="00F94E36" w:rsidP="00F94E36">
      <w:pPr>
        <w:jc w:val="both"/>
        <w:rPr>
          <w:rFonts w:ascii="Times New Roman" w:hAnsi="Times New Roman" w:cs="Times New Roman"/>
        </w:rPr>
      </w:pPr>
      <w:r w:rsidRPr="00F94E36">
        <w:rPr>
          <w:rFonts w:ascii="Times New Roman" w:hAnsi="Times New Roman" w:cs="Times New Roman"/>
        </w:rPr>
        <w:t xml:space="preserve">partially or otherwise, in a manner that would distort the plain language of the regulation. </w:t>
      </w:r>
    </w:p>
    <w:p w:rsidR="00623751" w:rsidRDefault="00623751" w:rsidP="00F94E36">
      <w:pPr>
        <w:jc w:val="both"/>
        <w:rPr>
          <w:rFonts w:ascii="Times New Roman" w:hAnsi="Times New Roman" w:cs="Times New Roman"/>
        </w:rPr>
      </w:pPr>
    </w:p>
    <w:p w:rsidR="00F94E36" w:rsidRDefault="00623751" w:rsidP="00F94E36">
      <w:pPr>
        <w:jc w:val="both"/>
        <w:rPr>
          <w:rFonts w:ascii="Times New Roman" w:hAnsi="Times New Roman" w:cs="Times New Roman"/>
        </w:rPr>
      </w:pPr>
      <w:r>
        <w:rPr>
          <w:rFonts w:ascii="Times New Roman" w:hAnsi="Times New Roman" w:cs="Times New Roman"/>
        </w:rPr>
        <w:lastRenderedPageBreak/>
        <w:t xml:space="preserve">20. </w:t>
      </w:r>
      <w:r w:rsidR="00F94E36" w:rsidRPr="00F94E36">
        <w:rPr>
          <w:rFonts w:ascii="Times New Roman" w:hAnsi="Times New Roman" w:cs="Times New Roman"/>
        </w:rPr>
        <w:t>Where the corporate veil is to be lifted, the regulation itself specifically so states. For this reason also, it is a little difficult to accept Mr. Vishwanathan’s argument that a reading of the other sub regulations contained within regulation 10 (1)</w:t>
      </w:r>
      <w:r w:rsidR="00F94E36" w:rsidRPr="00F94E36">
        <w:rPr>
          <w:rFonts w:ascii="Times New Roman" w:hAnsi="Times New Roman" w:cs="Times New Roman"/>
        </w:rPr>
        <w:tab/>
        <w:t>(a</w:t>
      </w:r>
      <w:r w:rsidR="005A43F7">
        <w:rPr>
          <w:rFonts w:ascii="Times New Roman" w:hAnsi="Times New Roman" w:cs="Times New Roman"/>
        </w:rPr>
        <w:t xml:space="preserve">) would further </w:t>
      </w:r>
      <w:r w:rsidR="00F94E36" w:rsidRPr="00F94E36">
        <w:rPr>
          <w:rFonts w:ascii="Times New Roman" w:hAnsi="Times New Roman" w:cs="Times New Roman"/>
        </w:rPr>
        <w:t>his</w:t>
      </w:r>
      <w:r w:rsidR="00F94E36" w:rsidRPr="00F94E36">
        <w:rPr>
          <w:rFonts w:ascii="Times New Roman" w:hAnsi="Times New Roman" w:cs="Times New Roman"/>
        </w:rPr>
        <w:tab/>
      </w:r>
      <w:r w:rsidR="005A43F7">
        <w:rPr>
          <w:rFonts w:ascii="Times New Roman" w:hAnsi="Times New Roman" w:cs="Times New Roman"/>
        </w:rPr>
        <w:t xml:space="preserve"> </w:t>
      </w:r>
      <w:r w:rsidR="00F94E36" w:rsidRPr="00F94E36">
        <w:rPr>
          <w:rFonts w:ascii="Times New Roman" w:hAnsi="Times New Roman" w:cs="Times New Roman"/>
        </w:rPr>
        <w:t>argument</w:t>
      </w:r>
      <w:r w:rsidR="005A43F7">
        <w:rPr>
          <w:rFonts w:ascii="Times New Roman" w:hAnsi="Times New Roman" w:cs="Times New Roman"/>
        </w:rPr>
        <w:t xml:space="preserve"> </w:t>
      </w:r>
      <w:r w:rsidR="00F94E36" w:rsidRPr="00F94E36">
        <w:rPr>
          <w:rFonts w:ascii="Times New Roman" w:hAnsi="Times New Roman" w:cs="Times New Roman"/>
        </w:rPr>
        <w:t>in</w:t>
      </w:r>
      <w:r w:rsidR="005A43F7">
        <w:rPr>
          <w:rFonts w:ascii="Times New Roman" w:hAnsi="Times New Roman" w:cs="Times New Roman"/>
        </w:rPr>
        <w:t xml:space="preserve"> this </w:t>
      </w:r>
      <w:r w:rsidR="00F94E36" w:rsidRPr="00F94E36">
        <w:rPr>
          <w:rFonts w:ascii="Times New Roman" w:hAnsi="Times New Roman" w:cs="Times New Roman"/>
        </w:rPr>
        <w:t>case.</w:t>
      </w:r>
    </w:p>
    <w:p w:rsidR="005A43F7" w:rsidRPr="00F94E36" w:rsidRDefault="005A43F7" w:rsidP="00F94E36">
      <w:pPr>
        <w:jc w:val="both"/>
        <w:rPr>
          <w:rFonts w:ascii="Times New Roman" w:hAnsi="Times New Roman" w:cs="Times New Roman"/>
        </w:rPr>
      </w:pPr>
    </w:p>
    <w:p w:rsidR="00F94E36" w:rsidRDefault="005A43F7" w:rsidP="00F94E36">
      <w:pPr>
        <w:jc w:val="both"/>
        <w:rPr>
          <w:rFonts w:ascii="Times New Roman" w:hAnsi="Times New Roman" w:cs="Times New Roman"/>
        </w:rPr>
      </w:pPr>
      <w:r>
        <w:rPr>
          <w:rFonts w:ascii="Times New Roman" w:hAnsi="Times New Roman" w:cs="Times New Roman"/>
        </w:rPr>
        <w:t>2</w:t>
      </w:r>
      <w:r w:rsidR="00623751">
        <w:rPr>
          <w:rFonts w:ascii="Times New Roman" w:hAnsi="Times New Roman" w:cs="Times New Roman"/>
        </w:rPr>
        <w:t>1</w:t>
      </w:r>
      <w:r>
        <w:rPr>
          <w:rFonts w:ascii="Times New Roman" w:hAnsi="Times New Roman" w:cs="Times New Roman"/>
        </w:rPr>
        <w:t xml:space="preserve">. </w:t>
      </w:r>
      <w:r w:rsidR="00F94E36" w:rsidRPr="00F94E36">
        <w:rPr>
          <w:rFonts w:ascii="Times New Roman" w:hAnsi="Times New Roman" w:cs="Times New Roman"/>
        </w:rPr>
        <w:t>We now come to the two judgments of this Court which were</w:t>
      </w:r>
      <w:r>
        <w:rPr>
          <w:rFonts w:ascii="Times New Roman" w:hAnsi="Times New Roman" w:cs="Times New Roman"/>
        </w:rPr>
        <w:t xml:space="preserve"> </w:t>
      </w:r>
      <w:r w:rsidR="00F94E36" w:rsidRPr="00F94E36">
        <w:rPr>
          <w:rFonts w:ascii="Times New Roman" w:hAnsi="Times New Roman" w:cs="Times New Roman"/>
        </w:rPr>
        <w:t xml:space="preserve">cited before us in the context of Rent Acts. Chronologically, the first of these judgments is </w:t>
      </w:r>
      <w:r w:rsidR="00F94E36" w:rsidRPr="005A43F7">
        <w:rPr>
          <w:rFonts w:ascii="Times New Roman" w:hAnsi="Times New Roman" w:cs="Times New Roman"/>
          <w:i/>
        </w:rPr>
        <w:t>"Madras Bangalore Transport Co. (West) Vs. Inder Singh And Others" reported in</w:t>
      </w:r>
      <w:r w:rsidR="00B40416" w:rsidRPr="00B40416">
        <w:rPr>
          <w:rFonts w:ascii="Times New Roman" w:hAnsi="Times New Roman" w:cs="Times New Roman"/>
          <w:i/>
          <w:sz w:val="20"/>
          <w:szCs w:val="20"/>
          <w:vertAlign w:val="superscript"/>
        </w:rPr>
        <w:t>1</w:t>
      </w:r>
      <w:r w:rsidR="00F94E36" w:rsidRPr="00F94E36">
        <w:rPr>
          <w:rFonts w:ascii="Times New Roman" w:hAnsi="Times New Roman" w:cs="Times New Roman"/>
        </w:rPr>
        <w:t>. In this case, the paragraph relied upon by Mr. Vishwanathan is paragraph 8, which is as under:</w:t>
      </w:r>
    </w:p>
    <w:p w:rsidR="00B40416" w:rsidRPr="00F94E36" w:rsidRDefault="00B40416" w:rsidP="00F94E36">
      <w:pPr>
        <w:jc w:val="both"/>
        <w:rPr>
          <w:rFonts w:ascii="Times New Roman" w:hAnsi="Times New Roman" w:cs="Times New Roman"/>
        </w:rPr>
      </w:pPr>
    </w:p>
    <w:p w:rsidR="00F94E36" w:rsidRDefault="00B40416" w:rsidP="00B40416">
      <w:pPr>
        <w:ind w:left="720"/>
        <w:jc w:val="both"/>
        <w:rPr>
          <w:rFonts w:ascii="Times New Roman" w:hAnsi="Times New Roman" w:cs="Times New Roman"/>
        </w:rPr>
      </w:pPr>
      <w:r>
        <w:rPr>
          <w:rFonts w:ascii="Times New Roman" w:hAnsi="Times New Roman" w:cs="Times New Roman"/>
        </w:rPr>
        <w:t xml:space="preserve">"As mentioned by </w:t>
      </w:r>
      <w:r w:rsidR="00F94E36" w:rsidRPr="00F94E36">
        <w:rPr>
          <w:rFonts w:ascii="Times New Roman" w:hAnsi="Times New Roman" w:cs="Times New Roman"/>
        </w:rPr>
        <w:t>us</w:t>
      </w:r>
      <w:r w:rsidR="00F94E36" w:rsidRPr="00F94E36">
        <w:rPr>
          <w:rFonts w:ascii="Times New Roman" w:hAnsi="Times New Roman" w:cs="Times New Roman"/>
        </w:rPr>
        <w:tab/>
      </w:r>
      <w:r>
        <w:rPr>
          <w:rFonts w:ascii="Times New Roman" w:hAnsi="Times New Roman" w:cs="Times New Roman"/>
        </w:rPr>
        <w:t xml:space="preserve"> </w:t>
      </w:r>
      <w:r w:rsidR="00F94E36" w:rsidRPr="00F94E36">
        <w:rPr>
          <w:rFonts w:ascii="Times New Roman" w:hAnsi="Times New Roman" w:cs="Times New Roman"/>
        </w:rPr>
        <w:t>earlier, the</w:t>
      </w:r>
      <w:r>
        <w:rPr>
          <w:rFonts w:ascii="Times New Roman" w:hAnsi="Times New Roman" w:cs="Times New Roman"/>
        </w:rPr>
        <w:t xml:space="preserve"> </w:t>
      </w:r>
      <w:r w:rsidR="00F94E36" w:rsidRPr="00F94E36">
        <w:rPr>
          <w:rFonts w:ascii="Times New Roman" w:hAnsi="Times New Roman" w:cs="Times New Roman"/>
        </w:rPr>
        <w:t xml:space="preserve">Madras-Bangalore Transport Company (West) continued to be in occupation of the premises even </w:t>
      </w:r>
      <w:r>
        <w:rPr>
          <w:rFonts w:ascii="Times New Roman" w:hAnsi="Times New Roman" w:cs="Times New Roman"/>
        </w:rPr>
        <w:t>after</w:t>
      </w:r>
      <w:r>
        <w:rPr>
          <w:rFonts w:ascii="Times New Roman" w:hAnsi="Times New Roman" w:cs="Times New Roman"/>
        </w:rPr>
        <w:tab/>
        <w:t xml:space="preserve">the </w:t>
      </w:r>
      <w:r w:rsidR="00F94E36" w:rsidRPr="00F94E36">
        <w:rPr>
          <w:rFonts w:ascii="Times New Roman" w:hAnsi="Times New Roman" w:cs="Times New Roman"/>
        </w:rPr>
        <w:t>Caravan Goods</w:t>
      </w:r>
      <w:r>
        <w:rPr>
          <w:rFonts w:ascii="Times New Roman" w:hAnsi="Times New Roman" w:cs="Times New Roman"/>
        </w:rPr>
        <w:t xml:space="preserve"> </w:t>
      </w:r>
      <w:r w:rsidR="00F94E36" w:rsidRPr="00F94E36">
        <w:rPr>
          <w:rFonts w:ascii="Times New Roman" w:hAnsi="Times New Roman" w:cs="Times New Roman"/>
        </w:rPr>
        <w:t>Carrier Private Limited came in. The</w:t>
      </w:r>
      <w:r>
        <w:rPr>
          <w:rFonts w:ascii="Times New Roman" w:hAnsi="Times New Roman" w:cs="Times New Roman"/>
        </w:rPr>
        <w:t>y never effaced themselves.</w:t>
      </w:r>
      <w:r>
        <w:rPr>
          <w:rFonts w:ascii="Times New Roman" w:hAnsi="Times New Roman" w:cs="Times New Roman"/>
        </w:rPr>
        <w:tab/>
        <w:t xml:space="preserve">The </w:t>
      </w:r>
      <w:r w:rsidR="00F94E36" w:rsidRPr="00F94E36">
        <w:rPr>
          <w:rFonts w:ascii="Times New Roman" w:hAnsi="Times New Roman" w:cs="Times New Roman"/>
        </w:rPr>
        <w:t>firm allowed</w:t>
      </w:r>
      <w:r>
        <w:rPr>
          <w:rFonts w:ascii="Times New Roman" w:hAnsi="Times New Roman" w:cs="Times New Roman"/>
        </w:rPr>
        <w:t xml:space="preserve"> </w:t>
      </w:r>
      <w:r w:rsidR="00F94E36" w:rsidRPr="00F94E36">
        <w:rPr>
          <w:rFonts w:ascii="Times New Roman" w:hAnsi="Times New Roman" w:cs="Times New Roman"/>
        </w:rPr>
        <w:t xml:space="preserve">Caravan Goods Carrier Private Limited Company, to function from the </w:t>
      </w:r>
      <w:r>
        <w:rPr>
          <w:rFonts w:ascii="Times New Roman" w:hAnsi="Times New Roman" w:cs="Times New Roman"/>
        </w:rPr>
        <w:t xml:space="preserve">same premises but Caravan Goods </w:t>
      </w:r>
      <w:r w:rsidR="00F94E36" w:rsidRPr="00F94E36">
        <w:rPr>
          <w:rFonts w:ascii="Times New Roman" w:hAnsi="Times New Roman" w:cs="Times New Roman"/>
        </w:rPr>
        <w:t>Carrier Private Limited</w:t>
      </w:r>
      <w:r>
        <w:rPr>
          <w:rFonts w:ascii="Times New Roman" w:hAnsi="Times New Roman" w:cs="Times New Roman"/>
        </w:rPr>
        <w:t xml:space="preserve"> </w:t>
      </w:r>
      <w:r w:rsidR="00F94E36" w:rsidRPr="00F94E36">
        <w:rPr>
          <w:rFonts w:ascii="Times New Roman" w:hAnsi="Times New Roman" w:cs="Times New Roman"/>
        </w:rPr>
        <w:t>though a separate legal entity, was in fact a creature of the partners of Madras-Banglore Transport Company (West) and was the very image of the firm. The limited company and the partnership firm were two only in name but one for practical purposes. There was substantial identity between the limited compa</w:t>
      </w:r>
      <w:r>
        <w:rPr>
          <w:rFonts w:ascii="Times New Roman" w:hAnsi="Times New Roman" w:cs="Times New Roman"/>
        </w:rPr>
        <w:t>ny and the partnership firm.</w:t>
      </w:r>
      <w:r>
        <w:rPr>
          <w:rFonts w:ascii="Times New Roman" w:hAnsi="Times New Roman" w:cs="Times New Roman"/>
        </w:rPr>
        <w:tab/>
        <w:t xml:space="preserve">We </w:t>
      </w:r>
      <w:r w:rsidR="00F94E36" w:rsidRPr="00F94E36">
        <w:rPr>
          <w:rFonts w:ascii="Times New Roman" w:hAnsi="Times New Roman" w:cs="Times New Roman"/>
        </w:rPr>
        <w:t>do not think that</w:t>
      </w:r>
      <w:r>
        <w:rPr>
          <w:rFonts w:ascii="Times New Roman" w:hAnsi="Times New Roman" w:cs="Times New Roman"/>
        </w:rPr>
        <w:t xml:space="preserve"> </w:t>
      </w:r>
      <w:r w:rsidR="00F94E36" w:rsidRPr="00F94E36">
        <w:rPr>
          <w:rFonts w:ascii="Times New Roman" w:hAnsi="Times New Roman" w:cs="Times New Roman"/>
        </w:rPr>
        <w:t>there was any sub-letting, assignment or parting with possession of the premises by Madras-Banglore Transport Company (West) to Caravan Goods Carrier Private Limited so as to attract Section 14(1)</w:t>
      </w:r>
      <w:r w:rsidR="00F94E36" w:rsidRPr="00F94E36">
        <w:rPr>
          <w:rFonts w:ascii="Times New Roman" w:hAnsi="Times New Roman" w:cs="Times New Roman"/>
        </w:rPr>
        <w:tab/>
        <w:t>(b) of the Delhi</w:t>
      </w:r>
      <w:r>
        <w:rPr>
          <w:rFonts w:ascii="Times New Roman" w:hAnsi="Times New Roman" w:cs="Times New Roman"/>
        </w:rPr>
        <w:t xml:space="preserve"> </w:t>
      </w:r>
      <w:r w:rsidR="00F94E36" w:rsidRPr="00F94E36">
        <w:rPr>
          <w:rFonts w:ascii="Times New Roman" w:hAnsi="Times New Roman" w:cs="Times New Roman"/>
        </w:rPr>
        <w:t>Rent Control Act. In the result the appeal is allowed with costs."</w:t>
      </w:r>
    </w:p>
    <w:p w:rsidR="00B40416" w:rsidRPr="00F94E36" w:rsidRDefault="00B40416" w:rsidP="00B40416">
      <w:pPr>
        <w:ind w:left="720"/>
        <w:jc w:val="both"/>
        <w:rPr>
          <w:rFonts w:ascii="Times New Roman" w:hAnsi="Times New Roman" w:cs="Times New Roman"/>
        </w:rPr>
      </w:pPr>
    </w:p>
    <w:p w:rsidR="00F94E36" w:rsidRPr="00F94E36" w:rsidRDefault="00B40416" w:rsidP="00F94E36">
      <w:pPr>
        <w:jc w:val="both"/>
        <w:rPr>
          <w:rFonts w:ascii="Times New Roman" w:hAnsi="Times New Roman" w:cs="Times New Roman"/>
        </w:rPr>
      </w:pPr>
      <w:r>
        <w:rPr>
          <w:rFonts w:ascii="Times New Roman" w:hAnsi="Times New Roman" w:cs="Times New Roman"/>
        </w:rPr>
        <w:t>2</w:t>
      </w:r>
      <w:r w:rsidR="00623751">
        <w:rPr>
          <w:rFonts w:ascii="Times New Roman" w:hAnsi="Times New Roman" w:cs="Times New Roman"/>
        </w:rPr>
        <w:t>2</w:t>
      </w:r>
      <w:r>
        <w:rPr>
          <w:rFonts w:ascii="Times New Roman" w:hAnsi="Times New Roman" w:cs="Times New Roman"/>
        </w:rPr>
        <w:t xml:space="preserve">. </w:t>
      </w:r>
      <w:r w:rsidR="00F94E36" w:rsidRPr="00F94E36">
        <w:rPr>
          <w:rFonts w:ascii="Times New Roman" w:hAnsi="Times New Roman" w:cs="Times New Roman"/>
        </w:rPr>
        <w:t>It can be seen that a partnership firm became a limited company but, on facts it was found that since there was substantial identity between</w:t>
      </w:r>
      <w:r>
        <w:rPr>
          <w:rFonts w:ascii="Times New Roman" w:hAnsi="Times New Roman" w:cs="Times New Roman"/>
        </w:rPr>
        <w:t xml:space="preserve"> </w:t>
      </w:r>
      <w:r>
        <w:rPr>
          <w:rFonts w:ascii="Times New Roman" w:hAnsi="Times New Roman" w:cs="Times New Roman"/>
        </w:rPr>
        <w:tab/>
        <w:t xml:space="preserve">the </w:t>
      </w:r>
      <w:r w:rsidR="00F94E36" w:rsidRPr="00F94E36">
        <w:rPr>
          <w:rFonts w:ascii="Times New Roman" w:hAnsi="Times New Roman" w:cs="Times New Roman"/>
        </w:rPr>
        <w:t>limited compa</w:t>
      </w:r>
      <w:r>
        <w:rPr>
          <w:rFonts w:ascii="Times New Roman" w:hAnsi="Times New Roman" w:cs="Times New Roman"/>
        </w:rPr>
        <w:t xml:space="preserve">ny and </w:t>
      </w:r>
      <w:r w:rsidR="00F94E36" w:rsidRPr="00F94E36">
        <w:rPr>
          <w:rFonts w:ascii="Times New Roman" w:hAnsi="Times New Roman" w:cs="Times New Roman"/>
        </w:rPr>
        <w:t>the</w:t>
      </w:r>
      <w:r>
        <w:rPr>
          <w:rFonts w:ascii="Times New Roman" w:hAnsi="Times New Roman" w:cs="Times New Roman"/>
        </w:rPr>
        <w:t xml:space="preserve"> </w:t>
      </w:r>
      <w:r w:rsidR="00F94E36" w:rsidRPr="00F94E36">
        <w:rPr>
          <w:rFonts w:ascii="Times New Roman" w:hAnsi="Times New Roman" w:cs="Times New Roman"/>
        </w:rPr>
        <w:t>part</w:t>
      </w:r>
      <w:r>
        <w:rPr>
          <w:rFonts w:ascii="Times New Roman" w:hAnsi="Times New Roman" w:cs="Times New Roman"/>
        </w:rPr>
        <w:t>-</w:t>
      </w:r>
      <w:r w:rsidR="00F94E36" w:rsidRPr="00F94E36">
        <w:rPr>
          <w:rFonts w:ascii="Times New Roman" w:hAnsi="Times New Roman" w:cs="Times New Roman"/>
        </w:rPr>
        <w:t>nership firm, there was</w:t>
      </w:r>
      <w:r w:rsidR="00623751">
        <w:rPr>
          <w:rFonts w:ascii="Times New Roman" w:hAnsi="Times New Roman" w:cs="Times New Roman"/>
        </w:rPr>
        <w:t xml:space="preserve"> no </w:t>
      </w:r>
      <w:r w:rsidR="00F94E36" w:rsidRPr="00F94E36">
        <w:rPr>
          <w:rFonts w:ascii="Times New Roman" w:hAnsi="Times New Roman" w:cs="Times New Roman"/>
        </w:rPr>
        <w:t>subletting, assignment</w:t>
      </w:r>
      <w:r w:rsidR="00623751">
        <w:rPr>
          <w:rFonts w:ascii="Times New Roman" w:hAnsi="Times New Roman" w:cs="Times New Roman"/>
        </w:rPr>
        <w:t xml:space="preserve"> </w:t>
      </w:r>
      <w:r w:rsidR="00F94E36" w:rsidRPr="00F94E36">
        <w:rPr>
          <w:rFonts w:ascii="Times New Roman" w:hAnsi="Times New Roman" w:cs="Times New Roman"/>
        </w:rPr>
        <w:tab/>
        <w:t>or</w:t>
      </w:r>
      <w:r w:rsidR="00623751">
        <w:rPr>
          <w:rFonts w:ascii="Times New Roman" w:hAnsi="Times New Roman" w:cs="Times New Roman"/>
        </w:rPr>
        <w:t xml:space="preserve"> </w:t>
      </w:r>
      <w:r w:rsidR="00F94E36" w:rsidRPr="00F94E36">
        <w:rPr>
          <w:rFonts w:ascii="Times New Roman" w:hAnsi="Times New Roman" w:cs="Times New Roman"/>
        </w:rPr>
        <w:t>parting with possession of the premises so as to contradict Section 14(1)(b) of the Delhi Rent Control Act.</w:t>
      </w:r>
    </w:p>
    <w:p w:rsidR="00623751" w:rsidRDefault="00623751" w:rsidP="00F94E36">
      <w:pPr>
        <w:jc w:val="both"/>
        <w:rPr>
          <w:rFonts w:ascii="Times New Roman" w:hAnsi="Times New Roman" w:cs="Times New Roman"/>
        </w:rPr>
      </w:pPr>
    </w:p>
    <w:p w:rsidR="00F94E36" w:rsidRPr="00F94E36" w:rsidRDefault="00623751" w:rsidP="00F94E36">
      <w:pPr>
        <w:jc w:val="both"/>
        <w:rPr>
          <w:rFonts w:ascii="Times New Roman" w:hAnsi="Times New Roman" w:cs="Times New Roman"/>
        </w:rPr>
      </w:pPr>
      <w:r>
        <w:rPr>
          <w:rFonts w:ascii="Times New Roman" w:hAnsi="Times New Roman" w:cs="Times New Roman"/>
        </w:rPr>
        <w:t xml:space="preserve">23. </w:t>
      </w:r>
      <w:r w:rsidR="00F94E36" w:rsidRPr="00F94E36">
        <w:rPr>
          <w:rFonts w:ascii="Times New Roman" w:hAnsi="Times New Roman" w:cs="Times New Roman"/>
        </w:rPr>
        <w:t>This case is wholly distinguishable from the present case as in the facts of the present case, the target company is clearly defined and "means" only Rattan Limited. To go behind Rattan Limited would not only be contrary to the clear language of Regulation 10(1)(a) but would also introduce a concept viz lifting the corporate veil by the Court contrary to the Regulation itself, which, as has been pointed out above, also contains sub regulation (iii) which, in the circumstances specified, lifts the corporate veil.</w:t>
      </w:r>
    </w:p>
    <w:p w:rsidR="00623751" w:rsidRDefault="00623751" w:rsidP="00F94E36">
      <w:pPr>
        <w:jc w:val="both"/>
        <w:rPr>
          <w:rFonts w:ascii="Times New Roman" w:hAnsi="Times New Roman" w:cs="Times New Roman"/>
        </w:rPr>
      </w:pPr>
    </w:p>
    <w:p w:rsidR="00F94E36" w:rsidRDefault="00623751" w:rsidP="00F94E36">
      <w:pPr>
        <w:jc w:val="both"/>
        <w:rPr>
          <w:rFonts w:ascii="Times New Roman" w:hAnsi="Times New Roman" w:cs="Times New Roman"/>
        </w:rPr>
      </w:pPr>
      <w:r>
        <w:rPr>
          <w:rFonts w:ascii="Times New Roman" w:hAnsi="Times New Roman" w:cs="Times New Roman"/>
        </w:rPr>
        <w:t xml:space="preserve">24. </w:t>
      </w:r>
      <w:r w:rsidR="00F94E36" w:rsidRPr="00F94E36">
        <w:rPr>
          <w:rFonts w:ascii="Times New Roman" w:hAnsi="Times New Roman" w:cs="Times New Roman"/>
        </w:rPr>
        <w:t>The second judgment cited before us "</w:t>
      </w:r>
      <w:r w:rsidR="00F94E36" w:rsidRPr="00623751">
        <w:rPr>
          <w:rFonts w:ascii="Times New Roman" w:hAnsi="Times New Roman" w:cs="Times New Roman"/>
          <w:i/>
        </w:rPr>
        <w:t>Sait Nagjee Purushotam &amp; Co. Ltd. Vs. Vimalabai Prabhulal and Others</w:t>
      </w:r>
      <w:r w:rsidRPr="00623751">
        <w:rPr>
          <w:rFonts w:ascii="Times New Roman" w:hAnsi="Times New Roman" w:cs="Times New Roman"/>
          <w:i/>
          <w:sz w:val="20"/>
          <w:szCs w:val="20"/>
          <w:vertAlign w:val="superscript"/>
        </w:rPr>
        <w:t>2</w:t>
      </w:r>
      <w:r w:rsidR="00F94E36" w:rsidRPr="00623751">
        <w:rPr>
          <w:rFonts w:ascii="Times New Roman" w:hAnsi="Times New Roman" w:cs="Times New Roman"/>
          <w:i/>
        </w:rPr>
        <w:t xml:space="preserve">" reported in </w:t>
      </w:r>
      <w:r w:rsidR="00F94E36" w:rsidRPr="00F94E36">
        <w:rPr>
          <w:rFonts w:ascii="Times New Roman" w:hAnsi="Times New Roman" w:cs="Times New Roman"/>
        </w:rPr>
        <w:t>also does not take us further for</w:t>
      </w:r>
      <w:r>
        <w:rPr>
          <w:rFonts w:ascii="Times New Roman" w:hAnsi="Times New Roman" w:cs="Times New Roman"/>
        </w:rPr>
        <w:t xml:space="preserve"> </w:t>
      </w:r>
      <w:r w:rsidR="00F94E36" w:rsidRPr="00F94E36">
        <w:rPr>
          <w:rFonts w:ascii="Times New Roman" w:hAnsi="Times New Roman" w:cs="Times New Roman"/>
        </w:rPr>
        <w:t>the same reasons.</w:t>
      </w:r>
    </w:p>
    <w:p w:rsidR="00623751" w:rsidRPr="00F94E36" w:rsidRDefault="00623751" w:rsidP="00F94E36">
      <w:pPr>
        <w:jc w:val="both"/>
        <w:rPr>
          <w:rFonts w:ascii="Times New Roman" w:hAnsi="Times New Roman" w:cs="Times New Roman"/>
        </w:rPr>
      </w:pPr>
    </w:p>
    <w:p w:rsidR="00F94E36" w:rsidRDefault="00623751" w:rsidP="00F94E36">
      <w:pPr>
        <w:jc w:val="both"/>
        <w:rPr>
          <w:rFonts w:ascii="Times New Roman" w:hAnsi="Times New Roman" w:cs="Times New Roman"/>
        </w:rPr>
      </w:pPr>
      <w:r>
        <w:rPr>
          <w:rFonts w:ascii="Times New Roman" w:hAnsi="Times New Roman" w:cs="Times New Roman"/>
        </w:rPr>
        <w:t xml:space="preserve">25. </w:t>
      </w:r>
      <w:r w:rsidR="00F94E36" w:rsidRPr="00F94E36">
        <w:rPr>
          <w:rFonts w:ascii="Times New Roman" w:hAnsi="Times New Roman" w:cs="Times New Roman"/>
        </w:rPr>
        <w:t>In fact, even if we were to accept Mr. Vishwanathan’s argument that the object of the regulation being that promoters should not keep changing, and if on facts it is found that the same set of promoters continue, we should exempt such cases, this would not be possible for another good reason.</w:t>
      </w:r>
    </w:p>
    <w:p w:rsidR="00301903" w:rsidRPr="00F94E36" w:rsidRDefault="00301903" w:rsidP="00F94E36">
      <w:pPr>
        <w:jc w:val="both"/>
        <w:rPr>
          <w:rFonts w:ascii="Times New Roman" w:hAnsi="Times New Roman" w:cs="Times New Roman"/>
        </w:rPr>
      </w:pPr>
    </w:p>
    <w:p w:rsidR="00F94E36" w:rsidRDefault="00301903" w:rsidP="00F94E36">
      <w:pPr>
        <w:jc w:val="both"/>
        <w:rPr>
          <w:rFonts w:ascii="Times New Roman" w:hAnsi="Times New Roman" w:cs="Times New Roman"/>
        </w:rPr>
      </w:pPr>
      <w:r>
        <w:rPr>
          <w:rFonts w:ascii="Times New Roman" w:hAnsi="Times New Roman" w:cs="Times New Roman"/>
        </w:rPr>
        <w:lastRenderedPageBreak/>
        <w:t xml:space="preserve">26. </w:t>
      </w:r>
      <w:r w:rsidR="00F94E36" w:rsidRPr="00F94E36">
        <w:rPr>
          <w:rFonts w:ascii="Times New Roman" w:hAnsi="Times New Roman" w:cs="Times New Roman"/>
        </w:rPr>
        <w:t>In the case of "M</w:t>
      </w:r>
      <w:r w:rsidR="00F94E36" w:rsidRPr="00301903">
        <w:rPr>
          <w:rFonts w:ascii="Times New Roman" w:hAnsi="Times New Roman" w:cs="Times New Roman"/>
          <w:i/>
        </w:rPr>
        <w:t>/s. Utkal Contractors and Joinery (P) Ltd. And others vs. State of Orissa" reported in</w:t>
      </w:r>
      <w:r w:rsidRPr="00301903">
        <w:rPr>
          <w:rFonts w:ascii="Times New Roman" w:hAnsi="Times New Roman" w:cs="Times New Roman"/>
          <w:i/>
          <w:sz w:val="20"/>
          <w:szCs w:val="20"/>
          <w:vertAlign w:val="superscript"/>
        </w:rPr>
        <w:t>3</w:t>
      </w:r>
      <w:r w:rsidR="00F94E36" w:rsidRPr="00F94E36">
        <w:rPr>
          <w:rFonts w:ascii="Times New Roman" w:hAnsi="Times New Roman" w:cs="Times New Roman"/>
        </w:rPr>
        <w:t>, a similar argument was tur</w:t>
      </w:r>
      <w:r>
        <w:rPr>
          <w:rFonts w:ascii="Times New Roman" w:hAnsi="Times New Roman" w:cs="Times New Roman"/>
        </w:rPr>
        <w:t>ned down in the following terms</w:t>
      </w:r>
      <w:r w:rsidR="00F94E36" w:rsidRPr="00F94E36">
        <w:rPr>
          <w:rFonts w:ascii="Times New Roman" w:hAnsi="Times New Roman" w:cs="Times New Roman"/>
        </w:rPr>
        <w:t>:</w:t>
      </w:r>
    </w:p>
    <w:p w:rsidR="00301903" w:rsidRPr="00F94E36" w:rsidRDefault="00301903" w:rsidP="00F94E36">
      <w:pPr>
        <w:jc w:val="both"/>
        <w:rPr>
          <w:rFonts w:ascii="Times New Roman" w:hAnsi="Times New Roman" w:cs="Times New Roman"/>
        </w:rPr>
      </w:pPr>
    </w:p>
    <w:p w:rsidR="00F94E36" w:rsidRPr="00F94E36" w:rsidRDefault="00F94E36" w:rsidP="00392187">
      <w:pPr>
        <w:ind w:left="720"/>
        <w:jc w:val="both"/>
        <w:rPr>
          <w:rFonts w:ascii="Times New Roman" w:hAnsi="Times New Roman" w:cs="Times New Roman"/>
        </w:rPr>
      </w:pPr>
      <w:r w:rsidRPr="00F94E36">
        <w:rPr>
          <w:rFonts w:ascii="Times New Roman" w:hAnsi="Times New Roman" w:cs="Times New Roman"/>
        </w:rPr>
        <w:t>"11.Secondly, the validity of the statutory notification cannot be judged merely on the basis of Statement of Objects and Reasons accompanying the Bill. Nor it could be tested by the government policy taken from time to time. The executive policy of the government, or the Statement of Objects and Reasons of the Act or</w:t>
      </w:r>
      <w:r w:rsidR="00392187">
        <w:rPr>
          <w:rFonts w:ascii="Times New Roman" w:hAnsi="Times New Roman" w:cs="Times New Roman"/>
        </w:rPr>
        <w:t xml:space="preserve"> </w:t>
      </w:r>
      <w:r w:rsidRPr="00F94E36">
        <w:rPr>
          <w:rFonts w:ascii="Times New Roman" w:hAnsi="Times New Roman" w:cs="Times New Roman"/>
        </w:rPr>
        <w:t>Ordinance cannot control the actual words used in the legislation. In Central Bank of India v. Workmen, S.K. Das, J. said :</w:t>
      </w:r>
    </w:p>
    <w:p w:rsidR="00392187" w:rsidRDefault="00392187" w:rsidP="00392187">
      <w:pPr>
        <w:ind w:left="720"/>
        <w:jc w:val="both"/>
        <w:rPr>
          <w:rFonts w:ascii="Times New Roman" w:hAnsi="Times New Roman" w:cs="Times New Roman"/>
        </w:rPr>
      </w:pPr>
    </w:p>
    <w:p w:rsidR="00F94E36" w:rsidRDefault="00F94E36" w:rsidP="00392187">
      <w:pPr>
        <w:ind w:left="720"/>
        <w:jc w:val="both"/>
        <w:rPr>
          <w:rFonts w:ascii="Times New Roman" w:hAnsi="Times New Roman" w:cs="Times New Roman"/>
        </w:rPr>
      </w:pPr>
      <w:r w:rsidRPr="00F94E36">
        <w:rPr>
          <w:rFonts w:ascii="Times New Roman" w:hAnsi="Times New Roman" w:cs="Times New Roman"/>
        </w:rPr>
        <w:t>"...The Statement of Objects and Reasons is not admissible, however, for construing the section; far less can it control the actual words used."</w:t>
      </w:r>
    </w:p>
    <w:p w:rsidR="00392187" w:rsidRPr="00F94E36" w:rsidRDefault="00392187" w:rsidP="00392187">
      <w:pPr>
        <w:ind w:left="720"/>
        <w:jc w:val="both"/>
        <w:rPr>
          <w:rFonts w:ascii="Times New Roman" w:hAnsi="Times New Roman" w:cs="Times New Roman"/>
        </w:rPr>
      </w:pPr>
    </w:p>
    <w:p w:rsidR="00F94E36" w:rsidRDefault="00F94E36" w:rsidP="00392187">
      <w:pPr>
        <w:ind w:left="720"/>
        <w:jc w:val="both"/>
        <w:rPr>
          <w:rFonts w:ascii="Times New Roman" w:hAnsi="Times New Roman" w:cs="Times New Roman"/>
        </w:rPr>
      </w:pPr>
      <w:r w:rsidRPr="00F94E36">
        <w:rPr>
          <w:rFonts w:ascii="Times New Roman" w:hAnsi="Times New Roman" w:cs="Times New Roman"/>
        </w:rPr>
        <w:t>12. In State of West Bengal v. Union of India, Sinha, C.J. observed :</w:t>
      </w:r>
    </w:p>
    <w:p w:rsidR="00392187" w:rsidRPr="00F94E36" w:rsidRDefault="00392187" w:rsidP="00392187">
      <w:pPr>
        <w:ind w:left="720"/>
        <w:jc w:val="both"/>
        <w:rPr>
          <w:rFonts w:ascii="Times New Roman" w:hAnsi="Times New Roman" w:cs="Times New Roman"/>
        </w:rPr>
      </w:pPr>
    </w:p>
    <w:p w:rsidR="00F94E36" w:rsidRPr="00F94E36" w:rsidRDefault="00392187" w:rsidP="00392187">
      <w:pPr>
        <w:ind w:left="720"/>
        <w:jc w:val="both"/>
        <w:rPr>
          <w:rFonts w:ascii="Times New Roman" w:hAnsi="Times New Roman" w:cs="Times New Roman"/>
        </w:rPr>
      </w:pPr>
      <w:r>
        <w:rPr>
          <w:rFonts w:ascii="Times New Roman" w:hAnsi="Times New Roman" w:cs="Times New Roman"/>
        </w:rPr>
        <w:t xml:space="preserve">".It is however, </w:t>
      </w:r>
      <w:r w:rsidR="00F94E36" w:rsidRPr="00F94E36">
        <w:rPr>
          <w:rFonts w:ascii="Times New Roman" w:hAnsi="Times New Roman" w:cs="Times New Roman"/>
        </w:rPr>
        <w:t>well settled that the Statement of Objects and Reasons accompanying a Bill, when introduced in Parliament, cannot be used to determine the true meaning and effect of substantive provisions of the statute. They cannot be used except for the limited purpose of unders</w:t>
      </w:r>
      <w:r>
        <w:rPr>
          <w:rFonts w:ascii="Times New Roman" w:hAnsi="Times New Roman" w:cs="Times New Roman"/>
        </w:rPr>
        <w:t xml:space="preserve">tanding the </w:t>
      </w:r>
      <w:r w:rsidR="00F94E36" w:rsidRPr="00F94E36">
        <w:rPr>
          <w:rFonts w:ascii="Times New Roman" w:hAnsi="Times New Roman" w:cs="Times New Roman"/>
        </w:rPr>
        <w:t>background and</w:t>
      </w:r>
      <w:r w:rsidR="00F94E36" w:rsidRPr="00F94E36">
        <w:rPr>
          <w:rFonts w:ascii="Times New Roman" w:hAnsi="Times New Roman" w:cs="Times New Roman"/>
        </w:rPr>
        <w:tab/>
      </w:r>
      <w:r>
        <w:rPr>
          <w:rFonts w:ascii="Times New Roman" w:hAnsi="Times New Roman" w:cs="Times New Roman"/>
        </w:rPr>
        <w:t xml:space="preserve"> </w:t>
      </w:r>
      <w:r w:rsidR="00F94E36" w:rsidRPr="00F94E36">
        <w:rPr>
          <w:rFonts w:ascii="Times New Roman" w:hAnsi="Times New Roman" w:cs="Times New Roman"/>
        </w:rPr>
        <w:t>the</w:t>
      </w:r>
      <w:r>
        <w:rPr>
          <w:rFonts w:ascii="Times New Roman" w:hAnsi="Times New Roman" w:cs="Times New Roman"/>
        </w:rPr>
        <w:t xml:space="preserve"> </w:t>
      </w:r>
      <w:r w:rsidR="00F94E36" w:rsidRPr="00F94E36">
        <w:rPr>
          <w:rFonts w:ascii="Times New Roman" w:hAnsi="Times New Roman" w:cs="Times New Roman"/>
        </w:rPr>
        <w:t>antecedent state of affairs leading up to the legislation. But we cannot use this statement as an aid</w:t>
      </w:r>
      <w:r>
        <w:rPr>
          <w:rFonts w:ascii="Times New Roman" w:hAnsi="Times New Roman" w:cs="Times New Roman"/>
        </w:rPr>
        <w:t xml:space="preserve"> </w:t>
      </w:r>
      <w:r w:rsidR="00F94E36" w:rsidRPr="00F94E36">
        <w:rPr>
          <w:rFonts w:ascii="Times New Roman" w:hAnsi="Times New Roman" w:cs="Times New Roman"/>
        </w:rPr>
        <w:t>to the construction of</w:t>
      </w:r>
      <w:r>
        <w:rPr>
          <w:rFonts w:ascii="Times New Roman" w:hAnsi="Times New Roman" w:cs="Times New Roman"/>
        </w:rPr>
        <w:t xml:space="preserve"> the enactment or to show that </w:t>
      </w:r>
      <w:r w:rsidR="00F94E36" w:rsidRPr="00F94E36">
        <w:rPr>
          <w:rFonts w:ascii="Times New Roman" w:hAnsi="Times New Roman" w:cs="Times New Roman"/>
        </w:rPr>
        <w:t>the</w:t>
      </w:r>
      <w:r>
        <w:rPr>
          <w:rFonts w:ascii="Times New Roman" w:hAnsi="Times New Roman" w:cs="Times New Roman"/>
        </w:rPr>
        <w:t xml:space="preserve"> </w:t>
      </w:r>
      <w:r w:rsidR="00F94E36" w:rsidRPr="00F94E36">
        <w:rPr>
          <w:rFonts w:ascii="Times New Roman" w:hAnsi="Times New Roman" w:cs="Times New Roman"/>
        </w:rPr>
        <w:t>legislature did not intend to acquire the proprietary rights vested in the State or in any way to affect the State Governments’</w:t>
      </w:r>
      <w:r>
        <w:rPr>
          <w:rFonts w:ascii="Times New Roman" w:hAnsi="Times New Roman" w:cs="Times New Roman"/>
        </w:rPr>
        <w:t xml:space="preserve"> rights as owner of minerals. </w:t>
      </w:r>
      <w:r w:rsidR="00F94E36" w:rsidRPr="00F94E36">
        <w:rPr>
          <w:rFonts w:ascii="Times New Roman" w:hAnsi="Times New Roman" w:cs="Times New Roman"/>
        </w:rPr>
        <w:t>A statute, as</w:t>
      </w:r>
      <w:r>
        <w:rPr>
          <w:rFonts w:ascii="Times New Roman" w:hAnsi="Times New Roman" w:cs="Times New Roman"/>
        </w:rPr>
        <w:t xml:space="preserve"> </w:t>
      </w:r>
      <w:r w:rsidR="00F94E36" w:rsidRPr="00F94E36">
        <w:rPr>
          <w:rFonts w:ascii="Times New Roman" w:hAnsi="Times New Roman" w:cs="Times New Roman"/>
        </w:rPr>
        <w:t>passed by</w:t>
      </w:r>
      <w:r>
        <w:rPr>
          <w:rFonts w:ascii="Times New Roman" w:hAnsi="Times New Roman" w:cs="Times New Roman"/>
        </w:rPr>
        <w:t xml:space="preserve"> Parliament, is the </w:t>
      </w:r>
      <w:r w:rsidR="00F94E36" w:rsidRPr="00F94E36">
        <w:rPr>
          <w:rFonts w:ascii="Times New Roman" w:hAnsi="Times New Roman" w:cs="Times New Roman"/>
        </w:rPr>
        <w:t>expression of</w:t>
      </w:r>
      <w:r>
        <w:rPr>
          <w:rFonts w:ascii="Times New Roman" w:hAnsi="Times New Roman" w:cs="Times New Roman"/>
        </w:rPr>
        <w:t xml:space="preserve"> </w:t>
      </w:r>
      <w:r w:rsidR="00F94E36" w:rsidRPr="00F94E36">
        <w:rPr>
          <w:rFonts w:ascii="Times New Roman" w:hAnsi="Times New Roman" w:cs="Times New Roman"/>
        </w:rPr>
        <w:t>the collective intention of the legislature as a whole, and any statemen</w:t>
      </w:r>
      <w:r>
        <w:rPr>
          <w:rFonts w:ascii="Times New Roman" w:hAnsi="Times New Roman" w:cs="Times New Roman"/>
        </w:rPr>
        <w:t xml:space="preserve">t made by an individual, albeit </w:t>
      </w:r>
      <w:r w:rsidR="00F94E36" w:rsidRPr="00F94E36">
        <w:rPr>
          <w:rFonts w:ascii="Times New Roman" w:hAnsi="Times New Roman" w:cs="Times New Roman"/>
        </w:rPr>
        <w:t>a Minister, of</w:t>
      </w:r>
      <w:r>
        <w:rPr>
          <w:rFonts w:ascii="Times New Roman" w:hAnsi="Times New Roman" w:cs="Times New Roman"/>
        </w:rPr>
        <w:t xml:space="preserve">  </w:t>
      </w:r>
      <w:r w:rsidR="00F94E36" w:rsidRPr="00F94E36">
        <w:rPr>
          <w:rFonts w:ascii="Times New Roman" w:hAnsi="Times New Roman" w:cs="Times New Roman"/>
        </w:rPr>
        <w:t>the</w:t>
      </w:r>
      <w:r>
        <w:rPr>
          <w:rFonts w:ascii="Times New Roman" w:hAnsi="Times New Roman" w:cs="Times New Roman"/>
        </w:rPr>
        <w:t xml:space="preserve"> </w:t>
      </w:r>
      <w:r w:rsidR="00F94E36" w:rsidRPr="00F94E36">
        <w:rPr>
          <w:rFonts w:ascii="Times New Roman" w:hAnsi="Times New Roman" w:cs="Times New Roman"/>
        </w:rPr>
        <w:t>intention and objects of the Act cannot be used to cut down the generality of the words used in the statute."</w:t>
      </w:r>
    </w:p>
    <w:p w:rsidR="00392187" w:rsidRDefault="00392187" w:rsidP="00F94E36">
      <w:pPr>
        <w:jc w:val="both"/>
        <w:rPr>
          <w:rFonts w:ascii="Times New Roman" w:hAnsi="Times New Roman" w:cs="Times New Roman"/>
        </w:rPr>
      </w:pPr>
    </w:p>
    <w:p w:rsidR="00392187" w:rsidRDefault="00392187" w:rsidP="00F94E36">
      <w:pPr>
        <w:jc w:val="both"/>
        <w:rPr>
          <w:rFonts w:ascii="Times New Roman" w:hAnsi="Times New Roman" w:cs="Times New Roman"/>
        </w:rPr>
      </w:pPr>
      <w:r>
        <w:rPr>
          <w:rFonts w:ascii="Times New Roman" w:hAnsi="Times New Roman" w:cs="Times New Roman"/>
        </w:rPr>
        <w:t xml:space="preserve">27. </w:t>
      </w:r>
      <w:r w:rsidR="00F94E36" w:rsidRPr="00F94E36">
        <w:rPr>
          <w:rFonts w:ascii="Times New Roman" w:hAnsi="Times New Roman" w:cs="Times New Roman"/>
        </w:rPr>
        <w:t>In the factual scenario before us, having regard to the aforesaid judgment, it is not possible to construe the regulation in the light of its object, when the words used are clear.</w:t>
      </w:r>
      <w:r w:rsidRPr="00F94E36">
        <w:rPr>
          <w:rFonts w:ascii="Times New Roman" w:hAnsi="Times New Roman" w:cs="Times New Roman"/>
        </w:rPr>
        <w:t xml:space="preserve"> </w:t>
      </w:r>
    </w:p>
    <w:p w:rsidR="00392187" w:rsidRDefault="00392187" w:rsidP="00F94E36">
      <w:pPr>
        <w:jc w:val="both"/>
        <w:rPr>
          <w:rFonts w:ascii="Times New Roman" w:hAnsi="Times New Roman" w:cs="Times New Roman"/>
        </w:rPr>
      </w:pPr>
    </w:p>
    <w:p w:rsidR="00F94E36" w:rsidRDefault="00392187" w:rsidP="00F94E36">
      <w:pPr>
        <w:jc w:val="both"/>
        <w:rPr>
          <w:rFonts w:ascii="Times New Roman" w:hAnsi="Times New Roman" w:cs="Times New Roman"/>
        </w:rPr>
      </w:pPr>
      <w:r>
        <w:rPr>
          <w:rFonts w:ascii="Times New Roman" w:hAnsi="Times New Roman" w:cs="Times New Roman"/>
        </w:rPr>
        <w:t xml:space="preserve">28. This statement </w:t>
      </w:r>
      <w:r w:rsidR="00F94E36" w:rsidRPr="00F94E36">
        <w:rPr>
          <w:rFonts w:ascii="Times New Roman" w:hAnsi="Times New Roman" w:cs="Times New Roman"/>
        </w:rPr>
        <w:t>of the law is of</w:t>
      </w:r>
      <w:r>
        <w:rPr>
          <w:rFonts w:ascii="Times New Roman" w:hAnsi="Times New Roman" w:cs="Times New Roman"/>
        </w:rPr>
        <w:t xml:space="preserve"> </w:t>
      </w:r>
      <w:r>
        <w:rPr>
          <w:rFonts w:ascii="Times New Roman" w:hAnsi="Times New Roman" w:cs="Times New Roman"/>
        </w:rPr>
        <w:tab/>
        <w:t xml:space="preserve">course with the </w:t>
      </w:r>
      <w:r w:rsidR="00F94E36" w:rsidRPr="00F94E36">
        <w:rPr>
          <w:rFonts w:ascii="Times New Roman" w:hAnsi="Times New Roman" w:cs="Times New Roman"/>
        </w:rPr>
        <w:t>well</w:t>
      </w:r>
      <w:r>
        <w:rPr>
          <w:rFonts w:ascii="Times New Roman" w:hAnsi="Times New Roman" w:cs="Times New Roman"/>
        </w:rPr>
        <w:t xml:space="preserve"> known</w:t>
      </w:r>
      <w:r>
        <w:rPr>
          <w:rFonts w:ascii="Times New Roman" w:hAnsi="Times New Roman" w:cs="Times New Roman"/>
        </w:rPr>
        <w:tab/>
        <w:t xml:space="preserve">caveat that the </w:t>
      </w:r>
      <w:r w:rsidR="00F94E36" w:rsidRPr="00F94E36">
        <w:rPr>
          <w:rFonts w:ascii="Times New Roman" w:hAnsi="Times New Roman" w:cs="Times New Roman"/>
        </w:rPr>
        <w:t>obje</w:t>
      </w:r>
      <w:r>
        <w:rPr>
          <w:rFonts w:ascii="Times New Roman" w:hAnsi="Times New Roman" w:cs="Times New Roman"/>
        </w:rPr>
        <w:t xml:space="preserve">ct of a provision can certainly </w:t>
      </w:r>
      <w:r w:rsidR="00F94E36" w:rsidRPr="00F94E36">
        <w:rPr>
          <w:rFonts w:ascii="Times New Roman" w:hAnsi="Times New Roman" w:cs="Times New Roman"/>
        </w:rPr>
        <w:t>be</w:t>
      </w:r>
      <w:r>
        <w:rPr>
          <w:rFonts w:ascii="Times New Roman" w:hAnsi="Times New Roman" w:cs="Times New Roman"/>
        </w:rPr>
        <w:t xml:space="preserve"> </w:t>
      </w:r>
      <w:r w:rsidR="00F94E36" w:rsidRPr="00F94E36">
        <w:rPr>
          <w:rFonts w:ascii="Times New Roman" w:hAnsi="Times New Roman" w:cs="Times New Roman"/>
        </w:rPr>
        <w:t>used as an extrinsic aid to the interpretation of statutes and subordinate legislation where there is ambiguity in the words used.</w:t>
      </w:r>
    </w:p>
    <w:p w:rsidR="00392187" w:rsidRPr="00F94E36" w:rsidRDefault="00392187" w:rsidP="00F94E36">
      <w:pPr>
        <w:jc w:val="both"/>
        <w:rPr>
          <w:rFonts w:ascii="Times New Roman" w:hAnsi="Times New Roman" w:cs="Times New Roman"/>
        </w:rPr>
      </w:pPr>
    </w:p>
    <w:p w:rsidR="00F94E36" w:rsidRDefault="00392187" w:rsidP="00F94E36">
      <w:pPr>
        <w:jc w:val="both"/>
        <w:rPr>
          <w:rFonts w:ascii="Times New Roman" w:hAnsi="Times New Roman" w:cs="Times New Roman"/>
        </w:rPr>
      </w:pPr>
      <w:r>
        <w:rPr>
          <w:rFonts w:ascii="Times New Roman" w:hAnsi="Times New Roman" w:cs="Times New Roman"/>
        </w:rPr>
        <w:t xml:space="preserve">29. </w:t>
      </w:r>
      <w:r w:rsidR="00F94E36" w:rsidRPr="00F94E36">
        <w:rPr>
          <w:rFonts w:ascii="Times New Roman" w:hAnsi="Times New Roman" w:cs="Times New Roman"/>
        </w:rPr>
        <w:t>As has already been stated by us, we find the literal language of the regulation clear and beyond any doubt. The language of sub regulation (ii) becomes even clearer when it is contrasted with the language of sub regulation (iii), as has been held by us above.</w:t>
      </w:r>
    </w:p>
    <w:p w:rsidR="00392187" w:rsidRPr="00F94E36" w:rsidRDefault="00392187" w:rsidP="00F94E36">
      <w:pPr>
        <w:jc w:val="both"/>
        <w:rPr>
          <w:rFonts w:ascii="Times New Roman" w:hAnsi="Times New Roman" w:cs="Times New Roman"/>
        </w:rPr>
      </w:pPr>
    </w:p>
    <w:p w:rsidR="00F94E36" w:rsidRPr="00F94E36" w:rsidRDefault="00392187" w:rsidP="00F94E36">
      <w:pPr>
        <w:jc w:val="both"/>
        <w:rPr>
          <w:rFonts w:ascii="Times New Roman" w:hAnsi="Times New Roman" w:cs="Times New Roman"/>
        </w:rPr>
      </w:pPr>
      <w:r>
        <w:rPr>
          <w:rFonts w:ascii="Times New Roman" w:hAnsi="Times New Roman" w:cs="Times New Roman"/>
        </w:rPr>
        <w:t xml:space="preserve">30. </w:t>
      </w:r>
      <w:r w:rsidR="00F94E36" w:rsidRPr="00F94E36">
        <w:rPr>
          <w:rFonts w:ascii="Times New Roman" w:hAnsi="Times New Roman" w:cs="Times New Roman"/>
        </w:rPr>
        <w:t>Having gone through the appellate tribunal's judgment, we find that, for the reasons stated by us, we cannot fault its conclusion and accordingly the appeals stand dismissed.</w:t>
      </w:r>
    </w:p>
    <w:p w:rsidR="00F94E36" w:rsidRDefault="00F94E36" w:rsidP="00F94E36">
      <w:pPr>
        <w:jc w:val="both"/>
        <w:rPr>
          <w:rFonts w:ascii="Times New Roman" w:hAnsi="Times New Roman" w:cs="Times New Roman"/>
        </w:rPr>
      </w:pPr>
    </w:p>
    <w:p w:rsidR="00392187" w:rsidRDefault="00392187" w:rsidP="00F94E36">
      <w:pPr>
        <w:jc w:val="both"/>
        <w:rPr>
          <w:rFonts w:ascii="Times New Roman" w:hAnsi="Times New Roman" w:cs="Times New Roman"/>
        </w:rPr>
      </w:pPr>
      <w:r>
        <w:rPr>
          <w:rFonts w:ascii="Times New Roman" w:hAnsi="Times New Roman" w:cs="Times New Roman"/>
        </w:rPr>
        <w:t>Judgment Referred.</w:t>
      </w:r>
    </w:p>
    <w:p w:rsidR="00392187" w:rsidRDefault="00392187" w:rsidP="00F94E36">
      <w:pPr>
        <w:jc w:val="both"/>
        <w:rPr>
          <w:rFonts w:ascii="Times New Roman" w:hAnsi="Times New Roman" w:cs="Times New Roman"/>
        </w:rPr>
      </w:pPr>
    </w:p>
    <w:p w:rsidR="00392187" w:rsidRPr="00392187" w:rsidRDefault="00392187" w:rsidP="00392187">
      <w:pPr>
        <w:jc w:val="both"/>
        <w:rPr>
          <w:rFonts w:ascii="Times New Roman" w:hAnsi="Times New Roman" w:cs="Times New Roman"/>
          <w:i/>
          <w:sz w:val="20"/>
          <w:szCs w:val="20"/>
        </w:rPr>
      </w:pPr>
      <w:r w:rsidRPr="00392187">
        <w:rPr>
          <w:rFonts w:ascii="Times New Roman" w:hAnsi="Times New Roman" w:cs="Times New Roman"/>
          <w:i/>
          <w:sz w:val="20"/>
          <w:szCs w:val="20"/>
          <w:vertAlign w:val="superscript"/>
        </w:rPr>
        <w:t>1</w:t>
      </w:r>
      <w:r w:rsidRPr="00392187">
        <w:rPr>
          <w:rFonts w:ascii="Times New Roman" w:hAnsi="Times New Roman" w:cs="Times New Roman"/>
          <w:i/>
          <w:sz w:val="20"/>
          <w:szCs w:val="20"/>
        </w:rPr>
        <w:t>(1986) 3 SCC 0062</w:t>
      </w:r>
    </w:p>
    <w:p w:rsidR="00392187" w:rsidRPr="00392187" w:rsidRDefault="00392187" w:rsidP="00392187">
      <w:pPr>
        <w:jc w:val="both"/>
        <w:rPr>
          <w:rFonts w:ascii="Times New Roman" w:hAnsi="Times New Roman" w:cs="Times New Roman"/>
          <w:i/>
          <w:sz w:val="20"/>
          <w:szCs w:val="20"/>
        </w:rPr>
      </w:pPr>
      <w:r w:rsidRPr="00392187">
        <w:rPr>
          <w:rFonts w:ascii="Times New Roman" w:hAnsi="Times New Roman" w:cs="Times New Roman"/>
          <w:i/>
          <w:sz w:val="20"/>
          <w:szCs w:val="20"/>
          <w:vertAlign w:val="superscript"/>
        </w:rPr>
        <w:t>2</w:t>
      </w:r>
      <w:r w:rsidRPr="00392187">
        <w:rPr>
          <w:rFonts w:ascii="Times New Roman" w:hAnsi="Times New Roman" w:cs="Times New Roman"/>
          <w:i/>
          <w:sz w:val="20"/>
          <w:szCs w:val="20"/>
        </w:rPr>
        <w:t>(2005) 8 SCC 0252</w:t>
      </w:r>
    </w:p>
    <w:sectPr w:rsidR="00392187" w:rsidRPr="0039218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2A3" w:rsidRDefault="002B52A3" w:rsidP="00CF3BB7">
      <w:r>
        <w:separator/>
      </w:r>
    </w:p>
  </w:endnote>
  <w:endnote w:type="continuationSeparator" w:id="1">
    <w:p w:rsidR="002B52A3" w:rsidRDefault="002B52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F32B33" w:rsidRPr="00CF3BB7">
          <w:rPr>
            <w:sz w:val="22"/>
            <w:szCs w:val="22"/>
          </w:rPr>
          <w:fldChar w:fldCharType="begin"/>
        </w:r>
        <w:r w:rsidRPr="00CF3BB7">
          <w:rPr>
            <w:sz w:val="22"/>
            <w:szCs w:val="22"/>
          </w:rPr>
          <w:instrText xml:space="preserve"> PAGE   \* MERGEFORMAT </w:instrText>
        </w:r>
        <w:r w:rsidR="00F32B33" w:rsidRPr="00CF3BB7">
          <w:rPr>
            <w:sz w:val="22"/>
            <w:szCs w:val="22"/>
          </w:rPr>
          <w:fldChar w:fldCharType="separate"/>
        </w:r>
        <w:r w:rsidR="00FA5553">
          <w:rPr>
            <w:noProof/>
            <w:sz w:val="22"/>
            <w:szCs w:val="22"/>
          </w:rPr>
          <w:t>1</w:t>
        </w:r>
        <w:r w:rsidR="00F32B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2A3" w:rsidRDefault="002B52A3" w:rsidP="00CF3BB7">
      <w:r>
        <w:separator/>
      </w:r>
    </w:p>
  </w:footnote>
  <w:footnote w:type="continuationSeparator" w:id="1">
    <w:p w:rsidR="002B52A3" w:rsidRDefault="002B52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2A3"/>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E6FA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2017-08-04T05:13:00Z</cp:lastPrinted>
  <dcterms:created xsi:type="dcterms:W3CDTF">2017-08-04T08:12:00Z</dcterms:created>
  <dcterms:modified xsi:type="dcterms:W3CDTF">2017-08-04T08:12:00Z</dcterms:modified>
</cp:coreProperties>
</file>