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F96" w:rsidRPr="00DA2F96" w:rsidRDefault="00DA2F96" w:rsidP="00DA2F96">
      <w:pPr>
        <w:spacing w:after="0" w:line="240" w:lineRule="auto"/>
        <w:jc w:val="both"/>
        <w:rPr>
          <w:rFonts w:ascii="Times New Roman" w:eastAsia="Times New Roman" w:hAnsi="Times New Roman" w:cs="Times New Roman"/>
          <w:b/>
          <w:bCs/>
          <w:color w:val="CDBFAC"/>
          <w:sz w:val="29"/>
          <w:szCs w:val="29"/>
        </w:rPr>
      </w:pPr>
      <w:r w:rsidRPr="00DA2F96">
        <w:rPr>
          <w:rFonts w:ascii="Times New Roman" w:eastAsia="Times New Roman" w:hAnsi="Times New Roman" w:cs="Times New Roman"/>
          <w:b/>
          <w:bCs/>
          <w:color w:val="CDBFAC"/>
          <w:sz w:val="29"/>
          <w:szCs w:val="29"/>
        </w:rPr>
        <w:t>Supreme Court - Daily Orders</w:t>
      </w:r>
    </w:p>
    <w:p w:rsidR="00DA2F96" w:rsidRPr="00DA2F96" w:rsidRDefault="00DA2F96" w:rsidP="00DA2F96">
      <w:pPr>
        <w:spacing w:after="150" w:line="240" w:lineRule="auto"/>
        <w:jc w:val="both"/>
        <w:rPr>
          <w:rFonts w:ascii="Times New Roman" w:eastAsia="Times New Roman" w:hAnsi="Times New Roman" w:cs="Times New Roman"/>
          <w:b/>
          <w:bCs/>
          <w:color w:val="000000"/>
          <w:sz w:val="26"/>
          <w:szCs w:val="26"/>
        </w:rPr>
      </w:pPr>
      <w:proofErr w:type="gramStart"/>
      <w:r w:rsidRPr="00DA2F96">
        <w:rPr>
          <w:rFonts w:ascii="Times New Roman" w:eastAsia="Times New Roman" w:hAnsi="Times New Roman" w:cs="Times New Roman"/>
          <w:b/>
          <w:bCs/>
          <w:color w:val="000000"/>
          <w:sz w:val="26"/>
          <w:szCs w:val="26"/>
        </w:rPr>
        <w:t xml:space="preserve">United India </w:t>
      </w:r>
      <w:proofErr w:type="spellStart"/>
      <w:r w:rsidRPr="00DA2F96">
        <w:rPr>
          <w:rFonts w:ascii="Times New Roman" w:eastAsia="Times New Roman" w:hAnsi="Times New Roman" w:cs="Times New Roman"/>
          <w:b/>
          <w:bCs/>
          <w:color w:val="000000"/>
          <w:sz w:val="26"/>
          <w:szCs w:val="26"/>
        </w:rPr>
        <w:t>Ins.Co.Ltd</w:t>
      </w:r>
      <w:proofErr w:type="spellEnd"/>
      <w:r w:rsidRPr="00DA2F96">
        <w:rPr>
          <w:rFonts w:ascii="Times New Roman" w:eastAsia="Times New Roman" w:hAnsi="Times New Roman" w:cs="Times New Roman"/>
          <w:b/>
          <w:bCs/>
          <w:color w:val="000000"/>
          <w:sz w:val="26"/>
          <w:szCs w:val="26"/>
        </w:rPr>
        <w:t>.</w:t>
      </w:r>
      <w:proofErr w:type="gramEnd"/>
      <w:r w:rsidRPr="00DA2F96">
        <w:rPr>
          <w:rFonts w:ascii="Times New Roman" w:eastAsia="Times New Roman" w:hAnsi="Times New Roman" w:cs="Times New Roman"/>
          <w:b/>
          <w:bCs/>
          <w:color w:val="000000"/>
          <w:sz w:val="26"/>
          <w:szCs w:val="26"/>
        </w:rPr>
        <w:t xml:space="preserve"> </w:t>
      </w:r>
      <w:proofErr w:type="spellStart"/>
      <w:proofErr w:type="gramStart"/>
      <w:r w:rsidRPr="00DA2F96">
        <w:rPr>
          <w:rFonts w:ascii="Times New Roman" w:eastAsia="Times New Roman" w:hAnsi="Times New Roman" w:cs="Times New Roman"/>
          <w:b/>
          <w:bCs/>
          <w:color w:val="000000"/>
          <w:sz w:val="26"/>
          <w:szCs w:val="26"/>
        </w:rPr>
        <w:t>vs</w:t>
      </w:r>
      <w:proofErr w:type="spellEnd"/>
      <w:proofErr w:type="gramEnd"/>
      <w:r w:rsidRPr="00DA2F96">
        <w:rPr>
          <w:rFonts w:ascii="Times New Roman" w:eastAsia="Times New Roman" w:hAnsi="Times New Roman" w:cs="Times New Roman"/>
          <w:b/>
          <w:bCs/>
          <w:color w:val="000000"/>
          <w:sz w:val="26"/>
          <w:szCs w:val="26"/>
        </w:rPr>
        <w:t xml:space="preserve"> Sunil Kumar on 24 November, 2017</w:t>
      </w:r>
    </w:p>
    <w:p w:rsidR="00DA2F96" w:rsidRPr="00DA2F96" w:rsidRDefault="00DA2F96" w:rsidP="00DA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DA2F96">
        <w:rPr>
          <w:rFonts w:ascii="Courier New" w:eastAsia="Times New Roman" w:hAnsi="Courier New" w:cs="Courier New"/>
          <w:color w:val="000000"/>
          <w:sz w:val="24"/>
          <w:szCs w:val="24"/>
        </w:rPr>
        <w:t xml:space="preserve">                              1</w:t>
      </w:r>
    </w:p>
    <w:p w:rsidR="00DA2F96" w:rsidRPr="00DA2F96" w:rsidRDefault="00DA2F96" w:rsidP="00DA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DA2F96" w:rsidRPr="00DA2F96" w:rsidRDefault="00DA2F96" w:rsidP="00DA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DA2F96">
        <w:rPr>
          <w:rFonts w:ascii="Courier New" w:eastAsia="Times New Roman" w:hAnsi="Courier New" w:cs="Courier New"/>
          <w:color w:val="000000"/>
          <w:sz w:val="24"/>
          <w:szCs w:val="24"/>
        </w:rPr>
        <w:t xml:space="preserve">                                                 REPORTABLE</w:t>
      </w:r>
    </w:p>
    <w:p w:rsidR="00DA2F96" w:rsidRPr="00DA2F96" w:rsidRDefault="00DA2F96" w:rsidP="00DA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DA2F96" w:rsidRPr="00DA2F96" w:rsidRDefault="00DA2F96" w:rsidP="00DA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DA2F96">
        <w:rPr>
          <w:rFonts w:ascii="Courier New" w:eastAsia="Times New Roman" w:hAnsi="Courier New" w:cs="Courier New"/>
          <w:color w:val="000000"/>
          <w:sz w:val="24"/>
          <w:szCs w:val="24"/>
        </w:rPr>
        <w:t xml:space="preserve">              IN THE SUPREME COURT OF INDIA</w:t>
      </w:r>
    </w:p>
    <w:p w:rsidR="00DA2F96" w:rsidRPr="00DA2F96" w:rsidRDefault="00DA2F96" w:rsidP="00DA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DA2F96" w:rsidRPr="00DA2F96" w:rsidRDefault="00DA2F96" w:rsidP="00DA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DA2F96">
        <w:rPr>
          <w:rFonts w:ascii="Courier New" w:eastAsia="Times New Roman" w:hAnsi="Courier New" w:cs="Courier New"/>
          <w:color w:val="000000"/>
          <w:sz w:val="24"/>
          <w:szCs w:val="24"/>
        </w:rPr>
        <w:t xml:space="preserve">               CIVIL APPELLATE JURISDICTION</w:t>
      </w:r>
    </w:p>
    <w:p w:rsidR="00DA2F96" w:rsidRPr="00DA2F96" w:rsidRDefault="00DA2F96" w:rsidP="00DA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DA2F96" w:rsidRPr="00DA2F96" w:rsidRDefault="00DA2F96" w:rsidP="00DA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DA2F96">
        <w:rPr>
          <w:rFonts w:ascii="Courier New" w:eastAsia="Times New Roman" w:hAnsi="Courier New" w:cs="Courier New"/>
          <w:color w:val="000000"/>
          <w:sz w:val="24"/>
          <w:szCs w:val="24"/>
        </w:rPr>
        <w:t xml:space="preserve">              </w:t>
      </w:r>
      <w:proofErr w:type="gramStart"/>
      <w:r w:rsidRPr="00DA2F96">
        <w:rPr>
          <w:rFonts w:ascii="Courier New" w:eastAsia="Times New Roman" w:hAnsi="Courier New" w:cs="Courier New"/>
          <w:color w:val="000000"/>
          <w:sz w:val="24"/>
          <w:szCs w:val="24"/>
        </w:rPr>
        <w:t>CIVIL APPEAL NO.</w:t>
      </w:r>
      <w:proofErr w:type="gramEnd"/>
      <w:r w:rsidRPr="00DA2F96">
        <w:rPr>
          <w:rFonts w:ascii="Courier New" w:eastAsia="Times New Roman" w:hAnsi="Courier New" w:cs="Courier New"/>
          <w:color w:val="000000"/>
          <w:sz w:val="24"/>
          <w:szCs w:val="24"/>
        </w:rPr>
        <w:t xml:space="preserve"> 9694 OF 2013</w:t>
      </w:r>
    </w:p>
    <w:p w:rsidR="00DA2F96" w:rsidRPr="00DA2F96" w:rsidRDefault="00DA2F96" w:rsidP="00DA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DA2F96" w:rsidRPr="00DA2F96" w:rsidRDefault="00DA2F96" w:rsidP="00DA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DA2F96" w:rsidRPr="00DA2F96" w:rsidRDefault="00DA2F96" w:rsidP="00DA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DA2F96">
        <w:rPr>
          <w:rFonts w:ascii="Courier New" w:eastAsia="Times New Roman" w:hAnsi="Courier New" w:cs="Courier New"/>
          <w:color w:val="000000"/>
          <w:sz w:val="24"/>
          <w:szCs w:val="24"/>
        </w:rPr>
        <w:t xml:space="preserve">    </w:t>
      </w:r>
      <w:proofErr w:type="gramStart"/>
      <w:r w:rsidRPr="00DA2F96">
        <w:rPr>
          <w:rFonts w:ascii="Courier New" w:eastAsia="Times New Roman" w:hAnsi="Courier New" w:cs="Courier New"/>
          <w:color w:val="000000"/>
          <w:sz w:val="24"/>
          <w:szCs w:val="24"/>
        </w:rPr>
        <w:t>UNITED INDIA INSURANCE CO.</w:t>
      </w:r>
      <w:proofErr w:type="gramEnd"/>
    </w:p>
    <w:p w:rsidR="00DA2F96" w:rsidRPr="00DA2F96" w:rsidRDefault="00DA2F96" w:rsidP="00DA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DA2F96">
        <w:rPr>
          <w:rFonts w:ascii="Courier New" w:eastAsia="Times New Roman" w:hAnsi="Courier New" w:cs="Courier New"/>
          <w:color w:val="000000"/>
          <w:sz w:val="24"/>
          <w:szCs w:val="24"/>
        </w:rPr>
        <w:t xml:space="preserve">    </w:t>
      </w:r>
      <w:proofErr w:type="gramStart"/>
      <w:r w:rsidRPr="00DA2F96">
        <w:rPr>
          <w:rFonts w:ascii="Courier New" w:eastAsia="Times New Roman" w:hAnsi="Courier New" w:cs="Courier New"/>
          <w:color w:val="000000"/>
          <w:sz w:val="24"/>
          <w:szCs w:val="24"/>
        </w:rPr>
        <w:t>LTD.</w:t>
      </w:r>
      <w:proofErr w:type="gramEnd"/>
      <w:r w:rsidRPr="00DA2F96">
        <w:rPr>
          <w:rFonts w:ascii="Courier New" w:eastAsia="Times New Roman" w:hAnsi="Courier New" w:cs="Courier New"/>
          <w:color w:val="000000"/>
          <w:sz w:val="24"/>
          <w:szCs w:val="24"/>
        </w:rPr>
        <w:t xml:space="preserve">                                 ...APPELLANT(S)</w:t>
      </w:r>
    </w:p>
    <w:p w:rsidR="00DA2F96" w:rsidRPr="00DA2F96" w:rsidRDefault="00DA2F96" w:rsidP="00DA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DA2F96" w:rsidRPr="00DA2F96" w:rsidRDefault="00DA2F96" w:rsidP="00DA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DA2F96">
        <w:rPr>
          <w:rFonts w:ascii="Courier New" w:eastAsia="Times New Roman" w:hAnsi="Courier New" w:cs="Courier New"/>
          <w:color w:val="000000"/>
          <w:sz w:val="24"/>
          <w:szCs w:val="24"/>
        </w:rPr>
        <w:t xml:space="preserve">                         VERSUS</w:t>
      </w:r>
    </w:p>
    <w:p w:rsidR="00DA2F96" w:rsidRPr="00DA2F96" w:rsidRDefault="00DA2F96" w:rsidP="00DA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DA2F96" w:rsidRPr="00DA2F96" w:rsidRDefault="00DA2F96" w:rsidP="00DA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DA2F96">
        <w:rPr>
          <w:rFonts w:ascii="Courier New" w:eastAsia="Times New Roman" w:hAnsi="Courier New" w:cs="Courier New"/>
          <w:color w:val="000000"/>
          <w:sz w:val="24"/>
          <w:szCs w:val="24"/>
        </w:rPr>
        <w:t xml:space="preserve">    </w:t>
      </w:r>
      <w:proofErr w:type="gramStart"/>
      <w:r w:rsidRPr="00DA2F96">
        <w:rPr>
          <w:rFonts w:ascii="Courier New" w:eastAsia="Times New Roman" w:hAnsi="Courier New" w:cs="Courier New"/>
          <w:color w:val="000000"/>
          <w:sz w:val="24"/>
          <w:szCs w:val="24"/>
        </w:rPr>
        <w:t>SUNIL KUMAR &amp; ANR.</w:t>
      </w:r>
      <w:proofErr w:type="gramEnd"/>
      <w:r w:rsidRPr="00DA2F96">
        <w:rPr>
          <w:rFonts w:ascii="Courier New" w:eastAsia="Times New Roman" w:hAnsi="Courier New" w:cs="Courier New"/>
          <w:color w:val="000000"/>
          <w:sz w:val="24"/>
          <w:szCs w:val="24"/>
        </w:rPr>
        <w:t xml:space="preserve">                   ...RESPONDENT(S)</w:t>
      </w:r>
    </w:p>
    <w:p w:rsidR="00DA2F96" w:rsidRPr="00DA2F96" w:rsidRDefault="00DA2F96" w:rsidP="00DA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DA2F96" w:rsidRPr="00DA2F96" w:rsidRDefault="00DA2F96" w:rsidP="00DA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DA2F96" w:rsidRPr="00DA2F96" w:rsidRDefault="00DA2F96" w:rsidP="00DA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DA2F96">
        <w:rPr>
          <w:rFonts w:ascii="Courier New" w:eastAsia="Times New Roman" w:hAnsi="Courier New" w:cs="Courier New"/>
          <w:color w:val="000000"/>
          <w:sz w:val="24"/>
          <w:szCs w:val="24"/>
        </w:rPr>
        <w:t xml:space="preserve">                          JUDGMENT</w:t>
      </w:r>
    </w:p>
    <w:p w:rsidR="00DA2F96" w:rsidRPr="00DA2F96" w:rsidRDefault="00DA2F96" w:rsidP="00DA2F96">
      <w:pPr>
        <w:spacing w:before="100" w:beforeAutospacing="1" w:after="100" w:afterAutospacing="1" w:line="240" w:lineRule="auto"/>
        <w:jc w:val="both"/>
        <w:rPr>
          <w:rFonts w:ascii="Times New Roman" w:eastAsia="Times New Roman" w:hAnsi="Times New Roman" w:cs="Times New Roman"/>
          <w:color w:val="000000"/>
          <w:sz w:val="25"/>
          <w:szCs w:val="25"/>
        </w:rPr>
      </w:pPr>
      <w:r w:rsidRPr="00DA2F96">
        <w:rPr>
          <w:rFonts w:ascii="Times New Roman" w:eastAsia="Times New Roman" w:hAnsi="Times New Roman" w:cs="Times New Roman"/>
          <w:color w:val="000000"/>
          <w:sz w:val="25"/>
          <w:szCs w:val="25"/>
        </w:rPr>
        <w:t>RANJAN GOGOI, J.</w:t>
      </w:r>
    </w:p>
    <w:p w:rsidR="00DA2F96" w:rsidRPr="00DA2F96" w:rsidRDefault="00DA2F96" w:rsidP="00DA2F96">
      <w:pPr>
        <w:spacing w:before="100" w:beforeAutospacing="1" w:after="100" w:afterAutospacing="1" w:line="240" w:lineRule="auto"/>
        <w:jc w:val="both"/>
        <w:rPr>
          <w:rFonts w:ascii="Times New Roman" w:eastAsia="Times New Roman" w:hAnsi="Times New Roman" w:cs="Times New Roman"/>
          <w:color w:val="000000"/>
          <w:sz w:val="25"/>
          <w:szCs w:val="25"/>
        </w:rPr>
      </w:pPr>
      <w:r w:rsidRPr="00DA2F96">
        <w:rPr>
          <w:rFonts w:ascii="Times New Roman" w:eastAsia="Times New Roman" w:hAnsi="Times New Roman" w:cs="Times New Roman"/>
          <w:color w:val="000000"/>
          <w:sz w:val="25"/>
          <w:szCs w:val="25"/>
        </w:rPr>
        <w:t>1. Unable to agree with the reasoning and the conclusion of a two judge bench of this Court in </w:t>
      </w:r>
      <w:hyperlink r:id="rId4" w:history="1">
        <w:r w:rsidRPr="00DA2F96">
          <w:rPr>
            <w:rFonts w:ascii="Times New Roman" w:eastAsia="Times New Roman" w:hAnsi="Times New Roman" w:cs="Times New Roman"/>
            <w:color w:val="1100CC"/>
            <w:sz w:val="25"/>
          </w:rPr>
          <w:t xml:space="preserve">National Insurance Company Limited vs. </w:t>
        </w:r>
        <w:proofErr w:type="spellStart"/>
        <w:r w:rsidRPr="00DA2F96">
          <w:rPr>
            <w:rFonts w:ascii="Times New Roman" w:eastAsia="Times New Roman" w:hAnsi="Times New Roman" w:cs="Times New Roman"/>
            <w:color w:val="1100CC"/>
            <w:sz w:val="25"/>
          </w:rPr>
          <w:t>Sinitha</w:t>
        </w:r>
        <w:proofErr w:type="spellEnd"/>
      </w:hyperlink>
      <w:r w:rsidRPr="00DA2F96">
        <w:rPr>
          <w:rFonts w:ascii="Times New Roman" w:eastAsia="Times New Roman" w:hAnsi="Times New Roman" w:cs="Times New Roman"/>
          <w:color w:val="000000"/>
          <w:sz w:val="25"/>
          <w:szCs w:val="25"/>
        </w:rPr>
        <w:t> and others1 a coordinate bench of this Court by order dated 29th October, 2013 has referred the instant matter for a resolution of what appears to be the following question of law.</w:t>
      </w:r>
    </w:p>
    <w:p w:rsidR="00DA2F96" w:rsidRPr="00DA2F96" w:rsidRDefault="00DA2F96" w:rsidP="00DA2F96">
      <w:pPr>
        <w:spacing w:before="100" w:beforeAutospacing="1" w:after="100" w:afterAutospacing="1" w:line="240" w:lineRule="auto"/>
        <w:jc w:val="both"/>
        <w:rPr>
          <w:rFonts w:ascii="Times New Roman" w:eastAsia="Times New Roman" w:hAnsi="Times New Roman" w:cs="Times New Roman"/>
          <w:color w:val="000000"/>
          <w:sz w:val="25"/>
          <w:szCs w:val="25"/>
        </w:rPr>
      </w:pPr>
      <w:r w:rsidRPr="00DA2F96">
        <w:rPr>
          <w:rFonts w:ascii="Times New Roman" w:eastAsia="Times New Roman" w:hAnsi="Times New Roman" w:cs="Times New Roman"/>
          <w:color w:val="000000"/>
          <w:sz w:val="25"/>
          <w:szCs w:val="25"/>
        </w:rPr>
        <w:t>“Whether in a claim proceeding under </w:t>
      </w:r>
      <w:hyperlink r:id="rId5" w:history="1">
        <w:r w:rsidRPr="00DA2F96">
          <w:rPr>
            <w:rFonts w:ascii="Times New Roman" w:eastAsia="Times New Roman" w:hAnsi="Times New Roman" w:cs="Times New Roman"/>
            <w:color w:val="1100CC"/>
            <w:sz w:val="25"/>
          </w:rPr>
          <w:t>Section 163</w:t>
        </w:r>
      </w:hyperlink>
      <w:r w:rsidRPr="00DA2F96">
        <w:rPr>
          <w:rFonts w:ascii="Times New Roman" w:eastAsia="Times New Roman" w:hAnsi="Times New Roman" w:cs="Times New Roman"/>
          <w:color w:val="000000"/>
          <w:sz w:val="25"/>
          <w:szCs w:val="25"/>
        </w:rPr>
        <w:t xml:space="preserve"> A of the Motor Vehicles Act, 1988 (hereinafter referred to as “the Act”) it is 1 [(2012) 2 SCC 356] open for the Insurer to raise the </w:t>
      </w:r>
      <w:proofErr w:type="spellStart"/>
      <w:r w:rsidRPr="00DA2F96">
        <w:rPr>
          <w:rFonts w:ascii="Times New Roman" w:eastAsia="Times New Roman" w:hAnsi="Times New Roman" w:cs="Times New Roman"/>
          <w:color w:val="000000"/>
          <w:sz w:val="25"/>
          <w:szCs w:val="25"/>
        </w:rPr>
        <w:t>defence</w:t>
      </w:r>
      <w:proofErr w:type="spellEnd"/>
      <w:r w:rsidRPr="00DA2F96">
        <w:rPr>
          <w:rFonts w:ascii="Times New Roman" w:eastAsia="Times New Roman" w:hAnsi="Times New Roman" w:cs="Times New Roman"/>
          <w:color w:val="000000"/>
          <w:sz w:val="25"/>
          <w:szCs w:val="25"/>
        </w:rPr>
        <w:t>/plea of negligence?”</w:t>
      </w:r>
    </w:p>
    <w:p w:rsidR="00DA2F96" w:rsidRPr="00DA2F96" w:rsidRDefault="00DA2F96" w:rsidP="00DA2F96">
      <w:pPr>
        <w:spacing w:before="100" w:beforeAutospacing="1" w:after="100" w:afterAutospacing="1" w:line="240" w:lineRule="auto"/>
        <w:jc w:val="both"/>
        <w:rPr>
          <w:rFonts w:ascii="Times New Roman" w:eastAsia="Times New Roman" w:hAnsi="Times New Roman" w:cs="Times New Roman"/>
          <w:color w:val="000000"/>
          <w:sz w:val="25"/>
          <w:szCs w:val="25"/>
        </w:rPr>
      </w:pPr>
      <w:r w:rsidRPr="00DA2F96">
        <w:rPr>
          <w:rFonts w:ascii="Times New Roman" w:eastAsia="Times New Roman" w:hAnsi="Times New Roman" w:cs="Times New Roman"/>
          <w:color w:val="000000"/>
          <w:sz w:val="25"/>
          <w:szCs w:val="25"/>
        </w:rPr>
        <w:t>2. A second question as to what would be the true scope and meaning of the provisions contained in </w:t>
      </w:r>
      <w:hyperlink r:id="rId6" w:history="1">
        <w:r w:rsidRPr="00DA2F96">
          <w:rPr>
            <w:rFonts w:ascii="Times New Roman" w:eastAsia="Times New Roman" w:hAnsi="Times New Roman" w:cs="Times New Roman"/>
            <w:color w:val="1100CC"/>
            <w:sz w:val="25"/>
          </w:rPr>
          <w:t>Section 170</w:t>
        </w:r>
      </w:hyperlink>
      <w:r w:rsidRPr="00DA2F96">
        <w:rPr>
          <w:rFonts w:ascii="Times New Roman" w:eastAsia="Times New Roman" w:hAnsi="Times New Roman" w:cs="Times New Roman"/>
          <w:color w:val="000000"/>
          <w:sz w:val="25"/>
          <w:szCs w:val="25"/>
        </w:rPr>
        <w:t xml:space="preserve"> of the Act more specifically as set out in Queries (iii) to (v) in paragraph 10 of the report of United India Insurance Company Limited versus </w:t>
      </w:r>
      <w:proofErr w:type="spellStart"/>
      <w:r w:rsidRPr="00DA2F96">
        <w:rPr>
          <w:rFonts w:ascii="Times New Roman" w:eastAsia="Times New Roman" w:hAnsi="Times New Roman" w:cs="Times New Roman"/>
          <w:color w:val="000000"/>
          <w:sz w:val="25"/>
          <w:szCs w:val="25"/>
        </w:rPr>
        <w:t>Shila</w:t>
      </w:r>
      <w:proofErr w:type="spellEnd"/>
      <w:r w:rsidRPr="00DA2F96">
        <w:rPr>
          <w:rFonts w:ascii="Times New Roman" w:eastAsia="Times New Roman" w:hAnsi="Times New Roman" w:cs="Times New Roman"/>
          <w:color w:val="000000"/>
          <w:sz w:val="25"/>
          <w:szCs w:val="25"/>
        </w:rPr>
        <w:t xml:space="preserve"> </w:t>
      </w:r>
      <w:proofErr w:type="spellStart"/>
      <w:r w:rsidRPr="00DA2F96">
        <w:rPr>
          <w:rFonts w:ascii="Times New Roman" w:eastAsia="Times New Roman" w:hAnsi="Times New Roman" w:cs="Times New Roman"/>
          <w:color w:val="000000"/>
          <w:sz w:val="25"/>
          <w:szCs w:val="25"/>
        </w:rPr>
        <w:t>Datta</w:t>
      </w:r>
      <w:proofErr w:type="spellEnd"/>
      <w:r w:rsidRPr="00DA2F96">
        <w:rPr>
          <w:rFonts w:ascii="Times New Roman" w:eastAsia="Times New Roman" w:hAnsi="Times New Roman" w:cs="Times New Roman"/>
          <w:color w:val="000000"/>
          <w:sz w:val="25"/>
          <w:szCs w:val="25"/>
        </w:rPr>
        <w:t xml:space="preserve"> and others2, also arises. However, the aforesaid Question stands referred to a Larger Bench in </w:t>
      </w:r>
      <w:proofErr w:type="spellStart"/>
      <w:r w:rsidRPr="00DA2F96">
        <w:rPr>
          <w:rFonts w:ascii="Times New Roman" w:eastAsia="Times New Roman" w:hAnsi="Times New Roman" w:cs="Times New Roman"/>
          <w:color w:val="000000"/>
          <w:sz w:val="25"/>
          <w:szCs w:val="25"/>
        </w:rPr>
        <w:t>Shila</w:t>
      </w:r>
      <w:proofErr w:type="spellEnd"/>
      <w:r w:rsidRPr="00DA2F96">
        <w:rPr>
          <w:rFonts w:ascii="Times New Roman" w:eastAsia="Times New Roman" w:hAnsi="Times New Roman" w:cs="Times New Roman"/>
          <w:color w:val="000000"/>
          <w:sz w:val="25"/>
          <w:szCs w:val="25"/>
        </w:rPr>
        <w:t xml:space="preserve"> </w:t>
      </w:r>
      <w:proofErr w:type="spellStart"/>
      <w:proofErr w:type="gramStart"/>
      <w:r w:rsidRPr="00DA2F96">
        <w:rPr>
          <w:rFonts w:ascii="Times New Roman" w:eastAsia="Times New Roman" w:hAnsi="Times New Roman" w:cs="Times New Roman"/>
          <w:color w:val="000000"/>
          <w:sz w:val="25"/>
          <w:szCs w:val="25"/>
        </w:rPr>
        <w:t>Datta</w:t>
      </w:r>
      <w:proofErr w:type="spellEnd"/>
      <w:r w:rsidRPr="00DA2F96">
        <w:rPr>
          <w:rFonts w:ascii="Times New Roman" w:eastAsia="Times New Roman" w:hAnsi="Times New Roman" w:cs="Times New Roman"/>
          <w:color w:val="000000"/>
          <w:sz w:val="25"/>
          <w:szCs w:val="25"/>
        </w:rPr>
        <w:t>(</w:t>
      </w:r>
      <w:proofErr w:type="gramEnd"/>
      <w:r w:rsidRPr="00DA2F96">
        <w:rPr>
          <w:rFonts w:ascii="Times New Roman" w:eastAsia="Times New Roman" w:hAnsi="Times New Roman" w:cs="Times New Roman"/>
          <w:color w:val="000000"/>
          <w:sz w:val="25"/>
          <w:szCs w:val="25"/>
        </w:rPr>
        <w:t>supra) itself. We are told that answers to the questions referred are awaited. In view of the above, we would be required to answer only the first question arising in the reference which has been set out herein above.</w:t>
      </w:r>
    </w:p>
    <w:p w:rsidR="00DA2F96" w:rsidRPr="00DA2F96" w:rsidRDefault="00DA2F96" w:rsidP="00DA2F96">
      <w:pPr>
        <w:spacing w:before="100" w:beforeAutospacing="1" w:after="100" w:afterAutospacing="1" w:line="240" w:lineRule="auto"/>
        <w:jc w:val="both"/>
        <w:rPr>
          <w:rFonts w:ascii="Times New Roman" w:eastAsia="Times New Roman" w:hAnsi="Times New Roman" w:cs="Times New Roman"/>
          <w:color w:val="000000"/>
          <w:sz w:val="25"/>
          <w:szCs w:val="25"/>
        </w:rPr>
      </w:pPr>
      <w:r w:rsidRPr="00DA2F96">
        <w:rPr>
          <w:rFonts w:ascii="Times New Roman" w:eastAsia="Times New Roman" w:hAnsi="Times New Roman" w:cs="Times New Roman"/>
          <w:color w:val="000000"/>
          <w:sz w:val="25"/>
          <w:szCs w:val="25"/>
        </w:rPr>
        <w:t xml:space="preserve">3. In </w:t>
      </w:r>
      <w:proofErr w:type="spellStart"/>
      <w:r w:rsidRPr="00DA2F96">
        <w:rPr>
          <w:rFonts w:ascii="Times New Roman" w:eastAsia="Times New Roman" w:hAnsi="Times New Roman" w:cs="Times New Roman"/>
          <w:color w:val="000000"/>
          <w:sz w:val="25"/>
          <w:szCs w:val="25"/>
        </w:rPr>
        <w:t>Sinitha's</w:t>
      </w:r>
      <w:proofErr w:type="spellEnd"/>
      <w:r w:rsidRPr="00DA2F96">
        <w:rPr>
          <w:rFonts w:ascii="Times New Roman" w:eastAsia="Times New Roman" w:hAnsi="Times New Roman" w:cs="Times New Roman"/>
          <w:color w:val="000000"/>
          <w:sz w:val="25"/>
          <w:szCs w:val="25"/>
        </w:rPr>
        <w:t xml:space="preserve"> case (supra), a two judge bench of this Court understood the scope of </w:t>
      </w:r>
      <w:hyperlink r:id="rId7" w:history="1">
        <w:r w:rsidRPr="00DA2F96">
          <w:rPr>
            <w:rFonts w:ascii="Times New Roman" w:eastAsia="Times New Roman" w:hAnsi="Times New Roman" w:cs="Times New Roman"/>
            <w:color w:val="1100CC"/>
            <w:sz w:val="25"/>
          </w:rPr>
          <w:t>Section 163A</w:t>
        </w:r>
      </w:hyperlink>
      <w:r w:rsidRPr="00DA2F96">
        <w:rPr>
          <w:rFonts w:ascii="Times New Roman" w:eastAsia="Times New Roman" w:hAnsi="Times New Roman" w:cs="Times New Roman"/>
          <w:color w:val="000000"/>
          <w:sz w:val="25"/>
          <w:szCs w:val="25"/>
        </w:rPr>
        <w:t xml:space="preserve"> of the Act to be enabling an Insurer to raise the </w:t>
      </w:r>
      <w:proofErr w:type="spellStart"/>
      <w:r w:rsidRPr="00DA2F96">
        <w:rPr>
          <w:rFonts w:ascii="Times New Roman" w:eastAsia="Times New Roman" w:hAnsi="Times New Roman" w:cs="Times New Roman"/>
          <w:color w:val="000000"/>
          <w:sz w:val="25"/>
          <w:szCs w:val="25"/>
        </w:rPr>
        <w:t>defence</w:t>
      </w:r>
      <w:proofErr w:type="spellEnd"/>
      <w:r w:rsidRPr="00DA2F96">
        <w:rPr>
          <w:rFonts w:ascii="Times New Roman" w:eastAsia="Times New Roman" w:hAnsi="Times New Roman" w:cs="Times New Roman"/>
          <w:color w:val="000000"/>
          <w:sz w:val="25"/>
          <w:szCs w:val="25"/>
        </w:rPr>
        <w:t xml:space="preserve"> of 2 [(2011) 10 SCC 509] negligence to counter a claim for compensation. The principal basis on which the conclusion in </w:t>
      </w:r>
      <w:proofErr w:type="spellStart"/>
      <w:r w:rsidRPr="00DA2F96">
        <w:rPr>
          <w:rFonts w:ascii="Times New Roman" w:eastAsia="Times New Roman" w:hAnsi="Times New Roman" w:cs="Times New Roman"/>
          <w:color w:val="000000"/>
          <w:sz w:val="25"/>
          <w:szCs w:val="25"/>
        </w:rPr>
        <w:t>Sinitha's</w:t>
      </w:r>
      <w:proofErr w:type="spellEnd"/>
      <w:r w:rsidRPr="00DA2F96">
        <w:rPr>
          <w:rFonts w:ascii="Times New Roman" w:eastAsia="Times New Roman" w:hAnsi="Times New Roman" w:cs="Times New Roman"/>
          <w:color w:val="000000"/>
          <w:sz w:val="25"/>
          <w:szCs w:val="25"/>
        </w:rPr>
        <w:t xml:space="preserve"> case (supra) was reached and recorded is the absence of a provision similar to sub-section (4) of </w:t>
      </w:r>
      <w:hyperlink r:id="rId8" w:history="1">
        <w:r w:rsidRPr="00DA2F96">
          <w:rPr>
            <w:rFonts w:ascii="Times New Roman" w:eastAsia="Times New Roman" w:hAnsi="Times New Roman" w:cs="Times New Roman"/>
            <w:color w:val="1100CC"/>
            <w:sz w:val="25"/>
          </w:rPr>
          <w:t>Section 140</w:t>
        </w:r>
      </w:hyperlink>
      <w:r w:rsidRPr="00DA2F96">
        <w:rPr>
          <w:rFonts w:ascii="Times New Roman" w:eastAsia="Times New Roman" w:hAnsi="Times New Roman" w:cs="Times New Roman"/>
          <w:color w:val="000000"/>
          <w:sz w:val="25"/>
          <w:szCs w:val="25"/>
        </w:rPr>
        <w:t> of the Act in </w:t>
      </w:r>
      <w:hyperlink r:id="rId9" w:history="1">
        <w:r w:rsidRPr="00DA2F96">
          <w:rPr>
            <w:rFonts w:ascii="Times New Roman" w:eastAsia="Times New Roman" w:hAnsi="Times New Roman" w:cs="Times New Roman"/>
            <w:color w:val="1100CC"/>
            <w:sz w:val="25"/>
          </w:rPr>
          <w:t>Section 163A</w:t>
        </w:r>
      </w:hyperlink>
      <w:r w:rsidRPr="00DA2F96">
        <w:rPr>
          <w:rFonts w:ascii="Times New Roman" w:eastAsia="Times New Roman" w:hAnsi="Times New Roman" w:cs="Times New Roman"/>
          <w:color w:val="000000"/>
          <w:sz w:val="25"/>
          <w:szCs w:val="25"/>
        </w:rPr>
        <w:t> of the Act. Such absence has been understood by the Bench to be a manifestation of a clear legislative intention that unlike in a proceeding under </w:t>
      </w:r>
      <w:hyperlink r:id="rId10" w:history="1">
        <w:r w:rsidRPr="00DA2F96">
          <w:rPr>
            <w:rFonts w:ascii="Times New Roman" w:eastAsia="Times New Roman" w:hAnsi="Times New Roman" w:cs="Times New Roman"/>
            <w:color w:val="1100CC"/>
            <w:sz w:val="25"/>
          </w:rPr>
          <w:t>Section 140</w:t>
        </w:r>
      </w:hyperlink>
      <w:r w:rsidRPr="00DA2F96">
        <w:rPr>
          <w:rFonts w:ascii="Times New Roman" w:eastAsia="Times New Roman" w:hAnsi="Times New Roman" w:cs="Times New Roman"/>
          <w:color w:val="000000"/>
          <w:sz w:val="25"/>
          <w:szCs w:val="25"/>
        </w:rPr>
        <w:t xml:space="preserve"> of the Act where the </w:t>
      </w:r>
      <w:proofErr w:type="spellStart"/>
      <w:r w:rsidRPr="00DA2F96">
        <w:rPr>
          <w:rFonts w:ascii="Times New Roman" w:eastAsia="Times New Roman" w:hAnsi="Times New Roman" w:cs="Times New Roman"/>
          <w:color w:val="000000"/>
          <w:sz w:val="25"/>
          <w:szCs w:val="25"/>
        </w:rPr>
        <w:t>defence</w:t>
      </w:r>
      <w:proofErr w:type="spellEnd"/>
      <w:r w:rsidRPr="00DA2F96">
        <w:rPr>
          <w:rFonts w:ascii="Times New Roman" w:eastAsia="Times New Roman" w:hAnsi="Times New Roman" w:cs="Times New Roman"/>
          <w:color w:val="000000"/>
          <w:sz w:val="25"/>
          <w:szCs w:val="25"/>
        </w:rPr>
        <w:t xml:space="preserve"> of the Insurer based on negligence is shut out, the same is not be the position in a proceeding under </w:t>
      </w:r>
      <w:hyperlink r:id="rId11" w:history="1">
        <w:r w:rsidRPr="00DA2F96">
          <w:rPr>
            <w:rFonts w:ascii="Times New Roman" w:eastAsia="Times New Roman" w:hAnsi="Times New Roman" w:cs="Times New Roman"/>
            <w:color w:val="1100CC"/>
            <w:sz w:val="25"/>
          </w:rPr>
          <w:t>Section 163A</w:t>
        </w:r>
      </w:hyperlink>
      <w:r w:rsidRPr="00DA2F96">
        <w:rPr>
          <w:rFonts w:ascii="Times New Roman" w:eastAsia="Times New Roman" w:hAnsi="Times New Roman" w:cs="Times New Roman"/>
          <w:color w:val="000000"/>
          <w:sz w:val="25"/>
          <w:szCs w:val="25"/>
        </w:rPr>
        <w:t> of the Act.</w:t>
      </w:r>
    </w:p>
    <w:p w:rsidR="00DA2F96" w:rsidRPr="00DA2F96" w:rsidRDefault="00DA2F96" w:rsidP="00DA2F96">
      <w:pPr>
        <w:spacing w:before="100" w:beforeAutospacing="1" w:after="100" w:afterAutospacing="1" w:line="240" w:lineRule="auto"/>
        <w:jc w:val="both"/>
        <w:rPr>
          <w:rFonts w:ascii="Times New Roman" w:eastAsia="Times New Roman" w:hAnsi="Times New Roman" w:cs="Times New Roman"/>
          <w:color w:val="000000"/>
          <w:sz w:val="25"/>
          <w:szCs w:val="25"/>
        </w:rPr>
      </w:pPr>
      <w:r w:rsidRPr="00DA2F96">
        <w:rPr>
          <w:rFonts w:ascii="Times New Roman" w:eastAsia="Times New Roman" w:hAnsi="Times New Roman" w:cs="Times New Roman"/>
          <w:color w:val="000000"/>
          <w:sz w:val="25"/>
          <w:szCs w:val="25"/>
        </w:rPr>
        <w:t>4. We have considered the matter and have heard the learned counsels for the parties.</w:t>
      </w:r>
    </w:p>
    <w:p w:rsidR="00DA2F96" w:rsidRPr="00DA2F96" w:rsidRDefault="00DA2F96" w:rsidP="00DA2F96">
      <w:pPr>
        <w:spacing w:before="100" w:beforeAutospacing="1" w:after="100" w:afterAutospacing="1" w:line="240" w:lineRule="auto"/>
        <w:jc w:val="both"/>
        <w:rPr>
          <w:rFonts w:ascii="Times New Roman" w:eastAsia="Times New Roman" w:hAnsi="Times New Roman" w:cs="Times New Roman"/>
          <w:color w:val="000000"/>
          <w:sz w:val="25"/>
          <w:szCs w:val="25"/>
        </w:rPr>
      </w:pPr>
      <w:r w:rsidRPr="00DA2F96">
        <w:rPr>
          <w:rFonts w:ascii="Times New Roman" w:eastAsia="Times New Roman" w:hAnsi="Times New Roman" w:cs="Times New Roman"/>
          <w:color w:val="000000"/>
          <w:sz w:val="25"/>
          <w:szCs w:val="25"/>
        </w:rPr>
        <w:t>5. </w:t>
      </w:r>
      <w:hyperlink r:id="rId12" w:history="1">
        <w:r w:rsidRPr="00DA2F96">
          <w:rPr>
            <w:rFonts w:ascii="Times New Roman" w:eastAsia="Times New Roman" w:hAnsi="Times New Roman" w:cs="Times New Roman"/>
            <w:color w:val="1100CC"/>
            <w:sz w:val="25"/>
          </w:rPr>
          <w:t xml:space="preserve">In </w:t>
        </w:r>
        <w:proofErr w:type="spellStart"/>
        <w:r w:rsidRPr="00DA2F96">
          <w:rPr>
            <w:rFonts w:ascii="Times New Roman" w:eastAsia="Times New Roman" w:hAnsi="Times New Roman" w:cs="Times New Roman"/>
            <w:color w:val="1100CC"/>
            <w:sz w:val="25"/>
          </w:rPr>
          <w:t>Deepal</w:t>
        </w:r>
        <w:proofErr w:type="spellEnd"/>
        <w:r w:rsidRPr="00DA2F96">
          <w:rPr>
            <w:rFonts w:ascii="Times New Roman" w:eastAsia="Times New Roman" w:hAnsi="Times New Roman" w:cs="Times New Roman"/>
            <w:color w:val="1100CC"/>
            <w:sz w:val="25"/>
          </w:rPr>
          <w:t xml:space="preserve"> </w:t>
        </w:r>
        <w:proofErr w:type="spellStart"/>
        <w:r w:rsidRPr="00DA2F96">
          <w:rPr>
            <w:rFonts w:ascii="Times New Roman" w:eastAsia="Times New Roman" w:hAnsi="Times New Roman" w:cs="Times New Roman"/>
            <w:color w:val="1100CC"/>
            <w:sz w:val="25"/>
          </w:rPr>
          <w:t>Girishbhai</w:t>
        </w:r>
        <w:proofErr w:type="spellEnd"/>
        <w:r w:rsidRPr="00DA2F96">
          <w:rPr>
            <w:rFonts w:ascii="Times New Roman" w:eastAsia="Times New Roman" w:hAnsi="Times New Roman" w:cs="Times New Roman"/>
            <w:color w:val="1100CC"/>
            <w:sz w:val="25"/>
          </w:rPr>
          <w:t xml:space="preserve"> </w:t>
        </w:r>
        <w:proofErr w:type="spellStart"/>
        <w:r w:rsidRPr="00DA2F96">
          <w:rPr>
            <w:rFonts w:ascii="Times New Roman" w:eastAsia="Times New Roman" w:hAnsi="Times New Roman" w:cs="Times New Roman"/>
            <w:color w:val="1100CC"/>
            <w:sz w:val="25"/>
          </w:rPr>
          <w:t>Soni</w:t>
        </w:r>
        <w:proofErr w:type="spellEnd"/>
        <w:r w:rsidRPr="00DA2F96">
          <w:rPr>
            <w:rFonts w:ascii="Times New Roman" w:eastAsia="Times New Roman" w:hAnsi="Times New Roman" w:cs="Times New Roman"/>
            <w:color w:val="1100CC"/>
            <w:sz w:val="25"/>
          </w:rPr>
          <w:t xml:space="preserve"> and others vs. United India Insurance Co. Ltd., Baroda3</w:t>
        </w:r>
      </w:hyperlink>
      <w:r w:rsidRPr="00DA2F96">
        <w:rPr>
          <w:rFonts w:ascii="Times New Roman" w:eastAsia="Times New Roman" w:hAnsi="Times New Roman" w:cs="Times New Roman"/>
          <w:color w:val="000000"/>
          <w:sz w:val="25"/>
          <w:szCs w:val="25"/>
        </w:rPr>
        <w:t> the issue before a three judge bench of this Court was with regard to the 3 [(2004) 5 SCC 385] mutual exclusiveness of the provisions of </w:t>
      </w:r>
      <w:hyperlink r:id="rId13" w:history="1">
        <w:r w:rsidRPr="00DA2F96">
          <w:rPr>
            <w:rFonts w:ascii="Times New Roman" w:eastAsia="Times New Roman" w:hAnsi="Times New Roman" w:cs="Times New Roman"/>
            <w:color w:val="1100CC"/>
            <w:sz w:val="25"/>
          </w:rPr>
          <w:t>Section 163A</w:t>
        </w:r>
      </w:hyperlink>
      <w:r w:rsidRPr="00DA2F96">
        <w:rPr>
          <w:rFonts w:ascii="Times New Roman" w:eastAsia="Times New Roman" w:hAnsi="Times New Roman" w:cs="Times New Roman"/>
          <w:color w:val="000000"/>
          <w:sz w:val="25"/>
          <w:szCs w:val="25"/>
        </w:rPr>
        <w:t> and </w:t>
      </w:r>
      <w:hyperlink r:id="rId14" w:history="1">
        <w:r w:rsidRPr="00DA2F96">
          <w:rPr>
            <w:rFonts w:ascii="Times New Roman" w:eastAsia="Times New Roman" w:hAnsi="Times New Roman" w:cs="Times New Roman"/>
            <w:color w:val="1100CC"/>
            <w:sz w:val="25"/>
          </w:rPr>
          <w:t>Section 166</w:t>
        </w:r>
      </w:hyperlink>
      <w:r w:rsidRPr="00DA2F96">
        <w:rPr>
          <w:rFonts w:ascii="Times New Roman" w:eastAsia="Times New Roman" w:hAnsi="Times New Roman" w:cs="Times New Roman"/>
          <w:color w:val="000000"/>
          <w:sz w:val="25"/>
          <w:szCs w:val="25"/>
        </w:rPr>
        <w:t> of the Act. While dealing with the said question, this Court had the occasion to go into the reasons and objects for the incorporation of </w:t>
      </w:r>
      <w:hyperlink r:id="rId15" w:history="1">
        <w:r w:rsidRPr="00DA2F96">
          <w:rPr>
            <w:rFonts w:ascii="Times New Roman" w:eastAsia="Times New Roman" w:hAnsi="Times New Roman" w:cs="Times New Roman"/>
            <w:color w:val="1100CC"/>
            <w:sz w:val="25"/>
          </w:rPr>
          <w:t>Section 140</w:t>
        </w:r>
      </w:hyperlink>
      <w:r w:rsidRPr="00DA2F96">
        <w:rPr>
          <w:rFonts w:ascii="Times New Roman" w:eastAsia="Times New Roman" w:hAnsi="Times New Roman" w:cs="Times New Roman"/>
          <w:color w:val="000000"/>
          <w:sz w:val="25"/>
          <w:szCs w:val="25"/>
        </w:rPr>
        <w:t> and </w:t>
      </w:r>
      <w:hyperlink r:id="rId16" w:history="1">
        <w:r w:rsidRPr="00DA2F96">
          <w:rPr>
            <w:rFonts w:ascii="Times New Roman" w:eastAsia="Times New Roman" w:hAnsi="Times New Roman" w:cs="Times New Roman"/>
            <w:color w:val="1100CC"/>
            <w:sz w:val="25"/>
          </w:rPr>
          <w:t>163A</w:t>
        </w:r>
      </w:hyperlink>
      <w:r w:rsidRPr="00DA2F96">
        <w:rPr>
          <w:rFonts w:ascii="Times New Roman" w:eastAsia="Times New Roman" w:hAnsi="Times New Roman" w:cs="Times New Roman"/>
          <w:color w:val="000000"/>
          <w:sz w:val="25"/>
          <w:szCs w:val="25"/>
        </w:rPr>
        <w:t> of the Act which came in by subsequent amendments, details of which are being noted separately herein below. The Bench also took the view that while </w:t>
      </w:r>
      <w:hyperlink r:id="rId17" w:history="1">
        <w:r w:rsidRPr="00DA2F96">
          <w:rPr>
            <w:rFonts w:ascii="Times New Roman" w:eastAsia="Times New Roman" w:hAnsi="Times New Roman" w:cs="Times New Roman"/>
            <w:color w:val="1100CC"/>
            <w:sz w:val="25"/>
          </w:rPr>
          <w:t>Section 140</w:t>
        </w:r>
      </w:hyperlink>
      <w:r w:rsidRPr="00DA2F96">
        <w:rPr>
          <w:rFonts w:ascii="Times New Roman" w:eastAsia="Times New Roman" w:hAnsi="Times New Roman" w:cs="Times New Roman"/>
          <w:color w:val="000000"/>
          <w:sz w:val="25"/>
          <w:szCs w:val="25"/>
        </w:rPr>
        <w:t> of the Act deals with cases of interim compensation leaving it open for the claimant to agitate for final compensation by resort to the provisions of </w:t>
      </w:r>
      <w:hyperlink r:id="rId18" w:history="1">
        <w:r w:rsidRPr="00DA2F96">
          <w:rPr>
            <w:rFonts w:ascii="Times New Roman" w:eastAsia="Times New Roman" w:hAnsi="Times New Roman" w:cs="Times New Roman"/>
            <w:color w:val="1100CC"/>
            <w:sz w:val="25"/>
          </w:rPr>
          <w:t>Section 166</w:t>
        </w:r>
      </w:hyperlink>
      <w:r w:rsidRPr="00DA2F96">
        <w:rPr>
          <w:rFonts w:ascii="Times New Roman" w:eastAsia="Times New Roman" w:hAnsi="Times New Roman" w:cs="Times New Roman"/>
          <w:color w:val="000000"/>
          <w:sz w:val="25"/>
          <w:szCs w:val="25"/>
        </w:rPr>
        <w:t> of the Act, </w:t>
      </w:r>
      <w:hyperlink r:id="rId19" w:history="1">
        <w:r w:rsidRPr="00DA2F96">
          <w:rPr>
            <w:rFonts w:ascii="Times New Roman" w:eastAsia="Times New Roman" w:hAnsi="Times New Roman" w:cs="Times New Roman"/>
            <w:color w:val="1100CC"/>
            <w:sz w:val="25"/>
          </w:rPr>
          <w:t>Section 163A</w:t>
        </w:r>
      </w:hyperlink>
      <w:r w:rsidRPr="00DA2F96">
        <w:rPr>
          <w:rFonts w:ascii="Times New Roman" w:eastAsia="Times New Roman" w:hAnsi="Times New Roman" w:cs="Times New Roman"/>
          <w:color w:val="000000"/>
          <w:sz w:val="25"/>
          <w:szCs w:val="25"/>
        </w:rPr>
        <w:t> of the Act provides for award of final compensation on a structured formula following the provisions of Second Schedule appended to the Act. Both Sections i.e. </w:t>
      </w:r>
      <w:hyperlink r:id="rId20" w:history="1">
        <w:r w:rsidRPr="00DA2F96">
          <w:rPr>
            <w:rFonts w:ascii="Times New Roman" w:eastAsia="Times New Roman" w:hAnsi="Times New Roman" w:cs="Times New Roman"/>
            <w:color w:val="1100CC"/>
            <w:sz w:val="25"/>
          </w:rPr>
          <w:t>Sections 140</w:t>
        </w:r>
      </w:hyperlink>
      <w:r w:rsidRPr="00DA2F96">
        <w:rPr>
          <w:rFonts w:ascii="Times New Roman" w:eastAsia="Times New Roman" w:hAnsi="Times New Roman" w:cs="Times New Roman"/>
          <w:color w:val="000000"/>
          <w:sz w:val="25"/>
          <w:szCs w:val="25"/>
        </w:rPr>
        <w:t> and </w:t>
      </w:r>
      <w:hyperlink r:id="rId21" w:history="1">
        <w:r w:rsidRPr="00DA2F96">
          <w:rPr>
            <w:rFonts w:ascii="Times New Roman" w:eastAsia="Times New Roman" w:hAnsi="Times New Roman" w:cs="Times New Roman"/>
            <w:color w:val="1100CC"/>
            <w:sz w:val="25"/>
          </w:rPr>
          <w:t>163A</w:t>
        </w:r>
      </w:hyperlink>
      <w:r w:rsidRPr="00DA2F96">
        <w:rPr>
          <w:rFonts w:ascii="Times New Roman" w:eastAsia="Times New Roman" w:hAnsi="Times New Roman" w:cs="Times New Roman"/>
          <w:color w:val="000000"/>
          <w:sz w:val="25"/>
          <w:szCs w:val="25"/>
        </w:rPr>
        <w:t> are based on the concept of 'no fault liability' and have been enacted as measures of social security. It was further noted that in a proceeding under </w:t>
      </w:r>
      <w:hyperlink r:id="rId22" w:history="1">
        <w:r w:rsidRPr="00DA2F96">
          <w:rPr>
            <w:rFonts w:ascii="Times New Roman" w:eastAsia="Times New Roman" w:hAnsi="Times New Roman" w:cs="Times New Roman"/>
            <w:color w:val="1100CC"/>
            <w:sz w:val="25"/>
          </w:rPr>
          <w:t>Section 163A</w:t>
        </w:r>
      </w:hyperlink>
      <w:r w:rsidRPr="00DA2F96">
        <w:rPr>
          <w:rFonts w:ascii="Times New Roman" w:eastAsia="Times New Roman" w:hAnsi="Times New Roman" w:cs="Times New Roman"/>
          <w:color w:val="000000"/>
          <w:sz w:val="25"/>
          <w:szCs w:val="25"/>
        </w:rPr>
        <w:t> of the Act the Tribunal may be required to adjudicate upon various disputed questions like age, income, etc. unlike in a proceeding under </w:t>
      </w:r>
      <w:hyperlink r:id="rId23" w:history="1">
        <w:r w:rsidRPr="00DA2F96">
          <w:rPr>
            <w:rFonts w:ascii="Times New Roman" w:eastAsia="Times New Roman" w:hAnsi="Times New Roman" w:cs="Times New Roman"/>
            <w:color w:val="1100CC"/>
            <w:sz w:val="25"/>
          </w:rPr>
          <w:t>Section 140</w:t>
        </w:r>
      </w:hyperlink>
      <w:r w:rsidRPr="00DA2F96">
        <w:rPr>
          <w:rFonts w:ascii="Times New Roman" w:eastAsia="Times New Roman" w:hAnsi="Times New Roman" w:cs="Times New Roman"/>
          <w:color w:val="000000"/>
          <w:sz w:val="25"/>
          <w:szCs w:val="25"/>
        </w:rPr>
        <w:t> of the Act.</w:t>
      </w:r>
    </w:p>
    <w:p w:rsidR="00DA2F96" w:rsidRPr="00DA2F96" w:rsidRDefault="00DA2F96" w:rsidP="00DA2F96">
      <w:pPr>
        <w:spacing w:before="100" w:beforeAutospacing="1" w:after="100" w:afterAutospacing="1" w:line="240" w:lineRule="auto"/>
        <w:jc w:val="both"/>
        <w:rPr>
          <w:rFonts w:ascii="Times New Roman" w:eastAsia="Times New Roman" w:hAnsi="Times New Roman" w:cs="Times New Roman"/>
          <w:color w:val="000000"/>
          <w:sz w:val="25"/>
          <w:szCs w:val="25"/>
        </w:rPr>
      </w:pPr>
      <w:r w:rsidRPr="00DA2F96">
        <w:rPr>
          <w:rFonts w:ascii="Times New Roman" w:eastAsia="Times New Roman" w:hAnsi="Times New Roman" w:cs="Times New Roman"/>
          <w:color w:val="000000"/>
          <w:sz w:val="25"/>
          <w:szCs w:val="25"/>
        </w:rPr>
        <w:t xml:space="preserve">6. </w:t>
      </w:r>
      <w:proofErr w:type="spellStart"/>
      <w:r w:rsidRPr="00DA2F96">
        <w:rPr>
          <w:rFonts w:ascii="Times New Roman" w:eastAsia="Times New Roman" w:hAnsi="Times New Roman" w:cs="Times New Roman"/>
          <w:color w:val="000000"/>
          <w:sz w:val="25"/>
          <w:szCs w:val="25"/>
        </w:rPr>
        <w:t>Deepal</w:t>
      </w:r>
      <w:proofErr w:type="spellEnd"/>
      <w:r w:rsidRPr="00DA2F96">
        <w:rPr>
          <w:rFonts w:ascii="Times New Roman" w:eastAsia="Times New Roman" w:hAnsi="Times New Roman" w:cs="Times New Roman"/>
          <w:color w:val="000000"/>
          <w:sz w:val="25"/>
          <w:szCs w:val="25"/>
        </w:rPr>
        <w:t xml:space="preserve"> </w:t>
      </w:r>
      <w:proofErr w:type="spellStart"/>
      <w:r w:rsidRPr="00DA2F96">
        <w:rPr>
          <w:rFonts w:ascii="Times New Roman" w:eastAsia="Times New Roman" w:hAnsi="Times New Roman" w:cs="Times New Roman"/>
          <w:color w:val="000000"/>
          <w:sz w:val="25"/>
          <w:szCs w:val="25"/>
        </w:rPr>
        <w:t>Girishbhai</w:t>
      </w:r>
      <w:proofErr w:type="spellEnd"/>
      <w:r w:rsidRPr="00DA2F96">
        <w:rPr>
          <w:rFonts w:ascii="Times New Roman" w:eastAsia="Times New Roman" w:hAnsi="Times New Roman" w:cs="Times New Roman"/>
          <w:color w:val="000000"/>
          <w:sz w:val="25"/>
          <w:szCs w:val="25"/>
        </w:rPr>
        <w:t xml:space="preserve"> </w:t>
      </w:r>
      <w:proofErr w:type="spellStart"/>
      <w:r w:rsidRPr="00DA2F96">
        <w:rPr>
          <w:rFonts w:ascii="Times New Roman" w:eastAsia="Times New Roman" w:hAnsi="Times New Roman" w:cs="Times New Roman"/>
          <w:color w:val="000000"/>
          <w:sz w:val="25"/>
          <w:szCs w:val="25"/>
        </w:rPr>
        <w:t>Soni's</w:t>
      </w:r>
      <w:proofErr w:type="spellEnd"/>
      <w:r w:rsidRPr="00DA2F96">
        <w:rPr>
          <w:rFonts w:ascii="Times New Roman" w:eastAsia="Times New Roman" w:hAnsi="Times New Roman" w:cs="Times New Roman"/>
          <w:color w:val="000000"/>
          <w:sz w:val="25"/>
          <w:szCs w:val="25"/>
        </w:rPr>
        <w:t xml:space="preserve"> case (supra), in fact, arose out of a reference made for a decision on the correctness of the view expressed in </w:t>
      </w:r>
      <w:hyperlink r:id="rId24" w:history="1">
        <w:r w:rsidRPr="00DA2F96">
          <w:rPr>
            <w:rFonts w:ascii="Times New Roman" w:eastAsia="Times New Roman" w:hAnsi="Times New Roman" w:cs="Times New Roman"/>
            <w:color w:val="1100CC"/>
            <w:sz w:val="25"/>
          </w:rPr>
          <w:t xml:space="preserve">Oriental Insurance Co. Ltd. vs. </w:t>
        </w:r>
        <w:proofErr w:type="spellStart"/>
        <w:r w:rsidRPr="00DA2F96">
          <w:rPr>
            <w:rFonts w:ascii="Times New Roman" w:eastAsia="Times New Roman" w:hAnsi="Times New Roman" w:cs="Times New Roman"/>
            <w:color w:val="1100CC"/>
            <w:sz w:val="25"/>
          </w:rPr>
          <w:t>Hansrajbhai</w:t>
        </w:r>
        <w:proofErr w:type="spellEnd"/>
        <w:r w:rsidRPr="00DA2F96">
          <w:rPr>
            <w:rFonts w:ascii="Times New Roman" w:eastAsia="Times New Roman" w:hAnsi="Times New Roman" w:cs="Times New Roman"/>
            <w:color w:val="1100CC"/>
            <w:sz w:val="25"/>
          </w:rPr>
          <w:t xml:space="preserve"> V. </w:t>
        </w:r>
        <w:proofErr w:type="spellStart"/>
        <w:r w:rsidRPr="00DA2F96">
          <w:rPr>
            <w:rFonts w:ascii="Times New Roman" w:eastAsia="Times New Roman" w:hAnsi="Times New Roman" w:cs="Times New Roman"/>
            <w:color w:val="1100CC"/>
            <w:sz w:val="25"/>
          </w:rPr>
          <w:t>Kodala</w:t>
        </w:r>
        <w:proofErr w:type="spellEnd"/>
      </w:hyperlink>
      <w:r w:rsidRPr="00DA2F96">
        <w:rPr>
          <w:rFonts w:ascii="Times New Roman" w:eastAsia="Times New Roman" w:hAnsi="Times New Roman" w:cs="Times New Roman"/>
          <w:color w:val="000000"/>
          <w:sz w:val="25"/>
          <w:szCs w:val="25"/>
        </w:rPr>
        <w:t> and other4 that determination of compensation in a proceeding under </w:t>
      </w:r>
      <w:hyperlink r:id="rId25" w:history="1">
        <w:r w:rsidRPr="00DA2F96">
          <w:rPr>
            <w:rFonts w:ascii="Times New Roman" w:eastAsia="Times New Roman" w:hAnsi="Times New Roman" w:cs="Times New Roman"/>
            <w:color w:val="1100CC"/>
            <w:sz w:val="25"/>
          </w:rPr>
          <w:t>Section 163A</w:t>
        </w:r>
      </w:hyperlink>
      <w:r w:rsidRPr="00DA2F96">
        <w:rPr>
          <w:rFonts w:ascii="Times New Roman" w:eastAsia="Times New Roman" w:hAnsi="Times New Roman" w:cs="Times New Roman"/>
          <w:color w:val="000000"/>
          <w:sz w:val="25"/>
          <w:szCs w:val="25"/>
        </w:rPr>
        <w:t> of the Act is final and further proceedings under </w:t>
      </w:r>
      <w:hyperlink r:id="rId26" w:history="1">
        <w:r w:rsidRPr="00DA2F96">
          <w:rPr>
            <w:rFonts w:ascii="Times New Roman" w:eastAsia="Times New Roman" w:hAnsi="Times New Roman" w:cs="Times New Roman"/>
            <w:color w:val="1100CC"/>
            <w:sz w:val="25"/>
          </w:rPr>
          <w:t>Section 166</w:t>
        </w:r>
      </w:hyperlink>
      <w:r w:rsidRPr="00DA2F96">
        <w:rPr>
          <w:rFonts w:ascii="Times New Roman" w:eastAsia="Times New Roman" w:hAnsi="Times New Roman" w:cs="Times New Roman"/>
          <w:color w:val="000000"/>
          <w:sz w:val="25"/>
          <w:szCs w:val="25"/>
        </w:rPr>
        <w:t xml:space="preserve"> of the Act is barred. The opinion rendered in </w:t>
      </w:r>
      <w:proofErr w:type="spellStart"/>
      <w:r w:rsidRPr="00DA2F96">
        <w:rPr>
          <w:rFonts w:ascii="Times New Roman" w:eastAsia="Times New Roman" w:hAnsi="Times New Roman" w:cs="Times New Roman"/>
          <w:color w:val="000000"/>
          <w:sz w:val="25"/>
          <w:szCs w:val="25"/>
        </w:rPr>
        <w:t>Hansrajbhai</w:t>
      </w:r>
      <w:proofErr w:type="spellEnd"/>
      <w:r w:rsidRPr="00DA2F96">
        <w:rPr>
          <w:rFonts w:ascii="Times New Roman" w:eastAsia="Times New Roman" w:hAnsi="Times New Roman" w:cs="Times New Roman"/>
          <w:color w:val="000000"/>
          <w:sz w:val="25"/>
          <w:szCs w:val="25"/>
        </w:rPr>
        <w:t xml:space="preserve"> V. </w:t>
      </w:r>
      <w:proofErr w:type="spellStart"/>
      <w:r w:rsidRPr="00DA2F96">
        <w:rPr>
          <w:rFonts w:ascii="Times New Roman" w:eastAsia="Times New Roman" w:hAnsi="Times New Roman" w:cs="Times New Roman"/>
          <w:color w:val="000000"/>
          <w:sz w:val="25"/>
          <w:szCs w:val="25"/>
        </w:rPr>
        <w:t>Kodala</w:t>
      </w:r>
      <w:proofErr w:type="spellEnd"/>
      <w:r w:rsidRPr="00DA2F96">
        <w:rPr>
          <w:rFonts w:ascii="Times New Roman" w:eastAsia="Times New Roman" w:hAnsi="Times New Roman" w:cs="Times New Roman"/>
          <w:color w:val="000000"/>
          <w:sz w:val="25"/>
          <w:szCs w:val="25"/>
        </w:rPr>
        <w:t xml:space="preserve"> (supra) contains an elaborate recapitulation of the reasons behind the enactment of Section 92A to 92E of the Old Act (i.e. </w:t>
      </w:r>
      <w:hyperlink r:id="rId27" w:history="1">
        <w:r w:rsidRPr="00DA2F96">
          <w:rPr>
            <w:rFonts w:ascii="Times New Roman" w:eastAsia="Times New Roman" w:hAnsi="Times New Roman" w:cs="Times New Roman"/>
            <w:color w:val="1100CC"/>
            <w:sz w:val="25"/>
          </w:rPr>
          <w:t>Motor Vehicles Act</w:t>
        </w:r>
      </w:hyperlink>
      <w:r w:rsidRPr="00DA2F96">
        <w:rPr>
          <w:rFonts w:ascii="Times New Roman" w:eastAsia="Times New Roman" w:hAnsi="Times New Roman" w:cs="Times New Roman"/>
          <w:color w:val="000000"/>
          <w:sz w:val="25"/>
          <w:szCs w:val="25"/>
        </w:rPr>
        <w:t>, 1939) (corresponding to </w:t>
      </w:r>
      <w:hyperlink r:id="rId28" w:history="1">
        <w:r w:rsidRPr="00DA2F96">
          <w:rPr>
            <w:rFonts w:ascii="Times New Roman" w:eastAsia="Times New Roman" w:hAnsi="Times New Roman" w:cs="Times New Roman"/>
            <w:color w:val="1100CC"/>
            <w:sz w:val="25"/>
          </w:rPr>
          <w:t>Sections 140</w:t>
        </w:r>
      </w:hyperlink>
      <w:r w:rsidRPr="00DA2F96">
        <w:rPr>
          <w:rFonts w:ascii="Times New Roman" w:eastAsia="Times New Roman" w:hAnsi="Times New Roman" w:cs="Times New Roman"/>
          <w:color w:val="000000"/>
          <w:sz w:val="25"/>
          <w:szCs w:val="25"/>
        </w:rPr>
        <w:t> to </w:t>
      </w:r>
      <w:hyperlink r:id="rId29" w:history="1">
        <w:r w:rsidRPr="00DA2F96">
          <w:rPr>
            <w:rFonts w:ascii="Times New Roman" w:eastAsia="Times New Roman" w:hAnsi="Times New Roman" w:cs="Times New Roman"/>
            <w:color w:val="1100CC"/>
            <w:sz w:val="25"/>
          </w:rPr>
          <w:t>144</w:t>
        </w:r>
      </w:hyperlink>
      <w:r w:rsidRPr="00DA2F96">
        <w:rPr>
          <w:rFonts w:ascii="Times New Roman" w:eastAsia="Times New Roman" w:hAnsi="Times New Roman" w:cs="Times New Roman"/>
          <w:color w:val="000000"/>
          <w:sz w:val="25"/>
          <w:szCs w:val="25"/>
        </w:rPr>
        <w:t xml:space="preserve"> of the present Act) introducing for the first time the concept of 'no fault liability' 4 [(2001) 5 SCC 175 in departure from the usual common law principle that a claimant should establish negligence on the part of the owner or driver of the motor vehicle before claiming any compensation for death or permanent disablement caused on account of a motor vehicle accident. In the </w:t>
      </w:r>
      <w:proofErr w:type="spellStart"/>
      <w:r w:rsidRPr="00DA2F96">
        <w:rPr>
          <w:rFonts w:ascii="Times New Roman" w:eastAsia="Times New Roman" w:hAnsi="Times New Roman" w:cs="Times New Roman"/>
          <w:color w:val="000000"/>
          <w:sz w:val="25"/>
          <w:szCs w:val="25"/>
        </w:rPr>
        <w:t>said</w:t>
      </w:r>
      <w:proofErr w:type="spellEnd"/>
      <w:r w:rsidRPr="00DA2F96">
        <w:rPr>
          <w:rFonts w:ascii="Times New Roman" w:eastAsia="Times New Roman" w:hAnsi="Times New Roman" w:cs="Times New Roman"/>
          <w:color w:val="000000"/>
          <w:sz w:val="25"/>
          <w:szCs w:val="25"/>
        </w:rPr>
        <w:t xml:space="preserve"> report, there is a reference to the deliberations of the Committee constituted to review the provisions of the </w:t>
      </w:r>
      <w:hyperlink r:id="rId30" w:history="1">
        <w:r w:rsidRPr="00DA2F96">
          <w:rPr>
            <w:rFonts w:ascii="Times New Roman" w:eastAsia="Times New Roman" w:hAnsi="Times New Roman" w:cs="Times New Roman"/>
            <w:color w:val="1100CC"/>
            <w:sz w:val="25"/>
          </w:rPr>
          <w:t>Motor Vehicles Act</w:t>
        </w:r>
      </w:hyperlink>
      <w:r w:rsidRPr="00DA2F96">
        <w:rPr>
          <w:rFonts w:ascii="Times New Roman" w:eastAsia="Times New Roman" w:hAnsi="Times New Roman" w:cs="Times New Roman"/>
          <w:color w:val="000000"/>
          <w:sz w:val="25"/>
          <w:szCs w:val="25"/>
        </w:rPr>
        <w:t>, 1988 and the suggestions of the Transport Development Council on the basis of which the draft Bill of 1994 was enacted, inter alia, to provide for:</w:t>
      </w:r>
    </w:p>
    <w:p w:rsidR="00DA2F96" w:rsidRPr="00DA2F96" w:rsidRDefault="00DA2F96" w:rsidP="00DA2F96">
      <w:pPr>
        <w:spacing w:after="100" w:line="240" w:lineRule="auto"/>
        <w:jc w:val="both"/>
        <w:rPr>
          <w:rFonts w:ascii="Times New Roman" w:eastAsia="Times New Roman" w:hAnsi="Times New Roman" w:cs="Times New Roman"/>
          <w:color w:val="000000"/>
          <w:sz w:val="25"/>
          <w:szCs w:val="25"/>
        </w:rPr>
      </w:pPr>
      <w:r w:rsidRPr="00DA2F96">
        <w:rPr>
          <w:rFonts w:ascii="Times New Roman" w:eastAsia="Times New Roman" w:hAnsi="Times New Roman" w:cs="Times New Roman"/>
          <w:color w:val="000000"/>
          <w:sz w:val="25"/>
          <w:szCs w:val="25"/>
        </w:rPr>
        <w:t xml:space="preserve">“(h) </w:t>
      </w:r>
      <w:proofErr w:type="gramStart"/>
      <w:r w:rsidRPr="00DA2F96">
        <w:rPr>
          <w:rFonts w:ascii="Times New Roman" w:eastAsia="Times New Roman" w:hAnsi="Times New Roman" w:cs="Times New Roman"/>
          <w:color w:val="000000"/>
          <w:sz w:val="25"/>
          <w:szCs w:val="25"/>
        </w:rPr>
        <w:t>increase</w:t>
      </w:r>
      <w:proofErr w:type="gramEnd"/>
      <w:r w:rsidRPr="00DA2F96">
        <w:rPr>
          <w:rFonts w:ascii="Times New Roman" w:eastAsia="Times New Roman" w:hAnsi="Times New Roman" w:cs="Times New Roman"/>
          <w:color w:val="000000"/>
          <w:sz w:val="25"/>
          <w:szCs w:val="25"/>
        </w:rPr>
        <w:t xml:space="preserve"> in the amount of compensation to the victims of hit-and-run cases;</w:t>
      </w:r>
    </w:p>
    <w:p w:rsidR="00DA2F96" w:rsidRPr="00DA2F96" w:rsidRDefault="00DA2F96" w:rsidP="00DA2F96">
      <w:pPr>
        <w:spacing w:after="100" w:line="240" w:lineRule="auto"/>
        <w:jc w:val="both"/>
        <w:rPr>
          <w:rFonts w:ascii="Times New Roman" w:eastAsia="Times New Roman" w:hAnsi="Times New Roman" w:cs="Times New Roman"/>
          <w:color w:val="000000"/>
          <w:sz w:val="25"/>
          <w:szCs w:val="25"/>
        </w:rPr>
      </w:pPr>
      <w:r w:rsidRPr="00DA2F96">
        <w:rPr>
          <w:rFonts w:ascii="Times New Roman" w:eastAsia="Times New Roman" w:hAnsi="Times New Roman" w:cs="Times New Roman"/>
          <w:color w:val="000000"/>
          <w:sz w:val="25"/>
          <w:szCs w:val="25"/>
        </w:rPr>
        <w:t xml:space="preserve">(k) </w:t>
      </w:r>
      <w:proofErr w:type="gramStart"/>
      <w:r w:rsidRPr="00DA2F96">
        <w:rPr>
          <w:rFonts w:ascii="Times New Roman" w:eastAsia="Times New Roman" w:hAnsi="Times New Roman" w:cs="Times New Roman"/>
          <w:color w:val="000000"/>
          <w:sz w:val="25"/>
          <w:szCs w:val="25"/>
        </w:rPr>
        <w:t>a</w:t>
      </w:r>
      <w:proofErr w:type="gramEnd"/>
      <w:r w:rsidRPr="00DA2F96">
        <w:rPr>
          <w:rFonts w:ascii="Times New Roman" w:eastAsia="Times New Roman" w:hAnsi="Times New Roman" w:cs="Times New Roman"/>
          <w:color w:val="000000"/>
          <w:sz w:val="25"/>
          <w:szCs w:val="25"/>
        </w:rPr>
        <w:t xml:space="preserve"> new predetermined formula for payment of compensation to road accident victims on the basis of age/income, which is more liberal and rational.”</w:t>
      </w:r>
    </w:p>
    <w:p w:rsidR="00DA2F96" w:rsidRPr="00DA2F96" w:rsidRDefault="00DA2F96" w:rsidP="00DA2F96">
      <w:pPr>
        <w:spacing w:before="100" w:beforeAutospacing="1" w:after="100" w:afterAutospacing="1" w:line="240" w:lineRule="auto"/>
        <w:jc w:val="both"/>
        <w:rPr>
          <w:rFonts w:ascii="Times New Roman" w:eastAsia="Times New Roman" w:hAnsi="Times New Roman" w:cs="Times New Roman"/>
          <w:color w:val="000000"/>
          <w:sz w:val="25"/>
          <w:szCs w:val="25"/>
        </w:rPr>
      </w:pPr>
      <w:r w:rsidRPr="00DA2F96">
        <w:rPr>
          <w:rFonts w:ascii="Times New Roman" w:eastAsia="Times New Roman" w:hAnsi="Times New Roman" w:cs="Times New Roman"/>
          <w:color w:val="000000"/>
          <w:sz w:val="25"/>
          <w:szCs w:val="25"/>
        </w:rPr>
        <w:t xml:space="preserve">7. As observed in </w:t>
      </w:r>
      <w:proofErr w:type="spellStart"/>
      <w:r w:rsidRPr="00DA2F96">
        <w:rPr>
          <w:rFonts w:ascii="Times New Roman" w:eastAsia="Times New Roman" w:hAnsi="Times New Roman" w:cs="Times New Roman"/>
          <w:color w:val="000000"/>
          <w:sz w:val="25"/>
          <w:szCs w:val="25"/>
        </w:rPr>
        <w:t>Hansrajbhai</w:t>
      </w:r>
      <w:proofErr w:type="spellEnd"/>
      <w:r w:rsidRPr="00DA2F96">
        <w:rPr>
          <w:rFonts w:ascii="Times New Roman" w:eastAsia="Times New Roman" w:hAnsi="Times New Roman" w:cs="Times New Roman"/>
          <w:color w:val="000000"/>
          <w:sz w:val="25"/>
          <w:szCs w:val="25"/>
        </w:rPr>
        <w:t xml:space="preserve"> V. </w:t>
      </w:r>
      <w:proofErr w:type="spellStart"/>
      <w:r w:rsidRPr="00DA2F96">
        <w:rPr>
          <w:rFonts w:ascii="Times New Roman" w:eastAsia="Times New Roman" w:hAnsi="Times New Roman" w:cs="Times New Roman"/>
          <w:color w:val="000000"/>
          <w:sz w:val="25"/>
          <w:szCs w:val="25"/>
        </w:rPr>
        <w:t>Kodala</w:t>
      </w:r>
      <w:proofErr w:type="spellEnd"/>
      <w:r w:rsidRPr="00DA2F96">
        <w:rPr>
          <w:rFonts w:ascii="Times New Roman" w:eastAsia="Times New Roman" w:hAnsi="Times New Roman" w:cs="Times New Roman"/>
          <w:color w:val="000000"/>
          <w:sz w:val="25"/>
          <w:szCs w:val="25"/>
        </w:rPr>
        <w:t xml:space="preserve"> (supra) one of the suggestions made by the Transport Development Council was “to provide adequate compensation to victims of road accidents without going into long drawn procedure.” As a sequel to the recommendations made by the Committee and the Council, </w:t>
      </w:r>
      <w:hyperlink r:id="rId31" w:history="1">
        <w:r w:rsidRPr="00DA2F96">
          <w:rPr>
            <w:rFonts w:ascii="Times New Roman" w:eastAsia="Times New Roman" w:hAnsi="Times New Roman" w:cs="Times New Roman"/>
            <w:color w:val="1100CC"/>
            <w:sz w:val="25"/>
          </w:rPr>
          <w:t>Section 140</w:t>
        </w:r>
      </w:hyperlink>
      <w:r w:rsidRPr="00DA2F96">
        <w:rPr>
          <w:rFonts w:ascii="Times New Roman" w:eastAsia="Times New Roman" w:hAnsi="Times New Roman" w:cs="Times New Roman"/>
          <w:color w:val="000000"/>
          <w:sz w:val="25"/>
          <w:szCs w:val="25"/>
        </w:rPr>
        <w:t xml:space="preserve"> was enacted in the present Act in place of Section 92A to 92E of the Old Act. Compensation payable </w:t>
      </w:r>
      <w:proofErr w:type="spellStart"/>
      <w:r w:rsidRPr="00DA2F96">
        <w:rPr>
          <w:rFonts w:ascii="Times New Roman" w:eastAsia="Times New Roman" w:hAnsi="Times New Roman" w:cs="Times New Roman"/>
          <w:color w:val="000000"/>
          <w:sz w:val="25"/>
          <w:szCs w:val="25"/>
        </w:rPr>
        <w:t>thereunder</w:t>
      </w:r>
      <w:proofErr w:type="spellEnd"/>
      <w:r w:rsidRPr="00DA2F96">
        <w:rPr>
          <w:rFonts w:ascii="Times New Roman" w:eastAsia="Times New Roman" w:hAnsi="Times New Roman" w:cs="Times New Roman"/>
          <w:color w:val="000000"/>
          <w:sz w:val="25"/>
          <w:szCs w:val="25"/>
        </w:rPr>
        <w:t>, as under the repealed provisions, continued to be on the basis of no fault liability though at an enhanced rate which was further enhanced by subsequent amendments. </w:t>
      </w:r>
      <w:hyperlink r:id="rId32" w:history="1">
        <w:r w:rsidRPr="00DA2F96">
          <w:rPr>
            <w:rFonts w:ascii="Times New Roman" w:eastAsia="Times New Roman" w:hAnsi="Times New Roman" w:cs="Times New Roman"/>
            <w:color w:val="1100CC"/>
            <w:sz w:val="25"/>
          </w:rPr>
          <w:t>Sections 140</w:t>
        </w:r>
      </w:hyperlink>
      <w:r w:rsidRPr="00DA2F96">
        <w:rPr>
          <w:rFonts w:ascii="Times New Roman" w:eastAsia="Times New Roman" w:hAnsi="Times New Roman" w:cs="Times New Roman"/>
          <w:color w:val="000000"/>
          <w:sz w:val="25"/>
          <w:szCs w:val="25"/>
        </w:rPr>
        <w:t> and </w:t>
      </w:r>
      <w:hyperlink r:id="rId33" w:history="1">
        <w:r w:rsidRPr="00DA2F96">
          <w:rPr>
            <w:rFonts w:ascii="Times New Roman" w:eastAsia="Times New Roman" w:hAnsi="Times New Roman" w:cs="Times New Roman"/>
            <w:color w:val="1100CC"/>
            <w:sz w:val="25"/>
          </w:rPr>
          <w:t>141</w:t>
        </w:r>
      </w:hyperlink>
      <w:r w:rsidRPr="00DA2F96">
        <w:rPr>
          <w:rFonts w:ascii="Times New Roman" w:eastAsia="Times New Roman" w:hAnsi="Times New Roman" w:cs="Times New Roman"/>
          <w:color w:val="000000"/>
          <w:sz w:val="25"/>
          <w:szCs w:val="25"/>
        </w:rPr>
        <w:t xml:space="preserve"> of the present Act makes it clear that compensation payable </w:t>
      </w:r>
      <w:proofErr w:type="spellStart"/>
      <w:r w:rsidRPr="00DA2F96">
        <w:rPr>
          <w:rFonts w:ascii="Times New Roman" w:eastAsia="Times New Roman" w:hAnsi="Times New Roman" w:cs="Times New Roman"/>
          <w:color w:val="000000"/>
          <w:sz w:val="25"/>
          <w:szCs w:val="25"/>
        </w:rPr>
        <w:t>thereunder</w:t>
      </w:r>
      <w:proofErr w:type="spellEnd"/>
      <w:r w:rsidRPr="00DA2F96">
        <w:rPr>
          <w:rFonts w:ascii="Times New Roman" w:eastAsia="Times New Roman" w:hAnsi="Times New Roman" w:cs="Times New Roman"/>
          <w:color w:val="000000"/>
          <w:sz w:val="25"/>
          <w:szCs w:val="25"/>
        </w:rPr>
        <w:t xml:space="preserve"> does not foreclose the liability to pay or the right to receive compensation under any other provision of the Act or any other law in force except compensation awarded under </w:t>
      </w:r>
      <w:hyperlink r:id="rId34" w:history="1">
        <w:r w:rsidRPr="00DA2F96">
          <w:rPr>
            <w:rFonts w:ascii="Times New Roman" w:eastAsia="Times New Roman" w:hAnsi="Times New Roman" w:cs="Times New Roman"/>
            <w:color w:val="1100CC"/>
            <w:sz w:val="25"/>
          </w:rPr>
          <w:t>Section 163A</w:t>
        </w:r>
      </w:hyperlink>
      <w:r w:rsidRPr="00DA2F96">
        <w:rPr>
          <w:rFonts w:ascii="Times New Roman" w:eastAsia="Times New Roman" w:hAnsi="Times New Roman" w:cs="Times New Roman"/>
          <w:color w:val="000000"/>
          <w:sz w:val="25"/>
          <w:szCs w:val="25"/>
        </w:rPr>
        <w:t> of the Act. Compensation under </w:t>
      </w:r>
      <w:hyperlink r:id="rId35" w:history="1">
        <w:r w:rsidRPr="00DA2F96">
          <w:rPr>
            <w:rFonts w:ascii="Times New Roman" w:eastAsia="Times New Roman" w:hAnsi="Times New Roman" w:cs="Times New Roman"/>
            <w:color w:val="1100CC"/>
            <w:sz w:val="25"/>
          </w:rPr>
          <w:t>Section 140</w:t>
        </w:r>
      </w:hyperlink>
      <w:r w:rsidRPr="00DA2F96">
        <w:rPr>
          <w:rFonts w:ascii="Times New Roman" w:eastAsia="Times New Roman" w:hAnsi="Times New Roman" w:cs="Times New Roman"/>
          <w:color w:val="000000"/>
          <w:sz w:val="25"/>
          <w:szCs w:val="25"/>
        </w:rPr>
        <w:t> of the Act was thus understood to be in the nature of an interim payment pending the final award under </w:t>
      </w:r>
      <w:hyperlink r:id="rId36" w:history="1">
        <w:r w:rsidRPr="00DA2F96">
          <w:rPr>
            <w:rFonts w:ascii="Times New Roman" w:eastAsia="Times New Roman" w:hAnsi="Times New Roman" w:cs="Times New Roman"/>
            <w:color w:val="1100CC"/>
            <w:sz w:val="25"/>
          </w:rPr>
          <w:t>Section 166</w:t>
        </w:r>
      </w:hyperlink>
      <w:r w:rsidRPr="00DA2F96">
        <w:rPr>
          <w:rFonts w:ascii="Times New Roman" w:eastAsia="Times New Roman" w:hAnsi="Times New Roman" w:cs="Times New Roman"/>
          <w:color w:val="000000"/>
          <w:sz w:val="25"/>
          <w:szCs w:val="25"/>
        </w:rPr>
        <w:t> of the Act. </w:t>
      </w:r>
      <w:hyperlink r:id="rId37" w:history="1">
        <w:r w:rsidRPr="00DA2F96">
          <w:rPr>
            <w:rFonts w:ascii="Times New Roman" w:eastAsia="Times New Roman" w:hAnsi="Times New Roman" w:cs="Times New Roman"/>
            <w:color w:val="1100CC"/>
            <w:sz w:val="25"/>
          </w:rPr>
          <w:t>Section 163-A</w:t>
        </w:r>
      </w:hyperlink>
      <w:r w:rsidRPr="00DA2F96">
        <w:rPr>
          <w:rFonts w:ascii="Times New Roman" w:eastAsia="Times New Roman" w:hAnsi="Times New Roman" w:cs="Times New Roman"/>
          <w:color w:val="000000"/>
          <w:sz w:val="25"/>
          <w:szCs w:val="25"/>
        </w:rPr>
        <w:t>, on the other hand, was introduced in the New Act for the first time to remedy the situation where determination of final compensation on fault basis under </w:t>
      </w:r>
      <w:hyperlink r:id="rId38" w:history="1">
        <w:r w:rsidRPr="00DA2F96">
          <w:rPr>
            <w:rFonts w:ascii="Times New Roman" w:eastAsia="Times New Roman" w:hAnsi="Times New Roman" w:cs="Times New Roman"/>
            <w:color w:val="1100CC"/>
            <w:sz w:val="25"/>
          </w:rPr>
          <w:t>Section 166</w:t>
        </w:r>
      </w:hyperlink>
      <w:r w:rsidRPr="00DA2F96">
        <w:rPr>
          <w:rFonts w:ascii="Times New Roman" w:eastAsia="Times New Roman" w:hAnsi="Times New Roman" w:cs="Times New Roman"/>
          <w:color w:val="000000"/>
          <w:sz w:val="25"/>
          <w:szCs w:val="25"/>
        </w:rPr>
        <w:t> of the Act was progressively getting protracted. The Legislative intent and purpose was to provide for payment of final compensation to a class of claimants (whose income was below Rs.40</w:t>
      </w:r>
      <w:proofErr w:type="gramStart"/>
      <w:r w:rsidRPr="00DA2F96">
        <w:rPr>
          <w:rFonts w:ascii="Times New Roman" w:eastAsia="Times New Roman" w:hAnsi="Times New Roman" w:cs="Times New Roman"/>
          <w:color w:val="000000"/>
          <w:sz w:val="25"/>
          <w:szCs w:val="25"/>
        </w:rPr>
        <w:t>,000</w:t>
      </w:r>
      <w:proofErr w:type="gramEnd"/>
      <w:r w:rsidRPr="00DA2F96">
        <w:rPr>
          <w:rFonts w:ascii="Times New Roman" w:eastAsia="Times New Roman" w:hAnsi="Times New Roman" w:cs="Times New Roman"/>
          <w:color w:val="000000"/>
          <w:sz w:val="25"/>
          <w:szCs w:val="25"/>
        </w:rPr>
        <w:t xml:space="preserve">/- per annum) on the basis of a structured formula without any reference to fault liability. In fact, in </w:t>
      </w:r>
      <w:proofErr w:type="spellStart"/>
      <w:r w:rsidRPr="00DA2F96">
        <w:rPr>
          <w:rFonts w:ascii="Times New Roman" w:eastAsia="Times New Roman" w:hAnsi="Times New Roman" w:cs="Times New Roman"/>
          <w:color w:val="000000"/>
          <w:sz w:val="25"/>
          <w:szCs w:val="25"/>
        </w:rPr>
        <w:t>Hansrajbhai</w:t>
      </w:r>
      <w:proofErr w:type="spellEnd"/>
      <w:r w:rsidRPr="00DA2F96">
        <w:rPr>
          <w:rFonts w:ascii="Times New Roman" w:eastAsia="Times New Roman" w:hAnsi="Times New Roman" w:cs="Times New Roman"/>
          <w:color w:val="000000"/>
          <w:sz w:val="25"/>
          <w:szCs w:val="25"/>
        </w:rPr>
        <w:t xml:space="preserve"> V. </w:t>
      </w:r>
      <w:proofErr w:type="spellStart"/>
      <w:r w:rsidRPr="00DA2F96">
        <w:rPr>
          <w:rFonts w:ascii="Times New Roman" w:eastAsia="Times New Roman" w:hAnsi="Times New Roman" w:cs="Times New Roman"/>
          <w:color w:val="000000"/>
          <w:sz w:val="25"/>
          <w:szCs w:val="25"/>
        </w:rPr>
        <w:t>Kodala</w:t>
      </w:r>
      <w:proofErr w:type="spellEnd"/>
      <w:r w:rsidRPr="00DA2F96">
        <w:rPr>
          <w:rFonts w:ascii="Times New Roman" w:eastAsia="Times New Roman" w:hAnsi="Times New Roman" w:cs="Times New Roman"/>
          <w:color w:val="000000"/>
          <w:sz w:val="25"/>
          <w:szCs w:val="25"/>
        </w:rPr>
        <w:t xml:space="preserve"> (supra) the bench had occasion to observe that:</w:t>
      </w:r>
    </w:p>
    <w:p w:rsidR="00DA2F96" w:rsidRPr="00DA2F96" w:rsidRDefault="00DA2F96" w:rsidP="00DA2F96">
      <w:pPr>
        <w:spacing w:after="100" w:line="240" w:lineRule="auto"/>
        <w:jc w:val="both"/>
        <w:rPr>
          <w:rFonts w:ascii="Times New Roman" w:eastAsia="Times New Roman" w:hAnsi="Times New Roman" w:cs="Times New Roman"/>
          <w:color w:val="000000"/>
          <w:sz w:val="25"/>
          <w:szCs w:val="25"/>
        </w:rPr>
      </w:pPr>
      <w:r w:rsidRPr="00DA2F96">
        <w:rPr>
          <w:rFonts w:ascii="Times New Roman" w:eastAsia="Times New Roman" w:hAnsi="Times New Roman" w:cs="Times New Roman"/>
          <w:color w:val="000000"/>
          <w:sz w:val="25"/>
          <w:szCs w:val="25"/>
        </w:rPr>
        <w:t xml:space="preserve">“Compensation amount is paid without pleading or proof of fault, on the principle of social justice as a social security measure because of ever-increasing motor vehicle </w:t>
      </w:r>
      <w:proofErr w:type="spellStart"/>
      <w:r w:rsidRPr="00DA2F96">
        <w:rPr>
          <w:rFonts w:ascii="Times New Roman" w:eastAsia="Times New Roman" w:hAnsi="Times New Roman" w:cs="Times New Roman"/>
          <w:color w:val="000000"/>
          <w:sz w:val="25"/>
          <w:szCs w:val="25"/>
        </w:rPr>
        <w:t>acci</w:t>
      </w:r>
      <w:proofErr w:type="spellEnd"/>
      <w:r w:rsidRPr="00DA2F96">
        <w:rPr>
          <w:rFonts w:ascii="Times New Roman" w:eastAsia="Times New Roman" w:hAnsi="Times New Roman" w:cs="Times New Roman"/>
          <w:color w:val="000000"/>
          <w:sz w:val="25"/>
          <w:szCs w:val="25"/>
        </w:rPr>
        <w:t xml:space="preserve">- dents in a fast-moving society. Further, the law before insertion of Section 163-A was giving limited benefit to the extent provided un- </w:t>
      </w:r>
      <w:proofErr w:type="spellStart"/>
      <w:r w:rsidRPr="00DA2F96">
        <w:rPr>
          <w:rFonts w:ascii="Times New Roman" w:eastAsia="Times New Roman" w:hAnsi="Times New Roman" w:cs="Times New Roman"/>
          <w:color w:val="000000"/>
          <w:sz w:val="25"/>
          <w:szCs w:val="25"/>
        </w:rPr>
        <w:t>der</w:t>
      </w:r>
      <w:proofErr w:type="spellEnd"/>
      <w:r w:rsidRPr="00DA2F96">
        <w:rPr>
          <w:rFonts w:ascii="Times New Roman" w:eastAsia="Times New Roman" w:hAnsi="Times New Roman" w:cs="Times New Roman"/>
          <w:color w:val="000000"/>
          <w:sz w:val="25"/>
          <w:szCs w:val="25"/>
        </w:rPr>
        <w:t xml:space="preserve"> Section 140 for no-fault </w:t>
      </w:r>
      <w:proofErr w:type="spellStart"/>
      <w:r w:rsidRPr="00DA2F96">
        <w:rPr>
          <w:rFonts w:ascii="Times New Roman" w:eastAsia="Times New Roman" w:hAnsi="Times New Roman" w:cs="Times New Roman"/>
          <w:color w:val="000000"/>
          <w:sz w:val="25"/>
          <w:szCs w:val="25"/>
        </w:rPr>
        <w:t>lia</w:t>
      </w:r>
      <w:proofErr w:type="spellEnd"/>
      <w:r w:rsidRPr="00DA2F96">
        <w:rPr>
          <w:rFonts w:ascii="Times New Roman" w:eastAsia="Times New Roman" w:hAnsi="Times New Roman" w:cs="Times New Roman"/>
          <w:color w:val="000000"/>
          <w:sz w:val="25"/>
          <w:szCs w:val="25"/>
        </w:rPr>
        <w:t xml:space="preserve">- </w:t>
      </w:r>
      <w:proofErr w:type="spellStart"/>
      <w:r w:rsidRPr="00DA2F96">
        <w:rPr>
          <w:rFonts w:ascii="Times New Roman" w:eastAsia="Times New Roman" w:hAnsi="Times New Roman" w:cs="Times New Roman"/>
          <w:color w:val="000000"/>
          <w:sz w:val="25"/>
          <w:szCs w:val="25"/>
        </w:rPr>
        <w:t>bility</w:t>
      </w:r>
      <w:proofErr w:type="spellEnd"/>
      <w:r w:rsidRPr="00DA2F96">
        <w:rPr>
          <w:rFonts w:ascii="Times New Roman" w:eastAsia="Times New Roman" w:hAnsi="Times New Roman" w:cs="Times New Roman"/>
          <w:color w:val="000000"/>
          <w:sz w:val="25"/>
          <w:szCs w:val="25"/>
        </w:rPr>
        <w:t xml:space="preserve"> and determination of </w:t>
      </w:r>
      <w:proofErr w:type="spellStart"/>
      <w:r w:rsidRPr="00DA2F96">
        <w:rPr>
          <w:rFonts w:ascii="Times New Roman" w:eastAsia="Times New Roman" w:hAnsi="Times New Roman" w:cs="Times New Roman"/>
          <w:color w:val="000000"/>
          <w:sz w:val="25"/>
          <w:szCs w:val="25"/>
        </w:rPr>
        <w:t>compen</w:t>
      </w:r>
      <w:proofErr w:type="spellEnd"/>
      <w:r w:rsidRPr="00DA2F96">
        <w:rPr>
          <w:rFonts w:ascii="Times New Roman" w:eastAsia="Times New Roman" w:hAnsi="Times New Roman" w:cs="Times New Roman"/>
          <w:color w:val="000000"/>
          <w:sz w:val="25"/>
          <w:szCs w:val="25"/>
        </w:rPr>
        <w:t xml:space="preserve">- </w:t>
      </w:r>
      <w:proofErr w:type="spellStart"/>
      <w:r w:rsidRPr="00DA2F96">
        <w:rPr>
          <w:rFonts w:ascii="Times New Roman" w:eastAsia="Times New Roman" w:hAnsi="Times New Roman" w:cs="Times New Roman"/>
          <w:color w:val="000000"/>
          <w:sz w:val="25"/>
          <w:szCs w:val="25"/>
        </w:rPr>
        <w:t>sation</w:t>
      </w:r>
      <w:proofErr w:type="spellEnd"/>
      <w:r w:rsidRPr="00DA2F96">
        <w:rPr>
          <w:rFonts w:ascii="Times New Roman" w:eastAsia="Times New Roman" w:hAnsi="Times New Roman" w:cs="Times New Roman"/>
          <w:color w:val="000000"/>
          <w:sz w:val="25"/>
          <w:szCs w:val="25"/>
        </w:rPr>
        <w:t xml:space="preserve"> amount on fault liability was taking a long time. That </w:t>
      </w:r>
      <w:proofErr w:type="spellStart"/>
      <w:r w:rsidRPr="00DA2F96">
        <w:rPr>
          <w:rFonts w:ascii="Times New Roman" w:eastAsia="Times New Roman" w:hAnsi="Times New Roman" w:cs="Times New Roman"/>
          <w:color w:val="000000"/>
          <w:sz w:val="25"/>
          <w:szCs w:val="25"/>
        </w:rPr>
        <w:t>mis</w:t>
      </w:r>
      <w:proofErr w:type="spellEnd"/>
      <w:r w:rsidRPr="00DA2F96">
        <w:rPr>
          <w:rFonts w:ascii="Times New Roman" w:eastAsia="Times New Roman" w:hAnsi="Times New Roman" w:cs="Times New Roman"/>
          <w:color w:val="000000"/>
          <w:sz w:val="25"/>
          <w:szCs w:val="25"/>
        </w:rPr>
        <w:t xml:space="preserve">- chief is sought to be remedied by introducing Section 163-A and the disease of delay is sought to be cured to a large extent by afford- </w:t>
      </w:r>
      <w:proofErr w:type="spellStart"/>
      <w:r w:rsidRPr="00DA2F96">
        <w:rPr>
          <w:rFonts w:ascii="Times New Roman" w:eastAsia="Times New Roman" w:hAnsi="Times New Roman" w:cs="Times New Roman"/>
          <w:color w:val="000000"/>
          <w:sz w:val="25"/>
          <w:szCs w:val="25"/>
        </w:rPr>
        <w:t>ing</w:t>
      </w:r>
      <w:proofErr w:type="spellEnd"/>
      <w:r w:rsidRPr="00DA2F96">
        <w:rPr>
          <w:rFonts w:ascii="Times New Roman" w:eastAsia="Times New Roman" w:hAnsi="Times New Roman" w:cs="Times New Roman"/>
          <w:color w:val="000000"/>
          <w:sz w:val="25"/>
          <w:szCs w:val="25"/>
        </w:rPr>
        <w:t xml:space="preserve"> benefit to the victims on structured-formula basis. Further, if the question of determining com- </w:t>
      </w:r>
      <w:proofErr w:type="spellStart"/>
      <w:r w:rsidRPr="00DA2F96">
        <w:rPr>
          <w:rFonts w:ascii="Times New Roman" w:eastAsia="Times New Roman" w:hAnsi="Times New Roman" w:cs="Times New Roman"/>
          <w:color w:val="000000"/>
          <w:sz w:val="25"/>
          <w:szCs w:val="25"/>
        </w:rPr>
        <w:t>pensation</w:t>
      </w:r>
      <w:proofErr w:type="spellEnd"/>
      <w:r w:rsidRPr="00DA2F96">
        <w:rPr>
          <w:rFonts w:ascii="Times New Roman" w:eastAsia="Times New Roman" w:hAnsi="Times New Roman" w:cs="Times New Roman"/>
          <w:color w:val="000000"/>
          <w:sz w:val="25"/>
          <w:szCs w:val="25"/>
        </w:rPr>
        <w:t xml:space="preserve"> on fault liability is kept alive it would result in </w:t>
      </w:r>
      <w:proofErr w:type="spellStart"/>
      <w:r w:rsidRPr="00DA2F96">
        <w:rPr>
          <w:rFonts w:ascii="Times New Roman" w:eastAsia="Times New Roman" w:hAnsi="Times New Roman" w:cs="Times New Roman"/>
          <w:color w:val="000000"/>
          <w:sz w:val="25"/>
          <w:szCs w:val="25"/>
        </w:rPr>
        <w:t>addi</w:t>
      </w:r>
      <w:proofErr w:type="spellEnd"/>
      <w:r w:rsidRPr="00DA2F96">
        <w:rPr>
          <w:rFonts w:ascii="Times New Roman" w:eastAsia="Times New Roman" w:hAnsi="Times New Roman" w:cs="Times New Roman"/>
          <w:color w:val="000000"/>
          <w:sz w:val="25"/>
          <w:szCs w:val="25"/>
        </w:rPr>
        <w:t xml:space="preserve">- </w:t>
      </w:r>
      <w:proofErr w:type="spellStart"/>
      <w:r w:rsidRPr="00DA2F96">
        <w:rPr>
          <w:rFonts w:ascii="Times New Roman" w:eastAsia="Times New Roman" w:hAnsi="Times New Roman" w:cs="Times New Roman"/>
          <w:color w:val="000000"/>
          <w:sz w:val="25"/>
          <w:szCs w:val="25"/>
        </w:rPr>
        <w:t>tional</w:t>
      </w:r>
      <w:proofErr w:type="spellEnd"/>
      <w:r w:rsidRPr="00DA2F96">
        <w:rPr>
          <w:rFonts w:ascii="Times New Roman" w:eastAsia="Times New Roman" w:hAnsi="Times New Roman" w:cs="Times New Roman"/>
          <w:color w:val="000000"/>
          <w:sz w:val="25"/>
          <w:szCs w:val="25"/>
        </w:rPr>
        <w:t xml:space="preserve"> litigation and complications in case claimants fail to establish liability of the owner of the de- faulting vehicles.”</w:t>
      </w:r>
    </w:p>
    <w:p w:rsidR="00DA2F96" w:rsidRPr="00DA2F96" w:rsidRDefault="00DA2F96" w:rsidP="00DA2F96">
      <w:pPr>
        <w:spacing w:before="100" w:beforeAutospacing="1" w:after="100" w:afterAutospacing="1" w:line="240" w:lineRule="auto"/>
        <w:jc w:val="both"/>
        <w:rPr>
          <w:rFonts w:ascii="Times New Roman" w:eastAsia="Times New Roman" w:hAnsi="Times New Roman" w:cs="Times New Roman"/>
          <w:color w:val="000000"/>
          <w:sz w:val="25"/>
          <w:szCs w:val="25"/>
        </w:rPr>
      </w:pPr>
      <w:r w:rsidRPr="00DA2F96">
        <w:rPr>
          <w:rFonts w:ascii="Times New Roman" w:eastAsia="Times New Roman" w:hAnsi="Times New Roman" w:cs="Times New Roman"/>
          <w:color w:val="000000"/>
          <w:sz w:val="25"/>
          <w:szCs w:val="25"/>
        </w:rPr>
        <w:t>8. From the above discussion, it is clear that grant of compensation under </w:t>
      </w:r>
      <w:hyperlink r:id="rId39" w:history="1">
        <w:r w:rsidRPr="00DA2F96">
          <w:rPr>
            <w:rFonts w:ascii="Times New Roman" w:eastAsia="Times New Roman" w:hAnsi="Times New Roman" w:cs="Times New Roman"/>
            <w:color w:val="1100CC"/>
            <w:sz w:val="25"/>
          </w:rPr>
          <w:t>Section 163-A</w:t>
        </w:r>
      </w:hyperlink>
      <w:r w:rsidRPr="00DA2F96">
        <w:rPr>
          <w:rFonts w:ascii="Times New Roman" w:eastAsia="Times New Roman" w:hAnsi="Times New Roman" w:cs="Times New Roman"/>
          <w:color w:val="000000"/>
          <w:sz w:val="25"/>
          <w:szCs w:val="25"/>
        </w:rPr>
        <w:t xml:space="preserve"> of the Act on the basis of the structured formula is in the nature of a final award and the adjudication </w:t>
      </w:r>
      <w:proofErr w:type="spellStart"/>
      <w:r w:rsidRPr="00DA2F96">
        <w:rPr>
          <w:rFonts w:ascii="Times New Roman" w:eastAsia="Times New Roman" w:hAnsi="Times New Roman" w:cs="Times New Roman"/>
          <w:color w:val="000000"/>
          <w:sz w:val="25"/>
          <w:szCs w:val="25"/>
        </w:rPr>
        <w:t>thereunder</w:t>
      </w:r>
      <w:proofErr w:type="spellEnd"/>
      <w:r w:rsidRPr="00DA2F96">
        <w:rPr>
          <w:rFonts w:ascii="Times New Roman" w:eastAsia="Times New Roman" w:hAnsi="Times New Roman" w:cs="Times New Roman"/>
          <w:color w:val="000000"/>
          <w:sz w:val="25"/>
          <w:szCs w:val="25"/>
        </w:rPr>
        <w:t xml:space="preserve"> is required to be made without any requirement of any proof of negligence of the driver/owner of the vehicle(s) involved in the accident. This is made explicit by </w:t>
      </w:r>
      <w:hyperlink r:id="rId40" w:history="1">
        <w:r w:rsidRPr="00DA2F96">
          <w:rPr>
            <w:rFonts w:ascii="Times New Roman" w:eastAsia="Times New Roman" w:hAnsi="Times New Roman" w:cs="Times New Roman"/>
            <w:color w:val="1100CC"/>
            <w:sz w:val="25"/>
          </w:rPr>
          <w:t xml:space="preserve">Section </w:t>
        </w:r>
        <w:proofErr w:type="gramStart"/>
        <w:r w:rsidRPr="00DA2F96">
          <w:rPr>
            <w:rFonts w:ascii="Times New Roman" w:eastAsia="Times New Roman" w:hAnsi="Times New Roman" w:cs="Times New Roman"/>
            <w:color w:val="1100CC"/>
            <w:sz w:val="25"/>
          </w:rPr>
          <w:t>163A(</w:t>
        </w:r>
        <w:proofErr w:type="gramEnd"/>
        <w:r w:rsidRPr="00DA2F96">
          <w:rPr>
            <w:rFonts w:ascii="Times New Roman" w:eastAsia="Times New Roman" w:hAnsi="Times New Roman" w:cs="Times New Roman"/>
            <w:color w:val="1100CC"/>
            <w:sz w:val="25"/>
          </w:rPr>
          <w:t>2)</w:t>
        </w:r>
      </w:hyperlink>
      <w:r w:rsidRPr="00DA2F96">
        <w:rPr>
          <w:rFonts w:ascii="Times New Roman" w:eastAsia="Times New Roman" w:hAnsi="Times New Roman" w:cs="Times New Roman"/>
          <w:color w:val="000000"/>
          <w:sz w:val="25"/>
          <w:szCs w:val="25"/>
        </w:rPr>
        <w:t xml:space="preserve">. Though the aforesaid section of the Act does not specifically exclude a possible </w:t>
      </w:r>
      <w:proofErr w:type="spellStart"/>
      <w:r w:rsidRPr="00DA2F96">
        <w:rPr>
          <w:rFonts w:ascii="Times New Roman" w:eastAsia="Times New Roman" w:hAnsi="Times New Roman" w:cs="Times New Roman"/>
          <w:color w:val="000000"/>
          <w:sz w:val="25"/>
          <w:szCs w:val="25"/>
        </w:rPr>
        <w:t>defence</w:t>
      </w:r>
      <w:proofErr w:type="spellEnd"/>
      <w:r w:rsidRPr="00DA2F96">
        <w:rPr>
          <w:rFonts w:ascii="Times New Roman" w:eastAsia="Times New Roman" w:hAnsi="Times New Roman" w:cs="Times New Roman"/>
          <w:color w:val="000000"/>
          <w:sz w:val="25"/>
          <w:szCs w:val="25"/>
        </w:rPr>
        <w:t xml:space="preserve"> of the Insurer based on the negligence of the claimant as contemplated by </w:t>
      </w:r>
      <w:hyperlink r:id="rId41" w:history="1">
        <w:r w:rsidRPr="00DA2F96">
          <w:rPr>
            <w:rFonts w:ascii="Times New Roman" w:eastAsia="Times New Roman" w:hAnsi="Times New Roman" w:cs="Times New Roman"/>
            <w:color w:val="1100CC"/>
            <w:sz w:val="25"/>
          </w:rPr>
          <w:t>Section 140(4)</w:t>
        </w:r>
      </w:hyperlink>
      <w:r w:rsidRPr="00DA2F96">
        <w:rPr>
          <w:rFonts w:ascii="Times New Roman" w:eastAsia="Times New Roman" w:hAnsi="Times New Roman" w:cs="Times New Roman"/>
          <w:color w:val="000000"/>
          <w:sz w:val="25"/>
          <w:szCs w:val="25"/>
        </w:rPr>
        <w:t xml:space="preserve">, to permit such </w:t>
      </w:r>
      <w:proofErr w:type="spellStart"/>
      <w:r w:rsidRPr="00DA2F96">
        <w:rPr>
          <w:rFonts w:ascii="Times New Roman" w:eastAsia="Times New Roman" w:hAnsi="Times New Roman" w:cs="Times New Roman"/>
          <w:color w:val="000000"/>
          <w:sz w:val="25"/>
          <w:szCs w:val="25"/>
        </w:rPr>
        <w:t>defence</w:t>
      </w:r>
      <w:proofErr w:type="spellEnd"/>
      <w:r w:rsidRPr="00DA2F96">
        <w:rPr>
          <w:rFonts w:ascii="Times New Roman" w:eastAsia="Times New Roman" w:hAnsi="Times New Roman" w:cs="Times New Roman"/>
          <w:color w:val="000000"/>
          <w:sz w:val="25"/>
          <w:szCs w:val="25"/>
        </w:rPr>
        <w:t xml:space="preserve"> to be introduced by the Insurer and/or to understand the provisions of </w:t>
      </w:r>
      <w:hyperlink r:id="rId42" w:history="1">
        <w:r w:rsidRPr="00DA2F96">
          <w:rPr>
            <w:rFonts w:ascii="Times New Roman" w:eastAsia="Times New Roman" w:hAnsi="Times New Roman" w:cs="Times New Roman"/>
            <w:color w:val="1100CC"/>
            <w:sz w:val="25"/>
          </w:rPr>
          <w:t>Section 163A</w:t>
        </w:r>
      </w:hyperlink>
      <w:r w:rsidRPr="00DA2F96">
        <w:rPr>
          <w:rFonts w:ascii="Times New Roman" w:eastAsia="Times New Roman" w:hAnsi="Times New Roman" w:cs="Times New Roman"/>
          <w:color w:val="000000"/>
          <w:sz w:val="25"/>
          <w:szCs w:val="25"/>
        </w:rPr>
        <w:t> of the Act to be contemplating any such situation would go contrary to the very legislative object behind introduction of </w:t>
      </w:r>
      <w:hyperlink r:id="rId43" w:history="1">
        <w:r w:rsidRPr="00DA2F96">
          <w:rPr>
            <w:rFonts w:ascii="Times New Roman" w:eastAsia="Times New Roman" w:hAnsi="Times New Roman" w:cs="Times New Roman"/>
            <w:color w:val="1100CC"/>
            <w:sz w:val="25"/>
          </w:rPr>
          <w:t>Section 163A</w:t>
        </w:r>
      </w:hyperlink>
      <w:r w:rsidRPr="00DA2F96">
        <w:rPr>
          <w:rFonts w:ascii="Times New Roman" w:eastAsia="Times New Roman" w:hAnsi="Times New Roman" w:cs="Times New Roman"/>
          <w:color w:val="000000"/>
          <w:sz w:val="25"/>
          <w:szCs w:val="25"/>
        </w:rPr>
        <w:t> of the Act, namely, final compensation within a limited time frame on the basis of the structured formula to overcome situations where the claims of compensation on the basis of fault liability was taking an unduly long time. In fact, to understand </w:t>
      </w:r>
      <w:hyperlink r:id="rId44" w:history="1">
        <w:r w:rsidRPr="00DA2F96">
          <w:rPr>
            <w:rFonts w:ascii="Times New Roman" w:eastAsia="Times New Roman" w:hAnsi="Times New Roman" w:cs="Times New Roman"/>
            <w:color w:val="1100CC"/>
            <w:sz w:val="25"/>
          </w:rPr>
          <w:t>Section 163A</w:t>
        </w:r>
      </w:hyperlink>
      <w:r w:rsidRPr="00DA2F96">
        <w:rPr>
          <w:rFonts w:ascii="Times New Roman" w:eastAsia="Times New Roman" w:hAnsi="Times New Roman" w:cs="Times New Roman"/>
          <w:color w:val="000000"/>
          <w:sz w:val="25"/>
          <w:szCs w:val="25"/>
        </w:rPr>
        <w:t xml:space="preserve"> of the Act to permit the Insurer to raise the </w:t>
      </w:r>
      <w:proofErr w:type="spellStart"/>
      <w:r w:rsidRPr="00DA2F96">
        <w:rPr>
          <w:rFonts w:ascii="Times New Roman" w:eastAsia="Times New Roman" w:hAnsi="Times New Roman" w:cs="Times New Roman"/>
          <w:color w:val="000000"/>
          <w:sz w:val="25"/>
          <w:szCs w:val="25"/>
        </w:rPr>
        <w:t>defence</w:t>
      </w:r>
      <w:proofErr w:type="spellEnd"/>
      <w:r w:rsidRPr="00DA2F96">
        <w:rPr>
          <w:rFonts w:ascii="Times New Roman" w:eastAsia="Times New Roman" w:hAnsi="Times New Roman" w:cs="Times New Roman"/>
          <w:color w:val="000000"/>
          <w:sz w:val="25"/>
          <w:szCs w:val="25"/>
        </w:rPr>
        <w:t xml:space="preserve"> of negligence would be to bring a proceeding under </w:t>
      </w:r>
      <w:hyperlink r:id="rId45" w:history="1">
        <w:r w:rsidRPr="00DA2F96">
          <w:rPr>
            <w:rFonts w:ascii="Times New Roman" w:eastAsia="Times New Roman" w:hAnsi="Times New Roman" w:cs="Times New Roman"/>
            <w:color w:val="1100CC"/>
            <w:sz w:val="25"/>
          </w:rPr>
          <w:t>Section 163A</w:t>
        </w:r>
      </w:hyperlink>
      <w:r w:rsidRPr="00DA2F96">
        <w:rPr>
          <w:rFonts w:ascii="Times New Roman" w:eastAsia="Times New Roman" w:hAnsi="Times New Roman" w:cs="Times New Roman"/>
          <w:color w:val="000000"/>
          <w:sz w:val="25"/>
          <w:szCs w:val="25"/>
        </w:rPr>
        <w:t> of the Act at par with the proceeding under </w:t>
      </w:r>
      <w:hyperlink r:id="rId46" w:history="1">
        <w:r w:rsidRPr="00DA2F96">
          <w:rPr>
            <w:rFonts w:ascii="Times New Roman" w:eastAsia="Times New Roman" w:hAnsi="Times New Roman" w:cs="Times New Roman"/>
            <w:color w:val="1100CC"/>
            <w:sz w:val="25"/>
          </w:rPr>
          <w:t>Section 166</w:t>
        </w:r>
      </w:hyperlink>
      <w:r w:rsidRPr="00DA2F96">
        <w:rPr>
          <w:rFonts w:ascii="Times New Roman" w:eastAsia="Times New Roman" w:hAnsi="Times New Roman" w:cs="Times New Roman"/>
          <w:color w:val="000000"/>
          <w:sz w:val="25"/>
          <w:szCs w:val="25"/>
        </w:rPr>
        <w:t> of the Act which would not only be self-contradictory but also defeat the very legislative intention.</w:t>
      </w:r>
    </w:p>
    <w:p w:rsidR="00DA2F96" w:rsidRPr="00DA2F96" w:rsidRDefault="00DA2F96" w:rsidP="00DA2F96">
      <w:pPr>
        <w:spacing w:before="100" w:beforeAutospacing="1" w:after="100" w:afterAutospacing="1" w:line="240" w:lineRule="auto"/>
        <w:jc w:val="both"/>
        <w:rPr>
          <w:rFonts w:ascii="Times New Roman" w:eastAsia="Times New Roman" w:hAnsi="Times New Roman" w:cs="Times New Roman"/>
          <w:color w:val="000000"/>
          <w:sz w:val="25"/>
          <w:szCs w:val="25"/>
        </w:rPr>
      </w:pPr>
      <w:r w:rsidRPr="00DA2F96">
        <w:rPr>
          <w:rFonts w:ascii="Times New Roman" w:eastAsia="Times New Roman" w:hAnsi="Times New Roman" w:cs="Times New Roman"/>
          <w:color w:val="000000"/>
          <w:sz w:val="25"/>
          <w:szCs w:val="25"/>
        </w:rPr>
        <w:t>9. For the aforesaid reasons, we answer the question arising by holding that in a proceeding under </w:t>
      </w:r>
      <w:hyperlink r:id="rId47" w:history="1">
        <w:r w:rsidRPr="00DA2F96">
          <w:rPr>
            <w:rFonts w:ascii="Times New Roman" w:eastAsia="Times New Roman" w:hAnsi="Times New Roman" w:cs="Times New Roman"/>
            <w:color w:val="1100CC"/>
            <w:sz w:val="25"/>
          </w:rPr>
          <w:t>Section 163A</w:t>
        </w:r>
      </w:hyperlink>
      <w:r w:rsidRPr="00DA2F96">
        <w:rPr>
          <w:rFonts w:ascii="Times New Roman" w:eastAsia="Times New Roman" w:hAnsi="Times New Roman" w:cs="Times New Roman"/>
          <w:color w:val="000000"/>
          <w:sz w:val="25"/>
          <w:szCs w:val="25"/>
        </w:rPr>
        <w:t xml:space="preserve"> of the Act it is not open for the Insurer to raise any </w:t>
      </w:r>
      <w:proofErr w:type="spellStart"/>
      <w:r w:rsidRPr="00DA2F96">
        <w:rPr>
          <w:rFonts w:ascii="Times New Roman" w:eastAsia="Times New Roman" w:hAnsi="Times New Roman" w:cs="Times New Roman"/>
          <w:color w:val="000000"/>
          <w:sz w:val="25"/>
          <w:szCs w:val="25"/>
        </w:rPr>
        <w:t>defence</w:t>
      </w:r>
      <w:proofErr w:type="spellEnd"/>
      <w:r w:rsidRPr="00DA2F96">
        <w:rPr>
          <w:rFonts w:ascii="Times New Roman" w:eastAsia="Times New Roman" w:hAnsi="Times New Roman" w:cs="Times New Roman"/>
          <w:color w:val="000000"/>
          <w:sz w:val="25"/>
          <w:szCs w:val="25"/>
        </w:rPr>
        <w:t xml:space="preserve"> of negligence on the part of the victim.</w:t>
      </w:r>
    </w:p>
    <w:p w:rsidR="00DA2F96" w:rsidRPr="00DA2F96" w:rsidRDefault="00DA2F96" w:rsidP="00DA2F96">
      <w:pPr>
        <w:spacing w:before="100" w:beforeAutospacing="1" w:after="100" w:afterAutospacing="1" w:line="240" w:lineRule="auto"/>
        <w:jc w:val="both"/>
        <w:rPr>
          <w:rFonts w:ascii="Times New Roman" w:eastAsia="Times New Roman" w:hAnsi="Times New Roman" w:cs="Times New Roman"/>
          <w:color w:val="000000"/>
          <w:sz w:val="25"/>
          <w:szCs w:val="25"/>
        </w:rPr>
      </w:pPr>
      <w:r w:rsidRPr="00DA2F96">
        <w:rPr>
          <w:rFonts w:ascii="Times New Roman" w:eastAsia="Times New Roman" w:hAnsi="Times New Roman" w:cs="Times New Roman"/>
          <w:color w:val="000000"/>
          <w:sz w:val="25"/>
          <w:szCs w:val="25"/>
        </w:rPr>
        <w:t>10. The appeal will now be listed before regular Bench for disposal on merits, after the opinion of the larger Bench on the true scope and meaning of the provisions contained in </w:t>
      </w:r>
      <w:hyperlink r:id="rId48" w:history="1">
        <w:r w:rsidRPr="00DA2F96">
          <w:rPr>
            <w:rFonts w:ascii="Times New Roman" w:eastAsia="Times New Roman" w:hAnsi="Times New Roman" w:cs="Times New Roman"/>
            <w:color w:val="1100CC"/>
            <w:sz w:val="25"/>
          </w:rPr>
          <w:t>Section 170</w:t>
        </w:r>
      </w:hyperlink>
      <w:r w:rsidRPr="00DA2F96">
        <w:rPr>
          <w:rFonts w:ascii="Times New Roman" w:eastAsia="Times New Roman" w:hAnsi="Times New Roman" w:cs="Times New Roman"/>
          <w:color w:val="000000"/>
          <w:sz w:val="25"/>
          <w:szCs w:val="25"/>
        </w:rPr>
        <w:t> of the Motor Vehicles Act, 1939 is rendered.</w:t>
      </w:r>
    </w:p>
    <w:p w:rsidR="00DA2F96" w:rsidRPr="00DA2F96" w:rsidRDefault="00DA2F96" w:rsidP="00DA2F96">
      <w:pPr>
        <w:spacing w:before="100" w:beforeAutospacing="1" w:after="100" w:afterAutospacing="1" w:line="240" w:lineRule="auto"/>
        <w:jc w:val="both"/>
        <w:rPr>
          <w:rFonts w:ascii="Times New Roman" w:eastAsia="Times New Roman" w:hAnsi="Times New Roman" w:cs="Times New Roman"/>
          <w:color w:val="000000"/>
          <w:sz w:val="25"/>
          <w:szCs w:val="25"/>
        </w:rPr>
      </w:pPr>
      <w:r w:rsidRPr="00DA2F96">
        <w:rPr>
          <w:rFonts w:ascii="Times New Roman" w:eastAsia="Times New Roman" w:hAnsi="Times New Roman" w:cs="Times New Roman"/>
          <w:color w:val="000000"/>
          <w:sz w:val="25"/>
          <w:szCs w:val="25"/>
        </w:rPr>
        <w:t>11. As the final disposal of the appeal may take some time, we are of the view that 50 % of the compensation that is presently lying in deposit in the Registry in terms of the Order dated 24-02-2012 should be released to the claimant on due identification.</w:t>
      </w:r>
    </w:p>
    <w:p w:rsidR="00DA2F96" w:rsidRPr="00DA2F96" w:rsidRDefault="00DA2F96" w:rsidP="00DA2F96">
      <w:pPr>
        <w:spacing w:before="100" w:beforeAutospacing="1" w:after="100" w:afterAutospacing="1" w:line="240" w:lineRule="auto"/>
        <w:jc w:val="both"/>
        <w:rPr>
          <w:rFonts w:ascii="Times New Roman" w:eastAsia="Times New Roman" w:hAnsi="Times New Roman" w:cs="Times New Roman"/>
          <w:color w:val="000000"/>
          <w:sz w:val="25"/>
          <w:szCs w:val="25"/>
        </w:rPr>
      </w:pPr>
      <w:r w:rsidRPr="00DA2F96">
        <w:rPr>
          <w:rFonts w:ascii="Times New Roman" w:eastAsia="Times New Roman" w:hAnsi="Times New Roman" w:cs="Times New Roman"/>
          <w:color w:val="000000"/>
          <w:sz w:val="25"/>
          <w:szCs w:val="25"/>
        </w:rPr>
        <w:t>....................</w:t>
      </w:r>
      <w:proofErr w:type="gramStart"/>
      <w:r w:rsidRPr="00DA2F96">
        <w:rPr>
          <w:rFonts w:ascii="Times New Roman" w:eastAsia="Times New Roman" w:hAnsi="Times New Roman" w:cs="Times New Roman"/>
          <w:color w:val="000000"/>
          <w:sz w:val="25"/>
          <w:szCs w:val="25"/>
        </w:rPr>
        <w:t>,J</w:t>
      </w:r>
      <w:proofErr w:type="gramEnd"/>
      <w:r w:rsidRPr="00DA2F96">
        <w:rPr>
          <w:rFonts w:ascii="Times New Roman" w:eastAsia="Times New Roman" w:hAnsi="Times New Roman" w:cs="Times New Roman"/>
          <w:color w:val="000000"/>
          <w:sz w:val="25"/>
          <w:szCs w:val="25"/>
        </w:rPr>
        <w:t>.</w:t>
      </w:r>
    </w:p>
    <w:p w:rsidR="00DA2F96" w:rsidRPr="00DA2F96" w:rsidRDefault="00DA2F96" w:rsidP="00DA2F96">
      <w:pPr>
        <w:spacing w:before="100" w:beforeAutospacing="1" w:after="100" w:afterAutospacing="1" w:line="240" w:lineRule="auto"/>
        <w:jc w:val="both"/>
        <w:rPr>
          <w:rFonts w:ascii="Times New Roman" w:eastAsia="Times New Roman" w:hAnsi="Times New Roman" w:cs="Times New Roman"/>
          <w:color w:val="000000"/>
          <w:sz w:val="25"/>
          <w:szCs w:val="25"/>
        </w:rPr>
      </w:pPr>
      <w:r w:rsidRPr="00DA2F96">
        <w:rPr>
          <w:rFonts w:ascii="Times New Roman" w:eastAsia="Times New Roman" w:hAnsi="Times New Roman" w:cs="Times New Roman"/>
          <w:color w:val="000000"/>
          <w:sz w:val="25"/>
          <w:szCs w:val="25"/>
        </w:rPr>
        <w:t>(RANJAN GOGOI) ....................</w:t>
      </w:r>
      <w:proofErr w:type="gramStart"/>
      <w:r w:rsidRPr="00DA2F96">
        <w:rPr>
          <w:rFonts w:ascii="Times New Roman" w:eastAsia="Times New Roman" w:hAnsi="Times New Roman" w:cs="Times New Roman"/>
          <w:color w:val="000000"/>
          <w:sz w:val="25"/>
          <w:szCs w:val="25"/>
        </w:rPr>
        <w:t>,J</w:t>
      </w:r>
      <w:proofErr w:type="gramEnd"/>
      <w:r w:rsidRPr="00DA2F96">
        <w:rPr>
          <w:rFonts w:ascii="Times New Roman" w:eastAsia="Times New Roman" w:hAnsi="Times New Roman" w:cs="Times New Roman"/>
          <w:color w:val="000000"/>
          <w:sz w:val="25"/>
          <w:szCs w:val="25"/>
        </w:rPr>
        <w:t>.</w:t>
      </w:r>
    </w:p>
    <w:p w:rsidR="00DA2F96" w:rsidRPr="00DA2F96" w:rsidRDefault="00DA2F96" w:rsidP="00DA2F96">
      <w:pPr>
        <w:spacing w:before="100" w:beforeAutospacing="1" w:after="100" w:afterAutospacing="1" w:line="240" w:lineRule="auto"/>
        <w:jc w:val="both"/>
        <w:rPr>
          <w:rFonts w:ascii="Times New Roman" w:eastAsia="Times New Roman" w:hAnsi="Times New Roman" w:cs="Times New Roman"/>
          <w:color w:val="000000"/>
          <w:sz w:val="25"/>
          <w:szCs w:val="25"/>
        </w:rPr>
      </w:pPr>
      <w:r w:rsidRPr="00DA2F96">
        <w:rPr>
          <w:rFonts w:ascii="Times New Roman" w:eastAsia="Times New Roman" w:hAnsi="Times New Roman" w:cs="Times New Roman"/>
          <w:color w:val="000000"/>
          <w:sz w:val="25"/>
          <w:szCs w:val="25"/>
        </w:rPr>
        <w:t>(ADARSH KUMAR GOEL) ....................</w:t>
      </w:r>
      <w:proofErr w:type="gramStart"/>
      <w:r w:rsidRPr="00DA2F96">
        <w:rPr>
          <w:rFonts w:ascii="Times New Roman" w:eastAsia="Times New Roman" w:hAnsi="Times New Roman" w:cs="Times New Roman"/>
          <w:color w:val="000000"/>
          <w:sz w:val="25"/>
          <w:szCs w:val="25"/>
        </w:rPr>
        <w:t>,J</w:t>
      </w:r>
      <w:proofErr w:type="gramEnd"/>
      <w:r w:rsidRPr="00DA2F96">
        <w:rPr>
          <w:rFonts w:ascii="Times New Roman" w:eastAsia="Times New Roman" w:hAnsi="Times New Roman" w:cs="Times New Roman"/>
          <w:color w:val="000000"/>
          <w:sz w:val="25"/>
          <w:szCs w:val="25"/>
        </w:rPr>
        <w:t>.</w:t>
      </w:r>
    </w:p>
    <w:p w:rsidR="00DA2F96" w:rsidRPr="00DA2F96" w:rsidRDefault="00DA2F96" w:rsidP="00DA2F96">
      <w:pPr>
        <w:spacing w:before="100" w:beforeAutospacing="1" w:after="100" w:afterAutospacing="1" w:line="240" w:lineRule="auto"/>
        <w:jc w:val="both"/>
        <w:rPr>
          <w:rFonts w:ascii="Times New Roman" w:eastAsia="Times New Roman" w:hAnsi="Times New Roman" w:cs="Times New Roman"/>
          <w:color w:val="000000"/>
          <w:sz w:val="25"/>
          <w:szCs w:val="25"/>
        </w:rPr>
      </w:pPr>
      <w:r w:rsidRPr="00DA2F96">
        <w:rPr>
          <w:rFonts w:ascii="Times New Roman" w:eastAsia="Times New Roman" w:hAnsi="Times New Roman" w:cs="Times New Roman"/>
          <w:color w:val="000000"/>
          <w:sz w:val="25"/>
          <w:szCs w:val="25"/>
        </w:rPr>
        <w:t>(NAVIN SINHA) NEW DELHI NOVEMBER 24, 2017</w:t>
      </w:r>
    </w:p>
    <w:p w:rsidR="000B5DED" w:rsidRPr="000B5DED" w:rsidRDefault="000B5DED" w:rsidP="000B5DED"/>
    <w:sectPr w:rsidR="000B5DED" w:rsidRPr="000B5DE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0B5DED"/>
    <w:rsid w:val="000B5DED"/>
    <w:rsid w:val="0027437C"/>
    <w:rsid w:val="00DA2F96"/>
    <w:rsid w:val="00DF2D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5DED"/>
    <w:rPr>
      <w:rFonts w:ascii="Courier New" w:eastAsia="Times New Roman" w:hAnsi="Courier New" w:cs="Courier New"/>
      <w:sz w:val="20"/>
      <w:szCs w:val="20"/>
    </w:rPr>
  </w:style>
  <w:style w:type="paragraph" w:styleId="NormalWeb">
    <w:name w:val="Normal (Web)"/>
    <w:basedOn w:val="Normal"/>
    <w:uiPriority w:val="99"/>
    <w:semiHidden/>
    <w:unhideWhenUsed/>
    <w:rsid w:val="000B5D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5DED"/>
    <w:rPr>
      <w:color w:val="0000FF"/>
      <w:u w:val="single"/>
    </w:rPr>
  </w:style>
</w:styles>
</file>

<file path=word/webSettings.xml><?xml version="1.0" encoding="utf-8"?>
<w:webSettings xmlns:r="http://schemas.openxmlformats.org/officeDocument/2006/relationships" xmlns:w="http://schemas.openxmlformats.org/wordprocessingml/2006/main">
  <w:divs>
    <w:div w:id="386421794">
      <w:bodyDiv w:val="1"/>
      <w:marLeft w:val="0"/>
      <w:marRight w:val="0"/>
      <w:marTop w:val="0"/>
      <w:marBottom w:val="0"/>
      <w:divBdr>
        <w:top w:val="none" w:sz="0" w:space="0" w:color="auto"/>
        <w:left w:val="none" w:sz="0" w:space="0" w:color="auto"/>
        <w:bottom w:val="none" w:sz="0" w:space="0" w:color="auto"/>
        <w:right w:val="none" w:sz="0" w:space="0" w:color="auto"/>
      </w:divBdr>
      <w:divsChild>
        <w:div w:id="761026533">
          <w:marLeft w:val="0"/>
          <w:marRight w:val="0"/>
          <w:marTop w:val="0"/>
          <w:marBottom w:val="150"/>
          <w:divBdr>
            <w:top w:val="none" w:sz="0" w:space="0" w:color="auto"/>
            <w:left w:val="none" w:sz="0" w:space="0" w:color="auto"/>
            <w:bottom w:val="none" w:sz="0" w:space="0" w:color="auto"/>
            <w:right w:val="none" w:sz="0" w:space="0" w:color="auto"/>
          </w:divBdr>
        </w:div>
        <w:div w:id="50536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3866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100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624910">
      <w:bodyDiv w:val="1"/>
      <w:marLeft w:val="0"/>
      <w:marRight w:val="0"/>
      <w:marTop w:val="0"/>
      <w:marBottom w:val="0"/>
      <w:divBdr>
        <w:top w:val="none" w:sz="0" w:space="0" w:color="auto"/>
        <w:left w:val="none" w:sz="0" w:space="0" w:color="auto"/>
        <w:bottom w:val="none" w:sz="0" w:space="0" w:color="auto"/>
        <w:right w:val="none" w:sz="0" w:space="0" w:color="auto"/>
      </w:divBdr>
      <w:divsChild>
        <w:div w:id="1607691006">
          <w:marLeft w:val="0"/>
          <w:marRight w:val="0"/>
          <w:marTop w:val="0"/>
          <w:marBottom w:val="150"/>
          <w:divBdr>
            <w:top w:val="none" w:sz="0" w:space="0" w:color="auto"/>
            <w:left w:val="none" w:sz="0" w:space="0" w:color="auto"/>
            <w:bottom w:val="none" w:sz="0" w:space="0" w:color="auto"/>
            <w:right w:val="none" w:sz="0" w:space="0" w:color="auto"/>
          </w:divBdr>
        </w:div>
        <w:div w:id="1092043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481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795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854487">
      <w:bodyDiv w:val="1"/>
      <w:marLeft w:val="0"/>
      <w:marRight w:val="0"/>
      <w:marTop w:val="0"/>
      <w:marBottom w:val="0"/>
      <w:divBdr>
        <w:top w:val="none" w:sz="0" w:space="0" w:color="auto"/>
        <w:left w:val="none" w:sz="0" w:space="0" w:color="auto"/>
        <w:bottom w:val="none" w:sz="0" w:space="0" w:color="auto"/>
        <w:right w:val="none" w:sz="0" w:space="0" w:color="auto"/>
      </w:divBdr>
      <w:divsChild>
        <w:div w:id="1988318541">
          <w:marLeft w:val="0"/>
          <w:marRight w:val="0"/>
          <w:marTop w:val="0"/>
          <w:marBottom w:val="150"/>
          <w:divBdr>
            <w:top w:val="none" w:sz="0" w:space="0" w:color="auto"/>
            <w:left w:val="none" w:sz="0" w:space="0" w:color="auto"/>
            <w:bottom w:val="none" w:sz="0" w:space="0" w:color="auto"/>
            <w:right w:val="none" w:sz="0" w:space="0" w:color="auto"/>
          </w:divBdr>
        </w:div>
        <w:div w:id="39570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85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36475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diankanoon.org/doc/22871263/" TargetMode="External"/><Relationship Id="rId18" Type="http://schemas.openxmlformats.org/officeDocument/2006/relationships/hyperlink" Target="https://indiankanoon.org/doc/136948773/" TargetMode="External"/><Relationship Id="rId26" Type="http://schemas.openxmlformats.org/officeDocument/2006/relationships/hyperlink" Target="https://indiankanoon.org/doc/1850110/" TargetMode="External"/><Relationship Id="rId39" Type="http://schemas.openxmlformats.org/officeDocument/2006/relationships/hyperlink" Target="https://indiankanoon.org/doc/22871263/" TargetMode="External"/><Relationship Id="rId3" Type="http://schemas.openxmlformats.org/officeDocument/2006/relationships/webSettings" Target="webSettings.xml"/><Relationship Id="rId21" Type="http://schemas.openxmlformats.org/officeDocument/2006/relationships/hyperlink" Target="https://indiankanoon.org/doc/22871263/" TargetMode="External"/><Relationship Id="rId34" Type="http://schemas.openxmlformats.org/officeDocument/2006/relationships/hyperlink" Target="https://indiankanoon.org/doc/22871263/" TargetMode="External"/><Relationship Id="rId42" Type="http://schemas.openxmlformats.org/officeDocument/2006/relationships/hyperlink" Target="https://indiankanoon.org/doc/22871263/" TargetMode="External"/><Relationship Id="rId47" Type="http://schemas.openxmlformats.org/officeDocument/2006/relationships/hyperlink" Target="https://indiankanoon.org/doc/22871263/" TargetMode="External"/><Relationship Id="rId50" Type="http://schemas.openxmlformats.org/officeDocument/2006/relationships/theme" Target="theme/theme1.xml"/><Relationship Id="rId7" Type="http://schemas.openxmlformats.org/officeDocument/2006/relationships/hyperlink" Target="https://indiankanoon.org/doc/22871263/" TargetMode="External"/><Relationship Id="rId12" Type="http://schemas.openxmlformats.org/officeDocument/2006/relationships/hyperlink" Target="https://indiankanoon.org/doc/1093372/" TargetMode="External"/><Relationship Id="rId17" Type="http://schemas.openxmlformats.org/officeDocument/2006/relationships/hyperlink" Target="https://indiankanoon.org/doc/32775809/" TargetMode="External"/><Relationship Id="rId25" Type="http://schemas.openxmlformats.org/officeDocument/2006/relationships/hyperlink" Target="https://indiankanoon.org/doc/1850110/" TargetMode="External"/><Relationship Id="rId33" Type="http://schemas.openxmlformats.org/officeDocument/2006/relationships/hyperlink" Target="https://indiankanoon.org/doc/7214649/" TargetMode="External"/><Relationship Id="rId38" Type="http://schemas.openxmlformats.org/officeDocument/2006/relationships/hyperlink" Target="https://indiankanoon.org/doc/136948773/" TargetMode="External"/><Relationship Id="rId46" Type="http://schemas.openxmlformats.org/officeDocument/2006/relationships/hyperlink" Target="https://indiankanoon.org/doc/136948773/" TargetMode="External"/><Relationship Id="rId2" Type="http://schemas.openxmlformats.org/officeDocument/2006/relationships/settings" Target="settings.xml"/><Relationship Id="rId16" Type="http://schemas.openxmlformats.org/officeDocument/2006/relationships/hyperlink" Target="https://indiankanoon.org/doc/22871263/" TargetMode="External"/><Relationship Id="rId20" Type="http://schemas.openxmlformats.org/officeDocument/2006/relationships/hyperlink" Target="https://indiankanoon.org/doc/32775809/" TargetMode="External"/><Relationship Id="rId29" Type="http://schemas.openxmlformats.org/officeDocument/2006/relationships/hyperlink" Target="https://indiankanoon.org/doc/151497904/" TargetMode="External"/><Relationship Id="rId41" Type="http://schemas.openxmlformats.org/officeDocument/2006/relationships/hyperlink" Target="https://indiankanoon.org/doc/185609334/" TargetMode="External"/><Relationship Id="rId1" Type="http://schemas.openxmlformats.org/officeDocument/2006/relationships/styles" Target="styles.xml"/><Relationship Id="rId6" Type="http://schemas.openxmlformats.org/officeDocument/2006/relationships/hyperlink" Target="https://indiankanoon.org/doc/184045376/" TargetMode="External"/><Relationship Id="rId11" Type="http://schemas.openxmlformats.org/officeDocument/2006/relationships/hyperlink" Target="https://indiankanoon.org/doc/22871263/" TargetMode="External"/><Relationship Id="rId24" Type="http://schemas.openxmlformats.org/officeDocument/2006/relationships/hyperlink" Target="https://indiankanoon.org/doc/190580/" TargetMode="External"/><Relationship Id="rId32" Type="http://schemas.openxmlformats.org/officeDocument/2006/relationships/hyperlink" Target="https://indiankanoon.org/doc/32775809/" TargetMode="External"/><Relationship Id="rId37" Type="http://schemas.openxmlformats.org/officeDocument/2006/relationships/hyperlink" Target="https://indiankanoon.org/doc/22871263/" TargetMode="External"/><Relationship Id="rId40" Type="http://schemas.openxmlformats.org/officeDocument/2006/relationships/hyperlink" Target="https://indiankanoon.org/doc/40229961/" TargetMode="External"/><Relationship Id="rId45" Type="http://schemas.openxmlformats.org/officeDocument/2006/relationships/hyperlink" Target="https://indiankanoon.org/doc/22871263/" TargetMode="External"/><Relationship Id="rId5" Type="http://schemas.openxmlformats.org/officeDocument/2006/relationships/hyperlink" Target="https://indiankanoon.org/doc/100153505/" TargetMode="External"/><Relationship Id="rId15" Type="http://schemas.openxmlformats.org/officeDocument/2006/relationships/hyperlink" Target="https://indiankanoon.org/doc/32775809/" TargetMode="External"/><Relationship Id="rId23" Type="http://schemas.openxmlformats.org/officeDocument/2006/relationships/hyperlink" Target="https://indiankanoon.org/doc/1850110/" TargetMode="External"/><Relationship Id="rId28" Type="http://schemas.openxmlformats.org/officeDocument/2006/relationships/hyperlink" Target="https://indiankanoon.org/doc/32775809/" TargetMode="External"/><Relationship Id="rId36" Type="http://schemas.openxmlformats.org/officeDocument/2006/relationships/hyperlink" Target="https://indiankanoon.org/doc/136948773/" TargetMode="External"/><Relationship Id="rId49" Type="http://schemas.openxmlformats.org/officeDocument/2006/relationships/fontTable" Target="fontTable.xml"/><Relationship Id="rId10" Type="http://schemas.openxmlformats.org/officeDocument/2006/relationships/hyperlink" Target="https://indiankanoon.org/doc/32775809/" TargetMode="External"/><Relationship Id="rId19" Type="http://schemas.openxmlformats.org/officeDocument/2006/relationships/hyperlink" Target="https://indiankanoon.org/doc/22871263/" TargetMode="External"/><Relationship Id="rId31" Type="http://schemas.openxmlformats.org/officeDocument/2006/relationships/hyperlink" Target="https://indiankanoon.org/doc/32775809/" TargetMode="External"/><Relationship Id="rId44" Type="http://schemas.openxmlformats.org/officeDocument/2006/relationships/hyperlink" Target="https://indiankanoon.org/doc/22871263/" TargetMode="External"/><Relationship Id="rId4" Type="http://schemas.openxmlformats.org/officeDocument/2006/relationships/hyperlink" Target="https://indiankanoon.org/doc/877826/" TargetMode="External"/><Relationship Id="rId9" Type="http://schemas.openxmlformats.org/officeDocument/2006/relationships/hyperlink" Target="https://indiankanoon.org/doc/22871263/" TargetMode="External"/><Relationship Id="rId14" Type="http://schemas.openxmlformats.org/officeDocument/2006/relationships/hyperlink" Target="https://indiankanoon.org/doc/136948773/" TargetMode="External"/><Relationship Id="rId22" Type="http://schemas.openxmlformats.org/officeDocument/2006/relationships/hyperlink" Target="https://indiankanoon.org/doc/1850110/" TargetMode="External"/><Relationship Id="rId27" Type="http://schemas.openxmlformats.org/officeDocument/2006/relationships/hyperlink" Target="https://indiankanoon.org/doc/785258/" TargetMode="External"/><Relationship Id="rId30" Type="http://schemas.openxmlformats.org/officeDocument/2006/relationships/hyperlink" Target="https://indiankanoon.org/doc/785258/" TargetMode="External"/><Relationship Id="rId35" Type="http://schemas.openxmlformats.org/officeDocument/2006/relationships/hyperlink" Target="https://indiankanoon.org/doc/32775809/" TargetMode="External"/><Relationship Id="rId43" Type="http://schemas.openxmlformats.org/officeDocument/2006/relationships/hyperlink" Target="https://indiankanoon.org/doc/22871263/" TargetMode="External"/><Relationship Id="rId48" Type="http://schemas.openxmlformats.org/officeDocument/2006/relationships/hyperlink" Target="https://indiankanoon.org/doc/184045376/" TargetMode="External"/><Relationship Id="rId8" Type="http://schemas.openxmlformats.org/officeDocument/2006/relationships/hyperlink" Target="https://indiankanoon.org/doc/327758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1849</Words>
  <Characters>10542</Characters>
  <Application>Microsoft Office Word</Application>
  <DocSecurity>0</DocSecurity>
  <Lines>87</Lines>
  <Paragraphs>24</Paragraphs>
  <ScaleCrop>false</ScaleCrop>
  <Company/>
  <LinksUpToDate>false</LinksUpToDate>
  <CharactersWithSpaces>12367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2020-06-30T15:59:00Z</cp:lastPrinted>
  <dcterms:created xsi:type="dcterms:W3CDTF">2020-06-30T16:02:00Z</dcterms:created>
  <dcterms:modified xsi:type="dcterms:W3CDTF">2020-06-30T16:02:00Z</dcterms:modified>
</cp:coreProperties>
</file>