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A73" w:rsidRPr="00211A73" w:rsidRDefault="00211A73" w:rsidP="00211A73">
      <w:pPr>
        <w:jc w:val="center"/>
        <w:rPr>
          <w:rFonts w:ascii="Times New Roman" w:hAnsi="Times New Roman" w:cs="Times New Roman"/>
          <w:b/>
        </w:rPr>
      </w:pPr>
      <w:r w:rsidRPr="00211A73">
        <w:rPr>
          <w:rFonts w:ascii="Times New Roman" w:hAnsi="Times New Roman" w:cs="Times New Roman"/>
          <w:b/>
        </w:rPr>
        <w:t>SUPREME COURT OF INDIA</w:t>
      </w:r>
    </w:p>
    <w:p w:rsidR="00211A73" w:rsidRPr="00211A73" w:rsidRDefault="00211A73" w:rsidP="00211A73">
      <w:pPr>
        <w:jc w:val="center"/>
        <w:rPr>
          <w:rFonts w:ascii="Times New Roman" w:hAnsi="Times New Roman" w:cs="Times New Roman"/>
        </w:rPr>
      </w:pPr>
    </w:p>
    <w:p w:rsidR="00211A73" w:rsidRDefault="00211A73" w:rsidP="00211A73">
      <w:pPr>
        <w:jc w:val="center"/>
        <w:rPr>
          <w:rFonts w:ascii="Times New Roman" w:hAnsi="Times New Roman" w:cs="Times New Roman"/>
        </w:rPr>
      </w:pPr>
      <w:r>
        <w:rPr>
          <w:rFonts w:ascii="Times New Roman" w:hAnsi="Times New Roman" w:cs="Times New Roman"/>
        </w:rPr>
        <w:t>S.</w:t>
      </w:r>
      <w:r w:rsidRPr="00211A73">
        <w:rPr>
          <w:rFonts w:ascii="Times New Roman" w:hAnsi="Times New Roman" w:cs="Times New Roman"/>
        </w:rPr>
        <w:t>Esabella</w:t>
      </w:r>
    </w:p>
    <w:p w:rsidR="00211A73" w:rsidRPr="00211A73" w:rsidRDefault="00211A73" w:rsidP="00211A73">
      <w:pPr>
        <w:jc w:val="center"/>
        <w:rPr>
          <w:rFonts w:ascii="Times New Roman" w:hAnsi="Times New Roman" w:cs="Times New Roman"/>
        </w:rPr>
      </w:pPr>
    </w:p>
    <w:p w:rsidR="00211A73" w:rsidRPr="00211A73" w:rsidRDefault="00211A73" w:rsidP="00211A73">
      <w:pPr>
        <w:jc w:val="center"/>
        <w:rPr>
          <w:rFonts w:ascii="Times New Roman" w:hAnsi="Times New Roman" w:cs="Times New Roman"/>
        </w:rPr>
      </w:pPr>
      <w:r>
        <w:rPr>
          <w:rFonts w:ascii="Times New Roman" w:hAnsi="Times New Roman" w:cs="Times New Roman"/>
        </w:rPr>
        <w:t>Vs.</w:t>
      </w:r>
    </w:p>
    <w:p w:rsidR="00211A73" w:rsidRPr="00211A73" w:rsidRDefault="00211A73" w:rsidP="00211A73">
      <w:pPr>
        <w:jc w:val="center"/>
        <w:rPr>
          <w:rFonts w:ascii="Times New Roman" w:hAnsi="Times New Roman" w:cs="Times New Roman"/>
        </w:rPr>
      </w:pPr>
    </w:p>
    <w:p w:rsidR="00211A73" w:rsidRDefault="00211A73" w:rsidP="00211A73">
      <w:pPr>
        <w:jc w:val="center"/>
        <w:rPr>
          <w:rFonts w:ascii="Times New Roman" w:hAnsi="Times New Roman" w:cs="Times New Roman"/>
        </w:rPr>
      </w:pPr>
      <w:r>
        <w:rPr>
          <w:rFonts w:ascii="Times New Roman" w:hAnsi="Times New Roman" w:cs="Times New Roman"/>
        </w:rPr>
        <w:t>C.</w:t>
      </w:r>
      <w:r w:rsidRPr="00211A73">
        <w:rPr>
          <w:rFonts w:ascii="Times New Roman" w:hAnsi="Times New Roman" w:cs="Times New Roman"/>
        </w:rPr>
        <w:t>Thankarajan</w:t>
      </w:r>
    </w:p>
    <w:p w:rsidR="00211A73" w:rsidRDefault="00211A73" w:rsidP="00211A73">
      <w:pPr>
        <w:jc w:val="center"/>
        <w:rPr>
          <w:rFonts w:ascii="Times New Roman" w:hAnsi="Times New Roman" w:cs="Times New Roman"/>
        </w:rPr>
      </w:pPr>
    </w:p>
    <w:p w:rsidR="00211A73" w:rsidRDefault="00211A73" w:rsidP="00211A73">
      <w:pPr>
        <w:jc w:val="center"/>
        <w:rPr>
          <w:rFonts w:ascii="Times New Roman" w:hAnsi="Times New Roman" w:cs="Times New Roman"/>
        </w:rPr>
      </w:pPr>
      <w:r>
        <w:rPr>
          <w:rFonts w:ascii="Times New Roman" w:hAnsi="Times New Roman" w:cs="Times New Roman"/>
        </w:rPr>
        <w:t>C.A.</w:t>
      </w:r>
      <w:r w:rsidRPr="00211A73">
        <w:rPr>
          <w:rFonts w:ascii="Times New Roman" w:hAnsi="Times New Roman" w:cs="Times New Roman"/>
        </w:rPr>
        <w:t>21804-21805/2017</w:t>
      </w:r>
    </w:p>
    <w:p w:rsidR="00211A73" w:rsidRDefault="00211A73" w:rsidP="00211A73">
      <w:pPr>
        <w:jc w:val="center"/>
        <w:rPr>
          <w:rFonts w:ascii="Times New Roman" w:hAnsi="Times New Roman" w:cs="Times New Roman"/>
        </w:rPr>
      </w:pPr>
    </w:p>
    <w:p w:rsidR="00211A73" w:rsidRDefault="00211A73" w:rsidP="00211A73">
      <w:pPr>
        <w:jc w:val="center"/>
        <w:rPr>
          <w:rFonts w:ascii="Times New Roman" w:hAnsi="Times New Roman" w:cs="Times New Roman"/>
        </w:rPr>
      </w:pPr>
      <w:r>
        <w:rPr>
          <w:rFonts w:ascii="Times New Roman" w:hAnsi="Times New Roman" w:cs="Times New Roman"/>
        </w:rPr>
        <w:t>(Kurian Joseph and R.Banumathi,JJ.,)</w:t>
      </w:r>
    </w:p>
    <w:p w:rsidR="00211A73" w:rsidRDefault="00211A73" w:rsidP="00211A73">
      <w:pPr>
        <w:jc w:val="center"/>
        <w:rPr>
          <w:rFonts w:ascii="Times New Roman" w:hAnsi="Times New Roman" w:cs="Times New Roman"/>
        </w:rPr>
      </w:pPr>
    </w:p>
    <w:p w:rsidR="00211A73" w:rsidRDefault="00211A73" w:rsidP="00211A73">
      <w:pPr>
        <w:jc w:val="center"/>
        <w:rPr>
          <w:rFonts w:ascii="Times New Roman" w:hAnsi="Times New Roman" w:cs="Times New Roman"/>
        </w:rPr>
      </w:pPr>
      <w:r>
        <w:rPr>
          <w:rFonts w:ascii="Times New Roman" w:hAnsi="Times New Roman" w:cs="Times New Roman"/>
        </w:rPr>
        <w:t>12.12.2017</w:t>
      </w:r>
    </w:p>
    <w:p w:rsidR="00211A73" w:rsidRPr="00211A73" w:rsidRDefault="00211A73" w:rsidP="00211A73">
      <w:pPr>
        <w:jc w:val="center"/>
        <w:rPr>
          <w:rFonts w:ascii="Times New Roman" w:hAnsi="Times New Roman" w:cs="Times New Roman"/>
        </w:rPr>
      </w:pPr>
    </w:p>
    <w:p w:rsidR="00211A73" w:rsidRPr="00211A73" w:rsidRDefault="00211A73" w:rsidP="00211A73">
      <w:pPr>
        <w:jc w:val="center"/>
        <w:rPr>
          <w:rFonts w:ascii="Times New Roman" w:hAnsi="Times New Roman" w:cs="Times New Roman"/>
          <w:b/>
        </w:rPr>
      </w:pPr>
      <w:r w:rsidRPr="00211A73">
        <w:rPr>
          <w:rFonts w:ascii="Times New Roman" w:hAnsi="Times New Roman" w:cs="Times New Roman"/>
          <w:b/>
        </w:rPr>
        <w:t>JUGMENT</w:t>
      </w:r>
    </w:p>
    <w:p w:rsidR="00211A73" w:rsidRPr="00211A73" w:rsidRDefault="00211A73" w:rsidP="00211A73">
      <w:pPr>
        <w:jc w:val="both"/>
        <w:rPr>
          <w:rFonts w:ascii="Times New Roman" w:hAnsi="Times New Roman" w:cs="Times New Roman"/>
          <w:b/>
        </w:rPr>
      </w:pPr>
    </w:p>
    <w:p w:rsidR="00211A73" w:rsidRPr="00211A73" w:rsidRDefault="00211A73" w:rsidP="00211A73">
      <w:pPr>
        <w:jc w:val="both"/>
        <w:rPr>
          <w:rFonts w:ascii="Times New Roman" w:hAnsi="Times New Roman" w:cs="Times New Roman"/>
          <w:b/>
        </w:rPr>
      </w:pPr>
      <w:r w:rsidRPr="00211A73">
        <w:rPr>
          <w:rFonts w:ascii="Times New Roman" w:hAnsi="Times New Roman" w:cs="Times New Roman"/>
          <w:b/>
        </w:rPr>
        <w:t>Kurian Joseph,JJ.,</w:t>
      </w:r>
    </w:p>
    <w:p w:rsidR="00211A73" w:rsidRPr="00211A73" w:rsidRDefault="00211A73" w:rsidP="00211A73">
      <w:pPr>
        <w:jc w:val="both"/>
        <w:rPr>
          <w:rFonts w:ascii="Times New Roman" w:hAnsi="Times New Roman" w:cs="Times New Roman"/>
        </w:rPr>
      </w:pPr>
    </w:p>
    <w:p w:rsidR="00211A73" w:rsidRPr="00211A73" w:rsidRDefault="00211A73" w:rsidP="00211A73">
      <w:pPr>
        <w:jc w:val="both"/>
        <w:rPr>
          <w:rFonts w:ascii="Times New Roman" w:hAnsi="Times New Roman" w:cs="Times New Roman"/>
        </w:rPr>
      </w:pPr>
      <w:r>
        <w:rPr>
          <w:rFonts w:ascii="Times New Roman" w:hAnsi="Times New Roman" w:cs="Times New Roman"/>
        </w:rPr>
        <w:t>SLP (C) No.7476-7477 of 2015</w:t>
      </w:r>
    </w:p>
    <w:p w:rsidR="00211A73" w:rsidRPr="00211A73" w:rsidRDefault="00211A73" w:rsidP="00211A73">
      <w:pPr>
        <w:jc w:val="both"/>
        <w:rPr>
          <w:rFonts w:ascii="Times New Roman" w:hAnsi="Times New Roman" w:cs="Times New Roman"/>
        </w:rPr>
      </w:pPr>
      <w:r w:rsidRPr="00211A73">
        <w:rPr>
          <w:rFonts w:ascii="Times New Roman" w:hAnsi="Times New Roman" w:cs="Times New Roman"/>
        </w:rPr>
        <w:t xml:space="preserve"> </w:t>
      </w:r>
    </w:p>
    <w:p w:rsidR="00211A73" w:rsidRDefault="00211A73" w:rsidP="00211A73">
      <w:pPr>
        <w:jc w:val="both"/>
        <w:rPr>
          <w:rFonts w:ascii="Times New Roman" w:hAnsi="Times New Roman" w:cs="Times New Roman"/>
        </w:rPr>
      </w:pPr>
      <w:r>
        <w:rPr>
          <w:rFonts w:ascii="Times New Roman" w:hAnsi="Times New Roman" w:cs="Times New Roman"/>
        </w:rPr>
        <w:t xml:space="preserve">1. </w:t>
      </w:r>
      <w:r w:rsidRPr="00211A73">
        <w:rPr>
          <w:rFonts w:ascii="Times New Roman" w:hAnsi="Times New Roman" w:cs="Times New Roman"/>
        </w:rPr>
        <w:t>Leave granted.</w:t>
      </w:r>
    </w:p>
    <w:p w:rsidR="00211A73" w:rsidRPr="00211A73" w:rsidRDefault="00211A73" w:rsidP="00211A73">
      <w:pPr>
        <w:jc w:val="both"/>
        <w:rPr>
          <w:rFonts w:ascii="Times New Roman" w:hAnsi="Times New Roman" w:cs="Times New Roman"/>
        </w:rPr>
      </w:pPr>
    </w:p>
    <w:p w:rsidR="00211A73" w:rsidRDefault="00211A73" w:rsidP="00211A73">
      <w:pPr>
        <w:jc w:val="both"/>
        <w:rPr>
          <w:rFonts w:ascii="Times New Roman" w:hAnsi="Times New Roman" w:cs="Times New Roman"/>
        </w:rPr>
      </w:pPr>
      <w:r>
        <w:rPr>
          <w:rFonts w:ascii="Times New Roman" w:hAnsi="Times New Roman" w:cs="Times New Roman"/>
        </w:rPr>
        <w:t xml:space="preserve">2. </w:t>
      </w:r>
      <w:r w:rsidRPr="00211A73">
        <w:rPr>
          <w:rFonts w:ascii="Times New Roman" w:hAnsi="Times New Roman" w:cs="Times New Roman"/>
        </w:rPr>
        <w:t>The appellant has approached this Court challenging the orders passed by the High Court dated 19.06.2014 in Mat. Appeal No.211 of 2005 and order dated 10.10.2014 in R.P. No.498/2014. The issue pertains to partition. On account of impracticability of partitioning a small pathway which is around 6 feet wide, the High Court granted liberty to the respondent/C. Thankarajan to purchase the share of the appellant for a</w:t>
      </w:r>
      <w:r>
        <w:rPr>
          <w:rFonts w:ascii="Times New Roman" w:hAnsi="Times New Roman" w:cs="Times New Roman"/>
        </w:rPr>
        <w:t xml:space="preserve"> sum of Rs.50,000/-. Aggrieved, </w:t>
      </w:r>
      <w:r w:rsidRPr="00211A73">
        <w:rPr>
          <w:rFonts w:ascii="Times New Roman" w:hAnsi="Times New Roman" w:cs="Times New Roman"/>
        </w:rPr>
        <w:t>the appellant is before this Court.</w:t>
      </w:r>
    </w:p>
    <w:p w:rsidR="00211A73" w:rsidRPr="00211A73" w:rsidRDefault="00211A73" w:rsidP="00211A73">
      <w:pPr>
        <w:jc w:val="both"/>
        <w:rPr>
          <w:rFonts w:ascii="Times New Roman" w:hAnsi="Times New Roman" w:cs="Times New Roman"/>
        </w:rPr>
      </w:pPr>
    </w:p>
    <w:p w:rsidR="00211A73" w:rsidRPr="00211A73" w:rsidRDefault="00211A73" w:rsidP="00211A73">
      <w:pPr>
        <w:jc w:val="both"/>
        <w:rPr>
          <w:rFonts w:ascii="Times New Roman" w:hAnsi="Times New Roman" w:cs="Times New Roman"/>
        </w:rPr>
      </w:pPr>
      <w:r>
        <w:rPr>
          <w:rFonts w:ascii="Times New Roman" w:hAnsi="Times New Roman" w:cs="Times New Roman"/>
        </w:rPr>
        <w:t xml:space="preserve">3. </w:t>
      </w:r>
      <w:r w:rsidRPr="00211A73">
        <w:rPr>
          <w:rFonts w:ascii="Times New Roman" w:hAnsi="Times New Roman" w:cs="Times New Roman"/>
        </w:rPr>
        <w:t>The main question o</w:t>
      </w:r>
      <w:r>
        <w:rPr>
          <w:rFonts w:ascii="Times New Roman" w:hAnsi="Times New Roman" w:cs="Times New Roman"/>
        </w:rPr>
        <w:t xml:space="preserve">f law raised in this appeal is </w:t>
      </w:r>
      <w:r w:rsidRPr="00211A73">
        <w:rPr>
          <w:rFonts w:ascii="Times New Roman" w:hAnsi="Times New Roman" w:cs="Times New Roman"/>
        </w:rPr>
        <w:t>whether the appellant, having not challenged the preliminary decree, may challenge the final decree. It is contended that the High Court could not have m</w:t>
      </w:r>
      <w:r>
        <w:rPr>
          <w:rFonts w:ascii="Times New Roman" w:hAnsi="Times New Roman" w:cs="Times New Roman"/>
        </w:rPr>
        <w:t xml:space="preserve">odified the preliminary decree. We find it </w:t>
      </w:r>
      <w:r w:rsidRPr="00211A73">
        <w:rPr>
          <w:rFonts w:ascii="Times New Roman" w:hAnsi="Times New Roman" w:cs="Times New Roman"/>
        </w:rPr>
        <w:t>difficult to appreciate this contention. No doubt, the preliminary decree was for partition by metes and bounds. But at the stage of final decree, the High Court, having regard to the peculiar facts of this case, addressed the question of impracticability of partitioning a small pathway which is around 6 feet wide by metes and bounds. The High Court has also referred to Section 2 of the Partition Act in that regard.</w:t>
      </w:r>
    </w:p>
    <w:p w:rsidR="00211A73" w:rsidRDefault="00211A73" w:rsidP="00211A73">
      <w:pPr>
        <w:jc w:val="both"/>
        <w:rPr>
          <w:rFonts w:ascii="Times New Roman" w:hAnsi="Times New Roman" w:cs="Times New Roman"/>
        </w:rPr>
      </w:pPr>
    </w:p>
    <w:p w:rsidR="00211A73" w:rsidRPr="00211A73" w:rsidRDefault="00211A73" w:rsidP="00211A73">
      <w:pPr>
        <w:jc w:val="both"/>
        <w:rPr>
          <w:rFonts w:ascii="Times New Roman" w:hAnsi="Times New Roman" w:cs="Times New Roman"/>
        </w:rPr>
      </w:pPr>
      <w:r>
        <w:rPr>
          <w:rFonts w:ascii="Times New Roman" w:hAnsi="Times New Roman" w:cs="Times New Roman"/>
        </w:rPr>
        <w:t xml:space="preserve">4. </w:t>
      </w:r>
      <w:r w:rsidRPr="00211A73">
        <w:rPr>
          <w:rFonts w:ascii="Times New Roman" w:hAnsi="Times New Roman" w:cs="Times New Roman"/>
        </w:rPr>
        <w:t xml:space="preserve"> In the facts of this case and having regard to the provision under Section 2 of the Partition Act, the view taken by the High Court cannot be faulted.</w:t>
      </w:r>
    </w:p>
    <w:p w:rsidR="00211A73" w:rsidRDefault="00211A73" w:rsidP="00211A73">
      <w:pPr>
        <w:jc w:val="both"/>
        <w:rPr>
          <w:rFonts w:ascii="Times New Roman" w:hAnsi="Times New Roman" w:cs="Times New Roman"/>
        </w:rPr>
      </w:pPr>
    </w:p>
    <w:p w:rsidR="00211A73" w:rsidRPr="00211A73" w:rsidRDefault="00211A73" w:rsidP="00211A73">
      <w:pPr>
        <w:jc w:val="both"/>
        <w:rPr>
          <w:rFonts w:ascii="Times New Roman" w:hAnsi="Times New Roman" w:cs="Times New Roman"/>
        </w:rPr>
      </w:pPr>
      <w:r>
        <w:rPr>
          <w:rFonts w:ascii="Times New Roman" w:hAnsi="Times New Roman" w:cs="Times New Roman"/>
        </w:rPr>
        <w:t xml:space="preserve">5. </w:t>
      </w:r>
      <w:r w:rsidRPr="00211A73">
        <w:rPr>
          <w:rFonts w:ascii="Times New Roman" w:hAnsi="Times New Roman" w:cs="Times New Roman"/>
        </w:rPr>
        <w:t xml:space="preserve"> However, we find that the amount fixed by the High Court i.e. Rs.50,000/- for the total share, in our view, as on date is too low. Therefore, in the fitness of things and in the interest of justice it would only be just and proper to direct the respondent to pay a further sum of Rs.1,00,000/- in addition to what the High Court has already fixed. Ordered accordingly.</w:t>
      </w:r>
    </w:p>
    <w:p w:rsidR="00211A73" w:rsidRDefault="00211A73" w:rsidP="00211A73">
      <w:pPr>
        <w:jc w:val="both"/>
        <w:rPr>
          <w:rFonts w:ascii="Times New Roman" w:hAnsi="Times New Roman" w:cs="Times New Roman"/>
        </w:rPr>
      </w:pPr>
    </w:p>
    <w:p w:rsidR="00211A73" w:rsidRPr="00211A73" w:rsidRDefault="00211A73" w:rsidP="00211A73">
      <w:pPr>
        <w:jc w:val="both"/>
        <w:rPr>
          <w:rFonts w:ascii="Times New Roman" w:hAnsi="Times New Roman" w:cs="Times New Roman"/>
        </w:rPr>
      </w:pPr>
      <w:r>
        <w:rPr>
          <w:rFonts w:ascii="Times New Roman" w:hAnsi="Times New Roman" w:cs="Times New Roman"/>
        </w:rPr>
        <w:t xml:space="preserve">6. </w:t>
      </w:r>
      <w:r w:rsidRPr="00211A73">
        <w:rPr>
          <w:rFonts w:ascii="Times New Roman" w:hAnsi="Times New Roman" w:cs="Times New Roman"/>
        </w:rPr>
        <w:t xml:space="preserve"> The appeals are, accordingly, disposed of.</w:t>
      </w:r>
    </w:p>
    <w:p w:rsidR="00211A73" w:rsidRDefault="00211A73" w:rsidP="00211A73">
      <w:pPr>
        <w:jc w:val="both"/>
        <w:rPr>
          <w:rFonts w:ascii="Times New Roman" w:hAnsi="Times New Roman" w:cs="Times New Roman"/>
        </w:rPr>
      </w:pPr>
    </w:p>
    <w:p w:rsidR="00211A73" w:rsidRPr="00211A73" w:rsidRDefault="00211A73" w:rsidP="00211A73">
      <w:pPr>
        <w:jc w:val="both"/>
        <w:rPr>
          <w:rFonts w:ascii="Times New Roman" w:hAnsi="Times New Roman" w:cs="Times New Roman"/>
        </w:rPr>
      </w:pPr>
      <w:r>
        <w:rPr>
          <w:rFonts w:ascii="Times New Roman" w:hAnsi="Times New Roman" w:cs="Times New Roman"/>
        </w:rPr>
        <w:t xml:space="preserve">7. </w:t>
      </w:r>
      <w:r w:rsidRPr="00211A73">
        <w:rPr>
          <w:rFonts w:ascii="Times New Roman" w:hAnsi="Times New Roman" w:cs="Times New Roman"/>
        </w:rPr>
        <w:t xml:space="preserve"> Pending applications, if any, shall stand disposed of.</w:t>
      </w:r>
    </w:p>
    <w:p w:rsidR="00211A73" w:rsidRDefault="00211A73" w:rsidP="00211A73">
      <w:pPr>
        <w:jc w:val="both"/>
        <w:rPr>
          <w:rFonts w:ascii="Times New Roman" w:hAnsi="Times New Roman" w:cs="Times New Roman"/>
        </w:rPr>
      </w:pPr>
    </w:p>
    <w:p w:rsidR="00211A73" w:rsidRPr="00211A73" w:rsidRDefault="00211A73" w:rsidP="00211A73">
      <w:pPr>
        <w:jc w:val="both"/>
        <w:rPr>
          <w:rFonts w:ascii="Times New Roman" w:hAnsi="Times New Roman" w:cs="Times New Roman"/>
        </w:rPr>
      </w:pPr>
      <w:r>
        <w:rPr>
          <w:rFonts w:ascii="Times New Roman" w:hAnsi="Times New Roman" w:cs="Times New Roman"/>
        </w:rPr>
        <w:t xml:space="preserve">8. </w:t>
      </w:r>
      <w:r w:rsidRPr="00211A73">
        <w:rPr>
          <w:rFonts w:ascii="Times New Roman" w:hAnsi="Times New Roman" w:cs="Times New Roman"/>
        </w:rPr>
        <w:t xml:space="preserve"> There shall be no orders as to costs.</w:t>
      </w:r>
    </w:p>
    <w:p w:rsidR="00211A73" w:rsidRPr="00387D6A" w:rsidRDefault="00211A73" w:rsidP="00211A73">
      <w:pPr>
        <w:jc w:val="both"/>
        <w:rPr>
          <w:rFonts w:ascii="Times New Roman" w:hAnsi="Times New Roman" w:cs="Times New Roman"/>
        </w:rPr>
      </w:pPr>
      <w:r w:rsidRPr="00211A73">
        <w:rPr>
          <w:rFonts w:ascii="Times New Roman" w:hAnsi="Times New Roman" w:cs="Times New Roman"/>
        </w:rPr>
        <w:tab/>
      </w:r>
    </w:p>
    <w:p w:rsidR="00211A73" w:rsidRPr="00387D6A" w:rsidRDefault="00211A73" w:rsidP="00211A73">
      <w:pPr>
        <w:jc w:val="both"/>
        <w:rPr>
          <w:rFonts w:ascii="Times New Roman" w:hAnsi="Times New Roman" w:cs="Times New Roman"/>
        </w:rPr>
      </w:pPr>
    </w:p>
    <w:sectPr w:rsidR="00211A73" w:rsidRPr="00387D6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429" w:rsidRDefault="00E23429" w:rsidP="00CF3BB7">
      <w:r>
        <w:separator/>
      </w:r>
    </w:p>
  </w:endnote>
  <w:endnote w:type="continuationSeparator" w:id="1">
    <w:p w:rsidR="00E23429" w:rsidRDefault="00E2342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41EF6" w:rsidRPr="00CF3BB7">
          <w:rPr>
            <w:sz w:val="22"/>
            <w:szCs w:val="22"/>
          </w:rPr>
          <w:fldChar w:fldCharType="begin"/>
        </w:r>
        <w:r w:rsidRPr="00CF3BB7">
          <w:rPr>
            <w:sz w:val="22"/>
            <w:szCs w:val="22"/>
          </w:rPr>
          <w:instrText xml:space="preserve"> PAGE   \* MERGEFORMAT </w:instrText>
        </w:r>
        <w:r w:rsidR="00F41EF6" w:rsidRPr="00CF3BB7">
          <w:rPr>
            <w:sz w:val="22"/>
            <w:szCs w:val="22"/>
          </w:rPr>
          <w:fldChar w:fldCharType="separate"/>
        </w:r>
        <w:r w:rsidR="00E23429">
          <w:rPr>
            <w:noProof/>
            <w:sz w:val="22"/>
            <w:szCs w:val="22"/>
          </w:rPr>
          <w:t>1</w:t>
        </w:r>
        <w:r w:rsidR="00F41EF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429" w:rsidRDefault="00E23429" w:rsidP="00CF3BB7">
      <w:r>
        <w:separator/>
      </w:r>
    </w:p>
  </w:footnote>
  <w:footnote w:type="continuationSeparator" w:id="1">
    <w:p w:rsidR="00E23429" w:rsidRDefault="00E2342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254"/>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6C6E"/>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856EC"/>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429"/>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2018-01-04T08:01:00Z</cp:lastPrinted>
  <dcterms:created xsi:type="dcterms:W3CDTF">2018-01-04T08:12:00Z</dcterms:created>
  <dcterms:modified xsi:type="dcterms:W3CDTF">2018-01-04T08:12:00Z</dcterms:modified>
</cp:coreProperties>
</file>