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20D" w:rsidRPr="000318AF" w:rsidRDefault="0024520D" w:rsidP="000318AF">
      <w:pPr>
        <w:jc w:val="center"/>
        <w:rPr>
          <w:b/>
          <w:bCs/>
        </w:rPr>
      </w:pPr>
      <w:r w:rsidRPr="000318AF">
        <w:rPr>
          <w:b/>
          <w:bCs/>
        </w:rPr>
        <w:t>SUPREME COURT OF INDIA</w:t>
      </w:r>
    </w:p>
    <w:p w:rsidR="000318AF" w:rsidRDefault="000318AF" w:rsidP="000318AF">
      <w:pPr>
        <w:jc w:val="center"/>
      </w:pPr>
    </w:p>
    <w:p w:rsidR="000318AF" w:rsidRDefault="0024520D" w:rsidP="000318AF">
      <w:pPr>
        <w:jc w:val="center"/>
      </w:pPr>
      <w:r>
        <w:t>Mohd. Ali</w:t>
      </w:r>
    </w:p>
    <w:p w:rsidR="000318AF" w:rsidRDefault="000318AF" w:rsidP="000318AF">
      <w:pPr>
        <w:jc w:val="center"/>
      </w:pPr>
    </w:p>
    <w:p w:rsidR="0024520D" w:rsidRDefault="000318AF" w:rsidP="000318AF">
      <w:pPr>
        <w:jc w:val="center"/>
      </w:pPr>
      <w:r>
        <w:t>Vs.</w:t>
      </w:r>
    </w:p>
    <w:p w:rsidR="000318AF" w:rsidRDefault="000318AF" w:rsidP="000318AF">
      <w:pPr>
        <w:jc w:val="center"/>
      </w:pPr>
    </w:p>
    <w:p w:rsidR="000318AF" w:rsidRDefault="0024520D" w:rsidP="000318AF">
      <w:pPr>
        <w:jc w:val="center"/>
      </w:pPr>
      <w:r>
        <w:t>State of H.P.</w:t>
      </w:r>
    </w:p>
    <w:p w:rsidR="000318AF" w:rsidRDefault="000318AF" w:rsidP="000318AF">
      <w:pPr>
        <w:jc w:val="center"/>
      </w:pPr>
    </w:p>
    <w:p w:rsidR="000318AF" w:rsidRDefault="000318AF" w:rsidP="000318AF">
      <w:pPr>
        <w:jc w:val="center"/>
      </w:pPr>
      <w:r>
        <w:t>C.A.No.3803 of 2018</w:t>
      </w:r>
    </w:p>
    <w:p w:rsidR="000318AF" w:rsidRDefault="000318AF" w:rsidP="000318AF">
      <w:pPr>
        <w:jc w:val="center"/>
      </w:pPr>
    </w:p>
    <w:p w:rsidR="000318AF" w:rsidRDefault="000318AF" w:rsidP="000318AF">
      <w:pPr>
        <w:jc w:val="center"/>
      </w:pPr>
      <w:r>
        <w:t>(R.K.Agrawal and S.Abdul Nazeer,JJ.,)</w:t>
      </w:r>
    </w:p>
    <w:p w:rsidR="000318AF" w:rsidRDefault="000318AF" w:rsidP="000318AF">
      <w:pPr>
        <w:jc w:val="center"/>
      </w:pPr>
    </w:p>
    <w:p w:rsidR="000318AF" w:rsidRDefault="000318AF" w:rsidP="000318AF">
      <w:pPr>
        <w:jc w:val="center"/>
      </w:pPr>
      <w:r>
        <w:t>16.04.2018</w:t>
      </w:r>
    </w:p>
    <w:p w:rsidR="000318AF" w:rsidRPr="000318AF" w:rsidRDefault="000318AF" w:rsidP="000318AF">
      <w:pPr>
        <w:jc w:val="center"/>
        <w:rPr>
          <w:b/>
          <w:bCs/>
        </w:rPr>
      </w:pPr>
    </w:p>
    <w:p w:rsidR="0024520D" w:rsidRPr="000318AF" w:rsidRDefault="000318AF" w:rsidP="000318AF">
      <w:pPr>
        <w:jc w:val="center"/>
        <w:rPr>
          <w:b/>
          <w:bCs/>
        </w:rPr>
      </w:pPr>
      <w:r w:rsidRPr="000318AF">
        <w:rPr>
          <w:b/>
          <w:bCs/>
        </w:rPr>
        <w:t>JUDGMENT</w:t>
      </w:r>
    </w:p>
    <w:p w:rsidR="000318AF" w:rsidRPr="000318AF" w:rsidRDefault="000318AF" w:rsidP="0024520D">
      <w:pPr>
        <w:jc w:val="both"/>
        <w:rPr>
          <w:b/>
          <w:bCs/>
        </w:rPr>
      </w:pPr>
    </w:p>
    <w:p w:rsidR="0024520D" w:rsidRPr="000318AF" w:rsidRDefault="000318AF" w:rsidP="0024520D">
      <w:pPr>
        <w:jc w:val="both"/>
        <w:rPr>
          <w:b/>
          <w:bCs/>
        </w:rPr>
      </w:pPr>
      <w:r w:rsidRPr="000318AF">
        <w:rPr>
          <w:b/>
          <w:bCs/>
        </w:rPr>
        <w:t>R.K.Agrawal,</w:t>
      </w:r>
      <w:r w:rsidR="0024520D" w:rsidRPr="000318AF">
        <w:rPr>
          <w:b/>
          <w:bCs/>
        </w:rPr>
        <w:t>J.</w:t>
      </w:r>
      <w:r w:rsidRPr="000318AF">
        <w:rPr>
          <w:b/>
          <w:bCs/>
        </w:rPr>
        <w:t>,</w:t>
      </w:r>
    </w:p>
    <w:p w:rsidR="000318AF" w:rsidRDefault="000318AF" w:rsidP="0024520D">
      <w:pPr>
        <w:jc w:val="both"/>
      </w:pPr>
    </w:p>
    <w:p w:rsidR="000318AF" w:rsidRDefault="000318AF" w:rsidP="000318AF">
      <w:pPr>
        <w:jc w:val="both"/>
      </w:pPr>
      <w:r>
        <w:t>SLP(C)No.19160 of 2015</w:t>
      </w:r>
    </w:p>
    <w:p w:rsidR="000318AF" w:rsidRDefault="000318AF" w:rsidP="0024520D">
      <w:pPr>
        <w:jc w:val="both"/>
      </w:pPr>
    </w:p>
    <w:p w:rsidR="0024520D" w:rsidRDefault="000318AF" w:rsidP="0024520D">
      <w:pPr>
        <w:jc w:val="both"/>
      </w:pPr>
      <w:r>
        <w:t>1.</w:t>
      </w:r>
      <w:r w:rsidR="0024520D">
        <w:t xml:space="preserve"> Leave granted.</w:t>
      </w:r>
    </w:p>
    <w:p w:rsidR="000318AF" w:rsidRDefault="000318AF" w:rsidP="0024520D">
      <w:pPr>
        <w:jc w:val="both"/>
      </w:pPr>
    </w:p>
    <w:p w:rsidR="0024520D" w:rsidRDefault="000318AF" w:rsidP="0024520D">
      <w:pPr>
        <w:jc w:val="both"/>
      </w:pPr>
      <w:r>
        <w:t xml:space="preserve">2. </w:t>
      </w:r>
      <w:r w:rsidR="0024520D">
        <w:t>The present appeal has been filed against the impugned judgment and order dated 18.11.2014 passed by the Division Bench of the High Court of Himachal Pradesh at Shimla in LPA No. 209 of 2011 whereby the High Court dismissed the appeal filed by the appellant herein against the judgment and order dated 07.07.2010 passed by learned single Judge in</w:t>
      </w:r>
    </w:p>
    <w:p w:rsidR="000318AF" w:rsidRDefault="000318AF" w:rsidP="0024520D">
      <w:pPr>
        <w:jc w:val="both"/>
      </w:pPr>
    </w:p>
    <w:p w:rsidR="0024520D" w:rsidRDefault="000318AF" w:rsidP="0024520D">
      <w:pPr>
        <w:jc w:val="both"/>
      </w:pPr>
      <w:r>
        <w:t xml:space="preserve">3. </w:t>
      </w:r>
      <w:r w:rsidR="0024520D">
        <w:t>Brief Facts:-</w:t>
      </w:r>
    </w:p>
    <w:p w:rsidR="000318AF" w:rsidRDefault="000318AF" w:rsidP="0024520D">
      <w:pPr>
        <w:jc w:val="both"/>
      </w:pPr>
    </w:p>
    <w:p w:rsidR="0024520D" w:rsidRDefault="000318AF" w:rsidP="000318AF">
      <w:pPr>
        <w:ind w:left="720"/>
        <w:jc w:val="both"/>
      </w:pPr>
      <w:r>
        <w:t xml:space="preserve">(a). </w:t>
      </w:r>
      <w:r w:rsidR="0024520D">
        <w:t xml:space="preserve"> Mohd. Ali-the appellant herein was engaged as Casual Labourer in the Agriculture Seed Multiplication Farm Bhagni, Dist. Sirmor, Himachal Pradesh on Muster roll basis during the year 1980. He worked as such till the year 1991 under different work schemes i.e., Rabi and Kharif and completed 240 days in a calendar year during the years 1980, 1981, 1982 and 1986 to 1989.</w:t>
      </w:r>
    </w:p>
    <w:p w:rsidR="000318AF" w:rsidRDefault="000318AF" w:rsidP="000318AF">
      <w:pPr>
        <w:ind w:left="720"/>
        <w:jc w:val="both"/>
      </w:pPr>
    </w:p>
    <w:p w:rsidR="0024520D" w:rsidRDefault="000318AF" w:rsidP="000318AF">
      <w:pPr>
        <w:ind w:left="720"/>
        <w:jc w:val="both"/>
      </w:pPr>
      <w:r>
        <w:t xml:space="preserve">(b) </w:t>
      </w:r>
      <w:r w:rsidR="0024520D">
        <w:t xml:space="preserve"> It is the case of the respondents that during the period of</w:t>
      </w:r>
      <w:r>
        <w:t xml:space="preserve"> </w:t>
      </w:r>
      <w:r w:rsidR="0024520D">
        <w:t>engagement, the appellant had worked as follows:-</w:t>
      </w:r>
    </w:p>
    <w:p w:rsidR="000318AF" w:rsidRDefault="000318AF" w:rsidP="000318AF">
      <w:pPr>
        <w:ind w:left="720"/>
        <w:jc w:val="both"/>
      </w:pPr>
    </w:p>
    <w:tbl>
      <w:tblPr>
        <w:tblStyle w:val="TableGrid"/>
        <w:tblW w:w="957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0318AF" w:rsidTr="000318AF">
        <w:tc>
          <w:tcPr>
            <w:tcW w:w="3192" w:type="dxa"/>
          </w:tcPr>
          <w:p w:rsidR="000318AF" w:rsidRDefault="000318AF" w:rsidP="0024520D">
            <w:pPr>
              <w:jc w:val="both"/>
            </w:pPr>
            <w:r>
              <w:t>S.No.</w:t>
            </w:r>
          </w:p>
        </w:tc>
        <w:tc>
          <w:tcPr>
            <w:tcW w:w="3192" w:type="dxa"/>
          </w:tcPr>
          <w:p w:rsidR="000318AF" w:rsidRDefault="000318AF" w:rsidP="0024520D">
            <w:pPr>
              <w:jc w:val="both"/>
            </w:pPr>
            <w:r>
              <w:t>Year</w:t>
            </w:r>
          </w:p>
        </w:tc>
        <w:tc>
          <w:tcPr>
            <w:tcW w:w="3192" w:type="dxa"/>
          </w:tcPr>
          <w:p w:rsidR="000318AF" w:rsidRDefault="000318AF" w:rsidP="0024520D">
            <w:pPr>
              <w:jc w:val="both"/>
            </w:pPr>
            <w:r>
              <w:t>Number of days worked.</w:t>
            </w:r>
          </w:p>
        </w:tc>
      </w:tr>
      <w:tr w:rsidR="000318AF" w:rsidTr="000318AF">
        <w:tc>
          <w:tcPr>
            <w:tcW w:w="3192" w:type="dxa"/>
          </w:tcPr>
          <w:p w:rsidR="000318AF" w:rsidRDefault="000318AF" w:rsidP="0024520D">
            <w:pPr>
              <w:jc w:val="both"/>
            </w:pPr>
            <w:r>
              <w:t>1.</w:t>
            </w:r>
          </w:p>
        </w:tc>
        <w:tc>
          <w:tcPr>
            <w:tcW w:w="3192" w:type="dxa"/>
          </w:tcPr>
          <w:p w:rsidR="000318AF" w:rsidRDefault="000318AF" w:rsidP="0024520D">
            <w:pPr>
              <w:jc w:val="both"/>
            </w:pPr>
            <w:r>
              <w:t>1980</w:t>
            </w:r>
          </w:p>
        </w:tc>
        <w:tc>
          <w:tcPr>
            <w:tcW w:w="3192" w:type="dxa"/>
          </w:tcPr>
          <w:p w:rsidR="000318AF" w:rsidRDefault="000318AF" w:rsidP="0024520D">
            <w:pPr>
              <w:jc w:val="both"/>
            </w:pPr>
            <w:r>
              <w:t>299</w:t>
            </w:r>
          </w:p>
        </w:tc>
      </w:tr>
      <w:tr w:rsidR="000318AF" w:rsidTr="000318AF">
        <w:tc>
          <w:tcPr>
            <w:tcW w:w="3192" w:type="dxa"/>
          </w:tcPr>
          <w:p w:rsidR="000318AF" w:rsidRDefault="000318AF" w:rsidP="0024520D">
            <w:pPr>
              <w:jc w:val="both"/>
            </w:pPr>
            <w:r>
              <w:t>2.</w:t>
            </w:r>
          </w:p>
        </w:tc>
        <w:tc>
          <w:tcPr>
            <w:tcW w:w="3192" w:type="dxa"/>
          </w:tcPr>
          <w:p w:rsidR="000318AF" w:rsidRDefault="000318AF" w:rsidP="0024520D">
            <w:pPr>
              <w:jc w:val="both"/>
            </w:pPr>
            <w:r>
              <w:t>1981</w:t>
            </w:r>
          </w:p>
        </w:tc>
        <w:tc>
          <w:tcPr>
            <w:tcW w:w="3192" w:type="dxa"/>
          </w:tcPr>
          <w:p w:rsidR="000318AF" w:rsidRDefault="000318AF" w:rsidP="0024520D">
            <w:pPr>
              <w:jc w:val="both"/>
            </w:pPr>
            <w:r>
              <w:t>297.5</w:t>
            </w:r>
          </w:p>
        </w:tc>
      </w:tr>
      <w:tr w:rsidR="000318AF" w:rsidTr="000318AF">
        <w:tc>
          <w:tcPr>
            <w:tcW w:w="3192" w:type="dxa"/>
          </w:tcPr>
          <w:p w:rsidR="000318AF" w:rsidRDefault="000318AF" w:rsidP="0024520D">
            <w:pPr>
              <w:jc w:val="both"/>
            </w:pPr>
            <w:r>
              <w:t>3.</w:t>
            </w:r>
          </w:p>
        </w:tc>
        <w:tc>
          <w:tcPr>
            <w:tcW w:w="3192" w:type="dxa"/>
          </w:tcPr>
          <w:p w:rsidR="000318AF" w:rsidRDefault="000318AF" w:rsidP="0024520D">
            <w:pPr>
              <w:jc w:val="both"/>
            </w:pPr>
            <w:r>
              <w:t>1982</w:t>
            </w:r>
          </w:p>
        </w:tc>
        <w:tc>
          <w:tcPr>
            <w:tcW w:w="3192" w:type="dxa"/>
          </w:tcPr>
          <w:p w:rsidR="000318AF" w:rsidRDefault="000318AF" w:rsidP="0024520D">
            <w:pPr>
              <w:jc w:val="both"/>
            </w:pPr>
            <w:r>
              <w:t>289.5</w:t>
            </w:r>
          </w:p>
        </w:tc>
      </w:tr>
      <w:tr w:rsidR="000318AF" w:rsidTr="000318AF">
        <w:tc>
          <w:tcPr>
            <w:tcW w:w="3192" w:type="dxa"/>
          </w:tcPr>
          <w:p w:rsidR="000318AF" w:rsidRDefault="000318AF" w:rsidP="0024520D">
            <w:pPr>
              <w:jc w:val="both"/>
            </w:pPr>
            <w:r>
              <w:t>4.</w:t>
            </w:r>
          </w:p>
        </w:tc>
        <w:tc>
          <w:tcPr>
            <w:tcW w:w="3192" w:type="dxa"/>
          </w:tcPr>
          <w:p w:rsidR="000318AF" w:rsidRDefault="000318AF" w:rsidP="0024520D">
            <w:pPr>
              <w:jc w:val="both"/>
            </w:pPr>
            <w:r>
              <w:t>1983</w:t>
            </w:r>
          </w:p>
        </w:tc>
        <w:tc>
          <w:tcPr>
            <w:tcW w:w="3192" w:type="dxa"/>
          </w:tcPr>
          <w:p w:rsidR="000318AF" w:rsidRDefault="000318AF" w:rsidP="0024520D">
            <w:pPr>
              <w:jc w:val="both"/>
            </w:pPr>
            <w:r>
              <w:t>126</w:t>
            </w:r>
          </w:p>
        </w:tc>
      </w:tr>
      <w:tr w:rsidR="000318AF" w:rsidTr="000318AF">
        <w:tc>
          <w:tcPr>
            <w:tcW w:w="3192" w:type="dxa"/>
          </w:tcPr>
          <w:p w:rsidR="000318AF" w:rsidRDefault="000318AF" w:rsidP="0024520D">
            <w:pPr>
              <w:jc w:val="both"/>
            </w:pPr>
            <w:r>
              <w:t>5.</w:t>
            </w:r>
          </w:p>
        </w:tc>
        <w:tc>
          <w:tcPr>
            <w:tcW w:w="3192" w:type="dxa"/>
          </w:tcPr>
          <w:p w:rsidR="000318AF" w:rsidRDefault="000318AF" w:rsidP="0024520D">
            <w:pPr>
              <w:jc w:val="both"/>
            </w:pPr>
            <w:r>
              <w:t>1984</w:t>
            </w:r>
          </w:p>
        </w:tc>
        <w:tc>
          <w:tcPr>
            <w:tcW w:w="3192" w:type="dxa"/>
          </w:tcPr>
          <w:p w:rsidR="000318AF" w:rsidRDefault="000318AF" w:rsidP="0024520D">
            <w:pPr>
              <w:jc w:val="both"/>
            </w:pPr>
            <w:r>
              <w:t>4.5</w:t>
            </w:r>
          </w:p>
        </w:tc>
      </w:tr>
      <w:tr w:rsidR="000318AF" w:rsidTr="000318AF">
        <w:tc>
          <w:tcPr>
            <w:tcW w:w="3192" w:type="dxa"/>
          </w:tcPr>
          <w:p w:rsidR="000318AF" w:rsidRDefault="000318AF" w:rsidP="0024520D">
            <w:pPr>
              <w:jc w:val="both"/>
            </w:pPr>
            <w:r>
              <w:t>6.</w:t>
            </w:r>
          </w:p>
        </w:tc>
        <w:tc>
          <w:tcPr>
            <w:tcW w:w="3192" w:type="dxa"/>
          </w:tcPr>
          <w:p w:rsidR="000318AF" w:rsidRDefault="000318AF" w:rsidP="0024520D">
            <w:pPr>
              <w:jc w:val="both"/>
            </w:pPr>
            <w:r>
              <w:t>1985</w:t>
            </w:r>
          </w:p>
        </w:tc>
        <w:tc>
          <w:tcPr>
            <w:tcW w:w="3192" w:type="dxa"/>
          </w:tcPr>
          <w:p w:rsidR="000318AF" w:rsidRDefault="000318AF" w:rsidP="0024520D">
            <w:pPr>
              <w:jc w:val="both"/>
            </w:pPr>
            <w:r>
              <w:t>227</w:t>
            </w:r>
          </w:p>
        </w:tc>
      </w:tr>
      <w:tr w:rsidR="000318AF" w:rsidTr="000318AF">
        <w:tc>
          <w:tcPr>
            <w:tcW w:w="3192" w:type="dxa"/>
          </w:tcPr>
          <w:p w:rsidR="000318AF" w:rsidRDefault="000318AF" w:rsidP="0024520D">
            <w:pPr>
              <w:jc w:val="both"/>
            </w:pPr>
            <w:r>
              <w:lastRenderedPageBreak/>
              <w:t>7.</w:t>
            </w:r>
          </w:p>
        </w:tc>
        <w:tc>
          <w:tcPr>
            <w:tcW w:w="3192" w:type="dxa"/>
          </w:tcPr>
          <w:p w:rsidR="000318AF" w:rsidRDefault="000318AF" w:rsidP="0024520D">
            <w:pPr>
              <w:jc w:val="both"/>
            </w:pPr>
            <w:r>
              <w:t>1986</w:t>
            </w:r>
          </w:p>
        </w:tc>
        <w:tc>
          <w:tcPr>
            <w:tcW w:w="3192" w:type="dxa"/>
          </w:tcPr>
          <w:p w:rsidR="000318AF" w:rsidRDefault="000318AF" w:rsidP="0024520D">
            <w:pPr>
              <w:jc w:val="both"/>
            </w:pPr>
            <w:r>
              <w:t>292</w:t>
            </w:r>
          </w:p>
        </w:tc>
      </w:tr>
      <w:tr w:rsidR="000318AF" w:rsidTr="000318AF">
        <w:tc>
          <w:tcPr>
            <w:tcW w:w="3192" w:type="dxa"/>
          </w:tcPr>
          <w:p w:rsidR="000318AF" w:rsidRDefault="000318AF" w:rsidP="0024520D">
            <w:pPr>
              <w:jc w:val="both"/>
            </w:pPr>
            <w:r>
              <w:t>8.</w:t>
            </w:r>
          </w:p>
        </w:tc>
        <w:tc>
          <w:tcPr>
            <w:tcW w:w="3192" w:type="dxa"/>
          </w:tcPr>
          <w:p w:rsidR="000318AF" w:rsidRDefault="000318AF" w:rsidP="0024520D">
            <w:pPr>
              <w:jc w:val="both"/>
            </w:pPr>
            <w:r>
              <w:t>1987</w:t>
            </w:r>
          </w:p>
        </w:tc>
        <w:tc>
          <w:tcPr>
            <w:tcW w:w="3192" w:type="dxa"/>
          </w:tcPr>
          <w:p w:rsidR="000318AF" w:rsidRDefault="000318AF" w:rsidP="0024520D">
            <w:pPr>
              <w:jc w:val="both"/>
            </w:pPr>
            <w:r>
              <w:t>284.5</w:t>
            </w:r>
          </w:p>
        </w:tc>
      </w:tr>
      <w:tr w:rsidR="000318AF" w:rsidTr="000318AF">
        <w:tc>
          <w:tcPr>
            <w:tcW w:w="3192" w:type="dxa"/>
          </w:tcPr>
          <w:p w:rsidR="000318AF" w:rsidRDefault="000318AF" w:rsidP="0024520D">
            <w:pPr>
              <w:jc w:val="both"/>
            </w:pPr>
            <w:r>
              <w:t>9.</w:t>
            </w:r>
          </w:p>
        </w:tc>
        <w:tc>
          <w:tcPr>
            <w:tcW w:w="3192" w:type="dxa"/>
          </w:tcPr>
          <w:p w:rsidR="000318AF" w:rsidRDefault="000318AF" w:rsidP="0024520D">
            <w:pPr>
              <w:jc w:val="both"/>
            </w:pPr>
            <w:r>
              <w:t>1988</w:t>
            </w:r>
          </w:p>
        </w:tc>
        <w:tc>
          <w:tcPr>
            <w:tcW w:w="3192" w:type="dxa"/>
          </w:tcPr>
          <w:p w:rsidR="000318AF" w:rsidRDefault="000318AF" w:rsidP="0024520D">
            <w:pPr>
              <w:jc w:val="both"/>
            </w:pPr>
            <w:r>
              <w:t>282</w:t>
            </w:r>
          </w:p>
        </w:tc>
      </w:tr>
      <w:tr w:rsidR="000318AF" w:rsidTr="000318AF">
        <w:tc>
          <w:tcPr>
            <w:tcW w:w="3192" w:type="dxa"/>
          </w:tcPr>
          <w:p w:rsidR="000318AF" w:rsidRDefault="000318AF" w:rsidP="0024520D">
            <w:pPr>
              <w:jc w:val="both"/>
            </w:pPr>
            <w:r>
              <w:t>10.</w:t>
            </w:r>
          </w:p>
        </w:tc>
        <w:tc>
          <w:tcPr>
            <w:tcW w:w="3192" w:type="dxa"/>
          </w:tcPr>
          <w:p w:rsidR="000318AF" w:rsidRDefault="000318AF" w:rsidP="0024520D">
            <w:pPr>
              <w:jc w:val="both"/>
            </w:pPr>
            <w:r>
              <w:t>1989</w:t>
            </w:r>
          </w:p>
        </w:tc>
        <w:tc>
          <w:tcPr>
            <w:tcW w:w="3192" w:type="dxa"/>
          </w:tcPr>
          <w:p w:rsidR="000318AF" w:rsidRDefault="000318AF" w:rsidP="0024520D">
            <w:pPr>
              <w:jc w:val="both"/>
            </w:pPr>
            <w:r>
              <w:t>258</w:t>
            </w:r>
          </w:p>
        </w:tc>
      </w:tr>
      <w:tr w:rsidR="000318AF" w:rsidTr="000318AF">
        <w:tc>
          <w:tcPr>
            <w:tcW w:w="3192" w:type="dxa"/>
          </w:tcPr>
          <w:p w:rsidR="000318AF" w:rsidRDefault="000318AF" w:rsidP="0024520D">
            <w:pPr>
              <w:jc w:val="both"/>
            </w:pPr>
            <w:r>
              <w:t>11.</w:t>
            </w:r>
          </w:p>
        </w:tc>
        <w:tc>
          <w:tcPr>
            <w:tcW w:w="3192" w:type="dxa"/>
          </w:tcPr>
          <w:p w:rsidR="000318AF" w:rsidRDefault="000318AF" w:rsidP="0024520D">
            <w:pPr>
              <w:jc w:val="both"/>
            </w:pPr>
            <w:r>
              <w:t>1990</w:t>
            </w:r>
          </w:p>
        </w:tc>
        <w:tc>
          <w:tcPr>
            <w:tcW w:w="3192" w:type="dxa"/>
          </w:tcPr>
          <w:p w:rsidR="000318AF" w:rsidRDefault="000318AF" w:rsidP="0024520D">
            <w:pPr>
              <w:jc w:val="both"/>
            </w:pPr>
            <w:r>
              <w:t>195</w:t>
            </w:r>
          </w:p>
        </w:tc>
      </w:tr>
      <w:tr w:rsidR="000318AF" w:rsidTr="000318AF">
        <w:tc>
          <w:tcPr>
            <w:tcW w:w="3192" w:type="dxa"/>
          </w:tcPr>
          <w:p w:rsidR="000318AF" w:rsidRDefault="000318AF" w:rsidP="0024520D">
            <w:pPr>
              <w:jc w:val="both"/>
            </w:pPr>
            <w:r>
              <w:t>12.</w:t>
            </w:r>
          </w:p>
        </w:tc>
        <w:tc>
          <w:tcPr>
            <w:tcW w:w="3192" w:type="dxa"/>
          </w:tcPr>
          <w:p w:rsidR="000318AF" w:rsidRDefault="000318AF" w:rsidP="0024520D">
            <w:pPr>
              <w:jc w:val="both"/>
            </w:pPr>
            <w:r>
              <w:t>1991</w:t>
            </w:r>
          </w:p>
        </w:tc>
        <w:tc>
          <w:tcPr>
            <w:tcW w:w="3192" w:type="dxa"/>
          </w:tcPr>
          <w:p w:rsidR="000318AF" w:rsidRDefault="000318AF" w:rsidP="0024520D">
            <w:pPr>
              <w:jc w:val="both"/>
            </w:pPr>
            <w:r>
              <w:t>19.5</w:t>
            </w:r>
          </w:p>
        </w:tc>
      </w:tr>
    </w:tbl>
    <w:p w:rsidR="000318AF" w:rsidRDefault="000318AF" w:rsidP="000318AF">
      <w:pPr>
        <w:ind w:left="720"/>
        <w:jc w:val="both"/>
      </w:pPr>
    </w:p>
    <w:p w:rsidR="0024520D" w:rsidRDefault="0024520D" w:rsidP="000318AF">
      <w:pPr>
        <w:ind w:left="720"/>
        <w:jc w:val="both"/>
      </w:pPr>
      <w:r>
        <w:t>It is further the case of the respondents that thereafter he abandoned the work without informing the Incharge Seed Multiplication Farm Bhagani and never returned to work.</w:t>
      </w:r>
    </w:p>
    <w:p w:rsidR="000318AF" w:rsidRDefault="000318AF" w:rsidP="000318AF">
      <w:pPr>
        <w:ind w:left="720"/>
        <w:jc w:val="both"/>
      </w:pPr>
    </w:p>
    <w:p w:rsidR="0024520D" w:rsidRDefault="000318AF" w:rsidP="000318AF">
      <w:pPr>
        <w:ind w:left="720"/>
        <w:jc w:val="both"/>
      </w:pPr>
      <w:r>
        <w:t xml:space="preserve">(c) </w:t>
      </w:r>
      <w:r w:rsidR="0024520D">
        <w:t>In the year 2005, the appellant herein made a representation to the State Government for making Reference under Section 10 of the Industrial Disputes Act, 1947 (hereinafter referred to as ‘the Act’). In pursuance of the Representation made by the appellant herein, the State Government made a Reference being No. 9 of 2005 to the Industrial Tribunal-cum-Labour Court, Shimla.</w:t>
      </w:r>
    </w:p>
    <w:p w:rsidR="000318AF" w:rsidRDefault="000318AF" w:rsidP="000318AF">
      <w:pPr>
        <w:ind w:left="720"/>
        <w:jc w:val="both"/>
      </w:pPr>
    </w:p>
    <w:p w:rsidR="0024520D" w:rsidRDefault="0024520D" w:rsidP="000318AF">
      <w:pPr>
        <w:ind w:left="720"/>
        <w:jc w:val="both"/>
      </w:pPr>
      <w:r>
        <w:t>(d)</w:t>
      </w:r>
      <w:r w:rsidR="000318AF">
        <w:t xml:space="preserve"> </w:t>
      </w:r>
      <w:r>
        <w:t>Learned Presiding Judge, gave the Award dated 23.04.2009 in favour of the appellant herein and directed the respondent-State to reinstate the appellant in service with seniority and continuity while denying the back wages.</w:t>
      </w:r>
    </w:p>
    <w:p w:rsidR="000318AF" w:rsidRDefault="000318AF" w:rsidP="000318AF">
      <w:pPr>
        <w:ind w:left="720"/>
        <w:jc w:val="both"/>
      </w:pPr>
    </w:p>
    <w:p w:rsidR="0024520D" w:rsidRDefault="000318AF" w:rsidP="000318AF">
      <w:pPr>
        <w:ind w:left="720"/>
        <w:jc w:val="both"/>
      </w:pPr>
      <w:r>
        <w:t>(e)</w:t>
      </w:r>
      <w:r w:rsidR="0024520D">
        <w:t xml:space="preserve"> Being aggrieved, respondent-State filed a writ petition being CWP No. 3761 of 2009 before the High Court at Shimla. Learned single Judge of the High Court, by judgment and order dated 07.07.2010, allowed the said writ petition and set aside the Award dated 23.04.2009.</w:t>
      </w:r>
    </w:p>
    <w:p w:rsidR="000318AF" w:rsidRDefault="000318AF" w:rsidP="000318AF">
      <w:pPr>
        <w:ind w:left="720"/>
        <w:jc w:val="both"/>
      </w:pPr>
    </w:p>
    <w:p w:rsidR="0024520D" w:rsidRDefault="000318AF" w:rsidP="000318AF">
      <w:pPr>
        <w:ind w:left="720"/>
        <w:jc w:val="both"/>
      </w:pPr>
      <w:r>
        <w:t>(f)</w:t>
      </w:r>
      <w:r w:rsidR="0024520D">
        <w:t xml:space="preserve"> Being aggrieved by the order passed by learned single Judge, the appellant preferred a Letters Patent Appeal before the High Court. The Division Bench of the High Couort, vide judgment and order dated 18.11.2014 dismissed the Letters Patent Appeal while upholding the decision of learned single Judge.</w:t>
      </w:r>
    </w:p>
    <w:p w:rsidR="000318AF" w:rsidRDefault="000318AF" w:rsidP="000318AF">
      <w:pPr>
        <w:ind w:left="720"/>
        <w:jc w:val="both"/>
      </w:pPr>
    </w:p>
    <w:p w:rsidR="0024520D" w:rsidRDefault="000318AF" w:rsidP="000318AF">
      <w:pPr>
        <w:ind w:left="720"/>
        <w:jc w:val="both"/>
      </w:pPr>
      <w:r>
        <w:t xml:space="preserve">(g) </w:t>
      </w:r>
      <w:r w:rsidR="0024520D">
        <w:t>Aggrieved by the judgment and order passed by the Division Bench of the High Court, the appellant has preferred this appeal by way of special leave before this Court.</w:t>
      </w:r>
    </w:p>
    <w:p w:rsidR="000318AF" w:rsidRDefault="000318AF" w:rsidP="000318AF">
      <w:pPr>
        <w:ind w:left="720"/>
        <w:jc w:val="both"/>
      </w:pPr>
    </w:p>
    <w:p w:rsidR="0024520D" w:rsidRDefault="000318AF" w:rsidP="0024520D">
      <w:pPr>
        <w:jc w:val="both"/>
      </w:pPr>
      <w:r>
        <w:t xml:space="preserve">4. </w:t>
      </w:r>
      <w:r w:rsidR="0024520D">
        <w:t xml:space="preserve"> Heard Mr. M.C. Dhingra, learned counsel for the appellant and Mr. D.K. Thakur, learned Additional Advocate General for the respondent-State and perused the records. Point(s) for consideration:-</w:t>
      </w:r>
    </w:p>
    <w:p w:rsidR="000318AF" w:rsidRDefault="000318AF" w:rsidP="0024520D">
      <w:pPr>
        <w:jc w:val="both"/>
      </w:pPr>
    </w:p>
    <w:p w:rsidR="0024520D" w:rsidRDefault="000318AF" w:rsidP="0024520D">
      <w:pPr>
        <w:jc w:val="both"/>
      </w:pPr>
      <w:r>
        <w:t>5.</w:t>
      </w:r>
      <w:r w:rsidR="0024520D">
        <w:t xml:space="preserve"> The short point that arises for consideration in the present case is whether in the present facts and circumstances of the instant case, the impugned order of the High Court calls for any interference?</w:t>
      </w:r>
    </w:p>
    <w:p w:rsidR="000318AF" w:rsidRDefault="000318AF" w:rsidP="0024520D">
      <w:pPr>
        <w:jc w:val="both"/>
      </w:pPr>
    </w:p>
    <w:p w:rsidR="0024520D" w:rsidRDefault="0024520D" w:rsidP="0024520D">
      <w:pPr>
        <w:jc w:val="both"/>
      </w:pPr>
      <w:r>
        <w:t>Rival contentions :-</w:t>
      </w:r>
    </w:p>
    <w:p w:rsidR="000318AF" w:rsidRDefault="000318AF" w:rsidP="0024520D">
      <w:pPr>
        <w:jc w:val="both"/>
      </w:pPr>
    </w:p>
    <w:p w:rsidR="0024520D" w:rsidRDefault="000318AF" w:rsidP="0024520D">
      <w:pPr>
        <w:jc w:val="both"/>
      </w:pPr>
      <w:r>
        <w:t xml:space="preserve">6. </w:t>
      </w:r>
      <w:r w:rsidR="0024520D">
        <w:t xml:space="preserve"> At the outset, learned counsel appearing on behalf of the appellant argued that the dismissal of the appellant was in violation of the provisions of Sections 25F read with Section 25B of the Act. Learned counsel further argued that the High Court misinterpreted Section 25B along with Section 25F of the Act. It was further submitted that it is not necessary that a workman has to complete the 240 days’ period during the period of 12 months immediately preceding his disengagement. Rather, he argued that inasmuch as once the appellant completed 240 days of service in any calendar year of his employment then he becomes entitled for the benefits of provisions of Section 25F of the Act.</w:t>
      </w:r>
    </w:p>
    <w:p w:rsidR="000318AF" w:rsidRDefault="000318AF" w:rsidP="0024520D">
      <w:pPr>
        <w:jc w:val="both"/>
      </w:pPr>
    </w:p>
    <w:p w:rsidR="000318AF" w:rsidRDefault="000318AF" w:rsidP="0024520D">
      <w:pPr>
        <w:jc w:val="both"/>
      </w:pPr>
      <w:r>
        <w:t>7.</w:t>
      </w:r>
      <w:r w:rsidR="0024520D">
        <w:t xml:space="preserve"> Learned counsel appearing for the respondent-State submitted that the service of the appellant herein was not retrenched but the appellant herein abandoned the work himself. Further, it was submitted that the appellant herein approached the State Government after a delay of more than 12 (twelve) years which was not properly explained by the appellant herein. Hence, the appellant herein was negligent</w:t>
      </w:r>
      <w:r>
        <w:t xml:space="preserve"> </w:t>
      </w:r>
      <w:r w:rsidR="0024520D">
        <w:t>qua his act and no interference is sought for by this Court in the matter.</w:t>
      </w:r>
      <w:r>
        <w:t xml:space="preserve"> </w:t>
      </w:r>
    </w:p>
    <w:p w:rsidR="000318AF" w:rsidRDefault="000318AF" w:rsidP="0024520D">
      <w:pPr>
        <w:jc w:val="both"/>
      </w:pPr>
    </w:p>
    <w:p w:rsidR="0024520D" w:rsidRDefault="0024520D" w:rsidP="0024520D">
      <w:pPr>
        <w:jc w:val="both"/>
      </w:pPr>
      <w:r>
        <w:t>Discussion :-</w:t>
      </w:r>
    </w:p>
    <w:p w:rsidR="000318AF" w:rsidRDefault="000318AF" w:rsidP="0024520D">
      <w:pPr>
        <w:jc w:val="both"/>
      </w:pPr>
    </w:p>
    <w:p w:rsidR="0024520D" w:rsidRDefault="000318AF" w:rsidP="0024520D">
      <w:pPr>
        <w:jc w:val="both"/>
      </w:pPr>
      <w:r>
        <w:t xml:space="preserve">8. </w:t>
      </w:r>
      <w:r w:rsidR="0024520D">
        <w:t>At this juncture, in order to appreciate the matter in controversy it is necessary to reproduce relevant portion of Section 25F and Section 25B of the Act which are as follows:</w:t>
      </w:r>
    </w:p>
    <w:p w:rsidR="000318AF" w:rsidRDefault="000318AF" w:rsidP="0024520D">
      <w:pPr>
        <w:jc w:val="both"/>
      </w:pPr>
    </w:p>
    <w:p w:rsidR="0024520D" w:rsidRDefault="0024520D" w:rsidP="000318AF">
      <w:pPr>
        <w:ind w:left="720"/>
        <w:jc w:val="both"/>
      </w:pPr>
      <w:r>
        <w:t>“25F. Conditions precedent to retrenchment of workmen.</w:t>
      </w:r>
    </w:p>
    <w:p w:rsidR="0024520D" w:rsidRDefault="0024520D" w:rsidP="000318AF">
      <w:pPr>
        <w:ind w:left="720"/>
        <w:jc w:val="both"/>
      </w:pPr>
      <w:r>
        <w:t>—No workman employed in any industry who has been in continuous service for not less than one year under an employer shall be retrenched by that employer until—</w:t>
      </w:r>
    </w:p>
    <w:p w:rsidR="000318AF" w:rsidRDefault="000318AF" w:rsidP="000318AF">
      <w:pPr>
        <w:ind w:left="720"/>
        <w:jc w:val="both"/>
      </w:pPr>
    </w:p>
    <w:p w:rsidR="0024520D" w:rsidRDefault="0024520D" w:rsidP="000318AF">
      <w:pPr>
        <w:ind w:left="720"/>
        <w:jc w:val="both"/>
      </w:pPr>
      <w:r>
        <w:t>(a) the workman has been given one month’s notice in writing indicating the reasons for retrenchment and the period of notice has expired, or the workman has been paid in lieu of such notice, wages for the period of the notice;</w:t>
      </w:r>
    </w:p>
    <w:p w:rsidR="000318AF" w:rsidRDefault="000318AF" w:rsidP="000318AF">
      <w:pPr>
        <w:ind w:left="720"/>
        <w:jc w:val="both"/>
      </w:pPr>
    </w:p>
    <w:p w:rsidR="000318AF" w:rsidRDefault="000318AF" w:rsidP="000318AF">
      <w:pPr>
        <w:ind w:left="720"/>
        <w:jc w:val="both"/>
      </w:pPr>
    </w:p>
    <w:p w:rsidR="0024520D" w:rsidRDefault="000318AF" w:rsidP="000318AF">
      <w:pPr>
        <w:ind w:left="720"/>
        <w:jc w:val="both"/>
      </w:pPr>
      <w:r>
        <w:t xml:space="preserve"> (b)</w:t>
      </w:r>
      <w:r w:rsidR="0024520D">
        <w:t xml:space="preserve"> the workman has been paid, at the time of retrenchment, compensation which shall be equivalent to fifteen days' average pay for every completed year of continuous service or any part thereof in excess of six months; and</w:t>
      </w:r>
    </w:p>
    <w:p w:rsidR="000318AF" w:rsidRDefault="000318AF" w:rsidP="000318AF">
      <w:pPr>
        <w:ind w:left="720"/>
        <w:jc w:val="both"/>
      </w:pPr>
    </w:p>
    <w:p w:rsidR="0024520D" w:rsidRDefault="000318AF" w:rsidP="000318AF">
      <w:pPr>
        <w:ind w:left="720"/>
        <w:jc w:val="both"/>
      </w:pPr>
      <w:r>
        <w:t>(c)</w:t>
      </w:r>
      <w:r w:rsidR="0024520D">
        <w:t xml:space="preserve"> notice in the prescribed manner is served on the appropriate Government or such authority as may be specified by the appropriate Government by notification in the Official Gazette.</w:t>
      </w:r>
    </w:p>
    <w:p w:rsidR="000318AF" w:rsidRDefault="000318AF" w:rsidP="000318AF">
      <w:pPr>
        <w:ind w:left="720"/>
        <w:jc w:val="both"/>
      </w:pPr>
    </w:p>
    <w:p w:rsidR="0024520D" w:rsidRDefault="0024520D" w:rsidP="000318AF">
      <w:pPr>
        <w:ind w:left="720"/>
        <w:jc w:val="both"/>
      </w:pPr>
      <w:r>
        <w:t>25B. Definition of continuous service.- For the purposes of this Chapter,-</w:t>
      </w:r>
    </w:p>
    <w:p w:rsidR="000318AF" w:rsidRDefault="000318AF" w:rsidP="000318AF">
      <w:pPr>
        <w:ind w:left="720"/>
        <w:jc w:val="both"/>
      </w:pPr>
    </w:p>
    <w:p w:rsidR="0024520D" w:rsidRDefault="000318AF" w:rsidP="000318AF">
      <w:pPr>
        <w:ind w:left="720"/>
        <w:jc w:val="both"/>
      </w:pPr>
      <w:r>
        <w:t>(1)</w:t>
      </w:r>
      <w:r w:rsidR="0024520D">
        <w:t>a workman shall be said to be in continuous service for a period if he is, for that period, in uninterrupted service, including service which may be interrupted on account of sickness or authorised leave or an accident or a strike which is not illegal, or a lock- out or a cessation of work which is not due to any fault on the part of the workman;</w:t>
      </w:r>
    </w:p>
    <w:p w:rsidR="000318AF" w:rsidRDefault="000318AF" w:rsidP="000318AF">
      <w:pPr>
        <w:ind w:left="720"/>
        <w:jc w:val="both"/>
      </w:pPr>
    </w:p>
    <w:p w:rsidR="0024520D" w:rsidRDefault="000318AF" w:rsidP="000318AF">
      <w:pPr>
        <w:ind w:left="720"/>
        <w:jc w:val="both"/>
      </w:pPr>
      <w:r>
        <w:t>(2)</w:t>
      </w:r>
      <w:r w:rsidR="0024520D">
        <w:t>where a workman is not in continuous service within the meaning of clause (1) for a period of one year or six months, he shall be deemed to be in continuous service under an employer-</w:t>
      </w:r>
    </w:p>
    <w:p w:rsidR="0024520D" w:rsidRDefault="000318AF" w:rsidP="000318AF">
      <w:pPr>
        <w:ind w:left="720"/>
        <w:jc w:val="both"/>
      </w:pPr>
      <w:r>
        <w:t>(a)</w:t>
      </w:r>
      <w:r w:rsidR="0024520D">
        <w:t xml:space="preserve"> for a period of one year, if the workman, during a period of twelve calendar months preceding the date with reference to which calculation is to be made, has actually worked under the employer for not less than-</w:t>
      </w:r>
    </w:p>
    <w:p w:rsidR="000318AF" w:rsidRDefault="000318AF" w:rsidP="000318AF">
      <w:pPr>
        <w:ind w:left="720"/>
        <w:jc w:val="both"/>
      </w:pPr>
    </w:p>
    <w:p w:rsidR="0024520D" w:rsidRDefault="000318AF" w:rsidP="000318AF">
      <w:pPr>
        <w:ind w:left="720"/>
        <w:jc w:val="both"/>
      </w:pPr>
      <w:r>
        <w:t>(i)</w:t>
      </w:r>
      <w:r w:rsidR="0024520D">
        <w:t xml:space="preserve"> one hundred and ninety days in the case of a workman employed below ground in a mine; and</w:t>
      </w:r>
    </w:p>
    <w:p w:rsidR="000318AF" w:rsidRDefault="000318AF" w:rsidP="000318AF">
      <w:pPr>
        <w:ind w:left="720"/>
        <w:jc w:val="both"/>
      </w:pPr>
    </w:p>
    <w:p w:rsidR="0024520D" w:rsidRDefault="000318AF" w:rsidP="000318AF">
      <w:pPr>
        <w:ind w:left="720"/>
        <w:jc w:val="both"/>
      </w:pPr>
      <w:r>
        <w:t>(ii)</w:t>
      </w:r>
      <w:r w:rsidR="0024520D">
        <w:t xml:space="preserve"> two hundred and forty days, in any other case;</w:t>
      </w:r>
    </w:p>
    <w:p w:rsidR="000318AF" w:rsidRDefault="000318AF" w:rsidP="000318AF">
      <w:pPr>
        <w:ind w:left="720"/>
        <w:jc w:val="both"/>
      </w:pPr>
    </w:p>
    <w:p w:rsidR="0024520D" w:rsidRDefault="000318AF" w:rsidP="000318AF">
      <w:pPr>
        <w:ind w:left="720"/>
        <w:jc w:val="both"/>
      </w:pPr>
      <w:r>
        <w:t>(b)</w:t>
      </w:r>
      <w:r w:rsidR="0024520D">
        <w:t xml:space="preserve"> for a period of six months, if the workman, during a period of six calendar months preceding the date with reference to which calculation is to be made, has actually worked under the employer for not less than--</w:t>
      </w:r>
    </w:p>
    <w:p w:rsidR="000318AF" w:rsidRDefault="000318AF" w:rsidP="000318AF">
      <w:pPr>
        <w:ind w:left="720"/>
        <w:jc w:val="both"/>
      </w:pPr>
    </w:p>
    <w:p w:rsidR="0024520D" w:rsidRDefault="000318AF" w:rsidP="000318AF">
      <w:pPr>
        <w:ind w:left="720"/>
        <w:jc w:val="both"/>
      </w:pPr>
      <w:r>
        <w:t>(i)</w:t>
      </w:r>
      <w:r w:rsidR="0024520D">
        <w:t xml:space="preserve"> ninety- five days, in the case of a workman employed below ground in a mine; and</w:t>
      </w:r>
    </w:p>
    <w:p w:rsidR="000318AF" w:rsidRDefault="000318AF" w:rsidP="000318AF">
      <w:pPr>
        <w:ind w:left="720"/>
        <w:jc w:val="both"/>
      </w:pPr>
    </w:p>
    <w:p w:rsidR="0024520D" w:rsidRDefault="000318AF" w:rsidP="000318AF">
      <w:pPr>
        <w:ind w:left="720"/>
        <w:jc w:val="both"/>
      </w:pPr>
      <w:r>
        <w:t>(ii)</w:t>
      </w:r>
      <w:r w:rsidR="0024520D">
        <w:t xml:space="preserve"> one hundred and twenty days, in any other case. Explanation.- For the purposes of clause (2), the number of days on which a workman has actually worked under an employer shall include the days on which-</w:t>
      </w:r>
    </w:p>
    <w:p w:rsidR="000318AF" w:rsidRDefault="000318AF" w:rsidP="000318AF">
      <w:pPr>
        <w:ind w:left="720"/>
        <w:jc w:val="both"/>
      </w:pPr>
    </w:p>
    <w:p w:rsidR="0024520D" w:rsidRDefault="000318AF" w:rsidP="000318AF">
      <w:pPr>
        <w:ind w:left="720"/>
        <w:jc w:val="both"/>
      </w:pPr>
      <w:r>
        <w:t>(i)</w:t>
      </w:r>
      <w:r w:rsidR="0024520D">
        <w:t xml:space="preserve"> he has been laid-off under an agreement or as permitted by standing orders made under the Industrial Employment (Standing Orders) Act, 1946 (20 of 1946 ), or under this Act or under any other law applicable to the industrial establishment;</w:t>
      </w:r>
    </w:p>
    <w:p w:rsidR="000318AF" w:rsidRDefault="000318AF" w:rsidP="000318AF">
      <w:pPr>
        <w:ind w:left="720"/>
        <w:jc w:val="both"/>
      </w:pPr>
    </w:p>
    <w:p w:rsidR="0024520D" w:rsidRDefault="000318AF" w:rsidP="000318AF">
      <w:pPr>
        <w:ind w:left="720"/>
        <w:jc w:val="both"/>
      </w:pPr>
      <w:r>
        <w:t>(ii)</w:t>
      </w:r>
      <w:r w:rsidR="0024520D">
        <w:t xml:space="preserve"> he has been on leave with full wages, earned in the previous years;</w:t>
      </w:r>
    </w:p>
    <w:p w:rsidR="000318AF" w:rsidRDefault="000318AF" w:rsidP="000318AF">
      <w:pPr>
        <w:ind w:left="720"/>
        <w:jc w:val="both"/>
      </w:pPr>
    </w:p>
    <w:p w:rsidR="0024520D" w:rsidRDefault="000318AF" w:rsidP="000318AF">
      <w:pPr>
        <w:ind w:left="720"/>
        <w:jc w:val="both"/>
      </w:pPr>
      <w:r>
        <w:t>(iii)</w:t>
      </w:r>
      <w:r w:rsidR="0024520D">
        <w:t xml:space="preserve"> he has been absent due to temporary disablement caused by accident arising out of and in the course of his employment; and</w:t>
      </w:r>
    </w:p>
    <w:p w:rsidR="000318AF" w:rsidRDefault="000318AF" w:rsidP="000318AF">
      <w:pPr>
        <w:ind w:left="720"/>
        <w:jc w:val="both"/>
      </w:pPr>
    </w:p>
    <w:p w:rsidR="0024520D" w:rsidRDefault="000318AF" w:rsidP="000318AF">
      <w:pPr>
        <w:ind w:left="720"/>
        <w:jc w:val="both"/>
      </w:pPr>
      <w:r>
        <w:t>(iv)</w:t>
      </w:r>
      <w:r w:rsidR="0024520D">
        <w:t xml:space="preserve"> in the case of a female, she has been on maternity leave; so, however, that the total period of such maternity leave does not exceed twelve weeks.”</w:t>
      </w:r>
    </w:p>
    <w:p w:rsidR="000318AF" w:rsidRDefault="000318AF" w:rsidP="000318AF">
      <w:pPr>
        <w:ind w:left="720"/>
        <w:jc w:val="both"/>
      </w:pPr>
    </w:p>
    <w:p w:rsidR="0024520D" w:rsidRDefault="000318AF" w:rsidP="0024520D">
      <w:pPr>
        <w:jc w:val="both"/>
      </w:pPr>
      <w:r>
        <w:t xml:space="preserve">9. </w:t>
      </w:r>
      <w:r w:rsidR="0024520D">
        <w:t>It is a well known fact that the Industrial Disputes Act is a welfare legislation. The intention behind the enactment of this Act was to protect the employees from arbitrary retrenchments. For this reason only, in a case of</w:t>
      </w:r>
      <w:r>
        <w:t xml:space="preserve"> </w:t>
      </w:r>
      <w:r w:rsidR="0024520D">
        <w:t>retrenchment of an employee who has worked for a year or more, Section 25F provides a safeguard in the form of giving one month’s prior notice indicating the reasons for retrenchment to the employee and also provides for wages for the period of notice. Section 25B of the Act provides that when a person can be said to have worked for one year and the very reading of the said provisions makes it clear that if a person has worked for a period of 240 days in the last preceding year, he is deemed to have worked for a year. The theory of 240 days for continuous service is that a workman is deemed to be in continuous service for a period of one year, if he, during the period of twelve calendar months preceding the date of retrenchment has actually worked under the employer for not less than 240 days.</w:t>
      </w:r>
    </w:p>
    <w:p w:rsidR="000318AF" w:rsidRDefault="000318AF" w:rsidP="0024520D">
      <w:pPr>
        <w:jc w:val="both"/>
      </w:pPr>
    </w:p>
    <w:p w:rsidR="0024520D" w:rsidRDefault="000318AF" w:rsidP="0024520D">
      <w:pPr>
        <w:jc w:val="both"/>
      </w:pPr>
      <w:r>
        <w:t xml:space="preserve">10. </w:t>
      </w:r>
      <w:r w:rsidR="0024520D">
        <w:t xml:space="preserve">In </w:t>
      </w:r>
      <w:r w:rsidR="0024520D" w:rsidRPr="000318AF">
        <w:rPr>
          <w:i/>
          <w:iCs/>
        </w:rPr>
        <w:t>Surendra Kumar Verma and Others vs. Central Government Industrial Tribunal-Cum-Labour Court, New Delhi and Another</w:t>
      </w:r>
      <w:r w:rsidRPr="000318AF">
        <w:rPr>
          <w:i/>
          <w:iCs/>
          <w:sz w:val="20"/>
          <w:szCs w:val="20"/>
          <w:vertAlign w:val="superscript"/>
        </w:rPr>
        <w:t>1</w:t>
      </w:r>
      <w:r w:rsidR="0024520D">
        <w:t>, a three-Judge Bench of this Court has very categorically dealt with the theory of 240 days as contemplated under Section 25B of the Act. The</w:t>
      </w:r>
      <w:r>
        <w:t xml:space="preserve"> </w:t>
      </w:r>
      <w:r w:rsidR="0024520D">
        <w:t>relevant paragraphs of the judgment are reproduced hereinbelow:-</w:t>
      </w:r>
    </w:p>
    <w:p w:rsidR="000318AF" w:rsidRDefault="000318AF" w:rsidP="0024520D">
      <w:pPr>
        <w:jc w:val="both"/>
      </w:pPr>
    </w:p>
    <w:p w:rsidR="0024520D" w:rsidRDefault="0024520D" w:rsidP="000318AF">
      <w:pPr>
        <w:ind w:left="720"/>
        <w:jc w:val="both"/>
      </w:pPr>
      <w:r>
        <w:t>“8....The provision appears to be plain enough. Section 25-F requires that a workman should be in continuous service for not less than one year under an employer before that provision applies. While so, present Section 25-B(2) steps in and says that even if a workman has not been in continuous service under an employer for a period of one year, he shall be deemed to have been in such continuous service for a period of one year, if he has actually worked under the employer for 240 days in the preceding period of twelve months. There is no stipulation that he should have been in employment or service under the employer for a whole period of twelve months. In fact, the thrust of the provision is that he need not be. That appears to be the plain meaning without gloss from any source.</w:t>
      </w:r>
    </w:p>
    <w:p w:rsidR="000318AF" w:rsidRDefault="000318AF" w:rsidP="0024520D">
      <w:pPr>
        <w:jc w:val="both"/>
      </w:pPr>
    </w:p>
    <w:p w:rsidR="0024520D" w:rsidRDefault="0024520D" w:rsidP="000318AF">
      <w:pPr>
        <w:ind w:left="720"/>
        <w:jc w:val="both"/>
      </w:pPr>
      <w:r>
        <w:t>9. Now, Section 25-B was not always so worded. Prior to Act 36 of 1964, it read as follows:</w:t>
      </w:r>
    </w:p>
    <w:p w:rsidR="000318AF" w:rsidRDefault="000318AF" w:rsidP="000318AF">
      <w:pPr>
        <w:ind w:left="720"/>
        <w:jc w:val="both"/>
      </w:pPr>
    </w:p>
    <w:p w:rsidR="0024520D" w:rsidRDefault="0024520D" w:rsidP="000318AF">
      <w:pPr>
        <w:ind w:left="720"/>
        <w:jc w:val="both"/>
      </w:pPr>
      <w:r>
        <w:t>“For the purposes of Sections 25-C and 25-F, a workman who, during a period of twelve calendar months, has actually worked in an industry for not less than two hundred and forty days shall be deemed to have completed one year of continuous service in the industry.</w:t>
      </w:r>
    </w:p>
    <w:p w:rsidR="000318AF" w:rsidRDefault="000318AF" w:rsidP="000318AF">
      <w:pPr>
        <w:ind w:left="720"/>
        <w:jc w:val="both"/>
      </w:pPr>
    </w:p>
    <w:p w:rsidR="0024520D" w:rsidRDefault="0024520D" w:rsidP="000318AF">
      <w:pPr>
        <w:ind w:left="720"/>
        <w:jc w:val="both"/>
      </w:pPr>
      <w:r>
        <w:t>Explanation.—..</w:t>
      </w:r>
    </w:p>
    <w:p w:rsidR="000318AF" w:rsidRDefault="000318AF" w:rsidP="000318AF">
      <w:pPr>
        <w:ind w:left="720"/>
        <w:jc w:val="both"/>
      </w:pPr>
    </w:p>
    <w:p w:rsidR="0024520D" w:rsidRDefault="0024520D" w:rsidP="000318AF">
      <w:pPr>
        <w:ind w:left="720"/>
        <w:jc w:val="both"/>
      </w:pPr>
      <w:r>
        <w:t>The difference between old Section 25-B and present Section 25-B is patent. The clause “where a workman is not in continuous service ... for a period of one year” with which present Section 25-B(2) so significantly begins, was equally significantly absent from old Section 25-B. Of the same degree of significance was the circumstance that prior to Act 36 of 1964 the expression “continuous service” was separately defined by Section 2(eee) as follows:</w:t>
      </w:r>
    </w:p>
    <w:p w:rsidR="000318AF" w:rsidRDefault="000318AF" w:rsidP="000318AF">
      <w:pPr>
        <w:ind w:left="720"/>
        <w:jc w:val="both"/>
      </w:pPr>
    </w:p>
    <w:p w:rsidR="0024520D" w:rsidRDefault="0024520D" w:rsidP="000318AF">
      <w:pPr>
        <w:ind w:left="720"/>
        <w:jc w:val="both"/>
      </w:pPr>
      <w:r>
        <w:t>“(eee) ‘continuous service’ means uninterrupted service, and includes service which may be interrupted merely on account of sickness or authorised leave or an accident or a strike which is not illegal, or lock-out or a cessation of work which is not due to any fault on the part of the workman;”</w:t>
      </w:r>
    </w:p>
    <w:p w:rsidR="000318AF" w:rsidRDefault="000318AF" w:rsidP="000318AF">
      <w:pPr>
        <w:ind w:left="720"/>
        <w:jc w:val="both"/>
      </w:pPr>
    </w:p>
    <w:p w:rsidR="0024520D" w:rsidRDefault="0024520D" w:rsidP="000318AF">
      <w:pPr>
        <w:ind w:left="720"/>
        <w:jc w:val="both"/>
      </w:pPr>
      <w:r>
        <w:t>Section 2(eee) was omitted by the same Act 36 of 1964 which recast Section 25-B. Section 25-B as it read prior to Act 36 of 1964, in the light of the then existing Section 2 (eee), certainly lent</w:t>
      </w:r>
      <w:r w:rsidR="000318AF">
        <w:t xml:space="preserve"> </w:t>
      </w:r>
      <w:r>
        <w:t>itself to the construction that a workman had to be in the service of the employer for a period of one year and should have worked for not less than 240 days before he could claim to have completed one year’s completed service so as to attract the provisions of Section 25-F. That precisely was what was decided by this Court in Sur Enamel and Stamping Works Ltd. v. Workmen. The court said: “On the plain terms of the Section 25-F only a workman who has been in continuous service for not less than one year under an employer is entitled to its benefit. ‘Continuous service’ is defined in Section 2(eee) as meaning uninterrupted service, and includes service which may be interrupted merely on account of sickness or authorised leave or an accident or a strike which is not illegal or a lock-out or a cessation of work which is not due to any fault on the part of the workman. What is meant by ‘one year of continuous service’ has been defined in Section 25-B. Under this section a workman who during a period of twelve calendar months has actually worked in an industry for not less than 240 days shall be deemed to have completed service in the industry. . . . The position (therefore) is that during a period of employment for less than 11 calendar months these two persons worked for more than 240 days. In our opinion that would not satisfy the requirement of Section 25-B. Before a workman can be considered to have completed one year of continuous service in an industry it must be shown first that he was employed for a period of not less than 12 calendar months and, next that during those 12 calendar months had worked for not less than 240 days. Where, as in the present case, the workmen have not at all been employed for a period of 12 calendar months it becomes unnecessary to examine whether the actual days of work numbered 240 days or more.”</w:t>
      </w:r>
    </w:p>
    <w:p w:rsidR="000318AF" w:rsidRDefault="000318AF" w:rsidP="000318AF">
      <w:pPr>
        <w:ind w:left="720"/>
        <w:jc w:val="both"/>
      </w:pPr>
    </w:p>
    <w:p w:rsidR="0024520D" w:rsidRDefault="0024520D" w:rsidP="000318AF">
      <w:pPr>
        <w:ind w:left="720"/>
        <w:jc w:val="both"/>
      </w:pPr>
      <w:r>
        <w:t xml:space="preserve">Act 36 of 1964 has drastically changed the position. Section 2(eee) has been repealed and S. 25-B(2) now begins with the clause “where a workman is not in continuous service . . . for a period of one year”. These changes brought about by Act 36 of 1964 appear to be clearly designed to provide that a workman who has actually worked under the employer for not less than 240 days during a period of twelve months shall be deemed to have been in continuous service for a period of one year whether or not he has in fact been in such continuous service for a period of one year. It is enough that he has worked for 240 days in a period of 12 months; it is not necessary that he should have been in the service of the employer for one whole year. So we hold that Usha Kumari and Madhu Bala are in the same position as the other appellants.” </w:t>
      </w:r>
    </w:p>
    <w:p w:rsidR="000318AF" w:rsidRDefault="000318AF" w:rsidP="000318AF">
      <w:pPr>
        <w:ind w:left="720"/>
        <w:jc w:val="both"/>
      </w:pPr>
    </w:p>
    <w:p w:rsidR="0024520D" w:rsidRDefault="000318AF" w:rsidP="0024520D">
      <w:pPr>
        <w:jc w:val="both"/>
      </w:pPr>
      <w:r>
        <w:t xml:space="preserve">11. </w:t>
      </w:r>
      <w:r w:rsidR="0024520D">
        <w:t xml:space="preserve">Further, this Court, in </w:t>
      </w:r>
      <w:r w:rsidR="0024520D" w:rsidRPr="000318AF">
        <w:rPr>
          <w:i/>
          <w:iCs/>
        </w:rPr>
        <w:t>Mohan Lal vs. Management of M/s Bharat Electronics Limited</w:t>
      </w:r>
      <w:r w:rsidRPr="000318AF">
        <w:rPr>
          <w:i/>
          <w:iCs/>
          <w:sz w:val="20"/>
          <w:szCs w:val="20"/>
          <w:vertAlign w:val="superscript"/>
        </w:rPr>
        <w:t>2</w:t>
      </w:r>
      <w:r w:rsidR="0024520D">
        <w:t>, in paragraphs 10 and 12 held as under:-</w:t>
      </w:r>
    </w:p>
    <w:p w:rsidR="000318AF" w:rsidRDefault="000318AF" w:rsidP="0024520D">
      <w:pPr>
        <w:jc w:val="both"/>
      </w:pPr>
    </w:p>
    <w:p w:rsidR="0024520D" w:rsidRDefault="0024520D" w:rsidP="000318AF">
      <w:pPr>
        <w:ind w:left="720"/>
        <w:jc w:val="both"/>
      </w:pPr>
      <w:r>
        <w:t>“10. It was, however, urged that Section 25-F is not attracted in this case for an entirely different reason. Mr Markendeya contended that before Section 25-F is invoked, the condition of eligibility for a workman to complain of invalid retrenchment must be satisfied. According to him unless the workman has put in continuous service for not less than one</w:t>
      </w:r>
      <w:r w:rsidR="000318AF">
        <w:t xml:space="preserve"> </w:t>
      </w:r>
      <w:r>
        <w:t>year his case would not be governed by Section 25-F</w:t>
      </w:r>
      <w:r>
        <w:tab/>
      </w:r>
    </w:p>
    <w:p w:rsidR="000318AF" w:rsidRDefault="000318AF" w:rsidP="000318AF">
      <w:pPr>
        <w:ind w:left="720"/>
        <w:jc w:val="both"/>
      </w:pPr>
    </w:p>
    <w:p w:rsidR="0024520D" w:rsidRDefault="0024520D" w:rsidP="000318AF">
      <w:pPr>
        <w:ind w:left="720"/>
        <w:jc w:val="both"/>
      </w:pPr>
      <w:r>
        <w:t>12. Sub-section (2) incorporates another deeming fiction for an entirely different situation. It comprehends a situation where a workman is not in continuous service within the meaning of sub-section (1) for a period of one year or six months, he shall be deemed to be in continuous service under an employer for a period of one year or six months, as the case may be, if the workman during the period of 12 calendar months just preceding the date with reference to which calculation is to be made, has actually worked under that employer for not less than 240 days. Sub-section (2) specifically comprehends a situation where a workman is not in continuous service as per the deeming fiction indicated in sub-section (1) for a period of one year or six months. In such a case he is deemed to be in continuous service for a period of one year if he satisfies the conditions in sub-clause (a) of clause (2). The conditions are that commencing (sic) the date with reference to which calculation is to be made, in case of retrenchment the date of retrenchment, if in a period of 12 calendar months just preceding such date the workman has rendered service for a period of 240 days, he shall be deemed to be in continuous service for a period of one year for the purposes of Chapter V-A. It is not necessary for the purposes of clause (2)(a) that the workman should be in service for a period of one year. If he is in service for a period of one year and that if that service is continuous service within the meaning of clause (1) his case would be governed by clause (1) and his case need not be covered by clause (2). Clause (2) envisages a situation not governed by clause (1). And clause (2)(a) provides for a fiction to treat a workman in continuous service for a period of one year despite the fact that he has not rendered uninterrupted service</w:t>
      </w:r>
      <w:r w:rsidR="000318AF">
        <w:t xml:space="preserve"> </w:t>
      </w:r>
      <w:r>
        <w:t>for a period of one year but he has rendered service for a period of 240 days during the period of 12 calendar months counting backwards and just preceding the relevant date being the date of retrenchment. In other words, in order to invoke the fiction enacted in clause (2)(a) it is necessary to determine first the relevant date i.e. the date of termination of service which is complained of as retrenchment. After that date is ascertained, move backward to a period of 12 months just preceding the date of retrenchment and then ascertain whether within the period of 12 months, the workman has rendered service for a period of 240 days. If these three facts are affirmatively answered in favour of the workman pursuant to the deeming fiction enacted in clause (2)(a) it will have to be assumed that the workman is in continuous service for a period of one year and he will satisfy the eligibility qualification enacted in Section 25-F. On a pure grammatical construction the contention that even for invoking clause (2) of Section 25-B the workman must be shown to be in continuous service for a period of one year would render clause (2) otiose and socially beneficial legislation would receive a set back by this impermissible assumptions.</w:t>
      </w:r>
    </w:p>
    <w:p w:rsidR="000318AF" w:rsidRDefault="000318AF" w:rsidP="000318AF">
      <w:pPr>
        <w:ind w:left="720"/>
        <w:jc w:val="both"/>
      </w:pPr>
    </w:p>
    <w:p w:rsidR="0024520D" w:rsidRDefault="0024520D" w:rsidP="000318AF">
      <w:pPr>
        <w:ind w:left="720"/>
        <w:jc w:val="both"/>
      </w:pPr>
      <w:r>
        <w:t>The contention must first be negatived on a pure grammatical construction of clause (2). And in any event, even if there be any such thing in favour of the construction, it must be negatived on the ground that it would render clause (2) otiose. The language of clause (2) is so clear and unambiguous that no precedent is necessary to justify the interpretation we have placed on it.. ”</w:t>
      </w:r>
    </w:p>
    <w:p w:rsidR="000318AF" w:rsidRDefault="000318AF" w:rsidP="0024520D">
      <w:pPr>
        <w:jc w:val="both"/>
      </w:pPr>
    </w:p>
    <w:p w:rsidR="0024520D" w:rsidRDefault="0024520D" w:rsidP="0024520D">
      <w:pPr>
        <w:jc w:val="both"/>
      </w:pPr>
      <w:r>
        <w:t>In view of the aforesaid principles laid down by this Court and also the categorical findings of the High Court, the contention of the appellant herein is not sustainable in the eyes of law since the provisions are very clear qua the calculation of period.</w:t>
      </w:r>
    </w:p>
    <w:p w:rsidR="000318AF" w:rsidRDefault="000318AF" w:rsidP="0024520D">
      <w:pPr>
        <w:jc w:val="both"/>
      </w:pPr>
    </w:p>
    <w:p w:rsidR="0024520D" w:rsidRDefault="000318AF" w:rsidP="0024520D">
      <w:pPr>
        <w:jc w:val="both"/>
      </w:pPr>
      <w:r>
        <w:t xml:space="preserve">12. </w:t>
      </w:r>
      <w:r w:rsidR="0024520D">
        <w:t>Further, it is an admitted position that though the appellant worked as such till 1991 under different</w:t>
      </w:r>
      <w:r>
        <w:t xml:space="preserve"> </w:t>
      </w:r>
      <w:r w:rsidR="0024520D">
        <w:t>work/schemes i.e. Rabi and Kharif and completed 240 days in a calendar year only during the years 1980, 1981, 1982 and 1986 to 1989 but he worked only for 195 days in the year 1990 and 19.5 days in the immediate preceding year of his dismissal which is below the required 240 days of working in the period of 12 calendar months preceding the date of dismissal, therefore, he is not entitled to take the benefits of the provisions of Section 25F of the Act and Division Bench of the High Court was right in dismissing the appeal of the present appellant.</w:t>
      </w:r>
    </w:p>
    <w:p w:rsidR="000318AF" w:rsidRDefault="000318AF" w:rsidP="0024520D">
      <w:pPr>
        <w:jc w:val="both"/>
      </w:pPr>
    </w:p>
    <w:p w:rsidR="0024520D" w:rsidRDefault="000318AF" w:rsidP="0024520D">
      <w:pPr>
        <w:jc w:val="both"/>
      </w:pPr>
      <w:r>
        <w:t xml:space="preserve">13. </w:t>
      </w:r>
      <w:r w:rsidR="0024520D">
        <w:t>In view of the foregoing discussion, we are not inclined to interfere in the decision passed by the High Court. The appeal is dismissed leaving parties to bear their own cost.</w:t>
      </w:r>
    </w:p>
    <w:p w:rsidR="000318AF" w:rsidRDefault="000318AF" w:rsidP="000318AF">
      <w:pPr>
        <w:jc w:val="both"/>
      </w:pPr>
    </w:p>
    <w:p w:rsidR="000318AF" w:rsidRDefault="000318AF" w:rsidP="000318AF">
      <w:pPr>
        <w:jc w:val="both"/>
      </w:pPr>
      <w:r>
        <w:t>Judgment Referred.</w:t>
      </w:r>
    </w:p>
    <w:p w:rsidR="000318AF" w:rsidRPr="000318AF" w:rsidRDefault="000318AF" w:rsidP="000318AF">
      <w:pPr>
        <w:jc w:val="both"/>
        <w:rPr>
          <w:i/>
          <w:iCs/>
        </w:rPr>
      </w:pPr>
    </w:p>
    <w:p w:rsidR="000318AF" w:rsidRPr="000318AF" w:rsidRDefault="000318AF" w:rsidP="000318AF">
      <w:pPr>
        <w:jc w:val="both"/>
        <w:rPr>
          <w:i/>
          <w:iCs/>
          <w:sz w:val="20"/>
          <w:szCs w:val="20"/>
        </w:rPr>
      </w:pPr>
      <w:r w:rsidRPr="000318AF">
        <w:rPr>
          <w:i/>
          <w:iCs/>
          <w:sz w:val="20"/>
          <w:szCs w:val="20"/>
          <w:vertAlign w:val="superscript"/>
        </w:rPr>
        <w:t>1</w:t>
      </w:r>
      <w:r w:rsidRPr="000318AF">
        <w:rPr>
          <w:i/>
          <w:iCs/>
          <w:sz w:val="20"/>
          <w:szCs w:val="20"/>
        </w:rPr>
        <w:t>(1980) 4 SCC 0443</w:t>
      </w:r>
    </w:p>
    <w:p w:rsidR="000318AF" w:rsidRPr="000318AF" w:rsidRDefault="000318AF" w:rsidP="000318AF">
      <w:pPr>
        <w:jc w:val="both"/>
        <w:rPr>
          <w:i/>
          <w:iCs/>
          <w:sz w:val="20"/>
          <w:szCs w:val="20"/>
        </w:rPr>
      </w:pPr>
      <w:r w:rsidRPr="000318AF">
        <w:rPr>
          <w:i/>
          <w:iCs/>
          <w:sz w:val="20"/>
          <w:szCs w:val="20"/>
          <w:vertAlign w:val="superscript"/>
        </w:rPr>
        <w:t>2</w:t>
      </w:r>
      <w:r w:rsidRPr="000318AF">
        <w:rPr>
          <w:i/>
          <w:iCs/>
          <w:sz w:val="20"/>
          <w:szCs w:val="20"/>
        </w:rPr>
        <w:t>(1981) 3 SCC 0225</w:t>
      </w:r>
    </w:p>
    <w:p w:rsidR="005C6DD1" w:rsidRPr="0024520D" w:rsidRDefault="005C6DD1" w:rsidP="0024520D">
      <w:pPr>
        <w:jc w:val="both"/>
      </w:pPr>
    </w:p>
    <w:sectPr w:rsidR="005C6DD1" w:rsidRPr="0024520D" w:rsidSect="00E353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C4" w:rsidRDefault="007F7CC4" w:rsidP="00CF3BB7">
      <w:r>
        <w:separator/>
      </w:r>
    </w:p>
  </w:endnote>
  <w:endnote w:type="continuationSeparator" w:id="1">
    <w:p w:rsidR="007F7CC4" w:rsidRDefault="007F7CC4" w:rsidP="00CF3B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6843047"/>
      <w:docPartObj>
        <w:docPartGallery w:val="Page Numbers (Bottom of Page)"/>
        <w:docPartUnique/>
      </w:docPartObj>
    </w:sdtPr>
    <w:sdtContent>
      <w:p w:rsidR="00496DA4" w:rsidRPr="00CF3BB7" w:rsidRDefault="00496DA4">
        <w:pPr>
          <w:pStyle w:val="Footer"/>
          <w:jc w:val="center"/>
          <w:rPr>
            <w:sz w:val="22"/>
            <w:szCs w:val="22"/>
          </w:rPr>
        </w:pPr>
        <w:r>
          <w:rPr>
            <w:sz w:val="22"/>
            <w:szCs w:val="22"/>
          </w:rPr>
          <w:t xml:space="preserve">                                                                        </w:t>
        </w:r>
        <w:r w:rsidR="009035DE" w:rsidRPr="00CF3BB7">
          <w:rPr>
            <w:sz w:val="22"/>
            <w:szCs w:val="22"/>
          </w:rPr>
          <w:fldChar w:fldCharType="begin"/>
        </w:r>
        <w:r w:rsidRPr="00CF3BB7">
          <w:rPr>
            <w:sz w:val="22"/>
            <w:szCs w:val="22"/>
          </w:rPr>
          <w:instrText xml:space="preserve"> PAGE   \* MERGEFORMAT </w:instrText>
        </w:r>
        <w:r w:rsidR="009035DE" w:rsidRPr="00CF3BB7">
          <w:rPr>
            <w:sz w:val="22"/>
            <w:szCs w:val="22"/>
          </w:rPr>
          <w:fldChar w:fldCharType="separate"/>
        </w:r>
        <w:r w:rsidR="007F7CC4">
          <w:rPr>
            <w:noProof/>
            <w:sz w:val="22"/>
            <w:szCs w:val="22"/>
          </w:rPr>
          <w:t>1</w:t>
        </w:r>
        <w:r w:rsidR="009035DE" w:rsidRPr="00CF3BB7">
          <w:rPr>
            <w:sz w:val="22"/>
            <w:szCs w:val="22"/>
          </w:rPr>
          <w:fldChar w:fldCharType="end"/>
        </w:r>
        <w:r w:rsidRPr="00CF3BB7">
          <w:rPr>
            <w:sz w:val="22"/>
            <w:szCs w:val="22"/>
          </w:rPr>
          <w:t xml:space="preserve">                    </w:t>
        </w:r>
        <w:r>
          <w:rPr>
            <w:sz w:val="22"/>
            <w:szCs w:val="22"/>
          </w:rPr>
          <w:t xml:space="preserve">            </w:t>
        </w:r>
        <w:r w:rsidRPr="00CF3BB7">
          <w:rPr>
            <w:sz w:val="22"/>
            <w:szCs w:val="22"/>
          </w:rPr>
          <w:t xml:space="preserve">           </w:t>
        </w:r>
        <w:r>
          <w:rPr>
            <w:sz w:val="22"/>
            <w:szCs w:val="22"/>
          </w:rPr>
          <w:t xml:space="preserve">                  </w:t>
        </w:r>
        <w:r w:rsidRPr="00CF3BB7">
          <w:rPr>
            <w:sz w:val="22"/>
            <w:szCs w:val="22"/>
          </w:rPr>
          <w:t xml:space="preserve">            SpotLaw</w:t>
        </w:r>
      </w:p>
    </w:sdtContent>
  </w:sdt>
  <w:p w:rsidR="00496DA4" w:rsidRPr="00CF3BB7" w:rsidRDefault="00496DA4">
    <w:pPr>
      <w:pStyle w:val="Footer"/>
      <w:rPr>
        <w:sz w:val="22"/>
        <w:szCs w:val="22"/>
      </w:rPr>
    </w:pPr>
    <w:r>
      <w:rPr>
        <w:sz w:val="22"/>
        <w:szCs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C4" w:rsidRDefault="007F7CC4" w:rsidP="00CF3BB7">
      <w:r>
        <w:separator/>
      </w:r>
    </w:p>
  </w:footnote>
  <w:footnote w:type="continuationSeparator" w:id="1">
    <w:p w:rsidR="007F7CC4" w:rsidRDefault="007F7CC4" w:rsidP="00CF3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60A"/>
    <w:multiLevelType w:val="hybridMultilevel"/>
    <w:tmpl w:val="71D2FBA8"/>
    <w:lvl w:ilvl="0" w:tplc="558C3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2E2C"/>
    <w:multiLevelType w:val="multilevel"/>
    <w:tmpl w:val="17BCFC24"/>
    <w:lvl w:ilvl="0">
      <w:start w:val="11"/>
      <w:numFmt w:val="decimal"/>
      <w:lvlText w:val="13.7.%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7D6005"/>
    <w:multiLevelType w:val="hybridMultilevel"/>
    <w:tmpl w:val="3F34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70F9B"/>
    <w:multiLevelType w:val="hybridMultilevel"/>
    <w:tmpl w:val="2B5CADE0"/>
    <w:lvl w:ilvl="0" w:tplc="9C2CE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604372"/>
    <w:multiLevelType w:val="multilevel"/>
    <w:tmpl w:val="38046824"/>
    <w:lvl w:ilvl="0">
      <w:start w:val="11"/>
      <w:numFmt w:val="decimal"/>
      <w:lvlText w:val="11.7.%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6939D9"/>
    <w:multiLevelType w:val="hybridMultilevel"/>
    <w:tmpl w:val="9B8AAE1E"/>
    <w:lvl w:ilvl="0" w:tplc="39DC3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841DED"/>
    <w:multiLevelType w:val="multilevel"/>
    <w:tmpl w:val="9682967E"/>
    <w:lvl w:ilvl="0">
      <w:start w:val="11"/>
      <w:numFmt w:val="decimal"/>
      <w:lvlText w:val="25.7.%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955EAE"/>
    <w:multiLevelType w:val="hybridMultilevel"/>
    <w:tmpl w:val="2A20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03575"/>
    <w:multiLevelType w:val="multilevel"/>
    <w:tmpl w:val="01627244"/>
    <w:lvl w:ilvl="0">
      <w:start w:val="11"/>
      <w:numFmt w:val="decimal"/>
      <w:lvlText w:val="15.7.%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7"/>
  </w:num>
  <w:num w:numId="5">
    <w:abstractNumId w:val="8"/>
  </w:num>
  <w:num w:numId="6">
    <w:abstractNumId w:val="1"/>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C3881"/>
    <w:rsid w:val="000001CA"/>
    <w:rsid w:val="0000040C"/>
    <w:rsid w:val="0000341C"/>
    <w:rsid w:val="000102B5"/>
    <w:rsid w:val="00012152"/>
    <w:rsid w:val="00012E1C"/>
    <w:rsid w:val="0001339C"/>
    <w:rsid w:val="00014586"/>
    <w:rsid w:val="00016A86"/>
    <w:rsid w:val="00027B18"/>
    <w:rsid w:val="00030F94"/>
    <w:rsid w:val="000318AF"/>
    <w:rsid w:val="00031B97"/>
    <w:rsid w:val="00032DA7"/>
    <w:rsid w:val="00034C7B"/>
    <w:rsid w:val="00035E36"/>
    <w:rsid w:val="000427E6"/>
    <w:rsid w:val="00043A27"/>
    <w:rsid w:val="000526B6"/>
    <w:rsid w:val="00054CD5"/>
    <w:rsid w:val="00055D59"/>
    <w:rsid w:val="00056803"/>
    <w:rsid w:val="00056A55"/>
    <w:rsid w:val="00062286"/>
    <w:rsid w:val="000654DC"/>
    <w:rsid w:val="00065CA8"/>
    <w:rsid w:val="00066B19"/>
    <w:rsid w:val="00067750"/>
    <w:rsid w:val="00067D47"/>
    <w:rsid w:val="000704EA"/>
    <w:rsid w:val="000709E6"/>
    <w:rsid w:val="000745ED"/>
    <w:rsid w:val="00077658"/>
    <w:rsid w:val="00077C43"/>
    <w:rsid w:val="00080E98"/>
    <w:rsid w:val="000874B8"/>
    <w:rsid w:val="00096AC5"/>
    <w:rsid w:val="000A0E48"/>
    <w:rsid w:val="000A202C"/>
    <w:rsid w:val="000A2EDF"/>
    <w:rsid w:val="000A5B31"/>
    <w:rsid w:val="000A5BFF"/>
    <w:rsid w:val="000A5D45"/>
    <w:rsid w:val="000A6408"/>
    <w:rsid w:val="000B143F"/>
    <w:rsid w:val="000B2A90"/>
    <w:rsid w:val="000B3B3E"/>
    <w:rsid w:val="000B403F"/>
    <w:rsid w:val="000B5086"/>
    <w:rsid w:val="000B606A"/>
    <w:rsid w:val="000B684A"/>
    <w:rsid w:val="000C225C"/>
    <w:rsid w:val="000C3881"/>
    <w:rsid w:val="000C66DC"/>
    <w:rsid w:val="000C697B"/>
    <w:rsid w:val="000C6E59"/>
    <w:rsid w:val="000D006B"/>
    <w:rsid w:val="000D0786"/>
    <w:rsid w:val="000D1D4B"/>
    <w:rsid w:val="000D4C9B"/>
    <w:rsid w:val="000D598D"/>
    <w:rsid w:val="000D6F28"/>
    <w:rsid w:val="000D7A93"/>
    <w:rsid w:val="000E00E6"/>
    <w:rsid w:val="000E1C97"/>
    <w:rsid w:val="000E50FE"/>
    <w:rsid w:val="000E7146"/>
    <w:rsid w:val="000F17B4"/>
    <w:rsid w:val="000F242E"/>
    <w:rsid w:val="000F3635"/>
    <w:rsid w:val="000F3EF9"/>
    <w:rsid w:val="000F4D5A"/>
    <w:rsid w:val="000F4E5E"/>
    <w:rsid w:val="000F7A44"/>
    <w:rsid w:val="001003FD"/>
    <w:rsid w:val="00101380"/>
    <w:rsid w:val="001017E0"/>
    <w:rsid w:val="00101E59"/>
    <w:rsid w:val="0010422A"/>
    <w:rsid w:val="001048AE"/>
    <w:rsid w:val="00105482"/>
    <w:rsid w:val="00105B28"/>
    <w:rsid w:val="0011111E"/>
    <w:rsid w:val="00111679"/>
    <w:rsid w:val="00111CA2"/>
    <w:rsid w:val="00113F75"/>
    <w:rsid w:val="00114C02"/>
    <w:rsid w:val="00115265"/>
    <w:rsid w:val="0011797B"/>
    <w:rsid w:val="00117C2F"/>
    <w:rsid w:val="001203D7"/>
    <w:rsid w:val="001234D3"/>
    <w:rsid w:val="00127F1A"/>
    <w:rsid w:val="00127FB9"/>
    <w:rsid w:val="00130C2A"/>
    <w:rsid w:val="001313F1"/>
    <w:rsid w:val="00132CB5"/>
    <w:rsid w:val="00133A60"/>
    <w:rsid w:val="001346CC"/>
    <w:rsid w:val="00134E90"/>
    <w:rsid w:val="00137E5E"/>
    <w:rsid w:val="0014057E"/>
    <w:rsid w:val="0014126A"/>
    <w:rsid w:val="00142D8D"/>
    <w:rsid w:val="001454CD"/>
    <w:rsid w:val="001513DE"/>
    <w:rsid w:val="00151806"/>
    <w:rsid w:val="00152C9B"/>
    <w:rsid w:val="00153521"/>
    <w:rsid w:val="00154E4C"/>
    <w:rsid w:val="00162702"/>
    <w:rsid w:val="00163ABD"/>
    <w:rsid w:val="00164475"/>
    <w:rsid w:val="0017017B"/>
    <w:rsid w:val="001714E6"/>
    <w:rsid w:val="00172880"/>
    <w:rsid w:val="00174BB2"/>
    <w:rsid w:val="00175AE9"/>
    <w:rsid w:val="00176BD6"/>
    <w:rsid w:val="001779EA"/>
    <w:rsid w:val="00180282"/>
    <w:rsid w:val="001805EF"/>
    <w:rsid w:val="001826AA"/>
    <w:rsid w:val="00183E34"/>
    <w:rsid w:val="0018600C"/>
    <w:rsid w:val="00190C27"/>
    <w:rsid w:val="001928A7"/>
    <w:rsid w:val="001930B9"/>
    <w:rsid w:val="001935B3"/>
    <w:rsid w:val="00195277"/>
    <w:rsid w:val="00195600"/>
    <w:rsid w:val="00195FBA"/>
    <w:rsid w:val="0019624A"/>
    <w:rsid w:val="0019784E"/>
    <w:rsid w:val="001978BC"/>
    <w:rsid w:val="001A1C2E"/>
    <w:rsid w:val="001A3B08"/>
    <w:rsid w:val="001A46ED"/>
    <w:rsid w:val="001A7217"/>
    <w:rsid w:val="001B0E1E"/>
    <w:rsid w:val="001B3087"/>
    <w:rsid w:val="001B5481"/>
    <w:rsid w:val="001B5A72"/>
    <w:rsid w:val="001B7E52"/>
    <w:rsid w:val="001C1B92"/>
    <w:rsid w:val="001C323F"/>
    <w:rsid w:val="001C38F4"/>
    <w:rsid w:val="001C7BC9"/>
    <w:rsid w:val="001D1CFE"/>
    <w:rsid w:val="001D3044"/>
    <w:rsid w:val="001D3ED1"/>
    <w:rsid w:val="001D5FB5"/>
    <w:rsid w:val="001D7F2F"/>
    <w:rsid w:val="001D7FCD"/>
    <w:rsid w:val="001E2867"/>
    <w:rsid w:val="001F2CFE"/>
    <w:rsid w:val="001F2DB7"/>
    <w:rsid w:val="001F3FC5"/>
    <w:rsid w:val="001F6633"/>
    <w:rsid w:val="001F78E6"/>
    <w:rsid w:val="00200FBF"/>
    <w:rsid w:val="00204521"/>
    <w:rsid w:val="00207D7E"/>
    <w:rsid w:val="00211A73"/>
    <w:rsid w:val="00211F38"/>
    <w:rsid w:val="00212208"/>
    <w:rsid w:val="00212B37"/>
    <w:rsid w:val="00215D79"/>
    <w:rsid w:val="0021770C"/>
    <w:rsid w:val="00217B16"/>
    <w:rsid w:val="00221A47"/>
    <w:rsid w:val="00224289"/>
    <w:rsid w:val="00224E85"/>
    <w:rsid w:val="00225045"/>
    <w:rsid w:val="00227A1E"/>
    <w:rsid w:val="00231151"/>
    <w:rsid w:val="00231DFF"/>
    <w:rsid w:val="00231FAD"/>
    <w:rsid w:val="00232095"/>
    <w:rsid w:val="00232B8F"/>
    <w:rsid w:val="00236E32"/>
    <w:rsid w:val="00242E71"/>
    <w:rsid w:val="0024357B"/>
    <w:rsid w:val="00243F72"/>
    <w:rsid w:val="0024520D"/>
    <w:rsid w:val="0024581F"/>
    <w:rsid w:val="002474B1"/>
    <w:rsid w:val="002506EC"/>
    <w:rsid w:val="00251D8D"/>
    <w:rsid w:val="002626DC"/>
    <w:rsid w:val="0026724F"/>
    <w:rsid w:val="00270A94"/>
    <w:rsid w:val="00273FDE"/>
    <w:rsid w:val="00274268"/>
    <w:rsid w:val="002755C0"/>
    <w:rsid w:val="00275A5A"/>
    <w:rsid w:val="002764F2"/>
    <w:rsid w:val="0027661E"/>
    <w:rsid w:val="00281482"/>
    <w:rsid w:val="00281866"/>
    <w:rsid w:val="00283841"/>
    <w:rsid w:val="0028535C"/>
    <w:rsid w:val="00286F2B"/>
    <w:rsid w:val="00290764"/>
    <w:rsid w:val="002908D1"/>
    <w:rsid w:val="00291A83"/>
    <w:rsid w:val="00291E17"/>
    <w:rsid w:val="00292932"/>
    <w:rsid w:val="00295605"/>
    <w:rsid w:val="002968D4"/>
    <w:rsid w:val="002A3204"/>
    <w:rsid w:val="002A6D3C"/>
    <w:rsid w:val="002A726D"/>
    <w:rsid w:val="002A76C1"/>
    <w:rsid w:val="002B50FB"/>
    <w:rsid w:val="002C0C2D"/>
    <w:rsid w:val="002C21D3"/>
    <w:rsid w:val="002C405B"/>
    <w:rsid w:val="002C5068"/>
    <w:rsid w:val="002C550A"/>
    <w:rsid w:val="002C5652"/>
    <w:rsid w:val="002C7379"/>
    <w:rsid w:val="002D03AA"/>
    <w:rsid w:val="002D14D2"/>
    <w:rsid w:val="002D29D5"/>
    <w:rsid w:val="002D67DA"/>
    <w:rsid w:val="002E2272"/>
    <w:rsid w:val="002E3079"/>
    <w:rsid w:val="002E4039"/>
    <w:rsid w:val="002E5462"/>
    <w:rsid w:val="002E5583"/>
    <w:rsid w:val="002F460C"/>
    <w:rsid w:val="00302CA8"/>
    <w:rsid w:val="00302D71"/>
    <w:rsid w:val="003037C1"/>
    <w:rsid w:val="0030455B"/>
    <w:rsid w:val="003050EF"/>
    <w:rsid w:val="003076D5"/>
    <w:rsid w:val="00310256"/>
    <w:rsid w:val="00310D7D"/>
    <w:rsid w:val="003114D6"/>
    <w:rsid w:val="0031307F"/>
    <w:rsid w:val="00316381"/>
    <w:rsid w:val="00317A75"/>
    <w:rsid w:val="00320A65"/>
    <w:rsid w:val="00320C92"/>
    <w:rsid w:val="00321C95"/>
    <w:rsid w:val="003226A9"/>
    <w:rsid w:val="00322DE8"/>
    <w:rsid w:val="003233C5"/>
    <w:rsid w:val="00324421"/>
    <w:rsid w:val="003253BE"/>
    <w:rsid w:val="00327B9E"/>
    <w:rsid w:val="00330B4F"/>
    <w:rsid w:val="003318CA"/>
    <w:rsid w:val="003348DD"/>
    <w:rsid w:val="003412BD"/>
    <w:rsid w:val="00344C9C"/>
    <w:rsid w:val="00347545"/>
    <w:rsid w:val="0035387F"/>
    <w:rsid w:val="00354AF8"/>
    <w:rsid w:val="003557E4"/>
    <w:rsid w:val="00355DF9"/>
    <w:rsid w:val="00360326"/>
    <w:rsid w:val="00360F24"/>
    <w:rsid w:val="0036121E"/>
    <w:rsid w:val="0036182F"/>
    <w:rsid w:val="00362256"/>
    <w:rsid w:val="00362DA7"/>
    <w:rsid w:val="00366EDA"/>
    <w:rsid w:val="00366F30"/>
    <w:rsid w:val="0036795D"/>
    <w:rsid w:val="00374EE2"/>
    <w:rsid w:val="00374F76"/>
    <w:rsid w:val="00375201"/>
    <w:rsid w:val="003761B2"/>
    <w:rsid w:val="00376943"/>
    <w:rsid w:val="00380460"/>
    <w:rsid w:val="00382916"/>
    <w:rsid w:val="00383548"/>
    <w:rsid w:val="0038736F"/>
    <w:rsid w:val="00387BD7"/>
    <w:rsid w:val="00387D6A"/>
    <w:rsid w:val="00387D97"/>
    <w:rsid w:val="003918C9"/>
    <w:rsid w:val="00393912"/>
    <w:rsid w:val="00394658"/>
    <w:rsid w:val="00395180"/>
    <w:rsid w:val="00395820"/>
    <w:rsid w:val="00396C91"/>
    <w:rsid w:val="003A07FA"/>
    <w:rsid w:val="003A12A8"/>
    <w:rsid w:val="003A6369"/>
    <w:rsid w:val="003A7858"/>
    <w:rsid w:val="003A79F7"/>
    <w:rsid w:val="003B2A0C"/>
    <w:rsid w:val="003B3B8E"/>
    <w:rsid w:val="003B436A"/>
    <w:rsid w:val="003B58EF"/>
    <w:rsid w:val="003B61C0"/>
    <w:rsid w:val="003B6600"/>
    <w:rsid w:val="003B71DF"/>
    <w:rsid w:val="003C13B2"/>
    <w:rsid w:val="003C1496"/>
    <w:rsid w:val="003D0281"/>
    <w:rsid w:val="003D0886"/>
    <w:rsid w:val="003D0FAE"/>
    <w:rsid w:val="003D280E"/>
    <w:rsid w:val="003D37D7"/>
    <w:rsid w:val="003D4D0D"/>
    <w:rsid w:val="003D7F9D"/>
    <w:rsid w:val="003E1584"/>
    <w:rsid w:val="003E23AF"/>
    <w:rsid w:val="003E3BD9"/>
    <w:rsid w:val="003E456D"/>
    <w:rsid w:val="003E47C8"/>
    <w:rsid w:val="003E7F22"/>
    <w:rsid w:val="003E7FC3"/>
    <w:rsid w:val="003F0C1D"/>
    <w:rsid w:val="003F2931"/>
    <w:rsid w:val="003F4EFA"/>
    <w:rsid w:val="003F59E8"/>
    <w:rsid w:val="00401E46"/>
    <w:rsid w:val="00405572"/>
    <w:rsid w:val="0040578B"/>
    <w:rsid w:val="00406666"/>
    <w:rsid w:val="00407BF7"/>
    <w:rsid w:val="00407DDD"/>
    <w:rsid w:val="004105C0"/>
    <w:rsid w:val="00410990"/>
    <w:rsid w:val="00414404"/>
    <w:rsid w:val="0042068E"/>
    <w:rsid w:val="004213F2"/>
    <w:rsid w:val="00427E5F"/>
    <w:rsid w:val="00431541"/>
    <w:rsid w:val="00432060"/>
    <w:rsid w:val="00433A3B"/>
    <w:rsid w:val="00436DEF"/>
    <w:rsid w:val="004417E8"/>
    <w:rsid w:val="0044395B"/>
    <w:rsid w:val="00444CFA"/>
    <w:rsid w:val="00451F9F"/>
    <w:rsid w:val="00451FF5"/>
    <w:rsid w:val="00453B95"/>
    <w:rsid w:val="00454852"/>
    <w:rsid w:val="00454EEE"/>
    <w:rsid w:val="00455430"/>
    <w:rsid w:val="00455902"/>
    <w:rsid w:val="004579D4"/>
    <w:rsid w:val="004602BF"/>
    <w:rsid w:val="00462029"/>
    <w:rsid w:val="0046639A"/>
    <w:rsid w:val="004712AA"/>
    <w:rsid w:val="00472ACB"/>
    <w:rsid w:val="00473138"/>
    <w:rsid w:val="0047372E"/>
    <w:rsid w:val="004746E2"/>
    <w:rsid w:val="004747A6"/>
    <w:rsid w:val="004764E7"/>
    <w:rsid w:val="004806A7"/>
    <w:rsid w:val="00481102"/>
    <w:rsid w:val="00481AB2"/>
    <w:rsid w:val="00483E08"/>
    <w:rsid w:val="00484193"/>
    <w:rsid w:val="00486D24"/>
    <w:rsid w:val="00486DB4"/>
    <w:rsid w:val="004903B9"/>
    <w:rsid w:val="00491018"/>
    <w:rsid w:val="00491254"/>
    <w:rsid w:val="00491DF3"/>
    <w:rsid w:val="00493760"/>
    <w:rsid w:val="00496ABB"/>
    <w:rsid w:val="00496DA4"/>
    <w:rsid w:val="004A0A67"/>
    <w:rsid w:val="004A2554"/>
    <w:rsid w:val="004A3B9C"/>
    <w:rsid w:val="004A6A74"/>
    <w:rsid w:val="004A724E"/>
    <w:rsid w:val="004A79B6"/>
    <w:rsid w:val="004B1282"/>
    <w:rsid w:val="004B31EF"/>
    <w:rsid w:val="004B32F4"/>
    <w:rsid w:val="004B4BB2"/>
    <w:rsid w:val="004B51E9"/>
    <w:rsid w:val="004B62B2"/>
    <w:rsid w:val="004C04C2"/>
    <w:rsid w:val="004C15D7"/>
    <w:rsid w:val="004C286E"/>
    <w:rsid w:val="004C46B2"/>
    <w:rsid w:val="004C6B72"/>
    <w:rsid w:val="004C73E5"/>
    <w:rsid w:val="004D3848"/>
    <w:rsid w:val="004D41E8"/>
    <w:rsid w:val="004D4376"/>
    <w:rsid w:val="004D4A97"/>
    <w:rsid w:val="004D5809"/>
    <w:rsid w:val="004D7570"/>
    <w:rsid w:val="004E1E4D"/>
    <w:rsid w:val="004E26A2"/>
    <w:rsid w:val="004E31E0"/>
    <w:rsid w:val="004E53EC"/>
    <w:rsid w:val="004E772C"/>
    <w:rsid w:val="004F058E"/>
    <w:rsid w:val="004F08B3"/>
    <w:rsid w:val="004F1C4B"/>
    <w:rsid w:val="004F2572"/>
    <w:rsid w:val="004F7CA4"/>
    <w:rsid w:val="00504391"/>
    <w:rsid w:val="00506099"/>
    <w:rsid w:val="0050697A"/>
    <w:rsid w:val="005072E7"/>
    <w:rsid w:val="005115EC"/>
    <w:rsid w:val="00511642"/>
    <w:rsid w:val="00513009"/>
    <w:rsid w:val="0051308B"/>
    <w:rsid w:val="00513947"/>
    <w:rsid w:val="00513C40"/>
    <w:rsid w:val="00513F88"/>
    <w:rsid w:val="00514F07"/>
    <w:rsid w:val="005154F5"/>
    <w:rsid w:val="00521884"/>
    <w:rsid w:val="005263EB"/>
    <w:rsid w:val="005269DC"/>
    <w:rsid w:val="00527212"/>
    <w:rsid w:val="005272ED"/>
    <w:rsid w:val="00530341"/>
    <w:rsid w:val="00534C31"/>
    <w:rsid w:val="005413EE"/>
    <w:rsid w:val="00541E52"/>
    <w:rsid w:val="00543F15"/>
    <w:rsid w:val="00545662"/>
    <w:rsid w:val="00545CE2"/>
    <w:rsid w:val="005462A4"/>
    <w:rsid w:val="005519A4"/>
    <w:rsid w:val="00551A28"/>
    <w:rsid w:val="00551EA1"/>
    <w:rsid w:val="005525F2"/>
    <w:rsid w:val="00553C7B"/>
    <w:rsid w:val="00555CFC"/>
    <w:rsid w:val="0056224D"/>
    <w:rsid w:val="00562CB4"/>
    <w:rsid w:val="00563B2E"/>
    <w:rsid w:val="005668D7"/>
    <w:rsid w:val="00566FD3"/>
    <w:rsid w:val="005735E6"/>
    <w:rsid w:val="0057387F"/>
    <w:rsid w:val="00573B27"/>
    <w:rsid w:val="0057448E"/>
    <w:rsid w:val="00574E3F"/>
    <w:rsid w:val="005769A4"/>
    <w:rsid w:val="005812BE"/>
    <w:rsid w:val="00583AF9"/>
    <w:rsid w:val="0059006F"/>
    <w:rsid w:val="00590830"/>
    <w:rsid w:val="00596D03"/>
    <w:rsid w:val="00597392"/>
    <w:rsid w:val="005A4577"/>
    <w:rsid w:val="005A4BFC"/>
    <w:rsid w:val="005B0EA3"/>
    <w:rsid w:val="005B1978"/>
    <w:rsid w:val="005B2176"/>
    <w:rsid w:val="005B3390"/>
    <w:rsid w:val="005B4489"/>
    <w:rsid w:val="005C0A79"/>
    <w:rsid w:val="005C104F"/>
    <w:rsid w:val="005C132A"/>
    <w:rsid w:val="005C19F3"/>
    <w:rsid w:val="005C247F"/>
    <w:rsid w:val="005C2E68"/>
    <w:rsid w:val="005C3BED"/>
    <w:rsid w:val="005C6DD1"/>
    <w:rsid w:val="005C722B"/>
    <w:rsid w:val="005C7C66"/>
    <w:rsid w:val="005D317E"/>
    <w:rsid w:val="005D4F51"/>
    <w:rsid w:val="005D5139"/>
    <w:rsid w:val="005D583C"/>
    <w:rsid w:val="005D5C55"/>
    <w:rsid w:val="005D5D26"/>
    <w:rsid w:val="005D6F01"/>
    <w:rsid w:val="005E635A"/>
    <w:rsid w:val="005F0D5D"/>
    <w:rsid w:val="005F0EF0"/>
    <w:rsid w:val="005F11E7"/>
    <w:rsid w:val="005F3454"/>
    <w:rsid w:val="005F6429"/>
    <w:rsid w:val="00603EBC"/>
    <w:rsid w:val="006112E8"/>
    <w:rsid w:val="006117DD"/>
    <w:rsid w:val="00613610"/>
    <w:rsid w:val="0061383A"/>
    <w:rsid w:val="00615453"/>
    <w:rsid w:val="0061577E"/>
    <w:rsid w:val="00616309"/>
    <w:rsid w:val="00622CC4"/>
    <w:rsid w:val="00623DFE"/>
    <w:rsid w:val="00625D6A"/>
    <w:rsid w:val="0062686B"/>
    <w:rsid w:val="00626D1A"/>
    <w:rsid w:val="00627A9D"/>
    <w:rsid w:val="0063343A"/>
    <w:rsid w:val="006339A9"/>
    <w:rsid w:val="00633C06"/>
    <w:rsid w:val="00633FF8"/>
    <w:rsid w:val="006344AE"/>
    <w:rsid w:val="00634506"/>
    <w:rsid w:val="00637FCD"/>
    <w:rsid w:val="0064110B"/>
    <w:rsid w:val="0064158B"/>
    <w:rsid w:val="006425C1"/>
    <w:rsid w:val="00644DF6"/>
    <w:rsid w:val="006459DA"/>
    <w:rsid w:val="00650832"/>
    <w:rsid w:val="00650B25"/>
    <w:rsid w:val="006513C5"/>
    <w:rsid w:val="0065318B"/>
    <w:rsid w:val="006541CE"/>
    <w:rsid w:val="006556E4"/>
    <w:rsid w:val="006564FF"/>
    <w:rsid w:val="006635BE"/>
    <w:rsid w:val="00663C83"/>
    <w:rsid w:val="00664C93"/>
    <w:rsid w:val="00670ED8"/>
    <w:rsid w:val="00672B7C"/>
    <w:rsid w:val="006757DA"/>
    <w:rsid w:val="006766A7"/>
    <w:rsid w:val="00676E4B"/>
    <w:rsid w:val="006774F1"/>
    <w:rsid w:val="00681377"/>
    <w:rsid w:val="00682B55"/>
    <w:rsid w:val="00682FA6"/>
    <w:rsid w:val="006834EA"/>
    <w:rsid w:val="00683616"/>
    <w:rsid w:val="00683653"/>
    <w:rsid w:val="0068456E"/>
    <w:rsid w:val="006856EE"/>
    <w:rsid w:val="0068588D"/>
    <w:rsid w:val="00685ECB"/>
    <w:rsid w:val="0068608F"/>
    <w:rsid w:val="00686748"/>
    <w:rsid w:val="006873B7"/>
    <w:rsid w:val="00691746"/>
    <w:rsid w:val="00694751"/>
    <w:rsid w:val="006960CC"/>
    <w:rsid w:val="00697D39"/>
    <w:rsid w:val="006A3F2C"/>
    <w:rsid w:val="006A545B"/>
    <w:rsid w:val="006A5BD0"/>
    <w:rsid w:val="006B2866"/>
    <w:rsid w:val="006B2F60"/>
    <w:rsid w:val="006B399C"/>
    <w:rsid w:val="006B5877"/>
    <w:rsid w:val="006B5A8D"/>
    <w:rsid w:val="006B5B5E"/>
    <w:rsid w:val="006C24A2"/>
    <w:rsid w:val="006C44C2"/>
    <w:rsid w:val="006D07AE"/>
    <w:rsid w:val="006D205A"/>
    <w:rsid w:val="006D2B9C"/>
    <w:rsid w:val="006D7232"/>
    <w:rsid w:val="006E05E4"/>
    <w:rsid w:val="006E6333"/>
    <w:rsid w:val="006F1694"/>
    <w:rsid w:val="006F6617"/>
    <w:rsid w:val="006F7D55"/>
    <w:rsid w:val="007066F1"/>
    <w:rsid w:val="00707B2A"/>
    <w:rsid w:val="00715ACB"/>
    <w:rsid w:val="00715CEB"/>
    <w:rsid w:val="00717A39"/>
    <w:rsid w:val="00721196"/>
    <w:rsid w:val="0072176A"/>
    <w:rsid w:val="00721FFF"/>
    <w:rsid w:val="00722205"/>
    <w:rsid w:val="00724432"/>
    <w:rsid w:val="00725273"/>
    <w:rsid w:val="00725652"/>
    <w:rsid w:val="00725D6B"/>
    <w:rsid w:val="0072683B"/>
    <w:rsid w:val="00727AB4"/>
    <w:rsid w:val="00730649"/>
    <w:rsid w:val="00730C24"/>
    <w:rsid w:val="00733128"/>
    <w:rsid w:val="007368AC"/>
    <w:rsid w:val="007371D9"/>
    <w:rsid w:val="00737B0D"/>
    <w:rsid w:val="00740AB7"/>
    <w:rsid w:val="00744659"/>
    <w:rsid w:val="007464A1"/>
    <w:rsid w:val="00746ED7"/>
    <w:rsid w:val="00751158"/>
    <w:rsid w:val="00753C96"/>
    <w:rsid w:val="00755D29"/>
    <w:rsid w:val="00757E53"/>
    <w:rsid w:val="00761C7A"/>
    <w:rsid w:val="007644B8"/>
    <w:rsid w:val="00770BC5"/>
    <w:rsid w:val="00772E2E"/>
    <w:rsid w:val="00775430"/>
    <w:rsid w:val="0077605F"/>
    <w:rsid w:val="00777851"/>
    <w:rsid w:val="00781022"/>
    <w:rsid w:val="00781DEC"/>
    <w:rsid w:val="0078255B"/>
    <w:rsid w:val="00785D66"/>
    <w:rsid w:val="00786BE0"/>
    <w:rsid w:val="00791B91"/>
    <w:rsid w:val="00791E39"/>
    <w:rsid w:val="00792C7D"/>
    <w:rsid w:val="00794887"/>
    <w:rsid w:val="00794C55"/>
    <w:rsid w:val="00795534"/>
    <w:rsid w:val="00796549"/>
    <w:rsid w:val="007971F3"/>
    <w:rsid w:val="007A20BF"/>
    <w:rsid w:val="007A26C4"/>
    <w:rsid w:val="007A3E05"/>
    <w:rsid w:val="007A4F9B"/>
    <w:rsid w:val="007A5CD4"/>
    <w:rsid w:val="007A642A"/>
    <w:rsid w:val="007A7F23"/>
    <w:rsid w:val="007B1409"/>
    <w:rsid w:val="007B3494"/>
    <w:rsid w:val="007B39DD"/>
    <w:rsid w:val="007B57D6"/>
    <w:rsid w:val="007B6ACD"/>
    <w:rsid w:val="007C086A"/>
    <w:rsid w:val="007C2739"/>
    <w:rsid w:val="007C3CB6"/>
    <w:rsid w:val="007C4837"/>
    <w:rsid w:val="007C4A39"/>
    <w:rsid w:val="007C4D51"/>
    <w:rsid w:val="007C608E"/>
    <w:rsid w:val="007C6420"/>
    <w:rsid w:val="007C65E7"/>
    <w:rsid w:val="007C755C"/>
    <w:rsid w:val="007C7F8D"/>
    <w:rsid w:val="007D114D"/>
    <w:rsid w:val="007D137F"/>
    <w:rsid w:val="007D4969"/>
    <w:rsid w:val="007D5C8E"/>
    <w:rsid w:val="007E19B6"/>
    <w:rsid w:val="007E2614"/>
    <w:rsid w:val="007E35E0"/>
    <w:rsid w:val="007E5BD9"/>
    <w:rsid w:val="007E60FA"/>
    <w:rsid w:val="007F76EB"/>
    <w:rsid w:val="007F78BD"/>
    <w:rsid w:val="007F7CC4"/>
    <w:rsid w:val="00801119"/>
    <w:rsid w:val="00801AA6"/>
    <w:rsid w:val="00802FB0"/>
    <w:rsid w:val="0080504F"/>
    <w:rsid w:val="00805119"/>
    <w:rsid w:val="008064FB"/>
    <w:rsid w:val="00806DEB"/>
    <w:rsid w:val="00807291"/>
    <w:rsid w:val="00807C02"/>
    <w:rsid w:val="00810042"/>
    <w:rsid w:val="008103A4"/>
    <w:rsid w:val="008153FD"/>
    <w:rsid w:val="00816B13"/>
    <w:rsid w:val="00817ADB"/>
    <w:rsid w:val="008205A1"/>
    <w:rsid w:val="00821FDD"/>
    <w:rsid w:val="0082513B"/>
    <w:rsid w:val="00826C1D"/>
    <w:rsid w:val="0082720C"/>
    <w:rsid w:val="00830F4A"/>
    <w:rsid w:val="0083219C"/>
    <w:rsid w:val="00841627"/>
    <w:rsid w:val="00841ADD"/>
    <w:rsid w:val="00841EEE"/>
    <w:rsid w:val="00845946"/>
    <w:rsid w:val="0084627D"/>
    <w:rsid w:val="00846598"/>
    <w:rsid w:val="0085249D"/>
    <w:rsid w:val="00852986"/>
    <w:rsid w:val="00853052"/>
    <w:rsid w:val="008540B7"/>
    <w:rsid w:val="00862303"/>
    <w:rsid w:val="00862F11"/>
    <w:rsid w:val="00863C2E"/>
    <w:rsid w:val="008643B6"/>
    <w:rsid w:val="00864BDA"/>
    <w:rsid w:val="00865B3C"/>
    <w:rsid w:val="00866001"/>
    <w:rsid w:val="008711EE"/>
    <w:rsid w:val="00872FB1"/>
    <w:rsid w:val="00873681"/>
    <w:rsid w:val="00874263"/>
    <w:rsid w:val="00877033"/>
    <w:rsid w:val="00880F77"/>
    <w:rsid w:val="008811A1"/>
    <w:rsid w:val="00885926"/>
    <w:rsid w:val="008919DD"/>
    <w:rsid w:val="00894B21"/>
    <w:rsid w:val="008B5CDE"/>
    <w:rsid w:val="008B6C12"/>
    <w:rsid w:val="008B7E1B"/>
    <w:rsid w:val="008C0EBA"/>
    <w:rsid w:val="008C3B36"/>
    <w:rsid w:val="008C3C15"/>
    <w:rsid w:val="008C43EC"/>
    <w:rsid w:val="008D191E"/>
    <w:rsid w:val="008D58B7"/>
    <w:rsid w:val="008D5912"/>
    <w:rsid w:val="008D655D"/>
    <w:rsid w:val="008D6E0D"/>
    <w:rsid w:val="008D762E"/>
    <w:rsid w:val="008E0D99"/>
    <w:rsid w:val="008E344E"/>
    <w:rsid w:val="008E561C"/>
    <w:rsid w:val="008E5A6D"/>
    <w:rsid w:val="008F0E97"/>
    <w:rsid w:val="008F18D2"/>
    <w:rsid w:val="008F1F2E"/>
    <w:rsid w:val="008F29B8"/>
    <w:rsid w:val="008F499C"/>
    <w:rsid w:val="008F55EE"/>
    <w:rsid w:val="00900DC7"/>
    <w:rsid w:val="0090165B"/>
    <w:rsid w:val="009016F8"/>
    <w:rsid w:val="00902B1B"/>
    <w:rsid w:val="009035DE"/>
    <w:rsid w:val="00904E1A"/>
    <w:rsid w:val="009063D6"/>
    <w:rsid w:val="0090675D"/>
    <w:rsid w:val="009067C5"/>
    <w:rsid w:val="00906C6E"/>
    <w:rsid w:val="00907AB0"/>
    <w:rsid w:val="00914394"/>
    <w:rsid w:val="00914D03"/>
    <w:rsid w:val="0091750E"/>
    <w:rsid w:val="0091795A"/>
    <w:rsid w:val="00917E59"/>
    <w:rsid w:val="00923194"/>
    <w:rsid w:val="009232D0"/>
    <w:rsid w:val="00923545"/>
    <w:rsid w:val="00925449"/>
    <w:rsid w:val="00930322"/>
    <w:rsid w:val="00932EE5"/>
    <w:rsid w:val="00932F91"/>
    <w:rsid w:val="00935579"/>
    <w:rsid w:val="0093589C"/>
    <w:rsid w:val="00936255"/>
    <w:rsid w:val="009368AA"/>
    <w:rsid w:val="00937E20"/>
    <w:rsid w:val="00937F1A"/>
    <w:rsid w:val="009432C9"/>
    <w:rsid w:val="00945D71"/>
    <w:rsid w:val="009464B5"/>
    <w:rsid w:val="009467F2"/>
    <w:rsid w:val="0094746A"/>
    <w:rsid w:val="00952B47"/>
    <w:rsid w:val="0095415E"/>
    <w:rsid w:val="00955903"/>
    <w:rsid w:val="0096009B"/>
    <w:rsid w:val="00963D44"/>
    <w:rsid w:val="00964F36"/>
    <w:rsid w:val="0097037F"/>
    <w:rsid w:val="00972723"/>
    <w:rsid w:val="00973494"/>
    <w:rsid w:val="009741FE"/>
    <w:rsid w:val="00976FBB"/>
    <w:rsid w:val="0097729A"/>
    <w:rsid w:val="009822CF"/>
    <w:rsid w:val="00982C77"/>
    <w:rsid w:val="0098401E"/>
    <w:rsid w:val="00984D3D"/>
    <w:rsid w:val="0098675B"/>
    <w:rsid w:val="00987ADE"/>
    <w:rsid w:val="009902F9"/>
    <w:rsid w:val="009908B5"/>
    <w:rsid w:val="0099170A"/>
    <w:rsid w:val="00991C12"/>
    <w:rsid w:val="00991C6B"/>
    <w:rsid w:val="00992DC6"/>
    <w:rsid w:val="009950FD"/>
    <w:rsid w:val="00996746"/>
    <w:rsid w:val="009A13AE"/>
    <w:rsid w:val="009A2119"/>
    <w:rsid w:val="009A3810"/>
    <w:rsid w:val="009A3B59"/>
    <w:rsid w:val="009A5906"/>
    <w:rsid w:val="009A60EE"/>
    <w:rsid w:val="009B0B13"/>
    <w:rsid w:val="009B10F2"/>
    <w:rsid w:val="009B2F99"/>
    <w:rsid w:val="009B44D9"/>
    <w:rsid w:val="009C1453"/>
    <w:rsid w:val="009C2F3F"/>
    <w:rsid w:val="009C49DF"/>
    <w:rsid w:val="009C4B98"/>
    <w:rsid w:val="009C7D0C"/>
    <w:rsid w:val="009D3DA6"/>
    <w:rsid w:val="009D484D"/>
    <w:rsid w:val="009D5AEE"/>
    <w:rsid w:val="009D64E5"/>
    <w:rsid w:val="009E364C"/>
    <w:rsid w:val="009E3BBB"/>
    <w:rsid w:val="009E4C45"/>
    <w:rsid w:val="009E5899"/>
    <w:rsid w:val="009F1974"/>
    <w:rsid w:val="009F2905"/>
    <w:rsid w:val="009F7DFC"/>
    <w:rsid w:val="00A021D8"/>
    <w:rsid w:val="00A02276"/>
    <w:rsid w:val="00A0264A"/>
    <w:rsid w:val="00A03045"/>
    <w:rsid w:val="00A07BC4"/>
    <w:rsid w:val="00A10AE2"/>
    <w:rsid w:val="00A10C56"/>
    <w:rsid w:val="00A14D59"/>
    <w:rsid w:val="00A15AE4"/>
    <w:rsid w:val="00A16ADC"/>
    <w:rsid w:val="00A20899"/>
    <w:rsid w:val="00A2321F"/>
    <w:rsid w:val="00A23242"/>
    <w:rsid w:val="00A23F82"/>
    <w:rsid w:val="00A251CE"/>
    <w:rsid w:val="00A25C75"/>
    <w:rsid w:val="00A303EF"/>
    <w:rsid w:val="00A30FD7"/>
    <w:rsid w:val="00A3207C"/>
    <w:rsid w:val="00A33976"/>
    <w:rsid w:val="00A356C0"/>
    <w:rsid w:val="00A4013E"/>
    <w:rsid w:val="00A40750"/>
    <w:rsid w:val="00A41A56"/>
    <w:rsid w:val="00A426E6"/>
    <w:rsid w:val="00A443C7"/>
    <w:rsid w:val="00A47ED8"/>
    <w:rsid w:val="00A50250"/>
    <w:rsid w:val="00A5308D"/>
    <w:rsid w:val="00A53B1B"/>
    <w:rsid w:val="00A54380"/>
    <w:rsid w:val="00A54A5E"/>
    <w:rsid w:val="00A55AE0"/>
    <w:rsid w:val="00A568CD"/>
    <w:rsid w:val="00A57908"/>
    <w:rsid w:val="00A64137"/>
    <w:rsid w:val="00A64FA4"/>
    <w:rsid w:val="00A65FB9"/>
    <w:rsid w:val="00A70F3A"/>
    <w:rsid w:val="00A71EA7"/>
    <w:rsid w:val="00A72B16"/>
    <w:rsid w:val="00A73F81"/>
    <w:rsid w:val="00A74206"/>
    <w:rsid w:val="00A7570A"/>
    <w:rsid w:val="00A776AD"/>
    <w:rsid w:val="00A8153F"/>
    <w:rsid w:val="00A82CB1"/>
    <w:rsid w:val="00A8343B"/>
    <w:rsid w:val="00A83879"/>
    <w:rsid w:val="00A856EC"/>
    <w:rsid w:val="00A91BA1"/>
    <w:rsid w:val="00A925CC"/>
    <w:rsid w:val="00A9394A"/>
    <w:rsid w:val="00A9489F"/>
    <w:rsid w:val="00AA3E98"/>
    <w:rsid w:val="00AA4437"/>
    <w:rsid w:val="00AA52BF"/>
    <w:rsid w:val="00AA6BE7"/>
    <w:rsid w:val="00AB0394"/>
    <w:rsid w:val="00AB1A30"/>
    <w:rsid w:val="00AB34BB"/>
    <w:rsid w:val="00AB4BB1"/>
    <w:rsid w:val="00AB618D"/>
    <w:rsid w:val="00AB7036"/>
    <w:rsid w:val="00AB7F55"/>
    <w:rsid w:val="00AC354E"/>
    <w:rsid w:val="00AC5E94"/>
    <w:rsid w:val="00AC6CC0"/>
    <w:rsid w:val="00AC7DFC"/>
    <w:rsid w:val="00AD0E2B"/>
    <w:rsid w:val="00AD1813"/>
    <w:rsid w:val="00AD1D53"/>
    <w:rsid w:val="00AD2765"/>
    <w:rsid w:val="00AD384C"/>
    <w:rsid w:val="00AD46E9"/>
    <w:rsid w:val="00AD60F1"/>
    <w:rsid w:val="00AD75D8"/>
    <w:rsid w:val="00AD76CE"/>
    <w:rsid w:val="00AE35F2"/>
    <w:rsid w:val="00AE7368"/>
    <w:rsid w:val="00AF04E5"/>
    <w:rsid w:val="00AF1B8C"/>
    <w:rsid w:val="00AF272C"/>
    <w:rsid w:val="00AF35C6"/>
    <w:rsid w:val="00AF486A"/>
    <w:rsid w:val="00B02851"/>
    <w:rsid w:val="00B02A67"/>
    <w:rsid w:val="00B0331E"/>
    <w:rsid w:val="00B03E1C"/>
    <w:rsid w:val="00B0503A"/>
    <w:rsid w:val="00B05DDA"/>
    <w:rsid w:val="00B05E8A"/>
    <w:rsid w:val="00B07DBC"/>
    <w:rsid w:val="00B15B58"/>
    <w:rsid w:val="00B177A2"/>
    <w:rsid w:val="00B21208"/>
    <w:rsid w:val="00B22611"/>
    <w:rsid w:val="00B26169"/>
    <w:rsid w:val="00B27786"/>
    <w:rsid w:val="00B279AA"/>
    <w:rsid w:val="00B307BE"/>
    <w:rsid w:val="00B31A07"/>
    <w:rsid w:val="00B36362"/>
    <w:rsid w:val="00B37CAA"/>
    <w:rsid w:val="00B401C9"/>
    <w:rsid w:val="00B43753"/>
    <w:rsid w:val="00B439EE"/>
    <w:rsid w:val="00B44BAD"/>
    <w:rsid w:val="00B47307"/>
    <w:rsid w:val="00B478CE"/>
    <w:rsid w:val="00B47F65"/>
    <w:rsid w:val="00B51248"/>
    <w:rsid w:val="00B52697"/>
    <w:rsid w:val="00B55805"/>
    <w:rsid w:val="00B55C63"/>
    <w:rsid w:val="00B564AC"/>
    <w:rsid w:val="00B57112"/>
    <w:rsid w:val="00B603AD"/>
    <w:rsid w:val="00B60710"/>
    <w:rsid w:val="00B65A9C"/>
    <w:rsid w:val="00B704CC"/>
    <w:rsid w:val="00B7061D"/>
    <w:rsid w:val="00B74C03"/>
    <w:rsid w:val="00B76506"/>
    <w:rsid w:val="00B773F8"/>
    <w:rsid w:val="00B77738"/>
    <w:rsid w:val="00B80CC7"/>
    <w:rsid w:val="00B9434A"/>
    <w:rsid w:val="00B94B8E"/>
    <w:rsid w:val="00B94E0F"/>
    <w:rsid w:val="00B95F53"/>
    <w:rsid w:val="00B979A7"/>
    <w:rsid w:val="00B97D17"/>
    <w:rsid w:val="00BA0518"/>
    <w:rsid w:val="00BA1BCF"/>
    <w:rsid w:val="00BA324E"/>
    <w:rsid w:val="00BA5A38"/>
    <w:rsid w:val="00BA7EE4"/>
    <w:rsid w:val="00BB033C"/>
    <w:rsid w:val="00BB09D0"/>
    <w:rsid w:val="00BB3006"/>
    <w:rsid w:val="00BB430E"/>
    <w:rsid w:val="00BB74FE"/>
    <w:rsid w:val="00BB7D6F"/>
    <w:rsid w:val="00BC0246"/>
    <w:rsid w:val="00BC11EE"/>
    <w:rsid w:val="00BC1826"/>
    <w:rsid w:val="00BC6E68"/>
    <w:rsid w:val="00BC7460"/>
    <w:rsid w:val="00BD2D5F"/>
    <w:rsid w:val="00BD3F3F"/>
    <w:rsid w:val="00BD6200"/>
    <w:rsid w:val="00BD6638"/>
    <w:rsid w:val="00BD6B11"/>
    <w:rsid w:val="00BE6EC5"/>
    <w:rsid w:val="00BF20AF"/>
    <w:rsid w:val="00BF2497"/>
    <w:rsid w:val="00BF399F"/>
    <w:rsid w:val="00BF4D4D"/>
    <w:rsid w:val="00BF5ECB"/>
    <w:rsid w:val="00BF7B1B"/>
    <w:rsid w:val="00C006AF"/>
    <w:rsid w:val="00C07B2E"/>
    <w:rsid w:val="00C07C17"/>
    <w:rsid w:val="00C10517"/>
    <w:rsid w:val="00C125E1"/>
    <w:rsid w:val="00C15F04"/>
    <w:rsid w:val="00C16A40"/>
    <w:rsid w:val="00C16CC6"/>
    <w:rsid w:val="00C17F6B"/>
    <w:rsid w:val="00C21B30"/>
    <w:rsid w:val="00C24AB0"/>
    <w:rsid w:val="00C252D6"/>
    <w:rsid w:val="00C2600D"/>
    <w:rsid w:val="00C26B76"/>
    <w:rsid w:val="00C311E1"/>
    <w:rsid w:val="00C321E2"/>
    <w:rsid w:val="00C34AF1"/>
    <w:rsid w:val="00C34FB1"/>
    <w:rsid w:val="00C4315C"/>
    <w:rsid w:val="00C459B9"/>
    <w:rsid w:val="00C47211"/>
    <w:rsid w:val="00C50792"/>
    <w:rsid w:val="00C512B5"/>
    <w:rsid w:val="00C528A1"/>
    <w:rsid w:val="00C5560B"/>
    <w:rsid w:val="00C61BAB"/>
    <w:rsid w:val="00C63225"/>
    <w:rsid w:val="00C71B8C"/>
    <w:rsid w:val="00C7254E"/>
    <w:rsid w:val="00C73A5F"/>
    <w:rsid w:val="00C73C08"/>
    <w:rsid w:val="00C73FA1"/>
    <w:rsid w:val="00C743CA"/>
    <w:rsid w:val="00C7481F"/>
    <w:rsid w:val="00C80987"/>
    <w:rsid w:val="00C824CF"/>
    <w:rsid w:val="00C82507"/>
    <w:rsid w:val="00C83277"/>
    <w:rsid w:val="00C8627B"/>
    <w:rsid w:val="00C865D8"/>
    <w:rsid w:val="00C919F0"/>
    <w:rsid w:val="00C91FF5"/>
    <w:rsid w:val="00C92B38"/>
    <w:rsid w:val="00C96C85"/>
    <w:rsid w:val="00C97FDB"/>
    <w:rsid w:val="00CA1FAA"/>
    <w:rsid w:val="00CA6D56"/>
    <w:rsid w:val="00CB0D67"/>
    <w:rsid w:val="00CB1919"/>
    <w:rsid w:val="00CB1E04"/>
    <w:rsid w:val="00CB2117"/>
    <w:rsid w:val="00CB3059"/>
    <w:rsid w:val="00CB4819"/>
    <w:rsid w:val="00CB60E6"/>
    <w:rsid w:val="00CB6177"/>
    <w:rsid w:val="00CC1123"/>
    <w:rsid w:val="00CC252A"/>
    <w:rsid w:val="00CC38CF"/>
    <w:rsid w:val="00CC4F68"/>
    <w:rsid w:val="00CC6775"/>
    <w:rsid w:val="00CC77BE"/>
    <w:rsid w:val="00CC7E78"/>
    <w:rsid w:val="00CD1EA2"/>
    <w:rsid w:val="00CD351B"/>
    <w:rsid w:val="00CD3653"/>
    <w:rsid w:val="00CD4436"/>
    <w:rsid w:val="00CE0D36"/>
    <w:rsid w:val="00CE175D"/>
    <w:rsid w:val="00CE1AB6"/>
    <w:rsid w:val="00CE23C0"/>
    <w:rsid w:val="00CE2D32"/>
    <w:rsid w:val="00CE47A6"/>
    <w:rsid w:val="00CE76A1"/>
    <w:rsid w:val="00CF0502"/>
    <w:rsid w:val="00CF0E56"/>
    <w:rsid w:val="00CF3BB7"/>
    <w:rsid w:val="00CF3D07"/>
    <w:rsid w:val="00CF5478"/>
    <w:rsid w:val="00D010DD"/>
    <w:rsid w:val="00D015C6"/>
    <w:rsid w:val="00D10EB6"/>
    <w:rsid w:val="00D10F17"/>
    <w:rsid w:val="00D12AD6"/>
    <w:rsid w:val="00D13341"/>
    <w:rsid w:val="00D1634B"/>
    <w:rsid w:val="00D22831"/>
    <w:rsid w:val="00D24090"/>
    <w:rsid w:val="00D2426B"/>
    <w:rsid w:val="00D26587"/>
    <w:rsid w:val="00D26D32"/>
    <w:rsid w:val="00D27016"/>
    <w:rsid w:val="00D3313E"/>
    <w:rsid w:val="00D3352B"/>
    <w:rsid w:val="00D34634"/>
    <w:rsid w:val="00D346EC"/>
    <w:rsid w:val="00D3646E"/>
    <w:rsid w:val="00D3742A"/>
    <w:rsid w:val="00D379B8"/>
    <w:rsid w:val="00D4134C"/>
    <w:rsid w:val="00D45C06"/>
    <w:rsid w:val="00D47666"/>
    <w:rsid w:val="00D476A3"/>
    <w:rsid w:val="00D51576"/>
    <w:rsid w:val="00D53DE7"/>
    <w:rsid w:val="00D54873"/>
    <w:rsid w:val="00D558A9"/>
    <w:rsid w:val="00D608FB"/>
    <w:rsid w:val="00D631DC"/>
    <w:rsid w:val="00D65397"/>
    <w:rsid w:val="00D65525"/>
    <w:rsid w:val="00D65BB8"/>
    <w:rsid w:val="00D714C8"/>
    <w:rsid w:val="00D7243C"/>
    <w:rsid w:val="00D7458D"/>
    <w:rsid w:val="00D74C22"/>
    <w:rsid w:val="00D768DC"/>
    <w:rsid w:val="00D76B4B"/>
    <w:rsid w:val="00D8190A"/>
    <w:rsid w:val="00D863D4"/>
    <w:rsid w:val="00D87B2D"/>
    <w:rsid w:val="00D87DDE"/>
    <w:rsid w:val="00D92A3D"/>
    <w:rsid w:val="00D93980"/>
    <w:rsid w:val="00D957A3"/>
    <w:rsid w:val="00D963D8"/>
    <w:rsid w:val="00D976B8"/>
    <w:rsid w:val="00D976DF"/>
    <w:rsid w:val="00DA0974"/>
    <w:rsid w:val="00DA33B6"/>
    <w:rsid w:val="00DA48D2"/>
    <w:rsid w:val="00DB01EC"/>
    <w:rsid w:val="00DB1C6C"/>
    <w:rsid w:val="00DB32AC"/>
    <w:rsid w:val="00DC0F3E"/>
    <w:rsid w:val="00DC42D3"/>
    <w:rsid w:val="00DC4BDB"/>
    <w:rsid w:val="00DC5F9C"/>
    <w:rsid w:val="00DC65B9"/>
    <w:rsid w:val="00DD0333"/>
    <w:rsid w:val="00DD187F"/>
    <w:rsid w:val="00DD1C78"/>
    <w:rsid w:val="00DD3B2F"/>
    <w:rsid w:val="00DE3129"/>
    <w:rsid w:val="00DE788E"/>
    <w:rsid w:val="00DF167A"/>
    <w:rsid w:val="00DF3A19"/>
    <w:rsid w:val="00E00CFB"/>
    <w:rsid w:val="00E00D69"/>
    <w:rsid w:val="00E06649"/>
    <w:rsid w:val="00E07FC6"/>
    <w:rsid w:val="00E12503"/>
    <w:rsid w:val="00E1375C"/>
    <w:rsid w:val="00E166B7"/>
    <w:rsid w:val="00E16F2B"/>
    <w:rsid w:val="00E17AEA"/>
    <w:rsid w:val="00E213A2"/>
    <w:rsid w:val="00E213B6"/>
    <w:rsid w:val="00E266D2"/>
    <w:rsid w:val="00E3256A"/>
    <w:rsid w:val="00E3324E"/>
    <w:rsid w:val="00E35387"/>
    <w:rsid w:val="00E37763"/>
    <w:rsid w:val="00E40C77"/>
    <w:rsid w:val="00E41FC1"/>
    <w:rsid w:val="00E44FF9"/>
    <w:rsid w:val="00E4531B"/>
    <w:rsid w:val="00E479B2"/>
    <w:rsid w:val="00E47D35"/>
    <w:rsid w:val="00E507B2"/>
    <w:rsid w:val="00E5163B"/>
    <w:rsid w:val="00E51D0F"/>
    <w:rsid w:val="00E5216D"/>
    <w:rsid w:val="00E52ECF"/>
    <w:rsid w:val="00E53A5A"/>
    <w:rsid w:val="00E547B6"/>
    <w:rsid w:val="00E56311"/>
    <w:rsid w:val="00E63123"/>
    <w:rsid w:val="00E635A2"/>
    <w:rsid w:val="00E643FC"/>
    <w:rsid w:val="00E64AD8"/>
    <w:rsid w:val="00E652D8"/>
    <w:rsid w:val="00E66460"/>
    <w:rsid w:val="00E664E6"/>
    <w:rsid w:val="00E67986"/>
    <w:rsid w:val="00E67EEC"/>
    <w:rsid w:val="00E7167D"/>
    <w:rsid w:val="00E75BE2"/>
    <w:rsid w:val="00E76468"/>
    <w:rsid w:val="00E80987"/>
    <w:rsid w:val="00E80B63"/>
    <w:rsid w:val="00E81E38"/>
    <w:rsid w:val="00E86411"/>
    <w:rsid w:val="00E86F28"/>
    <w:rsid w:val="00E87E28"/>
    <w:rsid w:val="00E87F53"/>
    <w:rsid w:val="00E902FF"/>
    <w:rsid w:val="00E9251A"/>
    <w:rsid w:val="00E9272E"/>
    <w:rsid w:val="00E93407"/>
    <w:rsid w:val="00EA170E"/>
    <w:rsid w:val="00EA4D63"/>
    <w:rsid w:val="00EA54F7"/>
    <w:rsid w:val="00EA5941"/>
    <w:rsid w:val="00EA5CB1"/>
    <w:rsid w:val="00EB1714"/>
    <w:rsid w:val="00EB23BD"/>
    <w:rsid w:val="00EB28B1"/>
    <w:rsid w:val="00EB28E8"/>
    <w:rsid w:val="00EB4DEE"/>
    <w:rsid w:val="00EB5486"/>
    <w:rsid w:val="00EB58E6"/>
    <w:rsid w:val="00EB6B15"/>
    <w:rsid w:val="00EC034E"/>
    <w:rsid w:val="00EC048C"/>
    <w:rsid w:val="00EC178E"/>
    <w:rsid w:val="00EC2B6E"/>
    <w:rsid w:val="00EC7C50"/>
    <w:rsid w:val="00ED1144"/>
    <w:rsid w:val="00ED4987"/>
    <w:rsid w:val="00ED5629"/>
    <w:rsid w:val="00ED692D"/>
    <w:rsid w:val="00EE1080"/>
    <w:rsid w:val="00EE2962"/>
    <w:rsid w:val="00EE3846"/>
    <w:rsid w:val="00EE550E"/>
    <w:rsid w:val="00EE616B"/>
    <w:rsid w:val="00EE6C9E"/>
    <w:rsid w:val="00EF139B"/>
    <w:rsid w:val="00EF3F42"/>
    <w:rsid w:val="00EF5913"/>
    <w:rsid w:val="00EF7E3A"/>
    <w:rsid w:val="00F01A2C"/>
    <w:rsid w:val="00F01C92"/>
    <w:rsid w:val="00F02180"/>
    <w:rsid w:val="00F026FA"/>
    <w:rsid w:val="00F0326C"/>
    <w:rsid w:val="00F05371"/>
    <w:rsid w:val="00F05B71"/>
    <w:rsid w:val="00F0636F"/>
    <w:rsid w:val="00F0642B"/>
    <w:rsid w:val="00F07469"/>
    <w:rsid w:val="00F07C4B"/>
    <w:rsid w:val="00F1053F"/>
    <w:rsid w:val="00F10CB3"/>
    <w:rsid w:val="00F10F1D"/>
    <w:rsid w:val="00F11F45"/>
    <w:rsid w:val="00F13D11"/>
    <w:rsid w:val="00F20074"/>
    <w:rsid w:val="00F20203"/>
    <w:rsid w:val="00F20886"/>
    <w:rsid w:val="00F20EA1"/>
    <w:rsid w:val="00F2520C"/>
    <w:rsid w:val="00F261F3"/>
    <w:rsid w:val="00F30677"/>
    <w:rsid w:val="00F30861"/>
    <w:rsid w:val="00F325CC"/>
    <w:rsid w:val="00F32B33"/>
    <w:rsid w:val="00F356D0"/>
    <w:rsid w:val="00F41EF6"/>
    <w:rsid w:val="00F4266C"/>
    <w:rsid w:val="00F45AD0"/>
    <w:rsid w:val="00F519E1"/>
    <w:rsid w:val="00F51EEA"/>
    <w:rsid w:val="00F51F17"/>
    <w:rsid w:val="00F55898"/>
    <w:rsid w:val="00F606A2"/>
    <w:rsid w:val="00F60AC1"/>
    <w:rsid w:val="00F618A7"/>
    <w:rsid w:val="00F6289A"/>
    <w:rsid w:val="00F63AEB"/>
    <w:rsid w:val="00F67F40"/>
    <w:rsid w:val="00F736AD"/>
    <w:rsid w:val="00F739AD"/>
    <w:rsid w:val="00F74E42"/>
    <w:rsid w:val="00F74F38"/>
    <w:rsid w:val="00F75994"/>
    <w:rsid w:val="00F76E48"/>
    <w:rsid w:val="00F7726D"/>
    <w:rsid w:val="00F777CD"/>
    <w:rsid w:val="00F80900"/>
    <w:rsid w:val="00F80DA4"/>
    <w:rsid w:val="00F81073"/>
    <w:rsid w:val="00F82EB1"/>
    <w:rsid w:val="00F84E30"/>
    <w:rsid w:val="00F87C49"/>
    <w:rsid w:val="00F9262E"/>
    <w:rsid w:val="00F94979"/>
    <w:rsid w:val="00F9504D"/>
    <w:rsid w:val="00F9759E"/>
    <w:rsid w:val="00FA1620"/>
    <w:rsid w:val="00FA31C5"/>
    <w:rsid w:val="00FA6023"/>
    <w:rsid w:val="00FB1444"/>
    <w:rsid w:val="00FB20BA"/>
    <w:rsid w:val="00FB2A94"/>
    <w:rsid w:val="00FB2D9A"/>
    <w:rsid w:val="00FB540E"/>
    <w:rsid w:val="00FB5C65"/>
    <w:rsid w:val="00FB7164"/>
    <w:rsid w:val="00FC13F3"/>
    <w:rsid w:val="00FC7887"/>
    <w:rsid w:val="00FD110E"/>
    <w:rsid w:val="00FD25E5"/>
    <w:rsid w:val="00FD403D"/>
    <w:rsid w:val="00FD5A52"/>
    <w:rsid w:val="00FE0B92"/>
    <w:rsid w:val="00FE15D2"/>
    <w:rsid w:val="00FE1E3D"/>
    <w:rsid w:val="00FE3E1F"/>
    <w:rsid w:val="00FE5D55"/>
    <w:rsid w:val="00FE6A68"/>
    <w:rsid w:val="00FE7EDF"/>
    <w:rsid w:val="00FF11D6"/>
    <w:rsid w:val="00FF24BB"/>
    <w:rsid w:val="00FF2AD4"/>
    <w:rsid w:val="00FF4448"/>
    <w:rsid w:val="00FF4C6A"/>
    <w:rsid w:val="00FF60BE"/>
    <w:rsid w:val="00FF7458"/>
    <w:rsid w:val="00FF7B9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times roman" w:eastAsiaTheme="minorHAnsi" w:hAnsi="New times roman" w:cstheme="minorBidi"/>
        <w:sz w:val="25"/>
        <w:szCs w:val="25"/>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87"/>
  </w:style>
  <w:style w:type="paragraph" w:styleId="Heading1">
    <w:name w:val="heading 1"/>
    <w:basedOn w:val="Normal"/>
    <w:next w:val="Normal"/>
    <w:link w:val="Heading1Char"/>
    <w:uiPriority w:val="9"/>
    <w:qFormat/>
    <w:rsid w:val="00491D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64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C788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5D"/>
    <w:pPr>
      <w:ind w:left="720"/>
      <w:contextualSpacing/>
    </w:pPr>
  </w:style>
  <w:style w:type="table" w:styleId="TableGrid">
    <w:name w:val="Table Grid"/>
    <w:basedOn w:val="TableNormal"/>
    <w:uiPriority w:val="59"/>
    <w:rsid w:val="000004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F3BB7"/>
    <w:pPr>
      <w:tabs>
        <w:tab w:val="center" w:pos="4680"/>
        <w:tab w:val="right" w:pos="9360"/>
      </w:tabs>
    </w:pPr>
  </w:style>
  <w:style w:type="character" w:customStyle="1" w:styleId="HeaderChar">
    <w:name w:val="Header Char"/>
    <w:basedOn w:val="DefaultParagraphFont"/>
    <w:link w:val="Header"/>
    <w:uiPriority w:val="99"/>
    <w:semiHidden/>
    <w:rsid w:val="00CF3BB7"/>
  </w:style>
  <w:style w:type="paragraph" w:styleId="Footer">
    <w:name w:val="footer"/>
    <w:basedOn w:val="Normal"/>
    <w:link w:val="FooterChar"/>
    <w:uiPriority w:val="99"/>
    <w:unhideWhenUsed/>
    <w:rsid w:val="00CF3BB7"/>
    <w:pPr>
      <w:tabs>
        <w:tab w:val="center" w:pos="4680"/>
        <w:tab w:val="right" w:pos="9360"/>
      </w:tabs>
    </w:pPr>
  </w:style>
  <w:style w:type="character" w:customStyle="1" w:styleId="FooterChar">
    <w:name w:val="Footer Char"/>
    <w:basedOn w:val="DefaultParagraphFont"/>
    <w:link w:val="Footer"/>
    <w:uiPriority w:val="99"/>
    <w:rsid w:val="00CF3BB7"/>
  </w:style>
  <w:style w:type="character" w:styleId="Hyperlink">
    <w:name w:val="Hyperlink"/>
    <w:basedOn w:val="DefaultParagraphFont"/>
    <w:uiPriority w:val="99"/>
    <w:unhideWhenUsed/>
    <w:rsid w:val="00B603AD"/>
    <w:rPr>
      <w:color w:val="0000FF" w:themeColor="hyperlink"/>
      <w:u w:val="single"/>
    </w:rPr>
  </w:style>
  <w:style w:type="character" w:styleId="FollowedHyperlink">
    <w:name w:val="FollowedHyperlink"/>
    <w:basedOn w:val="DefaultParagraphFont"/>
    <w:uiPriority w:val="99"/>
    <w:semiHidden/>
    <w:unhideWhenUsed/>
    <w:rsid w:val="00B603AD"/>
    <w:rPr>
      <w:color w:val="800080" w:themeColor="followedHyperlink"/>
      <w:u w:val="single"/>
    </w:rPr>
  </w:style>
  <w:style w:type="paragraph" w:styleId="BalloonText">
    <w:name w:val="Balloon Text"/>
    <w:basedOn w:val="Normal"/>
    <w:link w:val="BalloonTextChar"/>
    <w:uiPriority w:val="99"/>
    <w:semiHidden/>
    <w:unhideWhenUsed/>
    <w:rsid w:val="00A64FA4"/>
    <w:rPr>
      <w:rFonts w:ascii="Tahoma" w:hAnsi="Tahoma" w:cs="Tahoma"/>
      <w:sz w:val="16"/>
      <w:szCs w:val="16"/>
    </w:rPr>
  </w:style>
  <w:style w:type="character" w:customStyle="1" w:styleId="BalloonTextChar">
    <w:name w:val="Balloon Text Char"/>
    <w:basedOn w:val="DefaultParagraphFont"/>
    <w:link w:val="BalloonText"/>
    <w:uiPriority w:val="99"/>
    <w:semiHidden/>
    <w:rsid w:val="00A64FA4"/>
    <w:rPr>
      <w:rFonts w:ascii="Tahoma" w:hAnsi="Tahoma" w:cs="Tahoma"/>
      <w:sz w:val="16"/>
      <w:szCs w:val="16"/>
    </w:rPr>
  </w:style>
  <w:style w:type="paragraph" w:styleId="HTMLPreformatted">
    <w:name w:val="HTML Preformatted"/>
    <w:basedOn w:val="Normal"/>
    <w:link w:val="HTMLPreformattedChar"/>
    <w:uiPriority w:val="99"/>
    <w:semiHidden/>
    <w:unhideWhenUsed/>
    <w:rsid w:val="00481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1AB2"/>
    <w:rPr>
      <w:rFonts w:ascii="Courier New" w:eastAsia="Times New Roman" w:hAnsi="Courier New" w:cs="Courier New"/>
      <w:sz w:val="20"/>
      <w:szCs w:val="20"/>
    </w:rPr>
  </w:style>
  <w:style w:type="paragraph" w:styleId="NormalWeb">
    <w:name w:val="Normal (Web)"/>
    <w:basedOn w:val="Normal"/>
    <w:uiPriority w:val="99"/>
    <w:semiHidden/>
    <w:unhideWhenUsed/>
    <w:rsid w:val="00481AB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1AB2"/>
  </w:style>
  <w:style w:type="character" w:customStyle="1" w:styleId="Heading3Char">
    <w:name w:val="Heading 3 Char"/>
    <w:basedOn w:val="DefaultParagraphFont"/>
    <w:link w:val="Heading3"/>
    <w:uiPriority w:val="9"/>
    <w:rsid w:val="00FC7887"/>
    <w:rPr>
      <w:rFonts w:ascii="Times New Roman" w:eastAsia="Times New Roman" w:hAnsi="Times New Roman" w:cs="Times New Roman"/>
      <w:b/>
      <w:bCs/>
      <w:sz w:val="27"/>
      <w:szCs w:val="27"/>
    </w:rPr>
  </w:style>
  <w:style w:type="character" w:styleId="Strong">
    <w:name w:val="Strong"/>
    <w:basedOn w:val="DefaultParagraphFont"/>
    <w:uiPriority w:val="22"/>
    <w:qFormat/>
    <w:rsid w:val="003226A9"/>
    <w:rPr>
      <w:b/>
      <w:bCs/>
    </w:rPr>
  </w:style>
  <w:style w:type="character" w:customStyle="1" w:styleId="Heading1Char">
    <w:name w:val="Heading 1 Char"/>
    <w:basedOn w:val="DefaultParagraphFont"/>
    <w:link w:val="Heading1"/>
    <w:uiPriority w:val="9"/>
    <w:rsid w:val="00491D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C6420"/>
    <w:rPr>
      <w:rFonts w:asciiTheme="majorHAnsi" w:eastAsiaTheme="majorEastAsia" w:hAnsiTheme="majorHAnsi" w:cstheme="majorBidi"/>
      <w:b/>
      <w:bCs/>
      <w:color w:val="4F81BD" w:themeColor="accent1"/>
      <w:sz w:val="26"/>
      <w:szCs w:val="26"/>
    </w:rPr>
  </w:style>
  <w:style w:type="paragraph" w:customStyle="1" w:styleId="resultdate">
    <w:name w:val="resultdate"/>
    <w:basedOn w:val="Normal"/>
    <w:rsid w:val="007C6420"/>
    <w:pPr>
      <w:spacing w:before="100" w:beforeAutospacing="1" w:after="100" w:afterAutospacing="1"/>
    </w:pPr>
    <w:rPr>
      <w:rFonts w:ascii="Times New Roman" w:eastAsia="Times New Roman" w:hAnsi="Times New Roman" w:cs="Times New Roman"/>
      <w:sz w:val="24"/>
      <w:szCs w:val="24"/>
    </w:rPr>
  </w:style>
  <w:style w:type="paragraph" w:customStyle="1" w:styleId="resultjudges">
    <w:name w:val="resultjudges"/>
    <w:basedOn w:val="Normal"/>
    <w:rsid w:val="007C6420"/>
    <w:pPr>
      <w:spacing w:before="100" w:beforeAutospacing="1" w:after="100" w:afterAutospacing="1"/>
    </w:pPr>
    <w:rPr>
      <w:rFonts w:ascii="Times New Roman" w:eastAsia="Times New Roman" w:hAnsi="Times New Roman" w:cs="Times New Roman"/>
      <w:sz w:val="24"/>
      <w:szCs w:val="24"/>
    </w:rPr>
  </w:style>
  <w:style w:type="character" w:customStyle="1" w:styleId="judgementtext">
    <w:name w:val="judgementtext"/>
    <w:basedOn w:val="DefaultParagraphFont"/>
    <w:rsid w:val="007C6420"/>
  </w:style>
  <w:style w:type="character" w:customStyle="1" w:styleId="Bodytext">
    <w:name w:val="Body text_"/>
    <w:basedOn w:val="DefaultParagraphFont"/>
    <w:link w:val="Bodytext0"/>
    <w:rsid w:val="00E76468"/>
    <w:rPr>
      <w:rFonts w:ascii="Bookman Old Style" w:eastAsia="Bookman Old Style" w:hAnsi="Bookman Old Style" w:cs="Bookman Old Style"/>
      <w:sz w:val="26"/>
      <w:szCs w:val="26"/>
      <w:shd w:val="clear" w:color="auto" w:fill="FFFFFF"/>
    </w:rPr>
  </w:style>
  <w:style w:type="character" w:customStyle="1" w:styleId="Bodytext95pt">
    <w:name w:val="Body text + 9.5 pt"/>
    <w:basedOn w:val="Bodytext"/>
    <w:rsid w:val="00E76468"/>
    <w:rPr>
      <w:color w:val="000000"/>
      <w:spacing w:val="0"/>
      <w:w w:val="100"/>
      <w:position w:val="0"/>
      <w:sz w:val="19"/>
      <w:szCs w:val="19"/>
      <w:lang w:val="en-US" w:eastAsia="en-US" w:bidi="en-US"/>
    </w:rPr>
  </w:style>
  <w:style w:type="paragraph" w:customStyle="1" w:styleId="Bodytext0">
    <w:name w:val="Body text"/>
    <w:basedOn w:val="Normal"/>
    <w:link w:val="Bodytext"/>
    <w:rsid w:val="00E76468"/>
    <w:pPr>
      <w:widowControl w:val="0"/>
      <w:shd w:val="clear" w:color="auto" w:fill="FFFFFF"/>
      <w:spacing w:before="60" w:after="600" w:line="0" w:lineRule="atLeast"/>
    </w:pPr>
    <w:rPr>
      <w:rFonts w:ascii="Bookman Old Style" w:eastAsia="Bookman Old Style" w:hAnsi="Bookman Old Style" w:cs="Bookman Old Style"/>
      <w:sz w:val="26"/>
      <w:szCs w:val="26"/>
    </w:rPr>
  </w:style>
  <w:style w:type="paragraph" w:customStyle="1" w:styleId="Default">
    <w:name w:val="Default"/>
    <w:rsid w:val="00163ABD"/>
    <w:pPr>
      <w:autoSpaceDE w:val="0"/>
      <w:autoSpaceDN w:val="0"/>
      <w:adjustRightInd w:val="0"/>
    </w:pPr>
    <w:rPr>
      <w:rFonts w:ascii="Times New Roman" w:hAnsi="Times New Roman" w:cs="Times New Roman"/>
      <w:color w:val="000000"/>
      <w:sz w:val="24"/>
      <w:szCs w:val="24"/>
      <w:lang w:bidi="hi-IN"/>
    </w:rPr>
  </w:style>
</w:styles>
</file>

<file path=word/webSettings.xml><?xml version="1.0" encoding="utf-8"?>
<w:webSettings xmlns:r="http://schemas.openxmlformats.org/officeDocument/2006/relationships" xmlns:w="http://schemas.openxmlformats.org/wordprocessingml/2006/main">
  <w:divs>
    <w:div w:id="122382215">
      <w:bodyDiv w:val="1"/>
      <w:marLeft w:val="0"/>
      <w:marRight w:val="0"/>
      <w:marTop w:val="0"/>
      <w:marBottom w:val="0"/>
      <w:divBdr>
        <w:top w:val="none" w:sz="0" w:space="0" w:color="auto"/>
        <w:left w:val="none" w:sz="0" w:space="0" w:color="auto"/>
        <w:bottom w:val="none" w:sz="0" w:space="0" w:color="auto"/>
        <w:right w:val="none" w:sz="0" w:space="0" w:color="auto"/>
      </w:divBdr>
      <w:divsChild>
        <w:div w:id="280067431">
          <w:marLeft w:val="0"/>
          <w:marRight w:val="0"/>
          <w:marTop w:val="0"/>
          <w:marBottom w:val="150"/>
          <w:divBdr>
            <w:top w:val="none" w:sz="0" w:space="0" w:color="auto"/>
            <w:left w:val="none" w:sz="0" w:space="0" w:color="auto"/>
            <w:bottom w:val="none" w:sz="0" w:space="0" w:color="auto"/>
            <w:right w:val="none" w:sz="0" w:space="0" w:color="auto"/>
          </w:divBdr>
        </w:div>
        <w:div w:id="234946957">
          <w:marLeft w:val="0"/>
          <w:marRight w:val="0"/>
          <w:marTop w:val="0"/>
          <w:marBottom w:val="75"/>
          <w:divBdr>
            <w:top w:val="none" w:sz="0" w:space="0" w:color="auto"/>
            <w:left w:val="none" w:sz="0" w:space="0" w:color="auto"/>
            <w:bottom w:val="none" w:sz="0" w:space="0" w:color="auto"/>
            <w:right w:val="none" w:sz="0" w:space="0" w:color="auto"/>
          </w:divBdr>
        </w:div>
      </w:divsChild>
    </w:div>
    <w:div w:id="123429134">
      <w:bodyDiv w:val="1"/>
      <w:marLeft w:val="0"/>
      <w:marRight w:val="0"/>
      <w:marTop w:val="0"/>
      <w:marBottom w:val="0"/>
      <w:divBdr>
        <w:top w:val="none" w:sz="0" w:space="0" w:color="auto"/>
        <w:left w:val="none" w:sz="0" w:space="0" w:color="auto"/>
        <w:bottom w:val="none" w:sz="0" w:space="0" w:color="auto"/>
        <w:right w:val="none" w:sz="0" w:space="0" w:color="auto"/>
      </w:divBdr>
      <w:divsChild>
        <w:div w:id="1748769112">
          <w:marLeft w:val="0"/>
          <w:marRight w:val="0"/>
          <w:marTop w:val="0"/>
          <w:marBottom w:val="150"/>
          <w:divBdr>
            <w:top w:val="none" w:sz="0" w:space="0" w:color="auto"/>
            <w:left w:val="none" w:sz="0" w:space="0" w:color="auto"/>
            <w:bottom w:val="none" w:sz="0" w:space="0" w:color="auto"/>
            <w:right w:val="none" w:sz="0" w:space="0" w:color="auto"/>
          </w:divBdr>
        </w:div>
        <w:div w:id="1123502019">
          <w:marLeft w:val="0"/>
          <w:marRight w:val="0"/>
          <w:marTop w:val="0"/>
          <w:marBottom w:val="75"/>
          <w:divBdr>
            <w:top w:val="none" w:sz="0" w:space="0" w:color="auto"/>
            <w:left w:val="none" w:sz="0" w:space="0" w:color="auto"/>
            <w:bottom w:val="none" w:sz="0" w:space="0" w:color="auto"/>
            <w:right w:val="none" w:sz="0" w:space="0" w:color="auto"/>
          </w:divBdr>
        </w:div>
        <w:div w:id="487593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8426705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54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18812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759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33784">
          <w:blockQuote w:val="1"/>
          <w:marLeft w:val="720"/>
          <w:marRight w:val="720"/>
          <w:marTop w:val="100"/>
          <w:marBottom w:val="100"/>
          <w:divBdr>
            <w:top w:val="none" w:sz="0" w:space="0" w:color="auto"/>
            <w:left w:val="none" w:sz="0" w:space="0" w:color="auto"/>
            <w:bottom w:val="none" w:sz="0" w:space="0" w:color="auto"/>
            <w:right w:val="none" w:sz="0" w:space="0" w:color="auto"/>
          </w:divBdr>
        </w:div>
        <w:div w:id="577179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0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115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8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46616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30303">
      <w:bodyDiv w:val="1"/>
      <w:marLeft w:val="0"/>
      <w:marRight w:val="0"/>
      <w:marTop w:val="0"/>
      <w:marBottom w:val="0"/>
      <w:divBdr>
        <w:top w:val="none" w:sz="0" w:space="0" w:color="auto"/>
        <w:left w:val="none" w:sz="0" w:space="0" w:color="auto"/>
        <w:bottom w:val="none" w:sz="0" w:space="0" w:color="auto"/>
        <w:right w:val="none" w:sz="0" w:space="0" w:color="auto"/>
      </w:divBdr>
      <w:divsChild>
        <w:div w:id="2081900527">
          <w:marLeft w:val="0"/>
          <w:marRight w:val="0"/>
          <w:marTop w:val="0"/>
          <w:marBottom w:val="150"/>
          <w:divBdr>
            <w:top w:val="none" w:sz="0" w:space="0" w:color="auto"/>
            <w:left w:val="none" w:sz="0" w:space="0" w:color="auto"/>
            <w:bottom w:val="none" w:sz="0" w:space="0" w:color="auto"/>
            <w:right w:val="none" w:sz="0" w:space="0" w:color="auto"/>
          </w:divBdr>
        </w:div>
        <w:div w:id="752359038">
          <w:marLeft w:val="0"/>
          <w:marRight w:val="0"/>
          <w:marTop w:val="0"/>
          <w:marBottom w:val="75"/>
          <w:divBdr>
            <w:top w:val="none" w:sz="0" w:space="0" w:color="auto"/>
            <w:left w:val="none" w:sz="0" w:space="0" w:color="auto"/>
            <w:bottom w:val="none" w:sz="0" w:space="0" w:color="auto"/>
            <w:right w:val="none" w:sz="0" w:space="0" w:color="auto"/>
          </w:divBdr>
        </w:div>
        <w:div w:id="172945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47564">
          <w:blockQuote w:val="1"/>
          <w:marLeft w:val="720"/>
          <w:marRight w:val="720"/>
          <w:marTop w:val="100"/>
          <w:marBottom w:val="100"/>
          <w:divBdr>
            <w:top w:val="none" w:sz="0" w:space="0" w:color="auto"/>
            <w:left w:val="none" w:sz="0" w:space="0" w:color="auto"/>
            <w:bottom w:val="none" w:sz="0" w:space="0" w:color="auto"/>
            <w:right w:val="none" w:sz="0" w:space="0" w:color="auto"/>
          </w:divBdr>
        </w:div>
        <w:div w:id="6665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5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06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774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0800">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8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184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0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627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0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3290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8258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38381">
      <w:bodyDiv w:val="1"/>
      <w:marLeft w:val="0"/>
      <w:marRight w:val="0"/>
      <w:marTop w:val="0"/>
      <w:marBottom w:val="0"/>
      <w:divBdr>
        <w:top w:val="none" w:sz="0" w:space="0" w:color="auto"/>
        <w:left w:val="none" w:sz="0" w:space="0" w:color="auto"/>
        <w:bottom w:val="none" w:sz="0" w:space="0" w:color="auto"/>
        <w:right w:val="none" w:sz="0" w:space="0" w:color="auto"/>
      </w:divBdr>
      <w:divsChild>
        <w:div w:id="497887682">
          <w:marLeft w:val="-225"/>
          <w:marRight w:val="-225"/>
          <w:marTop w:val="0"/>
          <w:marBottom w:val="0"/>
          <w:divBdr>
            <w:top w:val="none" w:sz="0" w:space="0" w:color="auto"/>
            <w:left w:val="none" w:sz="0" w:space="0" w:color="auto"/>
            <w:bottom w:val="none" w:sz="0" w:space="0" w:color="auto"/>
            <w:right w:val="none" w:sz="0" w:space="0" w:color="auto"/>
          </w:divBdr>
          <w:divsChild>
            <w:div w:id="305208079">
              <w:marLeft w:val="0"/>
              <w:marRight w:val="0"/>
              <w:marTop w:val="0"/>
              <w:marBottom w:val="0"/>
              <w:divBdr>
                <w:top w:val="none" w:sz="0" w:space="0" w:color="auto"/>
                <w:left w:val="none" w:sz="0" w:space="0" w:color="auto"/>
                <w:bottom w:val="none" w:sz="0" w:space="0" w:color="auto"/>
                <w:right w:val="none" w:sz="0" w:space="0" w:color="auto"/>
              </w:divBdr>
              <w:divsChild>
                <w:div w:id="63186750">
                  <w:marLeft w:val="-225"/>
                  <w:marRight w:val="-225"/>
                  <w:marTop w:val="150"/>
                  <w:marBottom w:val="0"/>
                  <w:divBdr>
                    <w:top w:val="single" w:sz="6" w:space="0" w:color="EEEEEE"/>
                    <w:left w:val="none" w:sz="0" w:space="0" w:color="auto"/>
                    <w:bottom w:val="none" w:sz="0" w:space="0" w:color="auto"/>
                    <w:right w:val="none" w:sz="0" w:space="0" w:color="auto"/>
                  </w:divBdr>
                  <w:divsChild>
                    <w:div w:id="878200414">
                      <w:marLeft w:val="0"/>
                      <w:marRight w:val="0"/>
                      <w:marTop w:val="0"/>
                      <w:marBottom w:val="0"/>
                      <w:divBdr>
                        <w:top w:val="none" w:sz="0" w:space="0" w:color="auto"/>
                        <w:left w:val="none" w:sz="0" w:space="0" w:color="auto"/>
                        <w:bottom w:val="none" w:sz="0" w:space="0" w:color="auto"/>
                        <w:right w:val="none" w:sz="0" w:space="0" w:color="auto"/>
                      </w:divBdr>
                    </w:div>
                    <w:div w:id="4170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77341">
      <w:bodyDiv w:val="1"/>
      <w:marLeft w:val="0"/>
      <w:marRight w:val="0"/>
      <w:marTop w:val="0"/>
      <w:marBottom w:val="0"/>
      <w:divBdr>
        <w:top w:val="none" w:sz="0" w:space="0" w:color="auto"/>
        <w:left w:val="none" w:sz="0" w:space="0" w:color="auto"/>
        <w:bottom w:val="none" w:sz="0" w:space="0" w:color="auto"/>
        <w:right w:val="none" w:sz="0" w:space="0" w:color="auto"/>
      </w:divBdr>
      <w:divsChild>
        <w:div w:id="1914045317">
          <w:marLeft w:val="0"/>
          <w:marRight w:val="0"/>
          <w:marTop w:val="0"/>
          <w:marBottom w:val="150"/>
          <w:divBdr>
            <w:top w:val="none" w:sz="0" w:space="0" w:color="auto"/>
            <w:left w:val="none" w:sz="0" w:space="0" w:color="auto"/>
            <w:bottom w:val="none" w:sz="0" w:space="0" w:color="auto"/>
            <w:right w:val="none" w:sz="0" w:space="0" w:color="auto"/>
          </w:divBdr>
        </w:div>
        <w:div w:id="327100203">
          <w:marLeft w:val="0"/>
          <w:marRight w:val="0"/>
          <w:marTop w:val="0"/>
          <w:marBottom w:val="75"/>
          <w:divBdr>
            <w:top w:val="none" w:sz="0" w:space="0" w:color="auto"/>
            <w:left w:val="none" w:sz="0" w:space="0" w:color="auto"/>
            <w:bottom w:val="none" w:sz="0" w:space="0" w:color="auto"/>
            <w:right w:val="none" w:sz="0" w:space="0" w:color="auto"/>
          </w:divBdr>
        </w:div>
        <w:div w:id="58877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67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3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299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58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8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58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4389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527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202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64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901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63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35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72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8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593901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73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735078767">
          <w:marLeft w:val="0"/>
          <w:marRight w:val="0"/>
          <w:marTop w:val="0"/>
          <w:marBottom w:val="150"/>
          <w:divBdr>
            <w:top w:val="none" w:sz="0" w:space="0" w:color="auto"/>
            <w:left w:val="none" w:sz="0" w:space="0" w:color="auto"/>
            <w:bottom w:val="none" w:sz="0" w:space="0" w:color="auto"/>
            <w:right w:val="none" w:sz="0" w:space="0" w:color="auto"/>
          </w:divBdr>
        </w:div>
        <w:div w:id="1130905000">
          <w:marLeft w:val="0"/>
          <w:marRight w:val="0"/>
          <w:marTop w:val="0"/>
          <w:marBottom w:val="75"/>
          <w:divBdr>
            <w:top w:val="none" w:sz="0" w:space="0" w:color="auto"/>
            <w:left w:val="none" w:sz="0" w:space="0" w:color="auto"/>
            <w:bottom w:val="none" w:sz="0" w:space="0" w:color="auto"/>
            <w:right w:val="none" w:sz="0" w:space="0" w:color="auto"/>
          </w:divBdr>
        </w:div>
        <w:div w:id="188949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658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42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402798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3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58207">
          <w:blockQuote w:val="1"/>
          <w:marLeft w:val="720"/>
          <w:marRight w:val="720"/>
          <w:marTop w:val="100"/>
          <w:marBottom w:val="100"/>
          <w:divBdr>
            <w:top w:val="none" w:sz="0" w:space="0" w:color="auto"/>
            <w:left w:val="none" w:sz="0" w:space="0" w:color="auto"/>
            <w:bottom w:val="none" w:sz="0" w:space="0" w:color="auto"/>
            <w:right w:val="none" w:sz="0" w:space="0" w:color="auto"/>
          </w:divBdr>
        </w:div>
        <w:div w:id="693459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3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8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61217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2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586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3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1767360">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3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808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1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12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77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65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6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5425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8647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196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7365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9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4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05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83218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90779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706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6616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624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81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332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4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264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28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79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30640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29992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8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13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4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0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94490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796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5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88441">
      <w:bodyDiv w:val="1"/>
      <w:marLeft w:val="0"/>
      <w:marRight w:val="0"/>
      <w:marTop w:val="0"/>
      <w:marBottom w:val="0"/>
      <w:divBdr>
        <w:top w:val="none" w:sz="0" w:space="0" w:color="auto"/>
        <w:left w:val="none" w:sz="0" w:space="0" w:color="auto"/>
        <w:bottom w:val="none" w:sz="0" w:space="0" w:color="auto"/>
        <w:right w:val="none" w:sz="0" w:space="0" w:color="auto"/>
      </w:divBdr>
    </w:div>
    <w:div w:id="361787640">
      <w:bodyDiv w:val="1"/>
      <w:marLeft w:val="0"/>
      <w:marRight w:val="0"/>
      <w:marTop w:val="0"/>
      <w:marBottom w:val="0"/>
      <w:divBdr>
        <w:top w:val="none" w:sz="0" w:space="0" w:color="auto"/>
        <w:left w:val="none" w:sz="0" w:space="0" w:color="auto"/>
        <w:bottom w:val="none" w:sz="0" w:space="0" w:color="auto"/>
        <w:right w:val="none" w:sz="0" w:space="0" w:color="auto"/>
      </w:divBdr>
      <w:divsChild>
        <w:div w:id="1327975140">
          <w:marLeft w:val="0"/>
          <w:marRight w:val="0"/>
          <w:marTop w:val="0"/>
          <w:marBottom w:val="150"/>
          <w:divBdr>
            <w:top w:val="none" w:sz="0" w:space="0" w:color="auto"/>
            <w:left w:val="none" w:sz="0" w:space="0" w:color="auto"/>
            <w:bottom w:val="none" w:sz="0" w:space="0" w:color="auto"/>
            <w:right w:val="none" w:sz="0" w:space="0" w:color="auto"/>
          </w:divBdr>
        </w:div>
        <w:div w:id="485123326">
          <w:marLeft w:val="0"/>
          <w:marRight w:val="0"/>
          <w:marTop w:val="0"/>
          <w:marBottom w:val="75"/>
          <w:divBdr>
            <w:top w:val="none" w:sz="0" w:space="0" w:color="auto"/>
            <w:left w:val="none" w:sz="0" w:space="0" w:color="auto"/>
            <w:bottom w:val="none" w:sz="0" w:space="0" w:color="auto"/>
            <w:right w:val="none" w:sz="0" w:space="0" w:color="auto"/>
          </w:divBdr>
        </w:div>
        <w:div w:id="207161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69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1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4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71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84179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1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400256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22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32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05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56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455751">
      <w:bodyDiv w:val="1"/>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
      </w:divsChild>
    </w:div>
    <w:div w:id="519010495">
      <w:bodyDiv w:val="1"/>
      <w:marLeft w:val="0"/>
      <w:marRight w:val="0"/>
      <w:marTop w:val="0"/>
      <w:marBottom w:val="0"/>
      <w:divBdr>
        <w:top w:val="none" w:sz="0" w:space="0" w:color="auto"/>
        <w:left w:val="none" w:sz="0" w:space="0" w:color="auto"/>
        <w:bottom w:val="none" w:sz="0" w:space="0" w:color="auto"/>
        <w:right w:val="none" w:sz="0" w:space="0" w:color="auto"/>
      </w:divBdr>
    </w:div>
    <w:div w:id="529952808">
      <w:bodyDiv w:val="1"/>
      <w:marLeft w:val="0"/>
      <w:marRight w:val="0"/>
      <w:marTop w:val="0"/>
      <w:marBottom w:val="0"/>
      <w:divBdr>
        <w:top w:val="none" w:sz="0" w:space="0" w:color="auto"/>
        <w:left w:val="none" w:sz="0" w:space="0" w:color="auto"/>
        <w:bottom w:val="none" w:sz="0" w:space="0" w:color="auto"/>
        <w:right w:val="none" w:sz="0" w:space="0" w:color="auto"/>
      </w:divBdr>
    </w:div>
    <w:div w:id="556210716">
      <w:bodyDiv w:val="1"/>
      <w:marLeft w:val="0"/>
      <w:marRight w:val="0"/>
      <w:marTop w:val="0"/>
      <w:marBottom w:val="0"/>
      <w:divBdr>
        <w:top w:val="none" w:sz="0" w:space="0" w:color="auto"/>
        <w:left w:val="none" w:sz="0" w:space="0" w:color="auto"/>
        <w:bottom w:val="none" w:sz="0" w:space="0" w:color="auto"/>
        <w:right w:val="none" w:sz="0" w:space="0" w:color="auto"/>
      </w:divBdr>
      <w:divsChild>
        <w:div w:id="218637258">
          <w:marLeft w:val="0"/>
          <w:marRight w:val="0"/>
          <w:marTop w:val="0"/>
          <w:marBottom w:val="150"/>
          <w:divBdr>
            <w:top w:val="none" w:sz="0" w:space="0" w:color="auto"/>
            <w:left w:val="none" w:sz="0" w:space="0" w:color="auto"/>
            <w:bottom w:val="none" w:sz="0" w:space="0" w:color="auto"/>
            <w:right w:val="none" w:sz="0" w:space="0" w:color="auto"/>
          </w:divBdr>
        </w:div>
        <w:div w:id="159782890">
          <w:marLeft w:val="0"/>
          <w:marRight w:val="0"/>
          <w:marTop w:val="0"/>
          <w:marBottom w:val="75"/>
          <w:divBdr>
            <w:top w:val="none" w:sz="0" w:space="0" w:color="auto"/>
            <w:left w:val="none" w:sz="0" w:space="0" w:color="auto"/>
            <w:bottom w:val="none" w:sz="0" w:space="0" w:color="auto"/>
            <w:right w:val="none" w:sz="0" w:space="0" w:color="auto"/>
          </w:divBdr>
        </w:div>
        <w:div w:id="23057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5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817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2786362">
      <w:bodyDiv w:val="1"/>
      <w:marLeft w:val="0"/>
      <w:marRight w:val="0"/>
      <w:marTop w:val="0"/>
      <w:marBottom w:val="0"/>
      <w:divBdr>
        <w:top w:val="none" w:sz="0" w:space="0" w:color="auto"/>
        <w:left w:val="none" w:sz="0" w:space="0" w:color="auto"/>
        <w:bottom w:val="none" w:sz="0" w:space="0" w:color="auto"/>
        <w:right w:val="none" w:sz="0" w:space="0" w:color="auto"/>
      </w:divBdr>
      <w:divsChild>
        <w:div w:id="112330230">
          <w:marLeft w:val="0"/>
          <w:marRight w:val="0"/>
          <w:marTop w:val="0"/>
          <w:marBottom w:val="150"/>
          <w:divBdr>
            <w:top w:val="none" w:sz="0" w:space="0" w:color="auto"/>
            <w:left w:val="none" w:sz="0" w:space="0" w:color="auto"/>
            <w:bottom w:val="none" w:sz="0" w:space="0" w:color="auto"/>
            <w:right w:val="none" w:sz="0" w:space="0" w:color="auto"/>
          </w:divBdr>
        </w:div>
        <w:div w:id="632635672">
          <w:marLeft w:val="0"/>
          <w:marRight w:val="0"/>
          <w:marTop w:val="0"/>
          <w:marBottom w:val="75"/>
          <w:divBdr>
            <w:top w:val="none" w:sz="0" w:space="0" w:color="auto"/>
            <w:left w:val="none" w:sz="0" w:space="0" w:color="auto"/>
            <w:bottom w:val="none" w:sz="0" w:space="0" w:color="auto"/>
            <w:right w:val="none" w:sz="0" w:space="0" w:color="auto"/>
          </w:divBdr>
        </w:div>
        <w:div w:id="1406030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76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6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4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84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69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601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1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35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98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6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8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617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803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27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4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079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7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17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32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3619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53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490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452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2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412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6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3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52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548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097288">
      <w:bodyDiv w:val="1"/>
      <w:marLeft w:val="0"/>
      <w:marRight w:val="0"/>
      <w:marTop w:val="0"/>
      <w:marBottom w:val="0"/>
      <w:divBdr>
        <w:top w:val="none" w:sz="0" w:space="0" w:color="auto"/>
        <w:left w:val="none" w:sz="0" w:space="0" w:color="auto"/>
        <w:bottom w:val="none" w:sz="0" w:space="0" w:color="auto"/>
        <w:right w:val="none" w:sz="0" w:space="0" w:color="auto"/>
      </w:divBdr>
      <w:divsChild>
        <w:div w:id="1700741936">
          <w:marLeft w:val="0"/>
          <w:marRight w:val="0"/>
          <w:marTop w:val="0"/>
          <w:marBottom w:val="150"/>
          <w:divBdr>
            <w:top w:val="none" w:sz="0" w:space="0" w:color="auto"/>
            <w:left w:val="none" w:sz="0" w:space="0" w:color="auto"/>
            <w:bottom w:val="none" w:sz="0" w:space="0" w:color="auto"/>
            <w:right w:val="none" w:sz="0" w:space="0" w:color="auto"/>
          </w:divBdr>
        </w:div>
        <w:div w:id="901599833">
          <w:marLeft w:val="0"/>
          <w:marRight w:val="0"/>
          <w:marTop w:val="0"/>
          <w:marBottom w:val="75"/>
          <w:divBdr>
            <w:top w:val="none" w:sz="0" w:space="0" w:color="auto"/>
            <w:left w:val="none" w:sz="0" w:space="0" w:color="auto"/>
            <w:bottom w:val="none" w:sz="0" w:space="0" w:color="auto"/>
            <w:right w:val="none" w:sz="0" w:space="0" w:color="auto"/>
          </w:divBdr>
        </w:div>
        <w:div w:id="109886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297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0277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6261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0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1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178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75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237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716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9476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871302752">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7440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1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4497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5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9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86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03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73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7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13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4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4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44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66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35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34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3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00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9617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8074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380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0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2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482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522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520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8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8371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0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4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800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95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9505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33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52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870996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510814">
          <w:blockQuote w:val="1"/>
          <w:marLeft w:val="720"/>
          <w:marRight w:val="720"/>
          <w:marTop w:val="100"/>
          <w:marBottom w:val="100"/>
          <w:divBdr>
            <w:top w:val="none" w:sz="0" w:space="0" w:color="auto"/>
            <w:left w:val="none" w:sz="0" w:space="0" w:color="auto"/>
            <w:bottom w:val="none" w:sz="0" w:space="0" w:color="auto"/>
            <w:right w:val="none" w:sz="0" w:space="0" w:color="auto"/>
          </w:divBdr>
        </w:div>
        <w:div w:id="33962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74118">
          <w:blockQuote w:val="1"/>
          <w:marLeft w:val="720"/>
          <w:marRight w:val="720"/>
          <w:marTop w:val="100"/>
          <w:marBottom w:val="100"/>
          <w:divBdr>
            <w:top w:val="none" w:sz="0" w:space="0" w:color="auto"/>
            <w:left w:val="none" w:sz="0" w:space="0" w:color="auto"/>
            <w:bottom w:val="none" w:sz="0" w:space="0" w:color="auto"/>
            <w:right w:val="none" w:sz="0" w:space="0" w:color="auto"/>
          </w:divBdr>
        </w:div>
        <w:div w:id="73324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7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72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2630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76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11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0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61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09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28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8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13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61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78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0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766165">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710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7375096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9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49048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3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92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90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5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5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95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17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90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00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96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3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5308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490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73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3942">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08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10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13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187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14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943509">
      <w:bodyDiv w:val="1"/>
      <w:marLeft w:val="0"/>
      <w:marRight w:val="0"/>
      <w:marTop w:val="0"/>
      <w:marBottom w:val="0"/>
      <w:divBdr>
        <w:top w:val="none" w:sz="0" w:space="0" w:color="auto"/>
        <w:left w:val="none" w:sz="0" w:space="0" w:color="auto"/>
        <w:bottom w:val="none" w:sz="0" w:space="0" w:color="auto"/>
        <w:right w:val="none" w:sz="0" w:space="0" w:color="auto"/>
      </w:divBdr>
    </w:div>
    <w:div w:id="677923052">
      <w:bodyDiv w:val="1"/>
      <w:marLeft w:val="0"/>
      <w:marRight w:val="0"/>
      <w:marTop w:val="0"/>
      <w:marBottom w:val="0"/>
      <w:divBdr>
        <w:top w:val="none" w:sz="0" w:space="0" w:color="auto"/>
        <w:left w:val="none" w:sz="0" w:space="0" w:color="auto"/>
        <w:bottom w:val="none" w:sz="0" w:space="0" w:color="auto"/>
        <w:right w:val="none" w:sz="0" w:space="0" w:color="auto"/>
      </w:divBdr>
    </w:div>
    <w:div w:id="714358048">
      <w:bodyDiv w:val="1"/>
      <w:marLeft w:val="0"/>
      <w:marRight w:val="0"/>
      <w:marTop w:val="0"/>
      <w:marBottom w:val="0"/>
      <w:divBdr>
        <w:top w:val="none" w:sz="0" w:space="0" w:color="auto"/>
        <w:left w:val="none" w:sz="0" w:space="0" w:color="auto"/>
        <w:bottom w:val="none" w:sz="0" w:space="0" w:color="auto"/>
        <w:right w:val="none" w:sz="0" w:space="0" w:color="auto"/>
      </w:divBdr>
    </w:div>
    <w:div w:id="870192155">
      <w:bodyDiv w:val="1"/>
      <w:marLeft w:val="0"/>
      <w:marRight w:val="0"/>
      <w:marTop w:val="0"/>
      <w:marBottom w:val="0"/>
      <w:divBdr>
        <w:top w:val="none" w:sz="0" w:space="0" w:color="auto"/>
        <w:left w:val="none" w:sz="0" w:space="0" w:color="auto"/>
        <w:bottom w:val="none" w:sz="0" w:space="0" w:color="auto"/>
        <w:right w:val="none" w:sz="0" w:space="0" w:color="auto"/>
      </w:divBdr>
      <w:divsChild>
        <w:div w:id="1120955064">
          <w:marLeft w:val="0"/>
          <w:marRight w:val="0"/>
          <w:marTop w:val="0"/>
          <w:marBottom w:val="150"/>
          <w:divBdr>
            <w:top w:val="none" w:sz="0" w:space="0" w:color="auto"/>
            <w:left w:val="none" w:sz="0" w:space="0" w:color="auto"/>
            <w:bottom w:val="none" w:sz="0" w:space="0" w:color="auto"/>
            <w:right w:val="none" w:sz="0" w:space="0" w:color="auto"/>
          </w:divBdr>
        </w:div>
        <w:div w:id="868378316">
          <w:marLeft w:val="0"/>
          <w:marRight w:val="0"/>
          <w:marTop w:val="0"/>
          <w:marBottom w:val="75"/>
          <w:divBdr>
            <w:top w:val="none" w:sz="0" w:space="0" w:color="auto"/>
            <w:left w:val="none" w:sz="0" w:space="0" w:color="auto"/>
            <w:bottom w:val="none" w:sz="0" w:space="0" w:color="auto"/>
            <w:right w:val="none" w:sz="0" w:space="0" w:color="auto"/>
          </w:divBdr>
        </w:div>
        <w:div w:id="89073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3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8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50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892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3993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853612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25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3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91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2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439161">
      <w:bodyDiv w:val="1"/>
      <w:marLeft w:val="0"/>
      <w:marRight w:val="0"/>
      <w:marTop w:val="0"/>
      <w:marBottom w:val="0"/>
      <w:divBdr>
        <w:top w:val="none" w:sz="0" w:space="0" w:color="auto"/>
        <w:left w:val="none" w:sz="0" w:space="0" w:color="auto"/>
        <w:bottom w:val="none" w:sz="0" w:space="0" w:color="auto"/>
        <w:right w:val="none" w:sz="0" w:space="0" w:color="auto"/>
      </w:divBdr>
      <w:divsChild>
        <w:div w:id="763647576">
          <w:marLeft w:val="0"/>
          <w:marRight w:val="0"/>
          <w:marTop w:val="0"/>
          <w:marBottom w:val="150"/>
          <w:divBdr>
            <w:top w:val="none" w:sz="0" w:space="0" w:color="auto"/>
            <w:left w:val="none" w:sz="0" w:space="0" w:color="auto"/>
            <w:bottom w:val="none" w:sz="0" w:space="0" w:color="auto"/>
            <w:right w:val="none" w:sz="0" w:space="0" w:color="auto"/>
          </w:divBdr>
        </w:div>
        <w:div w:id="527761935">
          <w:marLeft w:val="0"/>
          <w:marRight w:val="0"/>
          <w:marTop w:val="0"/>
          <w:marBottom w:val="75"/>
          <w:divBdr>
            <w:top w:val="none" w:sz="0" w:space="0" w:color="auto"/>
            <w:left w:val="none" w:sz="0" w:space="0" w:color="auto"/>
            <w:bottom w:val="none" w:sz="0" w:space="0" w:color="auto"/>
            <w:right w:val="none" w:sz="0" w:space="0" w:color="auto"/>
          </w:divBdr>
        </w:div>
        <w:div w:id="20945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623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818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740462">
      <w:bodyDiv w:val="1"/>
      <w:marLeft w:val="0"/>
      <w:marRight w:val="0"/>
      <w:marTop w:val="0"/>
      <w:marBottom w:val="0"/>
      <w:divBdr>
        <w:top w:val="none" w:sz="0" w:space="0" w:color="auto"/>
        <w:left w:val="none" w:sz="0" w:space="0" w:color="auto"/>
        <w:bottom w:val="none" w:sz="0" w:space="0" w:color="auto"/>
        <w:right w:val="none" w:sz="0" w:space="0" w:color="auto"/>
      </w:divBdr>
      <w:divsChild>
        <w:div w:id="2001888334">
          <w:marLeft w:val="0"/>
          <w:marRight w:val="0"/>
          <w:marTop w:val="0"/>
          <w:marBottom w:val="150"/>
          <w:divBdr>
            <w:top w:val="none" w:sz="0" w:space="0" w:color="auto"/>
            <w:left w:val="none" w:sz="0" w:space="0" w:color="auto"/>
            <w:bottom w:val="none" w:sz="0" w:space="0" w:color="auto"/>
            <w:right w:val="none" w:sz="0" w:space="0" w:color="auto"/>
          </w:divBdr>
        </w:div>
        <w:div w:id="989862994">
          <w:marLeft w:val="0"/>
          <w:marRight w:val="0"/>
          <w:marTop w:val="0"/>
          <w:marBottom w:val="75"/>
          <w:divBdr>
            <w:top w:val="none" w:sz="0" w:space="0" w:color="auto"/>
            <w:left w:val="none" w:sz="0" w:space="0" w:color="auto"/>
            <w:bottom w:val="none" w:sz="0" w:space="0" w:color="auto"/>
            <w:right w:val="none" w:sz="0" w:space="0" w:color="auto"/>
          </w:divBdr>
        </w:div>
        <w:div w:id="19344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8068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33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599598">
      <w:bodyDiv w:val="1"/>
      <w:marLeft w:val="0"/>
      <w:marRight w:val="0"/>
      <w:marTop w:val="0"/>
      <w:marBottom w:val="0"/>
      <w:divBdr>
        <w:top w:val="none" w:sz="0" w:space="0" w:color="auto"/>
        <w:left w:val="none" w:sz="0" w:space="0" w:color="auto"/>
        <w:bottom w:val="none" w:sz="0" w:space="0" w:color="auto"/>
        <w:right w:val="none" w:sz="0" w:space="0" w:color="auto"/>
      </w:divBdr>
      <w:divsChild>
        <w:div w:id="1872305964">
          <w:marLeft w:val="0"/>
          <w:marRight w:val="0"/>
          <w:marTop w:val="0"/>
          <w:marBottom w:val="150"/>
          <w:divBdr>
            <w:top w:val="none" w:sz="0" w:space="0" w:color="auto"/>
            <w:left w:val="none" w:sz="0" w:space="0" w:color="auto"/>
            <w:bottom w:val="none" w:sz="0" w:space="0" w:color="auto"/>
            <w:right w:val="none" w:sz="0" w:space="0" w:color="auto"/>
          </w:divBdr>
        </w:div>
        <w:div w:id="1539003627">
          <w:marLeft w:val="0"/>
          <w:marRight w:val="0"/>
          <w:marTop w:val="0"/>
          <w:marBottom w:val="75"/>
          <w:divBdr>
            <w:top w:val="none" w:sz="0" w:space="0" w:color="auto"/>
            <w:left w:val="none" w:sz="0" w:space="0" w:color="auto"/>
            <w:bottom w:val="none" w:sz="0" w:space="0" w:color="auto"/>
            <w:right w:val="none" w:sz="0" w:space="0" w:color="auto"/>
          </w:divBdr>
        </w:div>
        <w:div w:id="164530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7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419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97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87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3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91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2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214589">
      <w:bodyDiv w:val="1"/>
      <w:marLeft w:val="0"/>
      <w:marRight w:val="0"/>
      <w:marTop w:val="0"/>
      <w:marBottom w:val="0"/>
      <w:divBdr>
        <w:top w:val="none" w:sz="0" w:space="0" w:color="auto"/>
        <w:left w:val="none" w:sz="0" w:space="0" w:color="auto"/>
        <w:bottom w:val="none" w:sz="0" w:space="0" w:color="auto"/>
        <w:right w:val="none" w:sz="0" w:space="0" w:color="auto"/>
      </w:divBdr>
      <w:divsChild>
        <w:div w:id="1257638305">
          <w:marLeft w:val="0"/>
          <w:marRight w:val="0"/>
          <w:marTop w:val="0"/>
          <w:marBottom w:val="150"/>
          <w:divBdr>
            <w:top w:val="none" w:sz="0" w:space="0" w:color="auto"/>
            <w:left w:val="none" w:sz="0" w:space="0" w:color="auto"/>
            <w:bottom w:val="none" w:sz="0" w:space="0" w:color="auto"/>
            <w:right w:val="none" w:sz="0" w:space="0" w:color="auto"/>
          </w:divBdr>
        </w:div>
        <w:div w:id="2053572605">
          <w:marLeft w:val="0"/>
          <w:marRight w:val="0"/>
          <w:marTop w:val="0"/>
          <w:marBottom w:val="75"/>
          <w:divBdr>
            <w:top w:val="none" w:sz="0" w:space="0" w:color="auto"/>
            <w:left w:val="none" w:sz="0" w:space="0" w:color="auto"/>
            <w:bottom w:val="none" w:sz="0" w:space="0" w:color="auto"/>
            <w:right w:val="none" w:sz="0" w:space="0" w:color="auto"/>
          </w:divBdr>
        </w:div>
        <w:div w:id="23143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03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3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302469333">
          <w:blockQuote w:val="1"/>
          <w:marLeft w:val="720"/>
          <w:marRight w:val="720"/>
          <w:marTop w:val="100"/>
          <w:marBottom w:val="100"/>
          <w:divBdr>
            <w:top w:val="none" w:sz="0" w:space="0" w:color="auto"/>
            <w:left w:val="none" w:sz="0" w:space="0" w:color="auto"/>
            <w:bottom w:val="none" w:sz="0" w:space="0" w:color="auto"/>
            <w:right w:val="none" w:sz="0" w:space="0" w:color="auto"/>
          </w:divBdr>
        </w:div>
        <w:div w:id="48602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66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490223">
      <w:bodyDiv w:val="1"/>
      <w:marLeft w:val="0"/>
      <w:marRight w:val="0"/>
      <w:marTop w:val="0"/>
      <w:marBottom w:val="0"/>
      <w:divBdr>
        <w:top w:val="none" w:sz="0" w:space="0" w:color="auto"/>
        <w:left w:val="none" w:sz="0" w:space="0" w:color="auto"/>
        <w:bottom w:val="none" w:sz="0" w:space="0" w:color="auto"/>
        <w:right w:val="none" w:sz="0" w:space="0" w:color="auto"/>
      </w:divBdr>
      <w:divsChild>
        <w:div w:id="782190913">
          <w:marLeft w:val="0"/>
          <w:marRight w:val="0"/>
          <w:marTop w:val="0"/>
          <w:marBottom w:val="150"/>
          <w:divBdr>
            <w:top w:val="none" w:sz="0" w:space="0" w:color="auto"/>
            <w:left w:val="none" w:sz="0" w:space="0" w:color="auto"/>
            <w:bottom w:val="none" w:sz="0" w:space="0" w:color="auto"/>
            <w:right w:val="none" w:sz="0" w:space="0" w:color="auto"/>
          </w:divBdr>
        </w:div>
        <w:div w:id="1666349683">
          <w:marLeft w:val="0"/>
          <w:marRight w:val="0"/>
          <w:marTop w:val="0"/>
          <w:marBottom w:val="75"/>
          <w:divBdr>
            <w:top w:val="none" w:sz="0" w:space="0" w:color="auto"/>
            <w:left w:val="none" w:sz="0" w:space="0" w:color="auto"/>
            <w:bottom w:val="none" w:sz="0" w:space="0" w:color="auto"/>
            <w:right w:val="none" w:sz="0" w:space="0" w:color="auto"/>
          </w:divBdr>
        </w:div>
      </w:divsChild>
    </w:div>
    <w:div w:id="1251895040">
      <w:bodyDiv w:val="1"/>
      <w:marLeft w:val="0"/>
      <w:marRight w:val="0"/>
      <w:marTop w:val="0"/>
      <w:marBottom w:val="0"/>
      <w:divBdr>
        <w:top w:val="none" w:sz="0" w:space="0" w:color="auto"/>
        <w:left w:val="none" w:sz="0" w:space="0" w:color="auto"/>
        <w:bottom w:val="none" w:sz="0" w:space="0" w:color="auto"/>
        <w:right w:val="none" w:sz="0" w:space="0" w:color="auto"/>
      </w:divBdr>
      <w:divsChild>
        <w:div w:id="1326669054">
          <w:marLeft w:val="0"/>
          <w:marRight w:val="0"/>
          <w:marTop w:val="0"/>
          <w:marBottom w:val="150"/>
          <w:divBdr>
            <w:top w:val="none" w:sz="0" w:space="0" w:color="auto"/>
            <w:left w:val="none" w:sz="0" w:space="0" w:color="auto"/>
            <w:bottom w:val="none" w:sz="0" w:space="0" w:color="auto"/>
            <w:right w:val="none" w:sz="0" w:space="0" w:color="auto"/>
          </w:divBdr>
        </w:div>
        <w:div w:id="429207058">
          <w:marLeft w:val="0"/>
          <w:marRight w:val="0"/>
          <w:marTop w:val="0"/>
          <w:marBottom w:val="75"/>
          <w:divBdr>
            <w:top w:val="none" w:sz="0" w:space="0" w:color="auto"/>
            <w:left w:val="none" w:sz="0" w:space="0" w:color="auto"/>
            <w:bottom w:val="none" w:sz="0" w:space="0" w:color="auto"/>
            <w:right w:val="none" w:sz="0" w:space="0" w:color="auto"/>
          </w:divBdr>
        </w:div>
        <w:div w:id="2032562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50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639883">
      <w:bodyDiv w:val="1"/>
      <w:marLeft w:val="0"/>
      <w:marRight w:val="0"/>
      <w:marTop w:val="0"/>
      <w:marBottom w:val="0"/>
      <w:divBdr>
        <w:top w:val="none" w:sz="0" w:space="0" w:color="auto"/>
        <w:left w:val="none" w:sz="0" w:space="0" w:color="auto"/>
        <w:bottom w:val="none" w:sz="0" w:space="0" w:color="auto"/>
        <w:right w:val="none" w:sz="0" w:space="0" w:color="auto"/>
      </w:divBdr>
      <w:divsChild>
        <w:div w:id="34934050">
          <w:marLeft w:val="0"/>
          <w:marRight w:val="0"/>
          <w:marTop w:val="0"/>
          <w:marBottom w:val="150"/>
          <w:divBdr>
            <w:top w:val="none" w:sz="0" w:space="0" w:color="auto"/>
            <w:left w:val="none" w:sz="0" w:space="0" w:color="auto"/>
            <w:bottom w:val="none" w:sz="0" w:space="0" w:color="auto"/>
            <w:right w:val="none" w:sz="0" w:space="0" w:color="auto"/>
          </w:divBdr>
        </w:div>
        <w:div w:id="1496608684">
          <w:marLeft w:val="0"/>
          <w:marRight w:val="0"/>
          <w:marTop w:val="0"/>
          <w:marBottom w:val="75"/>
          <w:divBdr>
            <w:top w:val="none" w:sz="0" w:space="0" w:color="auto"/>
            <w:left w:val="none" w:sz="0" w:space="0" w:color="auto"/>
            <w:bottom w:val="none" w:sz="0" w:space="0" w:color="auto"/>
            <w:right w:val="none" w:sz="0" w:space="0" w:color="auto"/>
          </w:divBdr>
        </w:div>
        <w:div w:id="1346201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1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4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34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0182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255984">
      <w:bodyDiv w:val="1"/>
      <w:marLeft w:val="0"/>
      <w:marRight w:val="0"/>
      <w:marTop w:val="0"/>
      <w:marBottom w:val="0"/>
      <w:divBdr>
        <w:top w:val="none" w:sz="0" w:space="0" w:color="auto"/>
        <w:left w:val="none" w:sz="0" w:space="0" w:color="auto"/>
        <w:bottom w:val="none" w:sz="0" w:space="0" w:color="auto"/>
        <w:right w:val="none" w:sz="0" w:space="0" w:color="auto"/>
      </w:divBdr>
      <w:divsChild>
        <w:div w:id="1173490923">
          <w:marLeft w:val="0"/>
          <w:marRight w:val="0"/>
          <w:marTop w:val="0"/>
          <w:marBottom w:val="0"/>
          <w:divBdr>
            <w:top w:val="none" w:sz="0" w:space="0" w:color="auto"/>
            <w:left w:val="none" w:sz="0" w:space="0" w:color="auto"/>
            <w:bottom w:val="none" w:sz="0" w:space="0" w:color="auto"/>
            <w:right w:val="none" w:sz="0" w:space="0" w:color="auto"/>
          </w:divBdr>
        </w:div>
        <w:div w:id="693967743">
          <w:marLeft w:val="0"/>
          <w:marRight w:val="0"/>
          <w:marTop w:val="0"/>
          <w:marBottom w:val="0"/>
          <w:divBdr>
            <w:top w:val="none" w:sz="0" w:space="0" w:color="auto"/>
            <w:left w:val="none" w:sz="0" w:space="0" w:color="auto"/>
            <w:bottom w:val="none" w:sz="0" w:space="0" w:color="auto"/>
            <w:right w:val="none" w:sz="0" w:space="0" w:color="auto"/>
          </w:divBdr>
        </w:div>
      </w:divsChild>
    </w:div>
    <w:div w:id="1995600080">
      <w:bodyDiv w:val="1"/>
      <w:marLeft w:val="0"/>
      <w:marRight w:val="0"/>
      <w:marTop w:val="0"/>
      <w:marBottom w:val="0"/>
      <w:divBdr>
        <w:top w:val="none" w:sz="0" w:space="0" w:color="auto"/>
        <w:left w:val="none" w:sz="0" w:space="0" w:color="auto"/>
        <w:bottom w:val="none" w:sz="0" w:space="0" w:color="auto"/>
        <w:right w:val="none" w:sz="0" w:space="0" w:color="auto"/>
      </w:divBdr>
      <w:divsChild>
        <w:div w:id="158228721">
          <w:marLeft w:val="0"/>
          <w:marRight w:val="0"/>
          <w:marTop w:val="0"/>
          <w:marBottom w:val="150"/>
          <w:divBdr>
            <w:top w:val="none" w:sz="0" w:space="0" w:color="auto"/>
            <w:left w:val="none" w:sz="0" w:space="0" w:color="auto"/>
            <w:bottom w:val="none" w:sz="0" w:space="0" w:color="auto"/>
            <w:right w:val="none" w:sz="0" w:space="0" w:color="auto"/>
          </w:divBdr>
        </w:div>
        <w:div w:id="855772965">
          <w:marLeft w:val="0"/>
          <w:marRight w:val="0"/>
          <w:marTop w:val="0"/>
          <w:marBottom w:val="75"/>
          <w:divBdr>
            <w:top w:val="none" w:sz="0" w:space="0" w:color="auto"/>
            <w:left w:val="none" w:sz="0" w:space="0" w:color="auto"/>
            <w:bottom w:val="none" w:sz="0" w:space="0" w:color="auto"/>
            <w:right w:val="none" w:sz="0" w:space="0" w:color="auto"/>
          </w:divBdr>
        </w:div>
        <w:div w:id="204632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8190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82563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80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1994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77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965885">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0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48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3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45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712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5953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93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2504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620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648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85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51150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28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80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5107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0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56543">
      <w:bodyDiv w:val="1"/>
      <w:marLeft w:val="0"/>
      <w:marRight w:val="0"/>
      <w:marTop w:val="0"/>
      <w:marBottom w:val="0"/>
      <w:divBdr>
        <w:top w:val="none" w:sz="0" w:space="0" w:color="auto"/>
        <w:left w:val="none" w:sz="0" w:space="0" w:color="auto"/>
        <w:bottom w:val="none" w:sz="0" w:space="0" w:color="auto"/>
        <w:right w:val="none" w:sz="0" w:space="0" w:color="auto"/>
      </w:divBdr>
    </w:div>
    <w:div w:id="2021815279">
      <w:bodyDiv w:val="1"/>
      <w:marLeft w:val="0"/>
      <w:marRight w:val="0"/>
      <w:marTop w:val="0"/>
      <w:marBottom w:val="0"/>
      <w:divBdr>
        <w:top w:val="none" w:sz="0" w:space="0" w:color="auto"/>
        <w:left w:val="none" w:sz="0" w:space="0" w:color="auto"/>
        <w:bottom w:val="none" w:sz="0" w:space="0" w:color="auto"/>
        <w:right w:val="none" w:sz="0" w:space="0" w:color="auto"/>
      </w:divBdr>
      <w:divsChild>
        <w:div w:id="569072383">
          <w:marLeft w:val="0"/>
          <w:marRight w:val="0"/>
          <w:marTop w:val="0"/>
          <w:marBottom w:val="150"/>
          <w:divBdr>
            <w:top w:val="none" w:sz="0" w:space="0" w:color="auto"/>
            <w:left w:val="none" w:sz="0" w:space="0" w:color="auto"/>
            <w:bottom w:val="none" w:sz="0" w:space="0" w:color="auto"/>
            <w:right w:val="none" w:sz="0" w:space="0" w:color="auto"/>
          </w:divBdr>
        </w:div>
        <w:div w:id="436680124">
          <w:marLeft w:val="0"/>
          <w:marRight w:val="0"/>
          <w:marTop w:val="0"/>
          <w:marBottom w:val="75"/>
          <w:divBdr>
            <w:top w:val="none" w:sz="0" w:space="0" w:color="auto"/>
            <w:left w:val="none" w:sz="0" w:space="0" w:color="auto"/>
            <w:bottom w:val="none" w:sz="0" w:space="0" w:color="auto"/>
            <w:right w:val="none" w:sz="0" w:space="0" w:color="auto"/>
          </w:divBdr>
        </w:div>
        <w:div w:id="303825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8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261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69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506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2006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2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08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288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875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22">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175450">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48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3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244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137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40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53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35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5417">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58559">
          <w:blockQuote w:val="1"/>
          <w:marLeft w:val="720"/>
          <w:marRight w:val="720"/>
          <w:marTop w:val="100"/>
          <w:marBottom w:val="100"/>
          <w:divBdr>
            <w:top w:val="none" w:sz="0" w:space="0" w:color="auto"/>
            <w:left w:val="none" w:sz="0" w:space="0" w:color="auto"/>
            <w:bottom w:val="none" w:sz="0" w:space="0" w:color="auto"/>
            <w:right w:val="none" w:sz="0" w:space="0" w:color="auto"/>
          </w:divBdr>
        </w:div>
        <w:div w:id="63013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94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61062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33908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0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8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1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8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9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55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77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262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15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02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55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0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49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05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80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85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01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16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5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22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61603">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60421">
          <w:blockQuote w:val="1"/>
          <w:marLeft w:val="720"/>
          <w:marRight w:val="720"/>
          <w:marTop w:val="100"/>
          <w:marBottom w:val="100"/>
          <w:divBdr>
            <w:top w:val="none" w:sz="0" w:space="0" w:color="auto"/>
            <w:left w:val="none" w:sz="0" w:space="0" w:color="auto"/>
            <w:bottom w:val="none" w:sz="0" w:space="0" w:color="auto"/>
            <w:right w:val="none" w:sz="0" w:space="0" w:color="auto"/>
          </w:divBdr>
        </w:div>
        <w:div w:id="92866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2759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5528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8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15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0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750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3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9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9564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5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12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7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12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78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601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86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241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7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2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60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938561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7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022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25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1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86621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47634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3123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806245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52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0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994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675853">
      <w:bodyDiv w:val="1"/>
      <w:marLeft w:val="0"/>
      <w:marRight w:val="0"/>
      <w:marTop w:val="0"/>
      <w:marBottom w:val="0"/>
      <w:divBdr>
        <w:top w:val="none" w:sz="0" w:space="0" w:color="auto"/>
        <w:left w:val="none" w:sz="0" w:space="0" w:color="auto"/>
        <w:bottom w:val="none" w:sz="0" w:space="0" w:color="auto"/>
        <w:right w:val="none" w:sz="0" w:space="0" w:color="auto"/>
      </w:divBdr>
      <w:divsChild>
        <w:div w:id="1314600285">
          <w:marLeft w:val="0"/>
          <w:marRight w:val="0"/>
          <w:marTop w:val="0"/>
          <w:marBottom w:val="150"/>
          <w:divBdr>
            <w:top w:val="none" w:sz="0" w:space="0" w:color="auto"/>
            <w:left w:val="none" w:sz="0" w:space="0" w:color="auto"/>
            <w:bottom w:val="none" w:sz="0" w:space="0" w:color="auto"/>
            <w:right w:val="none" w:sz="0" w:space="0" w:color="auto"/>
          </w:divBdr>
        </w:div>
        <w:div w:id="117449116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1EB9E-34C4-4947-A80A-51B02643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Mantu</cp:lastModifiedBy>
  <cp:revision>2</cp:revision>
  <cp:lastPrinted>2018-04-19T08:26:00Z</cp:lastPrinted>
  <dcterms:created xsi:type="dcterms:W3CDTF">2018-04-19T08:38:00Z</dcterms:created>
  <dcterms:modified xsi:type="dcterms:W3CDTF">2018-04-19T08:38:00Z</dcterms:modified>
</cp:coreProperties>
</file>