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31" w:rsidRPr="00CB7231" w:rsidRDefault="00CB7231" w:rsidP="00CB7231">
      <w:pPr>
        <w:jc w:val="center"/>
        <w:rPr>
          <w:b/>
          <w:bCs/>
          <w:szCs w:val="20"/>
        </w:rPr>
      </w:pPr>
      <w:r w:rsidRPr="00CB7231">
        <w:rPr>
          <w:b/>
          <w:bCs/>
          <w:szCs w:val="20"/>
        </w:rPr>
        <w:t>SUPREME COURT OF INDIA</w:t>
      </w:r>
    </w:p>
    <w:p w:rsidR="00CB7231" w:rsidRPr="00CB7231" w:rsidRDefault="00CB7231" w:rsidP="00CB7231">
      <w:pPr>
        <w:jc w:val="center"/>
        <w:rPr>
          <w:szCs w:val="20"/>
        </w:rPr>
      </w:pPr>
    </w:p>
    <w:p w:rsidR="00CB7231" w:rsidRPr="00CB7231" w:rsidRDefault="00CB7231" w:rsidP="00CB7231">
      <w:pPr>
        <w:jc w:val="center"/>
        <w:rPr>
          <w:szCs w:val="20"/>
        </w:rPr>
      </w:pPr>
      <w:r>
        <w:rPr>
          <w:szCs w:val="20"/>
        </w:rPr>
        <w:t>Tamil Nadu Chamber of Commerce a</w:t>
      </w:r>
      <w:r w:rsidRPr="00CB7231">
        <w:rPr>
          <w:szCs w:val="20"/>
        </w:rPr>
        <w:t>nd Industry Represented</w:t>
      </w:r>
    </w:p>
    <w:p w:rsidR="00CB7231" w:rsidRDefault="00CB7231" w:rsidP="00CB7231">
      <w:pPr>
        <w:jc w:val="center"/>
        <w:rPr>
          <w:szCs w:val="20"/>
        </w:rPr>
      </w:pPr>
      <w:r>
        <w:rPr>
          <w:szCs w:val="20"/>
        </w:rPr>
        <w:t>Thr.</w:t>
      </w:r>
      <w:r w:rsidRPr="00CB7231">
        <w:rPr>
          <w:szCs w:val="20"/>
        </w:rPr>
        <w:t>Its Hony. Secretary</w:t>
      </w:r>
    </w:p>
    <w:p w:rsidR="00CB7231" w:rsidRDefault="00CB7231" w:rsidP="00CB7231">
      <w:pPr>
        <w:jc w:val="center"/>
        <w:rPr>
          <w:szCs w:val="20"/>
        </w:rPr>
      </w:pPr>
    </w:p>
    <w:p w:rsidR="00CB7231" w:rsidRDefault="00CB7231" w:rsidP="00CB7231">
      <w:pPr>
        <w:jc w:val="center"/>
        <w:rPr>
          <w:szCs w:val="20"/>
        </w:rPr>
      </w:pPr>
      <w:r>
        <w:rPr>
          <w:szCs w:val="20"/>
        </w:rPr>
        <w:t>Vs.</w:t>
      </w:r>
    </w:p>
    <w:p w:rsidR="00CB7231" w:rsidRPr="00CB7231" w:rsidRDefault="00CB7231" w:rsidP="00CB7231">
      <w:pPr>
        <w:jc w:val="center"/>
        <w:rPr>
          <w:szCs w:val="20"/>
        </w:rPr>
      </w:pPr>
    </w:p>
    <w:p w:rsidR="00CB7231" w:rsidRDefault="00CB7231" w:rsidP="00CB7231">
      <w:pPr>
        <w:jc w:val="center"/>
        <w:rPr>
          <w:szCs w:val="20"/>
        </w:rPr>
      </w:pPr>
      <w:r w:rsidRPr="00CB7231">
        <w:rPr>
          <w:szCs w:val="20"/>
        </w:rPr>
        <w:t>P Mahendravel</w:t>
      </w:r>
    </w:p>
    <w:p w:rsidR="00CB7231" w:rsidRDefault="00CB7231" w:rsidP="00CB7231">
      <w:pPr>
        <w:jc w:val="center"/>
        <w:rPr>
          <w:szCs w:val="20"/>
        </w:rPr>
      </w:pPr>
    </w:p>
    <w:p w:rsidR="00CB7231" w:rsidRDefault="00CB7231" w:rsidP="00CB7231">
      <w:pPr>
        <w:jc w:val="center"/>
        <w:rPr>
          <w:szCs w:val="20"/>
        </w:rPr>
      </w:pPr>
      <w:r>
        <w:rPr>
          <w:szCs w:val="20"/>
        </w:rPr>
        <w:t xml:space="preserve">C.A.No.7421 of </w:t>
      </w:r>
      <w:r w:rsidRPr="00CB7231">
        <w:rPr>
          <w:szCs w:val="20"/>
        </w:rPr>
        <w:t>2018</w:t>
      </w:r>
    </w:p>
    <w:p w:rsidR="00CB7231" w:rsidRDefault="00CB7231" w:rsidP="00CB7231">
      <w:pPr>
        <w:jc w:val="center"/>
        <w:rPr>
          <w:szCs w:val="20"/>
        </w:rPr>
      </w:pPr>
    </w:p>
    <w:p w:rsidR="00CB7231" w:rsidRDefault="00CB7231" w:rsidP="00CB7231">
      <w:pPr>
        <w:jc w:val="center"/>
        <w:rPr>
          <w:szCs w:val="20"/>
        </w:rPr>
      </w:pPr>
      <w:r>
        <w:rPr>
          <w:szCs w:val="20"/>
        </w:rPr>
        <w:t>(Kurian Joseph and Sanjay Kishan Kaul,JJ.,)</w:t>
      </w:r>
    </w:p>
    <w:p w:rsidR="00CB7231" w:rsidRDefault="00CB7231" w:rsidP="00CB7231">
      <w:pPr>
        <w:jc w:val="center"/>
        <w:rPr>
          <w:szCs w:val="20"/>
        </w:rPr>
      </w:pPr>
    </w:p>
    <w:p w:rsidR="00CB7231" w:rsidRDefault="00CB7231" w:rsidP="00CB7231">
      <w:pPr>
        <w:jc w:val="center"/>
        <w:rPr>
          <w:szCs w:val="20"/>
        </w:rPr>
      </w:pPr>
      <w:r>
        <w:rPr>
          <w:szCs w:val="20"/>
        </w:rPr>
        <w:t>01.08.2018</w:t>
      </w:r>
    </w:p>
    <w:p w:rsidR="00CB7231" w:rsidRDefault="00CB7231" w:rsidP="00CB7231">
      <w:pPr>
        <w:jc w:val="center"/>
        <w:rPr>
          <w:szCs w:val="20"/>
        </w:rPr>
      </w:pPr>
    </w:p>
    <w:p w:rsidR="00CB7231" w:rsidRPr="00CB7231" w:rsidRDefault="00CB7231" w:rsidP="00CB7231">
      <w:pPr>
        <w:jc w:val="center"/>
        <w:rPr>
          <w:b/>
          <w:bCs/>
          <w:szCs w:val="20"/>
        </w:rPr>
      </w:pPr>
      <w:r w:rsidRPr="00CB7231">
        <w:rPr>
          <w:b/>
          <w:bCs/>
          <w:szCs w:val="20"/>
        </w:rPr>
        <w:t>JUDGMENT</w:t>
      </w:r>
    </w:p>
    <w:p w:rsidR="00CB7231" w:rsidRPr="00CB7231" w:rsidRDefault="00CB7231" w:rsidP="00CB7231">
      <w:pPr>
        <w:jc w:val="both"/>
        <w:rPr>
          <w:b/>
          <w:bCs/>
          <w:szCs w:val="20"/>
        </w:rPr>
      </w:pPr>
    </w:p>
    <w:p w:rsidR="00CB7231" w:rsidRPr="00CB7231" w:rsidRDefault="00CB7231" w:rsidP="00CB7231">
      <w:pPr>
        <w:jc w:val="both"/>
        <w:rPr>
          <w:b/>
          <w:bCs/>
          <w:szCs w:val="20"/>
        </w:rPr>
      </w:pPr>
      <w:r w:rsidRPr="00CB7231">
        <w:rPr>
          <w:b/>
          <w:bCs/>
          <w:szCs w:val="20"/>
        </w:rPr>
        <w:t>Kurian Joseph,J.,</w:t>
      </w:r>
    </w:p>
    <w:p w:rsidR="00CB7231" w:rsidRDefault="00CB7231" w:rsidP="00CB7231">
      <w:pPr>
        <w:jc w:val="both"/>
        <w:rPr>
          <w:szCs w:val="20"/>
        </w:rPr>
      </w:pPr>
    </w:p>
    <w:p w:rsidR="00CB7231" w:rsidRDefault="00CB7231" w:rsidP="00CB7231">
      <w:pPr>
        <w:jc w:val="both"/>
        <w:rPr>
          <w:szCs w:val="20"/>
        </w:rPr>
      </w:pPr>
      <w:r>
        <w:rPr>
          <w:szCs w:val="20"/>
        </w:rPr>
        <w:t>SLP(C)No.22402 of 2014</w:t>
      </w:r>
    </w:p>
    <w:p w:rsidR="00CB7231" w:rsidRPr="00CB7231" w:rsidRDefault="00CB7231" w:rsidP="00CB7231">
      <w:pPr>
        <w:jc w:val="both"/>
        <w:rPr>
          <w:szCs w:val="20"/>
        </w:rPr>
      </w:pPr>
    </w:p>
    <w:p w:rsidR="00CB7231" w:rsidRDefault="00CB7231" w:rsidP="00CB7231">
      <w:pPr>
        <w:jc w:val="both"/>
        <w:rPr>
          <w:szCs w:val="20"/>
        </w:rPr>
      </w:pPr>
      <w:r>
        <w:rPr>
          <w:szCs w:val="20"/>
        </w:rPr>
        <w:t xml:space="preserve">1. </w:t>
      </w:r>
      <w:r w:rsidRPr="00CB7231">
        <w:rPr>
          <w:szCs w:val="20"/>
        </w:rPr>
        <w:t>Leave granted.</w:t>
      </w:r>
    </w:p>
    <w:p w:rsidR="00CB7231" w:rsidRPr="00CB7231" w:rsidRDefault="00CB7231" w:rsidP="00CB7231">
      <w:pPr>
        <w:jc w:val="both"/>
        <w:rPr>
          <w:szCs w:val="20"/>
        </w:rPr>
      </w:pPr>
    </w:p>
    <w:p w:rsidR="00CB7231" w:rsidRDefault="00CB7231" w:rsidP="00CB7231">
      <w:pPr>
        <w:jc w:val="both"/>
        <w:rPr>
          <w:szCs w:val="20"/>
        </w:rPr>
      </w:pPr>
      <w:r>
        <w:rPr>
          <w:szCs w:val="20"/>
        </w:rPr>
        <w:t xml:space="preserve">2. </w:t>
      </w:r>
      <w:r w:rsidRPr="00CB7231">
        <w:rPr>
          <w:szCs w:val="20"/>
        </w:rPr>
        <w:t>The crucial issue raised in this appeal pertains to the steps taken by the appellant-Association for expulsion of certain members from its membership.</w:t>
      </w:r>
    </w:p>
    <w:p w:rsidR="00CB7231" w:rsidRPr="00CB7231" w:rsidRDefault="00CB7231" w:rsidP="00CB7231">
      <w:pPr>
        <w:jc w:val="both"/>
        <w:rPr>
          <w:szCs w:val="20"/>
        </w:rPr>
      </w:pPr>
    </w:p>
    <w:p w:rsidR="00CB7231" w:rsidRPr="00CB7231" w:rsidRDefault="00CB7231" w:rsidP="00CB7231">
      <w:pPr>
        <w:jc w:val="both"/>
        <w:rPr>
          <w:szCs w:val="20"/>
        </w:rPr>
      </w:pPr>
      <w:r>
        <w:rPr>
          <w:szCs w:val="20"/>
        </w:rPr>
        <w:t>3.</w:t>
      </w:r>
      <w:r w:rsidRPr="00CB7231">
        <w:rPr>
          <w:szCs w:val="20"/>
        </w:rPr>
        <w:t xml:space="preserve"> The aggrieved respondents had taken up the matter before the civil court which went</w:t>
      </w:r>
      <w:r>
        <w:rPr>
          <w:szCs w:val="20"/>
        </w:rPr>
        <w:t xml:space="preserve"> </w:t>
      </w:r>
      <w:r w:rsidRPr="00CB7231">
        <w:rPr>
          <w:szCs w:val="20"/>
        </w:rPr>
        <w:t>in their</w:t>
      </w:r>
      <w:r>
        <w:rPr>
          <w:szCs w:val="20"/>
        </w:rPr>
        <w:t xml:space="preserve"> </w:t>
      </w:r>
      <w:r w:rsidRPr="00CB7231">
        <w:rPr>
          <w:szCs w:val="20"/>
        </w:rPr>
        <w:t>fa</w:t>
      </w:r>
      <w:r>
        <w:rPr>
          <w:szCs w:val="20"/>
        </w:rPr>
        <w:t xml:space="preserve">vour. This </w:t>
      </w:r>
      <w:r w:rsidRPr="00CB7231">
        <w:rPr>
          <w:szCs w:val="20"/>
        </w:rPr>
        <w:t>order was</w:t>
      </w:r>
      <w:r>
        <w:rPr>
          <w:szCs w:val="20"/>
        </w:rPr>
        <w:t xml:space="preserve"> </w:t>
      </w:r>
      <w:r w:rsidRPr="00CB7231">
        <w:rPr>
          <w:szCs w:val="20"/>
        </w:rPr>
        <w:t>challenged before the First</w:t>
      </w:r>
      <w:r w:rsidRPr="00CB7231">
        <w:rPr>
          <w:szCs w:val="20"/>
        </w:rPr>
        <w:tab/>
      </w:r>
      <w:r>
        <w:rPr>
          <w:szCs w:val="20"/>
        </w:rPr>
        <w:t xml:space="preserve"> Appellate Court as well </w:t>
      </w:r>
      <w:r w:rsidRPr="00CB7231">
        <w:rPr>
          <w:szCs w:val="20"/>
        </w:rPr>
        <w:t>as before</w:t>
      </w:r>
    </w:p>
    <w:p w:rsidR="00CB7231" w:rsidRDefault="00CB7231" w:rsidP="00CB7231">
      <w:pPr>
        <w:jc w:val="both"/>
        <w:rPr>
          <w:szCs w:val="20"/>
        </w:rPr>
      </w:pPr>
      <w:r>
        <w:rPr>
          <w:szCs w:val="20"/>
        </w:rPr>
        <w:t xml:space="preserve">the High Court and both orders are in </w:t>
      </w:r>
      <w:r w:rsidRPr="00CB7231">
        <w:rPr>
          <w:szCs w:val="20"/>
        </w:rPr>
        <w:t>favour of the</w:t>
      </w:r>
      <w:r>
        <w:rPr>
          <w:szCs w:val="20"/>
        </w:rPr>
        <w:t xml:space="preserve"> </w:t>
      </w:r>
      <w:r w:rsidRPr="00CB7231">
        <w:rPr>
          <w:szCs w:val="20"/>
        </w:rPr>
        <w:t>respondents; and</w:t>
      </w:r>
      <w:r>
        <w:rPr>
          <w:szCs w:val="20"/>
        </w:rPr>
        <w:t xml:space="preserve"> </w:t>
      </w:r>
      <w:r>
        <w:rPr>
          <w:szCs w:val="20"/>
        </w:rPr>
        <w:tab/>
        <w:t>thus appellant-Association</w:t>
      </w:r>
      <w:r>
        <w:rPr>
          <w:szCs w:val="20"/>
        </w:rPr>
        <w:tab/>
        <w:t xml:space="preserve">is before </w:t>
      </w:r>
      <w:r w:rsidRPr="00CB7231">
        <w:rPr>
          <w:szCs w:val="20"/>
        </w:rPr>
        <w:t>this</w:t>
      </w:r>
      <w:r>
        <w:rPr>
          <w:szCs w:val="20"/>
        </w:rPr>
        <w:t xml:space="preserve"> </w:t>
      </w:r>
      <w:r w:rsidRPr="00CB7231">
        <w:rPr>
          <w:szCs w:val="20"/>
        </w:rPr>
        <w:t>Court.</w:t>
      </w:r>
    </w:p>
    <w:p w:rsidR="00CB7231" w:rsidRDefault="00CB7231" w:rsidP="00CB7231">
      <w:pPr>
        <w:jc w:val="both"/>
        <w:rPr>
          <w:szCs w:val="20"/>
        </w:rPr>
      </w:pPr>
    </w:p>
    <w:p w:rsidR="00CB7231" w:rsidRPr="00CB7231" w:rsidRDefault="00CB7231" w:rsidP="00CB7231">
      <w:pPr>
        <w:jc w:val="both"/>
        <w:rPr>
          <w:szCs w:val="20"/>
        </w:rPr>
      </w:pPr>
      <w:r>
        <w:rPr>
          <w:szCs w:val="20"/>
        </w:rPr>
        <w:t xml:space="preserve">4. </w:t>
      </w:r>
      <w:r w:rsidRPr="00CB7231">
        <w:rPr>
          <w:szCs w:val="20"/>
        </w:rPr>
        <w:t>The categorical finding in all the judgments is that steps</w:t>
      </w:r>
      <w:r>
        <w:rPr>
          <w:szCs w:val="20"/>
        </w:rPr>
        <w:t xml:space="preserve"> </w:t>
      </w:r>
      <w:r w:rsidRPr="00CB7231">
        <w:rPr>
          <w:szCs w:val="20"/>
        </w:rPr>
        <w:t>Retaken by the appellant-Association for expulsion o</w:t>
      </w:r>
      <w:r>
        <w:rPr>
          <w:szCs w:val="20"/>
        </w:rPr>
        <w:t xml:space="preserve">f its members were in violation </w:t>
      </w:r>
      <w:r w:rsidRPr="00CB7231">
        <w:rPr>
          <w:szCs w:val="20"/>
        </w:rPr>
        <w:t>of the principles of natural</w:t>
      </w:r>
      <w:r w:rsidRPr="00CB7231">
        <w:rPr>
          <w:szCs w:val="20"/>
        </w:rPr>
        <w:tab/>
        <w:t>justice. There</w:t>
      </w:r>
      <w:r>
        <w:rPr>
          <w:szCs w:val="20"/>
        </w:rPr>
        <w:t xml:space="preserve"> is also a contention on </w:t>
      </w:r>
      <w:r w:rsidRPr="00CB7231">
        <w:rPr>
          <w:szCs w:val="20"/>
        </w:rPr>
        <w:t>jurisdiction.</w:t>
      </w:r>
    </w:p>
    <w:p w:rsidR="007D09D8" w:rsidRDefault="007D09D8" w:rsidP="00CB7231">
      <w:pPr>
        <w:jc w:val="both"/>
        <w:rPr>
          <w:szCs w:val="20"/>
        </w:rPr>
      </w:pPr>
    </w:p>
    <w:p w:rsidR="00CB7231" w:rsidRPr="00CB7231" w:rsidRDefault="007D09D8" w:rsidP="00CB7231">
      <w:pPr>
        <w:jc w:val="both"/>
        <w:rPr>
          <w:szCs w:val="20"/>
        </w:rPr>
      </w:pPr>
      <w:r>
        <w:rPr>
          <w:szCs w:val="20"/>
        </w:rPr>
        <w:t>5.</w:t>
      </w:r>
      <w:r w:rsidR="00CB7231" w:rsidRPr="00CB7231">
        <w:rPr>
          <w:szCs w:val="20"/>
        </w:rPr>
        <w:t xml:space="preserve"> When the matter came up for hearing before this Court on 14th July, 2017, the following order was passed :</w:t>
      </w:r>
    </w:p>
    <w:p w:rsidR="007D09D8" w:rsidRDefault="007D09D8" w:rsidP="00CB7231">
      <w:pPr>
        <w:jc w:val="both"/>
        <w:rPr>
          <w:szCs w:val="20"/>
        </w:rPr>
      </w:pPr>
    </w:p>
    <w:p w:rsidR="00CB7231" w:rsidRPr="00CB7231" w:rsidRDefault="00CB7231" w:rsidP="000C7FBF">
      <w:pPr>
        <w:ind w:left="720"/>
        <w:jc w:val="both"/>
        <w:rPr>
          <w:szCs w:val="20"/>
        </w:rPr>
      </w:pPr>
      <w:r w:rsidRPr="00CB7231">
        <w:rPr>
          <w:szCs w:val="20"/>
        </w:rPr>
        <w:t>"Learned senior counsel appearing for the petitioners submits that the issue regarding the expulsion can be decided by a retired District Judge, in case the opposite side also agrees.</w:t>
      </w:r>
    </w:p>
    <w:p w:rsidR="007D09D8" w:rsidRDefault="007D09D8" w:rsidP="000C7FBF">
      <w:pPr>
        <w:ind w:left="720"/>
        <w:jc w:val="both"/>
        <w:rPr>
          <w:szCs w:val="20"/>
        </w:rPr>
      </w:pPr>
    </w:p>
    <w:p w:rsidR="00CB7231" w:rsidRPr="00CB7231" w:rsidRDefault="00CB7231" w:rsidP="000C7FBF">
      <w:pPr>
        <w:ind w:left="720"/>
        <w:jc w:val="both"/>
        <w:rPr>
          <w:szCs w:val="20"/>
        </w:rPr>
      </w:pPr>
      <w:r w:rsidRPr="00CB7231">
        <w:rPr>
          <w:szCs w:val="20"/>
        </w:rPr>
        <w:t>The respondents are directed to get instruction on the above submission.</w:t>
      </w:r>
    </w:p>
    <w:p w:rsidR="007D09D8" w:rsidRDefault="007D09D8" w:rsidP="000C7FBF">
      <w:pPr>
        <w:ind w:left="720"/>
        <w:jc w:val="both"/>
        <w:rPr>
          <w:szCs w:val="20"/>
        </w:rPr>
      </w:pPr>
    </w:p>
    <w:p w:rsidR="00CB7231" w:rsidRPr="00CB7231" w:rsidRDefault="007D09D8" w:rsidP="000C7FBF">
      <w:pPr>
        <w:ind w:left="720"/>
        <w:jc w:val="both"/>
        <w:rPr>
          <w:szCs w:val="20"/>
        </w:rPr>
      </w:pPr>
      <w:r>
        <w:rPr>
          <w:szCs w:val="20"/>
        </w:rPr>
        <w:t>List on 24.07.2017.</w:t>
      </w:r>
    </w:p>
    <w:p w:rsidR="007D09D8" w:rsidRDefault="007D09D8" w:rsidP="000C7FBF">
      <w:pPr>
        <w:ind w:left="720"/>
        <w:jc w:val="both"/>
        <w:rPr>
          <w:szCs w:val="20"/>
        </w:rPr>
      </w:pPr>
    </w:p>
    <w:p w:rsidR="00CB7231" w:rsidRDefault="000C7FBF" w:rsidP="000C7FBF">
      <w:pPr>
        <w:jc w:val="both"/>
        <w:rPr>
          <w:szCs w:val="20"/>
        </w:rPr>
      </w:pPr>
      <w:r>
        <w:rPr>
          <w:szCs w:val="20"/>
        </w:rPr>
        <w:t xml:space="preserve">6. </w:t>
      </w:r>
      <w:r w:rsidR="00CB7231" w:rsidRPr="00CB7231">
        <w:rPr>
          <w:szCs w:val="20"/>
        </w:rPr>
        <w:t>On 24th July, 2017, the Court passed the following order:</w:t>
      </w:r>
    </w:p>
    <w:p w:rsidR="000C7FBF" w:rsidRPr="00CB7231" w:rsidRDefault="000C7FBF" w:rsidP="000C7FBF">
      <w:pPr>
        <w:jc w:val="both"/>
        <w:rPr>
          <w:szCs w:val="20"/>
        </w:rPr>
      </w:pPr>
    </w:p>
    <w:p w:rsidR="00CB7231" w:rsidRPr="00CB7231" w:rsidRDefault="00CB7231" w:rsidP="000C7FBF">
      <w:pPr>
        <w:ind w:left="720"/>
        <w:jc w:val="both"/>
        <w:rPr>
          <w:szCs w:val="20"/>
        </w:rPr>
      </w:pPr>
      <w:r w:rsidRPr="00CB7231">
        <w:rPr>
          <w:szCs w:val="20"/>
        </w:rPr>
        <w:t>"When this matter came up before this Court, on 14.07.2017, this Court passed the following order:-</w:t>
      </w:r>
    </w:p>
    <w:p w:rsidR="000C7FBF" w:rsidRDefault="000C7FBF" w:rsidP="000C7FBF">
      <w:pPr>
        <w:ind w:left="720"/>
        <w:jc w:val="both"/>
        <w:rPr>
          <w:szCs w:val="20"/>
        </w:rPr>
      </w:pPr>
    </w:p>
    <w:p w:rsidR="000C7FBF" w:rsidRDefault="00CB7231" w:rsidP="000C7FBF">
      <w:pPr>
        <w:ind w:left="720"/>
        <w:jc w:val="both"/>
        <w:rPr>
          <w:szCs w:val="20"/>
        </w:rPr>
      </w:pPr>
      <w:r w:rsidRPr="00CB7231">
        <w:rPr>
          <w:szCs w:val="20"/>
        </w:rPr>
        <w:t>"Learned senior counsel appearing for the petitioners submits that the issue regarding the expulsion can be decided by a retired District Judge, in case the opposite side also agrees.</w:t>
      </w:r>
      <w:r w:rsidR="000C7FBF">
        <w:rPr>
          <w:szCs w:val="20"/>
        </w:rPr>
        <w:t xml:space="preserve"> </w:t>
      </w:r>
      <w:r w:rsidRPr="00CB7231">
        <w:rPr>
          <w:szCs w:val="20"/>
        </w:rPr>
        <w:t>The respondents are directed to get instruction on the above submission.</w:t>
      </w:r>
      <w:r w:rsidR="000C7FBF">
        <w:rPr>
          <w:szCs w:val="20"/>
        </w:rPr>
        <w:t xml:space="preserve"> </w:t>
      </w:r>
    </w:p>
    <w:p w:rsidR="000C7FBF" w:rsidRDefault="000C7FBF" w:rsidP="000C7FBF">
      <w:pPr>
        <w:ind w:left="720"/>
        <w:jc w:val="both"/>
        <w:rPr>
          <w:szCs w:val="20"/>
        </w:rPr>
      </w:pPr>
    </w:p>
    <w:p w:rsidR="00CB7231" w:rsidRPr="00CB7231" w:rsidRDefault="00CB7231" w:rsidP="000C7FBF">
      <w:pPr>
        <w:ind w:left="720"/>
        <w:jc w:val="both"/>
        <w:rPr>
          <w:szCs w:val="20"/>
        </w:rPr>
      </w:pPr>
      <w:r w:rsidRPr="00CB7231">
        <w:rPr>
          <w:szCs w:val="20"/>
        </w:rPr>
        <w:t>List on 24.07.2017."</w:t>
      </w:r>
    </w:p>
    <w:p w:rsidR="000C7FBF" w:rsidRDefault="000C7FBF" w:rsidP="000C7FBF">
      <w:pPr>
        <w:ind w:left="720"/>
        <w:jc w:val="both"/>
        <w:rPr>
          <w:szCs w:val="20"/>
        </w:rPr>
      </w:pPr>
    </w:p>
    <w:p w:rsidR="00CB7231" w:rsidRPr="00CB7231" w:rsidRDefault="00CB7231" w:rsidP="000C7FBF">
      <w:pPr>
        <w:ind w:left="720"/>
        <w:jc w:val="both"/>
        <w:rPr>
          <w:szCs w:val="20"/>
        </w:rPr>
      </w:pPr>
      <w:r w:rsidRPr="00CB7231">
        <w:rPr>
          <w:szCs w:val="20"/>
        </w:rPr>
        <w:t>Learned counsel on both sides submit that a former Judge of the High Court would be better in the fitness of things.</w:t>
      </w:r>
    </w:p>
    <w:p w:rsidR="000C7FBF" w:rsidRDefault="000C7FBF" w:rsidP="000C7FBF">
      <w:pPr>
        <w:ind w:left="720"/>
        <w:jc w:val="both"/>
        <w:rPr>
          <w:szCs w:val="20"/>
        </w:rPr>
      </w:pPr>
    </w:p>
    <w:p w:rsidR="00CB7231" w:rsidRDefault="00CB7231" w:rsidP="000C7FBF">
      <w:pPr>
        <w:ind w:left="720"/>
        <w:jc w:val="both"/>
        <w:rPr>
          <w:szCs w:val="20"/>
        </w:rPr>
      </w:pPr>
      <w:r w:rsidRPr="00CB7231">
        <w:rPr>
          <w:szCs w:val="20"/>
        </w:rPr>
        <w:t>Therefore, we appoint Hon'ble Mr. Justice A.R. Ramalingam, Former Judge of the High Court of Madras for the purpose.</w:t>
      </w:r>
      <w:r w:rsidR="000C7FBF">
        <w:rPr>
          <w:szCs w:val="20"/>
        </w:rPr>
        <w:t xml:space="preserve"> </w:t>
      </w:r>
      <w:r w:rsidRPr="00CB7231">
        <w:rPr>
          <w:szCs w:val="20"/>
        </w:rPr>
        <w:t>We leave it to the Hon'ble Judge to fix his remuneration. The expenses and the remuneration will be shared by the petitioners and the respondents in the proportion of 67:33 per cent.</w:t>
      </w:r>
      <w:r w:rsidR="000C7FBF">
        <w:rPr>
          <w:szCs w:val="20"/>
        </w:rPr>
        <w:t xml:space="preserve"> </w:t>
      </w:r>
      <w:r w:rsidRPr="00CB7231">
        <w:rPr>
          <w:szCs w:val="20"/>
        </w:rPr>
        <w:t>The expelled members will file their reply to the show cause notice dated 5.3.2009, within four weeks.</w:t>
      </w:r>
      <w:r w:rsidR="000C7FBF">
        <w:rPr>
          <w:szCs w:val="20"/>
        </w:rPr>
        <w:t xml:space="preserve"> </w:t>
      </w:r>
      <w:r w:rsidRPr="00CB7231">
        <w:rPr>
          <w:szCs w:val="20"/>
        </w:rPr>
        <w:t>The Hon'ble Judge is requested to send a Report within four months thereafter.</w:t>
      </w:r>
    </w:p>
    <w:p w:rsidR="000C7FBF" w:rsidRPr="00CB7231" w:rsidRDefault="000C7FBF" w:rsidP="000C7FBF">
      <w:pPr>
        <w:ind w:left="720"/>
        <w:jc w:val="both"/>
        <w:rPr>
          <w:szCs w:val="20"/>
        </w:rPr>
      </w:pPr>
    </w:p>
    <w:p w:rsidR="00CB7231" w:rsidRDefault="00CB7231" w:rsidP="000C7FBF">
      <w:pPr>
        <w:jc w:val="right"/>
        <w:rPr>
          <w:szCs w:val="20"/>
        </w:rPr>
      </w:pPr>
      <w:r w:rsidRPr="00CB7231">
        <w:rPr>
          <w:szCs w:val="20"/>
        </w:rPr>
        <w:t>List after five months."</w:t>
      </w:r>
    </w:p>
    <w:p w:rsidR="000C7FBF" w:rsidRPr="00CB7231" w:rsidRDefault="000C7FBF" w:rsidP="000C7FBF">
      <w:pPr>
        <w:jc w:val="right"/>
        <w:rPr>
          <w:szCs w:val="20"/>
        </w:rPr>
      </w:pPr>
    </w:p>
    <w:p w:rsidR="00CB7231" w:rsidRPr="00CB7231" w:rsidRDefault="000C7FBF" w:rsidP="00CB7231">
      <w:pPr>
        <w:jc w:val="both"/>
        <w:rPr>
          <w:szCs w:val="20"/>
        </w:rPr>
      </w:pPr>
      <w:r>
        <w:rPr>
          <w:szCs w:val="20"/>
        </w:rPr>
        <w:t xml:space="preserve">7. Hon'ble </w:t>
      </w:r>
      <w:r w:rsidR="00CB7231" w:rsidRPr="00CB7231">
        <w:rPr>
          <w:szCs w:val="20"/>
        </w:rPr>
        <w:t>Mr. Justice AR Ramalingam, Former Judge of the</w:t>
      </w:r>
      <w:r>
        <w:rPr>
          <w:szCs w:val="20"/>
        </w:rPr>
        <w:t xml:space="preserve"> High </w:t>
      </w:r>
      <w:r w:rsidR="00CB7231" w:rsidRPr="00CB7231">
        <w:rPr>
          <w:szCs w:val="20"/>
        </w:rPr>
        <w:t>Court of</w:t>
      </w:r>
      <w:r w:rsidR="00CB7231" w:rsidRPr="00CB7231">
        <w:rPr>
          <w:szCs w:val="20"/>
        </w:rPr>
        <w:tab/>
        <w:t>Madras, has accordingly conducted an inquiry and</w:t>
      </w:r>
      <w:r w:rsidR="0016123D">
        <w:rPr>
          <w:szCs w:val="20"/>
        </w:rPr>
        <w:t xml:space="preserve"> </w:t>
      </w:r>
      <w:r w:rsidR="00CB7231" w:rsidRPr="00CB7231">
        <w:rPr>
          <w:szCs w:val="20"/>
        </w:rPr>
        <w:t>submitted a report to this Court. We do not propose to go into the merits of the said Report. In case the respondents are of the view that the said Report is otherwise faulty, it is for them to pursue their remedies in appropriate proceedings before the appropriate forum.</w:t>
      </w:r>
    </w:p>
    <w:p w:rsidR="0016123D" w:rsidRDefault="0016123D" w:rsidP="00CB7231">
      <w:pPr>
        <w:jc w:val="both"/>
        <w:rPr>
          <w:szCs w:val="20"/>
        </w:rPr>
      </w:pPr>
    </w:p>
    <w:p w:rsidR="00CB7231" w:rsidRDefault="0016123D" w:rsidP="00CB7231">
      <w:pPr>
        <w:jc w:val="both"/>
        <w:rPr>
          <w:szCs w:val="20"/>
        </w:rPr>
      </w:pPr>
      <w:r>
        <w:rPr>
          <w:szCs w:val="20"/>
        </w:rPr>
        <w:t xml:space="preserve">8. </w:t>
      </w:r>
      <w:r w:rsidR="00CB7231" w:rsidRPr="00CB7231">
        <w:rPr>
          <w:szCs w:val="20"/>
        </w:rPr>
        <w:t>However,</w:t>
      </w:r>
      <w:r w:rsidR="00CB7231" w:rsidRPr="00CB7231">
        <w:rPr>
          <w:szCs w:val="20"/>
        </w:rPr>
        <w:tab/>
        <w:t>we hasten to make it clear that the objection</w:t>
      </w:r>
      <w:r>
        <w:rPr>
          <w:szCs w:val="20"/>
        </w:rPr>
        <w:t xml:space="preserve"> </w:t>
      </w:r>
      <w:r w:rsidR="00CB7231" w:rsidRPr="00CB7231">
        <w:rPr>
          <w:szCs w:val="20"/>
        </w:rPr>
        <w:t>that the said Report cannot override the judgment of the court(s), cannot be appreciated since all the parties voluntarily agreed to refer the dispute to Hon'ble judge for an appropriate inquiry after complying with the principles of natural justice.</w:t>
      </w:r>
    </w:p>
    <w:p w:rsidR="0016123D" w:rsidRPr="00CB7231" w:rsidRDefault="0016123D" w:rsidP="00CB7231">
      <w:pPr>
        <w:jc w:val="both"/>
        <w:rPr>
          <w:szCs w:val="20"/>
        </w:rPr>
      </w:pPr>
    </w:p>
    <w:p w:rsidR="00CB7231" w:rsidRDefault="0016123D" w:rsidP="00CB7231">
      <w:pPr>
        <w:jc w:val="both"/>
        <w:rPr>
          <w:szCs w:val="20"/>
        </w:rPr>
      </w:pPr>
      <w:r>
        <w:rPr>
          <w:szCs w:val="20"/>
        </w:rPr>
        <w:t xml:space="preserve">9. </w:t>
      </w:r>
      <w:r w:rsidR="00CB7231" w:rsidRPr="00CB7231">
        <w:rPr>
          <w:szCs w:val="20"/>
        </w:rPr>
        <w:t>W</w:t>
      </w:r>
      <w:r>
        <w:rPr>
          <w:szCs w:val="20"/>
        </w:rPr>
        <w:t xml:space="preserve">e also </w:t>
      </w:r>
      <w:r w:rsidR="00CB7231" w:rsidRPr="00CB7231">
        <w:rPr>
          <w:szCs w:val="20"/>
        </w:rPr>
        <w:t>make it clear that this judgment shall not stand</w:t>
      </w:r>
      <w:r>
        <w:rPr>
          <w:szCs w:val="20"/>
        </w:rPr>
        <w:t xml:space="preserve"> </w:t>
      </w:r>
      <w:r w:rsidR="00CB7231" w:rsidRPr="00CB7231">
        <w:rPr>
          <w:szCs w:val="20"/>
        </w:rPr>
        <w:t>in the way of the respondents otherwise taking appropriate recourse open to the respondents under the law for membership in the appellant-Association.</w:t>
      </w:r>
    </w:p>
    <w:p w:rsidR="0016123D" w:rsidRPr="00CB7231" w:rsidRDefault="0016123D" w:rsidP="00CB7231">
      <w:pPr>
        <w:jc w:val="both"/>
        <w:rPr>
          <w:szCs w:val="20"/>
        </w:rPr>
      </w:pPr>
    </w:p>
    <w:p w:rsidR="00CB7231" w:rsidRDefault="0016123D" w:rsidP="00CB7231">
      <w:pPr>
        <w:jc w:val="both"/>
        <w:rPr>
          <w:szCs w:val="20"/>
        </w:rPr>
      </w:pPr>
      <w:r>
        <w:rPr>
          <w:szCs w:val="20"/>
        </w:rPr>
        <w:t>10.</w:t>
      </w:r>
      <w:r w:rsidR="00CB7231" w:rsidRPr="00CB7231">
        <w:rPr>
          <w:szCs w:val="20"/>
        </w:rPr>
        <w:t xml:space="preserve"> It will also be open to the respondents to offer an unconditional apology for whatever inappropriate conduct on their part and seek membership in the appellant-Association in which case we are sure that the appellant-Association will magnanimously consider their applications.</w:t>
      </w:r>
    </w:p>
    <w:p w:rsidR="0016123D" w:rsidRPr="00CB7231" w:rsidRDefault="0016123D" w:rsidP="00CB7231">
      <w:pPr>
        <w:jc w:val="both"/>
        <w:rPr>
          <w:szCs w:val="20"/>
        </w:rPr>
      </w:pPr>
    </w:p>
    <w:p w:rsidR="00CB7231" w:rsidRPr="00CB7231" w:rsidRDefault="0016123D" w:rsidP="00CB7231">
      <w:pPr>
        <w:jc w:val="both"/>
        <w:rPr>
          <w:szCs w:val="20"/>
        </w:rPr>
      </w:pPr>
      <w:r>
        <w:rPr>
          <w:szCs w:val="20"/>
        </w:rPr>
        <w:t>11.</w:t>
      </w:r>
      <w:r w:rsidR="00CB7231" w:rsidRPr="00CB7231">
        <w:rPr>
          <w:szCs w:val="20"/>
        </w:rPr>
        <w:t xml:space="preserve"> We further make it clear that we have otherwise considered the matter on merits.</w:t>
      </w:r>
    </w:p>
    <w:p w:rsidR="00CB7231" w:rsidRPr="00CB7231" w:rsidRDefault="0016123D" w:rsidP="00CB7231">
      <w:pPr>
        <w:jc w:val="both"/>
        <w:rPr>
          <w:szCs w:val="20"/>
        </w:rPr>
      </w:pPr>
      <w:r>
        <w:rPr>
          <w:szCs w:val="20"/>
        </w:rPr>
        <w:t>12.</w:t>
      </w:r>
      <w:r w:rsidR="00CB7231" w:rsidRPr="00CB7231">
        <w:rPr>
          <w:szCs w:val="20"/>
        </w:rPr>
        <w:t xml:space="preserve"> The appeal is accordingly disposed of.</w:t>
      </w:r>
    </w:p>
    <w:p w:rsidR="0016123D" w:rsidRDefault="0016123D" w:rsidP="0016123D">
      <w:pPr>
        <w:jc w:val="both"/>
        <w:rPr>
          <w:szCs w:val="20"/>
        </w:rPr>
      </w:pPr>
    </w:p>
    <w:p w:rsidR="0016123D" w:rsidRDefault="0016123D" w:rsidP="0016123D">
      <w:pPr>
        <w:jc w:val="both"/>
        <w:rPr>
          <w:szCs w:val="20"/>
        </w:rPr>
      </w:pPr>
    </w:p>
    <w:p w:rsidR="0016123D" w:rsidRPr="00CB7231" w:rsidRDefault="0016123D" w:rsidP="0016123D">
      <w:pPr>
        <w:jc w:val="both"/>
        <w:rPr>
          <w:szCs w:val="20"/>
        </w:rPr>
      </w:pPr>
    </w:p>
    <w:p w:rsidR="00474ECE" w:rsidRPr="00CB7231" w:rsidRDefault="00474ECE" w:rsidP="00CB7231">
      <w:pPr>
        <w:jc w:val="both"/>
        <w:rPr>
          <w:szCs w:val="20"/>
        </w:rPr>
      </w:pPr>
    </w:p>
    <w:sectPr w:rsidR="00474ECE" w:rsidRPr="00CB72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352" w:rsidRDefault="005A6352" w:rsidP="00CF3BB7">
      <w:r>
        <w:separator/>
      </w:r>
    </w:p>
  </w:endnote>
  <w:endnote w:type="continuationSeparator" w:id="1">
    <w:p w:rsidR="005A6352" w:rsidRDefault="005A63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5A6352">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352" w:rsidRDefault="005A6352" w:rsidP="00CF3BB7">
      <w:r>
        <w:separator/>
      </w:r>
    </w:p>
  </w:footnote>
  <w:footnote w:type="continuationSeparator" w:id="1">
    <w:p w:rsidR="005A6352" w:rsidRDefault="005A63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FBF"/>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123D"/>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6352"/>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9D8"/>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7231"/>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0CC"/>
    <w:rsid w:val="00D957A3"/>
    <w:rsid w:val="00D963D8"/>
    <w:rsid w:val="00D976B8"/>
    <w:rsid w:val="00D976DF"/>
    <w:rsid w:val="00D979EB"/>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2018-09-13T07:24:00Z</cp:lastPrinted>
  <dcterms:created xsi:type="dcterms:W3CDTF">2018-09-13T08:23:00Z</dcterms:created>
  <dcterms:modified xsi:type="dcterms:W3CDTF">2018-09-13T08:23:00Z</dcterms:modified>
</cp:coreProperties>
</file>