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5C3" w:rsidRPr="000155C3" w:rsidRDefault="000155C3" w:rsidP="000155C3">
      <w:pPr>
        <w:jc w:val="center"/>
        <w:rPr>
          <w:b/>
          <w:bCs/>
          <w:szCs w:val="20"/>
        </w:rPr>
      </w:pPr>
      <w:r w:rsidRPr="000155C3">
        <w:rPr>
          <w:b/>
          <w:bCs/>
          <w:szCs w:val="20"/>
        </w:rPr>
        <w:t>SUPREME COURT OF INDIA</w:t>
      </w:r>
    </w:p>
    <w:p w:rsidR="000155C3" w:rsidRPr="000155C3" w:rsidRDefault="000155C3" w:rsidP="000155C3">
      <w:pPr>
        <w:jc w:val="center"/>
        <w:rPr>
          <w:szCs w:val="20"/>
        </w:rPr>
      </w:pPr>
    </w:p>
    <w:p w:rsidR="000155C3" w:rsidRDefault="000155C3" w:rsidP="000155C3">
      <w:pPr>
        <w:jc w:val="center"/>
        <w:rPr>
          <w:szCs w:val="20"/>
        </w:rPr>
      </w:pPr>
      <w:r w:rsidRPr="000155C3">
        <w:rPr>
          <w:szCs w:val="20"/>
        </w:rPr>
        <w:t>Santosh Devi</w:t>
      </w:r>
    </w:p>
    <w:p w:rsidR="000155C3" w:rsidRDefault="000155C3" w:rsidP="000155C3">
      <w:pPr>
        <w:jc w:val="center"/>
        <w:rPr>
          <w:szCs w:val="20"/>
        </w:rPr>
      </w:pPr>
    </w:p>
    <w:p w:rsidR="000155C3" w:rsidRDefault="000155C3" w:rsidP="000155C3">
      <w:pPr>
        <w:jc w:val="center"/>
        <w:rPr>
          <w:szCs w:val="20"/>
        </w:rPr>
      </w:pPr>
      <w:r>
        <w:rPr>
          <w:szCs w:val="20"/>
        </w:rPr>
        <w:t>Vs.</w:t>
      </w:r>
    </w:p>
    <w:p w:rsidR="000155C3" w:rsidRPr="000155C3" w:rsidRDefault="000155C3" w:rsidP="000155C3">
      <w:pPr>
        <w:jc w:val="center"/>
        <w:rPr>
          <w:szCs w:val="20"/>
        </w:rPr>
      </w:pPr>
    </w:p>
    <w:p w:rsidR="000155C3" w:rsidRDefault="000155C3" w:rsidP="000155C3">
      <w:pPr>
        <w:jc w:val="center"/>
        <w:rPr>
          <w:szCs w:val="20"/>
        </w:rPr>
      </w:pPr>
      <w:r w:rsidRPr="000155C3">
        <w:rPr>
          <w:szCs w:val="20"/>
        </w:rPr>
        <w:t>Mahaveer Singh</w:t>
      </w:r>
    </w:p>
    <w:p w:rsidR="000155C3" w:rsidRDefault="000155C3" w:rsidP="000155C3">
      <w:pPr>
        <w:jc w:val="center"/>
        <w:rPr>
          <w:szCs w:val="20"/>
        </w:rPr>
      </w:pPr>
    </w:p>
    <w:p w:rsidR="000155C3" w:rsidRDefault="000155C3" w:rsidP="000155C3">
      <w:pPr>
        <w:jc w:val="center"/>
        <w:rPr>
          <w:szCs w:val="20"/>
        </w:rPr>
      </w:pPr>
      <w:r>
        <w:rPr>
          <w:szCs w:val="20"/>
        </w:rPr>
        <w:t xml:space="preserve">C.A.No.7279 of </w:t>
      </w:r>
      <w:r w:rsidRPr="000155C3">
        <w:rPr>
          <w:szCs w:val="20"/>
        </w:rPr>
        <w:t>2018</w:t>
      </w:r>
    </w:p>
    <w:p w:rsidR="000155C3" w:rsidRDefault="000155C3" w:rsidP="000155C3">
      <w:pPr>
        <w:jc w:val="center"/>
        <w:rPr>
          <w:szCs w:val="20"/>
        </w:rPr>
      </w:pPr>
    </w:p>
    <w:p w:rsidR="000155C3" w:rsidRDefault="000155C3" w:rsidP="000155C3">
      <w:pPr>
        <w:jc w:val="center"/>
        <w:rPr>
          <w:szCs w:val="20"/>
        </w:rPr>
      </w:pPr>
      <w:r>
        <w:rPr>
          <w:szCs w:val="20"/>
        </w:rPr>
        <w:t>(Dipak Misra,CJI., A.M.Khanwilkar and Dr.D.Y.Chandrachud,JJ.,)</w:t>
      </w:r>
    </w:p>
    <w:p w:rsidR="000155C3" w:rsidRDefault="000155C3" w:rsidP="000155C3">
      <w:pPr>
        <w:jc w:val="center"/>
        <w:rPr>
          <w:szCs w:val="20"/>
        </w:rPr>
      </w:pPr>
    </w:p>
    <w:p w:rsidR="000155C3" w:rsidRDefault="000155C3" w:rsidP="000155C3">
      <w:pPr>
        <w:jc w:val="center"/>
        <w:rPr>
          <w:szCs w:val="20"/>
        </w:rPr>
      </w:pPr>
      <w:r>
        <w:rPr>
          <w:szCs w:val="20"/>
        </w:rPr>
        <w:t>09.08.2018</w:t>
      </w:r>
    </w:p>
    <w:p w:rsidR="000155C3" w:rsidRDefault="000155C3" w:rsidP="000155C3">
      <w:pPr>
        <w:jc w:val="center"/>
        <w:rPr>
          <w:szCs w:val="20"/>
        </w:rPr>
      </w:pPr>
    </w:p>
    <w:p w:rsidR="000155C3" w:rsidRPr="000155C3" w:rsidRDefault="000155C3" w:rsidP="000155C3">
      <w:pPr>
        <w:jc w:val="center"/>
        <w:rPr>
          <w:b/>
          <w:bCs/>
          <w:szCs w:val="20"/>
        </w:rPr>
      </w:pPr>
      <w:r w:rsidRPr="000155C3">
        <w:rPr>
          <w:b/>
          <w:bCs/>
          <w:szCs w:val="20"/>
        </w:rPr>
        <w:t>JUDGMENT</w:t>
      </w:r>
    </w:p>
    <w:p w:rsidR="000155C3" w:rsidRPr="000155C3" w:rsidRDefault="000155C3" w:rsidP="000155C3">
      <w:pPr>
        <w:jc w:val="both"/>
        <w:rPr>
          <w:b/>
          <w:bCs/>
          <w:szCs w:val="20"/>
        </w:rPr>
      </w:pPr>
    </w:p>
    <w:p w:rsidR="000155C3" w:rsidRDefault="000155C3" w:rsidP="000155C3">
      <w:pPr>
        <w:jc w:val="both"/>
        <w:rPr>
          <w:b/>
          <w:bCs/>
          <w:szCs w:val="20"/>
        </w:rPr>
      </w:pPr>
      <w:r w:rsidRPr="000155C3">
        <w:rPr>
          <w:b/>
          <w:bCs/>
          <w:szCs w:val="20"/>
        </w:rPr>
        <w:t>Dr D.Y.Chandrachud,J.,</w:t>
      </w:r>
    </w:p>
    <w:p w:rsidR="000155C3" w:rsidRPr="000155C3" w:rsidRDefault="000155C3" w:rsidP="000155C3">
      <w:pPr>
        <w:jc w:val="both"/>
        <w:rPr>
          <w:b/>
          <w:bCs/>
          <w:szCs w:val="20"/>
        </w:rPr>
      </w:pPr>
    </w:p>
    <w:p w:rsidR="000155C3" w:rsidRDefault="000155C3" w:rsidP="000155C3">
      <w:pPr>
        <w:jc w:val="both"/>
        <w:rPr>
          <w:szCs w:val="20"/>
        </w:rPr>
      </w:pPr>
      <w:r>
        <w:rPr>
          <w:szCs w:val="20"/>
        </w:rPr>
        <w:t>SLP (C) No.17164 of 2016</w:t>
      </w:r>
    </w:p>
    <w:p w:rsidR="000155C3" w:rsidRPr="000155C3" w:rsidRDefault="000155C3" w:rsidP="000155C3">
      <w:pPr>
        <w:jc w:val="both"/>
        <w:rPr>
          <w:szCs w:val="20"/>
        </w:rPr>
      </w:pPr>
    </w:p>
    <w:p w:rsidR="000155C3" w:rsidRPr="000155C3" w:rsidRDefault="000155C3" w:rsidP="000155C3">
      <w:pPr>
        <w:jc w:val="both"/>
        <w:rPr>
          <w:szCs w:val="20"/>
        </w:rPr>
      </w:pPr>
      <w:r w:rsidRPr="000155C3">
        <w:rPr>
          <w:szCs w:val="20"/>
        </w:rPr>
        <w:t>1</w:t>
      </w:r>
      <w:r>
        <w:rPr>
          <w:szCs w:val="20"/>
        </w:rPr>
        <w:t>.</w:t>
      </w:r>
      <w:r w:rsidRPr="000155C3">
        <w:rPr>
          <w:szCs w:val="20"/>
        </w:rPr>
        <w:t xml:space="preserve"> The present appeal arises from a judgment of a learned Single Judge of the Punjab and Haryana High Court at Chandigarh in a first appeal against an award of the Motor Accident Claims Tribunal, Hissar.</w:t>
      </w:r>
    </w:p>
    <w:p w:rsidR="000155C3" w:rsidRDefault="000155C3" w:rsidP="000155C3">
      <w:pPr>
        <w:jc w:val="both"/>
        <w:rPr>
          <w:szCs w:val="20"/>
        </w:rPr>
      </w:pPr>
    </w:p>
    <w:p w:rsidR="000155C3" w:rsidRPr="000155C3" w:rsidRDefault="000155C3" w:rsidP="000155C3">
      <w:pPr>
        <w:jc w:val="both"/>
        <w:rPr>
          <w:szCs w:val="20"/>
        </w:rPr>
      </w:pPr>
      <w:r w:rsidRPr="000155C3">
        <w:rPr>
          <w:szCs w:val="20"/>
        </w:rPr>
        <w:t>2</w:t>
      </w:r>
      <w:r>
        <w:rPr>
          <w:szCs w:val="20"/>
        </w:rPr>
        <w:t>.</w:t>
      </w:r>
      <w:r w:rsidRPr="000155C3">
        <w:rPr>
          <w:szCs w:val="20"/>
        </w:rPr>
        <w:t xml:space="preserve"> The appellants are the wife and children of Puran Chand, who met with a road accident on 30 December 1992. A government Jeep, bearing Registration No. HYH- 100 dashed into his moped, bearing Registration No. HR-20-A-7236. Puran Chand sustained grievous injuries and died.</w:t>
      </w:r>
    </w:p>
    <w:p w:rsidR="000155C3" w:rsidRDefault="000155C3" w:rsidP="000155C3">
      <w:pPr>
        <w:jc w:val="both"/>
        <w:rPr>
          <w:szCs w:val="20"/>
        </w:rPr>
      </w:pPr>
    </w:p>
    <w:p w:rsidR="000155C3" w:rsidRDefault="000155C3" w:rsidP="000155C3">
      <w:pPr>
        <w:jc w:val="both"/>
        <w:rPr>
          <w:szCs w:val="20"/>
        </w:rPr>
      </w:pPr>
      <w:r>
        <w:rPr>
          <w:szCs w:val="20"/>
        </w:rPr>
        <w:t xml:space="preserve">3. </w:t>
      </w:r>
      <w:r w:rsidRPr="000155C3">
        <w:rPr>
          <w:szCs w:val="20"/>
        </w:rPr>
        <w:t>The appellants filed a claim petition under Section 166 of the Motor Vehicles Act, 1988 before the MACT, seeking compensation of Rs. 10 lakhs. The MACT found that the Jeep was being driven rashly and negligently by the first Respondent on the wrong side of the road. The deceased was aged 38 years at the time of his death and was in the business of selling desi ghee and namkin bhujia. The appellants claimed that the monthly income of the deceased was Rs. 3,500. The MACT, however, held that the deceased was working in a small village; his shop bore no name; he was not paying tax, hence his income was assessed at Rs. 1,200 per month. Accordingly, the appellants were awarded an amount of Rs. 1,15,200 after applying a multiplier of 12, along with interest at 15 per cent per annum.</w:t>
      </w:r>
    </w:p>
    <w:p w:rsidR="000155C3" w:rsidRPr="000155C3" w:rsidRDefault="000155C3" w:rsidP="000155C3">
      <w:pPr>
        <w:jc w:val="both"/>
        <w:rPr>
          <w:szCs w:val="20"/>
        </w:rPr>
      </w:pPr>
    </w:p>
    <w:p w:rsidR="000155C3" w:rsidRDefault="000155C3" w:rsidP="000155C3">
      <w:pPr>
        <w:jc w:val="both"/>
        <w:rPr>
          <w:szCs w:val="20"/>
        </w:rPr>
      </w:pPr>
      <w:r>
        <w:rPr>
          <w:szCs w:val="20"/>
        </w:rPr>
        <w:t>4.</w:t>
      </w:r>
      <w:r w:rsidRPr="000155C3">
        <w:rPr>
          <w:szCs w:val="20"/>
        </w:rPr>
        <w:t xml:space="preserve"> In appeal, the High Court applied a multiplier of 15 and increased the compensation to Rs. 1,85,000. However, interest was reduced to 8 per cent per annum.</w:t>
      </w:r>
    </w:p>
    <w:p w:rsidR="000155C3" w:rsidRPr="000155C3" w:rsidRDefault="000155C3" w:rsidP="000155C3">
      <w:pPr>
        <w:jc w:val="both"/>
        <w:rPr>
          <w:szCs w:val="20"/>
        </w:rPr>
      </w:pPr>
    </w:p>
    <w:p w:rsidR="000155C3" w:rsidRDefault="000155C3" w:rsidP="000155C3">
      <w:pPr>
        <w:jc w:val="both"/>
        <w:rPr>
          <w:szCs w:val="20"/>
        </w:rPr>
      </w:pPr>
      <w:r>
        <w:rPr>
          <w:szCs w:val="20"/>
        </w:rPr>
        <w:t xml:space="preserve">5. </w:t>
      </w:r>
      <w:r w:rsidRPr="000155C3">
        <w:rPr>
          <w:szCs w:val="20"/>
        </w:rPr>
        <w:t>The learned counsel appearing on behalf of the appellants assailed the judgment of the High Court on the following grounds:</w:t>
      </w:r>
    </w:p>
    <w:p w:rsidR="000155C3" w:rsidRPr="000155C3" w:rsidRDefault="000155C3" w:rsidP="000155C3">
      <w:pPr>
        <w:jc w:val="both"/>
        <w:rPr>
          <w:szCs w:val="20"/>
        </w:rPr>
      </w:pPr>
    </w:p>
    <w:p w:rsidR="000155C3" w:rsidRPr="000155C3" w:rsidRDefault="000155C3" w:rsidP="000155C3">
      <w:pPr>
        <w:ind w:left="720"/>
        <w:jc w:val="both"/>
        <w:rPr>
          <w:szCs w:val="20"/>
        </w:rPr>
      </w:pPr>
      <w:r>
        <w:rPr>
          <w:szCs w:val="20"/>
        </w:rPr>
        <w:lastRenderedPageBreak/>
        <w:t xml:space="preserve">i. </w:t>
      </w:r>
      <w:r w:rsidRPr="000155C3">
        <w:rPr>
          <w:szCs w:val="20"/>
        </w:rPr>
        <w:t xml:space="preserve"> The High Court ought to have applied a multiplier of 16 since the deceased was 38 years of age;</w:t>
      </w:r>
    </w:p>
    <w:p w:rsidR="000155C3" w:rsidRDefault="000155C3" w:rsidP="000155C3">
      <w:pPr>
        <w:ind w:left="720"/>
        <w:jc w:val="both"/>
        <w:rPr>
          <w:szCs w:val="20"/>
        </w:rPr>
      </w:pPr>
    </w:p>
    <w:p w:rsidR="000155C3" w:rsidRPr="000155C3" w:rsidRDefault="000155C3" w:rsidP="000155C3">
      <w:pPr>
        <w:ind w:left="720"/>
        <w:jc w:val="both"/>
        <w:rPr>
          <w:szCs w:val="20"/>
        </w:rPr>
      </w:pPr>
      <w:r>
        <w:rPr>
          <w:szCs w:val="20"/>
        </w:rPr>
        <w:t xml:space="preserve">ii. </w:t>
      </w:r>
      <w:r w:rsidRPr="000155C3">
        <w:rPr>
          <w:szCs w:val="20"/>
        </w:rPr>
        <w:t xml:space="preserve"> The High Court should not have made a deduction of more than 10% for personal expenses;</w:t>
      </w:r>
    </w:p>
    <w:p w:rsidR="000155C3" w:rsidRDefault="000155C3" w:rsidP="000155C3">
      <w:pPr>
        <w:ind w:left="720"/>
        <w:jc w:val="both"/>
        <w:rPr>
          <w:szCs w:val="20"/>
        </w:rPr>
      </w:pPr>
    </w:p>
    <w:p w:rsidR="000155C3" w:rsidRPr="000155C3" w:rsidRDefault="000155C3" w:rsidP="000155C3">
      <w:pPr>
        <w:ind w:left="720"/>
        <w:jc w:val="both"/>
        <w:rPr>
          <w:szCs w:val="20"/>
        </w:rPr>
      </w:pPr>
      <w:r>
        <w:rPr>
          <w:szCs w:val="20"/>
        </w:rPr>
        <w:t xml:space="preserve">iii. </w:t>
      </w:r>
      <w:r w:rsidRPr="000155C3">
        <w:rPr>
          <w:szCs w:val="20"/>
        </w:rPr>
        <w:t xml:space="preserve"> The High Court and the MACT erred in determining the income of the deceased at Rs. 1,200 per month whereas the deceased was earning</w:t>
      </w:r>
      <w:r>
        <w:rPr>
          <w:szCs w:val="20"/>
        </w:rPr>
        <w:t xml:space="preserve"> </w:t>
      </w:r>
      <w:r w:rsidRPr="000155C3">
        <w:rPr>
          <w:szCs w:val="20"/>
        </w:rPr>
        <w:t>Rs. 3,500 per month out of which, an amount of Rs. 3,000 was being spent for household expenditure;</w:t>
      </w:r>
    </w:p>
    <w:p w:rsidR="000155C3" w:rsidRDefault="000155C3" w:rsidP="000155C3">
      <w:pPr>
        <w:ind w:left="720"/>
        <w:jc w:val="both"/>
        <w:rPr>
          <w:szCs w:val="20"/>
        </w:rPr>
      </w:pPr>
    </w:p>
    <w:p w:rsidR="000155C3" w:rsidRDefault="000155C3" w:rsidP="000155C3">
      <w:pPr>
        <w:ind w:left="720"/>
        <w:jc w:val="both"/>
        <w:rPr>
          <w:szCs w:val="20"/>
        </w:rPr>
      </w:pPr>
      <w:r>
        <w:rPr>
          <w:szCs w:val="20"/>
        </w:rPr>
        <w:t xml:space="preserve">iv. </w:t>
      </w:r>
      <w:r w:rsidRPr="000155C3">
        <w:rPr>
          <w:szCs w:val="20"/>
        </w:rPr>
        <w:t>Accordingly, an amount of Rs. 16,34,600 should have been awarded to the appellants.</w:t>
      </w:r>
    </w:p>
    <w:p w:rsidR="000155C3" w:rsidRPr="000155C3" w:rsidRDefault="000155C3" w:rsidP="000155C3">
      <w:pPr>
        <w:ind w:left="720"/>
        <w:jc w:val="both"/>
        <w:rPr>
          <w:szCs w:val="20"/>
        </w:rPr>
      </w:pPr>
    </w:p>
    <w:p w:rsidR="000155C3" w:rsidRDefault="000155C3" w:rsidP="000155C3">
      <w:pPr>
        <w:jc w:val="both"/>
        <w:rPr>
          <w:szCs w:val="20"/>
        </w:rPr>
      </w:pPr>
      <w:r w:rsidRPr="000155C3">
        <w:rPr>
          <w:szCs w:val="20"/>
        </w:rPr>
        <w:t>6</w:t>
      </w:r>
      <w:r>
        <w:rPr>
          <w:szCs w:val="20"/>
        </w:rPr>
        <w:t xml:space="preserve">. </w:t>
      </w:r>
      <w:r w:rsidRPr="000155C3">
        <w:rPr>
          <w:szCs w:val="20"/>
        </w:rPr>
        <w:t xml:space="preserve"> Having considered the record, we are of the view that the assessment of income by the MACT at Rs 1,200 per month is on the lower side. Taking a realistic view, the income should have been assessed at Rs 2,500 per month having due regard to the nature of the business, the date of accident and all the circumstances of the case. The deceased was 38 years old and hence the correct multiplier would be 16. Following the decision of the Constitution Bench in National Insurance Company Limited v Pranay Sethi , an amount of 40 per cent is required to be added towards future prospects. Accordingly, the quantum of compensation is recomputed as follows:</w:t>
      </w:r>
    </w:p>
    <w:p w:rsidR="000155C3" w:rsidRPr="000155C3" w:rsidRDefault="000155C3" w:rsidP="000155C3">
      <w:pPr>
        <w:jc w:val="both"/>
        <w:rPr>
          <w:szCs w:val="20"/>
        </w:rPr>
      </w:pPr>
    </w:p>
    <w:p w:rsidR="000155C3" w:rsidRPr="000155C3" w:rsidRDefault="000155C3" w:rsidP="000155C3">
      <w:pPr>
        <w:ind w:left="720"/>
        <w:jc w:val="both"/>
        <w:rPr>
          <w:szCs w:val="20"/>
        </w:rPr>
      </w:pPr>
      <w:r>
        <w:rPr>
          <w:szCs w:val="20"/>
        </w:rPr>
        <w:t xml:space="preserve">• </w:t>
      </w:r>
      <w:r w:rsidRPr="000155C3">
        <w:rPr>
          <w:szCs w:val="20"/>
        </w:rPr>
        <w:t xml:space="preserve"> Monthly income : Rs 2,500</w:t>
      </w:r>
    </w:p>
    <w:p w:rsidR="000155C3" w:rsidRDefault="000155C3" w:rsidP="000155C3">
      <w:pPr>
        <w:ind w:left="720"/>
        <w:jc w:val="both"/>
        <w:rPr>
          <w:szCs w:val="20"/>
        </w:rPr>
      </w:pPr>
    </w:p>
    <w:p w:rsidR="000155C3" w:rsidRPr="000155C3" w:rsidRDefault="000155C3" w:rsidP="000155C3">
      <w:pPr>
        <w:ind w:left="720"/>
        <w:jc w:val="both"/>
        <w:rPr>
          <w:szCs w:val="20"/>
        </w:rPr>
      </w:pPr>
      <w:r>
        <w:rPr>
          <w:szCs w:val="20"/>
        </w:rPr>
        <w:t xml:space="preserve">• </w:t>
      </w:r>
      <w:r w:rsidRPr="000155C3">
        <w:rPr>
          <w:szCs w:val="20"/>
        </w:rPr>
        <w:t>Annual income : Rs 30,000</w:t>
      </w:r>
    </w:p>
    <w:p w:rsidR="000155C3" w:rsidRDefault="000155C3" w:rsidP="000155C3">
      <w:pPr>
        <w:ind w:left="720"/>
        <w:jc w:val="both"/>
        <w:rPr>
          <w:szCs w:val="20"/>
        </w:rPr>
      </w:pPr>
    </w:p>
    <w:p w:rsidR="000155C3" w:rsidRPr="000155C3" w:rsidRDefault="000155C3" w:rsidP="000155C3">
      <w:pPr>
        <w:ind w:left="720"/>
        <w:jc w:val="both"/>
        <w:rPr>
          <w:szCs w:val="20"/>
        </w:rPr>
      </w:pPr>
      <w:r>
        <w:rPr>
          <w:szCs w:val="20"/>
        </w:rPr>
        <w:t xml:space="preserve">• </w:t>
      </w:r>
      <w:r w:rsidRPr="000155C3">
        <w:rPr>
          <w:szCs w:val="20"/>
        </w:rPr>
        <w:t xml:space="preserve"> Deduction of one-third for personal expenses : Rs 10,000</w:t>
      </w:r>
    </w:p>
    <w:p w:rsidR="000155C3" w:rsidRDefault="000155C3" w:rsidP="000155C3">
      <w:pPr>
        <w:ind w:left="720"/>
        <w:jc w:val="both"/>
        <w:rPr>
          <w:szCs w:val="20"/>
        </w:rPr>
      </w:pPr>
    </w:p>
    <w:p w:rsidR="000155C3" w:rsidRPr="000155C3" w:rsidRDefault="000155C3" w:rsidP="000155C3">
      <w:pPr>
        <w:ind w:left="720"/>
        <w:jc w:val="both"/>
        <w:rPr>
          <w:szCs w:val="20"/>
        </w:rPr>
      </w:pPr>
      <w:r>
        <w:rPr>
          <w:szCs w:val="20"/>
        </w:rPr>
        <w:t xml:space="preserve">• </w:t>
      </w:r>
      <w:r w:rsidRPr="000155C3">
        <w:rPr>
          <w:szCs w:val="20"/>
        </w:rPr>
        <w:t xml:space="preserve"> Net annual income : Rs 20,000</w:t>
      </w:r>
    </w:p>
    <w:p w:rsidR="000155C3" w:rsidRDefault="000155C3" w:rsidP="000155C3">
      <w:pPr>
        <w:ind w:left="720"/>
        <w:jc w:val="both"/>
        <w:rPr>
          <w:szCs w:val="20"/>
        </w:rPr>
      </w:pPr>
    </w:p>
    <w:p w:rsidR="000155C3" w:rsidRPr="000155C3" w:rsidRDefault="000155C3" w:rsidP="000155C3">
      <w:pPr>
        <w:ind w:left="720"/>
        <w:jc w:val="both"/>
        <w:rPr>
          <w:szCs w:val="20"/>
        </w:rPr>
      </w:pPr>
      <w:r>
        <w:rPr>
          <w:szCs w:val="20"/>
        </w:rPr>
        <w:t xml:space="preserve">• </w:t>
      </w:r>
      <w:r w:rsidRPr="000155C3">
        <w:rPr>
          <w:szCs w:val="20"/>
        </w:rPr>
        <w:t xml:space="preserve"> Future prospects at 40% : Rs 8,000</w:t>
      </w:r>
    </w:p>
    <w:p w:rsidR="000155C3" w:rsidRDefault="000155C3" w:rsidP="000155C3">
      <w:pPr>
        <w:ind w:left="720"/>
        <w:jc w:val="both"/>
        <w:rPr>
          <w:szCs w:val="20"/>
        </w:rPr>
      </w:pPr>
    </w:p>
    <w:p w:rsidR="000155C3" w:rsidRPr="000155C3" w:rsidRDefault="000155C3" w:rsidP="000155C3">
      <w:pPr>
        <w:ind w:left="720"/>
        <w:jc w:val="both"/>
        <w:rPr>
          <w:szCs w:val="20"/>
        </w:rPr>
      </w:pPr>
      <w:r>
        <w:rPr>
          <w:szCs w:val="20"/>
        </w:rPr>
        <w:t xml:space="preserve">• </w:t>
      </w:r>
      <w:r w:rsidRPr="000155C3">
        <w:rPr>
          <w:szCs w:val="20"/>
        </w:rPr>
        <w:t xml:space="preserve"> Total income : Rs 28,000</w:t>
      </w:r>
    </w:p>
    <w:p w:rsidR="000155C3" w:rsidRDefault="000155C3" w:rsidP="000155C3">
      <w:pPr>
        <w:ind w:left="720"/>
        <w:jc w:val="both"/>
        <w:rPr>
          <w:szCs w:val="20"/>
        </w:rPr>
      </w:pPr>
    </w:p>
    <w:p w:rsidR="000155C3" w:rsidRPr="000155C3" w:rsidRDefault="000155C3" w:rsidP="000155C3">
      <w:pPr>
        <w:ind w:left="720"/>
        <w:jc w:val="both"/>
        <w:rPr>
          <w:szCs w:val="20"/>
        </w:rPr>
      </w:pPr>
      <w:r>
        <w:rPr>
          <w:szCs w:val="20"/>
        </w:rPr>
        <w:t xml:space="preserve">• </w:t>
      </w:r>
      <w:r w:rsidRPr="000155C3">
        <w:rPr>
          <w:szCs w:val="20"/>
        </w:rPr>
        <w:t xml:space="preserve"> Multiplier : 16</w:t>
      </w:r>
    </w:p>
    <w:p w:rsidR="000155C3" w:rsidRDefault="000155C3" w:rsidP="000155C3">
      <w:pPr>
        <w:ind w:left="720"/>
        <w:jc w:val="both"/>
        <w:rPr>
          <w:szCs w:val="20"/>
        </w:rPr>
      </w:pPr>
    </w:p>
    <w:p w:rsidR="000155C3" w:rsidRPr="000155C3" w:rsidRDefault="000155C3" w:rsidP="000155C3">
      <w:pPr>
        <w:ind w:left="720"/>
        <w:jc w:val="both"/>
        <w:rPr>
          <w:szCs w:val="20"/>
        </w:rPr>
      </w:pPr>
      <w:r>
        <w:rPr>
          <w:szCs w:val="20"/>
        </w:rPr>
        <w:t xml:space="preserve">• </w:t>
      </w:r>
      <w:r w:rsidRPr="000155C3">
        <w:rPr>
          <w:szCs w:val="20"/>
        </w:rPr>
        <w:t>Total compensation for loss of dependency : Rs 4,48,000</w:t>
      </w:r>
    </w:p>
    <w:p w:rsidR="000155C3" w:rsidRDefault="000155C3" w:rsidP="000155C3">
      <w:pPr>
        <w:ind w:left="720"/>
        <w:jc w:val="both"/>
        <w:rPr>
          <w:szCs w:val="20"/>
        </w:rPr>
      </w:pPr>
    </w:p>
    <w:p w:rsidR="000155C3" w:rsidRPr="000155C3" w:rsidRDefault="000155C3" w:rsidP="000155C3">
      <w:pPr>
        <w:ind w:left="720"/>
        <w:jc w:val="both"/>
        <w:rPr>
          <w:szCs w:val="20"/>
        </w:rPr>
      </w:pPr>
      <w:r>
        <w:rPr>
          <w:szCs w:val="20"/>
        </w:rPr>
        <w:t xml:space="preserve">• </w:t>
      </w:r>
      <w:r w:rsidRPr="000155C3">
        <w:rPr>
          <w:szCs w:val="20"/>
        </w:rPr>
        <w:t>Addition for conventional heads in terms of Pranay Sethi:</w:t>
      </w:r>
      <w:r w:rsidRPr="000155C3">
        <w:rPr>
          <w:szCs w:val="20"/>
        </w:rPr>
        <w:tab/>
        <w:t>Rs</w:t>
      </w:r>
      <w:r w:rsidRPr="000155C3">
        <w:rPr>
          <w:szCs w:val="20"/>
        </w:rPr>
        <w:tab/>
        <w:t>75,000</w:t>
      </w:r>
    </w:p>
    <w:p w:rsidR="000155C3" w:rsidRDefault="000155C3" w:rsidP="000155C3">
      <w:pPr>
        <w:ind w:left="720"/>
        <w:jc w:val="both"/>
        <w:rPr>
          <w:szCs w:val="20"/>
        </w:rPr>
      </w:pPr>
    </w:p>
    <w:p w:rsidR="000155C3" w:rsidRDefault="000155C3" w:rsidP="000155C3">
      <w:pPr>
        <w:ind w:left="720"/>
        <w:jc w:val="both"/>
        <w:rPr>
          <w:szCs w:val="20"/>
        </w:rPr>
      </w:pPr>
      <w:r>
        <w:rPr>
          <w:szCs w:val="20"/>
        </w:rPr>
        <w:t xml:space="preserve">• </w:t>
      </w:r>
      <w:r w:rsidRPr="000155C3">
        <w:rPr>
          <w:szCs w:val="20"/>
        </w:rPr>
        <w:t>Total compensation : Rs 5,23,000</w:t>
      </w:r>
    </w:p>
    <w:p w:rsidR="000155C3" w:rsidRPr="000155C3" w:rsidRDefault="000155C3" w:rsidP="000155C3">
      <w:pPr>
        <w:jc w:val="both"/>
        <w:rPr>
          <w:szCs w:val="20"/>
        </w:rPr>
      </w:pPr>
    </w:p>
    <w:p w:rsidR="000155C3" w:rsidRDefault="000155C3" w:rsidP="000155C3">
      <w:pPr>
        <w:jc w:val="both"/>
        <w:rPr>
          <w:szCs w:val="20"/>
        </w:rPr>
      </w:pPr>
      <w:r>
        <w:rPr>
          <w:szCs w:val="20"/>
        </w:rPr>
        <w:t xml:space="preserve">7. </w:t>
      </w:r>
      <w:r w:rsidRPr="000155C3">
        <w:rPr>
          <w:szCs w:val="20"/>
        </w:rPr>
        <w:t>The appellants would be enti</w:t>
      </w:r>
      <w:r>
        <w:rPr>
          <w:szCs w:val="20"/>
        </w:rPr>
        <w:t xml:space="preserve">tled to interest at the rate of </w:t>
      </w:r>
      <w:r w:rsidRPr="000155C3">
        <w:rPr>
          <w:szCs w:val="20"/>
        </w:rPr>
        <w:t>9</w:t>
      </w:r>
      <w:r w:rsidRPr="000155C3">
        <w:rPr>
          <w:szCs w:val="20"/>
        </w:rPr>
        <w:tab/>
        <w:t>per cent per</w:t>
      </w:r>
      <w:r>
        <w:rPr>
          <w:szCs w:val="20"/>
        </w:rPr>
        <w:t xml:space="preserve"> </w:t>
      </w:r>
      <w:r w:rsidRPr="000155C3">
        <w:rPr>
          <w:szCs w:val="20"/>
        </w:rPr>
        <w:t>annum from the date of the petition until payment.</w:t>
      </w:r>
    </w:p>
    <w:p w:rsidR="000155C3" w:rsidRPr="000155C3" w:rsidRDefault="000155C3" w:rsidP="000155C3">
      <w:pPr>
        <w:jc w:val="both"/>
        <w:rPr>
          <w:szCs w:val="20"/>
        </w:rPr>
      </w:pPr>
    </w:p>
    <w:p w:rsidR="000155C3" w:rsidRDefault="000155C3" w:rsidP="000155C3">
      <w:pPr>
        <w:jc w:val="both"/>
        <w:rPr>
          <w:szCs w:val="20"/>
        </w:rPr>
      </w:pPr>
      <w:r>
        <w:rPr>
          <w:szCs w:val="20"/>
        </w:rPr>
        <w:t xml:space="preserve">8. </w:t>
      </w:r>
      <w:r w:rsidRPr="000155C3">
        <w:rPr>
          <w:szCs w:val="20"/>
        </w:rPr>
        <w:t xml:space="preserve"> The appeal is allowed in the above terms. There shall be no order as to costs.</w:t>
      </w:r>
    </w:p>
    <w:p w:rsidR="000155C3" w:rsidRPr="000155C3" w:rsidRDefault="000155C3" w:rsidP="000155C3">
      <w:pPr>
        <w:jc w:val="both"/>
        <w:rPr>
          <w:szCs w:val="20"/>
        </w:rPr>
      </w:pPr>
    </w:p>
    <w:p w:rsidR="000155C3" w:rsidRPr="00F97720" w:rsidRDefault="000155C3" w:rsidP="00F97720">
      <w:pPr>
        <w:jc w:val="both"/>
        <w:rPr>
          <w:i/>
          <w:iCs/>
          <w:sz w:val="20"/>
          <w:szCs w:val="20"/>
        </w:rPr>
      </w:pPr>
    </w:p>
    <w:sectPr w:rsidR="000155C3" w:rsidRPr="00F9772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F18" w:rsidRDefault="00D57F18" w:rsidP="00CF3BB7">
      <w:r>
        <w:separator/>
      </w:r>
    </w:p>
  </w:endnote>
  <w:endnote w:type="continuationSeparator" w:id="1">
    <w:p w:rsidR="00D57F18" w:rsidRDefault="00D57F1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C3555" w:rsidRPr="00CF3BB7" w:rsidRDefault="00FC355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57F1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C3555" w:rsidRPr="00CF3BB7" w:rsidRDefault="00FC355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F18" w:rsidRDefault="00D57F18" w:rsidP="00CF3BB7">
      <w:r>
        <w:separator/>
      </w:r>
    </w:p>
  </w:footnote>
  <w:footnote w:type="continuationSeparator" w:id="1">
    <w:p w:rsidR="00D57F18" w:rsidRDefault="00D57F1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55C3"/>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2A0A"/>
    <w:rsid w:val="00113F75"/>
    <w:rsid w:val="00114C02"/>
    <w:rsid w:val="00115265"/>
    <w:rsid w:val="0011797B"/>
    <w:rsid w:val="00117C2F"/>
    <w:rsid w:val="001203D7"/>
    <w:rsid w:val="001207F6"/>
    <w:rsid w:val="0012188A"/>
    <w:rsid w:val="001234D3"/>
    <w:rsid w:val="0012704C"/>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252"/>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75B"/>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1A5"/>
    <w:rsid w:val="003253BE"/>
    <w:rsid w:val="00327B9E"/>
    <w:rsid w:val="00330ABB"/>
    <w:rsid w:val="00330B4F"/>
    <w:rsid w:val="003318CA"/>
    <w:rsid w:val="003348DD"/>
    <w:rsid w:val="003353AD"/>
    <w:rsid w:val="003372E8"/>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D7B18"/>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07B35"/>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C73AF"/>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2EF5"/>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409B"/>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15F"/>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59D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3AC4"/>
    <w:rsid w:val="00D45C06"/>
    <w:rsid w:val="00D45DF1"/>
    <w:rsid w:val="00D47666"/>
    <w:rsid w:val="00D476A3"/>
    <w:rsid w:val="00D51296"/>
    <w:rsid w:val="00D51576"/>
    <w:rsid w:val="00D53DE7"/>
    <w:rsid w:val="00D54873"/>
    <w:rsid w:val="00D558A9"/>
    <w:rsid w:val="00D56076"/>
    <w:rsid w:val="00D57F18"/>
    <w:rsid w:val="00D608FB"/>
    <w:rsid w:val="00D631DC"/>
    <w:rsid w:val="00D634A7"/>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592"/>
    <w:rsid w:val="00E06649"/>
    <w:rsid w:val="00E12503"/>
    <w:rsid w:val="00E1375C"/>
    <w:rsid w:val="00E15699"/>
    <w:rsid w:val="00E166B7"/>
    <w:rsid w:val="00E16F2B"/>
    <w:rsid w:val="00E17AEA"/>
    <w:rsid w:val="00E213A2"/>
    <w:rsid w:val="00E213B6"/>
    <w:rsid w:val="00E25229"/>
    <w:rsid w:val="00E266D2"/>
    <w:rsid w:val="00E30034"/>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145"/>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604"/>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39F5"/>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97720"/>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355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2018-09-19T07:46:00Z</cp:lastPrinted>
  <dcterms:created xsi:type="dcterms:W3CDTF">2018-09-19T08:10:00Z</dcterms:created>
  <dcterms:modified xsi:type="dcterms:W3CDTF">2018-09-19T08:10:00Z</dcterms:modified>
</cp:coreProperties>
</file>