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94.xml" ContentType="application/vnd.openxmlformats-officedocument.wordprocessingml.header+xml"/>
  <Override PartName="/word/footer152.xml" ContentType="application/vnd.openxmlformats-officedocument.wordprocessingml.footer+xml"/>
  <Override PartName="/word/header228.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27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44.xml" ContentType="application/vnd.openxmlformats-officedocument.wordprocessingml.header+xml"/>
  <Override PartName="/word/footer102.xml" ContentType="application/vnd.openxmlformats-officedocument.wordprocessingml.footer+xml"/>
  <Override PartName="/word/header91.xml" ContentType="application/vnd.openxmlformats-officedocument.wordprocessingml.header+xml"/>
  <Override PartName="/word/footer247.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footer266.xml" ContentType="application/vnd.openxmlformats-officedocument.wordprocessingml.footer+xml"/>
  <Override PartName="/word/footer244.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140.xml" ContentType="application/vnd.openxmlformats-officedocument.wordprocessingml.footer+xml"/>
  <Override PartName="/word/footer238.xml" ContentType="application/vnd.openxmlformats-officedocument.wordprocessingml.footer+xml"/>
  <Override PartName="/word/header216.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216.xml" ContentType="application/vnd.openxmlformats-officedocument.wordprocessingml.footer+xml"/>
  <Override PartName="/word/header205.xml" ContentType="application/vnd.openxmlformats-officedocument.wordprocessingml.header+xml"/>
  <Override PartName="/word/footer263.xml" ContentType="application/vnd.openxmlformats-officedocument.wordprocessingml.foot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header189.xml" ContentType="application/vnd.openxmlformats-officedocument.wordprocessingml.header+xml"/>
  <Override PartName="/word/footer252.xml" ContentType="application/vnd.openxmlformats-officedocument.wordprocessingml.footer+xml"/>
  <Override PartName="/word/header241.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230.xml" ContentType="application/vnd.openxmlformats-officedocument.wordprocessingml.footer+xml"/>
  <Override PartName="/word/footer241.xml" ContentType="application/vnd.openxmlformats-officedocument.wordprocessingml.footer+xml"/>
  <Override PartName="/word/header230.xml" ContentType="application/vnd.openxmlformats-officedocument.wordprocessingml.header+xml"/>
  <Override PartName="/word/footer21.xml" ContentType="application/vnd.openxmlformats-officedocument.wordprocessingml.footer+xml"/>
  <Override PartName="/word/header109.xml" ContentType="application/vnd.openxmlformats-officedocument.wordprocessingml.header+xml"/>
  <Override PartName="/word/footer167.xml" ContentType="application/vnd.openxmlformats-officedocument.wordprocessingml.footer+xml"/>
  <Override PartName="/word/header156.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header98.xml" ContentType="application/vnd.openxmlformats-officedocument.wordprocessingml.header+xml"/>
  <Override PartName="/word/footer156.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header87.xml" ContentType="application/vnd.openxmlformats-officedocument.wordprocessingml.header+xml"/>
  <Override PartName="/word/footer134.xml" ContentType="application/vnd.openxmlformats-officedocument.wordprocessingml.footer+xml"/>
  <Override PartName="/word/header123.xml" ContentType="application/vnd.openxmlformats-officedocument.wordprocessingml.header+xml"/>
  <Override PartName="/word/footer145.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170.xml" ContentType="application/vnd.openxmlformats-officedocument.wordprocessingml.header+xml"/>
  <Override PartName="/word/header181.xml" ContentType="application/vnd.openxmlformats-officedocument.wordprocessingml.header+xml"/>
  <Override PartName="/word/footer27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123.xml" ContentType="application/vnd.openxmlformats-officedocument.wordprocessingml.footer+xml"/>
  <Override PartName="/word/header112.xml" ContentType="application/vnd.openxmlformats-officedocument.wordprocessingml.header+xml"/>
  <Override PartName="/word/footer170.xml" ContentType="application/vnd.openxmlformats-officedocument.wordprocessingml.footer+xml"/>
  <Override PartName="/word/footer257.xml" ContentType="application/vnd.openxmlformats-officedocument.wordprocessingml.footer+xml"/>
  <Override PartName="/word/footer268.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101.xml" ContentType="application/vnd.openxmlformats-officedocument.wordprocessingml.header+xml"/>
  <Override PartName="/word/footer246.xml" ContentType="application/vnd.openxmlformats-officedocument.wordprocessingml.footer+xml"/>
  <Override PartName="/word/header23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footer235.xml" ContentType="application/vnd.openxmlformats-officedocument.wordprocessingml.footer+xml"/>
  <Override PartName="/word/header224.xml" ContentType="application/vnd.openxmlformats-officedocument.wordprocessingml.header+xml"/>
  <Override PartName="/word/footer282.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header213.xml" ContentType="application/vnd.openxmlformats-officedocument.wordprocessingml.header+xml"/>
  <Override PartName="/word/footer27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footer260.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header128.xml" ContentType="application/vnd.openxmlformats-officedocument.wordprocessingml.header+xml"/>
  <Override PartName="/word/footer186.xml" ContentType="application/vnd.openxmlformats-officedocument.wordprocessingml.footer+xml"/>
  <Override PartName="/word/header175.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84.xml" ContentType="application/vnd.openxmlformats-officedocument.wordprocessingml.header+xml"/>
  <Override PartName="/word/header95.xml" ContentType="application/vnd.openxmlformats-officedocument.wordprocessingml.header+xml"/>
  <Override PartName="/word/footer142.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20.xml" ContentType="application/vnd.openxmlformats-officedocument.wordprocessingml.header+xml"/>
  <Override PartName="/word/footer218.xml" ContentType="application/vnd.openxmlformats-officedocument.wordprocessingml.footer+xml"/>
  <Override PartName="/word/header207.xml" ContentType="application/vnd.openxmlformats-officedocument.wordprocessingml.header+xml"/>
  <Override PartName="/word/footer26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header232.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158.xml" ContentType="application/vnd.openxmlformats-officedocument.wordprocessingml.header+xml"/>
  <Override PartName="/word/footer221.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12.xml" ContentType="application/vnd.openxmlformats-officedocument.wordprocessingml.footer+xml"/>
  <Override PartName="/word/footer158.xml" ContentType="application/vnd.openxmlformats-officedocument.wordprocessingml.footer+xml"/>
  <Override PartName="/word/header147.xml" ContentType="application/vnd.openxmlformats-officedocument.wordprocessingml.header+xml"/>
  <Override PartName="/word/footer210.xml" ContentType="application/vnd.openxmlformats-officedocument.wordprocessingml.footer+xml"/>
  <Override PartName="/word/header194.xml" ContentType="application/vnd.openxmlformats-officedocument.wordprocessingml.header+xml"/>
  <Override PartName="/word/header89.xml" ContentType="application/vnd.openxmlformats-officedocument.wordprocessingml.header+xml"/>
  <Override PartName="/word/footer136.xml" ContentType="application/vnd.openxmlformats-officedocument.wordprocessingml.footer+xml"/>
  <Override PartName="/word/header125.xml" ContentType="application/vnd.openxmlformats-officedocument.wordprocessingml.header+xml"/>
  <Override PartName="/word/footer147.xml" ContentType="application/vnd.openxmlformats-officedocument.wordprocessingml.footer+xml"/>
  <Override PartName="/word/header136.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footer125.xml" ContentType="application/vnd.openxmlformats-officedocument.wordprocessingml.footer+xml"/>
  <Override PartName="/word/header114.xml" ContentType="application/vnd.openxmlformats-officedocument.wordprocessingml.header+xml"/>
  <Override PartName="/word/footer172.xml" ContentType="application/vnd.openxmlformats-officedocument.wordprocessingml.footer+xml"/>
  <Override PartName="/word/header161.xml" ContentType="application/vnd.openxmlformats-officedocument.wordprocessingml.head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103.xml" ContentType="application/vnd.openxmlformats-officedocument.wordprocessingml.header+xml"/>
  <Override PartName="/word/footer161.xml" ContentType="application/vnd.openxmlformats-officedocument.wordprocessingml.footer+xml"/>
  <Override PartName="/word/header150.xml" ContentType="application/vnd.openxmlformats-officedocument.wordprocessingml.header+xml"/>
  <Override PartName="/word/footer248.xml" ContentType="application/vnd.openxmlformats-officedocument.wordprocessingml.footer+xml"/>
  <Override PartName="/word/header23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92.xml" ContentType="application/vnd.openxmlformats-officedocument.wordprocessingml.header+xml"/>
  <Override PartName="/word/footer150.xml" ContentType="application/vnd.openxmlformats-officedocument.wordprocessingml.footer+xml"/>
  <Override PartName="/word/footer237.xml" ContentType="application/vnd.openxmlformats-officedocument.wordprocessingml.footer+xml"/>
  <Override PartName="/word/header226.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226.xml" ContentType="application/vnd.openxmlformats-officedocument.wordprocessingml.footer+xml"/>
  <Override PartName="/word/header215.xml" ContentType="application/vnd.openxmlformats-officedocument.wordprocessingml.header+xml"/>
  <Override PartName="/word/footer27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footer251.xml" ContentType="application/vnd.openxmlformats-officedocument.wordprocessingml.footer+xml"/>
  <Override PartName="/word/footer262.xml" ContentType="application/vnd.openxmlformats-officedocument.wordprocessingml.footer+xml"/>
  <Override PartName="/word/header24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header166.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44.xml" ContentType="application/vnd.openxmlformats-officedocument.wordprocessingml.footer+xml"/>
  <Override PartName="/word/header133.xml" ContentType="application/vnd.openxmlformats-officedocument.wordprocessingml.header+xml"/>
  <Override PartName="/word/footer191.xml" ContentType="application/vnd.openxmlformats-officedocument.wordprocessingml.footer+xml"/>
  <Override PartName="/word/header180.xml" ContentType="application/vnd.openxmlformats-officedocument.wordprocessingml.header+xml"/>
  <Override PartName="/word/footer278.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header122.xml" ContentType="application/vnd.openxmlformats-officedocument.wordprocessingml.header+xml"/>
  <Override PartName="/word/footer180.xml" ContentType="application/vnd.openxmlformats-officedocument.wordprocessingml.footer+xml"/>
  <Override PartName="/word/header209.xml" ContentType="application/vnd.openxmlformats-officedocument.wordprocessingml.header+xml"/>
  <Override PartName="/word/footer26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111.xml" ContentType="application/vnd.openxmlformats-officedocument.wordprocessingml.footer+xml"/>
  <Override PartName="/word/header100.xml" ContentType="application/vnd.openxmlformats-officedocument.wordprocessingml.header+xml"/>
  <Override PartName="/word/footer122.xml" ContentType="application/vnd.openxmlformats-officedocument.wordprocessingml.footer+xml"/>
  <Override PartName="/word/header111.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footer234.xml" ContentType="application/vnd.openxmlformats-officedocument.wordprocessingml.footer+xml"/>
  <Override PartName="/word/footer245.xml" ContentType="application/vnd.openxmlformats-officedocument.wordprocessingml.footer+xml"/>
  <Override PartName="/word/header234.xml" ContentType="application/vnd.openxmlformats-officedocument.wordprocessingml.header+xml"/>
  <Override PartName="/word/footer281.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footer223.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70.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footer212.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header138.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74.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105.xml" ContentType="application/vnd.openxmlformats-officedocument.wordprocessingml.header+xml"/>
  <Override PartName="/word/footer163.xml" ContentType="application/vnd.openxmlformats-officedocument.wordprocessingml.footer+xml"/>
  <Override PartName="/word/header152.xml" ContentType="application/vnd.openxmlformats-officedocument.wordprocessingml.header+xml"/>
  <Override PartName="/word/header239.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239.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footer157.xml" ContentType="application/vnd.openxmlformats-officedocument.wordprocessingml.footer+xml"/>
  <Override PartName="/word/header157.xml" ContentType="application/vnd.openxmlformats-officedocument.wordprocessingml.head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25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footer214.xml" ContentType="application/vnd.openxmlformats-officedocument.wordprocessingml.footer+xml"/>
  <Override PartName="/word/header198.xml" ContentType="application/vnd.openxmlformats-officedocument.wordprocessingml.header+xml"/>
  <Override PartName="/word/footer26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footer107.xml" ContentType="application/vnd.openxmlformats-officedocument.wordprocessingml.footer+xml"/>
  <Override PartName="/word/header96.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footer132.xml" ContentType="application/vnd.openxmlformats-officedocument.wordprocessingml.footer+xml"/>
  <Override PartName="/word/header132.xml" ContentType="application/vnd.openxmlformats-officedocument.wordprocessingml.header+xml"/>
  <Override PartName="/word/footer277.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55.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Default Extension="wmf" ContentType="image/x-wmf"/>
  <Override PartName="/word/footer233.xml" ContentType="application/vnd.openxmlformats-officedocument.wordprocessingml.footer+xml"/>
  <Override PartName="/word/footer280.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footer211.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footer148.xml" ContentType="application/vnd.openxmlformats-officedocument.wordprocessingml.footer+xml"/>
  <Override PartName="/word/footer195.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49.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74.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FC0" w:rsidRDefault="003B2FC0">
      <w:pPr>
        <w:pStyle w:val="BodyText"/>
        <w:spacing w:before="2"/>
        <w:rPr>
          <w:rFonts w:ascii="Times New Roman"/>
          <w:sz w:val="8"/>
        </w:rPr>
      </w:pPr>
    </w:p>
    <w:p w:rsidR="003B2FC0" w:rsidRDefault="003B2FC0">
      <w:pPr>
        <w:pStyle w:val="BodyText"/>
        <w:ind w:left="6763"/>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182" type="#_x0000_t202" style="width:111.4pt;height:19pt;mso-position-horizontal-relative:char;mso-position-vertical-relative:line" filled="f" strokecolor="#000009" strokeweight=".48pt">
            <v:textbox inset="0,0,0,0">
              <w:txbxContent>
                <w:p w:rsidR="003B2FC0" w:rsidRDefault="00052A49">
                  <w:pPr>
                    <w:pStyle w:val="BodyText"/>
                    <w:spacing w:before="19"/>
                    <w:ind w:left="93"/>
                    <w:rPr>
                      <w:b/>
                    </w:rPr>
                  </w:pPr>
                  <w:r>
                    <w:rPr>
                      <w:b/>
                      <w:color w:val="000009"/>
                    </w:rPr>
                    <w:t>REPORTABLE</w:t>
                  </w:r>
                </w:p>
              </w:txbxContent>
            </v:textbox>
            <w10:wrap type="none"/>
            <w10:anchorlock/>
          </v:shape>
        </w:pict>
      </w:r>
    </w:p>
    <w:p w:rsidR="003B2FC0" w:rsidRDefault="003B2FC0">
      <w:pPr>
        <w:pStyle w:val="BodyText"/>
        <w:rPr>
          <w:rFonts w:ascii="Times New Roman"/>
          <w:sz w:val="20"/>
        </w:rPr>
      </w:pPr>
    </w:p>
    <w:p w:rsidR="003B2FC0" w:rsidRDefault="003B2FC0">
      <w:pPr>
        <w:pStyle w:val="BodyText"/>
        <w:rPr>
          <w:rFonts w:ascii="Times New Roman"/>
          <w:sz w:val="26"/>
        </w:rPr>
      </w:pPr>
    </w:p>
    <w:p w:rsidR="003B2FC0" w:rsidRDefault="00052A49">
      <w:pPr>
        <w:pStyle w:val="BodyText"/>
        <w:spacing w:before="101" w:line="480" w:lineRule="auto"/>
        <w:ind w:left="2411" w:right="2191"/>
        <w:jc w:val="center"/>
        <w:rPr>
          <w:b/>
        </w:rPr>
      </w:pPr>
      <w:r>
        <w:rPr>
          <w:b/>
        </w:rPr>
        <w:t>IN THE SUPREME COURT OF INDIA CIVIL ORIGINAL JURISDICTION</w:t>
      </w:r>
    </w:p>
    <w:p w:rsidR="003B2FC0" w:rsidRDefault="00052A49">
      <w:pPr>
        <w:pStyle w:val="BodyText"/>
        <w:ind w:left="2002"/>
        <w:rPr>
          <w:b/>
        </w:rPr>
      </w:pPr>
      <w:r>
        <w:rPr>
          <w:b/>
          <w:u w:val="single"/>
        </w:rPr>
        <w:t>WRIT PETITION (CIVIL) NO. 373 OF 2006</w:t>
      </w:r>
    </w:p>
    <w:p w:rsidR="003B2FC0" w:rsidRDefault="003B2FC0">
      <w:pPr>
        <w:pStyle w:val="BodyText"/>
        <w:rPr>
          <w:b/>
        </w:rPr>
      </w:pPr>
    </w:p>
    <w:p w:rsidR="003B2FC0" w:rsidRDefault="00052A49">
      <w:pPr>
        <w:pStyle w:val="BodyText"/>
        <w:tabs>
          <w:tab w:val="left" w:pos="7363"/>
        </w:tabs>
        <w:ind w:left="500" w:right="373"/>
        <w:rPr>
          <w:b/>
        </w:rPr>
      </w:pPr>
      <w:r>
        <w:rPr>
          <w:b/>
        </w:rPr>
        <w:t>Indian Young</w:t>
      </w:r>
      <w:r>
        <w:rPr>
          <w:b/>
          <w:spacing w:val="-10"/>
        </w:rPr>
        <w:t xml:space="preserve"> </w:t>
      </w:r>
      <w:r>
        <w:rPr>
          <w:b/>
        </w:rPr>
        <w:t>Lawyers</w:t>
      </w:r>
      <w:r>
        <w:rPr>
          <w:b/>
          <w:spacing w:val="-4"/>
        </w:rPr>
        <w:t xml:space="preserve"> </w:t>
      </w:r>
      <w:r>
        <w:rPr>
          <w:b/>
        </w:rPr>
        <w:t>Association</w:t>
      </w:r>
      <w:r>
        <w:rPr>
          <w:b/>
        </w:rPr>
        <w:tab/>
      </w:r>
      <w:r>
        <w:rPr>
          <w:b/>
          <w:spacing w:val="-3"/>
        </w:rPr>
        <w:t xml:space="preserve">…Petitioner(s) </w:t>
      </w:r>
      <w:r>
        <w:rPr>
          <w:b/>
        </w:rPr>
        <w:t>&amp;</w:t>
      </w:r>
      <w:r>
        <w:rPr>
          <w:b/>
          <w:spacing w:val="-2"/>
        </w:rPr>
        <w:t xml:space="preserve"> </w:t>
      </w:r>
      <w:r>
        <w:rPr>
          <w:b/>
        </w:rPr>
        <w:t>Ors.</w:t>
      </w:r>
    </w:p>
    <w:p w:rsidR="003B2FC0" w:rsidRDefault="003B2FC0">
      <w:pPr>
        <w:pStyle w:val="BodyText"/>
        <w:spacing w:before="4"/>
        <w:rPr>
          <w:b/>
          <w:sz w:val="19"/>
        </w:rPr>
      </w:pPr>
    </w:p>
    <w:p w:rsidR="003B2FC0" w:rsidRDefault="00052A49">
      <w:pPr>
        <w:pStyle w:val="BodyText"/>
        <w:spacing w:before="101"/>
        <w:ind w:left="2411" w:right="1375"/>
        <w:jc w:val="center"/>
        <w:rPr>
          <w:b/>
        </w:rPr>
      </w:pPr>
      <w:r>
        <w:rPr>
          <w:b/>
        </w:rPr>
        <w:t>VERSUS</w:t>
      </w:r>
    </w:p>
    <w:p w:rsidR="003B2FC0" w:rsidRDefault="003B2FC0">
      <w:pPr>
        <w:pStyle w:val="BodyText"/>
        <w:rPr>
          <w:b/>
        </w:rPr>
      </w:pPr>
    </w:p>
    <w:p w:rsidR="003B2FC0" w:rsidRDefault="00052A49">
      <w:pPr>
        <w:pStyle w:val="BodyText"/>
        <w:tabs>
          <w:tab w:val="left" w:pos="7253"/>
        </w:tabs>
        <w:ind w:left="390"/>
        <w:jc w:val="center"/>
        <w:rPr>
          <w:b/>
        </w:rPr>
      </w:pPr>
      <w:r>
        <w:rPr>
          <w:b/>
        </w:rPr>
        <w:t>The State of Kerala</w:t>
      </w:r>
      <w:r>
        <w:rPr>
          <w:b/>
          <w:spacing w:val="-9"/>
        </w:rPr>
        <w:t xml:space="preserve"> </w:t>
      </w:r>
      <w:r>
        <w:rPr>
          <w:b/>
        </w:rPr>
        <w:t>&amp;</w:t>
      </w:r>
      <w:r>
        <w:rPr>
          <w:b/>
          <w:spacing w:val="-2"/>
        </w:rPr>
        <w:t xml:space="preserve"> </w:t>
      </w:r>
      <w:r>
        <w:rPr>
          <w:b/>
        </w:rPr>
        <w:t>Ors.</w:t>
      </w:r>
      <w:r>
        <w:rPr>
          <w:b/>
        </w:rPr>
        <w:tab/>
        <w:t>…Respondent(s)</w:t>
      </w:r>
    </w:p>
    <w:p w:rsidR="003B2FC0" w:rsidRDefault="003B2FC0">
      <w:pPr>
        <w:pStyle w:val="BodyText"/>
        <w:rPr>
          <w:b/>
          <w:sz w:val="32"/>
        </w:rPr>
      </w:pPr>
    </w:p>
    <w:p w:rsidR="003B2FC0" w:rsidRDefault="003B2FC0">
      <w:pPr>
        <w:pStyle w:val="BodyText"/>
        <w:rPr>
          <w:b/>
          <w:sz w:val="32"/>
        </w:rPr>
      </w:pPr>
    </w:p>
    <w:p w:rsidR="003B2FC0" w:rsidRDefault="003B2FC0">
      <w:pPr>
        <w:pStyle w:val="BodyText"/>
        <w:rPr>
          <w:b/>
          <w:sz w:val="32"/>
        </w:rPr>
      </w:pPr>
    </w:p>
    <w:p w:rsidR="003B2FC0" w:rsidRDefault="003B2FC0">
      <w:pPr>
        <w:pStyle w:val="BodyText"/>
        <w:spacing w:before="4"/>
        <w:rPr>
          <w:b/>
          <w:sz w:val="36"/>
        </w:rPr>
      </w:pPr>
    </w:p>
    <w:p w:rsidR="003B2FC0" w:rsidRDefault="00052A49">
      <w:pPr>
        <w:pStyle w:val="BodyText"/>
        <w:ind w:left="2411" w:right="2190"/>
        <w:jc w:val="center"/>
        <w:rPr>
          <w:b/>
        </w:rPr>
      </w:pPr>
      <w:r>
        <w:rPr>
          <w:b/>
          <w:color w:val="000009"/>
          <w:u w:val="single" w:color="000009"/>
        </w:rPr>
        <w:t>J U D G M E N T</w:t>
      </w:r>
    </w:p>
    <w:p w:rsidR="003B2FC0" w:rsidRDefault="003B2FC0">
      <w:pPr>
        <w:pStyle w:val="BodyText"/>
        <w:rPr>
          <w:b/>
          <w:sz w:val="20"/>
        </w:rPr>
      </w:pPr>
    </w:p>
    <w:p w:rsidR="003B2FC0" w:rsidRDefault="003B2FC0">
      <w:pPr>
        <w:pStyle w:val="BodyText"/>
        <w:spacing w:before="5"/>
        <w:rPr>
          <w:b/>
          <w:sz w:val="27"/>
        </w:rPr>
      </w:pPr>
    </w:p>
    <w:p w:rsidR="003B2FC0" w:rsidRDefault="00052A49">
      <w:pPr>
        <w:pStyle w:val="BodyText"/>
        <w:spacing w:before="101" w:line="590" w:lineRule="auto"/>
        <w:ind w:left="500" w:right="1400"/>
        <w:rPr>
          <w:b/>
        </w:rPr>
      </w:pPr>
      <w:r>
        <w:rPr>
          <w:b/>
          <w:u w:val="single"/>
        </w:rPr>
        <w:t>Dipak Misra, CJI</w:t>
      </w:r>
      <w:r>
        <w:rPr>
          <w:b/>
        </w:rPr>
        <w:t xml:space="preserve"> (for himself and A.M. Khanwilkar, J.) </w:t>
      </w:r>
      <w:r>
        <w:rPr>
          <w:b/>
          <w:u w:val="single"/>
        </w:rPr>
        <w:t>Introduction</w:t>
      </w:r>
    </w:p>
    <w:p w:rsidR="003B2FC0" w:rsidRDefault="00052A49">
      <w:pPr>
        <w:pStyle w:val="BodyText"/>
        <w:spacing w:line="296" w:lineRule="exact"/>
        <w:ind w:left="1220"/>
      </w:pPr>
      <w:r>
        <w:rPr>
          <w:color w:val="000009"/>
        </w:rPr>
        <w:t>The irony that is nurtured by the society is to impose a</w:t>
      </w:r>
      <w:r>
        <w:rPr>
          <w:color w:val="000009"/>
          <w:spacing w:val="25"/>
        </w:rPr>
        <w:t xml:space="preserve"> </w:t>
      </w:r>
      <w:r>
        <w:rPr>
          <w:color w:val="000009"/>
        </w:rPr>
        <w:t>rule,</w:t>
      </w:r>
    </w:p>
    <w:p w:rsidR="003B2FC0" w:rsidRDefault="003B2FC0">
      <w:pPr>
        <w:pStyle w:val="BodyText"/>
      </w:pPr>
    </w:p>
    <w:p w:rsidR="003B2FC0" w:rsidRDefault="00052A49">
      <w:pPr>
        <w:pStyle w:val="BodyText"/>
        <w:spacing w:before="1" w:line="480" w:lineRule="auto"/>
        <w:ind w:left="500" w:right="277"/>
        <w:jc w:val="both"/>
      </w:pPr>
      <w:r>
        <w:rPr>
          <w:color w:val="000009"/>
        </w:rPr>
        <w:t>however unjustified, and proffer explanation or justification to substantiate the substratum of the said rule. Mankind, since time immemorial, has been searching for explanation or justification</w:t>
      </w:r>
      <w:r>
        <w:rPr>
          <w:color w:val="000009"/>
          <w:spacing w:val="14"/>
        </w:rPr>
        <w:t xml:space="preserve"> </w:t>
      </w:r>
      <w:r>
        <w:rPr>
          <w:color w:val="000009"/>
        </w:rPr>
        <w:t>to</w:t>
      </w:r>
      <w:r>
        <w:rPr>
          <w:color w:val="000009"/>
          <w:spacing w:val="19"/>
        </w:rPr>
        <w:t xml:space="preserve"> </w:t>
      </w:r>
      <w:r>
        <w:rPr>
          <w:color w:val="000009"/>
        </w:rPr>
        <w:t>substantiate</w:t>
      </w:r>
      <w:r>
        <w:rPr>
          <w:color w:val="000009"/>
          <w:spacing w:val="20"/>
        </w:rPr>
        <w:t xml:space="preserve"> </w:t>
      </w:r>
      <w:r>
        <w:rPr>
          <w:color w:val="000009"/>
        </w:rPr>
        <w:t>a</w:t>
      </w:r>
      <w:r>
        <w:rPr>
          <w:color w:val="000009"/>
          <w:spacing w:val="16"/>
        </w:rPr>
        <w:t xml:space="preserve"> </w:t>
      </w:r>
      <w:r>
        <w:rPr>
          <w:color w:val="000009"/>
        </w:rPr>
        <w:t>point</w:t>
      </w:r>
      <w:r>
        <w:rPr>
          <w:color w:val="000009"/>
          <w:spacing w:val="16"/>
        </w:rPr>
        <w:t xml:space="preserve"> </w:t>
      </w:r>
      <w:r>
        <w:rPr>
          <w:color w:val="000009"/>
        </w:rPr>
        <w:t>of</w:t>
      </w:r>
      <w:r>
        <w:rPr>
          <w:color w:val="000009"/>
          <w:spacing w:val="17"/>
        </w:rPr>
        <w:t xml:space="preserve"> </w:t>
      </w:r>
      <w:r>
        <w:rPr>
          <w:color w:val="000009"/>
        </w:rPr>
        <w:t>view</w:t>
      </w:r>
      <w:r>
        <w:rPr>
          <w:color w:val="000009"/>
          <w:spacing w:val="17"/>
        </w:rPr>
        <w:t xml:space="preserve"> </w:t>
      </w:r>
      <w:r>
        <w:rPr>
          <w:color w:val="000009"/>
        </w:rPr>
        <w:t>that</w:t>
      </w:r>
      <w:r>
        <w:rPr>
          <w:color w:val="000009"/>
          <w:spacing w:val="17"/>
        </w:rPr>
        <w:t xml:space="preserve"> </w:t>
      </w:r>
      <w:r>
        <w:rPr>
          <w:color w:val="000009"/>
        </w:rPr>
        <w:t>hurts</w:t>
      </w:r>
      <w:r>
        <w:rPr>
          <w:color w:val="000009"/>
          <w:spacing w:val="18"/>
        </w:rPr>
        <w:t xml:space="preserve"> </w:t>
      </w:r>
      <w:r>
        <w:rPr>
          <w:color w:val="000009"/>
        </w:rPr>
        <w:t>humanity.</w:t>
      </w:r>
    </w:p>
    <w:p w:rsidR="003B2FC0" w:rsidRDefault="003B2FC0">
      <w:pPr>
        <w:spacing w:line="480" w:lineRule="auto"/>
        <w:jc w:val="both"/>
        <w:sectPr w:rsidR="003B2FC0">
          <w:headerReference w:type="default" r:id="rId7"/>
          <w:type w:val="continuous"/>
          <w:pgSz w:w="11910" w:h="16840"/>
          <w:pgMar w:top="1340" w:right="1160" w:bottom="280" w:left="940" w:header="554" w:footer="720" w:gutter="0"/>
          <w:pgNumType w:start="1"/>
          <w:cols w:space="720"/>
        </w:sectPr>
      </w:pPr>
    </w:p>
    <w:p w:rsidR="003B2FC0" w:rsidRDefault="003B2FC0">
      <w:pPr>
        <w:spacing w:before="15" w:line="211" w:lineRule="auto"/>
        <w:ind w:left="100" w:right="-17"/>
        <w:rPr>
          <w:sz w:val="9"/>
        </w:rPr>
      </w:pPr>
      <w:r w:rsidRPr="003B2FC0">
        <w:lastRenderedPageBreak/>
        <w:pict>
          <v:group id="_x0000_s1178" style="position:absolute;left:0;text-align:left;margin-left:62.9pt;margin-top:4.65pt;width:21.85pt;height:31.5pt;z-index:-251629056;mso-position-horizontal-relative:page" coordorigin="1258,93" coordsize="437,630">
            <v:shape id="_x0000_s1181" style="position:absolute;left:1276;top:112;width:417;height:611" coordorigin="1277,112" coordsize="417,611" o:spt="100" adj="0,,0" path="m1677,212r-191,l1514,215r26,14l1560,254r8,41l1564,319r-10,22l1538,360r-22,18l1470,416r-26,38l1433,496r-3,53l1541,549r3,-38l1553,484r16,-20l1592,446r43,-34l1667,377r20,-40l1694,291r-17,-79xm1479,112r-70,11l1343,156r-48,61l1277,309r119,l1396,308r5,-32l1414,245r27,-24l1486,212r191,l1676,209r-43,-52l1576,128r-55,-13l1479,112xm1549,605r-122,l1427,723r122,l1549,605xe" fillcolor="black" stroked="f">
              <v:stroke joinstyle="round"/>
              <v:formulas/>
              <v:path arrowok="t" o:connecttype="segments"/>
            </v:shape>
            <v:shape id="_x0000_s1180" style="position:absolute;left:1258;top:93;width:417;height:611" coordorigin="1258,94" coordsize="417,611" o:spt="100" adj="0,,0" path="m1658,193r-190,l1495,197r27,13l1541,235r8,41l1545,300r-10,22l1519,341r-22,18l1451,398r-26,37l1414,477r-3,53l1522,530r3,-38l1534,466r16,-20l1573,427r44,-34l1648,358r20,-39l1675,272r-17,-79xm1460,94r-70,10l1325,137r-48,61l1258,290r119,l1377,289r5,-31l1396,226r26,-23l1468,193r190,l1657,191r-43,-53l1558,109,1502,96r-42,-2xm1530,586r-122,l1408,704r122,l1530,586xe" fillcolor="#ff6" stroked="f">
              <v:stroke joinstyle="round"/>
              <v:formulas/>
              <v:path arrowok="t" o:connecttype="segments"/>
            </v:shape>
            <v:shape id="_x0000_s1179" style="position:absolute;left:1480;top:-15482;width:11580;height:16960" coordorigin="1480,-15481" coordsize="11580,16960" o:spt="100" adj="0,,0" path="m1411,530r3,-53l1425,435r26,-37l1497,359r22,-18l1535,322r10,-22l1549,276r-8,-41l1522,210r-27,-13l1468,193r-46,10l1396,226r-14,32l1377,289r,1l1258,290r19,-92l1325,137r65,-33l1460,94r42,2l1558,109r56,29l1657,191r18,81l1668,319r-20,39l1617,393r-44,34l1550,446r-16,20l1525,492r-3,38l1411,530xm1408,586r122,l1530,704r-122,l1408,586xe" filled="f" strokecolor="#707070" strokeweight=".01525mm">
              <v:stroke joinstyle="round"/>
              <v:formulas/>
              <v:path arrowok="t" o:connecttype="segments"/>
            </v:shape>
            <w10:wrap anchorx="page"/>
          </v:group>
        </w:pict>
      </w:r>
      <w:r w:rsidR="00052A49">
        <w:rPr>
          <w:w w:val="104"/>
          <w:sz w:val="9"/>
        </w:rPr>
        <w:t>Signatur</w:t>
      </w:r>
      <w:r w:rsidR="00052A49">
        <w:rPr>
          <w:spacing w:val="-2"/>
          <w:w w:val="104"/>
          <w:sz w:val="9"/>
        </w:rPr>
        <w:t>e</w:t>
      </w:r>
      <w:r w:rsidR="00052A49">
        <w:rPr>
          <w:rFonts w:ascii="Bookman Old Style"/>
          <w:color w:val="000009"/>
          <w:spacing w:val="-147"/>
          <w:position w:val="-12"/>
          <w:sz w:val="28"/>
        </w:rPr>
        <w:t>T</w:t>
      </w:r>
      <w:r w:rsidR="00052A49">
        <w:rPr>
          <w:w w:val="104"/>
          <w:sz w:val="9"/>
        </w:rPr>
        <w:t>Not</w:t>
      </w:r>
      <w:r w:rsidR="00052A49">
        <w:rPr>
          <w:rFonts w:ascii="Bookman Old Style"/>
          <w:color w:val="000009"/>
          <w:spacing w:val="-160"/>
          <w:position w:val="-12"/>
          <w:sz w:val="28"/>
        </w:rPr>
        <w:t>h</w:t>
      </w:r>
      <w:r w:rsidR="00052A49">
        <w:rPr>
          <w:w w:val="104"/>
          <w:sz w:val="9"/>
        </w:rPr>
        <w:t>Ver</w:t>
      </w:r>
      <w:r w:rsidR="00052A49">
        <w:rPr>
          <w:spacing w:val="-11"/>
          <w:w w:val="104"/>
          <w:sz w:val="9"/>
        </w:rPr>
        <w:t>i</w:t>
      </w:r>
      <w:r w:rsidR="00052A49">
        <w:rPr>
          <w:rFonts w:ascii="Bookman Old Style"/>
          <w:color w:val="000009"/>
          <w:spacing w:val="-136"/>
          <w:position w:val="-12"/>
          <w:sz w:val="28"/>
        </w:rPr>
        <w:t>e</w:t>
      </w:r>
      <w:r w:rsidR="00052A49">
        <w:rPr>
          <w:w w:val="104"/>
          <w:sz w:val="9"/>
        </w:rPr>
        <w:t xml:space="preserve">fied </w:t>
      </w:r>
      <w:r w:rsidR="00052A49">
        <w:rPr>
          <w:w w:val="105"/>
          <w:sz w:val="9"/>
        </w:rPr>
        <w:t>Digitally signed by CHETAN KUMAR Date: 2018.09.28</w:t>
      </w:r>
    </w:p>
    <w:p w:rsidR="003B2FC0" w:rsidRDefault="00052A49">
      <w:pPr>
        <w:spacing w:line="81" w:lineRule="exact"/>
        <w:ind w:left="100"/>
        <w:rPr>
          <w:sz w:val="9"/>
        </w:rPr>
      </w:pPr>
      <w:r>
        <w:rPr>
          <w:w w:val="105"/>
          <w:sz w:val="9"/>
        </w:rPr>
        <w:t>15:49:38 IST</w:t>
      </w:r>
    </w:p>
    <w:p w:rsidR="003B2FC0" w:rsidRDefault="00052A49">
      <w:pPr>
        <w:pStyle w:val="BodyText"/>
        <w:tabs>
          <w:tab w:val="left" w:pos="6802"/>
        </w:tabs>
        <w:spacing w:before="1"/>
        <w:ind w:left="100"/>
      </w:pPr>
      <w:r>
        <w:br w:type="column"/>
      </w:r>
      <w:r>
        <w:rPr>
          <w:color w:val="000009"/>
        </w:rPr>
        <w:lastRenderedPageBreak/>
        <w:t>theoretical  human  values  remain</w:t>
      </w:r>
      <w:r>
        <w:rPr>
          <w:color w:val="000009"/>
          <w:spacing w:val="56"/>
        </w:rPr>
        <w:t xml:space="preserve"> </w:t>
      </w:r>
      <w:r>
        <w:rPr>
          <w:color w:val="000009"/>
        </w:rPr>
        <w:t>on</w:t>
      </w:r>
      <w:r>
        <w:rPr>
          <w:color w:val="000009"/>
          <w:spacing w:val="79"/>
        </w:rPr>
        <w:t xml:space="preserve"> </w:t>
      </w:r>
      <w:r>
        <w:rPr>
          <w:color w:val="000009"/>
        </w:rPr>
        <w:t>paper.</w:t>
      </w:r>
      <w:r>
        <w:rPr>
          <w:color w:val="000009"/>
        </w:rPr>
        <w:tab/>
        <w:t>Historically,</w:t>
      </w:r>
    </w:p>
    <w:p w:rsidR="003B2FC0" w:rsidRDefault="003B2FC0">
      <w:pPr>
        <w:sectPr w:rsidR="003B2FC0">
          <w:type w:val="continuous"/>
          <w:pgSz w:w="11910" w:h="16840"/>
          <w:pgMar w:top="1340" w:right="1160" w:bottom="280" w:left="940" w:header="720" w:footer="720" w:gutter="0"/>
          <w:cols w:num="2" w:space="720" w:equalWidth="0">
            <w:col w:w="1020" w:space="61"/>
            <w:col w:w="8729"/>
          </w:cols>
        </w:sectPr>
      </w:pPr>
    </w:p>
    <w:p w:rsidR="003B2FC0" w:rsidRDefault="00052A49">
      <w:pPr>
        <w:pStyle w:val="BodyText"/>
        <w:tabs>
          <w:tab w:val="left" w:pos="4709"/>
        </w:tabs>
        <w:spacing w:line="480" w:lineRule="auto"/>
        <w:ind w:left="500" w:right="274" w:hanging="401"/>
      </w:pPr>
      <w:r>
        <w:rPr>
          <w:rFonts w:ascii="Arial"/>
          <w:position w:val="18"/>
          <w:sz w:val="9"/>
        </w:rPr>
        <w:lastRenderedPageBreak/>
        <w:t xml:space="preserve">Reason: </w:t>
      </w:r>
      <w:r>
        <w:rPr>
          <w:color w:val="000009"/>
        </w:rPr>
        <w:t xml:space="preserve">women have been treated with inequality and that is why, many have fought for </w:t>
      </w:r>
      <w:r>
        <w:rPr>
          <w:color w:val="000009"/>
          <w:spacing w:val="32"/>
        </w:rPr>
        <w:t xml:space="preserve"> </w:t>
      </w:r>
      <w:r>
        <w:rPr>
          <w:color w:val="000009"/>
        </w:rPr>
        <w:t>their</w:t>
      </w:r>
      <w:r>
        <w:rPr>
          <w:color w:val="000009"/>
          <w:spacing w:val="38"/>
        </w:rPr>
        <w:t xml:space="preserve"> </w:t>
      </w:r>
      <w:r>
        <w:rPr>
          <w:color w:val="000009"/>
        </w:rPr>
        <w:t>rights.</w:t>
      </w:r>
      <w:r>
        <w:rPr>
          <w:color w:val="000009"/>
        </w:rPr>
        <w:tab/>
        <w:t>Susan</w:t>
      </w:r>
      <w:r>
        <w:rPr>
          <w:color w:val="000009"/>
          <w:spacing w:val="40"/>
        </w:rPr>
        <w:t xml:space="preserve"> </w:t>
      </w:r>
      <w:r>
        <w:rPr>
          <w:color w:val="000009"/>
        </w:rPr>
        <w:t>B.</w:t>
      </w:r>
      <w:r>
        <w:rPr>
          <w:color w:val="000009"/>
          <w:spacing w:val="39"/>
        </w:rPr>
        <w:t xml:space="preserve"> </w:t>
      </w:r>
      <w:r>
        <w:rPr>
          <w:color w:val="000009"/>
        </w:rPr>
        <w:t>Anthony,</w:t>
      </w:r>
      <w:r>
        <w:rPr>
          <w:color w:val="000009"/>
          <w:spacing w:val="37"/>
        </w:rPr>
        <w:t xml:space="preserve"> </w:t>
      </w:r>
      <w:r>
        <w:rPr>
          <w:color w:val="000009"/>
        </w:rPr>
        <w:t>known</w:t>
      </w:r>
      <w:r>
        <w:rPr>
          <w:color w:val="000009"/>
          <w:spacing w:val="39"/>
        </w:rPr>
        <w:t xml:space="preserve"> </w:t>
      </w:r>
      <w:r>
        <w:rPr>
          <w:color w:val="000009"/>
        </w:rPr>
        <w:t>for</w:t>
      </w:r>
      <w:r>
        <w:rPr>
          <w:color w:val="000009"/>
          <w:spacing w:val="40"/>
        </w:rPr>
        <w:t xml:space="preserve"> </w:t>
      </w:r>
      <w:r>
        <w:rPr>
          <w:color w:val="000009"/>
        </w:rPr>
        <w:t>her</w:t>
      </w:r>
    </w:p>
    <w:p w:rsidR="003B2FC0" w:rsidRDefault="003B2FC0">
      <w:pPr>
        <w:spacing w:line="480" w:lineRule="auto"/>
        <w:sectPr w:rsidR="003B2FC0">
          <w:type w:val="continuous"/>
          <w:pgSz w:w="11910" w:h="16840"/>
          <w:pgMar w:top="1340" w:right="1160" w:bottom="280" w:left="940" w:header="720" w:footer="720" w:gutter="0"/>
          <w:cols w:space="720"/>
        </w:sectPr>
      </w:pPr>
    </w:p>
    <w:p w:rsidR="003B2FC0" w:rsidRDefault="00052A49">
      <w:pPr>
        <w:pStyle w:val="BodyText"/>
        <w:spacing w:before="93" w:line="480" w:lineRule="auto"/>
        <w:ind w:left="500" w:right="276"/>
        <w:jc w:val="both"/>
      </w:pPr>
      <w:r>
        <w:rPr>
          <w:color w:val="000009"/>
        </w:rPr>
        <w:lastRenderedPageBreak/>
        <w:t>feminist activity, succinctly puts, “Men, their rights, and nothing more; women, their rights, and nothing less.” It is a clear message.</w:t>
      </w:r>
    </w:p>
    <w:p w:rsidR="003B2FC0" w:rsidRDefault="00052A49">
      <w:pPr>
        <w:pStyle w:val="ListParagraph"/>
        <w:numPr>
          <w:ilvl w:val="0"/>
          <w:numId w:val="60"/>
        </w:numPr>
        <w:tabs>
          <w:tab w:val="left" w:pos="1221"/>
        </w:tabs>
        <w:spacing w:line="480" w:lineRule="auto"/>
        <w:ind w:right="274" w:firstLine="0"/>
        <w:jc w:val="both"/>
        <w:rPr>
          <w:rFonts w:ascii="Bookman Old Style"/>
          <w:sz w:val="28"/>
        </w:rPr>
      </w:pPr>
      <w:r>
        <w:rPr>
          <w:rFonts w:ascii="Bookman Old Style"/>
          <w:sz w:val="28"/>
        </w:rPr>
        <w:t>Neither the said message nor any kind of philosophy has opened up the large populace of this country to accept women as</w:t>
      </w:r>
      <w:r>
        <w:rPr>
          <w:rFonts w:ascii="Bookman Old Style"/>
          <w:sz w:val="28"/>
        </w:rPr>
        <w:t xml:space="preserve"> partners in their search for divinity and spirituality. </w:t>
      </w:r>
      <w:r>
        <w:rPr>
          <w:rFonts w:ascii="Bookman Old Style"/>
          <w:spacing w:val="2"/>
          <w:sz w:val="28"/>
        </w:rPr>
        <w:t xml:space="preserve">In </w:t>
      </w:r>
      <w:r>
        <w:rPr>
          <w:rFonts w:ascii="Bookman Old Style"/>
          <w:sz w:val="28"/>
        </w:rPr>
        <w:t>the theatre of life, it seems, man has put the autograph and there is no space for a woman even to put her signature. There is inequality on the path of approach to understand the divinity. The at</w:t>
      </w:r>
      <w:r>
        <w:rPr>
          <w:rFonts w:ascii="Bookman Old Style"/>
          <w:sz w:val="28"/>
        </w:rPr>
        <w:t>tribute of devotion to divinity cannot be subjected to the rigidity and stereotypes of gender. The dualism that persists in religion by glorifying and venerating women as goddesses on one hand and by imposing rigorous sanctions on the other hand in matters</w:t>
      </w:r>
      <w:r>
        <w:rPr>
          <w:rFonts w:ascii="Bookman Old Style"/>
          <w:sz w:val="28"/>
        </w:rPr>
        <w:t xml:space="preserve"> of devotion has to be abandoned. Such a dualistic approach and an entrenched mindset results in indignity to women and degradation of their status. The society has </w:t>
      </w:r>
      <w:r>
        <w:rPr>
          <w:rFonts w:ascii="Bookman Old Style"/>
          <w:spacing w:val="3"/>
          <w:sz w:val="28"/>
        </w:rPr>
        <w:t xml:space="preserve">to </w:t>
      </w:r>
      <w:r>
        <w:rPr>
          <w:rFonts w:ascii="Bookman Old Style"/>
          <w:sz w:val="28"/>
        </w:rPr>
        <w:t>undergo a perceptual shift from being the propagator of hegemonic patriarchal notions of</w:t>
      </w:r>
      <w:r>
        <w:rPr>
          <w:rFonts w:ascii="Bookman Old Style"/>
          <w:sz w:val="28"/>
        </w:rPr>
        <w:t xml:space="preserve"> demanding more exacting standards of purity and chastity solely from women to be the cultivator of equality where the woman is in no way considered frailer,</w:t>
      </w:r>
      <w:r>
        <w:rPr>
          <w:rFonts w:ascii="Bookman Old Style"/>
          <w:spacing w:val="58"/>
          <w:sz w:val="28"/>
        </w:rPr>
        <w:t xml:space="preserve"> </w:t>
      </w:r>
      <w:r>
        <w:rPr>
          <w:rFonts w:ascii="Bookman Old Style"/>
          <w:sz w:val="28"/>
        </w:rPr>
        <w:t>lesser</w:t>
      </w:r>
      <w:r>
        <w:rPr>
          <w:rFonts w:ascii="Bookman Old Style"/>
          <w:spacing w:val="58"/>
          <w:sz w:val="28"/>
        </w:rPr>
        <w:t xml:space="preserve"> </w:t>
      </w:r>
      <w:r>
        <w:rPr>
          <w:rFonts w:ascii="Bookman Old Style"/>
          <w:sz w:val="28"/>
        </w:rPr>
        <w:t>or</w:t>
      </w:r>
      <w:r>
        <w:rPr>
          <w:rFonts w:ascii="Bookman Old Style"/>
          <w:spacing w:val="57"/>
          <w:sz w:val="28"/>
        </w:rPr>
        <w:t xml:space="preserve"> </w:t>
      </w:r>
      <w:r>
        <w:rPr>
          <w:rFonts w:ascii="Bookman Old Style"/>
          <w:sz w:val="28"/>
        </w:rPr>
        <w:t>inferior</w:t>
      </w:r>
      <w:r>
        <w:rPr>
          <w:rFonts w:ascii="Bookman Old Style"/>
          <w:spacing w:val="58"/>
          <w:sz w:val="28"/>
        </w:rPr>
        <w:t xml:space="preserve"> </w:t>
      </w:r>
      <w:r>
        <w:rPr>
          <w:rFonts w:ascii="Bookman Old Style"/>
          <w:sz w:val="28"/>
        </w:rPr>
        <w:t>to</w:t>
      </w:r>
      <w:r>
        <w:rPr>
          <w:rFonts w:ascii="Bookman Old Style"/>
          <w:spacing w:val="61"/>
          <w:sz w:val="28"/>
        </w:rPr>
        <w:t xml:space="preserve"> </w:t>
      </w:r>
      <w:r>
        <w:rPr>
          <w:rFonts w:ascii="Bookman Old Style"/>
          <w:sz w:val="28"/>
        </w:rPr>
        <w:t>man.</w:t>
      </w:r>
      <w:r>
        <w:rPr>
          <w:rFonts w:ascii="Bookman Old Style"/>
          <w:spacing w:val="27"/>
          <w:sz w:val="28"/>
        </w:rPr>
        <w:t xml:space="preserve"> </w:t>
      </w:r>
      <w:r>
        <w:rPr>
          <w:rFonts w:ascii="Bookman Old Style"/>
          <w:sz w:val="28"/>
        </w:rPr>
        <w:t>The</w:t>
      </w:r>
      <w:r>
        <w:rPr>
          <w:rFonts w:ascii="Bookman Old Style"/>
          <w:spacing w:val="62"/>
          <w:sz w:val="28"/>
        </w:rPr>
        <w:t xml:space="preserve"> </w:t>
      </w:r>
      <w:r>
        <w:rPr>
          <w:rFonts w:ascii="Bookman Old Style"/>
          <w:sz w:val="28"/>
        </w:rPr>
        <w:t>law</w:t>
      </w:r>
      <w:r>
        <w:rPr>
          <w:rFonts w:ascii="Bookman Old Style"/>
          <w:spacing w:val="60"/>
          <w:sz w:val="28"/>
        </w:rPr>
        <w:t xml:space="preserve"> </w:t>
      </w:r>
      <w:r>
        <w:rPr>
          <w:rFonts w:ascii="Bookman Old Style"/>
          <w:sz w:val="28"/>
        </w:rPr>
        <w:t>and</w:t>
      </w:r>
      <w:r>
        <w:rPr>
          <w:rFonts w:ascii="Bookman Old Style"/>
          <w:spacing w:val="60"/>
          <w:sz w:val="28"/>
        </w:rPr>
        <w:t xml:space="preserve"> </w:t>
      </w:r>
      <w:r>
        <w:rPr>
          <w:rFonts w:ascii="Bookman Old Style"/>
          <w:sz w:val="28"/>
        </w:rPr>
        <w:t>the</w:t>
      </w:r>
      <w:r>
        <w:rPr>
          <w:rFonts w:ascii="Bookman Old Style"/>
          <w:spacing w:val="60"/>
          <w:sz w:val="28"/>
        </w:rPr>
        <w:t xml:space="preserve"> </w:t>
      </w:r>
      <w:r>
        <w:rPr>
          <w:rFonts w:ascii="Bookman Old Style"/>
          <w:sz w:val="28"/>
        </w:rPr>
        <w:t>society</w:t>
      </w:r>
      <w:r>
        <w:rPr>
          <w:rFonts w:ascii="Bookman Old Style"/>
          <w:spacing w:val="60"/>
          <w:sz w:val="28"/>
        </w:rPr>
        <w:t xml:space="preserve"> </w:t>
      </w:r>
      <w:r>
        <w:rPr>
          <w:rFonts w:ascii="Bookman Old Style"/>
          <w:spacing w:val="-2"/>
          <w:sz w:val="28"/>
        </w:rPr>
        <w:t>are</w:t>
      </w:r>
    </w:p>
    <w:p w:rsidR="003B2FC0" w:rsidRDefault="003B2FC0">
      <w:pPr>
        <w:spacing w:line="480" w:lineRule="auto"/>
        <w:jc w:val="both"/>
        <w:rPr>
          <w:rFonts w:ascii="Bookman Old Style"/>
          <w:sz w:val="28"/>
        </w:rPr>
        <w:sectPr w:rsidR="003B2FC0">
          <w:pgSz w:w="11910" w:h="16840"/>
          <w:pgMar w:top="1340" w:right="1160" w:bottom="280" w:left="940" w:header="554" w:footer="0" w:gutter="0"/>
          <w:cols w:space="720"/>
        </w:sectPr>
      </w:pPr>
    </w:p>
    <w:p w:rsidR="003B2FC0" w:rsidRDefault="00052A49">
      <w:pPr>
        <w:pStyle w:val="BodyText"/>
        <w:spacing w:before="93" w:line="480" w:lineRule="auto"/>
        <w:ind w:left="500" w:right="278"/>
        <w:jc w:val="both"/>
      </w:pPr>
      <w:r>
        <w:t>bestowed with the Hercule</w:t>
      </w:r>
      <w:r>
        <w:t>an task to act as levellers in  this regard and for the same, one has to remember the wise saying of Henry Ward Beecher that deals with the changing perceptions of the world in time. He says:</w:t>
      </w:r>
    </w:p>
    <w:p w:rsidR="003B2FC0" w:rsidRDefault="00052A49">
      <w:pPr>
        <w:pStyle w:val="BodyText"/>
        <w:spacing w:before="1"/>
        <w:ind w:left="1220" w:right="1717"/>
        <w:jc w:val="both"/>
        <w:rPr>
          <w:sz w:val="18"/>
        </w:rPr>
      </w:pPr>
      <w:r>
        <w:rPr>
          <w:color w:val="454545"/>
        </w:rPr>
        <w:t>“</w:t>
      </w:r>
      <w:r>
        <w:t xml:space="preserve">Our days are a kaleidoscope. Every instant a change takes place in the contents. New harmonies, new contrasts, new combinations of every sort. Nothing ever happens twice alike. The most familiar people stand each moment in some new relation to each other, </w:t>
      </w:r>
      <w:r>
        <w:t>to their work, to surrounding objects. The most tranquil house, with the most serene inhabitants, living upon the utmost regularity of system, is yet exemplifying infinite diversities.”</w:t>
      </w:r>
      <w:r>
        <w:rPr>
          <w:position w:val="7"/>
          <w:sz w:val="18"/>
        </w:rPr>
        <w:t>1</w:t>
      </w:r>
    </w:p>
    <w:p w:rsidR="003B2FC0" w:rsidRDefault="003B2FC0">
      <w:pPr>
        <w:pStyle w:val="BodyText"/>
        <w:spacing w:before="11"/>
        <w:rPr>
          <w:sz w:val="27"/>
        </w:rPr>
      </w:pPr>
    </w:p>
    <w:p w:rsidR="003B2FC0" w:rsidRDefault="00052A49">
      <w:pPr>
        <w:pStyle w:val="ListParagraph"/>
        <w:numPr>
          <w:ilvl w:val="0"/>
          <w:numId w:val="60"/>
        </w:numPr>
        <w:tabs>
          <w:tab w:val="left" w:pos="1221"/>
        </w:tabs>
        <w:spacing w:line="480" w:lineRule="auto"/>
        <w:ind w:right="272" w:firstLine="0"/>
        <w:jc w:val="both"/>
        <w:rPr>
          <w:rFonts w:ascii="Bookman Old Style" w:hAnsi="Bookman Old Style"/>
          <w:color w:val="000009"/>
          <w:sz w:val="28"/>
        </w:rPr>
      </w:pPr>
      <w:r>
        <w:rPr>
          <w:rFonts w:ascii="Bookman Old Style" w:hAnsi="Bookman Old Style"/>
          <w:color w:val="000009"/>
          <w:sz w:val="28"/>
        </w:rPr>
        <w:t xml:space="preserve">Any relationship with the Creator is a transcendental one crossing all socially created artificial barriers and not a negotiated relationship bound by terms and conditions. Such a relationship and expression of devotion cannot be circumscribed by dogmatic </w:t>
      </w:r>
      <w:r>
        <w:rPr>
          <w:rFonts w:ascii="Bookman Old Style" w:hAnsi="Bookman Old Style"/>
          <w:color w:val="000009"/>
          <w:sz w:val="28"/>
        </w:rPr>
        <w:t xml:space="preserve">notions of biological or physiological factors arising out of rigid socio-cultural attitudes which do not meet the constitutionally prescribed tests. Patriarchy in religion cannot be permitted to trump over the element of pure devotion borne out  of faith </w:t>
      </w:r>
      <w:r>
        <w:rPr>
          <w:rFonts w:ascii="Bookman Old Style" w:hAnsi="Bookman Old Style"/>
          <w:color w:val="000009"/>
          <w:sz w:val="28"/>
        </w:rPr>
        <w:t xml:space="preserve">and the freedom to practise and profess one‟s </w:t>
      </w:r>
      <w:r>
        <w:rPr>
          <w:rFonts w:ascii="Bookman Old Style" w:hAnsi="Bookman Old Style"/>
          <w:color w:val="000009"/>
          <w:spacing w:val="-6"/>
          <w:sz w:val="28"/>
        </w:rPr>
        <w:t xml:space="preserve">religion. </w:t>
      </w:r>
      <w:r>
        <w:rPr>
          <w:rFonts w:ascii="Bookman Old Style" w:hAnsi="Bookman Old Style"/>
          <w:color w:val="000009"/>
          <w:sz w:val="28"/>
        </w:rPr>
        <w:t>The subversion and repression of women under the garb of biological or physiological factors cannot be given the seal</w:t>
      </w:r>
      <w:r>
        <w:rPr>
          <w:rFonts w:ascii="Bookman Old Style" w:hAnsi="Bookman Old Style"/>
          <w:color w:val="000009"/>
          <w:spacing w:val="22"/>
          <w:sz w:val="28"/>
        </w:rPr>
        <w:t xml:space="preserve"> </w:t>
      </w:r>
      <w:r>
        <w:rPr>
          <w:rFonts w:ascii="Bookman Old Style" w:hAnsi="Bookman Old Style"/>
          <w:color w:val="000009"/>
          <w:sz w:val="28"/>
        </w:rPr>
        <w:t>of</w:t>
      </w:r>
    </w:p>
    <w:p w:rsidR="003B2FC0" w:rsidRDefault="003B2FC0">
      <w:pPr>
        <w:pStyle w:val="BodyText"/>
        <w:spacing w:before="3"/>
        <w:rPr>
          <w:sz w:val="15"/>
        </w:rPr>
      </w:pPr>
      <w:r w:rsidRPr="003B2FC0">
        <w:pict>
          <v:line id="_x0000_s1177" style="position:absolute;z-index:-251616768;mso-wrap-distance-left:0;mso-wrap-distance-right:0;mso-position-horizontal-relative:page" from="1in,11.2pt" to="216.05pt,11.2pt" strokeweight=".6pt">
            <w10:wrap type="topAndBottom" anchorx="page"/>
          </v:line>
        </w:pict>
      </w:r>
    </w:p>
    <w:p w:rsidR="003B2FC0" w:rsidRDefault="00052A49">
      <w:pPr>
        <w:spacing w:before="55"/>
        <w:ind w:left="500"/>
        <w:rPr>
          <w:rFonts w:ascii="Bookman Old Style"/>
          <w:i/>
          <w:sz w:val="20"/>
        </w:rPr>
      </w:pPr>
      <w:r>
        <w:rPr>
          <w:rFonts w:ascii="Times New Roman"/>
          <w:position w:val="9"/>
          <w:sz w:val="13"/>
        </w:rPr>
        <w:t xml:space="preserve">1 </w:t>
      </w:r>
      <w:r>
        <w:rPr>
          <w:rFonts w:ascii="Bookman Old Style"/>
          <w:sz w:val="20"/>
        </w:rPr>
        <w:t xml:space="preserve">Henry Ward Beecher, 1813-1887 - </w:t>
      </w:r>
      <w:r>
        <w:rPr>
          <w:rFonts w:ascii="Bookman Old Style"/>
          <w:i/>
          <w:sz w:val="20"/>
        </w:rPr>
        <w:t>Eyes and Ears</w:t>
      </w:r>
    </w:p>
    <w:p w:rsidR="003B2FC0" w:rsidRDefault="003B2FC0">
      <w:pPr>
        <w:rPr>
          <w:rFonts w:ascii="Bookman Old Style"/>
          <w:sz w:val="20"/>
        </w:rPr>
        <w:sectPr w:rsidR="003B2FC0">
          <w:pgSz w:w="11910" w:h="16840"/>
          <w:pgMar w:top="1340" w:right="1160" w:bottom="280" w:left="940" w:header="554" w:footer="0" w:gutter="0"/>
          <w:cols w:space="720"/>
        </w:sectPr>
      </w:pPr>
    </w:p>
    <w:p w:rsidR="003B2FC0" w:rsidRDefault="00052A49">
      <w:pPr>
        <w:pStyle w:val="BodyText"/>
        <w:spacing w:before="93" w:line="480" w:lineRule="auto"/>
        <w:ind w:left="500" w:right="278"/>
        <w:jc w:val="both"/>
      </w:pPr>
      <w:r>
        <w:rPr>
          <w:color w:val="000009"/>
        </w:rPr>
        <w:t>legitimacy.</w:t>
      </w:r>
      <w:r>
        <w:rPr>
          <w:color w:val="000009"/>
        </w:rPr>
        <w:t xml:space="preserve"> Any rule based on discrimination or segregation of women pertaining to biological characteristics is not only unfounded, indefensible and implausible but can also never pass the muster of constitutionality.</w:t>
      </w:r>
    </w:p>
    <w:p w:rsidR="003B2FC0" w:rsidRDefault="00052A49">
      <w:pPr>
        <w:pStyle w:val="ListParagraph"/>
        <w:numPr>
          <w:ilvl w:val="0"/>
          <w:numId w:val="60"/>
        </w:numPr>
        <w:tabs>
          <w:tab w:val="left" w:pos="1221"/>
        </w:tabs>
        <w:spacing w:before="1" w:line="480" w:lineRule="auto"/>
        <w:ind w:right="274" w:firstLine="0"/>
        <w:jc w:val="both"/>
        <w:rPr>
          <w:rFonts w:ascii="Bookman Old Style" w:hAnsi="Bookman Old Style"/>
          <w:sz w:val="28"/>
        </w:rPr>
      </w:pPr>
      <w:r>
        <w:rPr>
          <w:rFonts w:ascii="Bookman Old Style" w:hAnsi="Bookman Old Style"/>
          <w:sz w:val="28"/>
        </w:rPr>
        <w:t xml:space="preserve">It is a universal truth that faith and religion </w:t>
      </w:r>
      <w:r>
        <w:rPr>
          <w:rFonts w:ascii="Bookman Old Style" w:hAnsi="Bookman Old Style"/>
          <w:sz w:val="28"/>
        </w:rPr>
        <w:t>do not countenance discrimination but religious practices are  sometimes seen as perpetuating patriarchy thereby negating the basic tenets of faith and of gender equality and rights. The societal attitudes too centre and revolve around the patriarchal mind</w:t>
      </w:r>
      <w:r>
        <w:rPr>
          <w:rFonts w:ascii="Bookman Old Style" w:hAnsi="Bookman Old Style"/>
          <w:sz w:val="28"/>
        </w:rPr>
        <w:t xml:space="preserve">set thereby derogating the status of women in the social and religious milieu. All religions are simply different paths to reach the Universal One. Religion is basically a way of life to realize </w:t>
      </w:r>
      <w:r>
        <w:rPr>
          <w:rFonts w:ascii="Bookman Old Style" w:hAnsi="Bookman Old Style"/>
          <w:sz w:val="28"/>
        </w:rPr>
        <w:t>o</w:t>
      </w:r>
      <w:r>
        <w:rPr>
          <w:rFonts w:ascii="Bookman Old Style" w:hAnsi="Bookman Old Style"/>
          <w:spacing w:val="-3"/>
          <w:sz w:val="28"/>
        </w:rPr>
        <w:t>n</w:t>
      </w:r>
      <w:r>
        <w:rPr>
          <w:rFonts w:ascii="Bookman Old Style" w:hAnsi="Bookman Old Style"/>
          <w:spacing w:val="2"/>
          <w:sz w:val="28"/>
        </w:rPr>
        <w:t>e</w:t>
      </w:r>
      <w:r>
        <w:rPr>
          <w:rFonts w:ascii="Bookman Old Style" w:hAnsi="Bookman Old Style"/>
          <w:spacing w:val="-2"/>
          <w:w w:val="29"/>
          <w:sz w:val="28"/>
        </w:rPr>
        <w:t>‟</w:t>
      </w:r>
      <w:r>
        <w:rPr>
          <w:rFonts w:ascii="Bookman Old Style" w:hAnsi="Bookman Old Style"/>
          <w:sz w:val="28"/>
        </w:rPr>
        <w:t>s</w:t>
      </w:r>
      <w:r>
        <w:rPr>
          <w:rFonts w:ascii="Bookman Old Style" w:hAnsi="Bookman Old Style"/>
          <w:sz w:val="28"/>
        </w:rPr>
        <w:t xml:space="preserve"> </w:t>
      </w:r>
      <w:r>
        <w:rPr>
          <w:rFonts w:ascii="Bookman Old Style" w:hAnsi="Bookman Old Style"/>
          <w:spacing w:val="-11"/>
          <w:sz w:val="28"/>
        </w:rPr>
        <w:t xml:space="preserve"> </w:t>
      </w:r>
      <w:r>
        <w:rPr>
          <w:rFonts w:ascii="Bookman Old Style" w:hAnsi="Bookman Old Style"/>
          <w:spacing w:val="-3"/>
          <w:sz w:val="28"/>
        </w:rPr>
        <w:t>i</w:t>
      </w:r>
      <w:r>
        <w:rPr>
          <w:rFonts w:ascii="Bookman Old Style" w:hAnsi="Bookman Old Style"/>
          <w:spacing w:val="-2"/>
          <w:sz w:val="28"/>
        </w:rPr>
        <w:t>d</w:t>
      </w:r>
      <w:r>
        <w:rPr>
          <w:rFonts w:ascii="Bookman Old Style" w:hAnsi="Bookman Old Style"/>
          <w:spacing w:val="2"/>
          <w:sz w:val="28"/>
        </w:rPr>
        <w:t>e</w:t>
      </w:r>
      <w:r>
        <w:rPr>
          <w:rFonts w:ascii="Bookman Old Style" w:hAnsi="Bookman Old Style"/>
          <w:spacing w:val="-1"/>
          <w:sz w:val="28"/>
        </w:rPr>
        <w:t>n</w:t>
      </w:r>
      <w:r>
        <w:rPr>
          <w:rFonts w:ascii="Bookman Old Style" w:hAnsi="Bookman Old Style"/>
          <w:spacing w:val="-2"/>
          <w:sz w:val="28"/>
        </w:rPr>
        <w:t>t</w:t>
      </w:r>
      <w:r>
        <w:rPr>
          <w:rFonts w:ascii="Bookman Old Style" w:hAnsi="Bookman Old Style"/>
          <w:sz w:val="28"/>
        </w:rPr>
        <w:t>i</w:t>
      </w:r>
      <w:r>
        <w:rPr>
          <w:rFonts w:ascii="Bookman Old Style" w:hAnsi="Bookman Old Style"/>
          <w:spacing w:val="-2"/>
          <w:sz w:val="28"/>
        </w:rPr>
        <w:t>t</w:t>
      </w:r>
      <w:r>
        <w:rPr>
          <w:rFonts w:ascii="Bookman Old Style" w:hAnsi="Bookman Old Style"/>
          <w:sz w:val="28"/>
        </w:rPr>
        <w:t>y</w:t>
      </w:r>
      <w:r>
        <w:rPr>
          <w:rFonts w:ascii="Bookman Old Style" w:hAnsi="Bookman Old Style"/>
          <w:sz w:val="28"/>
        </w:rPr>
        <w:t xml:space="preserve"> </w:t>
      </w:r>
      <w:r>
        <w:rPr>
          <w:rFonts w:ascii="Bookman Old Style" w:hAnsi="Bookman Old Style"/>
          <w:spacing w:val="-12"/>
          <w:sz w:val="28"/>
        </w:rPr>
        <w:t xml:space="preserve"> </w:t>
      </w:r>
      <w:r>
        <w:rPr>
          <w:rFonts w:ascii="Bookman Old Style" w:hAnsi="Bookman Old Style"/>
          <w:sz w:val="28"/>
        </w:rPr>
        <w:t>w</w:t>
      </w:r>
      <w:r>
        <w:rPr>
          <w:rFonts w:ascii="Bookman Old Style" w:hAnsi="Bookman Old Style"/>
          <w:spacing w:val="-4"/>
          <w:sz w:val="28"/>
        </w:rPr>
        <w:t>i</w:t>
      </w:r>
      <w:r>
        <w:rPr>
          <w:rFonts w:ascii="Bookman Old Style" w:hAnsi="Bookman Old Style"/>
          <w:spacing w:val="-2"/>
          <w:sz w:val="28"/>
        </w:rPr>
        <w:t>t</w:t>
      </w:r>
      <w:r>
        <w:rPr>
          <w:rFonts w:ascii="Bookman Old Style" w:hAnsi="Bookman Old Style"/>
          <w:sz w:val="28"/>
        </w:rPr>
        <w:t>h</w:t>
      </w:r>
      <w:r>
        <w:rPr>
          <w:rFonts w:ascii="Bookman Old Style" w:hAnsi="Bookman Old Style"/>
          <w:sz w:val="28"/>
        </w:rPr>
        <w:t xml:space="preserve"> </w:t>
      </w:r>
      <w:r>
        <w:rPr>
          <w:rFonts w:ascii="Bookman Old Style" w:hAnsi="Bookman Old Style"/>
          <w:spacing w:val="-13"/>
          <w:sz w:val="28"/>
        </w:rPr>
        <w:t xml:space="preserve"> </w:t>
      </w:r>
      <w:r>
        <w:rPr>
          <w:rFonts w:ascii="Bookman Old Style" w:hAnsi="Bookman Old Style"/>
          <w:spacing w:val="-2"/>
          <w:sz w:val="28"/>
        </w:rPr>
        <w:t>t</w:t>
      </w:r>
      <w:r>
        <w:rPr>
          <w:rFonts w:ascii="Bookman Old Style" w:hAnsi="Bookman Old Style"/>
          <w:spacing w:val="-1"/>
          <w:sz w:val="28"/>
        </w:rPr>
        <w:t>h</w:t>
      </w:r>
      <w:r>
        <w:rPr>
          <w:rFonts w:ascii="Bookman Old Style" w:hAnsi="Bookman Old Style"/>
          <w:sz w:val="28"/>
        </w:rPr>
        <w:t>e</w:t>
      </w:r>
      <w:r>
        <w:rPr>
          <w:rFonts w:ascii="Bookman Old Style" w:hAnsi="Bookman Old Style"/>
          <w:sz w:val="28"/>
        </w:rPr>
        <w:t xml:space="preserve"> </w:t>
      </w:r>
      <w:r>
        <w:rPr>
          <w:rFonts w:ascii="Bookman Old Style" w:hAnsi="Bookman Old Style"/>
          <w:spacing w:val="-12"/>
          <w:sz w:val="28"/>
        </w:rPr>
        <w:t xml:space="preserve"> </w:t>
      </w:r>
      <w:r>
        <w:rPr>
          <w:rFonts w:ascii="Bookman Old Style" w:hAnsi="Bookman Old Style"/>
          <w:sz w:val="28"/>
        </w:rPr>
        <w:t>Divin</w:t>
      </w:r>
      <w:r>
        <w:rPr>
          <w:rFonts w:ascii="Bookman Old Style" w:hAnsi="Bookman Old Style"/>
          <w:spacing w:val="-1"/>
          <w:sz w:val="28"/>
        </w:rPr>
        <w:t>i</w:t>
      </w:r>
      <w:r>
        <w:rPr>
          <w:rFonts w:ascii="Bookman Old Style" w:hAnsi="Bookman Old Style"/>
          <w:spacing w:val="-2"/>
          <w:sz w:val="28"/>
        </w:rPr>
        <w:t>t</w:t>
      </w:r>
      <w:r>
        <w:rPr>
          <w:rFonts w:ascii="Bookman Old Style" w:hAnsi="Bookman Old Style"/>
          <w:spacing w:val="-1"/>
          <w:sz w:val="28"/>
        </w:rPr>
        <w:t>y</w:t>
      </w:r>
      <w:r>
        <w:rPr>
          <w:rFonts w:ascii="Bookman Old Style" w:hAnsi="Bookman Old Style"/>
          <w:sz w:val="28"/>
        </w:rPr>
        <w:t>.</w:t>
      </w:r>
      <w:r>
        <w:rPr>
          <w:rFonts w:ascii="Bookman Old Style" w:hAnsi="Bookman Old Style"/>
          <w:sz w:val="28"/>
        </w:rPr>
        <w:t xml:space="preserve"> </w:t>
      </w:r>
      <w:r>
        <w:rPr>
          <w:rFonts w:ascii="Bookman Old Style" w:hAnsi="Bookman Old Style"/>
          <w:spacing w:val="-16"/>
          <w:sz w:val="28"/>
        </w:rPr>
        <w:t xml:space="preserve"> </w:t>
      </w:r>
      <w:r>
        <w:rPr>
          <w:rFonts w:ascii="Bookman Old Style" w:hAnsi="Bookman Old Style"/>
          <w:sz w:val="28"/>
        </w:rPr>
        <w:t>Ho</w:t>
      </w:r>
      <w:r>
        <w:rPr>
          <w:rFonts w:ascii="Bookman Old Style" w:hAnsi="Bookman Old Style"/>
          <w:spacing w:val="-4"/>
          <w:sz w:val="28"/>
        </w:rPr>
        <w:t>w</w:t>
      </w:r>
      <w:r>
        <w:rPr>
          <w:rFonts w:ascii="Bookman Old Style" w:hAnsi="Bookman Old Style"/>
          <w:sz w:val="28"/>
        </w:rPr>
        <w:t>e</w:t>
      </w:r>
      <w:r>
        <w:rPr>
          <w:rFonts w:ascii="Bookman Old Style" w:hAnsi="Bookman Old Style"/>
          <w:spacing w:val="-2"/>
          <w:sz w:val="28"/>
        </w:rPr>
        <w:t>v</w:t>
      </w:r>
      <w:r>
        <w:rPr>
          <w:rFonts w:ascii="Bookman Old Style" w:hAnsi="Bookman Old Style"/>
          <w:spacing w:val="2"/>
          <w:sz w:val="28"/>
        </w:rPr>
        <w:t>e</w:t>
      </w:r>
      <w:r>
        <w:rPr>
          <w:rFonts w:ascii="Bookman Old Style" w:hAnsi="Bookman Old Style"/>
          <w:spacing w:val="-2"/>
          <w:sz w:val="28"/>
        </w:rPr>
        <w:t>r</w:t>
      </w:r>
      <w:r>
        <w:rPr>
          <w:rFonts w:ascii="Bookman Old Style" w:hAnsi="Bookman Old Style"/>
          <w:sz w:val="28"/>
        </w:rPr>
        <w:t>,</w:t>
      </w:r>
      <w:r>
        <w:rPr>
          <w:rFonts w:ascii="Bookman Old Style" w:hAnsi="Bookman Old Style"/>
          <w:sz w:val="28"/>
        </w:rPr>
        <w:t xml:space="preserve"> </w:t>
      </w:r>
      <w:r>
        <w:rPr>
          <w:rFonts w:ascii="Bookman Old Style" w:hAnsi="Bookman Old Style"/>
          <w:spacing w:val="-13"/>
          <w:sz w:val="28"/>
        </w:rPr>
        <w:t xml:space="preserve"> </w:t>
      </w:r>
      <w:r>
        <w:rPr>
          <w:rFonts w:ascii="Bookman Old Style" w:hAnsi="Bookman Old Style"/>
          <w:spacing w:val="-2"/>
          <w:sz w:val="28"/>
        </w:rPr>
        <w:t>c</w:t>
      </w:r>
      <w:r>
        <w:rPr>
          <w:rFonts w:ascii="Bookman Old Style" w:hAnsi="Bookman Old Style"/>
          <w:spacing w:val="2"/>
          <w:sz w:val="28"/>
        </w:rPr>
        <w:t>e</w:t>
      </w:r>
      <w:r>
        <w:rPr>
          <w:rFonts w:ascii="Bookman Old Style" w:hAnsi="Bookman Old Style"/>
          <w:spacing w:val="-2"/>
          <w:sz w:val="28"/>
        </w:rPr>
        <w:t>rt</w:t>
      </w:r>
      <w:r>
        <w:rPr>
          <w:rFonts w:ascii="Bookman Old Style" w:hAnsi="Bookman Old Style"/>
          <w:spacing w:val="-1"/>
          <w:sz w:val="28"/>
        </w:rPr>
        <w:t>ai</w:t>
      </w:r>
      <w:r>
        <w:rPr>
          <w:rFonts w:ascii="Bookman Old Style" w:hAnsi="Bookman Old Style"/>
          <w:sz w:val="28"/>
        </w:rPr>
        <w:t>n</w:t>
      </w:r>
      <w:r>
        <w:rPr>
          <w:rFonts w:ascii="Bookman Old Style" w:hAnsi="Bookman Old Style"/>
          <w:sz w:val="28"/>
        </w:rPr>
        <w:t xml:space="preserve"> </w:t>
      </w:r>
      <w:r>
        <w:rPr>
          <w:rFonts w:ascii="Bookman Old Style" w:hAnsi="Bookman Old Style"/>
          <w:spacing w:val="-15"/>
          <w:sz w:val="28"/>
        </w:rPr>
        <w:t xml:space="preserve"> </w:t>
      </w:r>
      <w:r>
        <w:rPr>
          <w:rFonts w:ascii="Bookman Old Style" w:hAnsi="Bookman Old Style"/>
          <w:spacing w:val="-2"/>
          <w:sz w:val="28"/>
        </w:rPr>
        <w:t>d</w:t>
      </w:r>
      <w:r>
        <w:rPr>
          <w:rFonts w:ascii="Bookman Old Style" w:hAnsi="Bookman Old Style"/>
          <w:sz w:val="28"/>
        </w:rPr>
        <w:t>o</w:t>
      </w:r>
      <w:r>
        <w:rPr>
          <w:rFonts w:ascii="Bookman Old Style" w:hAnsi="Bookman Old Style"/>
          <w:spacing w:val="-1"/>
          <w:sz w:val="28"/>
        </w:rPr>
        <w:t>gm</w:t>
      </w:r>
      <w:r>
        <w:rPr>
          <w:rFonts w:ascii="Bookman Old Style" w:hAnsi="Bookman Old Style"/>
          <w:spacing w:val="-3"/>
          <w:sz w:val="28"/>
        </w:rPr>
        <w:t>a</w:t>
      </w:r>
      <w:r>
        <w:rPr>
          <w:rFonts w:ascii="Bookman Old Style" w:hAnsi="Bookman Old Style"/>
          <w:sz w:val="28"/>
        </w:rPr>
        <w:t>s</w:t>
      </w:r>
      <w:r>
        <w:rPr>
          <w:rFonts w:ascii="Bookman Old Style" w:hAnsi="Bookman Old Style"/>
          <w:sz w:val="28"/>
        </w:rPr>
        <w:t xml:space="preserve"> </w:t>
      </w:r>
      <w:r>
        <w:rPr>
          <w:rFonts w:ascii="Bookman Old Style" w:hAnsi="Bookman Old Style"/>
          <w:spacing w:val="-11"/>
          <w:sz w:val="28"/>
        </w:rPr>
        <w:t xml:space="preserve"> </w:t>
      </w:r>
      <w:r>
        <w:rPr>
          <w:rFonts w:ascii="Bookman Old Style" w:hAnsi="Bookman Old Style"/>
          <w:spacing w:val="-1"/>
          <w:sz w:val="28"/>
        </w:rPr>
        <w:t>a</w:t>
      </w:r>
      <w:r>
        <w:rPr>
          <w:rFonts w:ascii="Bookman Old Style" w:hAnsi="Bookman Old Style"/>
          <w:spacing w:val="-3"/>
          <w:sz w:val="28"/>
        </w:rPr>
        <w:t>n</w:t>
      </w:r>
      <w:r>
        <w:rPr>
          <w:rFonts w:ascii="Bookman Old Style" w:hAnsi="Bookman Old Style"/>
          <w:sz w:val="28"/>
        </w:rPr>
        <w:t xml:space="preserve">d </w:t>
      </w:r>
      <w:r>
        <w:rPr>
          <w:rFonts w:ascii="Bookman Old Style" w:hAnsi="Bookman Old Style"/>
          <w:sz w:val="28"/>
        </w:rPr>
        <w:t xml:space="preserve">exclusionary practices and rituals have resulted in incongruities between the true essence of religion or faith and its practice that has come to be permeated with patriarchal prejudices. Sometimes, in the name of essential and integral facet of </w:t>
      </w:r>
      <w:r>
        <w:rPr>
          <w:rFonts w:ascii="Bookman Old Style" w:hAnsi="Bookman Old Style"/>
          <w:sz w:val="28"/>
        </w:rPr>
        <w:t>the faith, such practices are zealously</w:t>
      </w:r>
      <w:r>
        <w:rPr>
          <w:rFonts w:ascii="Bookman Old Style" w:hAnsi="Bookman Old Style"/>
          <w:spacing w:val="-10"/>
          <w:sz w:val="28"/>
        </w:rPr>
        <w:t xml:space="preserve"> </w:t>
      </w:r>
      <w:r>
        <w:rPr>
          <w:rFonts w:ascii="Bookman Old Style" w:hAnsi="Bookman Old Style"/>
          <w:sz w:val="28"/>
        </w:rPr>
        <w:t>propagated.</w:t>
      </w:r>
    </w:p>
    <w:p w:rsidR="003B2FC0" w:rsidRDefault="003B2FC0">
      <w:pPr>
        <w:pStyle w:val="BodyText"/>
        <w:rPr>
          <w:sz w:val="32"/>
        </w:rPr>
      </w:pPr>
    </w:p>
    <w:p w:rsidR="003B2FC0" w:rsidRDefault="003B2FC0">
      <w:pPr>
        <w:pStyle w:val="BodyText"/>
        <w:rPr>
          <w:sz w:val="32"/>
        </w:rPr>
      </w:pPr>
    </w:p>
    <w:p w:rsidR="003B2FC0" w:rsidRDefault="003B2FC0">
      <w:pPr>
        <w:pStyle w:val="BodyText"/>
        <w:rPr>
          <w:sz w:val="32"/>
        </w:rPr>
      </w:pPr>
    </w:p>
    <w:p w:rsidR="003B2FC0" w:rsidRDefault="003B2FC0">
      <w:pPr>
        <w:pStyle w:val="BodyText"/>
        <w:spacing w:before="6"/>
        <w:rPr>
          <w:sz w:val="46"/>
        </w:rPr>
      </w:pPr>
    </w:p>
    <w:p w:rsidR="003B2FC0" w:rsidRDefault="00052A49">
      <w:pPr>
        <w:pStyle w:val="BodyText"/>
        <w:ind w:left="500"/>
        <w:jc w:val="both"/>
        <w:rPr>
          <w:b/>
        </w:rPr>
      </w:pPr>
      <w:r>
        <w:rPr>
          <w:b/>
          <w:u w:val="single"/>
        </w:rPr>
        <w:t>The Reference</w:t>
      </w:r>
    </w:p>
    <w:p w:rsidR="003B2FC0" w:rsidRDefault="003B2FC0">
      <w:pPr>
        <w:jc w:val="both"/>
        <w:sectPr w:rsidR="003B2FC0">
          <w:pgSz w:w="11910" w:h="16840"/>
          <w:pgMar w:top="1340" w:right="1160" w:bottom="280" w:left="940" w:header="554" w:footer="0" w:gutter="0"/>
          <w:cols w:space="720"/>
        </w:sectPr>
      </w:pPr>
    </w:p>
    <w:p w:rsidR="003B2FC0" w:rsidRDefault="00052A49">
      <w:pPr>
        <w:pStyle w:val="ListParagraph"/>
        <w:numPr>
          <w:ilvl w:val="0"/>
          <w:numId w:val="60"/>
        </w:numPr>
        <w:tabs>
          <w:tab w:val="left" w:pos="945"/>
        </w:tabs>
        <w:spacing w:before="93" w:line="480" w:lineRule="auto"/>
        <w:ind w:right="273" w:firstLine="0"/>
        <w:jc w:val="both"/>
        <w:rPr>
          <w:rFonts w:ascii="Bookman Old Style"/>
          <w:sz w:val="28"/>
        </w:rPr>
      </w:pPr>
      <w:r>
        <w:rPr>
          <w:rFonts w:ascii="Bookman Old Style"/>
          <w:sz w:val="28"/>
        </w:rPr>
        <w:t xml:space="preserve">Having stated so, we will focus on the factual score. The instant writ petition preferred under Article 32 of the Constitution seeks issuance of directions against the </w:t>
      </w:r>
      <w:r>
        <w:rPr>
          <w:rFonts w:ascii="Bookman Old Style"/>
          <w:sz w:val="28"/>
        </w:rPr>
        <w:t>Government of Kerala, Devaswom Board of Travancore, Chief Thanthri of Sabarimala Temple and the District Magistrate of Pathanamthitta to ensure entry of female devotees between the age group of 10</w:t>
      </w:r>
      <w:r>
        <w:rPr>
          <w:rFonts w:ascii="Bookman Old Style"/>
          <w:spacing w:val="39"/>
          <w:sz w:val="28"/>
        </w:rPr>
        <w:t xml:space="preserve"> </w:t>
      </w:r>
      <w:r>
        <w:rPr>
          <w:rFonts w:ascii="Bookman Old Style"/>
          <w:sz w:val="28"/>
        </w:rPr>
        <w:t>to</w:t>
      </w:r>
    </w:p>
    <w:p w:rsidR="003B2FC0" w:rsidRDefault="00052A49">
      <w:pPr>
        <w:pStyle w:val="BodyText"/>
        <w:spacing w:line="480" w:lineRule="auto"/>
        <w:ind w:left="500" w:right="277"/>
        <w:jc w:val="both"/>
      </w:pPr>
      <w:r>
        <w:t xml:space="preserve">50 years to the Lord Ayyappa Temple at Sabarimala (Kerala) which has been denied to them on the basis of certain custom and usage; to declare Rule 3(b) of the Kerala Hindu Places of Public Worship (Authorisation of Entry) Rules, 1965 (for short, “the 1965 </w:t>
      </w:r>
      <w:r>
        <w:t>Rules”) framed in exercise of the powers conferred by Section 4 of the Kerala Hindu Places of Public Worship (Authorisation of Entry) Act, 1965 (for brevity, “the 1965 Act”) as unconstitutional being violative of Articles 14, 15, 25 and 51A(e) of the Const</w:t>
      </w:r>
      <w:r>
        <w:t>itution of India and further to pass directions for the safety of women</w:t>
      </w:r>
      <w:r>
        <w:rPr>
          <w:spacing w:val="-8"/>
        </w:rPr>
        <w:t xml:space="preserve"> </w:t>
      </w:r>
      <w:r>
        <w:t>pilgrims.</w:t>
      </w:r>
    </w:p>
    <w:p w:rsidR="003B2FC0" w:rsidRDefault="00052A49">
      <w:pPr>
        <w:pStyle w:val="ListParagraph"/>
        <w:numPr>
          <w:ilvl w:val="0"/>
          <w:numId w:val="60"/>
        </w:numPr>
        <w:tabs>
          <w:tab w:val="left" w:pos="1221"/>
        </w:tabs>
        <w:spacing w:before="118" w:line="480" w:lineRule="auto"/>
        <w:ind w:right="275" w:firstLine="0"/>
        <w:jc w:val="both"/>
        <w:rPr>
          <w:rFonts w:ascii="Bookman Old Style"/>
          <w:sz w:val="28"/>
        </w:rPr>
      </w:pPr>
      <w:r>
        <w:rPr>
          <w:rFonts w:ascii="Bookman Old Style"/>
          <w:sz w:val="28"/>
        </w:rPr>
        <w:t xml:space="preserve">The three-Judge Bench in </w:t>
      </w:r>
      <w:r>
        <w:rPr>
          <w:rFonts w:ascii="Bookman Old Style"/>
          <w:b/>
          <w:i/>
          <w:sz w:val="28"/>
        </w:rPr>
        <w:t>Indian Young Lawyers Association and others v. State of Kerala and others</w:t>
      </w:r>
      <w:r>
        <w:rPr>
          <w:rFonts w:ascii="Bookman Old Style"/>
          <w:b/>
          <w:position w:val="11"/>
          <w:sz w:val="17"/>
        </w:rPr>
        <w:t>2</w:t>
      </w:r>
      <w:r>
        <w:rPr>
          <w:rFonts w:ascii="Bookman Old Style"/>
          <w:i/>
          <w:sz w:val="28"/>
        </w:rPr>
        <w:t xml:space="preserve">, </w:t>
      </w:r>
      <w:r>
        <w:rPr>
          <w:rFonts w:ascii="Bookman Old Style"/>
          <w:sz w:val="28"/>
        </w:rPr>
        <w:t>keeping in view the gravity of the issues involved, sought the assistance</w:t>
      </w:r>
      <w:r>
        <w:rPr>
          <w:rFonts w:ascii="Bookman Old Style"/>
          <w:sz w:val="28"/>
        </w:rPr>
        <w:t xml:space="preserve"> of Mr. Raju Ramachandran and Mr. K.</w:t>
      </w:r>
      <w:r>
        <w:rPr>
          <w:rFonts w:ascii="Bookman Old Style"/>
          <w:spacing w:val="75"/>
          <w:sz w:val="28"/>
        </w:rPr>
        <w:t xml:space="preserve"> </w:t>
      </w:r>
      <w:r>
        <w:rPr>
          <w:rFonts w:ascii="Bookman Old Style"/>
          <w:sz w:val="28"/>
        </w:rPr>
        <w:t>Ramamoorthy,</w:t>
      </w:r>
    </w:p>
    <w:p w:rsidR="003B2FC0" w:rsidRDefault="003B2FC0">
      <w:pPr>
        <w:spacing w:line="480" w:lineRule="auto"/>
        <w:jc w:val="both"/>
        <w:rPr>
          <w:rFonts w:ascii="Bookman Old Style"/>
          <w:sz w:val="28"/>
        </w:rPr>
        <w:sectPr w:rsidR="003B2FC0">
          <w:footerReference w:type="default" r:id="rId8"/>
          <w:pgSz w:w="11910" w:h="16840"/>
          <w:pgMar w:top="1340" w:right="1160" w:bottom="1700" w:left="940" w:header="554" w:footer="1504" w:gutter="0"/>
          <w:cols w:space="720"/>
        </w:sectPr>
      </w:pPr>
    </w:p>
    <w:p w:rsidR="003B2FC0" w:rsidRDefault="00052A49">
      <w:pPr>
        <w:spacing w:before="95" w:line="480" w:lineRule="auto"/>
        <w:ind w:left="500" w:right="276"/>
        <w:jc w:val="both"/>
        <w:rPr>
          <w:rFonts w:ascii="Bookman Old Style"/>
          <w:sz w:val="28"/>
        </w:rPr>
      </w:pPr>
      <w:r>
        <w:rPr>
          <w:rFonts w:ascii="Bookman Old Style"/>
          <w:sz w:val="28"/>
        </w:rPr>
        <w:t xml:space="preserve">learned senior counsel as </w:t>
      </w:r>
      <w:r>
        <w:rPr>
          <w:rFonts w:ascii="Bookman Old Style"/>
          <w:i/>
          <w:sz w:val="28"/>
        </w:rPr>
        <w:t>Amici Curiae</w:t>
      </w:r>
      <w:r>
        <w:rPr>
          <w:rFonts w:ascii="Bookman Old Style"/>
          <w:sz w:val="28"/>
        </w:rPr>
        <w:t xml:space="preserve">. Thereafter, the three- Judge Bench analyzed the decision and the reasons ascribed by the Kerala High Court in </w:t>
      </w:r>
      <w:r>
        <w:rPr>
          <w:rFonts w:ascii="Bookman Old Style"/>
          <w:b/>
          <w:i/>
          <w:sz w:val="28"/>
        </w:rPr>
        <w:t>S. Mahendran v. The Secretary, Travancore Devaswom Board, Thiruvananthpuram and others</w:t>
      </w:r>
      <w:r>
        <w:rPr>
          <w:rFonts w:ascii="Bookman Old Style"/>
          <w:position w:val="7"/>
          <w:sz w:val="18"/>
        </w:rPr>
        <w:t xml:space="preserve">3 </w:t>
      </w:r>
      <w:r>
        <w:rPr>
          <w:rFonts w:ascii="Bookman Old Style"/>
          <w:sz w:val="28"/>
        </w:rPr>
        <w:t>wherein similar contentions were raised. The Bench took note of the two affidavits dated 13.11.2007 and 05.02.2016 and the contrary stands taken therein by the Governme</w:t>
      </w:r>
      <w:r>
        <w:rPr>
          <w:rFonts w:ascii="Bookman Old Style"/>
          <w:sz w:val="28"/>
        </w:rPr>
        <w:t>nt of Kerala.</w:t>
      </w:r>
    </w:p>
    <w:p w:rsidR="003B2FC0" w:rsidRDefault="00052A49">
      <w:pPr>
        <w:pStyle w:val="ListParagraph"/>
        <w:numPr>
          <w:ilvl w:val="0"/>
          <w:numId w:val="60"/>
        </w:numPr>
        <w:tabs>
          <w:tab w:val="left" w:pos="1221"/>
        </w:tabs>
        <w:spacing w:before="117" w:line="480" w:lineRule="auto"/>
        <w:ind w:right="274" w:firstLine="0"/>
        <w:jc w:val="both"/>
        <w:rPr>
          <w:rFonts w:ascii="Bookman Old Style"/>
          <w:sz w:val="28"/>
        </w:rPr>
      </w:pPr>
      <w:r>
        <w:rPr>
          <w:rFonts w:ascii="Bookman Old Style"/>
          <w:sz w:val="28"/>
        </w:rPr>
        <w:t xml:space="preserve">After recording the submissions advanced by the learned counsel for the petitioners, the respondents as well as by the learned </w:t>
      </w:r>
      <w:r>
        <w:rPr>
          <w:rFonts w:ascii="Bookman Old Style"/>
          <w:i/>
          <w:sz w:val="28"/>
        </w:rPr>
        <w:t>Amici Curiae</w:t>
      </w:r>
      <w:r>
        <w:rPr>
          <w:rFonts w:ascii="Bookman Old Style"/>
          <w:sz w:val="28"/>
        </w:rPr>
        <w:t xml:space="preserve">, the three-Judge Bench considered </w:t>
      </w:r>
      <w:r>
        <w:rPr>
          <w:rFonts w:ascii="Bookman Old Style"/>
          <w:spacing w:val="-3"/>
          <w:sz w:val="28"/>
        </w:rPr>
        <w:t xml:space="preserve">the </w:t>
      </w:r>
      <w:r>
        <w:rPr>
          <w:rFonts w:ascii="Bookman Old Style"/>
          <w:sz w:val="28"/>
        </w:rPr>
        <w:t>questions formulated by the counsel for the parties and, thereaf</w:t>
      </w:r>
      <w:r>
        <w:rPr>
          <w:rFonts w:ascii="Bookman Old Style"/>
          <w:sz w:val="28"/>
        </w:rPr>
        <w:t>ter, framed the following questions for the purpose of reference to the Constitution</w:t>
      </w:r>
      <w:r>
        <w:rPr>
          <w:rFonts w:ascii="Bookman Old Style"/>
          <w:spacing w:val="-7"/>
          <w:sz w:val="28"/>
        </w:rPr>
        <w:t xml:space="preserve"> </w:t>
      </w:r>
      <w:r>
        <w:rPr>
          <w:rFonts w:ascii="Bookman Old Style"/>
          <w:sz w:val="28"/>
        </w:rPr>
        <w:t>Bench:</w:t>
      </w:r>
    </w:p>
    <w:p w:rsidR="003B2FC0" w:rsidRDefault="00052A49">
      <w:pPr>
        <w:pStyle w:val="BodyText"/>
        <w:spacing w:before="120"/>
        <w:ind w:left="1350" w:right="1125"/>
        <w:jc w:val="both"/>
      </w:pPr>
      <w:r>
        <w:t>“1. Whether the exclusionary practice which is based upon a biological factor exclusive to the female gender amounts to "discrimination" and thereby violates the ve</w:t>
      </w:r>
      <w:r>
        <w:t>ry core of Articles 14, 15 and 17 and not</w:t>
      </w:r>
      <w:r>
        <w:rPr>
          <w:spacing w:val="-17"/>
        </w:rPr>
        <w:t xml:space="preserve"> </w:t>
      </w:r>
      <w:r>
        <w:t>protected</w:t>
      </w:r>
      <w:r>
        <w:rPr>
          <w:spacing w:val="-16"/>
        </w:rPr>
        <w:t xml:space="preserve"> </w:t>
      </w:r>
      <w:r>
        <w:t>by</w:t>
      </w:r>
      <w:r>
        <w:rPr>
          <w:spacing w:val="-18"/>
        </w:rPr>
        <w:t xml:space="preserve"> </w:t>
      </w:r>
      <w:r>
        <w:t>„morality‟</w:t>
      </w:r>
      <w:r>
        <w:rPr>
          <w:spacing w:val="-17"/>
        </w:rPr>
        <w:t xml:space="preserve"> </w:t>
      </w:r>
      <w:r>
        <w:t>as</w:t>
      </w:r>
      <w:r>
        <w:rPr>
          <w:spacing w:val="-17"/>
        </w:rPr>
        <w:t xml:space="preserve"> </w:t>
      </w:r>
      <w:r>
        <w:t>used</w:t>
      </w:r>
      <w:r>
        <w:rPr>
          <w:spacing w:val="-17"/>
        </w:rPr>
        <w:t xml:space="preserve"> </w:t>
      </w:r>
      <w:r>
        <w:t>in</w:t>
      </w:r>
      <w:r>
        <w:rPr>
          <w:spacing w:val="-16"/>
        </w:rPr>
        <w:t xml:space="preserve"> </w:t>
      </w:r>
      <w:r>
        <w:t>Articles</w:t>
      </w:r>
      <w:r>
        <w:rPr>
          <w:spacing w:val="-19"/>
        </w:rPr>
        <w:t xml:space="preserve"> </w:t>
      </w:r>
      <w:r>
        <w:t>25</w:t>
      </w:r>
      <w:r>
        <w:rPr>
          <w:spacing w:val="-17"/>
        </w:rPr>
        <w:t xml:space="preserve"> </w:t>
      </w:r>
      <w:r>
        <w:rPr>
          <w:spacing w:val="-13"/>
        </w:rPr>
        <w:t xml:space="preserve">and </w:t>
      </w:r>
      <w:r>
        <w:t>26 of the</w:t>
      </w:r>
      <w:r>
        <w:rPr>
          <w:spacing w:val="-5"/>
        </w:rPr>
        <w:t xml:space="preserve"> </w:t>
      </w:r>
      <w:r>
        <w:t>Constitution?</w:t>
      </w:r>
    </w:p>
    <w:p w:rsidR="003B2FC0" w:rsidRDefault="003B2FC0">
      <w:pPr>
        <w:pStyle w:val="BodyText"/>
        <w:rPr>
          <w:sz w:val="32"/>
        </w:rPr>
      </w:pPr>
    </w:p>
    <w:p w:rsidR="003B2FC0" w:rsidRDefault="00052A49">
      <w:pPr>
        <w:pStyle w:val="ListParagraph"/>
        <w:numPr>
          <w:ilvl w:val="1"/>
          <w:numId w:val="60"/>
        </w:numPr>
        <w:tabs>
          <w:tab w:val="left" w:pos="1782"/>
        </w:tabs>
        <w:spacing w:before="192"/>
        <w:ind w:right="1128" w:firstLine="0"/>
        <w:jc w:val="both"/>
        <w:rPr>
          <w:rFonts w:ascii="Bookman Old Style"/>
          <w:sz w:val="28"/>
        </w:rPr>
      </w:pPr>
      <w:r>
        <w:rPr>
          <w:rFonts w:ascii="Bookman Old Style"/>
          <w:sz w:val="28"/>
        </w:rPr>
        <w:t>Whether the practice of excluding such women constitutes an "essential religious practice"</w:t>
      </w:r>
      <w:r>
        <w:rPr>
          <w:rFonts w:ascii="Bookman Old Style"/>
          <w:sz w:val="28"/>
        </w:rPr>
        <w:t xml:space="preserve"> under Article 25 and whether a religious institution can assert a claim in that regard under the umbrella of right to manage its own affairs in the matters of religion?</w:t>
      </w:r>
    </w:p>
    <w:p w:rsidR="003B2FC0" w:rsidRDefault="003B2FC0">
      <w:pPr>
        <w:jc w:val="both"/>
        <w:rPr>
          <w:rFonts w:ascii="Bookman Old Style"/>
          <w:sz w:val="28"/>
        </w:rPr>
        <w:sectPr w:rsidR="003B2FC0">
          <w:footerReference w:type="default" r:id="rId9"/>
          <w:pgSz w:w="11910" w:h="16840"/>
          <w:pgMar w:top="1340" w:right="1160" w:bottom="1700" w:left="940" w:header="554" w:footer="1504" w:gutter="0"/>
          <w:cols w:space="720"/>
        </w:sectPr>
      </w:pPr>
    </w:p>
    <w:p w:rsidR="003B2FC0" w:rsidRDefault="003B2FC0">
      <w:pPr>
        <w:pStyle w:val="BodyText"/>
        <w:rPr>
          <w:sz w:val="20"/>
        </w:rPr>
      </w:pPr>
    </w:p>
    <w:p w:rsidR="003B2FC0" w:rsidRDefault="003B2FC0">
      <w:pPr>
        <w:pStyle w:val="BodyText"/>
        <w:spacing w:before="6"/>
        <w:rPr>
          <w:sz w:val="17"/>
        </w:rPr>
      </w:pPr>
    </w:p>
    <w:p w:rsidR="003B2FC0" w:rsidRDefault="00052A49">
      <w:pPr>
        <w:pStyle w:val="ListParagraph"/>
        <w:numPr>
          <w:ilvl w:val="1"/>
          <w:numId w:val="60"/>
        </w:numPr>
        <w:tabs>
          <w:tab w:val="left" w:pos="1775"/>
        </w:tabs>
        <w:spacing w:before="101"/>
        <w:ind w:right="1126" w:firstLine="0"/>
        <w:jc w:val="both"/>
        <w:rPr>
          <w:rFonts w:ascii="Bookman Old Style"/>
          <w:sz w:val="28"/>
        </w:rPr>
      </w:pPr>
      <w:r>
        <w:rPr>
          <w:rFonts w:ascii="Bookman Old Style"/>
          <w:sz w:val="28"/>
        </w:rPr>
        <w:t>Whether Ayyappa Temple has a denomin</w:t>
      </w:r>
      <w:r>
        <w:rPr>
          <w:rFonts w:ascii="Bookman Old Style"/>
          <w:sz w:val="28"/>
        </w:rPr>
        <w:t>ational character and, if so, is it permissible on the part of a 'religious denomination' managed by a statutory board and financed under Article 290-A of the Constitution of India out of the Consolidated Fund of Kerala and Tamil Nadu to indulge in such pr</w:t>
      </w:r>
      <w:r>
        <w:rPr>
          <w:rFonts w:ascii="Bookman Old Style"/>
          <w:sz w:val="28"/>
        </w:rPr>
        <w:t>actices violating constitutional principles/ morality embedded in Articles 14, 15(3), 39(a) and</w:t>
      </w:r>
      <w:r>
        <w:rPr>
          <w:rFonts w:ascii="Bookman Old Style"/>
          <w:spacing w:val="-11"/>
          <w:sz w:val="28"/>
        </w:rPr>
        <w:t xml:space="preserve"> </w:t>
      </w:r>
      <w:r>
        <w:rPr>
          <w:rFonts w:ascii="Bookman Old Style"/>
          <w:sz w:val="28"/>
        </w:rPr>
        <w:t>51-A(e)?</w:t>
      </w:r>
    </w:p>
    <w:p w:rsidR="003B2FC0" w:rsidRDefault="003B2FC0">
      <w:pPr>
        <w:pStyle w:val="BodyText"/>
        <w:rPr>
          <w:sz w:val="32"/>
        </w:rPr>
      </w:pPr>
    </w:p>
    <w:p w:rsidR="003B2FC0" w:rsidRDefault="00052A49">
      <w:pPr>
        <w:pStyle w:val="ListParagraph"/>
        <w:numPr>
          <w:ilvl w:val="1"/>
          <w:numId w:val="60"/>
        </w:numPr>
        <w:tabs>
          <w:tab w:val="left" w:pos="1789"/>
        </w:tabs>
        <w:spacing w:before="190"/>
        <w:ind w:right="1126" w:firstLine="0"/>
        <w:jc w:val="both"/>
        <w:rPr>
          <w:rFonts w:ascii="Bookman Old Style"/>
          <w:sz w:val="28"/>
        </w:rPr>
      </w:pPr>
      <w:r>
        <w:rPr>
          <w:rFonts w:ascii="Bookman Old Style"/>
          <w:sz w:val="28"/>
        </w:rPr>
        <w:t>Whether Rule 3 of the Kerala Hindu Places of Public Worship (Authorisation of Entry) Rules permits 'religious denomination' to ban entry of women betw</w:t>
      </w:r>
      <w:r>
        <w:rPr>
          <w:rFonts w:ascii="Bookman Old Style"/>
          <w:sz w:val="28"/>
        </w:rPr>
        <w:t>een the age of 10 to 50 years? And if so, would it not play foul of Articles 14 and 15(3) of the Constitution by restricting entry of women on the ground of</w:t>
      </w:r>
      <w:r>
        <w:rPr>
          <w:rFonts w:ascii="Bookman Old Style"/>
          <w:spacing w:val="-3"/>
          <w:sz w:val="28"/>
        </w:rPr>
        <w:t xml:space="preserve"> </w:t>
      </w:r>
      <w:r>
        <w:rPr>
          <w:rFonts w:ascii="Bookman Old Style"/>
          <w:sz w:val="28"/>
        </w:rPr>
        <w:t>sex?</w:t>
      </w:r>
    </w:p>
    <w:p w:rsidR="003B2FC0" w:rsidRDefault="003B2FC0">
      <w:pPr>
        <w:pStyle w:val="BodyText"/>
        <w:rPr>
          <w:sz w:val="32"/>
        </w:rPr>
      </w:pPr>
    </w:p>
    <w:p w:rsidR="003B2FC0" w:rsidRDefault="00052A49">
      <w:pPr>
        <w:pStyle w:val="ListParagraph"/>
        <w:numPr>
          <w:ilvl w:val="1"/>
          <w:numId w:val="60"/>
        </w:numPr>
        <w:tabs>
          <w:tab w:val="left" w:pos="1753"/>
        </w:tabs>
        <w:spacing w:before="192"/>
        <w:ind w:right="1124" w:firstLine="0"/>
        <w:jc w:val="both"/>
        <w:rPr>
          <w:rFonts w:ascii="Bookman Old Style" w:hAnsi="Bookman Old Style"/>
          <w:sz w:val="28"/>
        </w:rPr>
      </w:pPr>
      <w:r>
        <w:rPr>
          <w:rFonts w:ascii="Bookman Old Style" w:hAnsi="Bookman Old Style"/>
          <w:sz w:val="28"/>
        </w:rPr>
        <w:t xml:space="preserve">Whether Rule 3(b) of the Kerala Hindu Places of Public Worship (Authorization of Entry) Rules, 1965 is </w:t>
      </w:r>
      <w:r>
        <w:rPr>
          <w:rFonts w:ascii="Bookman Old Style" w:hAnsi="Bookman Old Style"/>
          <w:i/>
          <w:sz w:val="28"/>
        </w:rPr>
        <w:t xml:space="preserve">ultra vires </w:t>
      </w:r>
      <w:r>
        <w:rPr>
          <w:rFonts w:ascii="Bookman Old Style" w:hAnsi="Bookman Old Style"/>
          <w:sz w:val="28"/>
        </w:rPr>
        <w:t xml:space="preserve">the Kerala Hindu Places of Public Worship (Authorisation of Entry) Act, 1965 and , if treated to be </w:t>
      </w:r>
      <w:r>
        <w:rPr>
          <w:rFonts w:ascii="Bookman Old Style" w:hAnsi="Bookman Old Style"/>
          <w:i/>
          <w:sz w:val="28"/>
        </w:rPr>
        <w:t>intra vires</w:t>
      </w:r>
      <w:r>
        <w:rPr>
          <w:rFonts w:ascii="Bookman Old Style" w:hAnsi="Bookman Old Style"/>
          <w:sz w:val="28"/>
        </w:rPr>
        <w:t>, whether it will be violative of the provisions of Part III of the</w:t>
      </w:r>
      <w:r>
        <w:rPr>
          <w:rFonts w:ascii="Bookman Old Style" w:hAnsi="Bookman Old Style"/>
          <w:spacing w:val="-16"/>
          <w:sz w:val="28"/>
        </w:rPr>
        <w:t xml:space="preserve"> </w:t>
      </w:r>
      <w:r>
        <w:rPr>
          <w:rFonts w:ascii="Bookman Old Style" w:hAnsi="Bookman Old Style"/>
          <w:sz w:val="28"/>
        </w:rPr>
        <w:t>Constitution?”</w:t>
      </w:r>
    </w:p>
    <w:p w:rsidR="003B2FC0" w:rsidRDefault="003B2FC0">
      <w:pPr>
        <w:pStyle w:val="BodyText"/>
        <w:rPr>
          <w:sz w:val="32"/>
        </w:rPr>
      </w:pPr>
    </w:p>
    <w:p w:rsidR="003B2FC0" w:rsidRDefault="00052A49">
      <w:pPr>
        <w:pStyle w:val="ListParagraph"/>
        <w:numPr>
          <w:ilvl w:val="0"/>
          <w:numId w:val="60"/>
        </w:numPr>
        <w:tabs>
          <w:tab w:val="left" w:pos="1355"/>
        </w:tabs>
        <w:spacing w:before="191" w:line="480" w:lineRule="auto"/>
        <w:ind w:right="279" w:firstLine="0"/>
        <w:jc w:val="both"/>
        <w:rPr>
          <w:rFonts w:ascii="Bookman Old Style"/>
          <w:sz w:val="28"/>
        </w:rPr>
      </w:pPr>
      <w:r>
        <w:rPr>
          <w:rFonts w:ascii="Bookman Old Style"/>
          <w:sz w:val="28"/>
        </w:rPr>
        <w:t>Because of the aforesaid reference, the matter has been placed before</w:t>
      </w:r>
      <w:r>
        <w:rPr>
          <w:rFonts w:ascii="Bookman Old Style"/>
          <w:spacing w:val="-4"/>
          <w:sz w:val="28"/>
        </w:rPr>
        <w:t xml:space="preserve"> </w:t>
      </w:r>
      <w:r>
        <w:rPr>
          <w:rFonts w:ascii="Bookman Old Style"/>
          <w:sz w:val="28"/>
        </w:rPr>
        <w:t>us.</w:t>
      </w:r>
    </w:p>
    <w:p w:rsidR="003B2FC0" w:rsidRDefault="00052A49">
      <w:pPr>
        <w:pStyle w:val="ListParagraph"/>
        <w:numPr>
          <w:ilvl w:val="0"/>
          <w:numId w:val="60"/>
        </w:numPr>
        <w:tabs>
          <w:tab w:val="left" w:pos="1221"/>
        </w:tabs>
        <w:spacing w:before="119" w:line="480" w:lineRule="auto"/>
        <w:ind w:right="277" w:firstLine="0"/>
        <w:jc w:val="both"/>
        <w:rPr>
          <w:rFonts w:ascii="Bookman Old Style"/>
          <w:sz w:val="28"/>
        </w:rPr>
      </w:pPr>
      <w:r>
        <w:rPr>
          <w:rFonts w:ascii="Bookman Old Style"/>
          <w:sz w:val="28"/>
        </w:rPr>
        <w:t xml:space="preserve">It is also worthy to note here that the Division Bench of the High Court of Kerala, in </w:t>
      </w:r>
      <w:r>
        <w:rPr>
          <w:rFonts w:ascii="Bookman Old Style"/>
          <w:b/>
          <w:i/>
          <w:sz w:val="28"/>
        </w:rPr>
        <w:t>S. Mahendra</w:t>
      </w:r>
      <w:r>
        <w:rPr>
          <w:rFonts w:ascii="Bookman Old Style"/>
          <w:b/>
          <w:i/>
          <w:sz w:val="28"/>
        </w:rPr>
        <w:t xml:space="preserve">n </w:t>
      </w:r>
      <w:r>
        <w:rPr>
          <w:rFonts w:ascii="Bookman Old Style"/>
          <w:sz w:val="28"/>
        </w:rPr>
        <w:t>(supra), upheld the practice of banning entry of women belonging to the age group of 10 to 50 years in the Sabarimala temple during any time of the year. The High Court posed the following</w:t>
      </w:r>
      <w:r>
        <w:rPr>
          <w:rFonts w:ascii="Bookman Old Style"/>
          <w:spacing w:val="-10"/>
          <w:sz w:val="28"/>
        </w:rPr>
        <w:t xml:space="preserve"> </w:t>
      </w:r>
      <w:r>
        <w:rPr>
          <w:rFonts w:ascii="Bookman Old Style"/>
          <w:sz w:val="28"/>
        </w:rPr>
        <w:t>questions:</w:t>
      </w:r>
    </w:p>
    <w:p w:rsidR="003B2FC0" w:rsidRDefault="003B2FC0">
      <w:pPr>
        <w:spacing w:line="480" w:lineRule="auto"/>
        <w:jc w:val="both"/>
        <w:rPr>
          <w:rFonts w:ascii="Bookman Old Style"/>
          <w:sz w:val="28"/>
        </w:rPr>
        <w:sectPr w:rsidR="003B2FC0">
          <w:footerReference w:type="default" r:id="rId10"/>
          <w:pgSz w:w="11910" w:h="16840"/>
          <w:pgMar w:top="1340" w:right="1160" w:bottom="280" w:left="940" w:header="554" w:footer="0" w:gutter="0"/>
          <w:cols w:space="720"/>
        </w:sectPr>
      </w:pPr>
    </w:p>
    <w:p w:rsidR="003B2FC0" w:rsidRDefault="00052A49">
      <w:pPr>
        <w:pStyle w:val="BodyText"/>
        <w:spacing w:before="93"/>
        <w:ind w:left="1350" w:right="1130"/>
        <w:jc w:val="both"/>
      </w:pPr>
      <w:r>
        <w:t>“(1) Whether woman of the age group</w:t>
      </w:r>
      <w:r>
        <w:t xml:space="preserve"> 10 to 50 can be permitted to enter the Sabarimala temple at any period of the year or during any of the festivals or poojas conducted in the temple.</w:t>
      </w:r>
    </w:p>
    <w:p w:rsidR="003B2FC0" w:rsidRDefault="00052A49">
      <w:pPr>
        <w:pStyle w:val="ListParagraph"/>
        <w:numPr>
          <w:ilvl w:val="0"/>
          <w:numId w:val="59"/>
        </w:numPr>
        <w:tabs>
          <w:tab w:val="left" w:pos="1900"/>
        </w:tabs>
        <w:spacing w:before="240"/>
        <w:ind w:right="1129" w:firstLine="0"/>
        <w:jc w:val="both"/>
        <w:rPr>
          <w:rFonts w:ascii="Bookman Old Style"/>
          <w:sz w:val="28"/>
        </w:rPr>
      </w:pPr>
      <w:r>
        <w:rPr>
          <w:rFonts w:ascii="Bookman Old Style"/>
          <w:sz w:val="28"/>
        </w:rPr>
        <w:t>Whether the denial of entry of that class of woman amounts to discrimination and violative of Articles 15,</w:t>
      </w:r>
      <w:r>
        <w:rPr>
          <w:rFonts w:ascii="Bookman Old Style"/>
          <w:sz w:val="28"/>
        </w:rPr>
        <w:t xml:space="preserve"> 25 and 26 of the Constitution of India, and</w:t>
      </w:r>
    </w:p>
    <w:p w:rsidR="003B2FC0" w:rsidRDefault="00052A49">
      <w:pPr>
        <w:pStyle w:val="ListParagraph"/>
        <w:numPr>
          <w:ilvl w:val="0"/>
          <w:numId w:val="59"/>
        </w:numPr>
        <w:tabs>
          <w:tab w:val="left" w:pos="1792"/>
        </w:tabs>
        <w:spacing w:before="241"/>
        <w:ind w:right="1125" w:firstLine="0"/>
        <w:jc w:val="both"/>
        <w:rPr>
          <w:rFonts w:ascii="Bookman Old Style" w:hAnsi="Bookman Old Style"/>
          <w:sz w:val="28"/>
        </w:rPr>
      </w:pPr>
      <w:r>
        <w:rPr>
          <w:rFonts w:ascii="Bookman Old Style" w:hAnsi="Bookman Old Style"/>
          <w:sz w:val="28"/>
        </w:rPr>
        <w:t>Whether directions can be issued by this Court to the Devaswom Board and the Government of Kerala to restrict the entry of such woman to the</w:t>
      </w:r>
      <w:r>
        <w:rPr>
          <w:rFonts w:ascii="Bookman Old Style" w:hAnsi="Bookman Old Style"/>
          <w:spacing w:val="-17"/>
          <w:sz w:val="28"/>
        </w:rPr>
        <w:t xml:space="preserve"> </w:t>
      </w:r>
      <w:r>
        <w:rPr>
          <w:rFonts w:ascii="Bookman Old Style" w:hAnsi="Bookman Old Style"/>
          <w:sz w:val="28"/>
        </w:rPr>
        <w:t>temple?”</w:t>
      </w:r>
    </w:p>
    <w:p w:rsidR="003B2FC0" w:rsidRDefault="003B2FC0">
      <w:pPr>
        <w:pStyle w:val="BodyText"/>
        <w:rPr>
          <w:sz w:val="32"/>
        </w:rPr>
      </w:pPr>
    </w:p>
    <w:p w:rsidR="003B2FC0" w:rsidRDefault="00052A49">
      <w:pPr>
        <w:pStyle w:val="ListParagraph"/>
        <w:numPr>
          <w:ilvl w:val="0"/>
          <w:numId w:val="60"/>
        </w:numPr>
        <w:tabs>
          <w:tab w:val="left" w:pos="1220"/>
          <w:tab w:val="left" w:pos="1221"/>
          <w:tab w:val="left" w:pos="1963"/>
          <w:tab w:val="left" w:pos="2846"/>
          <w:tab w:val="left" w:pos="3954"/>
          <w:tab w:val="left" w:pos="4820"/>
          <w:tab w:val="left" w:pos="5957"/>
          <w:tab w:val="left" w:pos="6633"/>
          <w:tab w:val="left" w:pos="8112"/>
        </w:tabs>
        <w:spacing w:before="191" w:line="477" w:lineRule="auto"/>
        <w:ind w:right="279" w:firstLine="0"/>
        <w:rPr>
          <w:rFonts w:ascii="Bookman Old Style"/>
          <w:sz w:val="28"/>
        </w:rPr>
      </w:pPr>
      <w:r>
        <w:rPr>
          <w:rFonts w:ascii="Bookman Old Style"/>
          <w:sz w:val="28"/>
        </w:rPr>
        <w:t>The</w:t>
      </w:r>
      <w:r>
        <w:rPr>
          <w:rFonts w:ascii="Bookman Old Style"/>
          <w:sz w:val="28"/>
        </w:rPr>
        <w:tab/>
        <w:t>High</w:t>
      </w:r>
      <w:r>
        <w:rPr>
          <w:rFonts w:ascii="Bookman Old Style"/>
          <w:sz w:val="28"/>
        </w:rPr>
        <w:tab/>
        <w:t>Court,</w:t>
      </w:r>
      <w:r>
        <w:rPr>
          <w:rFonts w:ascii="Bookman Old Style"/>
          <w:sz w:val="28"/>
        </w:rPr>
        <w:tab/>
        <w:t>after</w:t>
      </w:r>
      <w:r>
        <w:rPr>
          <w:rFonts w:ascii="Bookman Old Style"/>
          <w:sz w:val="28"/>
        </w:rPr>
        <w:tab/>
        <w:t>posing</w:t>
      </w:r>
      <w:r>
        <w:rPr>
          <w:rFonts w:ascii="Bookman Old Style"/>
          <w:sz w:val="28"/>
        </w:rPr>
        <w:tab/>
        <w:t>the</w:t>
      </w:r>
      <w:r>
        <w:rPr>
          <w:rFonts w:ascii="Bookman Old Style"/>
          <w:sz w:val="28"/>
        </w:rPr>
        <w:tab/>
        <w:t>aforesaid</w:t>
      </w:r>
      <w:r>
        <w:rPr>
          <w:rFonts w:ascii="Bookman Old Style"/>
          <w:sz w:val="28"/>
        </w:rPr>
        <w:tab/>
      </w:r>
      <w:r>
        <w:rPr>
          <w:rFonts w:ascii="Bookman Old Style"/>
          <w:spacing w:val="-3"/>
          <w:sz w:val="28"/>
        </w:rPr>
        <w:t xml:space="preserve">questions, </w:t>
      </w:r>
      <w:r>
        <w:rPr>
          <w:rFonts w:ascii="Bookman Old Style"/>
          <w:sz w:val="28"/>
        </w:rPr>
        <w:t>observed</w:t>
      </w:r>
      <w:r>
        <w:rPr>
          <w:rFonts w:ascii="Bookman Old Style"/>
          <w:spacing w:val="-1"/>
          <w:sz w:val="28"/>
        </w:rPr>
        <w:t xml:space="preserve"> </w:t>
      </w:r>
      <w:r>
        <w:rPr>
          <w:rFonts w:ascii="Bookman Old Style"/>
          <w:sz w:val="28"/>
        </w:rPr>
        <w:t>thus:</w:t>
      </w:r>
    </w:p>
    <w:p w:rsidR="003B2FC0" w:rsidRDefault="00052A49">
      <w:pPr>
        <w:pStyle w:val="BodyText"/>
        <w:spacing w:before="125"/>
        <w:ind w:left="1350" w:right="1126"/>
        <w:jc w:val="both"/>
      </w:pPr>
      <w:r>
        <w:t>“40. The deity in Sabarimala temple is in the form of a Yogi or a Bramchari according to the Thanthri of the temple. He stated that there are Sasta temples at Achankovil, Aryankavu and Kulathupuzha, but the deities there are in different for</w:t>
      </w:r>
      <w:r>
        <w:t>ms. Puthumana Narayanan Namboodiri, a Thanthrimukhya recognised by the Travancore Devaswom Board, while examined as C.W. 1 stated that God in Sabarimala is in the form of aNaisthikBramchari. That, according to him, is the reason why young women are not per</w:t>
      </w:r>
      <w:r>
        <w:t>mitted to offer prayers in the temple.</w:t>
      </w:r>
    </w:p>
    <w:p w:rsidR="003B2FC0" w:rsidRDefault="00052A49">
      <w:pPr>
        <w:pStyle w:val="BodyText"/>
        <w:spacing w:before="120"/>
        <w:ind w:left="1350" w:right="1128"/>
        <w:jc w:val="both"/>
      </w:pPr>
      <w:r>
        <w:t xml:space="preserve">41. Since the deity is in the form of a Naisthik Brahmachari, it is therefore believed that young women should not offer worship in the temple so that even the slightest deviation from celibacy and austerity observed </w:t>
      </w:r>
      <w:r>
        <w:t>by the deity is not caused by the presence of such</w:t>
      </w:r>
      <w:r>
        <w:rPr>
          <w:spacing w:val="-6"/>
        </w:rPr>
        <w:t xml:space="preserve"> </w:t>
      </w:r>
      <w:r>
        <w:t>women.”</w:t>
      </w:r>
    </w:p>
    <w:p w:rsidR="003B2FC0" w:rsidRDefault="00052A49">
      <w:pPr>
        <w:pStyle w:val="BodyText"/>
        <w:spacing w:before="239"/>
        <w:ind w:left="500"/>
      </w:pPr>
      <w:r>
        <w:t>And again:</w:t>
      </w:r>
    </w:p>
    <w:p w:rsidR="003B2FC0" w:rsidRDefault="00052A49">
      <w:pPr>
        <w:pStyle w:val="BodyText"/>
        <w:spacing w:before="242"/>
        <w:ind w:left="1350" w:right="1129"/>
        <w:jc w:val="both"/>
      </w:pPr>
      <w:r>
        <w:t>“… We are therefore of the opinion that the usage of woman of the age group 10 to 50 not being permitted to enter the temple and its precincts had been made</w:t>
      </w:r>
    </w:p>
    <w:p w:rsidR="003B2FC0" w:rsidRDefault="003B2FC0">
      <w:pPr>
        <w:jc w:val="both"/>
        <w:sectPr w:rsidR="003B2FC0">
          <w:headerReference w:type="default" r:id="rId11"/>
          <w:footerReference w:type="default" r:id="rId12"/>
          <w:pgSz w:w="11910" w:h="16840"/>
          <w:pgMar w:top="1340" w:right="1160" w:bottom="280" w:left="940" w:header="554" w:footer="0" w:gutter="0"/>
          <w:pgNumType w:start="8"/>
          <w:cols w:space="720"/>
        </w:sectPr>
      </w:pPr>
    </w:p>
    <w:p w:rsidR="003B2FC0" w:rsidRDefault="00052A49">
      <w:pPr>
        <w:pStyle w:val="BodyText"/>
        <w:spacing w:before="93"/>
        <w:ind w:left="1350" w:right="1129"/>
        <w:jc w:val="both"/>
      </w:pPr>
      <w:r>
        <w:t>applicable throughout the year and there is no reason why they should be permitted to offer worship during specified days when they are not in a position to observe penance for 41 days due to physiological reasons. In short, woman</w:t>
      </w:r>
      <w:r>
        <w:t xml:space="preserve"> after menarche up to menopause are not entitled to enter the temple and offer prayars there at any time of the</w:t>
      </w:r>
      <w:r>
        <w:rPr>
          <w:spacing w:val="-13"/>
        </w:rPr>
        <w:t xml:space="preserve"> </w:t>
      </w:r>
      <w:r>
        <w:t>year.”</w:t>
      </w:r>
    </w:p>
    <w:p w:rsidR="003B2FC0" w:rsidRDefault="003B2FC0">
      <w:pPr>
        <w:pStyle w:val="BodyText"/>
        <w:rPr>
          <w:sz w:val="32"/>
        </w:rPr>
      </w:pPr>
    </w:p>
    <w:p w:rsidR="003B2FC0" w:rsidRDefault="00052A49">
      <w:pPr>
        <w:pStyle w:val="ListParagraph"/>
        <w:numPr>
          <w:ilvl w:val="0"/>
          <w:numId w:val="60"/>
        </w:numPr>
        <w:tabs>
          <w:tab w:val="left" w:pos="1220"/>
          <w:tab w:val="left" w:pos="1221"/>
        </w:tabs>
        <w:spacing w:before="191" w:line="480" w:lineRule="auto"/>
        <w:ind w:right="279" w:firstLine="0"/>
        <w:rPr>
          <w:rFonts w:ascii="Bookman Old Style"/>
          <w:sz w:val="28"/>
        </w:rPr>
      </w:pPr>
      <w:r>
        <w:rPr>
          <w:rFonts w:ascii="Bookman Old Style"/>
          <w:sz w:val="28"/>
        </w:rPr>
        <w:t>Analysing so, the High Court recorded its conclusions which read</w:t>
      </w:r>
      <w:r>
        <w:rPr>
          <w:rFonts w:ascii="Bookman Old Style"/>
          <w:spacing w:val="-1"/>
          <w:sz w:val="28"/>
        </w:rPr>
        <w:t xml:space="preserve"> </w:t>
      </w:r>
      <w:r>
        <w:rPr>
          <w:rFonts w:ascii="Bookman Old Style"/>
          <w:sz w:val="28"/>
        </w:rPr>
        <w:t>thus:</w:t>
      </w:r>
    </w:p>
    <w:p w:rsidR="003B2FC0" w:rsidRDefault="00052A49">
      <w:pPr>
        <w:pStyle w:val="BodyText"/>
        <w:spacing w:before="119"/>
        <w:ind w:left="1350" w:right="1129"/>
        <w:jc w:val="both"/>
      </w:pPr>
      <w:r>
        <w:t>“(1) The restriction imposed on women aged above 10 and below 50 from trekking the holy hills of Sabarimala and offering worship at Sabarimala Shrine is in accordance with the usage prevalent from time</w:t>
      </w:r>
      <w:r>
        <w:rPr>
          <w:spacing w:val="-1"/>
        </w:rPr>
        <w:t xml:space="preserve"> </w:t>
      </w:r>
      <w:r>
        <w:t>immemorial.</w:t>
      </w:r>
    </w:p>
    <w:p w:rsidR="003B2FC0" w:rsidRDefault="00052A49">
      <w:pPr>
        <w:pStyle w:val="ListParagraph"/>
        <w:numPr>
          <w:ilvl w:val="0"/>
          <w:numId w:val="58"/>
        </w:numPr>
        <w:tabs>
          <w:tab w:val="left" w:pos="1792"/>
        </w:tabs>
        <w:spacing w:before="118"/>
        <w:ind w:right="1127" w:firstLine="0"/>
        <w:jc w:val="both"/>
        <w:rPr>
          <w:rFonts w:ascii="Bookman Old Style"/>
          <w:sz w:val="28"/>
        </w:rPr>
      </w:pPr>
      <w:r>
        <w:rPr>
          <w:rFonts w:ascii="Bookman Old Style"/>
          <w:sz w:val="28"/>
        </w:rPr>
        <w:t>Such restriction imposed by the Devaswom B</w:t>
      </w:r>
      <w:r>
        <w:rPr>
          <w:rFonts w:ascii="Bookman Old Style"/>
          <w:sz w:val="28"/>
        </w:rPr>
        <w:t>oard is not violative of Articles 15, 25 and 26 of the Constitution of</w:t>
      </w:r>
      <w:r>
        <w:rPr>
          <w:rFonts w:ascii="Bookman Old Style"/>
          <w:spacing w:val="-8"/>
          <w:sz w:val="28"/>
        </w:rPr>
        <w:t xml:space="preserve"> </w:t>
      </w:r>
      <w:r>
        <w:rPr>
          <w:rFonts w:ascii="Bookman Old Style"/>
          <w:sz w:val="28"/>
        </w:rPr>
        <w:t>India.</w:t>
      </w:r>
    </w:p>
    <w:p w:rsidR="003B2FC0" w:rsidRDefault="00052A49">
      <w:pPr>
        <w:pStyle w:val="ListParagraph"/>
        <w:numPr>
          <w:ilvl w:val="0"/>
          <w:numId w:val="58"/>
        </w:numPr>
        <w:tabs>
          <w:tab w:val="left" w:pos="1924"/>
        </w:tabs>
        <w:spacing w:before="121"/>
        <w:ind w:right="1125" w:firstLine="0"/>
        <w:jc w:val="both"/>
        <w:rPr>
          <w:rFonts w:ascii="Bookman Old Style" w:hAnsi="Bookman Old Style"/>
          <w:sz w:val="28"/>
        </w:rPr>
      </w:pPr>
      <w:r>
        <w:rPr>
          <w:rFonts w:ascii="Bookman Old Style" w:hAnsi="Bookman Old Style"/>
          <w:sz w:val="28"/>
        </w:rPr>
        <w:t>Such restriction is also not violative of the provisions of Hindu Place of Public Worship (Authorisation of Entry) Act, 1965 since there is no restriction between one section and</w:t>
      </w:r>
      <w:r>
        <w:rPr>
          <w:rFonts w:ascii="Bookman Old Style" w:hAnsi="Bookman Old Style"/>
          <w:sz w:val="28"/>
        </w:rPr>
        <w:t xml:space="preserve"> another section or between one class and another class among the Hindus in the matter of entry to a temple whereas the prohibition is only in respect of women of a particular age group and not women as a</w:t>
      </w:r>
      <w:r>
        <w:rPr>
          <w:rFonts w:ascii="Bookman Old Style" w:hAnsi="Bookman Old Style"/>
          <w:spacing w:val="-12"/>
          <w:sz w:val="28"/>
        </w:rPr>
        <w:t xml:space="preserve"> </w:t>
      </w:r>
      <w:r>
        <w:rPr>
          <w:rFonts w:ascii="Bookman Old Style" w:hAnsi="Bookman Old Style"/>
          <w:sz w:val="28"/>
        </w:rPr>
        <w:t>class.”</w:t>
      </w:r>
    </w:p>
    <w:p w:rsidR="003B2FC0" w:rsidRDefault="003B2FC0">
      <w:pPr>
        <w:pStyle w:val="BodyText"/>
        <w:rPr>
          <w:sz w:val="32"/>
        </w:rPr>
      </w:pPr>
    </w:p>
    <w:p w:rsidR="003B2FC0" w:rsidRDefault="00052A49">
      <w:pPr>
        <w:pStyle w:val="BodyText"/>
        <w:spacing w:before="192"/>
        <w:ind w:left="500"/>
        <w:rPr>
          <w:b/>
        </w:rPr>
      </w:pPr>
      <w:r>
        <w:rPr>
          <w:b/>
          <w:u w:val="single"/>
        </w:rPr>
        <w:t>Submissions on behalf of the Petitioners</w:t>
      </w:r>
    </w:p>
    <w:p w:rsidR="003B2FC0" w:rsidRDefault="003B2FC0">
      <w:pPr>
        <w:pStyle w:val="BodyText"/>
        <w:spacing w:before="6"/>
        <w:rPr>
          <w:b/>
          <w:sz w:val="29"/>
        </w:rPr>
      </w:pPr>
    </w:p>
    <w:p w:rsidR="003B2FC0" w:rsidRDefault="00052A49">
      <w:pPr>
        <w:pStyle w:val="ListParagraph"/>
        <w:numPr>
          <w:ilvl w:val="0"/>
          <w:numId w:val="60"/>
        </w:numPr>
        <w:tabs>
          <w:tab w:val="left" w:pos="1221"/>
        </w:tabs>
        <w:spacing w:before="101" w:line="480" w:lineRule="auto"/>
        <w:ind w:right="275" w:firstLine="0"/>
        <w:jc w:val="both"/>
        <w:rPr>
          <w:rFonts w:ascii="Bookman Old Style"/>
          <w:sz w:val="28"/>
        </w:rPr>
      </w:pPr>
      <w:r>
        <w:rPr>
          <w:rFonts w:ascii="Bookman Old Style"/>
          <w:sz w:val="28"/>
        </w:rPr>
        <w:t>Learned counsel appearing for the petitioners have alluded to the geographical location, historical aspect along with the Buddhist connection of the Sabarimala temple and the religious history of Lord Ayyappa. They have, for the purpose</w:t>
      </w:r>
      <w:r>
        <w:rPr>
          <w:rFonts w:ascii="Bookman Old Style"/>
          <w:spacing w:val="43"/>
          <w:sz w:val="28"/>
        </w:rPr>
        <w:t xml:space="preserve"> </w:t>
      </w:r>
      <w:r>
        <w:rPr>
          <w:rFonts w:ascii="Bookman Old Style"/>
          <w:sz w:val="28"/>
        </w:rPr>
        <w:t>of</w:t>
      </w:r>
    </w:p>
    <w:p w:rsidR="003B2FC0" w:rsidRDefault="003B2FC0">
      <w:pPr>
        <w:spacing w:line="480" w:lineRule="auto"/>
        <w:jc w:val="both"/>
        <w:rPr>
          <w:rFonts w:ascii="Bookman Old Style"/>
          <w:sz w:val="28"/>
        </w:rPr>
        <w:sectPr w:rsidR="003B2FC0">
          <w:headerReference w:type="default" r:id="rId13"/>
          <w:footerReference w:type="default" r:id="rId14"/>
          <w:pgSz w:w="11910" w:h="16840"/>
          <w:pgMar w:top="1340" w:right="1160" w:bottom="280" w:left="940" w:header="554" w:footer="0" w:gutter="0"/>
          <w:pgNumType w:start="9"/>
          <w:cols w:space="720"/>
        </w:sectPr>
      </w:pPr>
    </w:p>
    <w:p w:rsidR="003B2FC0" w:rsidRDefault="00052A49">
      <w:pPr>
        <w:pStyle w:val="BodyText"/>
        <w:spacing w:before="93" w:line="480" w:lineRule="auto"/>
        <w:ind w:left="500" w:right="273"/>
        <w:jc w:val="both"/>
      </w:pPr>
      <w:r>
        <w:t xml:space="preserve">appreciating the functioning of the Sabarimala temple, also taken us through the history of Devaswom in Travancore. As regards the statutory backing of the Devaswom Boards, the petitioners have drawn the attention of this Court to the „Travancore - Cochin </w:t>
      </w:r>
      <w:r>
        <w:t xml:space="preserve">Hindu Religious Institutions Act, 1950‟, Section 4 of </w:t>
      </w:r>
      <w:r>
        <w:rPr>
          <w:spacing w:val="-9"/>
        </w:rPr>
        <w:t xml:space="preserve">the </w:t>
      </w:r>
      <w:r>
        <w:t>said Act contemplates a Devaswom Board for bringing all incorporated and unincorporated Devaswoms and other Hindu religious institutions except Sree Padmanabhaswamy</w:t>
      </w:r>
      <w:r>
        <w:rPr>
          <w:spacing w:val="-18"/>
        </w:rPr>
        <w:t xml:space="preserve"> </w:t>
      </w:r>
      <w:r>
        <w:t>Temple.</w:t>
      </w:r>
    </w:p>
    <w:p w:rsidR="003B2FC0" w:rsidRDefault="00052A49">
      <w:pPr>
        <w:pStyle w:val="ListParagraph"/>
        <w:numPr>
          <w:ilvl w:val="0"/>
          <w:numId w:val="60"/>
        </w:numPr>
        <w:tabs>
          <w:tab w:val="left" w:pos="1221"/>
        </w:tabs>
        <w:spacing w:before="120" w:line="480" w:lineRule="auto"/>
        <w:ind w:right="276" w:firstLine="0"/>
        <w:jc w:val="both"/>
        <w:rPr>
          <w:rFonts w:ascii="Bookman Old Style"/>
          <w:sz w:val="28"/>
        </w:rPr>
      </w:pPr>
      <w:r>
        <w:rPr>
          <w:rFonts w:ascii="Bookman Old Style"/>
          <w:sz w:val="28"/>
        </w:rPr>
        <w:t xml:space="preserve">It has been put forth by </w:t>
      </w:r>
      <w:r>
        <w:rPr>
          <w:rFonts w:ascii="Bookman Old Style"/>
          <w:sz w:val="28"/>
        </w:rPr>
        <w:t>them that the aforesaid enactment has been subject to various amendments over a period of time, the last amendment being made in the year 2007 vide Amending Act of 2007 [published under Notification No. 2988/Leg.A1/2007 in K.G. ext. No. 694 dated 12.04.200</w:t>
      </w:r>
      <w:r>
        <w:rPr>
          <w:rFonts w:ascii="Bookman Old Style"/>
          <w:sz w:val="28"/>
        </w:rPr>
        <w:t>7] which led to the inclusion of women into the management Board. The petitioners have also referred to Section 29A of the said Act which stipulates that all appointments of officers and employees in the Devaswom Administrative Service of the Board shall b</w:t>
      </w:r>
      <w:r>
        <w:rPr>
          <w:rFonts w:ascii="Bookman Old Style"/>
          <w:sz w:val="28"/>
        </w:rPr>
        <w:t xml:space="preserve">e made from a select list of candidates furnished by the Kerala Public Service Commission. It has been submitted by the petitioners that after the 1950 Act, no individual Devaswom Board can act differently both in matters of religion and administration as </w:t>
      </w:r>
      <w:r>
        <w:rPr>
          <w:rFonts w:ascii="Bookman Old Style"/>
          <w:sz w:val="28"/>
        </w:rPr>
        <w:t>they have</w:t>
      </w:r>
      <w:r>
        <w:rPr>
          <w:rFonts w:ascii="Bookman Old Style"/>
          <w:spacing w:val="58"/>
          <w:sz w:val="28"/>
        </w:rPr>
        <w:t xml:space="preserve"> </w:t>
      </w:r>
      <w:r>
        <w:rPr>
          <w:rFonts w:ascii="Bookman Old Style"/>
          <w:sz w:val="28"/>
        </w:rPr>
        <w:t>lost</w:t>
      </w:r>
    </w:p>
    <w:p w:rsidR="003B2FC0" w:rsidRDefault="003B2FC0">
      <w:pPr>
        <w:spacing w:line="480" w:lineRule="auto"/>
        <w:jc w:val="both"/>
        <w:rPr>
          <w:rFonts w:ascii="Bookman Old Style"/>
          <w:sz w:val="28"/>
        </w:rPr>
        <w:sectPr w:rsidR="003B2FC0">
          <w:headerReference w:type="default" r:id="rId15"/>
          <w:footerReference w:type="default" r:id="rId16"/>
          <w:pgSz w:w="11910" w:h="16840"/>
          <w:pgMar w:top="1340" w:right="1160" w:bottom="280" w:left="940" w:header="554" w:footer="0" w:gutter="0"/>
          <w:pgNumType w:start="10"/>
          <w:cols w:space="720"/>
        </w:sectPr>
      </w:pPr>
    </w:p>
    <w:p w:rsidR="003B2FC0" w:rsidRDefault="00052A49">
      <w:pPr>
        <w:pStyle w:val="BodyText"/>
        <w:spacing w:before="93" w:line="480" w:lineRule="auto"/>
        <w:ind w:left="500" w:right="277"/>
        <w:jc w:val="both"/>
      </w:pPr>
      <w:r>
        <w:t>their distinct character and Sabarimala no more remained a temple of any religious denomination after the tak over of its management.</w:t>
      </w:r>
    </w:p>
    <w:p w:rsidR="003B2FC0" w:rsidRDefault="00052A49">
      <w:pPr>
        <w:pStyle w:val="ListParagraph"/>
        <w:numPr>
          <w:ilvl w:val="0"/>
          <w:numId w:val="60"/>
        </w:numPr>
        <w:tabs>
          <w:tab w:val="left" w:pos="1221"/>
        </w:tabs>
        <w:spacing w:before="118" w:line="480" w:lineRule="auto"/>
        <w:ind w:right="273" w:firstLine="0"/>
        <w:jc w:val="both"/>
        <w:rPr>
          <w:rFonts w:ascii="Bookman Old Style"/>
          <w:sz w:val="28"/>
        </w:rPr>
      </w:pPr>
      <w:r>
        <w:rPr>
          <w:rFonts w:ascii="Bookman Old Style"/>
          <w:sz w:val="28"/>
        </w:rPr>
        <w:t>As far as the funding aspect is considered, it is contended that</w:t>
      </w:r>
      <w:r>
        <w:rPr>
          <w:rFonts w:ascii="Bookman Old Style"/>
          <w:sz w:val="28"/>
        </w:rPr>
        <w:t xml:space="preserve"> prior to the adoption of the Constitution, both the Travancore and Tamil Nadu Devaswom Boards were funded by the State but after six years of the adoption of the Constitution, the Parliament, in the exercise of its constituent power, inserted Article 290-</w:t>
      </w:r>
      <w:r>
        <w:rPr>
          <w:rFonts w:ascii="Bookman Old Style"/>
          <w:sz w:val="28"/>
        </w:rPr>
        <w:t>A vide the 7</w:t>
      </w:r>
      <w:r>
        <w:rPr>
          <w:rFonts w:ascii="Bookman Old Style"/>
          <w:position w:val="7"/>
          <w:sz w:val="18"/>
        </w:rPr>
        <w:t xml:space="preserve">th </w:t>
      </w:r>
      <w:r>
        <w:rPr>
          <w:rFonts w:ascii="Bookman Old Style"/>
          <w:sz w:val="28"/>
        </w:rPr>
        <w:t xml:space="preserve">Amendment whereby a sum of rupees forty six lakhs and fifty thousand only is allowed to be charged upon the Consolidated Fund of the State of Kerala which is paid to the Travancore Devaswom Board. </w:t>
      </w:r>
      <w:r>
        <w:rPr>
          <w:rFonts w:ascii="Bookman Old Style"/>
          <w:spacing w:val="2"/>
          <w:sz w:val="28"/>
        </w:rPr>
        <w:t xml:space="preserve">It </w:t>
      </w:r>
      <w:r>
        <w:rPr>
          <w:rFonts w:ascii="Bookman Old Style"/>
          <w:sz w:val="28"/>
        </w:rPr>
        <w:t>has been asseverated by the petitioners t</w:t>
      </w:r>
      <w:r>
        <w:rPr>
          <w:rFonts w:ascii="Bookman Old Style"/>
          <w:sz w:val="28"/>
        </w:rPr>
        <w:t>hat after the insertion of Article 290-A in the Constitution and the consequent State funding, no individual ill-practice could be carried on in any temple associated with the statutory Devaswom Board even in case of Hindu temple as this constitutional ame</w:t>
      </w:r>
      <w:r>
        <w:rPr>
          <w:rFonts w:ascii="Bookman Old Style"/>
          <w:sz w:val="28"/>
        </w:rPr>
        <w:t>ndment has been made on the premise that no ill-practice shall be carried on in any temple which is against the constitutional</w:t>
      </w:r>
      <w:r>
        <w:rPr>
          <w:rFonts w:ascii="Bookman Old Style"/>
          <w:spacing w:val="-3"/>
          <w:sz w:val="28"/>
        </w:rPr>
        <w:t xml:space="preserve"> </w:t>
      </w:r>
      <w:r>
        <w:rPr>
          <w:rFonts w:ascii="Bookman Old Style"/>
          <w:sz w:val="28"/>
        </w:rPr>
        <w:t>principles.</w:t>
      </w:r>
    </w:p>
    <w:p w:rsidR="003B2FC0" w:rsidRDefault="00052A49">
      <w:pPr>
        <w:pStyle w:val="ListParagraph"/>
        <w:numPr>
          <w:ilvl w:val="0"/>
          <w:numId w:val="60"/>
        </w:numPr>
        <w:tabs>
          <w:tab w:val="left" w:pos="1221"/>
        </w:tabs>
        <w:spacing w:before="121" w:line="480" w:lineRule="auto"/>
        <w:ind w:right="274" w:firstLine="0"/>
        <w:jc w:val="both"/>
        <w:rPr>
          <w:rFonts w:ascii="Bookman Old Style"/>
          <w:sz w:val="28"/>
        </w:rPr>
      </w:pPr>
      <w:r>
        <w:rPr>
          <w:rFonts w:ascii="Bookman Old Style"/>
          <w:sz w:val="28"/>
        </w:rPr>
        <w:t>It is urged that since all Devaswoms are Hindu Temples and they are bound to follow the basic tenets of Hindu</w:t>
      </w:r>
      <w:r>
        <w:rPr>
          <w:rFonts w:ascii="Bookman Old Style"/>
          <w:spacing w:val="70"/>
          <w:sz w:val="28"/>
        </w:rPr>
        <w:t xml:space="preserve"> </w:t>
      </w:r>
      <w:r>
        <w:rPr>
          <w:rFonts w:ascii="Bookman Old Style"/>
          <w:sz w:val="28"/>
        </w:rPr>
        <w:t>religio</w:t>
      </w:r>
      <w:r>
        <w:rPr>
          <w:rFonts w:ascii="Bookman Old Style"/>
          <w:sz w:val="28"/>
        </w:rPr>
        <w:t>n,</w:t>
      </w:r>
    </w:p>
    <w:p w:rsidR="003B2FC0" w:rsidRDefault="003B2FC0">
      <w:pPr>
        <w:spacing w:line="480" w:lineRule="auto"/>
        <w:jc w:val="both"/>
        <w:rPr>
          <w:rFonts w:ascii="Bookman Old Style"/>
          <w:sz w:val="28"/>
        </w:rPr>
        <w:sectPr w:rsidR="003B2FC0">
          <w:headerReference w:type="default" r:id="rId17"/>
          <w:footerReference w:type="default" r:id="rId18"/>
          <w:pgSz w:w="11910" w:h="16840"/>
          <w:pgMar w:top="1340" w:right="1160" w:bottom="280" w:left="940" w:header="554" w:footer="0" w:gutter="0"/>
          <w:pgNumType w:start="11"/>
          <w:cols w:space="720"/>
        </w:sectPr>
      </w:pPr>
    </w:p>
    <w:p w:rsidR="003B2FC0" w:rsidRDefault="00052A49">
      <w:pPr>
        <w:pStyle w:val="BodyText"/>
        <w:spacing w:before="93" w:line="480" w:lineRule="auto"/>
        <w:ind w:left="500" w:right="273"/>
        <w:jc w:val="both"/>
      </w:pPr>
      <w:r>
        <w:t>individual ill-practice of any temple contrary to  the basic tenets of Hindu religion is impermissible, after it being taken over by statutory board and state funding in 1971. It is propounded that for the purpose of constituting a „religious denomination;</w:t>
      </w:r>
      <w:r>
        <w:t xml:space="preserve"> not</w:t>
      </w:r>
      <w:r>
        <w:rPr>
          <w:spacing w:val="-54"/>
        </w:rPr>
        <w:t xml:space="preserve"> </w:t>
      </w:r>
      <w:r>
        <w:t>only the practices followed by that denomination should be different but its administration should also be distinct and separate.  Thus, even if some practices are distinct in temples attached to statutory board, since its administration is centralize</w:t>
      </w:r>
      <w:r>
        <w:t>d under the Devaswom Board, it cannot attain a distinct identity of a separate religious</w:t>
      </w:r>
      <w:r>
        <w:rPr>
          <w:spacing w:val="-1"/>
        </w:rPr>
        <w:t xml:space="preserve"> </w:t>
      </w:r>
      <w:r>
        <w:t>denomination.</w:t>
      </w:r>
    </w:p>
    <w:p w:rsidR="003B2FC0" w:rsidRDefault="00052A49">
      <w:pPr>
        <w:pStyle w:val="ListParagraph"/>
        <w:numPr>
          <w:ilvl w:val="0"/>
          <w:numId w:val="60"/>
        </w:numPr>
        <w:tabs>
          <w:tab w:val="left" w:pos="1221"/>
        </w:tabs>
        <w:spacing w:before="121" w:line="480" w:lineRule="auto"/>
        <w:ind w:right="274" w:firstLine="0"/>
        <w:jc w:val="both"/>
        <w:rPr>
          <w:rFonts w:ascii="Bookman Old Style"/>
          <w:sz w:val="28"/>
        </w:rPr>
      </w:pPr>
      <w:r>
        <w:rPr>
          <w:rFonts w:ascii="Bookman Old Style"/>
          <w:sz w:val="28"/>
        </w:rPr>
        <w:t>It is contended that in legal and constitutional parlance, for the purpose of constituting a religious denomination, there has to be strong bondage among</w:t>
      </w:r>
      <w:r>
        <w:rPr>
          <w:rFonts w:ascii="Bookman Old Style"/>
          <w:sz w:val="28"/>
        </w:rPr>
        <w:t xml:space="preserve"> the members of its denomination. Such denomination must be clearly distinct following a particular set of rituals/practices/usages having their own religious institutions including managing their properties in accordance with law. Further, the petitioners</w:t>
      </w:r>
      <w:r>
        <w:rPr>
          <w:rFonts w:ascii="Bookman Old Style"/>
          <w:sz w:val="28"/>
        </w:rPr>
        <w:t xml:space="preserve"> have averred that religious denomination which closely binds its members with certain rituals/practices must also be owning some property with perpetual succession which, as per the petitioners, the Constitution framers kept in mind</w:t>
      </w:r>
      <w:r>
        <w:rPr>
          <w:rFonts w:ascii="Bookman Old Style"/>
          <w:spacing w:val="16"/>
          <w:sz w:val="28"/>
        </w:rPr>
        <w:t xml:space="preserve"> </w:t>
      </w:r>
      <w:r>
        <w:rPr>
          <w:rFonts w:ascii="Bookman Old Style"/>
          <w:sz w:val="28"/>
        </w:rPr>
        <w:t>while</w:t>
      </w:r>
      <w:r>
        <w:rPr>
          <w:rFonts w:ascii="Bookman Old Style"/>
          <w:spacing w:val="19"/>
          <w:sz w:val="28"/>
        </w:rPr>
        <w:t xml:space="preserve"> </w:t>
      </w:r>
      <w:r>
        <w:rPr>
          <w:rFonts w:ascii="Bookman Old Style"/>
          <w:sz w:val="28"/>
        </w:rPr>
        <w:t>framing</w:t>
      </w:r>
      <w:r>
        <w:rPr>
          <w:rFonts w:ascii="Bookman Old Style"/>
          <w:spacing w:val="15"/>
          <w:sz w:val="28"/>
        </w:rPr>
        <w:t xml:space="preserve"> </w:t>
      </w:r>
      <w:r>
        <w:rPr>
          <w:rFonts w:ascii="Bookman Old Style"/>
          <w:sz w:val="28"/>
        </w:rPr>
        <w:t>Article</w:t>
      </w:r>
      <w:r>
        <w:rPr>
          <w:rFonts w:ascii="Bookman Old Style"/>
          <w:spacing w:val="19"/>
          <w:sz w:val="28"/>
        </w:rPr>
        <w:t xml:space="preserve"> </w:t>
      </w:r>
      <w:r>
        <w:rPr>
          <w:rFonts w:ascii="Bookman Old Style"/>
          <w:sz w:val="28"/>
        </w:rPr>
        <w:t>26</w:t>
      </w:r>
      <w:r>
        <w:rPr>
          <w:rFonts w:ascii="Bookman Old Style"/>
          <w:spacing w:val="16"/>
          <w:sz w:val="28"/>
        </w:rPr>
        <w:t xml:space="preserve"> </w:t>
      </w:r>
      <w:r>
        <w:rPr>
          <w:rFonts w:ascii="Bookman Old Style"/>
          <w:sz w:val="28"/>
        </w:rPr>
        <w:t>of</w:t>
      </w:r>
      <w:r>
        <w:rPr>
          <w:rFonts w:ascii="Bookman Old Style"/>
          <w:spacing w:val="16"/>
          <w:sz w:val="28"/>
        </w:rPr>
        <w:t xml:space="preserve"> </w:t>
      </w:r>
      <w:r>
        <w:rPr>
          <w:rFonts w:ascii="Bookman Old Style"/>
          <w:sz w:val="28"/>
        </w:rPr>
        <w:t>the</w:t>
      </w:r>
      <w:r>
        <w:rPr>
          <w:rFonts w:ascii="Bookman Old Style"/>
          <w:spacing w:val="22"/>
          <w:sz w:val="28"/>
        </w:rPr>
        <w:t xml:space="preserve"> </w:t>
      </w:r>
      <w:r>
        <w:rPr>
          <w:rFonts w:ascii="Bookman Old Style"/>
          <w:sz w:val="28"/>
        </w:rPr>
        <w:t>Constitution</w:t>
      </w:r>
      <w:r>
        <w:rPr>
          <w:rFonts w:ascii="Bookman Old Style"/>
          <w:spacing w:val="16"/>
          <w:sz w:val="28"/>
        </w:rPr>
        <w:t xml:space="preserve"> </w:t>
      </w:r>
      <w:r>
        <w:rPr>
          <w:rFonts w:ascii="Bookman Old Style"/>
          <w:sz w:val="28"/>
        </w:rPr>
        <w:t>and,</w:t>
      </w:r>
    </w:p>
    <w:p w:rsidR="003B2FC0" w:rsidRDefault="003B2FC0">
      <w:pPr>
        <w:spacing w:line="480" w:lineRule="auto"/>
        <w:jc w:val="both"/>
        <w:rPr>
          <w:rFonts w:ascii="Bookman Old Style"/>
          <w:sz w:val="28"/>
        </w:rPr>
        <w:sectPr w:rsidR="003B2FC0">
          <w:headerReference w:type="default" r:id="rId19"/>
          <w:footerReference w:type="default" r:id="rId20"/>
          <w:pgSz w:w="11910" w:h="16840"/>
          <w:pgMar w:top="1340" w:right="1160" w:bottom="280" w:left="940" w:header="554" w:footer="0" w:gutter="0"/>
          <w:pgNumType w:start="12"/>
          <w:cols w:space="720"/>
        </w:sectPr>
      </w:pPr>
    </w:p>
    <w:p w:rsidR="003B2FC0" w:rsidRDefault="00052A49">
      <w:pPr>
        <w:pStyle w:val="BodyText"/>
        <w:spacing w:before="93" w:line="480" w:lineRule="auto"/>
        <w:ind w:left="500" w:right="275"/>
        <w:jc w:val="both"/>
      </w:pPr>
      <w:r>
        <w:t>accordingly, religious denominations have been conferred four rights under clauses (a) to (d) of Article 26. These rights, it is submitted, are not disjunctive and exclusive in nature b</w:t>
      </w:r>
      <w:r>
        <w:t>ut are collectively conferred to establish their identity. To buttress this view, the petitioners have placed reliance on the views of the views of H.M. Seervai</w:t>
      </w:r>
      <w:r>
        <w:rPr>
          <w:position w:val="7"/>
          <w:sz w:val="18"/>
        </w:rPr>
        <w:t xml:space="preserve">4 </w:t>
      </w:r>
      <w:r>
        <w:t>wherein the learned author has stated that the right to acquire property is implicit in clause</w:t>
      </w:r>
      <w:r>
        <w:t xml:space="preserve"> (a) as no religious institution could be created without property and similarly, how one could manage its own affairs in matters of religion under clause (b) if there is no religious institution. Thus, for a religious denomination claiming separate and di</w:t>
      </w:r>
      <w:r>
        <w:t>stinct identity, it must own some property requiring constitutional protection.</w:t>
      </w:r>
    </w:p>
    <w:p w:rsidR="003B2FC0" w:rsidRDefault="00052A49">
      <w:pPr>
        <w:pStyle w:val="ListParagraph"/>
        <w:numPr>
          <w:ilvl w:val="0"/>
          <w:numId w:val="60"/>
        </w:numPr>
        <w:tabs>
          <w:tab w:val="left" w:pos="1221"/>
        </w:tabs>
        <w:spacing w:before="119" w:line="480" w:lineRule="auto"/>
        <w:ind w:right="275" w:firstLine="0"/>
        <w:jc w:val="both"/>
        <w:rPr>
          <w:rFonts w:ascii="Bookman Old Style"/>
          <w:sz w:val="28"/>
        </w:rPr>
      </w:pPr>
      <w:r>
        <w:rPr>
          <w:rFonts w:ascii="Bookman Old Style"/>
          <w:sz w:val="28"/>
        </w:rPr>
        <w:t xml:space="preserve">The petitioners have pressed into service the decisions of this Court in </w:t>
      </w:r>
      <w:r>
        <w:rPr>
          <w:rFonts w:ascii="Bookman Old Style"/>
          <w:b/>
          <w:i/>
          <w:sz w:val="28"/>
        </w:rPr>
        <w:t>Sardar Syedna Taher Saifuddin Saheb v. State of Bombay</w:t>
      </w:r>
      <w:r>
        <w:rPr>
          <w:rFonts w:ascii="Bookman Old Style"/>
          <w:position w:val="7"/>
          <w:sz w:val="18"/>
        </w:rPr>
        <w:t>5</w:t>
      </w:r>
      <w:r>
        <w:rPr>
          <w:rFonts w:ascii="Bookman Old Style"/>
          <w:sz w:val="28"/>
        </w:rPr>
        <w:t xml:space="preserve">, </w:t>
      </w:r>
      <w:r>
        <w:rPr>
          <w:rFonts w:ascii="Bookman Old Style"/>
          <w:b/>
          <w:i/>
          <w:sz w:val="28"/>
        </w:rPr>
        <w:t>Raja Bira Kishore Deb v. State of Orissa</w:t>
      </w:r>
      <w:r>
        <w:rPr>
          <w:rFonts w:ascii="Bookman Old Style"/>
          <w:b/>
          <w:i/>
          <w:position w:val="7"/>
          <w:sz w:val="18"/>
        </w:rPr>
        <w:t>6</w:t>
      </w:r>
      <w:r>
        <w:rPr>
          <w:rFonts w:ascii="Bookman Old Style"/>
          <w:i/>
          <w:sz w:val="28"/>
        </w:rPr>
        <w:t xml:space="preserve">, </w:t>
      </w:r>
      <w:r>
        <w:rPr>
          <w:rFonts w:ascii="Bookman Old Style"/>
          <w:b/>
          <w:i/>
          <w:sz w:val="28"/>
        </w:rPr>
        <w:t>Shastri Yagnapurushadiji and others v. Muldas Bhundardas Vaishya and another</w:t>
      </w:r>
      <w:r>
        <w:rPr>
          <w:rFonts w:ascii="Bookman Old Style"/>
          <w:position w:val="7"/>
          <w:sz w:val="18"/>
        </w:rPr>
        <w:t xml:space="preserve">7 </w:t>
      </w:r>
      <w:r>
        <w:rPr>
          <w:rFonts w:ascii="Bookman Old Style"/>
          <w:sz w:val="28"/>
        </w:rPr>
        <w:t xml:space="preserve">and </w:t>
      </w:r>
      <w:r>
        <w:rPr>
          <w:rFonts w:ascii="Bookman Old Style"/>
          <w:b/>
          <w:i/>
          <w:sz w:val="28"/>
        </w:rPr>
        <w:t>S.P. Mittal v. Union of India and others</w:t>
      </w:r>
      <w:r>
        <w:rPr>
          <w:rFonts w:ascii="Bookman Old Style"/>
          <w:position w:val="7"/>
          <w:sz w:val="18"/>
        </w:rPr>
        <w:t>8</w:t>
      </w:r>
      <w:r>
        <w:rPr>
          <w:rFonts w:ascii="Bookman Old Style"/>
          <w:spacing w:val="52"/>
          <w:position w:val="7"/>
          <w:sz w:val="18"/>
        </w:rPr>
        <w:t xml:space="preserve"> </w:t>
      </w:r>
      <w:r>
        <w:rPr>
          <w:rFonts w:ascii="Bookman Old Style"/>
          <w:sz w:val="28"/>
        </w:rPr>
        <w:t>wherein</w:t>
      </w:r>
      <w:r>
        <w:rPr>
          <w:rFonts w:ascii="Bookman Old Style"/>
          <w:spacing w:val="41"/>
          <w:sz w:val="28"/>
        </w:rPr>
        <w:t xml:space="preserve"> </w:t>
      </w:r>
      <w:r>
        <w:rPr>
          <w:rFonts w:ascii="Bookman Old Style"/>
          <w:sz w:val="28"/>
        </w:rPr>
        <w:t>the</w:t>
      </w:r>
      <w:r>
        <w:rPr>
          <w:rFonts w:ascii="Bookman Old Style"/>
          <w:spacing w:val="44"/>
          <w:sz w:val="28"/>
        </w:rPr>
        <w:t xml:space="preserve"> </w:t>
      </w:r>
      <w:r>
        <w:rPr>
          <w:rFonts w:ascii="Bookman Old Style"/>
          <w:sz w:val="28"/>
        </w:rPr>
        <w:t>concept</w:t>
      </w:r>
      <w:r>
        <w:rPr>
          <w:rFonts w:ascii="Bookman Old Style"/>
          <w:spacing w:val="41"/>
          <w:sz w:val="28"/>
        </w:rPr>
        <w:t xml:space="preserve"> </w:t>
      </w:r>
      <w:r>
        <w:rPr>
          <w:rFonts w:ascii="Bookman Old Style"/>
          <w:sz w:val="28"/>
        </w:rPr>
        <w:t>of</w:t>
      </w:r>
      <w:r>
        <w:rPr>
          <w:rFonts w:ascii="Bookman Old Style"/>
          <w:spacing w:val="43"/>
          <w:sz w:val="28"/>
        </w:rPr>
        <w:t xml:space="preserve"> </w:t>
      </w:r>
      <w:r>
        <w:rPr>
          <w:rFonts w:ascii="Bookman Old Style"/>
          <w:sz w:val="28"/>
        </w:rPr>
        <w:t>religious</w:t>
      </w:r>
      <w:r>
        <w:rPr>
          <w:rFonts w:ascii="Bookman Old Style"/>
          <w:spacing w:val="43"/>
          <w:sz w:val="28"/>
        </w:rPr>
        <w:t xml:space="preserve"> </w:t>
      </w:r>
      <w:r>
        <w:rPr>
          <w:rFonts w:ascii="Bookman Old Style"/>
          <w:sz w:val="28"/>
        </w:rPr>
        <w:t>denomination</w:t>
      </w:r>
      <w:r>
        <w:rPr>
          <w:rFonts w:ascii="Bookman Old Style"/>
          <w:spacing w:val="44"/>
          <w:sz w:val="28"/>
        </w:rPr>
        <w:t xml:space="preserve"> </w:t>
      </w:r>
      <w:r>
        <w:rPr>
          <w:rFonts w:ascii="Bookman Old Style"/>
          <w:spacing w:val="-2"/>
          <w:sz w:val="28"/>
        </w:rPr>
        <w:t>was</w:t>
      </w:r>
    </w:p>
    <w:p w:rsidR="003B2FC0" w:rsidRDefault="003B2FC0">
      <w:pPr>
        <w:pStyle w:val="BodyText"/>
        <w:spacing w:before="2"/>
        <w:rPr>
          <w:sz w:val="11"/>
        </w:rPr>
      </w:pPr>
      <w:r w:rsidRPr="003B2FC0">
        <w:pict>
          <v:line id="_x0000_s1176" style="position:absolute;z-index:-251615744;mso-wrap-distance-left:0;mso-wrap-distance-right:0;mso-position-horizontal-relative:page" from="1in,8.8pt" to="216.05pt,8.8pt" strokeweight=".6pt">
            <w10:wrap type="topAndBottom" anchorx="page"/>
          </v:line>
        </w:pict>
      </w:r>
    </w:p>
    <w:p w:rsidR="003B2FC0" w:rsidRDefault="00052A49">
      <w:pPr>
        <w:spacing w:before="74"/>
        <w:ind w:left="500" w:right="6246"/>
        <w:rPr>
          <w:rFonts w:ascii="Times New Roman"/>
          <w:sz w:val="20"/>
        </w:rPr>
      </w:pPr>
      <w:r>
        <w:rPr>
          <w:rFonts w:ascii="Times New Roman"/>
          <w:sz w:val="20"/>
        </w:rPr>
        <w:t>4 Third Edition, Vol. 1, 1983 pg. 931 5 [1962] Suppl. 2 SCR 496</w:t>
      </w:r>
    </w:p>
    <w:p w:rsidR="003B2FC0" w:rsidRDefault="00052A49">
      <w:pPr>
        <w:spacing w:before="2"/>
        <w:ind w:left="500"/>
        <w:rPr>
          <w:rFonts w:ascii="Times New Roman"/>
          <w:sz w:val="20"/>
        </w:rPr>
      </w:pPr>
      <w:r>
        <w:rPr>
          <w:rFonts w:ascii="Times New Roman"/>
          <w:sz w:val="20"/>
        </w:rPr>
        <w:t>6 (1964) 7 SCR 32</w:t>
      </w:r>
    </w:p>
    <w:p w:rsidR="003B2FC0" w:rsidRDefault="00052A49">
      <w:pPr>
        <w:ind w:left="500"/>
        <w:rPr>
          <w:rFonts w:ascii="Times New Roman"/>
          <w:sz w:val="20"/>
        </w:rPr>
      </w:pPr>
      <w:r>
        <w:rPr>
          <w:rFonts w:ascii="Times New Roman"/>
          <w:sz w:val="20"/>
        </w:rPr>
        <w:t>7 (1966) 3 SCR 242 : AIR 1966 SC 1119</w:t>
      </w:r>
    </w:p>
    <w:p w:rsidR="003B2FC0" w:rsidRDefault="00052A49">
      <w:pPr>
        <w:ind w:left="500"/>
        <w:rPr>
          <w:rFonts w:ascii="Times New Roman"/>
          <w:sz w:val="20"/>
        </w:rPr>
      </w:pPr>
      <w:r>
        <w:rPr>
          <w:rFonts w:ascii="Times New Roman"/>
          <w:sz w:val="20"/>
        </w:rPr>
        <w:t>8 (1983) 1 SCC 51</w:t>
      </w:r>
    </w:p>
    <w:p w:rsidR="003B2FC0" w:rsidRDefault="003B2FC0">
      <w:pPr>
        <w:rPr>
          <w:rFonts w:ascii="Times New Roman"/>
          <w:sz w:val="20"/>
        </w:rPr>
        <w:sectPr w:rsidR="003B2FC0">
          <w:headerReference w:type="default" r:id="rId21"/>
          <w:footerReference w:type="default" r:id="rId22"/>
          <w:pgSz w:w="11910" w:h="16840"/>
          <w:pgMar w:top="1340" w:right="1160" w:bottom="280" w:left="940" w:header="554" w:footer="0" w:gutter="0"/>
          <w:pgNumType w:start="13"/>
          <w:cols w:space="720"/>
        </w:sectPr>
      </w:pPr>
    </w:p>
    <w:p w:rsidR="003B2FC0" w:rsidRDefault="00052A49">
      <w:pPr>
        <w:pStyle w:val="BodyText"/>
        <w:spacing w:before="93" w:line="480" w:lineRule="auto"/>
        <w:ind w:left="500" w:right="274"/>
        <w:jc w:val="both"/>
      </w:pPr>
      <w:r>
        <w:t>discussed by this Court. It is the stand of the petitioners that some mere difference in practices carried out at Hindu Temples cannot accord to them the status of separate religious denominations.</w:t>
      </w:r>
    </w:p>
    <w:p w:rsidR="003B2FC0" w:rsidRDefault="00052A49">
      <w:pPr>
        <w:pStyle w:val="ListParagraph"/>
        <w:numPr>
          <w:ilvl w:val="0"/>
          <w:numId w:val="60"/>
        </w:numPr>
        <w:tabs>
          <w:tab w:val="left" w:pos="1221"/>
        </w:tabs>
        <w:spacing w:before="118" w:line="480" w:lineRule="auto"/>
        <w:ind w:right="275" w:firstLine="0"/>
        <w:jc w:val="both"/>
        <w:rPr>
          <w:rFonts w:ascii="Bookman Old Style" w:hAnsi="Bookman Old Style"/>
          <w:sz w:val="28"/>
        </w:rPr>
      </w:pPr>
      <w:r>
        <w:rPr>
          <w:rFonts w:ascii="Bookman Old Style" w:hAnsi="Bookman Old Style"/>
          <w:sz w:val="28"/>
        </w:rPr>
        <w:t>The contention of the petitioners is that Sabarimala Templ</w:t>
      </w:r>
      <w:r>
        <w:rPr>
          <w:rFonts w:ascii="Bookman Old Style" w:hAnsi="Bookman Old Style"/>
          <w:sz w:val="28"/>
        </w:rPr>
        <w:t xml:space="preserve">e is not a separate religious denomination, for the religious parctices performed in Sabarimala Temple at the time of </w:t>
      </w:r>
      <w:r>
        <w:rPr>
          <w:rFonts w:ascii="Bookman Old Style" w:hAnsi="Bookman Old Style"/>
          <w:spacing w:val="-5"/>
          <w:sz w:val="28"/>
        </w:rPr>
        <w:t xml:space="preserve">„Puja‟ </w:t>
      </w:r>
      <w:r>
        <w:rPr>
          <w:rFonts w:ascii="Bookman Old Style" w:hAnsi="Bookman Old Style"/>
          <w:sz w:val="28"/>
        </w:rPr>
        <w:t xml:space="preserve">and other religious ceremonies are akin to any other practice performed in any Hindu Temple. </w:t>
      </w:r>
      <w:r>
        <w:rPr>
          <w:rFonts w:ascii="Bookman Old Style" w:hAnsi="Bookman Old Style"/>
          <w:spacing w:val="2"/>
          <w:sz w:val="28"/>
        </w:rPr>
        <w:t xml:space="preserve">It </w:t>
      </w:r>
      <w:r>
        <w:rPr>
          <w:rFonts w:ascii="Bookman Old Style" w:hAnsi="Bookman Old Style"/>
          <w:sz w:val="28"/>
        </w:rPr>
        <w:t>does not have its separate administ</w:t>
      </w:r>
      <w:r>
        <w:rPr>
          <w:rFonts w:ascii="Bookman Old Style" w:hAnsi="Bookman Old Style"/>
          <w:sz w:val="28"/>
        </w:rPr>
        <w:t xml:space="preserve">ration, but is administered by or through a statutory body constituted under the „Travancore - Cochin Hindu Religious </w:t>
      </w:r>
      <w:r>
        <w:rPr>
          <w:rFonts w:ascii="Bookman Old Style" w:hAnsi="Bookman Old Style"/>
          <w:spacing w:val="2"/>
          <w:sz w:val="28"/>
        </w:rPr>
        <w:t>I</w:t>
      </w:r>
      <w:r>
        <w:rPr>
          <w:rFonts w:ascii="Bookman Old Style" w:hAnsi="Bookman Old Style"/>
          <w:spacing w:val="-3"/>
          <w:sz w:val="28"/>
        </w:rPr>
        <w:t>n</w:t>
      </w:r>
      <w:r>
        <w:rPr>
          <w:rFonts w:ascii="Bookman Old Style" w:hAnsi="Bookman Old Style"/>
          <w:sz w:val="28"/>
        </w:rPr>
        <w:t>st</w:t>
      </w:r>
      <w:r>
        <w:rPr>
          <w:rFonts w:ascii="Bookman Old Style" w:hAnsi="Bookman Old Style"/>
          <w:spacing w:val="-1"/>
          <w:sz w:val="28"/>
        </w:rPr>
        <w:t>i</w:t>
      </w:r>
      <w:r>
        <w:rPr>
          <w:rFonts w:ascii="Bookman Old Style" w:hAnsi="Bookman Old Style"/>
          <w:spacing w:val="-2"/>
          <w:sz w:val="28"/>
        </w:rPr>
        <w:t>t</w:t>
      </w:r>
      <w:r>
        <w:rPr>
          <w:rFonts w:ascii="Bookman Old Style" w:hAnsi="Bookman Old Style"/>
          <w:sz w:val="28"/>
        </w:rPr>
        <w:t>u</w:t>
      </w:r>
      <w:r>
        <w:rPr>
          <w:rFonts w:ascii="Bookman Old Style" w:hAnsi="Bookman Old Style"/>
          <w:spacing w:val="-2"/>
          <w:sz w:val="28"/>
        </w:rPr>
        <w:t>t</w:t>
      </w:r>
      <w:r>
        <w:rPr>
          <w:rFonts w:ascii="Bookman Old Style" w:hAnsi="Bookman Old Style"/>
          <w:sz w:val="28"/>
        </w:rPr>
        <w:t>io</w:t>
      </w:r>
      <w:r>
        <w:rPr>
          <w:rFonts w:ascii="Bookman Old Style" w:hAnsi="Bookman Old Style"/>
          <w:spacing w:val="-1"/>
          <w:sz w:val="28"/>
        </w:rPr>
        <w:t>n</w:t>
      </w:r>
      <w:r>
        <w:rPr>
          <w:rFonts w:ascii="Bookman Old Style" w:hAnsi="Bookman Old Style"/>
          <w:sz w:val="28"/>
        </w:rPr>
        <w:t>s</w:t>
      </w:r>
      <w:r>
        <w:rPr>
          <w:rFonts w:ascii="Bookman Old Style" w:hAnsi="Bookman Old Style"/>
          <w:spacing w:val="32"/>
          <w:sz w:val="28"/>
        </w:rPr>
        <w:t xml:space="preserve"> </w:t>
      </w:r>
      <w:r>
        <w:rPr>
          <w:rFonts w:ascii="Bookman Old Style" w:hAnsi="Bookman Old Style"/>
          <w:sz w:val="28"/>
        </w:rPr>
        <w:t>Act,</w:t>
      </w:r>
      <w:r>
        <w:rPr>
          <w:rFonts w:ascii="Bookman Old Style" w:hAnsi="Bookman Old Style"/>
          <w:spacing w:val="33"/>
          <w:sz w:val="28"/>
        </w:rPr>
        <w:t xml:space="preserve"> </w:t>
      </w:r>
      <w:r>
        <w:rPr>
          <w:rFonts w:ascii="Bookman Old Style" w:hAnsi="Bookman Old Style"/>
          <w:sz w:val="28"/>
        </w:rPr>
        <w:t>1</w:t>
      </w:r>
      <w:r>
        <w:rPr>
          <w:rFonts w:ascii="Bookman Old Style" w:hAnsi="Bookman Old Style"/>
          <w:spacing w:val="-2"/>
          <w:sz w:val="28"/>
        </w:rPr>
        <w:t>95</w:t>
      </w:r>
      <w:r>
        <w:rPr>
          <w:rFonts w:ascii="Bookman Old Style" w:hAnsi="Bookman Old Style"/>
          <w:sz w:val="28"/>
        </w:rPr>
        <w:t>0</w:t>
      </w:r>
      <w:r>
        <w:rPr>
          <w:rFonts w:ascii="Bookman Old Style" w:hAnsi="Bookman Old Style"/>
          <w:w w:val="29"/>
          <w:sz w:val="28"/>
        </w:rPr>
        <w:t>‟</w:t>
      </w:r>
      <w:r>
        <w:rPr>
          <w:rFonts w:ascii="Bookman Old Style" w:hAnsi="Bookman Old Style"/>
          <w:spacing w:val="35"/>
          <w:sz w:val="28"/>
        </w:rPr>
        <w:t xml:space="preserve"> </w:t>
      </w:r>
      <w:r>
        <w:rPr>
          <w:rFonts w:ascii="Bookman Old Style" w:hAnsi="Bookman Old Style"/>
          <w:spacing w:val="-1"/>
          <w:sz w:val="28"/>
        </w:rPr>
        <w:t>a</w:t>
      </w:r>
      <w:r>
        <w:rPr>
          <w:rFonts w:ascii="Bookman Old Style" w:hAnsi="Bookman Old Style"/>
          <w:spacing w:val="-3"/>
          <w:sz w:val="28"/>
        </w:rPr>
        <w:t>n</w:t>
      </w:r>
      <w:r>
        <w:rPr>
          <w:rFonts w:ascii="Bookman Old Style" w:hAnsi="Bookman Old Style"/>
          <w:sz w:val="28"/>
        </w:rPr>
        <w:t>d</w:t>
      </w:r>
      <w:r>
        <w:rPr>
          <w:rFonts w:ascii="Bookman Old Style" w:hAnsi="Bookman Old Style"/>
          <w:spacing w:val="35"/>
          <w:sz w:val="28"/>
        </w:rPr>
        <w:t xml:space="preserve"> </w:t>
      </w:r>
      <w:r>
        <w:rPr>
          <w:rFonts w:ascii="Bookman Old Style" w:hAnsi="Bookman Old Style"/>
          <w:spacing w:val="-2"/>
          <w:sz w:val="28"/>
        </w:rPr>
        <w:t>f</w:t>
      </w:r>
      <w:r>
        <w:rPr>
          <w:rFonts w:ascii="Bookman Old Style" w:hAnsi="Bookman Old Style"/>
          <w:sz w:val="28"/>
        </w:rPr>
        <w:t>u</w:t>
      </w:r>
      <w:r>
        <w:rPr>
          <w:rFonts w:ascii="Bookman Old Style" w:hAnsi="Bookman Old Style"/>
          <w:spacing w:val="-2"/>
          <w:sz w:val="28"/>
        </w:rPr>
        <w:t>rt</w:t>
      </w:r>
      <w:r>
        <w:rPr>
          <w:rFonts w:ascii="Bookman Old Style" w:hAnsi="Bookman Old Style"/>
          <w:spacing w:val="-1"/>
          <w:sz w:val="28"/>
        </w:rPr>
        <w:t>he</w:t>
      </w:r>
      <w:r>
        <w:rPr>
          <w:rFonts w:ascii="Bookman Old Style" w:hAnsi="Bookman Old Style"/>
          <w:spacing w:val="3"/>
          <w:sz w:val="28"/>
        </w:rPr>
        <w:t>r</w:t>
      </w:r>
      <w:r>
        <w:rPr>
          <w:rFonts w:ascii="Bookman Old Style" w:hAnsi="Bookman Old Style"/>
          <w:sz w:val="28"/>
        </w:rPr>
        <w:t>,</w:t>
      </w:r>
      <w:r>
        <w:rPr>
          <w:rFonts w:ascii="Bookman Old Style" w:hAnsi="Bookman Old Style"/>
          <w:spacing w:val="34"/>
          <w:sz w:val="28"/>
        </w:rPr>
        <w:t xml:space="preserve"> </w:t>
      </w:r>
      <w:r>
        <w:rPr>
          <w:rFonts w:ascii="Bookman Old Style" w:hAnsi="Bookman Old Style"/>
          <w:spacing w:val="-1"/>
          <w:sz w:val="28"/>
        </w:rPr>
        <w:t>a</w:t>
      </w:r>
      <w:r>
        <w:rPr>
          <w:rFonts w:ascii="Bookman Old Style" w:hAnsi="Bookman Old Style"/>
          <w:sz w:val="28"/>
        </w:rPr>
        <w:t>s</w:t>
      </w:r>
      <w:r>
        <w:rPr>
          <w:rFonts w:ascii="Bookman Old Style" w:hAnsi="Bookman Old Style"/>
          <w:spacing w:val="35"/>
          <w:sz w:val="28"/>
        </w:rPr>
        <w:t xml:space="preserve"> </w:t>
      </w:r>
      <w:r>
        <w:rPr>
          <w:rFonts w:ascii="Bookman Old Style" w:hAnsi="Bookman Old Style"/>
          <w:spacing w:val="-1"/>
          <w:sz w:val="28"/>
        </w:rPr>
        <w:t>p</w:t>
      </w:r>
      <w:r>
        <w:rPr>
          <w:rFonts w:ascii="Bookman Old Style" w:hAnsi="Bookman Old Style"/>
          <w:spacing w:val="2"/>
          <w:sz w:val="28"/>
        </w:rPr>
        <w:t>e</w:t>
      </w:r>
      <w:r>
        <w:rPr>
          <w:rFonts w:ascii="Bookman Old Style" w:hAnsi="Bookman Old Style"/>
          <w:sz w:val="28"/>
        </w:rPr>
        <w:t>r</w:t>
      </w:r>
      <w:r>
        <w:rPr>
          <w:rFonts w:ascii="Bookman Old Style" w:hAnsi="Bookman Old Style"/>
          <w:spacing w:val="33"/>
          <w:sz w:val="28"/>
        </w:rPr>
        <w:t xml:space="preserve"> </w:t>
      </w:r>
      <w:r>
        <w:rPr>
          <w:rFonts w:ascii="Bookman Old Style" w:hAnsi="Bookman Old Style"/>
          <w:spacing w:val="-1"/>
          <w:sz w:val="28"/>
        </w:rPr>
        <w:t>Sect</w:t>
      </w:r>
      <w:r>
        <w:rPr>
          <w:rFonts w:ascii="Bookman Old Style" w:hAnsi="Bookman Old Style"/>
          <w:sz w:val="28"/>
        </w:rPr>
        <w:t>ion</w:t>
      </w:r>
      <w:r>
        <w:rPr>
          <w:rFonts w:ascii="Bookman Old Style" w:hAnsi="Bookman Old Style"/>
          <w:spacing w:val="32"/>
          <w:sz w:val="28"/>
        </w:rPr>
        <w:t xml:space="preserve"> </w:t>
      </w:r>
      <w:r>
        <w:rPr>
          <w:rFonts w:ascii="Bookman Old Style" w:hAnsi="Bookman Old Style"/>
          <w:sz w:val="28"/>
        </w:rPr>
        <w:t>29</w:t>
      </w:r>
      <w:r>
        <w:rPr>
          <w:rFonts w:ascii="Bookman Old Style" w:hAnsi="Bookman Old Style"/>
          <w:spacing w:val="-3"/>
          <w:sz w:val="28"/>
        </w:rPr>
        <w:t>(</w:t>
      </w:r>
      <w:r>
        <w:rPr>
          <w:rFonts w:ascii="Bookman Old Style" w:hAnsi="Bookman Old Style"/>
          <w:sz w:val="28"/>
        </w:rPr>
        <w:t>3A)</w:t>
      </w:r>
      <w:r>
        <w:rPr>
          <w:rFonts w:ascii="Bookman Old Style" w:hAnsi="Bookman Old Style"/>
          <w:spacing w:val="32"/>
          <w:sz w:val="28"/>
        </w:rPr>
        <w:t xml:space="preserve"> </w:t>
      </w:r>
      <w:r>
        <w:rPr>
          <w:rFonts w:ascii="Bookman Old Style" w:hAnsi="Bookman Old Style"/>
          <w:sz w:val="28"/>
        </w:rPr>
        <w:t>of</w:t>
      </w:r>
      <w:r>
        <w:rPr>
          <w:rFonts w:ascii="Bookman Old Style" w:hAnsi="Bookman Old Style"/>
          <w:spacing w:val="33"/>
          <w:sz w:val="28"/>
        </w:rPr>
        <w:t xml:space="preserve"> </w:t>
      </w:r>
      <w:r>
        <w:rPr>
          <w:rFonts w:ascii="Bookman Old Style" w:hAnsi="Bookman Old Style"/>
          <w:spacing w:val="-2"/>
          <w:sz w:val="28"/>
        </w:rPr>
        <w:t>t</w:t>
      </w:r>
      <w:r>
        <w:rPr>
          <w:rFonts w:ascii="Bookman Old Style" w:hAnsi="Bookman Old Style"/>
          <w:spacing w:val="-3"/>
          <w:sz w:val="28"/>
        </w:rPr>
        <w:t>h</w:t>
      </w:r>
      <w:r>
        <w:rPr>
          <w:rFonts w:ascii="Bookman Old Style" w:hAnsi="Bookman Old Style"/>
          <w:sz w:val="28"/>
        </w:rPr>
        <w:t xml:space="preserve">e </w:t>
      </w:r>
      <w:r>
        <w:rPr>
          <w:rFonts w:ascii="Bookman Old Style" w:hAnsi="Bookman Old Style"/>
          <w:sz w:val="28"/>
        </w:rPr>
        <w:t>said Act, the Devaswom Commissioner is required to submit reports to the government, once in three months, with respect to the working of the</w:t>
      </w:r>
      <w:r>
        <w:rPr>
          <w:rFonts w:ascii="Bookman Old Style" w:hAnsi="Bookman Old Style"/>
          <w:spacing w:val="-6"/>
          <w:sz w:val="28"/>
        </w:rPr>
        <w:t xml:space="preserve"> </w:t>
      </w:r>
      <w:r>
        <w:rPr>
          <w:rFonts w:ascii="Bookman Old Style" w:hAnsi="Bookman Old Style"/>
          <w:sz w:val="28"/>
        </w:rPr>
        <w:t>Board.</w:t>
      </w:r>
    </w:p>
    <w:p w:rsidR="003B2FC0" w:rsidRDefault="00052A49">
      <w:pPr>
        <w:pStyle w:val="ListParagraph"/>
        <w:numPr>
          <w:ilvl w:val="0"/>
          <w:numId w:val="60"/>
        </w:numPr>
        <w:tabs>
          <w:tab w:val="left" w:pos="1221"/>
        </w:tabs>
        <w:spacing w:before="122" w:line="480" w:lineRule="auto"/>
        <w:ind w:right="274" w:firstLine="0"/>
        <w:jc w:val="both"/>
        <w:rPr>
          <w:rFonts w:ascii="Bookman Old Style"/>
          <w:sz w:val="28"/>
        </w:rPr>
      </w:pPr>
      <w:r>
        <w:rPr>
          <w:rFonts w:ascii="Bookman Old Style"/>
          <w:sz w:val="28"/>
        </w:rPr>
        <w:t xml:space="preserve">They have placed reliance on the decision of this Court in </w:t>
      </w:r>
      <w:r>
        <w:rPr>
          <w:rFonts w:ascii="Bookman Old Style"/>
          <w:b/>
          <w:i/>
          <w:sz w:val="28"/>
        </w:rPr>
        <w:t>The Commissioner Hindu Religious Endowments, Mad</w:t>
      </w:r>
      <w:r>
        <w:rPr>
          <w:rFonts w:ascii="Bookman Old Style"/>
          <w:b/>
          <w:i/>
          <w:sz w:val="28"/>
        </w:rPr>
        <w:t>ras v. Shri Lakshmindra Thritha Swaminar of Sri Shirur Mutt</w:t>
      </w:r>
      <w:r>
        <w:rPr>
          <w:rFonts w:ascii="Bookman Old Style"/>
          <w:position w:val="7"/>
          <w:sz w:val="18"/>
        </w:rPr>
        <w:t>9</w:t>
      </w:r>
      <w:r>
        <w:rPr>
          <w:rFonts w:ascii="Bookman Old Style"/>
          <w:sz w:val="18"/>
        </w:rPr>
        <w:t xml:space="preserve"> </w:t>
      </w:r>
      <w:r>
        <w:rPr>
          <w:rFonts w:ascii="Bookman Old Style"/>
          <w:sz w:val="28"/>
        </w:rPr>
        <w:t>wherein it was observed</w:t>
      </w:r>
      <w:r>
        <w:rPr>
          <w:rFonts w:ascii="Bookman Old Style"/>
          <w:spacing w:val="-7"/>
          <w:sz w:val="28"/>
        </w:rPr>
        <w:t xml:space="preserve"> </w:t>
      </w:r>
      <w:r>
        <w:rPr>
          <w:rFonts w:ascii="Bookman Old Style"/>
          <w:sz w:val="28"/>
        </w:rPr>
        <w:t>thus:</w:t>
      </w:r>
    </w:p>
    <w:p w:rsidR="003B2FC0" w:rsidRDefault="003B2FC0">
      <w:pPr>
        <w:pStyle w:val="BodyText"/>
        <w:rPr>
          <w:sz w:val="20"/>
        </w:rPr>
      </w:pPr>
    </w:p>
    <w:p w:rsidR="003B2FC0" w:rsidRDefault="003B2FC0">
      <w:pPr>
        <w:pStyle w:val="BodyText"/>
        <w:rPr>
          <w:sz w:val="20"/>
        </w:rPr>
      </w:pPr>
    </w:p>
    <w:p w:rsidR="003B2FC0" w:rsidRDefault="003B2FC0">
      <w:pPr>
        <w:pStyle w:val="BodyText"/>
        <w:spacing w:before="9"/>
        <w:rPr>
          <w:sz w:val="19"/>
        </w:rPr>
      </w:pPr>
      <w:r w:rsidRPr="003B2FC0">
        <w:pict>
          <v:line id="_x0000_s1175" style="position:absolute;z-index:-251614720;mso-wrap-distance-left:0;mso-wrap-distance-right:0;mso-position-horizontal-relative:page" from="1in,13.9pt" to="216.05pt,13.9pt" strokeweight=".6pt">
            <w10:wrap type="topAndBottom" anchorx="page"/>
          </v:line>
        </w:pict>
      </w:r>
    </w:p>
    <w:p w:rsidR="003B2FC0" w:rsidRDefault="00052A49">
      <w:pPr>
        <w:spacing w:before="50"/>
        <w:ind w:left="500"/>
        <w:rPr>
          <w:rFonts w:ascii="Times New Roman"/>
          <w:sz w:val="20"/>
        </w:rPr>
      </w:pPr>
      <w:r>
        <w:rPr>
          <w:rFonts w:ascii="Times New Roman"/>
          <w:position w:val="9"/>
          <w:sz w:val="13"/>
        </w:rPr>
        <w:t xml:space="preserve">9 </w:t>
      </w:r>
      <w:r>
        <w:rPr>
          <w:rFonts w:ascii="Times New Roman"/>
          <w:sz w:val="20"/>
        </w:rPr>
        <w:t>[1954] SCR 1005</w:t>
      </w:r>
    </w:p>
    <w:p w:rsidR="003B2FC0" w:rsidRDefault="003B2FC0">
      <w:pPr>
        <w:rPr>
          <w:rFonts w:ascii="Times New Roman"/>
          <w:sz w:val="20"/>
        </w:rPr>
        <w:sectPr w:rsidR="003B2FC0">
          <w:headerReference w:type="default" r:id="rId23"/>
          <w:footerReference w:type="default" r:id="rId24"/>
          <w:pgSz w:w="11910" w:h="16840"/>
          <w:pgMar w:top="1340" w:right="1160" w:bottom="280" w:left="940" w:header="554" w:footer="0" w:gutter="0"/>
          <w:pgNumType w:start="14"/>
          <w:cols w:space="720"/>
        </w:sectPr>
      </w:pPr>
    </w:p>
    <w:p w:rsidR="003B2FC0" w:rsidRDefault="00052A49">
      <w:pPr>
        <w:pStyle w:val="BodyText"/>
        <w:spacing w:before="93"/>
        <w:ind w:left="1364" w:right="1139"/>
        <w:jc w:val="both"/>
      </w:pPr>
      <w:r>
        <w:t xml:space="preserve">“The contention formulated in such broad terms cannot, we think, be supported. In the first place, what constitutes the essential part of a religion is primarily to be ascertained with reference to the doctrines of that religion itself. </w:t>
      </w:r>
      <w:r>
        <w:rPr>
          <w:spacing w:val="2"/>
        </w:rPr>
        <w:t xml:space="preserve">If </w:t>
      </w:r>
      <w:r>
        <w:t>the tenets of an</w:t>
      </w:r>
      <w:r>
        <w:t>y religious sect of the Hindus prescribe that offerings of food should be given to the idol at particular hours of the day, that periodical ceremonies should be performed in a certain way at certain periods of the year or that there should be daily recital</w:t>
      </w:r>
      <w:r>
        <w:t xml:space="preserve"> of sacred texts or ablations to the sacred fire, all these would be regarded as parts of religion and the mere fact that they involve expenditure of money or employment of priests and servants or the use of marketable commodities would not make them secul</w:t>
      </w:r>
      <w:r>
        <w:t>ar activities partaking of a commercial or economic character; all of them are religious practices and should be regarded as matters of religion within the meaning of article</w:t>
      </w:r>
      <w:r>
        <w:rPr>
          <w:spacing w:val="-10"/>
        </w:rPr>
        <w:t xml:space="preserve"> </w:t>
      </w:r>
      <w:r>
        <w:t>26(b).”</w:t>
      </w:r>
    </w:p>
    <w:p w:rsidR="003B2FC0" w:rsidRDefault="003B2FC0">
      <w:pPr>
        <w:pStyle w:val="BodyText"/>
        <w:rPr>
          <w:sz w:val="32"/>
        </w:rPr>
      </w:pPr>
    </w:p>
    <w:p w:rsidR="003B2FC0" w:rsidRDefault="00052A49">
      <w:pPr>
        <w:pStyle w:val="ListParagraph"/>
        <w:numPr>
          <w:ilvl w:val="0"/>
          <w:numId w:val="60"/>
        </w:numPr>
        <w:tabs>
          <w:tab w:val="left" w:pos="1221"/>
        </w:tabs>
        <w:spacing w:before="191" w:line="480" w:lineRule="auto"/>
        <w:ind w:right="272" w:firstLine="0"/>
        <w:jc w:val="both"/>
        <w:rPr>
          <w:rFonts w:ascii="Bookman Old Style" w:hAnsi="Bookman Old Style"/>
          <w:sz w:val="28"/>
        </w:rPr>
      </w:pPr>
      <w:r>
        <w:rPr>
          <w:rFonts w:ascii="Bookman Old Style" w:hAnsi="Bookman Old Style"/>
          <w:sz w:val="28"/>
        </w:rPr>
        <w:t xml:space="preserve">As per the petitioners, this Court in </w:t>
      </w:r>
      <w:r>
        <w:rPr>
          <w:rFonts w:ascii="Bookman Old Style" w:hAnsi="Bookman Old Style"/>
          <w:b/>
          <w:i/>
          <w:sz w:val="28"/>
        </w:rPr>
        <w:t xml:space="preserve">Shirur Mutt </w:t>
      </w:r>
      <w:r>
        <w:rPr>
          <w:rFonts w:ascii="Bookman Old Style" w:hAnsi="Bookman Old Style"/>
          <w:sz w:val="28"/>
        </w:rPr>
        <w:t xml:space="preserve">(supra), while giving freedom under clauses (a) and (b) of Article 26, made </w:t>
      </w:r>
      <w:r>
        <w:rPr>
          <w:rFonts w:ascii="Bookman Old Style" w:hAnsi="Bookman Old Style"/>
          <w:sz w:val="28"/>
        </w:rPr>
        <w:t>it</w:t>
      </w:r>
      <w:r>
        <w:rPr>
          <w:rFonts w:ascii="Bookman Old Style" w:hAnsi="Bookman Old Style"/>
          <w:sz w:val="28"/>
        </w:rPr>
        <w:t xml:space="preserve"> </w:t>
      </w:r>
      <w:r>
        <w:rPr>
          <w:rFonts w:ascii="Bookman Old Style" w:hAnsi="Bookman Old Style"/>
          <w:spacing w:val="6"/>
          <w:sz w:val="28"/>
        </w:rPr>
        <w:t xml:space="preserve"> </w:t>
      </w:r>
      <w:r>
        <w:rPr>
          <w:rFonts w:ascii="Bookman Old Style" w:hAnsi="Bookman Old Style"/>
          <w:sz w:val="28"/>
        </w:rPr>
        <w:t>c</w:t>
      </w:r>
      <w:r>
        <w:rPr>
          <w:rFonts w:ascii="Bookman Old Style" w:hAnsi="Bookman Old Style"/>
          <w:spacing w:val="-3"/>
          <w:sz w:val="28"/>
        </w:rPr>
        <w:t>l</w:t>
      </w:r>
      <w:r>
        <w:rPr>
          <w:rFonts w:ascii="Bookman Old Style" w:hAnsi="Bookman Old Style"/>
          <w:spacing w:val="2"/>
          <w:sz w:val="28"/>
        </w:rPr>
        <w:t>e</w:t>
      </w:r>
      <w:r>
        <w:rPr>
          <w:rFonts w:ascii="Bookman Old Style" w:hAnsi="Bookman Old Style"/>
          <w:spacing w:val="-1"/>
          <w:sz w:val="28"/>
        </w:rPr>
        <w:t>a</w:t>
      </w:r>
      <w:r>
        <w:rPr>
          <w:rFonts w:ascii="Bookman Old Style" w:hAnsi="Bookman Old Style"/>
          <w:sz w:val="28"/>
        </w:rPr>
        <w:t>r</w:t>
      </w:r>
      <w:r>
        <w:rPr>
          <w:rFonts w:ascii="Bookman Old Style" w:hAnsi="Bookman Old Style"/>
          <w:sz w:val="28"/>
        </w:rPr>
        <w:t xml:space="preserve"> </w:t>
      </w:r>
      <w:r>
        <w:rPr>
          <w:rFonts w:ascii="Bookman Old Style" w:hAnsi="Bookman Old Style"/>
          <w:spacing w:val="7"/>
          <w:sz w:val="28"/>
        </w:rPr>
        <w:t xml:space="preserve"> </w:t>
      </w:r>
      <w:r>
        <w:rPr>
          <w:rFonts w:ascii="Bookman Old Style" w:hAnsi="Bookman Old Style"/>
          <w:spacing w:val="-2"/>
          <w:sz w:val="28"/>
        </w:rPr>
        <w:t>t</w:t>
      </w:r>
      <w:r>
        <w:rPr>
          <w:rFonts w:ascii="Bookman Old Style" w:hAnsi="Bookman Old Style"/>
          <w:spacing w:val="-1"/>
          <w:sz w:val="28"/>
        </w:rPr>
        <w:t>ha</w:t>
      </w:r>
      <w:r>
        <w:rPr>
          <w:rFonts w:ascii="Bookman Old Style" w:hAnsi="Bookman Old Style"/>
          <w:sz w:val="28"/>
        </w:rPr>
        <w:t>t</w:t>
      </w:r>
      <w:r>
        <w:rPr>
          <w:rFonts w:ascii="Bookman Old Style" w:hAnsi="Bookman Old Style"/>
          <w:sz w:val="28"/>
        </w:rPr>
        <w:t xml:space="preserve"> </w:t>
      </w:r>
      <w:r>
        <w:rPr>
          <w:rFonts w:ascii="Bookman Old Style" w:hAnsi="Bookman Old Style"/>
          <w:spacing w:val="6"/>
          <w:sz w:val="28"/>
        </w:rPr>
        <w:t xml:space="preserve"> </w:t>
      </w:r>
      <w:r>
        <w:rPr>
          <w:rFonts w:ascii="Bookman Old Style" w:hAnsi="Bookman Old Style"/>
          <w:sz w:val="28"/>
        </w:rPr>
        <w:t>w</w:t>
      </w:r>
      <w:r>
        <w:rPr>
          <w:rFonts w:ascii="Bookman Old Style" w:hAnsi="Bookman Old Style"/>
          <w:spacing w:val="-4"/>
          <w:sz w:val="28"/>
        </w:rPr>
        <w:t>h</w:t>
      </w:r>
      <w:r>
        <w:rPr>
          <w:rFonts w:ascii="Bookman Old Style" w:hAnsi="Bookman Old Style"/>
          <w:spacing w:val="-1"/>
          <w:sz w:val="28"/>
        </w:rPr>
        <w:t>a</w:t>
      </w:r>
      <w:r>
        <w:rPr>
          <w:rFonts w:ascii="Bookman Old Style" w:hAnsi="Bookman Old Style"/>
          <w:sz w:val="28"/>
        </w:rPr>
        <w:t>t</w:t>
      </w:r>
      <w:r>
        <w:rPr>
          <w:rFonts w:ascii="Bookman Old Style" w:hAnsi="Bookman Old Style"/>
          <w:sz w:val="28"/>
        </w:rPr>
        <w:t xml:space="preserve"> </w:t>
      </w:r>
      <w:r>
        <w:rPr>
          <w:rFonts w:ascii="Bookman Old Style" w:hAnsi="Bookman Old Style"/>
          <w:spacing w:val="7"/>
          <w:sz w:val="28"/>
        </w:rPr>
        <w:t xml:space="preserve"> </w:t>
      </w:r>
      <w:r>
        <w:rPr>
          <w:rFonts w:ascii="Bookman Old Style" w:hAnsi="Bookman Old Style"/>
          <w:sz w:val="28"/>
        </w:rPr>
        <w:t>is</w:t>
      </w:r>
      <w:r>
        <w:rPr>
          <w:rFonts w:ascii="Bookman Old Style" w:hAnsi="Bookman Old Style"/>
          <w:sz w:val="28"/>
        </w:rPr>
        <w:t xml:space="preserve"> </w:t>
      </w:r>
      <w:r>
        <w:rPr>
          <w:rFonts w:ascii="Bookman Old Style" w:hAnsi="Bookman Old Style"/>
          <w:spacing w:val="8"/>
          <w:sz w:val="28"/>
        </w:rPr>
        <w:t xml:space="preserve"> </w:t>
      </w:r>
      <w:r>
        <w:rPr>
          <w:rFonts w:ascii="Bookman Old Style" w:hAnsi="Bookman Old Style"/>
          <w:sz w:val="28"/>
        </w:rPr>
        <w:t>p</w:t>
      </w:r>
      <w:r>
        <w:rPr>
          <w:rFonts w:ascii="Bookman Old Style" w:hAnsi="Bookman Old Style"/>
          <w:spacing w:val="-4"/>
          <w:sz w:val="28"/>
        </w:rPr>
        <w:t>r</w:t>
      </w:r>
      <w:r>
        <w:rPr>
          <w:rFonts w:ascii="Bookman Old Style" w:hAnsi="Bookman Old Style"/>
          <w:sz w:val="28"/>
        </w:rPr>
        <w:t>o</w:t>
      </w:r>
      <w:r>
        <w:rPr>
          <w:rFonts w:ascii="Bookman Old Style" w:hAnsi="Bookman Old Style"/>
          <w:spacing w:val="-4"/>
          <w:sz w:val="28"/>
        </w:rPr>
        <w:t>t</w:t>
      </w:r>
      <w:r>
        <w:rPr>
          <w:rFonts w:ascii="Bookman Old Style" w:hAnsi="Bookman Old Style"/>
          <w:spacing w:val="2"/>
          <w:sz w:val="28"/>
        </w:rPr>
        <w:t>e</w:t>
      </w:r>
      <w:r>
        <w:rPr>
          <w:rFonts w:ascii="Bookman Old Style" w:hAnsi="Bookman Old Style"/>
          <w:sz w:val="28"/>
        </w:rPr>
        <w:t>c</w:t>
      </w:r>
      <w:r>
        <w:rPr>
          <w:rFonts w:ascii="Bookman Old Style" w:hAnsi="Bookman Old Style"/>
          <w:spacing w:val="-4"/>
          <w:sz w:val="28"/>
        </w:rPr>
        <w:t>t</w:t>
      </w:r>
      <w:r>
        <w:rPr>
          <w:rFonts w:ascii="Bookman Old Style" w:hAnsi="Bookman Old Style"/>
          <w:sz w:val="28"/>
        </w:rPr>
        <w:t>ed</w:t>
      </w:r>
      <w:r>
        <w:rPr>
          <w:rFonts w:ascii="Bookman Old Style" w:hAnsi="Bookman Old Style"/>
          <w:sz w:val="28"/>
        </w:rPr>
        <w:t xml:space="preserve"> </w:t>
      </w:r>
      <w:r>
        <w:rPr>
          <w:rFonts w:ascii="Bookman Old Style" w:hAnsi="Bookman Old Style"/>
          <w:spacing w:val="9"/>
          <w:sz w:val="28"/>
        </w:rPr>
        <w:t xml:space="preserve"> </w:t>
      </w:r>
      <w:r>
        <w:rPr>
          <w:rFonts w:ascii="Bookman Old Style" w:hAnsi="Bookman Old Style"/>
          <w:spacing w:val="-3"/>
          <w:sz w:val="28"/>
        </w:rPr>
        <w:t>i</w:t>
      </w:r>
      <w:r>
        <w:rPr>
          <w:rFonts w:ascii="Bookman Old Style" w:hAnsi="Bookman Old Style"/>
          <w:sz w:val="28"/>
        </w:rPr>
        <w:t>s</w:t>
      </w:r>
      <w:r>
        <w:rPr>
          <w:rFonts w:ascii="Bookman Old Style" w:hAnsi="Bookman Old Style"/>
          <w:sz w:val="28"/>
        </w:rPr>
        <w:t xml:space="preserve"> </w:t>
      </w:r>
      <w:r>
        <w:rPr>
          <w:rFonts w:ascii="Bookman Old Style" w:hAnsi="Bookman Old Style"/>
          <w:spacing w:val="8"/>
          <w:sz w:val="28"/>
        </w:rPr>
        <w:t xml:space="preserve"> </w:t>
      </w:r>
      <w:r>
        <w:rPr>
          <w:rFonts w:ascii="Bookman Old Style" w:hAnsi="Bookman Old Style"/>
          <w:sz w:val="28"/>
        </w:rPr>
        <w:t>o</w:t>
      </w:r>
      <w:r>
        <w:rPr>
          <w:rFonts w:ascii="Bookman Old Style" w:hAnsi="Bookman Old Style"/>
          <w:spacing w:val="-1"/>
          <w:sz w:val="28"/>
        </w:rPr>
        <w:t>nl</w:t>
      </w:r>
      <w:r>
        <w:rPr>
          <w:rFonts w:ascii="Bookman Old Style" w:hAnsi="Bookman Old Style"/>
          <w:sz w:val="28"/>
        </w:rPr>
        <w:t>y</w:t>
      </w:r>
      <w:r>
        <w:rPr>
          <w:rFonts w:ascii="Bookman Old Style" w:hAnsi="Bookman Old Style"/>
          <w:sz w:val="28"/>
        </w:rPr>
        <w:t xml:space="preserve"> </w:t>
      </w:r>
      <w:r>
        <w:rPr>
          <w:rFonts w:ascii="Bookman Old Style" w:hAnsi="Bookman Old Style"/>
          <w:spacing w:val="6"/>
          <w:sz w:val="28"/>
        </w:rPr>
        <w:t xml:space="preserve"> </w:t>
      </w:r>
      <w:r>
        <w:rPr>
          <w:rFonts w:ascii="Bookman Old Style" w:hAnsi="Bookman Old Style"/>
          <w:spacing w:val="-2"/>
          <w:sz w:val="28"/>
        </w:rPr>
        <w:t>t</w:t>
      </w:r>
      <w:r>
        <w:rPr>
          <w:rFonts w:ascii="Bookman Old Style" w:hAnsi="Bookman Old Style"/>
          <w:spacing w:val="-3"/>
          <w:sz w:val="28"/>
        </w:rPr>
        <w:t>h</w:t>
      </w:r>
      <w:r>
        <w:rPr>
          <w:rFonts w:ascii="Bookman Old Style" w:hAnsi="Bookman Old Style"/>
          <w:sz w:val="28"/>
        </w:rPr>
        <w:t>e</w:t>
      </w:r>
      <w:r>
        <w:rPr>
          <w:rFonts w:ascii="Bookman Old Style" w:hAnsi="Bookman Old Style"/>
          <w:sz w:val="28"/>
        </w:rPr>
        <w:t xml:space="preserve"> </w:t>
      </w:r>
      <w:r>
        <w:rPr>
          <w:rFonts w:ascii="Bookman Old Style" w:hAnsi="Bookman Old Style"/>
          <w:spacing w:val="7"/>
          <w:sz w:val="28"/>
        </w:rPr>
        <w:t xml:space="preserve"> </w:t>
      </w:r>
      <w:r>
        <w:rPr>
          <w:rFonts w:ascii="Bookman Old Style" w:hAnsi="Bookman Old Style"/>
          <w:spacing w:val="-2"/>
          <w:w w:val="55"/>
          <w:sz w:val="28"/>
        </w:rPr>
        <w:t>„</w:t>
      </w:r>
      <w:r>
        <w:rPr>
          <w:rFonts w:ascii="Bookman Old Style" w:hAnsi="Bookman Old Style"/>
          <w:spacing w:val="2"/>
          <w:sz w:val="28"/>
        </w:rPr>
        <w:t>e</w:t>
      </w:r>
      <w:r>
        <w:rPr>
          <w:rFonts w:ascii="Bookman Old Style" w:hAnsi="Bookman Old Style"/>
          <w:spacing w:val="-2"/>
          <w:sz w:val="28"/>
        </w:rPr>
        <w:t>ss</w:t>
      </w:r>
      <w:r>
        <w:rPr>
          <w:rFonts w:ascii="Bookman Old Style" w:hAnsi="Bookman Old Style"/>
          <w:sz w:val="28"/>
        </w:rPr>
        <w:t>en</w:t>
      </w:r>
      <w:r>
        <w:rPr>
          <w:rFonts w:ascii="Bookman Old Style" w:hAnsi="Bookman Old Style"/>
          <w:spacing w:val="-2"/>
          <w:sz w:val="28"/>
        </w:rPr>
        <w:t>t</w:t>
      </w:r>
      <w:r>
        <w:rPr>
          <w:rFonts w:ascii="Bookman Old Style" w:hAnsi="Bookman Old Style"/>
          <w:sz w:val="28"/>
        </w:rPr>
        <w:t>ial</w:t>
      </w:r>
      <w:r>
        <w:rPr>
          <w:rFonts w:ascii="Bookman Old Style" w:hAnsi="Bookman Old Style"/>
          <w:sz w:val="28"/>
        </w:rPr>
        <w:t xml:space="preserve"> </w:t>
      </w:r>
      <w:r>
        <w:rPr>
          <w:rFonts w:ascii="Bookman Old Style" w:hAnsi="Bookman Old Style"/>
          <w:spacing w:val="7"/>
          <w:sz w:val="28"/>
        </w:rPr>
        <w:t xml:space="preserve"> </w:t>
      </w:r>
      <w:r>
        <w:rPr>
          <w:rFonts w:ascii="Bookman Old Style" w:hAnsi="Bookman Old Style"/>
          <w:sz w:val="28"/>
        </w:rPr>
        <w:t>p</w:t>
      </w:r>
      <w:r>
        <w:rPr>
          <w:rFonts w:ascii="Bookman Old Style" w:hAnsi="Bookman Old Style"/>
          <w:spacing w:val="-1"/>
          <w:sz w:val="28"/>
        </w:rPr>
        <w:t>ar</w:t>
      </w:r>
      <w:r>
        <w:rPr>
          <w:rFonts w:ascii="Bookman Old Style" w:hAnsi="Bookman Old Style"/>
          <w:spacing w:val="-2"/>
          <w:sz w:val="28"/>
        </w:rPr>
        <w:t>t</w:t>
      </w:r>
      <w:r>
        <w:rPr>
          <w:rFonts w:ascii="Bookman Old Style" w:hAnsi="Bookman Old Style"/>
          <w:w w:val="29"/>
          <w:sz w:val="28"/>
        </w:rPr>
        <w:t>‟</w:t>
      </w:r>
      <w:r>
        <w:rPr>
          <w:rFonts w:ascii="Bookman Old Style" w:hAnsi="Bookman Old Style"/>
          <w:sz w:val="28"/>
        </w:rPr>
        <w:t xml:space="preserve"> </w:t>
      </w:r>
      <w:r>
        <w:rPr>
          <w:rFonts w:ascii="Bookman Old Style" w:hAnsi="Bookman Old Style"/>
          <w:spacing w:val="5"/>
          <w:sz w:val="28"/>
        </w:rPr>
        <w:t xml:space="preserve"> </w:t>
      </w:r>
      <w:r>
        <w:rPr>
          <w:rFonts w:ascii="Bookman Old Style" w:hAnsi="Bookman Old Style"/>
          <w:sz w:val="28"/>
        </w:rPr>
        <w:t xml:space="preserve">of </w:t>
      </w:r>
      <w:r>
        <w:rPr>
          <w:rFonts w:ascii="Bookman Old Style" w:hAnsi="Bookman Old Style"/>
          <w:sz w:val="28"/>
        </w:rPr>
        <w:t>religion</w:t>
      </w:r>
      <w:r>
        <w:rPr>
          <w:rFonts w:ascii="Bookman Old Style" w:hAnsi="Bookman Old Style"/>
          <w:spacing w:val="-17"/>
          <w:sz w:val="28"/>
        </w:rPr>
        <w:t xml:space="preserve"> </w:t>
      </w:r>
      <w:r>
        <w:rPr>
          <w:rFonts w:ascii="Bookman Old Style" w:hAnsi="Bookman Old Style"/>
          <w:sz w:val="28"/>
        </w:rPr>
        <w:t>or,</w:t>
      </w:r>
      <w:r>
        <w:rPr>
          <w:rFonts w:ascii="Bookman Old Style" w:hAnsi="Bookman Old Style"/>
          <w:spacing w:val="-17"/>
          <w:sz w:val="28"/>
        </w:rPr>
        <w:t xml:space="preserve"> </w:t>
      </w:r>
      <w:r>
        <w:rPr>
          <w:rFonts w:ascii="Bookman Old Style" w:hAnsi="Bookman Old Style"/>
          <w:sz w:val="28"/>
        </w:rPr>
        <w:t>in</w:t>
      </w:r>
      <w:r>
        <w:rPr>
          <w:rFonts w:ascii="Bookman Old Style" w:hAnsi="Bookman Old Style"/>
          <w:spacing w:val="-18"/>
          <w:sz w:val="28"/>
        </w:rPr>
        <w:t xml:space="preserve"> </w:t>
      </w:r>
      <w:r>
        <w:rPr>
          <w:rFonts w:ascii="Bookman Old Style" w:hAnsi="Bookman Old Style"/>
          <w:sz w:val="28"/>
        </w:rPr>
        <w:t>other</w:t>
      </w:r>
      <w:r>
        <w:rPr>
          <w:rFonts w:ascii="Bookman Old Style" w:hAnsi="Bookman Old Style"/>
          <w:spacing w:val="-16"/>
          <w:sz w:val="28"/>
        </w:rPr>
        <w:t xml:space="preserve"> </w:t>
      </w:r>
      <w:r>
        <w:rPr>
          <w:rFonts w:ascii="Bookman Old Style" w:hAnsi="Bookman Old Style"/>
          <w:sz w:val="28"/>
        </w:rPr>
        <w:t>words,</w:t>
      </w:r>
      <w:r>
        <w:rPr>
          <w:rFonts w:ascii="Bookman Old Style" w:hAnsi="Bookman Old Style"/>
          <w:spacing w:val="-17"/>
          <w:sz w:val="28"/>
        </w:rPr>
        <w:t xml:space="preserve"> </w:t>
      </w:r>
      <w:r>
        <w:rPr>
          <w:rFonts w:ascii="Bookman Old Style" w:hAnsi="Bookman Old Style"/>
          <w:sz w:val="28"/>
        </w:rPr>
        <w:t>the</w:t>
      </w:r>
      <w:r>
        <w:rPr>
          <w:rFonts w:ascii="Bookman Old Style" w:hAnsi="Bookman Old Style"/>
          <w:spacing w:val="-16"/>
          <w:sz w:val="28"/>
        </w:rPr>
        <w:t xml:space="preserve"> </w:t>
      </w:r>
      <w:r>
        <w:rPr>
          <w:rFonts w:ascii="Bookman Old Style" w:hAnsi="Bookman Old Style"/>
          <w:sz w:val="28"/>
        </w:rPr>
        <w:t>essence</w:t>
      </w:r>
      <w:r>
        <w:rPr>
          <w:rFonts w:ascii="Bookman Old Style" w:hAnsi="Bookman Old Style"/>
          <w:spacing w:val="-15"/>
          <w:sz w:val="28"/>
        </w:rPr>
        <w:t xml:space="preserve"> </w:t>
      </w:r>
      <w:r>
        <w:rPr>
          <w:rFonts w:ascii="Bookman Old Style" w:hAnsi="Bookman Old Style"/>
          <w:sz w:val="28"/>
        </w:rPr>
        <w:t>of</w:t>
      </w:r>
      <w:r>
        <w:rPr>
          <w:rFonts w:ascii="Bookman Old Style" w:hAnsi="Bookman Old Style"/>
          <w:spacing w:val="-17"/>
          <w:sz w:val="28"/>
        </w:rPr>
        <w:t xml:space="preserve"> </w:t>
      </w:r>
      <w:r>
        <w:rPr>
          <w:rFonts w:ascii="Bookman Old Style" w:hAnsi="Bookman Old Style"/>
          <w:sz w:val="28"/>
        </w:rPr>
        <w:t>„practice‟</w:t>
      </w:r>
      <w:r>
        <w:rPr>
          <w:rFonts w:ascii="Bookman Old Style" w:hAnsi="Bookman Old Style"/>
          <w:spacing w:val="-17"/>
          <w:sz w:val="28"/>
        </w:rPr>
        <w:t xml:space="preserve"> </w:t>
      </w:r>
      <w:r>
        <w:rPr>
          <w:rFonts w:ascii="Bookman Old Style" w:hAnsi="Bookman Old Style"/>
          <w:sz w:val="28"/>
        </w:rPr>
        <w:t>practised</w:t>
      </w:r>
      <w:r>
        <w:rPr>
          <w:rFonts w:ascii="Bookman Old Style" w:hAnsi="Bookman Old Style"/>
          <w:spacing w:val="-18"/>
          <w:sz w:val="28"/>
        </w:rPr>
        <w:t xml:space="preserve"> </w:t>
      </w:r>
      <w:r>
        <w:rPr>
          <w:rFonts w:ascii="Bookman Old Style" w:hAnsi="Bookman Old Style"/>
          <w:sz w:val="28"/>
        </w:rPr>
        <w:t>by</w:t>
      </w:r>
      <w:r>
        <w:rPr>
          <w:rFonts w:ascii="Bookman Old Style" w:hAnsi="Bookman Old Style"/>
          <w:spacing w:val="-18"/>
          <w:sz w:val="28"/>
        </w:rPr>
        <w:t xml:space="preserve"> </w:t>
      </w:r>
      <w:r>
        <w:rPr>
          <w:rFonts w:ascii="Bookman Old Style" w:hAnsi="Bookman Old Style"/>
          <w:spacing w:val="-23"/>
          <w:sz w:val="28"/>
        </w:rPr>
        <w:t xml:space="preserve">a </w:t>
      </w:r>
      <w:r>
        <w:rPr>
          <w:rFonts w:ascii="Bookman Old Style" w:hAnsi="Bookman Old Style"/>
          <w:sz w:val="28"/>
        </w:rPr>
        <w:t>religious denomination and, therefore, the petitioners submit that before any religious practice is examined on the touchstone of constitutional principles, it has to be ascertained positively whether</w:t>
      </w:r>
      <w:r>
        <w:rPr>
          <w:rFonts w:ascii="Bookman Old Style" w:hAnsi="Bookman Old Style"/>
          <w:spacing w:val="56"/>
          <w:sz w:val="28"/>
        </w:rPr>
        <w:t xml:space="preserve"> </w:t>
      </w:r>
      <w:r>
        <w:rPr>
          <w:rFonts w:ascii="Bookman Old Style" w:hAnsi="Bookman Old Style"/>
          <w:sz w:val="28"/>
        </w:rPr>
        <w:t>the</w:t>
      </w:r>
      <w:r>
        <w:rPr>
          <w:rFonts w:ascii="Bookman Old Style" w:hAnsi="Bookman Old Style"/>
          <w:spacing w:val="60"/>
          <w:sz w:val="28"/>
        </w:rPr>
        <w:t xml:space="preserve"> </w:t>
      </w:r>
      <w:r>
        <w:rPr>
          <w:rFonts w:ascii="Bookman Old Style" w:hAnsi="Bookman Old Style"/>
          <w:sz w:val="28"/>
        </w:rPr>
        <w:t>said</w:t>
      </w:r>
      <w:r>
        <w:rPr>
          <w:rFonts w:ascii="Bookman Old Style" w:hAnsi="Bookman Old Style"/>
          <w:spacing w:val="56"/>
          <w:sz w:val="28"/>
        </w:rPr>
        <w:t xml:space="preserve"> </w:t>
      </w:r>
      <w:r>
        <w:rPr>
          <w:rFonts w:ascii="Bookman Old Style" w:hAnsi="Bookman Old Style"/>
          <w:sz w:val="28"/>
        </w:rPr>
        <w:t>practice</w:t>
      </w:r>
      <w:r>
        <w:rPr>
          <w:rFonts w:ascii="Bookman Old Style" w:hAnsi="Bookman Old Style"/>
          <w:spacing w:val="60"/>
          <w:sz w:val="28"/>
        </w:rPr>
        <w:t xml:space="preserve"> </w:t>
      </w:r>
      <w:r>
        <w:rPr>
          <w:rFonts w:ascii="Bookman Old Style" w:hAnsi="Bookman Old Style"/>
          <w:sz w:val="28"/>
        </w:rPr>
        <w:t>is,</w:t>
      </w:r>
      <w:r>
        <w:rPr>
          <w:rFonts w:ascii="Bookman Old Style" w:hAnsi="Bookman Old Style"/>
          <w:spacing w:val="56"/>
          <w:sz w:val="28"/>
        </w:rPr>
        <w:t xml:space="preserve"> </w:t>
      </w:r>
      <w:r>
        <w:rPr>
          <w:rFonts w:ascii="Bookman Old Style" w:hAnsi="Bookman Old Style"/>
          <w:sz w:val="28"/>
        </w:rPr>
        <w:t>in</w:t>
      </w:r>
      <w:r>
        <w:rPr>
          <w:rFonts w:ascii="Bookman Old Style" w:hAnsi="Bookman Old Style"/>
          <w:spacing w:val="57"/>
          <w:sz w:val="28"/>
        </w:rPr>
        <w:t xml:space="preserve"> </w:t>
      </w:r>
      <w:r>
        <w:rPr>
          <w:rFonts w:ascii="Bookman Old Style" w:hAnsi="Bookman Old Style"/>
          <w:sz w:val="28"/>
        </w:rPr>
        <w:t>pith</w:t>
      </w:r>
      <w:r>
        <w:rPr>
          <w:rFonts w:ascii="Bookman Old Style" w:hAnsi="Bookman Old Style"/>
          <w:spacing w:val="56"/>
          <w:sz w:val="28"/>
        </w:rPr>
        <w:t xml:space="preserve"> </w:t>
      </w:r>
      <w:r>
        <w:rPr>
          <w:rFonts w:ascii="Bookman Old Style" w:hAnsi="Bookman Old Style"/>
          <w:sz w:val="28"/>
        </w:rPr>
        <w:t>and</w:t>
      </w:r>
      <w:r>
        <w:rPr>
          <w:rFonts w:ascii="Bookman Old Style" w:hAnsi="Bookman Old Style"/>
          <w:spacing w:val="58"/>
          <w:sz w:val="28"/>
        </w:rPr>
        <w:t xml:space="preserve"> </w:t>
      </w:r>
      <w:r>
        <w:rPr>
          <w:rFonts w:ascii="Bookman Old Style" w:hAnsi="Bookman Old Style"/>
          <w:sz w:val="28"/>
        </w:rPr>
        <w:t>substance,</w:t>
      </w:r>
      <w:r>
        <w:rPr>
          <w:rFonts w:ascii="Bookman Old Style" w:hAnsi="Bookman Old Style"/>
          <w:spacing w:val="56"/>
          <w:sz w:val="28"/>
        </w:rPr>
        <w:t xml:space="preserve"> </w:t>
      </w:r>
      <w:r>
        <w:rPr>
          <w:rFonts w:ascii="Bookman Old Style" w:hAnsi="Bookman Old Style"/>
          <w:sz w:val="28"/>
        </w:rPr>
        <w:t>really</w:t>
      </w:r>
      <w:r>
        <w:rPr>
          <w:rFonts w:ascii="Bookman Old Style" w:hAnsi="Bookman Old Style"/>
          <w:spacing w:val="57"/>
          <w:sz w:val="28"/>
        </w:rPr>
        <w:t xml:space="preserve"> </w:t>
      </w:r>
      <w:r>
        <w:rPr>
          <w:rFonts w:ascii="Bookman Old Style" w:hAnsi="Bookman Old Style"/>
          <w:sz w:val="28"/>
        </w:rPr>
        <w:t>the</w:t>
      </w:r>
    </w:p>
    <w:p w:rsidR="003B2FC0" w:rsidRDefault="00052A49">
      <w:pPr>
        <w:pStyle w:val="BodyText"/>
        <w:spacing w:before="3"/>
        <w:ind w:left="500"/>
        <w:jc w:val="both"/>
      </w:pPr>
      <w:r>
        <w:t>„essence‟ of the said religion.</w:t>
      </w:r>
    </w:p>
    <w:p w:rsidR="003B2FC0" w:rsidRDefault="003B2FC0">
      <w:pPr>
        <w:jc w:val="both"/>
        <w:sectPr w:rsidR="003B2FC0">
          <w:headerReference w:type="default" r:id="rId25"/>
          <w:footerReference w:type="default" r:id="rId26"/>
          <w:pgSz w:w="11910" w:h="16840"/>
          <w:pgMar w:top="1340" w:right="1160" w:bottom="280" w:left="940" w:header="554" w:footer="0" w:gutter="0"/>
          <w:pgNumType w:start="15"/>
          <w:cols w:space="720"/>
        </w:sectPr>
      </w:pPr>
    </w:p>
    <w:p w:rsidR="003B2FC0" w:rsidRDefault="00052A49">
      <w:pPr>
        <w:pStyle w:val="ListParagraph"/>
        <w:numPr>
          <w:ilvl w:val="0"/>
          <w:numId w:val="60"/>
        </w:numPr>
        <w:tabs>
          <w:tab w:val="left" w:pos="1221"/>
        </w:tabs>
        <w:spacing w:before="90" w:line="480" w:lineRule="auto"/>
        <w:ind w:right="273" w:firstLine="0"/>
        <w:jc w:val="both"/>
        <w:rPr>
          <w:rFonts w:ascii="Bookman Old Style"/>
          <w:sz w:val="28"/>
        </w:rPr>
      </w:pPr>
      <w:r>
        <w:rPr>
          <w:rFonts w:ascii="Bookman Old Style"/>
          <w:sz w:val="28"/>
        </w:rPr>
        <w:t xml:space="preserve">The petitioners have also cited the judgment in </w:t>
      </w:r>
      <w:r>
        <w:rPr>
          <w:rFonts w:ascii="Bookman Old Style"/>
          <w:b/>
          <w:i/>
          <w:sz w:val="28"/>
        </w:rPr>
        <w:t>Durgah Committee, Ajmer v. Syed Hussain Ali</w:t>
      </w:r>
      <w:r>
        <w:rPr>
          <w:rFonts w:ascii="Bookman Old Style"/>
          <w:position w:val="7"/>
          <w:sz w:val="18"/>
        </w:rPr>
        <w:t xml:space="preserve">10 </w:t>
      </w:r>
      <w:r>
        <w:rPr>
          <w:rFonts w:ascii="Bookman Old Style"/>
          <w:sz w:val="28"/>
        </w:rPr>
        <w:t xml:space="preserve">wherein Gajendragadkar, J. clarified that clauses (c) and (d) do not create any new right in favour of religious denominations but only safeguard their rights. Similarly, in matters of religious affairs, it is observed that the same is also not sacrosanct </w:t>
      </w:r>
      <w:r>
        <w:rPr>
          <w:rFonts w:ascii="Bookman Old Style"/>
          <w:sz w:val="28"/>
        </w:rPr>
        <w:t>as there may be many ill-practices like superstitions which may, in due course of time, become mere accretions to the basic theme of that religious denomination. After so citing, the petitioners have submitted that even if any accretion added for any histo</w:t>
      </w:r>
      <w:r>
        <w:rPr>
          <w:rFonts w:ascii="Bookman Old Style"/>
          <w:sz w:val="28"/>
        </w:rPr>
        <w:t>rical reason has become an essence of the said religious denomination, the same shall not be protected under Article 26(b) if it is so abhorring and is against the basic concept of our</w:t>
      </w:r>
      <w:r>
        <w:rPr>
          <w:rFonts w:ascii="Bookman Old Style"/>
          <w:spacing w:val="-10"/>
          <w:sz w:val="28"/>
        </w:rPr>
        <w:t xml:space="preserve"> </w:t>
      </w:r>
      <w:r>
        <w:rPr>
          <w:rFonts w:ascii="Bookman Old Style"/>
          <w:sz w:val="28"/>
        </w:rPr>
        <w:t>Constitution.</w:t>
      </w:r>
    </w:p>
    <w:p w:rsidR="003B2FC0" w:rsidRDefault="00052A49">
      <w:pPr>
        <w:pStyle w:val="ListParagraph"/>
        <w:numPr>
          <w:ilvl w:val="0"/>
          <w:numId w:val="60"/>
        </w:numPr>
        <w:tabs>
          <w:tab w:val="left" w:pos="1221"/>
        </w:tabs>
        <w:spacing w:before="122" w:line="480" w:lineRule="auto"/>
        <w:ind w:right="273" w:firstLine="0"/>
        <w:jc w:val="both"/>
        <w:rPr>
          <w:rFonts w:ascii="Bookman Old Style"/>
          <w:sz w:val="28"/>
        </w:rPr>
      </w:pPr>
      <w:r>
        <w:rPr>
          <w:rFonts w:ascii="Bookman Old Style"/>
          <w:sz w:val="28"/>
        </w:rPr>
        <w:t>It is also the case of the petitioners that discrimination in matters of entry to temples is neither a ritual nor a ceremony associated with Hindu religion as this religion does not discriminate against women but, on the contrary, Hindu religion accords to</w:t>
      </w:r>
      <w:r>
        <w:rPr>
          <w:rFonts w:ascii="Bookman Old Style"/>
          <w:sz w:val="28"/>
        </w:rPr>
        <w:t xml:space="preserve"> women a higher pedestal in comparison to men and such a discrimination is totally anti-Hindu, for restriction on the entry</w:t>
      </w:r>
      <w:r>
        <w:rPr>
          <w:rFonts w:ascii="Bookman Old Style"/>
          <w:spacing w:val="21"/>
          <w:sz w:val="28"/>
        </w:rPr>
        <w:t xml:space="preserve"> </w:t>
      </w:r>
      <w:r>
        <w:rPr>
          <w:rFonts w:ascii="Bookman Old Style"/>
          <w:sz w:val="28"/>
        </w:rPr>
        <w:t>of</w:t>
      </w:r>
      <w:r>
        <w:rPr>
          <w:rFonts w:ascii="Bookman Old Style"/>
          <w:spacing w:val="20"/>
          <w:sz w:val="28"/>
        </w:rPr>
        <w:t xml:space="preserve"> </w:t>
      </w:r>
      <w:r>
        <w:rPr>
          <w:rFonts w:ascii="Bookman Old Style"/>
          <w:sz w:val="28"/>
        </w:rPr>
        <w:t>women</w:t>
      </w:r>
      <w:r>
        <w:rPr>
          <w:rFonts w:ascii="Bookman Old Style"/>
          <w:spacing w:val="21"/>
          <w:sz w:val="28"/>
        </w:rPr>
        <w:t xml:space="preserve"> </w:t>
      </w:r>
      <w:r>
        <w:rPr>
          <w:rFonts w:ascii="Bookman Old Style"/>
          <w:sz w:val="28"/>
        </w:rPr>
        <w:t>is</w:t>
      </w:r>
      <w:r>
        <w:rPr>
          <w:rFonts w:ascii="Bookman Old Style"/>
          <w:spacing w:val="23"/>
          <w:sz w:val="28"/>
        </w:rPr>
        <w:t xml:space="preserve"> </w:t>
      </w:r>
      <w:r>
        <w:rPr>
          <w:rFonts w:ascii="Bookman Old Style"/>
          <w:sz w:val="28"/>
        </w:rPr>
        <w:t>not</w:t>
      </w:r>
      <w:r>
        <w:rPr>
          <w:rFonts w:ascii="Bookman Old Style"/>
          <w:spacing w:val="21"/>
          <w:sz w:val="28"/>
        </w:rPr>
        <w:t xml:space="preserve"> </w:t>
      </w:r>
      <w:r>
        <w:rPr>
          <w:rFonts w:ascii="Bookman Old Style"/>
          <w:sz w:val="28"/>
        </w:rPr>
        <w:t>the</w:t>
      </w:r>
      <w:r>
        <w:rPr>
          <w:rFonts w:ascii="Bookman Old Style"/>
          <w:spacing w:val="21"/>
          <w:sz w:val="28"/>
        </w:rPr>
        <w:t xml:space="preserve"> </w:t>
      </w:r>
      <w:r>
        <w:rPr>
          <w:rFonts w:ascii="Bookman Old Style"/>
          <w:sz w:val="28"/>
        </w:rPr>
        <w:t>essence</w:t>
      </w:r>
      <w:r>
        <w:rPr>
          <w:rFonts w:ascii="Bookman Old Style"/>
          <w:spacing w:val="23"/>
          <w:sz w:val="28"/>
        </w:rPr>
        <w:t xml:space="preserve"> </w:t>
      </w:r>
      <w:r>
        <w:rPr>
          <w:rFonts w:ascii="Bookman Old Style"/>
          <w:sz w:val="28"/>
        </w:rPr>
        <w:t>of</w:t>
      </w:r>
      <w:r>
        <w:rPr>
          <w:rFonts w:ascii="Bookman Old Style"/>
          <w:spacing w:val="20"/>
          <w:sz w:val="28"/>
        </w:rPr>
        <w:t xml:space="preserve"> </w:t>
      </w:r>
      <w:r>
        <w:rPr>
          <w:rFonts w:ascii="Bookman Old Style"/>
          <w:sz w:val="28"/>
        </w:rPr>
        <w:t>Hindu</w:t>
      </w:r>
      <w:r>
        <w:rPr>
          <w:rFonts w:ascii="Bookman Old Style"/>
          <w:spacing w:val="22"/>
          <w:sz w:val="28"/>
        </w:rPr>
        <w:t xml:space="preserve"> </w:t>
      </w:r>
      <w:r>
        <w:rPr>
          <w:rFonts w:ascii="Bookman Old Style"/>
          <w:sz w:val="28"/>
        </w:rPr>
        <w:t>religion.</w:t>
      </w:r>
      <w:r>
        <w:rPr>
          <w:rFonts w:ascii="Bookman Old Style"/>
          <w:spacing w:val="49"/>
          <w:sz w:val="28"/>
        </w:rPr>
        <w:t xml:space="preserve"> </w:t>
      </w:r>
      <w:r>
        <w:rPr>
          <w:rFonts w:ascii="Bookman Old Style"/>
          <w:spacing w:val="2"/>
          <w:sz w:val="28"/>
        </w:rPr>
        <w:t>It</w:t>
      </w:r>
      <w:r>
        <w:rPr>
          <w:rFonts w:ascii="Bookman Old Style"/>
          <w:spacing w:val="21"/>
          <w:sz w:val="28"/>
        </w:rPr>
        <w:t xml:space="preserve"> </w:t>
      </w:r>
      <w:r>
        <w:rPr>
          <w:rFonts w:ascii="Bookman Old Style"/>
          <w:sz w:val="28"/>
        </w:rPr>
        <w:t>has</w:t>
      </w:r>
      <w:r>
        <w:rPr>
          <w:rFonts w:ascii="Bookman Old Style"/>
          <w:spacing w:val="23"/>
          <w:sz w:val="28"/>
        </w:rPr>
        <w:t xml:space="preserve"> </w:t>
      </w:r>
      <w:r>
        <w:rPr>
          <w:rFonts w:ascii="Bookman Old Style"/>
          <w:sz w:val="28"/>
        </w:rPr>
        <w:t>also</w:t>
      </w:r>
    </w:p>
    <w:p w:rsidR="003B2FC0" w:rsidRDefault="003B2FC0">
      <w:pPr>
        <w:pStyle w:val="BodyText"/>
        <w:rPr>
          <w:sz w:val="20"/>
        </w:rPr>
      </w:pPr>
    </w:p>
    <w:p w:rsidR="003B2FC0" w:rsidRDefault="003B2FC0">
      <w:pPr>
        <w:pStyle w:val="BodyText"/>
        <w:spacing w:before="8"/>
        <w:rPr>
          <w:sz w:val="13"/>
        </w:rPr>
      </w:pPr>
      <w:r w:rsidRPr="003B2FC0">
        <w:pict>
          <v:line id="_x0000_s1174" style="position:absolute;z-index:-251613696;mso-wrap-distance-left:0;mso-wrap-distance-right:0;mso-position-horizontal-relative:page" from="1in,10.3pt" to="216.05pt,10.3pt" strokeweight=".6pt">
            <w10:wrap type="topAndBottom" anchorx="page"/>
          </v:line>
        </w:pict>
      </w:r>
    </w:p>
    <w:p w:rsidR="003B2FC0" w:rsidRDefault="00052A49">
      <w:pPr>
        <w:spacing w:before="50"/>
        <w:ind w:left="500"/>
        <w:rPr>
          <w:rFonts w:ascii="Times New Roman"/>
          <w:sz w:val="20"/>
        </w:rPr>
      </w:pPr>
      <w:r>
        <w:rPr>
          <w:rFonts w:ascii="Times New Roman"/>
          <w:position w:val="9"/>
          <w:sz w:val="13"/>
        </w:rPr>
        <w:t xml:space="preserve">10 </w:t>
      </w:r>
      <w:r>
        <w:rPr>
          <w:rFonts w:ascii="Times New Roman"/>
          <w:sz w:val="20"/>
        </w:rPr>
        <w:t>(1962) 1 SCR 383</w:t>
      </w:r>
    </w:p>
    <w:p w:rsidR="003B2FC0" w:rsidRDefault="003B2FC0">
      <w:pPr>
        <w:rPr>
          <w:rFonts w:ascii="Times New Roman"/>
          <w:sz w:val="20"/>
        </w:rPr>
        <w:sectPr w:rsidR="003B2FC0">
          <w:headerReference w:type="default" r:id="rId27"/>
          <w:footerReference w:type="default" r:id="rId28"/>
          <w:pgSz w:w="11910" w:h="16840"/>
          <w:pgMar w:top="1340" w:right="1160" w:bottom="280" w:left="940" w:header="554" w:footer="0" w:gutter="0"/>
          <w:pgNumType w:start="16"/>
          <w:cols w:space="720"/>
        </w:sectPr>
      </w:pPr>
    </w:p>
    <w:p w:rsidR="003B2FC0" w:rsidRDefault="00052A49">
      <w:pPr>
        <w:pStyle w:val="BodyText"/>
        <w:spacing w:before="93" w:line="480" w:lineRule="auto"/>
        <w:ind w:left="500" w:right="274"/>
        <w:jc w:val="both"/>
      </w:pPr>
      <w:r>
        <w:t>been submitted by the petitioners that even if Sabarimala temple is taken as a religious denomination, their basic tenets are not confined to taking of oath of celibacy for certain period of pilgrimage as all pilgrims are allowed freely in the temple and t</w:t>
      </w:r>
      <w:r>
        <w:t>here is no such practice of not seeing the sight of women during this period.</w:t>
      </w:r>
    </w:p>
    <w:p w:rsidR="003B2FC0" w:rsidRDefault="00052A49">
      <w:pPr>
        <w:pStyle w:val="ListParagraph"/>
        <w:numPr>
          <w:ilvl w:val="0"/>
          <w:numId w:val="60"/>
        </w:numPr>
        <w:tabs>
          <w:tab w:val="left" w:pos="1062"/>
        </w:tabs>
        <w:spacing w:before="119" w:line="480" w:lineRule="auto"/>
        <w:ind w:right="272" w:firstLine="0"/>
        <w:jc w:val="both"/>
        <w:rPr>
          <w:rFonts w:ascii="Bookman Old Style" w:hAnsi="Bookman Old Style"/>
          <w:sz w:val="28"/>
        </w:rPr>
      </w:pPr>
      <w:r>
        <w:rPr>
          <w:rFonts w:ascii="Bookman Old Style" w:hAnsi="Bookman Old Style"/>
          <w:sz w:val="28"/>
        </w:rPr>
        <w:t xml:space="preserve">Further, mere sight of women cannot affect one‟s celibacy </w:t>
      </w:r>
      <w:r>
        <w:rPr>
          <w:rFonts w:ascii="Bookman Old Style" w:hAnsi="Bookman Old Style"/>
          <w:spacing w:val="-11"/>
          <w:sz w:val="28"/>
        </w:rPr>
        <w:t xml:space="preserve">if </w:t>
      </w:r>
      <w:r>
        <w:rPr>
          <w:rFonts w:ascii="Bookman Old Style" w:hAnsi="Bookman Old Style"/>
          <w:sz w:val="28"/>
        </w:rPr>
        <w:t>one has taken oath of it, otherwise such oath has no meaning and moreover, the devotees do not go to the Sabarimala t</w:t>
      </w:r>
      <w:r>
        <w:rPr>
          <w:rFonts w:ascii="Bookman Old Style" w:hAnsi="Bookman Old Style"/>
          <w:sz w:val="28"/>
        </w:rPr>
        <w:t>emple for taking the oath of celibacy but for seeking the blessings of Lord Ayyappa. Maintaining celibacy is only a ritual for some who want to practise it and for which even the temple administration has not given any justification. On the contrary, accor</w:t>
      </w:r>
      <w:r>
        <w:rPr>
          <w:rFonts w:ascii="Bookman Old Style" w:hAnsi="Bookman Old Style"/>
          <w:sz w:val="28"/>
        </w:rPr>
        <w:t>ding to the temple administration, since women during menstrual period cannot trek very difficult mountainous terrain in the dense forest and that too for several weeks, this practice of not permitting them has</w:t>
      </w:r>
      <w:r>
        <w:rPr>
          <w:rFonts w:ascii="Bookman Old Style" w:hAnsi="Bookman Old Style"/>
          <w:spacing w:val="-2"/>
          <w:sz w:val="28"/>
        </w:rPr>
        <w:t xml:space="preserve"> </w:t>
      </w:r>
      <w:r>
        <w:rPr>
          <w:rFonts w:ascii="Bookman Old Style" w:hAnsi="Bookman Old Style"/>
          <w:sz w:val="28"/>
        </w:rPr>
        <w:t>started.</w:t>
      </w:r>
    </w:p>
    <w:p w:rsidR="003B2FC0" w:rsidRDefault="00052A49">
      <w:pPr>
        <w:pStyle w:val="ListParagraph"/>
        <w:numPr>
          <w:ilvl w:val="0"/>
          <w:numId w:val="60"/>
        </w:numPr>
        <w:tabs>
          <w:tab w:val="left" w:pos="1221"/>
        </w:tabs>
        <w:spacing w:before="119" w:line="480" w:lineRule="auto"/>
        <w:ind w:right="275" w:firstLine="0"/>
        <w:jc w:val="both"/>
        <w:rPr>
          <w:rFonts w:ascii="Bookman Old Style"/>
          <w:sz w:val="28"/>
        </w:rPr>
      </w:pPr>
      <w:r>
        <w:rPr>
          <w:rFonts w:ascii="Bookman Old Style"/>
          <w:sz w:val="28"/>
        </w:rPr>
        <w:t>It is averred by the petitioners that though no right is absolute, yet entry to temple may be regulated and there cannot be any absolute prohibition or complete exclusionary rule from entry of women to a temple. For substantiating this view,</w:t>
      </w:r>
      <w:r>
        <w:rPr>
          <w:rFonts w:ascii="Bookman Old Style"/>
          <w:spacing w:val="33"/>
          <w:sz w:val="28"/>
        </w:rPr>
        <w:t xml:space="preserve"> </w:t>
      </w:r>
      <w:r>
        <w:rPr>
          <w:rFonts w:ascii="Bookman Old Style"/>
          <w:sz w:val="28"/>
        </w:rPr>
        <w:t>the</w:t>
      </w:r>
    </w:p>
    <w:p w:rsidR="003B2FC0" w:rsidRDefault="003B2FC0">
      <w:pPr>
        <w:spacing w:line="480" w:lineRule="auto"/>
        <w:jc w:val="both"/>
        <w:rPr>
          <w:rFonts w:ascii="Bookman Old Style"/>
          <w:sz w:val="28"/>
        </w:rPr>
        <w:sectPr w:rsidR="003B2FC0">
          <w:headerReference w:type="default" r:id="rId29"/>
          <w:footerReference w:type="default" r:id="rId30"/>
          <w:pgSz w:w="11910" w:h="16840"/>
          <w:pgMar w:top="1340" w:right="1160" w:bottom="280" w:left="940" w:header="554" w:footer="0" w:gutter="0"/>
          <w:pgNumType w:start="17"/>
          <w:cols w:space="720"/>
        </w:sectPr>
      </w:pPr>
    </w:p>
    <w:p w:rsidR="003B2FC0" w:rsidRDefault="00052A49">
      <w:pPr>
        <w:pStyle w:val="BodyText"/>
        <w:spacing w:before="93" w:line="477" w:lineRule="auto"/>
        <w:ind w:left="500" w:right="333"/>
      </w:pPr>
      <w:r>
        <w:t xml:space="preserve">petitioners have pressed into service the judgment of this Court in </w:t>
      </w:r>
      <w:r>
        <w:rPr>
          <w:b/>
          <w:i/>
        </w:rPr>
        <w:t xml:space="preserve">Shirur Mutt </w:t>
      </w:r>
      <w:r>
        <w:t>(supra), the relevant portion of which reads</w:t>
      </w:r>
      <w:r>
        <w:rPr>
          <w:spacing w:val="-26"/>
        </w:rPr>
        <w:t xml:space="preserve"> </w:t>
      </w:r>
      <w:r>
        <w:t>thus:</w:t>
      </w:r>
    </w:p>
    <w:p w:rsidR="003B2FC0" w:rsidRDefault="00052A49">
      <w:pPr>
        <w:pStyle w:val="BodyText"/>
        <w:spacing w:before="124"/>
        <w:ind w:left="1364" w:right="1141"/>
        <w:jc w:val="both"/>
      </w:pPr>
      <w:r>
        <w:t>“We agree, however, with the High Court in the view taken by it about section 21. This secti</w:t>
      </w:r>
      <w:r>
        <w:t>on empowers the Commissioner and his subordinate officers and also persons authorised by them to enter the premises of any religious institution or place of worship for the purpose of exercising any power conferred, or any duty imposed by or under the Act.</w:t>
      </w:r>
      <w:r>
        <w:t xml:space="preserve"> It is well known that there could be no such thing as an unregulated and unrestricted right of entry in a public temple or other religious institution, for persons who are not connected with the spiritual functions thereof. </w:t>
      </w:r>
      <w:r>
        <w:rPr>
          <w:spacing w:val="2"/>
        </w:rPr>
        <w:t xml:space="preserve">It </w:t>
      </w:r>
      <w:r>
        <w:t>is a traditional custom univ</w:t>
      </w:r>
      <w:r>
        <w:t>ersally observed not to allow access to any outsider to the particularly sacred parts of a temple as for example, the place where the deity is located. There are also fixed hours of worship and rest for the idol when no disturbance by any member of the pub</w:t>
      </w:r>
      <w:r>
        <w:t xml:space="preserve">lic is allowed. Section 21, it is to be noted, does not confine the right of entry to the outer portion of the premises; it does not even exclude the inner sanctuary the Holy of Holies" as it is said, the sanctity of which is `zealously preserved. </w:t>
      </w:r>
      <w:r>
        <w:rPr>
          <w:spacing w:val="2"/>
        </w:rPr>
        <w:t xml:space="preserve">It </w:t>
      </w:r>
      <w:r>
        <w:t xml:space="preserve">does </w:t>
      </w:r>
      <w:r>
        <w:t>not say that the entry may be made after due notice to the head of the institution and at such hours which would not interfere with the due observance of the rites and ceremonies in the institution. We think that as the section stands, it interferes with t</w:t>
      </w:r>
      <w:r>
        <w:t xml:space="preserve">he fundamental rights of the Mathadhipati and </w:t>
      </w:r>
      <w:r>
        <w:rPr>
          <w:spacing w:val="-2"/>
        </w:rPr>
        <w:t xml:space="preserve">the </w:t>
      </w:r>
      <w:r>
        <w:t>denomination of which he is head guaranteed under articles 25 and 26 of the</w:t>
      </w:r>
      <w:r>
        <w:rPr>
          <w:spacing w:val="-10"/>
        </w:rPr>
        <w:t xml:space="preserve"> </w:t>
      </w:r>
      <w:r>
        <w:t>Constitution.”</w:t>
      </w:r>
    </w:p>
    <w:p w:rsidR="003B2FC0" w:rsidRDefault="003B2FC0">
      <w:pPr>
        <w:pStyle w:val="BodyText"/>
        <w:rPr>
          <w:sz w:val="32"/>
        </w:rPr>
      </w:pPr>
    </w:p>
    <w:p w:rsidR="003B2FC0" w:rsidRDefault="00052A49">
      <w:pPr>
        <w:pStyle w:val="ListParagraph"/>
        <w:numPr>
          <w:ilvl w:val="0"/>
          <w:numId w:val="60"/>
        </w:numPr>
        <w:tabs>
          <w:tab w:val="left" w:pos="1220"/>
          <w:tab w:val="left" w:pos="1221"/>
        </w:tabs>
        <w:spacing w:before="194"/>
        <w:ind w:left="1220"/>
        <w:rPr>
          <w:rFonts w:ascii="Bookman Old Style"/>
          <w:b/>
          <w:i/>
          <w:sz w:val="28"/>
        </w:rPr>
      </w:pPr>
      <w:r>
        <w:rPr>
          <w:rFonts w:ascii="Bookman Old Style"/>
          <w:sz w:val="28"/>
        </w:rPr>
        <w:t>The</w:t>
      </w:r>
      <w:r>
        <w:rPr>
          <w:rFonts w:ascii="Bookman Old Style"/>
          <w:spacing w:val="30"/>
          <w:sz w:val="28"/>
        </w:rPr>
        <w:t xml:space="preserve"> </w:t>
      </w:r>
      <w:r>
        <w:rPr>
          <w:rFonts w:ascii="Bookman Old Style"/>
          <w:sz w:val="28"/>
        </w:rPr>
        <w:t>judgment</w:t>
      </w:r>
      <w:r>
        <w:rPr>
          <w:rFonts w:ascii="Bookman Old Style"/>
          <w:spacing w:val="27"/>
          <w:sz w:val="28"/>
        </w:rPr>
        <w:t xml:space="preserve"> </w:t>
      </w:r>
      <w:r>
        <w:rPr>
          <w:rFonts w:ascii="Bookman Old Style"/>
          <w:sz w:val="28"/>
        </w:rPr>
        <w:t>of</w:t>
      </w:r>
      <w:r>
        <w:rPr>
          <w:rFonts w:ascii="Bookman Old Style"/>
          <w:spacing w:val="28"/>
          <w:sz w:val="28"/>
        </w:rPr>
        <w:t xml:space="preserve"> </w:t>
      </w:r>
      <w:r>
        <w:rPr>
          <w:rFonts w:ascii="Bookman Old Style"/>
          <w:sz w:val="28"/>
        </w:rPr>
        <w:t>this</w:t>
      </w:r>
      <w:r>
        <w:rPr>
          <w:rFonts w:ascii="Bookman Old Style"/>
          <w:spacing w:val="27"/>
          <w:sz w:val="28"/>
        </w:rPr>
        <w:t xml:space="preserve"> </w:t>
      </w:r>
      <w:r>
        <w:rPr>
          <w:rFonts w:ascii="Bookman Old Style"/>
          <w:sz w:val="28"/>
        </w:rPr>
        <w:t>Court</w:t>
      </w:r>
      <w:r>
        <w:rPr>
          <w:rFonts w:ascii="Bookman Old Style"/>
          <w:spacing w:val="27"/>
          <w:sz w:val="28"/>
        </w:rPr>
        <w:t xml:space="preserve"> </w:t>
      </w:r>
      <w:r>
        <w:rPr>
          <w:rFonts w:ascii="Bookman Old Style"/>
          <w:sz w:val="28"/>
        </w:rPr>
        <w:t>in</w:t>
      </w:r>
      <w:r>
        <w:rPr>
          <w:rFonts w:ascii="Bookman Old Style"/>
          <w:spacing w:val="32"/>
          <w:sz w:val="28"/>
        </w:rPr>
        <w:t xml:space="preserve"> </w:t>
      </w:r>
      <w:r>
        <w:rPr>
          <w:rFonts w:ascii="Bookman Old Style"/>
          <w:b/>
          <w:i/>
          <w:sz w:val="28"/>
        </w:rPr>
        <w:t>Sri</w:t>
      </w:r>
      <w:r>
        <w:rPr>
          <w:rFonts w:ascii="Bookman Old Style"/>
          <w:b/>
          <w:i/>
          <w:spacing w:val="28"/>
          <w:sz w:val="28"/>
        </w:rPr>
        <w:t xml:space="preserve"> </w:t>
      </w:r>
      <w:r>
        <w:rPr>
          <w:rFonts w:ascii="Bookman Old Style"/>
          <w:b/>
          <w:i/>
          <w:sz w:val="28"/>
        </w:rPr>
        <w:t>Venkatramana</w:t>
      </w:r>
      <w:r>
        <w:rPr>
          <w:rFonts w:ascii="Bookman Old Style"/>
          <w:b/>
          <w:i/>
          <w:spacing w:val="32"/>
          <w:sz w:val="28"/>
        </w:rPr>
        <w:t xml:space="preserve"> </w:t>
      </w:r>
      <w:r>
        <w:rPr>
          <w:rFonts w:ascii="Bookman Old Style"/>
          <w:b/>
          <w:i/>
          <w:sz w:val="28"/>
        </w:rPr>
        <w:t>Devaru</w:t>
      </w:r>
    </w:p>
    <w:p w:rsidR="003B2FC0" w:rsidRDefault="003B2FC0">
      <w:pPr>
        <w:pStyle w:val="BodyText"/>
        <w:rPr>
          <w:b/>
          <w:i/>
        </w:rPr>
      </w:pPr>
    </w:p>
    <w:p w:rsidR="003B2FC0" w:rsidRDefault="003B2FC0">
      <w:pPr>
        <w:spacing w:line="482" w:lineRule="auto"/>
        <w:ind w:left="500"/>
        <w:rPr>
          <w:rFonts w:ascii="Bookman Old Style"/>
          <w:sz w:val="28"/>
        </w:rPr>
      </w:pPr>
      <w:r w:rsidRPr="003B2FC0">
        <w:pict>
          <v:line id="_x0000_s1173" style="position:absolute;left:0;text-align:left;z-index:-251628032;mso-position-horizontal-relative:page" from="1in,59.35pt" to="216.05pt,59.35pt" strokeweight=".6pt">
            <w10:wrap anchorx="page"/>
          </v:line>
        </w:pict>
      </w:r>
      <w:r w:rsidR="00052A49">
        <w:rPr>
          <w:rFonts w:ascii="Bookman Old Style"/>
          <w:b/>
          <w:i/>
          <w:sz w:val="28"/>
        </w:rPr>
        <w:t>v. State of Mysore and others</w:t>
      </w:r>
      <w:r w:rsidR="00052A49">
        <w:rPr>
          <w:rFonts w:ascii="Bookman Old Style"/>
          <w:position w:val="7"/>
          <w:sz w:val="18"/>
        </w:rPr>
        <w:t xml:space="preserve">11 </w:t>
      </w:r>
      <w:r w:rsidR="00052A49">
        <w:rPr>
          <w:rFonts w:ascii="Bookman Old Style"/>
          <w:sz w:val="28"/>
        </w:rPr>
        <w:t>has been cited to submit that a religious denomination cannot completely exclude or prohibit any</w:t>
      </w:r>
    </w:p>
    <w:p w:rsidR="003B2FC0" w:rsidRDefault="00052A49">
      <w:pPr>
        <w:spacing w:line="206" w:lineRule="exact"/>
        <w:ind w:left="500"/>
        <w:rPr>
          <w:rFonts w:ascii="Times New Roman"/>
          <w:sz w:val="20"/>
        </w:rPr>
      </w:pPr>
      <w:r>
        <w:rPr>
          <w:rFonts w:ascii="Times New Roman"/>
          <w:position w:val="9"/>
          <w:sz w:val="13"/>
        </w:rPr>
        <w:t xml:space="preserve">11 </w:t>
      </w:r>
      <w:r>
        <w:rPr>
          <w:rFonts w:ascii="Times New Roman"/>
          <w:sz w:val="20"/>
        </w:rPr>
        <w:t>(1958) SCR 895 : 1958 AIR 55</w:t>
      </w:r>
    </w:p>
    <w:p w:rsidR="003B2FC0" w:rsidRDefault="003B2FC0">
      <w:pPr>
        <w:spacing w:line="206" w:lineRule="exact"/>
        <w:rPr>
          <w:rFonts w:ascii="Times New Roman"/>
          <w:sz w:val="20"/>
        </w:rPr>
        <w:sectPr w:rsidR="003B2FC0">
          <w:headerReference w:type="default" r:id="rId31"/>
          <w:footerReference w:type="default" r:id="rId32"/>
          <w:pgSz w:w="11910" w:h="16840"/>
          <w:pgMar w:top="1340" w:right="1160" w:bottom="280" w:left="940" w:header="554" w:footer="0" w:gutter="0"/>
          <w:pgNumType w:start="18"/>
          <w:cols w:space="720"/>
        </w:sectPr>
      </w:pPr>
    </w:p>
    <w:p w:rsidR="003B2FC0" w:rsidRDefault="00052A49">
      <w:pPr>
        <w:pStyle w:val="BodyText"/>
        <w:spacing w:before="93" w:line="480" w:lineRule="auto"/>
        <w:ind w:left="500" w:right="282"/>
        <w:jc w:val="both"/>
      </w:pPr>
      <w:r>
        <w:t xml:space="preserve">class or section for all times. All that a religious denomination may do is to restrict the entry of a particular class or section in certain rituals. The relevant portion of </w:t>
      </w:r>
      <w:r>
        <w:rPr>
          <w:b/>
          <w:i/>
        </w:rPr>
        <w:t xml:space="preserve">Devaru </w:t>
      </w:r>
      <w:r>
        <w:t>(supra) reads as under:</w:t>
      </w:r>
    </w:p>
    <w:p w:rsidR="003B2FC0" w:rsidRDefault="00052A49">
      <w:pPr>
        <w:pStyle w:val="BodyText"/>
        <w:spacing w:before="121"/>
        <w:ind w:left="1364" w:right="1136"/>
        <w:jc w:val="both"/>
      </w:pPr>
      <w:r>
        <w:t xml:space="preserve">“We have held that the right of a denomination to </w:t>
      </w:r>
      <w:r>
        <w:t xml:space="preserve">wholly exclude members of the public from worshipping in the temple, though comprised in </w:t>
      </w:r>
      <w:hyperlink r:id="rId33">
        <w:r>
          <w:t>Art.</w:t>
        </w:r>
      </w:hyperlink>
      <w:r>
        <w:t xml:space="preserve"> </w:t>
      </w:r>
      <w:hyperlink r:id="rId34">
        <w:r>
          <w:t>26(b</w:t>
        </w:r>
      </w:hyperlink>
      <w:r>
        <w:t>), must yield to the overriding right declared b</w:t>
      </w:r>
      <w:r>
        <w:t xml:space="preserve">y </w:t>
      </w:r>
      <w:hyperlink r:id="rId35">
        <w:r>
          <w:t>Art. 25(2)(b)</w:t>
        </w:r>
      </w:hyperlink>
      <w:r>
        <w:t xml:space="preserve"> in favour of the public to enter into a temple for worship. But where the right claimed is not one of general and total exclusion of the public from worship in the temple at all times b</w:t>
      </w:r>
      <w:r>
        <w:t xml:space="preserve">ut of exclusion from certain religious services, they being limited by the rules of the foundation to the members of the denomination, ,then the question is not whether </w:t>
      </w:r>
      <w:hyperlink r:id="rId36">
        <w:r>
          <w:t xml:space="preserve">Art. 25(2)(b) </w:t>
        </w:r>
      </w:hyperlink>
      <w:r>
        <w:t>over-rides that ri</w:t>
      </w:r>
      <w:r>
        <w:t xml:space="preserve">ght so as to extinguish it, but whether it is possible-so to regulate the rights of the persons protected by </w:t>
      </w:r>
      <w:hyperlink r:id="rId37">
        <w:r>
          <w:t>Art.</w:t>
        </w:r>
      </w:hyperlink>
      <w:r>
        <w:t xml:space="preserve"> </w:t>
      </w:r>
      <w:hyperlink r:id="rId38">
        <w:r>
          <w:t>25(2)(b)</w:t>
        </w:r>
      </w:hyperlink>
      <w:r>
        <w:t xml:space="preserve"> as to give effect to bo</w:t>
      </w:r>
      <w:r>
        <w:t xml:space="preserve">th the rights. </w:t>
      </w:r>
      <w:r>
        <w:rPr>
          <w:u w:val="single"/>
        </w:rPr>
        <w:t xml:space="preserve">If </w:t>
      </w:r>
      <w:r>
        <w:rPr>
          <w:spacing w:val="-3"/>
          <w:u w:val="single"/>
        </w:rPr>
        <w:t>the</w:t>
      </w:r>
      <w:r>
        <w:rPr>
          <w:spacing w:val="-3"/>
        </w:rPr>
        <w:t xml:space="preserve"> </w:t>
      </w:r>
      <w:r>
        <w:rPr>
          <w:u w:val="single"/>
        </w:rPr>
        <w:t>denominational rights are such that to give effect to</w:t>
      </w:r>
      <w:r>
        <w:t xml:space="preserve"> </w:t>
      </w:r>
      <w:r>
        <w:rPr>
          <w:u w:val="single"/>
        </w:rPr>
        <w:t>them would substantially reduce the right conferred</w:t>
      </w:r>
      <w:r>
        <w:t xml:space="preserve"> </w:t>
      </w:r>
      <w:r>
        <w:rPr>
          <w:u w:val="single"/>
        </w:rPr>
        <w:t xml:space="preserve">by </w:t>
      </w:r>
      <w:hyperlink r:id="rId39">
        <w:r>
          <w:rPr>
            <w:u w:val="single"/>
          </w:rPr>
          <w:t>Art. 25(2)(b</w:t>
        </w:r>
      </w:hyperlink>
      <w:r>
        <w:rPr>
          <w:u w:val="single"/>
        </w:rPr>
        <w:t>), then of course, on our conclusion</w:t>
      </w:r>
      <w:r>
        <w:t xml:space="preserve"> </w:t>
      </w:r>
      <w:r>
        <w:rPr>
          <w:u w:val="single"/>
        </w:rPr>
        <w:t xml:space="preserve">that </w:t>
      </w:r>
      <w:hyperlink r:id="rId40">
        <w:r>
          <w:rPr>
            <w:u w:val="single"/>
          </w:rPr>
          <w:t>Art. 25(2)(b</w:t>
        </w:r>
      </w:hyperlink>
      <w:r>
        <w:rPr>
          <w:u w:val="single"/>
        </w:rPr>
        <w:t xml:space="preserve">) prevails as against </w:t>
      </w:r>
      <w:hyperlink r:id="rId41">
        <w:r>
          <w:rPr>
            <w:u w:val="single"/>
          </w:rPr>
          <w:t>Art. 26(b</w:t>
        </w:r>
      </w:hyperlink>
      <w:r>
        <w:rPr>
          <w:u w:val="single"/>
        </w:rPr>
        <w:t>),</w:t>
      </w:r>
      <w:r>
        <w:t xml:space="preserve"> the denominational rights must vanish. But where that is not the position, and after giving effect to </w:t>
      </w:r>
      <w:r>
        <w:rPr>
          <w:spacing w:val="-3"/>
        </w:rPr>
        <w:t xml:space="preserve">the </w:t>
      </w:r>
      <w:r>
        <w:t xml:space="preserve">rights of </w:t>
      </w:r>
      <w:r>
        <w:t xml:space="preserve">the denomination what is left to the public of the right of worship is something substantial and not merely the husk of it, there is no reason why we should not so construe </w:t>
      </w:r>
      <w:hyperlink r:id="rId42">
        <w:r>
          <w:t xml:space="preserve">Art. 25(2)(b) </w:t>
        </w:r>
      </w:hyperlink>
      <w:r>
        <w:t xml:space="preserve">as to give effect to </w:t>
      </w:r>
      <w:hyperlink r:id="rId43">
        <w:r>
          <w:t>Art. 26(b)</w:t>
        </w:r>
      </w:hyperlink>
      <w:r>
        <w:t xml:space="preserve"> and recognise the rights of the denomination in respect of matters which are strictly denominational, leaving the rights of the public in other respects</w:t>
      </w:r>
      <w:r>
        <w:rPr>
          <w:spacing w:val="-4"/>
        </w:rPr>
        <w:t xml:space="preserve"> </w:t>
      </w:r>
      <w:r>
        <w:t>unaffected.”</w:t>
      </w:r>
    </w:p>
    <w:p w:rsidR="003B2FC0" w:rsidRDefault="00052A49">
      <w:pPr>
        <w:pStyle w:val="BodyText"/>
        <w:ind w:left="6110"/>
      </w:pPr>
      <w:r>
        <w:t>(Em</w:t>
      </w:r>
      <w:r>
        <w:t>phasis is ours)</w:t>
      </w:r>
    </w:p>
    <w:p w:rsidR="003B2FC0" w:rsidRDefault="003B2FC0">
      <w:pPr>
        <w:sectPr w:rsidR="003B2FC0">
          <w:headerReference w:type="default" r:id="rId44"/>
          <w:footerReference w:type="default" r:id="rId45"/>
          <w:pgSz w:w="11910" w:h="16840"/>
          <w:pgMar w:top="1340" w:right="1160" w:bottom="280" w:left="940" w:header="554" w:footer="0" w:gutter="0"/>
          <w:pgNumType w:start="19"/>
          <w:cols w:space="720"/>
        </w:sectPr>
      </w:pPr>
    </w:p>
    <w:p w:rsidR="003B2FC0" w:rsidRDefault="00052A49">
      <w:pPr>
        <w:pStyle w:val="ListParagraph"/>
        <w:numPr>
          <w:ilvl w:val="0"/>
          <w:numId w:val="60"/>
        </w:numPr>
        <w:tabs>
          <w:tab w:val="left" w:pos="1221"/>
        </w:tabs>
        <w:spacing w:before="93" w:line="480" w:lineRule="auto"/>
        <w:ind w:right="279" w:firstLine="0"/>
        <w:jc w:val="both"/>
        <w:rPr>
          <w:rFonts w:ascii="Bookman Old Style" w:hAnsi="Bookman Old Style"/>
          <w:sz w:val="28"/>
        </w:rPr>
      </w:pPr>
      <w:r>
        <w:rPr>
          <w:rFonts w:ascii="Bookman Old Style" w:hAnsi="Bookman Old Style"/>
          <w:sz w:val="28"/>
        </w:rPr>
        <w:t>After referring to Sections 3 and 4 of the Kerala</w:t>
      </w:r>
      <w:r>
        <w:rPr>
          <w:rFonts w:ascii="Bookman Old Style" w:hAnsi="Bookman Old Style"/>
          <w:spacing w:val="45"/>
          <w:sz w:val="28"/>
        </w:rPr>
        <w:t xml:space="preserve"> </w:t>
      </w:r>
      <w:r>
        <w:rPr>
          <w:rFonts w:ascii="Bookman Old Style" w:hAnsi="Bookman Old Style"/>
          <w:sz w:val="28"/>
        </w:rPr>
        <w:t>Hindu Places of Public Worship (Authorization of Entry) Act, 1965 and Rule 3 (b) framed thereunder, the petitioners have submitted that the express</w:t>
      </w:r>
      <w:r>
        <w:rPr>
          <w:rFonts w:ascii="Bookman Old Style" w:hAnsi="Bookman Old Style"/>
          <w:sz w:val="28"/>
        </w:rPr>
        <w:t>ion „at any such time‟ occurring in Rule 3(b) does</w:t>
      </w:r>
      <w:r>
        <w:rPr>
          <w:rFonts w:ascii="Bookman Old Style" w:hAnsi="Bookman Old Style"/>
          <w:spacing w:val="-53"/>
          <w:sz w:val="28"/>
        </w:rPr>
        <w:t xml:space="preserve"> </w:t>
      </w:r>
      <w:r>
        <w:rPr>
          <w:rFonts w:ascii="Bookman Old Style" w:hAnsi="Bookman Old Style"/>
          <w:spacing w:val="-8"/>
          <w:sz w:val="28"/>
        </w:rPr>
        <w:t xml:space="preserve">not </w:t>
      </w:r>
      <w:r>
        <w:rPr>
          <w:rFonts w:ascii="Bookman Old Style" w:hAnsi="Bookman Old Style"/>
          <w:sz w:val="28"/>
        </w:rPr>
        <w:t>lead to complete exclusion/prohibition of any woman. In other words, if at such time during which, by any custom or usage, any woman was not allowed, then the said custom or usage shall continue and to</w:t>
      </w:r>
      <w:r>
        <w:rPr>
          <w:rFonts w:ascii="Bookman Old Style" w:hAnsi="Bookman Old Style"/>
          <w:sz w:val="28"/>
        </w:rPr>
        <w:t xml:space="preserve"> substantiate this claim, the petitioners have cited the example that if during late night, by custom or usage, women are not allowed to enter temple, the said custom or usage shall continue, however, it does not permit complete prohibition on entry of wom</w:t>
      </w:r>
      <w:r>
        <w:rPr>
          <w:rFonts w:ascii="Bookman Old Style" w:hAnsi="Bookman Old Style"/>
          <w:sz w:val="28"/>
        </w:rPr>
        <w:t>en. Further, the petitioners have submitted that any other interpretation of Rule 3(b) would render the said rule open to challenge as it would not only be violative of the Kerala Hindu Places of Public Worship (Authorization of Entry) Rules, 1965 but also</w:t>
      </w:r>
      <w:r>
        <w:rPr>
          <w:rFonts w:ascii="Bookman Old Style" w:hAnsi="Bookman Old Style"/>
          <w:sz w:val="28"/>
        </w:rPr>
        <w:t xml:space="preserve"> of Article 25(2)(b) of the Constitution read with Articles 14 and</w:t>
      </w:r>
      <w:r>
        <w:rPr>
          <w:rFonts w:ascii="Bookman Old Style" w:hAnsi="Bookman Old Style"/>
          <w:spacing w:val="-1"/>
          <w:sz w:val="28"/>
        </w:rPr>
        <w:t xml:space="preserve"> </w:t>
      </w:r>
      <w:r>
        <w:rPr>
          <w:rFonts w:ascii="Bookman Old Style" w:hAnsi="Bookman Old Style"/>
          <w:sz w:val="28"/>
        </w:rPr>
        <w:t>15.</w:t>
      </w:r>
    </w:p>
    <w:p w:rsidR="003B2FC0" w:rsidRDefault="003B2FC0">
      <w:pPr>
        <w:pStyle w:val="BodyText"/>
        <w:rPr>
          <w:sz w:val="32"/>
        </w:rPr>
      </w:pPr>
    </w:p>
    <w:p w:rsidR="003B2FC0" w:rsidRDefault="003B2FC0">
      <w:pPr>
        <w:pStyle w:val="BodyText"/>
        <w:spacing w:before="6"/>
        <w:rPr>
          <w:sz w:val="44"/>
        </w:rPr>
      </w:pPr>
    </w:p>
    <w:p w:rsidR="003B2FC0" w:rsidRDefault="00052A49">
      <w:pPr>
        <w:pStyle w:val="BodyText"/>
        <w:ind w:left="500"/>
        <w:jc w:val="both"/>
        <w:rPr>
          <w:b/>
        </w:rPr>
      </w:pPr>
      <w:r>
        <w:rPr>
          <w:b/>
          <w:u w:val="single"/>
        </w:rPr>
        <w:t>Submissions on behalf of Intervenor in I.A No. 10 of 2016</w:t>
      </w:r>
    </w:p>
    <w:p w:rsidR="003B2FC0" w:rsidRDefault="003B2FC0">
      <w:pPr>
        <w:pStyle w:val="BodyText"/>
        <w:spacing w:before="8"/>
        <w:rPr>
          <w:b/>
          <w:sz w:val="29"/>
        </w:rPr>
      </w:pPr>
    </w:p>
    <w:p w:rsidR="003B2FC0" w:rsidRDefault="00052A49">
      <w:pPr>
        <w:pStyle w:val="ListParagraph"/>
        <w:numPr>
          <w:ilvl w:val="0"/>
          <w:numId w:val="60"/>
        </w:numPr>
        <w:tabs>
          <w:tab w:val="left" w:pos="1220"/>
          <w:tab w:val="left" w:pos="1221"/>
        </w:tabs>
        <w:spacing w:before="101" w:line="480" w:lineRule="auto"/>
        <w:ind w:right="286" w:firstLine="0"/>
        <w:rPr>
          <w:rFonts w:ascii="Bookman Old Style"/>
          <w:sz w:val="28"/>
        </w:rPr>
      </w:pPr>
      <w:r>
        <w:rPr>
          <w:rFonts w:ascii="Bookman Old Style"/>
          <w:sz w:val="28"/>
        </w:rPr>
        <w:t>It has been submitted on behalf of the intervenor that the exclusionary practice of preventing women between the age of</w:t>
      </w:r>
      <w:r>
        <w:rPr>
          <w:rFonts w:ascii="Bookman Old Style"/>
          <w:spacing w:val="7"/>
          <w:sz w:val="28"/>
        </w:rPr>
        <w:t xml:space="preserve"> </w:t>
      </w:r>
      <w:r>
        <w:rPr>
          <w:rFonts w:ascii="Bookman Old Style"/>
          <w:sz w:val="28"/>
        </w:rPr>
        <w:t>10</w:t>
      </w:r>
    </w:p>
    <w:p w:rsidR="003B2FC0" w:rsidRDefault="003B2FC0">
      <w:pPr>
        <w:spacing w:line="480" w:lineRule="auto"/>
        <w:rPr>
          <w:rFonts w:ascii="Bookman Old Style"/>
          <w:sz w:val="28"/>
        </w:rPr>
        <w:sectPr w:rsidR="003B2FC0">
          <w:headerReference w:type="default" r:id="rId46"/>
          <w:footerReference w:type="default" r:id="rId47"/>
          <w:pgSz w:w="11910" w:h="16840"/>
          <w:pgMar w:top="1340" w:right="1160" w:bottom="280" w:left="940" w:header="554" w:footer="0" w:gutter="0"/>
          <w:pgNumType w:start="20"/>
          <w:cols w:space="720"/>
        </w:sectPr>
      </w:pPr>
    </w:p>
    <w:p w:rsidR="003B2FC0" w:rsidRDefault="00052A49">
      <w:pPr>
        <w:pStyle w:val="BodyText"/>
        <w:spacing w:before="93" w:line="480" w:lineRule="auto"/>
        <w:ind w:left="500" w:right="282"/>
        <w:jc w:val="both"/>
      </w:pPr>
      <w:r>
        <w:t xml:space="preserve">to 50 years based on physiological factors exclusively to be found in female gender violates Article 14 of the Constitution of India, for such a classification does not have a constitutional object. It is also the </w:t>
      </w:r>
      <w:r>
        <w:t xml:space="preserve">case of the applicant/intervenor that even if it is said that there is classification between men and women as separate classes, there cannot be any further sub-classification among women on the basis of physiological factors such as menstruation by which </w:t>
      </w:r>
      <w:r>
        <w:t>women below 10 years and above 50 years are allowed.</w:t>
      </w:r>
    </w:p>
    <w:p w:rsidR="003B2FC0" w:rsidRDefault="00052A49">
      <w:pPr>
        <w:pStyle w:val="ListParagraph"/>
        <w:numPr>
          <w:ilvl w:val="0"/>
          <w:numId w:val="60"/>
        </w:numPr>
        <w:tabs>
          <w:tab w:val="left" w:pos="1221"/>
        </w:tabs>
        <w:spacing w:before="120" w:line="480" w:lineRule="auto"/>
        <w:ind w:right="279" w:firstLine="0"/>
        <w:jc w:val="both"/>
        <w:rPr>
          <w:rFonts w:ascii="Bookman Old Style"/>
          <w:sz w:val="28"/>
        </w:rPr>
      </w:pPr>
      <w:r>
        <w:rPr>
          <w:rFonts w:ascii="Bookman Old Style"/>
          <w:sz w:val="28"/>
        </w:rPr>
        <w:t>It has been averred by the applicant/intervenor that as per Article 14, any law being discriminatory in nature has to have the existence of an intelligible differentia and the same must bear a rational n</w:t>
      </w:r>
      <w:r>
        <w:rPr>
          <w:rFonts w:ascii="Bookman Old Style"/>
          <w:sz w:val="28"/>
        </w:rPr>
        <w:t>exus with the object sought to be achieved. The object as has been claimed is to prevent the deity from being polluted, which, in the view of the applicant/intervenor, runs counter to the constitutional object of justice, liberty, equality and fraternity a</w:t>
      </w:r>
      <w:r>
        <w:rPr>
          <w:rFonts w:ascii="Bookman Old Style"/>
          <w:sz w:val="28"/>
        </w:rPr>
        <w:t xml:space="preserve">s enshrined in the Preamble to our Constitution. That apart, the applicant/intervenor has submitted that though the classification based on menstruation may be intelligible, yet the object sought to be achieved being constitutionally invalid, the question </w:t>
      </w:r>
      <w:r>
        <w:rPr>
          <w:rFonts w:ascii="Bookman Old Style"/>
          <w:sz w:val="28"/>
        </w:rPr>
        <w:t>of nexus need not be delved</w:t>
      </w:r>
      <w:r>
        <w:rPr>
          <w:rFonts w:ascii="Bookman Old Style"/>
          <w:spacing w:val="-4"/>
          <w:sz w:val="28"/>
        </w:rPr>
        <w:t xml:space="preserve"> </w:t>
      </w:r>
      <w:r>
        <w:rPr>
          <w:rFonts w:ascii="Bookman Old Style"/>
          <w:sz w:val="28"/>
        </w:rPr>
        <w:t>into.</w:t>
      </w:r>
    </w:p>
    <w:p w:rsidR="003B2FC0" w:rsidRDefault="003B2FC0">
      <w:pPr>
        <w:spacing w:line="480" w:lineRule="auto"/>
        <w:jc w:val="both"/>
        <w:rPr>
          <w:rFonts w:ascii="Bookman Old Style"/>
          <w:sz w:val="28"/>
        </w:rPr>
        <w:sectPr w:rsidR="003B2FC0">
          <w:headerReference w:type="default" r:id="rId48"/>
          <w:footerReference w:type="default" r:id="rId49"/>
          <w:pgSz w:w="11910" w:h="16840"/>
          <w:pgMar w:top="1340" w:right="1160" w:bottom="280" w:left="940" w:header="554" w:footer="0" w:gutter="0"/>
          <w:pgNumType w:start="21"/>
          <w:cols w:space="720"/>
        </w:sectPr>
      </w:pPr>
    </w:p>
    <w:p w:rsidR="003B2FC0" w:rsidRDefault="00052A49">
      <w:pPr>
        <w:pStyle w:val="ListParagraph"/>
        <w:numPr>
          <w:ilvl w:val="0"/>
          <w:numId w:val="60"/>
        </w:numPr>
        <w:tabs>
          <w:tab w:val="left" w:pos="1221"/>
        </w:tabs>
        <w:spacing w:before="90"/>
        <w:ind w:left="1220"/>
        <w:jc w:val="both"/>
        <w:rPr>
          <w:rFonts w:ascii="Bookman Old Style"/>
          <w:b/>
          <w:i/>
          <w:sz w:val="28"/>
        </w:rPr>
      </w:pPr>
      <w:r>
        <w:rPr>
          <w:rFonts w:ascii="Bookman Old Style"/>
          <w:sz w:val="28"/>
        </w:rPr>
        <w:t>Referring</w:t>
      </w:r>
      <w:r>
        <w:rPr>
          <w:rFonts w:ascii="Bookman Old Style"/>
          <w:spacing w:val="36"/>
          <w:sz w:val="28"/>
        </w:rPr>
        <w:t xml:space="preserve"> </w:t>
      </w:r>
      <w:r>
        <w:rPr>
          <w:rFonts w:ascii="Bookman Old Style"/>
          <w:sz w:val="28"/>
        </w:rPr>
        <w:t>to</w:t>
      </w:r>
      <w:r>
        <w:rPr>
          <w:rFonts w:ascii="Bookman Old Style"/>
          <w:spacing w:val="38"/>
          <w:sz w:val="28"/>
        </w:rPr>
        <w:t xml:space="preserve"> </w:t>
      </w:r>
      <w:r>
        <w:rPr>
          <w:rFonts w:ascii="Bookman Old Style"/>
          <w:sz w:val="28"/>
        </w:rPr>
        <w:t>the</w:t>
      </w:r>
      <w:r>
        <w:rPr>
          <w:rFonts w:ascii="Bookman Old Style"/>
          <w:spacing w:val="38"/>
          <w:sz w:val="28"/>
        </w:rPr>
        <w:t xml:space="preserve"> </w:t>
      </w:r>
      <w:r>
        <w:rPr>
          <w:rFonts w:ascii="Bookman Old Style"/>
          <w:sz w:val="28"/>
        </w:rPr>
        <w:t>decision</w:t>
      </w:r>
      <w:r>
        <w:rPr>
          <w:rFonts w:ascii="Bookman Old Style"/>
          <w:spacing w:val="36"/>
          <w:sz w:val="28"/>
        </w:rPr>
        <w:t xml:space="preserve"> </w:t>
      </w:r>
      <w:r>
        <w:rPr>
          <w:rFonts w:ascii="Bookman Old Style"/>
          <w:sz w:val="28"/>
        </w:rPr>
        <w:t>of</w:t>
      </w:r>
      <w:r>
        <w:rPr>
          <w:rFonts w:ascii="Bookman Old Style"/>
          <w:spacing w:val="37"/>
          <w:sz w:val="28"/>
        </w:rPr>
        <w:t xml:space="preserve"> </w:t>
      </w:r>
      <w:r>
        <w:rPr>
          <w:rFonts w:ascii="Bookman Old Style"/>
          <w:sz w:val="28"/>
        </w:rPr>
        <w:t>this</w:t>
      </w:r>
      <w:r>
        <w:rPr>
          <w:rFonts w:ascii="Bookman Old Style"/>
          <w:spacing w:val="32"/>
          <w:sz w:val="28"/>
        </w:rPr>
        <w:t xml:space="preserve"> </w:t>
      </w:r>
      <w:r>
        <w:rPr>
          <w:rFonts w:ascii="Bookman Old Style"/>
          <w:sz w:val="28"/>
        </w:rPr>
        <w:t>Court</w:t>
      </w:r>
      <w:r>
        <w:rPr>
          <w:rFonts w:ascii="Bookman Old Style"/>
          <w:spacing w:val="37"/>
          <w:sz w:val="28"/>
        </w:rPr>
        <w:t xml:space="preserve"> </w:t>
      </w:r>
      <w:r>
        <w:rPr>
          <w:rFonts w:ascii="Bookman Old Style"/>
          <w:sz w:val="28"/>
        </w:rPr>
        <w:t>in</w:t>
      </w:r>
      <w:r>
        <w:rPr>
          <w:rFonts w:ascii="Bookman Old Style"/>
          <w:spacing w:val="41"/>
          <w:sz w:val="28"/>
        </w:rPr>
        <w:t xml:space="preserve"> </w:t>
      </w:r>
      <w:r>
        <w:rPr>
          <w:rFonts w:ascii="Bookman Old Style"/>
          <w:b/>
          <w:i/>
          <w:sz w:val="28"/>
        </w:rPr>
        <w:t>Deepak</w:t>
      </w:r>
      <w:r>
        <w:rPr>
          <w:rFonts w:ascii="Bookman Old Style"/>
          <w:b/>
          <w:i/>
          <w:spacing w:val="35"/>
          <w:sz w:val="28"/>
        </w:rPr>
        <w:t xml:space="preserve"> </w:t>
      </w:r>
      <w:r>
        <w:rPr>
          <w:rFonts w:ascii="Bookman Old Style"/>
          <w:b/>
          <w:i/>
          <w:sz w:val="28"/>
        </w:rPr>
        <w:t>Sibal</w:t>
      </w:r>
      <w:r>
        <w:rPr>
          <w:rFonts w:ascii="Bookman Old Style"/>
          <w:b/>
          <w:i/>
          <w:spacing w:val="37"/>
          <w:sz w:val="28"/>
        </w:rPr>
        <w:t xml:space="preserve"> </w:t>
      </w:r>
      <w:r>
        <w:rPr>
          <w:rFonts w:ascii="Bookman Old Style"/>
          <w:b/>
          <w:i/>
          <w:sz w:val="28"/>
        </w:rPr>
        <w:t>v.</w:t>
      </w:r>
    </w:p>
    <w:p w:rsidR="003B2FC0" w:rsidRDefault="003B2FC0">
      <w:pPr>
        <w:pStyle w:val="BodyText"/>
        <w:rPr>
          <w:b/>
          <w:i/>
        </w:rPr>
      </w:pPr>
    </w:p>
    <w:p w:rsidR="003B2FC0" w:rsidRDefault="00052A49">
      <w:pPr>
        <w:pStyle w:val="BodyText"/>
        <w:spacing w:line="480" w:lineRule="auto"/>
        <w:ind w:left="500" w:right="280"/>
        <w:jc w:val="both"/>
      </w:pPr>
      <w:r>
        <w:rPr>
          <w:b/>
          <w:i/>
        </w:rPr>
        <w:t>Punjab University and another</w:t>
      </w:r>
      <w:r>
        <w:rPr>
          <w:position w:val="7"/>
          <w:sz w:val="18"/>
        </w:rPr>
        <w:t>12</w:t>
      </w:r>
      <w:r>
        <w:t xml:space="preserve">, the applicant/intervenor has submitted that the exclusionary practice </w:t>
      </w:r>
      <w:r>
        <w:rPr>
          <w:i/>
        </w:rPr>
        <w:t xml:space="preserve">per se </w:t>
      </w:r>
      <w:r>
        <w:t>violates the sacrosanct principle of equality of women and equality before law and the burden of proving that it does not so violate is on the respondent no. 2, the Devaswom Board, which the said respondent has not been able to discharge.</w:t>
      </w:r>
    </w:p>
    <w:p w:rsidR="003B2FC0" w:rsidRDefault="00052A49">
      <w:pPr>
        <w:pStyle w:val="ListParagraph"/>
        <w:numPr>
          <w:ilvl w:val="0"/>
          <w:numId w:val="60"/>
        </w:numPr>
        <w:tabs>
          <w:tab w:val="left" w:pos="1221"/>
        </w:tabs>
        <w:spacing w:before="122" w:line="480" w:lineRule="auto"/>
        <w:ind w:right="279" w:firstLine="0"/>
        <w:jc w:val="both"/>
        <w:rPr>
          <w:rFonts w:ascii="Bookman Old Style"/>
          <w:sz w:val="28"/>
        </w:rPr>
      </w:pPr>
      <w:r>
        <w:rPr>
          <w:rFonts w:ascii="Bookman Old Style"/>
          <w:sz w:val="28"/>
        </w:rPr>
        <w:t xml:space="preserve">It has also been </w:t>
      </w:r>
      <w:r>
        <w:rPr>
          <w:rFonts w:ascii="Bookman Old Style"/>
          <w:sz w:val="28"/>
        </w:rPr>
        <w:t xml:space="preserve">asseverated by the applicant/intervenor that the exclusionary practice is manifestly arbitrary in view of the judgment of this Court in </w:t>
      </w:r>
      <w:r>
        <w:rPr>
          <w:rFonts w:ascii="Bookman Old Style"/>
          <w:b/>
          <w:i/>
          <w:sz w:val="28"/>
        </w:rPr>
        <w:t>Shayara Bano v. Union of India and others</w:t>
      </w:r>
      <w:r>
        <w:rPr>
          <w:rFonts w:ascii="Bookman Old Style"/>
          <w:position w:val="7"/>
          <w:sz w:val="18"/>
        </w:rPr>
        <w:t xml:space="preserve">13 </w:t>
      </w:r>
      <w:r>
        <w:rPr>
          <w:rFonts w:ascii="Bookman Old Style"/>
          <w:sz w:val="28"/>
        </w:rPr>
        <w:t>as it is solely based on physiological factors and, therefore, neither serve</w:t>
      </w:r>
      <w:r>
        <w:rPr>
          <w:rFonts w:ascii="Bookman Old Style"/>
          <w:sz w:val="28"/>
        </w:rPr>
        <w:t>s any valid object nor satisfies the test of reasonable classification under Article 14 of the</w:t>
      </w:r>
      <w:r>
        <w:rPr>
          <w:rFonts w:ascii="Bookman Old Style"/>
          <w:spacing w:val="-11"/>
          <w:sz w:val="28"/>
        </w:rPr>
        <w:t xml:space="preserve"> </w:t>
      </w:r>
      <w:r>
        <w:rPr>
          <w:rFonts w:ascii="Bookman Old Style"/>
          <w:sz w:val="28"/>
        </w:rPr>
        <w:t>Constitution.</w:t>
      </w:r>
    </w:p>
    <w:p w:rsidR="003B2FC0" w:rsidRDefault="00052A49">
      <w:pPr>
        <w:pStyle w:val="ListParagraph"/>
        <w:numPr>
          <w:ilvl w:val="0"/>
          <w:numId w:val="60"/>
        </w:numPr>
        <w:tabs>
          <w:tab w:val="left" w:pos="1221"/>
        </w:tabs>
        <w:spacing w:before="122" w:line="480" w:lineRule="auto"/>
        <w:ind w:right="281" w:firstLine="0"/>
        <w:jc w:val="both"/>
        <w:rPr>
          <w:rFonts w:ascii="Bookman Old Style"/>
          <w:b/>
          <w:i/>
          <w:sz w:val="28"/>
        </w:rPr>
      </w:pPr>
      <w:r>
        <w:rPr>
          <w:rFonts w:ascii="Bookman Old Style"/>
          <w:sz w:val="28"/>
        </w:rPr>
        <w:t xml:space="preserve">It has also been put forth by the applicant/intervenor that the exclusionary practice </w:t>
      </w:r>
      <w:r>
        <w:rPr>
          <w:rFonts w:ascii="Bookman Old Style"/>
          <w:i/>
          <w:sz w:val="28"/>
        </w:rPr>
        <w:t xml:space="preserve">per se </w:t>
      </w:r>
      <w:r>
        <w:rPr>
          <w:rFonts w:ascii="Bookman Old Style"/>
          <w:sz w:val="28"/>
        </w:rPr>
        <w:t>violates Article 15(1) of the Constitution which amoun</w:t>
      </w:r>
      <w:r>
        <w:rPr>
          <w:rFonts w:ascii="Bookman Old Style"/>
          <w:sz w:val="28"/>
        </w:rPr>
        <w:t xml:space="preserve">ts to discrimination on the basis of sex as the physiological feature of menstruation is exclusive to females alone. </w:t>
      </w:r>
      <w:r>
        <w:rPr>
          <w:rFonts w:ascii="Bookman Old Style"/>
          <w:spacing w:val="2"/>
          <w:sz w:val="28"/>
        </w:rPr>
        <w:t xml:space="preserve">In </w:t>
      </w:r>
      <w:r>
        <w:rPr>
          <w:rFonts w:ascii="Bookman Old Style"/>
          <w:sz w:val="28"/>
        </w:rPr>
        <w:t xml:space="preserve">support of the said submission, the applicant/intervenor has placed reliance upon the judgments of this Court in </w:t>
      </w:r>
      <w:r>
        <w:rPr>
          <w:rFonts w:ascii="Bookman Old Style"/>
          <w:b/>
          <w:i/>
          <w:sz w:val="28"/>
        </w:rPr>
        <w:t>Anuj Garg and others v.</w:t>
      </w:r>
      <w:r>
        <w:rPr>
          <w:rFonts w:ascii="Bookman Old Style"/>
          <w:b/>
          <w:i/>
          <w:sz w:val="28"/>
        </w:rPr>
        <w:t xml:space="preserve"> Hotel Association</w:t>
      </w:r>
      <w:r>
        <w:rPr>
          <w:rFonts w:ascii="Bookman Old Style"/>
          <w:b/>
          <w:i/>
          <w:spacing w:val="3"/>
          <w:sz w:val="28"/>
        </w:rPr>
        <w:t xml:space="preserve"> </w:t>
      </w:r>
      <w:r>
        <w:rPr>
          <w:rFonts w:ascii="Bookman Old Style"/>
          <w:b/>
          <w:i/>
          <w:sz w:val="28"/>
        </w:rPr>
        <w:t>of</w:t>
      </w:r>
    </w:p>
    <w:p w:rsidR="003B2FC0" w:rsidRDefault="003B2FC0">
      <w:pPr>
        <w:spacing w:line="480" w:lineRule="auto"/>
        <w:jc w:val="both"/>
        <w:rPr>
          <w:rFonts w:ascii="Bookman Old Style"/>
          <w:sz w:val="28"/>
        </w:rPr>
        <w:sectPr w:rsidR="003B2FC0">
          <w:footerReference w:type="default" r:id="rId50"/>
          <w:pgSz w:w="11910" w:h="16840"/>
          <w:pgMar w:top="1340" w:right="1160" w:bottom="2020" w:left="940" w:header="554" w:footer="1823" w:gutter="0"/>
          <w:cols w:space="720"/>
        </w:sectPr>
      </w:pPr>
    </w:p>
    <w:p w:rsidR="003B2FC0" w:rsidRDefault="00052A49">
      <w:pPr>
        <w:spacing w:before="90" w:line="480" w:lineRule="auto"/>
        <w:ind w:left="500" w:right="282"/>
        <w:jc w:val="both"/>
        <w:rPr>
          <w:rFonts w:ascii="Bookman Old Style"/>
          <w:sz w:val="28"/>
        </w:rPr>
      </w:pPr>
      <w:r>
        <w:rPr>
          <w:rFonts w:ascii="Bookman Old Style"/>
          <w:b/>
          <w:i/>
          <w:sz w:val="28"/>
        </w:rPr>
        <w:t>India and others</w:t>
      </w:r>
      <w:r>
        <w:rPr>
          <w:rFonts w:ascii="Bookman Old Style"/>
          <w:position w:val="7"/>
          <w:sz w:val="18"/>
        </w:rPr>
        <w:t xml:space="preserve">14 </w:t>
      </w:r>
      <w:r>
        <w:rPr>
          <w:rFonts w:ascii="Bookman Old Style"/>
          <w:sz w:val="28"/>
        </w:rPr>
        <w:t xml:space="preserve">and </w:t>
      </w:r>
      <w:r>
        <w:rPr>
          <w:rFonts w:ascii="Bookman Old Style"/>
          <w:b/>
          <w:i/>
          <w:sz w:val="28"/>
        </w:rPr>
        <w:t>Charu Khurana and others v. Union of India and others</w:t>
      </w:r>
      <w:r>
        <w:rPr>
          <w:rFonts w:ascii="Bookman Old Style"/>
          <w:position w:val="7"/>
          <w:sz w:val="18"/>
        </w:rPr>
        <w:t>15</w:t>
      </w:r>
      <w:r>
        <w:rPr>
          <w:rFonts w:ascii="Bookman Old Style"/>
          <w:sz w:val="28"/>
        </w:rPr>
        <w:t>, to accentuate that gender bias in any form is opposed to constitutional</w:t>
      </w:r>
      <w:r>
        <w:rPr>
          <w:rFonts w:ascii="Bookman Old Style"/>
          <w:spacing w:val="-6"/>
          <w:sz w:val="28"/>
        </w:rPr>
        <w:t xml:space="preserve"> </w:t>
      </w:r>
      <w:r>
        <w:rPr>
          <w:rFonts w:ascii="Bookman Old Style"/>
          <w:sz w:val="28"/>
        </w:rPr>
        <w:t>norms.</w:t>
      </w:r>
    </w:p>
    <w:p w:rsidR="003B2FC0" w:rsidRDefault="00052A49">
      <w:pPr>
        <w:pStyle w:val="ListParagraph"/>
        <w:numPr>
          <w:ilvl w:val="0"/>
          <w:numId w:val="60"/>
        </w:numPr>
        <w:tabs>
          <w:tab w:val="left" w:pos="1221"/>
        </w:tabs>
        <w:spacing w:before="123" w:line="480" w:lineRule="auto"/>
        <w:ind w:right="280" w:firstLine="0"/>
        <w:jc w:val="both"/>
        <w:rPr>
          <w:rFonts w:ascii="Bookman Old Style" w:hAnsi="Bookman Old Style"/>
          <w:sz w:val="28"/>
        </w:rPr>
      </w:pPr>
      <w:r>
        <w:rPr>
          <w:rFonts w:ascii="Bookman Old Style" w:hAnsi="Bookman Old Style"/>
          <w:sz w:val="28"/>
        </w:rPr>
        <w:t>It is also the case of the applicant/intervenor that exclusionary practice has the impact of casting a stigma on women of menstruating age for it considers them polluted and thereby has a huge psychological impact on them which resultantly leads to violati</w:t>
      </w:r>
      <w:r>
        <w:rPr>
          <w:rFonts w:ascii="Bookman Old Style" w:hAnsi="Bookman Old Style"/>
          <w:sz w:val="28"/>
        </w:rPr>
        <w:t xml:space="preserve">on of Article 17 as the expression „in any form‟ in Article 17 includes untouchability based </w:t>
      </w:r>
      <w:r>
        <w:rPr>
          <w:rFonts w:ascii="Bookman Old Style" w:hAnsi="Bookman Old Style"/>
          <w:spacing w:val="3"/>
          <w:sz w:val="28"/>
        </w:rPr>
        <w:t xml:space="preserve">on </w:t>
      </w:r>
      <w:r>
        <w:rPr>
          <w:rFonts w:ascii="Bookman Old Style" w:hAnsi="Bookman Old Style"/>
          <w:spacing w:val="-8"/>
          <w:sz w:val="28"/>
        </w:rPr>
        <w:t xml:space="preserve">social </w:t>
      </w:r>
      <w:r>
        <w:rPr>
          <w:rFonts w:ascii="Bookman Old Style" w:hAnsi="Bookman Old Style"/>
          <w:sz w:val="28"/>
        </w:rPr>
        <w:t xml:space="preserve">factors and is wide enough to cover menstrual discrimination against women. </w:t>
      </w:r>
      <w:r>
        <w:rPr>
          <w:rFonts w:ascii="Bookman Old Style" w:hAnsi="Bookman Old Style"/>
          <w:spacing w:val="2"/>
          <w:sz w:val="28"/>
        </w:rPr>
        <w:t xml:space="preserve">It </w:t>
      </w:r>
      <w:r>
        <w:rPr>
          <w:rFonts w:ascii="Bookman Old Style" w:hAnsi="Bookman Old Style"/>
          <w:sz w:val="28"/>
        </w:rPr>
        <w:t>has further been submitted by applicant/intervenor that Article 17 applies</w:t>
      </w:r>
      <w:r>
        <w:rPr>
          <w:rFonts w:ascii="Bookman Old Style" w:hAnsi="Bookman Old Style"/>
          <w:sz w:val="28"/>
        </w:rPr>
        <w:t xml:space="preserve"> to both State and non-State actors and has been made operative through a Central legislation in the form of Protection of Civil Rights Act, 1955. The judgment of the High Court in </w:t>
      </w:r>
      <w:r>
        <w:rPr>
          <w:rFonts w:ascii="Bookman Old Style" w:hAnsi="Bookman Old Style"/>
          <w:b/>
          <w:i/>
          <w:sz w:val="28"/>
        </w:rPr>
        <w:t xml:space="preserve">S. Mahendran </w:t>
      </w:r>
      <w:r>
        <w:rPr>
          <w:rFonts w:ascii="Bookman Old Style" w:hAnsi="Bookman Old Style"/>
          <w:sz w:val="28"/>
        </w:rPr>
        <w:t>(supra), in the view of the applicant/intervenor, is not in co</w:t>
      </w:r>
      <w:r>
        <w:rPr>
          <w:rFonts w:ascii="Bookman Old Style" w:hAnsi="Bookman Old Style"/>
          <w:sz w:val="28"/>
        </w:rPr>
        <w:t>nsonance with the provisions of the 1955</w:t>
      </w:r>
      <w:r>
        <w:rPr>
          <w:rFonts w:ascii="Bookman Old Style" w:hAnsi="Bookman Old Style"/>
          <w:spacing w:val="-5"/>
          <w:sz w:val="28"/>
        </w:rPr>
        <w:t xml:space="preserve"> </w:t>
      </w:r>
      <w:r>
        <w:rPr>
          <w:rFonts w:ascii="Bookman Old Style" w:hAnsi="Bookman Old Style"/>
          <w:sz w:val="28"/>
        </w:rPr>
        <w:t>Act.</w:t>
      </w:r>
    </w:p>
    <w:p w:rsidR="003B2FC0" w:rsidRDefault="00052A49">
      <w:pPr>
        <w:pStyle w:val="ListParagraph"/>
        <w:numPr>
          <w:ilvl w:val="0"/>
          <w:numId w:val="60"/>
        </w:numPr>
        <w:tabs>
          <w:tab w:val="left" w:pos="1221"/>
        </w:tabs>
        <w:spacing w:before="121"/>
        <w:ind w:left="1220"/>
        <w:jc w:val="both"/>
        <w:rPr>
          <w:rFonts w:ascii="Bookman Old Style"/>
          <w:sz w:val="28"/>
        </w:rPr>
      </w:pPr>
      <w:r>
        <w:rPr>
          <w:rFonts w:ascii="Bookman Old Style"/>
          <w:sz w:val="28"/>
        </w:rPr>
        <w:t>Drawing support from the decisions of this Court</w:t>
      </w:r>
      <w:r>
        <w:rPr>
          <w:rFonts w:ascii="Bookman Old Style"/>
          <w:spacing w:val="20"/>
          <w:sz w:val="28"/>
        </w:rPr>
        <w:t xml:space="preserve"> </w:t>
      </w:r>
      <w:r>
        <w:rPr>
          <w:rFonts w:ascii="Bookman Old Style"/>
          <w:sz w:val="28"/>
        </w:rPr>
        <w:t>in</w:t>
      </w:r>
    </w:p>
    <w:p w:rsidR="003B2FC0" w:rsidRDefault="003B2FC0">
      <w:pPr>
        <w:pStyle w:val="BodyText"/>
        <w:spacing w:before="9"/>
        <w:rPr>
          <w:sz w:val="27"/>
        </w:rPr>
      </w:pPr>
    </w:p>
    <w:p w:rsidR="003B2FC0" w:rsidRDefault="00052A49">
      <w:pPr>
        <w:ind w:left="500"/>
        <w:jc w:val="both"/>
        <w:rPr>
          <w:rFonts w:ascii="Bookman Old Style"/>
          <w:b/>
          <w:i/>
          <w:sz w:val="28"/>
        </w:rPr>
      </w:pPr>
      <w:r>
        <w:rPr>
          <w:rFonts w:ascii="Bookman Old Style"/>
          <w:b/>
          <w:i/>
          <w:sz w:val="28"/>
        </w:rPr>
        <w:t>National Legal Services Authority v. Union of India</w:t>
      </w:r>
      <w:r>
        <w:rPr>
          <w:rFonts w:ascii="Bookman Old Style"/>
          <w:b/>
          <w:i/>
          <w:spacing w:val="91"/>
          <w:sz w:val="28"/>
        </w:rPr>
        <w:t xml:space="preserve"> </w:t>
      </w:r>
      <w:r>
        <w:rPr>
          <w:rFonts w:ascii="Bookman Old Style"/>
          <w:b/>
          <w:i/>
          <w:sz w:val="28"/>
        </w:rPr>
        <w:t>and</w:t>
      </w:r>
    </w:p>
    <w:p w:rsidR="003B2FC0" w:rsidRDefault="003B2FC0">
      <w:pPr>
        <w:jc w:val="both"/>
        <w:rPr>
          <w:rFonts w:ascii="Bookman Old Style"/>
          <w:sz w:val="28"/>
        </w:rPr>
        <w:sectPr w:rsidR="003B2FC0">
          <w:footerReference w:type="default" r:id="rId51"/>
          <w:pgSz w:w="11910" w:h="16840"/>
          <w:pgMar w:top="1340" w:right="1160" w:bottom="2020" w:left="940" w:header="554" w:footer="1823" w:gutter="0"/>
          <w:cols w:space="720"/>
        </w:sectPr>
      </w:pPr>
    </w:p>
    <w:p w:rsidR="003B2FC0" w:rsidRDefault="00052A49">
      <w:pPr>
        <w:pStyle w:val="BodyText"/>
        <w:spacing w:before="90" w:line="480" w:lineRule="auto"/>
        <w:ind w:left="500" w:right="279"/>
        <w:jc w:val="both"/>
      </w:pPr>
      <w:r>
        <w:rPr>
          <w:b/>
          <w:i/>
        </w:rPr>
        <w:t>others</w:t>
      </w:r>
      <w:r>
        <w:rPr>
          <w:position w:val="7"/>
          <w:sz w:val="18"/>
        </w:rPr>
        <w:t xml:space="preserve">16 </w:t>
      </w:r>
      <w:r>
        <w:t xml:space="preserve">and </w:t>
      </w:r>
      <w:r>
        <w:rPr>
          <w:b/>
        </w:rPr>
        <w:t xml:space="preserve">Justice </w:t>
      </w:r>
      <w:r>
        <w:rPr>
          <w:b/>
          <w:i/>
        </w:rPr>
        <w:t>K.S. Puttaswamy and another v. Union of India and others</w:t>
      </w:r>
      <w:r>
        <w:rPr>
          <w:position w:val="7"/>
          <w:sz w:val="18"/>
        </w:rPr>
        <w:t>17</w:t>
      </w:r>
      <w:r>
        <w:t xml:space="preserve">, the applicant/intervenor has averred that the exclusionary practice pertaining to women is violative of Article 21 of the Constitution as it impacts the ovulating and menstruating women to have a </w:t>
      </w:r>
      <w:r>
        <w:t>normal social day to day rendezvous with the society including their family members and, thus, undermines their dignity by violating Article 21 of the Constitution.</w:t>
      </w:r>
    </w:p>
    <w:p w:rsidR="003B2FC0" w:rsidRDefault="00052A49">
      <w:pPr>
        <w:pStyle w:val="ListParagraph"/>
        <w:numPr>
          <w:ilvl w:val="0"/>
          <w:numId w:val="60"/>
        </w:numPr>
        <w:tabs>
          <w:tab w:val="left" w:pos="1221"/>
        </w:tabs>
        <w:spacing w:before="123" w:line="480" w:lineRule="auto"/>
        <w:ind w:right="281" w:firstLine="0"/>
        <w:jc w:val="both"/>
        <w:rPr>
          <w:rFonts w:ascii="Bookman Old Style"/>
          <w:sz w:val="28"/>
        </w:rPr>
      </w:pPr>
      <w:r>
        <w:rPr>
          <w:rFonts w:ascii="Bookman Old Style"/>
          <w:sz w:val="28"/>
        </w:rPr>
        <w:t>It has also been submitted that the exclusionary practice violates the rights of Hindu wome</w:t>
      </w:r>
      <w:r>
        <w:rPr>
          <w:rFonts w:ascii="Bookman Old Style"/>
          <w:sz w:val="28"/>
        </w:rPr>
        <w:t xml:space="preserve">n under Article 25 of </w:t>
      </w:r>
      <w:r>
        <w:rPr>
          <w:rFonts w:ascii="Bookman Old Style"/>
          <w:spacing w:val="-3"/>
          <w:sz w:val="28"/>
        </w:rPr>
        <w:t xml:space="preserve">the </w:t>
      </w:r>
      <w:r>
        <w:rPr>
          <w:rFonts w:ascii="Bookman Old Style"/>
          <w:sz w:val="28"/>
        </w:rPr>
        <w:t>Constitution as they have the right to enter Hindu temples dedicated to the public. As per the applicant/intervenor, there is a catena of judgments by this Court wherein the rights of entry into temples of all castes have been uph</w:t>
      </w:r>
      <w:r>
        <w:rPr>
          <w:rFonts w:ascii="Bookman Old Style"/>
          <w:sz w:val="28"/>
        </w:rPr>
        <w:t>eld on the premise that they are Hindus and similarly, women who assert the right to enter the Sabarimala temple are also</w:t>
      </w:r>
      <w:r>
        <w:rPr>
          <w:rFonts w:ascii="Bookman Old Style"/>
          <w:spacing w:val="-2"/>
          <w:sz w:val="28"/>
        </w:rPr>
        <w:t xml:space="preserve"> </w:t>
      </w:r>
      <w:r>
        <w:rPr>
          <w:rFonts w:ascii="Bookman Old Style"/>
          <w:sz w:val="28"/>
        </w:rPr>
        <w:t>Hindus.</w:t>
      </w:r>
    </w:p>
    <w:p w:rsidR="003B2FC0" w:rsidRDefault="00052A49">
      <w:pPr>
        <w:pStyle w:val="ListParagraph"/>
        <w:numPr>
          <w:ilvl w:val="0"/>
          <w:numId w:val="60"/>
        </w:numPr>
        <w:tabs>
          <w:tab w:val="left" w:pos="1221"/>
        </w:tabs>
        <w:spacing w:before="120" w:line="480" w:lineRule="auto"/>
        <w:ind w:right="286" w:firstLine="0"/>
        <w:jc w:val="both"/>
        <w:rPr>
          <w:rFonts w:ascii="Bookman Old Style"/>
          <w:sz w:val="28"/>
        </w:rPr>
      </w:pPr>
      <w:r>
        <w:rPr>
          <w:rFonts w:ascii="Bookman Old Style"/>
          <w:sz w:val="28"/>
        </w:rPr>
        <w:t>The applicant/intervenor has referred to Section 4 of the Kerala Places of Public Worship (Authorization of Entry) Act, 1965 and Rule 3(b) made under the said section which disentitles certain categories of people from entering</w:t>
      </w:r>
      <w:r>
        <w:rPr>
          <w:rFonts w:ascii="Bookman Old Style"/>
          <w:spacing w:val="-41"/>
          <w:sz w:val="28"/>
        </w:rPr>
        <w:t xml:space="preserve"> </w:t>
      </w:r>
      <w:r>
        <w:rPr>
          <w:rFonts w:ascii="Bookman Old Style"/>
          <w:sz w:val="28"/>
        </w:rPr>
        <w:t>any place of public</w:t>
      </w:r>
    </w:p>
    <w:p w:rsidR="003B2FC0" w:rsidRDefault="003B2FC0">
      <w:pPr>
        <w:pStyle w:val="BodyText"/>
        <w:spacing w:line="20" w:lineRule="exact"/>
        <w:ind w:left="494"/>
        <w:rPr>
          <w:sz w:val="2"/>
        </w:rPr>
      </w:pPr>
      <w:r>
        <w:rPr>
          <w:sz w:val="2"/>
        </w:rPr>
      </w:r>
      <w:r>
        <w:rPr>
          <w:sz w:val="2"/>
        </w:rPr>
        <w:pict>
          <v:group id="_x0000_s1171" style="width:144.05pt;height:.6pt;mso-position-horizontal-relative:char;mso-position-vertical-relative:line" coordsize="2881,12">
            <v:line id="_x0000_s1172" style="position:absolute" from="0,6" to="2880,6" strokeweight=".6pt"/>
            <w10:anchorlock/>
          </v:group>
        </w:pict>
      </w:r>
    </w:p>
    <w:p w:rsidR="003B2FC0" w:rsidRDefault="00052A49">
      <w:pPr>
        <w:spacing w:before="49" w:line="289" w:lineRule="exact"/>
        <w:ind w:left="500"/>
        <w:rPr>
          <w:sz w:val="20"/>
        </w:rPr>
      </w:pPr>
      <w:r>
        <w:rPr>
          <w:rFonts w:ascii="Times New Roman"/>
          <w:position w:val="11"/>
          <w:sz w:val="16"/>
        </w:rPr>
        <w:t xml:space="preserve">16 </w:t>
      </w:r>
      <w:r>
        <w:rPr>
          <w:sz w:val="20"/>
        </w:rPr>
        <w:t>(2014) 5 SCC 438</w:t>
      </w:r>
    </w:p>
    <w:p w:rsidR="003B2FC0" w:rsidRDefault="00052A49">
      <w:pPr>
        <w:spacing w:line="289" w:lineRule="exact"/>
        <w:ind w:left="500"/>
        <w:rPr>
          <w:sz w:val="20"/>
        </w:rPr>
      </w:pPr>
      <w:r>
        <w:rPr>
          <w:rFonts w:ascii="Times New Roman"/>
          <w:position w:val="11"/>
          <w:sz w:val="16"/>
        </w:rPr>
        <w:t xml:space="preserve">17 </w:t>
      </w:r>
      <w:r>
        <w:rPr>
          <w:sz w:val="20"/>
        </w:rPr>
        <w:t>(2017) 10 SCC 1</w:t>
      </w:r>
    </w:p>
    <w:p w:rsidR="003B2FC0" w:rsidRDefault="003B2FC0">
      <w:pPr>
        <w:spacing w:line="289" w:lineRule="exact"/>
        <w:rPr>
          <w:sz w:val="20"/>
        </w:rPr>
        <w:sectPr w:rsidR="003B2FC0">
          <w:footerReference w:type="default" r:id="rId52"/>
          <w:pgSz w:w="11910" w:h="16840"/>
          <w:pgMar w:top="1340" w:right="1160" w:bottom="280" w:left="940" w:header="554" w:footer="0" w:gutter="0"/>
          <w:cols w:space="720"/>
        </w:sectPr>
      </w:pPr>
    </w:p>
    <w:p w:rsidR="003B2FC0" w:rsidRDefault="00052A49">
      <w:pPr>
        <w:pStyle w:val="BodyText"/>
        <w:spacing w:before="93" w:line="480" w:lineRule="auto"/>
        <w:ind w:left="500" w:right="280"/>
        <w:jc w:val="both"/>
      </w:pPr>
      <w:r>
        <w:t>worship and this includes women who, by custom or usage, are not allowed to enter a place of public worship. It has further been submitted b</w:t>
      </w:r>
      <w:r>
        <w:t xml:space="preserve">y the applicant/intervenor that Rule 3(b) is </w:t>
      </w:r>
      <w:r>
        <w:rPr>
          <w:i/>
        </w:rPr>
        <w:t xml:space="preserve">ultra vires </w:t>
      </w:r>
      <w:r>
        <w:t xml:space="preserve">the 1965 Act and is also unconstitutional for it violates Articles 14, 15, 17, 21 and 25 of the Constitution in so far as it prohibits women from entering a public temple. The said Rule 3(b), as per </w:t>
      </w:r>
      <w:r>
        <w:t>the applicant/intervenor, is not an essential practice protected under Article 26 of the Constitution for it is not a part of religion as the devotees of Lord Ayyappa are just Hindus and they do not constitute a separate religious denomination under Articl</w:t>
      </w:r>
      <w:r>
        <w:t xml:space="preserve">e 26 of the Constitution as they do not have a common faith or a distinct name. To substantiate this view, the applicant/intervenor has drawn the attention of this Court to the judgment in </w:t>
      </w:r>
      <w:r>
        <w:rPr>
          <w:b/>
          <w:i/>
        </w:rPr>
        <w:t xml:space="preserve">S.P. Mittal </w:t>
      </w:r>
      <w:r>
        <w:t>(supra).</w:t>
      </w:r>
    </w:p>
    <w:p w:rsidR="003B2FC0" w:rsidRDefault="00052A49">
      <w:pPr>
        <w:pStyle w:val="ListParagraph"/>
        <w:numPr>
          <w:ilvl w:val="0"/>
          <w:numId w:val="60"/>
        </w:numPr>
        <w:tabs>
          <w:tab w:val="left" w:pos="1221"/>
        </w:tabs>
        <w:spacing w:before="121" w:line="480" w:lineRule="auto"/>
        <w:ind w:right="281" w:firstLine="0"/>
        <w:jc w:val="both"/>
        <w:rPr>
          <w:rFonts w:ascii="Bookman Old Style"/>
          <w:sz w:val="28"/>
        </w:rPr>
      </w:pPr>
      <w:r>
        <w:rPr>
          <w:rFonts w:ascii="Bookman Old Style"/>
          <w:sz w:val="28"/>
        </w:rPr>
        <w:t>It has been submitted by the applicant/interve</w:t>
      </w:r>
      <w:r>
        <w:rPr>
          <w:rFonts w:ascii="Bookman Old Style"/>
          <w:sz w:val="28"/>
        </w:rPr>
        <w:t xml:space="preserve">nor that even if we assume that Sabarimala is a religious denomination, the exclusion of women is not an essential practice as it does not satisfy the test of essential practice as has been laid down by this Court in </w:t>
      </w:r>
      <w:r>
        <w:rPr>
          <w:rFonts w:ascii="Bookman Old Style"/>
          <w:b/>
          <w:i/>
          <w:sz w:val="28"/>
        </w:rPr>
        <w:t>Commissioner of Police and others v Ach</w:t>
      </w:r>
      <w:r>
        <w:rPr>
          <w:rFonts w:ascii="Bookman Old Style"/>
          <w:b/>
          <w:i/>
          <w:sz w:val="28"/>
        </w:rPr>
        <w:t>arya Jagadishwarananda Avadhuta and</w:t>
      </w:r>
      <w:r>
        <w:rPr>
          <w:rFonts w:ascii="Bookman Old Style"/>
          <w:b/>
          <w:i/>
          <w:spacing w:val="-6"/>
          <w:sz w:val="28"/>
        </w:rPr>
        <w:t xml:space="preserve"> </w:t>
      </w:r>
      <w:r>
        <w:rPr>
          <w:rFonts w:ascii="Bookman Old Style"/>
          <w:b/>
          <w:i/>
          <w:sz w:val="28"/>
        </w:rPr>
        <w:t>another</w:t>
      </w:r>
      <w:r>
        <w:rPr>
          <w:rFonts w:ascii="Bookman Old Style"/>
          <w:position w:val="7"/>
          <w:sz w:val="18"/>
        </w:rPr>
        <w:t>18</w:t>
      </w:r>
      <w:r>
        <w:rPr>
          <w:rFonts w:ascii="Bookman Old Style"/>
          <w:sz w:val="28"/>
        </w:rPr>
        <w:t>.</w:t>
      </w:r>
    </w:p>
    <w:p w:rsidR="003B2FC0" w:rsidRDefault="003B2FC0">
      <w:pPr>
        <w:pStyle w:val="BodyText"/>
        <w:rPr>
          <w:sz w:val="20"/>
        </w:rPr>
      </w:pPr>
    </w:p>
    <w:p w:rsidR="003B2FC0" w:rsidRDefault="003B2FC0">
      <w:pPr>
        <w:pStyle w:val="BodyText"/>
        <w:spacing w:before="6"/>
        <w:rPr>
          <w:sz w:val="13"/>
        </w:rPr>
      </w:pPr>
      <w:r w:rsidRPr="003B2FC0">
        <w:pict>
          <v:line id="_x0000_s1170" style="position:absolute;z-index:-251612672;mso-wrap-distance-left:0;mso-wrap-distance-right:0;mso-position-horizontal-relative:page" from="1in,10.2pt" to="216.05pt,10.2pt" strokeweight=".6pt">
            <w10:wrap type="topAndBottom" anchorx="page"/>
          </v:line>
        </w:pict>
      </w:r>
    </w:p>
    <w:p w:rsidR="003B2FC0" w:rsidRDefault="00052A49">
      <w:pPr>
        <w:spacing w:before="50"/>
        <w:ind w:left="500"/>
        <w:rPr>
          <w:rFonts w:ascii="Times New Roman"/>
          <w:sz w:val="20"/>
        </w:rPr>
      </w:pPr>
      <w:r>
        <w:rPr>
          <w:rFonts w:ascii="Times New Roman"/>
          <w:position w:val="9"/>
          <w:sz w:val="13"/>
        </w:rPr>
        <w:t xml:space="preserve">18 </w:t>
      </w:r>
      <w:r>
        <w:rPr>
          <w:rFonts w:ascii="Times New Roman"/>
          <w:sz w:val="20"/>
        </w:rPr>
        <w:t>(2004) 12 SCC 770</w:t>
      </w:r>
    </w:p>
    <w:p w:rsidR="003B2FC0" w:rsidRDefault="003B2FC0">
      <w:pPr>
        <w:rPr>
          <w:rFonts w:ascii="Times New Roman"/>
          <w:sz w:val="20"/>
        </w:rPr>
        <w:sectPr w:rsidR="003B2FC0">
          <w:headerReference w:type="default" r:id="rId53"/>
          <w:footerReference w:type="default" r:id="rId54"/>
          <w:pgSz w:w="11910" w:h="16840"/>
          <w:pgMar w:top="1340" w:right="1160" w:bottom="280" w:left="940" w:header="554" w:footer="0" w:gutter="0"/>
          <w:pgNumType w:start="25"/>
          <w:cols w:space="720"/>
        </w:sectPr>
      </w:pPr>
    </w:p>
    <w:p w:rsidR="003B2FC0" w:rsidRDefault="00052A49">
      <w:pPr>
        <w:pStyle w:val="ListParagraph"/>
        <w:numPr>
          <w:ilvl w:val="0"/>
          <w:numId w:val="60"/>
        </w:numPr>
        <w:tabs>
          <w:tab w:val="left" w:pos="1221"/>
        </w:tabs>
        <w:spacing w:before="90" w:line="480" w:lineRule="auto"/>
        <w:ind w:right="281" w:firstLine="0"/>
        <w:jc w:val="both"/>
        <w:rPr>
          <w:rFonts w:ascii="Bookman Old Style"/>
          <w:sz w:val="28"/>
        </w:rPr>
      </w:pPr>
      <w:r>
        <w:rPr>
          <w:rFonts w:ascii="Bookman Old Style"/>
          <w:sz w:val="28"/>
        </w:rPr>
        <w:t xml:space="preserve">Referring to the judgment of this Court in </w:t>
      </w:r>
      <w:r>
        <w:rPr>
          <w:rFonts w:ascii="Bookman Old Style"/>
          <w:b/>
          <w:i/>
          <w:sz w:val="28"/>
        </w:rPr>
        <w:t xml:space="preserve">Devaru </w:t>
      </w:r>
      <w:r>
        <w:rPr>
          <w:rFonts w:ascii="Bookman Old Style"/>
          <w:sz w:val="28"/>
        </w:rPr>
        <w:t xml:space="preserve">(supra), the applicant/intervenor has submitted that the right to manage its own affairs conferred upon a religious denomination under Article 26(b) is subject to be rights guaranteed to Hindu women under Article 25(2)(b). As per the applicant/intervenor, </w:t>
      </w:r>
      <w:r>
        <w:rPr>
          <w:rFonts w:ascii="Bookman Old Style"/>
          <w:sz w:val="28"/>
        </w:rPr>
        <w:t>a harmonious construction of Articles 25 and 26 of the Constitution reveals that neither Article 26 enables the State to make a law excluding any women from the right to worship in any public temple nor does it protect any custom that discriminates against</w:t>
      </w:r>
      <w:r>
        <w:rPr>
          <w:rFonts w:ascii="Bookman Old Style"/>
          <w:sz w:val="28"/>
        </w:rPr>
        <w:t xml:space="preserve"> women and, thus, such exclusion amounts to destruction of the rights of women to practise religion guaranteed under Article</w:t>
      </w:r>
      <w:r>
        <w:rPr>
          <w:rFonts w:ascii="Bookman Old Style"/>
          <w:spacing w:val="-7"/>
          <w:sz w:val="28"/>
        </w:rPr>
        <w:t xml:space="preserve"> </w:t>
      </w:r>
      <w:r>
        <w:rPr>
          <w:rFonts w:ascii="Bookman Old Style"/>
          <w:sz w:val="28"/>
        </w:rPr>
        <w:t>25.</w:t>
      </w:r>
    </w:p>
    <w:p w:rsidR="003B2FC0" w:rsidRDefault="00052A49">
      <w:pPr>
        <w:pStyle w:val="ListParagraph"/>
        <w:numPr>
          <w:ilvl w:val="0"/>
          <w:numId w:val="60"/>
        </w:numPr>
        <w:tabs>
          <w:tab w:val="left" w:pos="1221"/>
        </w:tabs>
        <w:spacing w:before="124" w:line="480" w:lineRule="auto"/>
        <w:ind w:right="283" w:firstLine="0"/>
        <w:jc w:val="both"/>
        <w:rPr>
          <w:rFonts w:ascii="Bookman Old Style"/>
          <w:b/>
          <w:i/>
          <w:sz w:val="28"/>
        </w:rPr>
      </w:pPr>
      <w:r>
        <w:rPr>
          <w:rFonts w:ascii="Bookman Old Style"/>
          <w:sz w:val="28"/>
        </w:rPr>
        <w:t>The applicant/intervenor has also drawn the attention of this Court to the Convention on Elimination of all forms of Discrimina</w:t>
      </w:r>
      <w:r>
        <w:rPr>
          <w:rFonts w:ascii="Bookman Old Style"/>
          <w:sz w:val="28"/>
        </w:rPr>
        <w:t>tion Against Women (CEDAW) and the fact that India is a party to this Convention for emphasizing that it is the obligation of the State to eradicate taboos relating to menstruation based on customs or traditions and further the State should refrain from in</w:t>
      </w:r>
      <w:r>
        <w:rPr>
          <w:rFonts w:ascii="Bookman Old Style"/>
          <w:sz w:val="28"/>
        </w:rPr>
        <w:t>voking the plea of custom or tradition to</w:t>
      </w:r>
      <w:r>
        <w:rPr>
          <w:rFonts w:ascii="Bookman Old Style"/>
          <w:spacing w:val="20"/>
          <w:sz w:val="28"/>
        </w:rPr>
        <w:t xml:space="preserve"> </w:t>
      </w:r>
      <w:r>
        <w:rPr>
          <w:rFonts w:ascii="Bookman Old Style"/>
          <w:sz w:val="28"/>
        </w:rPr>
        <w:t>avoid</w:t>
      </w:r>
      <w:r>
        <w:rPr>
          <w:rFonts w:ascii="Bookman Old Style"/>
          <w:spacing w:val="20"/>
          <w:sz w:val="28"/>
        </w:rPr>
        <w:t xml:space="preserve"> </w:t>
      </w:r>
      <w:r>
        <w:rPr>
          <w:rFonts w:ascii="Bookman Old Style"/>
          <w:sz w:val="28"/>
        </w:rPr>
        <w:t>their</w:t>
      </w:r>
      <w:r>
        <w:rPr>
          <w:rFonts w:ascii="Bookman Old Style"/>
          <w:spacing w:val="17"/>
          <w:sz w:val="28"/>
        </w:rPr>
        <w:t xml:space="preserve"> </w:t>
      </w:r>
      <w:r>
        <w:rPr>
          <w:rFonts w:ascii="Bookman Old Style"/>
          <w:sz w:val="28"/>
        </w:rPr>
        <w:t>obligation.</w:t>
      </w:r>
      <w:r>
        <w:rPr>
          <w:rFonts w:ascii="Bookman Old Style"/>
          <w:spacing w:val="18"/>
          <w:sz w:val="28"/>
        </w:rPr>
        <w:t xml:space="preserve"> </w:t>
      </w:r>
      <w:r>
        <w:rPr>
          <w:rFonts w:ascii="Bookman Old Style"/>
          <w:sz w:val="28"/>
        </w:rPr>
        <w:t>The</w:t>
      </w:r>
      <w:r>
        <w:rPr>
          <w:rFonts w:ascii="Bookman Old Style"/>
          <w:spacing w:val="20"/>
          <w:sz w:val="28"/>
        </w:rPr>
        <w:t xml:space="preserve"> </w:t>
      </w:r>
      <w:r>
        <w:rPr>
          <w:rFonts w:ascii="Bookman Old Style"/>
          <w:sz w:val="28"/>
        </w:rPr>
        <w:t>judgment</w:t>
      </w:r>
      <w:r>
        <w:rPr>
          <w:rFonts w:ascii="Bookman Old Style"/>
          <w:spacing w:val="19"/>
          <w:sz w:val="28"/>
        </w:rPr>
        <w:t xml:space="preserve"> </w:t>
      </w:r>
      <w:r>
        <w:rPr>
          <w:rFonts w:ascii="Bookman Old Style"/>
          <w:sz w:val="28"/>
        </w:rPr>
        <w:t>of</w:t>
      </w:r>
      <w:r>
        <w:rPr>
          <w:rFonts w:ascii="Bookman Old Style"/>
          <w:spacing w:val="16"/>
          <w:sz w:val="28"/>
        </w:rPr>
        <w:t xml:space="preserve"> </w:t>
      </w:r>
      <w:r>
        <w:rPr>
          <w:rFonts w:ascii="Bookman Old Style"/>
          <w:sz w:val="28"/>
        </w:rPr>
        <w:t>this</w:t>
      </w:r>
      <w:r>
        <w:rPr>
          <w:rFonts w:ascii="Bookman Old Style"/>
          <w:spacing w:val="17"/>
          <w:sz w:val="28"/>
        </w:rPr>
        <w:t xml:space="preserve"> </w:t>
      </w:r>
      <w:r>
        <w:rPr>
          <w:rFonts w:ascii="Bookman Old Style"/>
          <w:sz w:val="28"/>
        </w:rPr>
        <w:t>Court</w:t>
      </w:r>
      <w:r>
        <w:rPr>
          <w:rFonts w:ascii="Bookman Old Style"/>
          <w:spacing w:val="19"/>
          <w:sz w:val="28"/>
        </w:rPr>
        <w:t xml:space="preserve"> </w:t>
      </w:r>
      <w:r>
        <w:rPr>
          <w:rFonts w:ascii="Bookman Old Style"/>
          <w:sz w:val="28"/>
        </w:rPr>
        <w:t>in</w:t>
      </w:r>
      <w:r>
        <w:rPr>
          <w:rFonts w:ascii="Bookman Old Style"/>
          <w:spacing w:val="25"/>
          <w:sz w:val="28"/>
        </w:rPr>
        <w:t xml:space="preserve"> </w:t>
      </w:r>
      <w:r>
        <w:rPr>
          <w:rFonts w:ascii="Bookman Old Style"/>
          <w:b/>
          <w:i/>
          <w:sz w:val="28"/>
        </w:rPr>
        <w:t>Vishaka</w:t>
      </w:r>
    </w:p>
    <w:p w:rsidR="003B2FC0" w:rsidRDefault="003B2FC0">
      <w:pPr>
        <w:pStyle w:val="BodyText"/>
        <w:spacing w:before="5"/>
        <w:rPr>
          <w:b/>
          <w:i/>
          <w:sz w:val="29"/>
        </w:rPr>
      </w:pPr>
      <w:r w:rsidRPr="003B2FC0">
        <w:pict>
          <v:line id="_x0000_s1169" style="position:absolute;z-index:-251611648;mso-wrap-distance-left:0;mso-wrap-distance-right:0;mso-position-horizontal-relative:page" from="1in,19.55pt" to="523.45pt,19.55pt" strokeweight=".21169mm">
            <w10:wrap type="topAndBottom" anchorx="page"/>
          </v:line>
        </w:pict>
      </w:r>
    </w:p>
    <w:p w:rsidR="003B2FC0" w:rsidRDefault="003B2FC0">
      <w:pPr>
        <w:rPr>
          <w:sz w:val="29"/>
        </w:rPr>
        <w:sectPr w:rsidR="003B2FC0">
          <w:headerReference w:type="default" r:id="rId55"/>
          <w:footerReference w:type="default" r:id="rId56"/>
          <w:pgSz w:w="11910" w:h="16840"/>
          <w:pgMar w:top="1340" w:right="1160" w:bottom="280" w:left="940" w:header="554" w:footer="0" w:gutter="0"/>
          <w:pgNumType w:start="26"/>
          <w:cols w:space="720"/>
        </w:sectPr>
      </w:pPr>
    </w:p>
    <w:p w:rsidR="003B2FC0" w:rsidRDefault="00052A49">
      <w:pPr>
        <w:pStyle w:val="BodyText"/>
        <w:spacing w:before="90" w:line="480" w:lineRule="auto"/>
        <w:ind w:left="500" w:right="283"/>
        <w:jc w:val="both"/>
      </w:pPr>
      <w:r>
        <w:rPr>
          <w:b/>
          <w:i/>
        </w:rPr>
        <w:t>and others v. State of Rajasthan and others</w:t>
      </w:r>
      <w:r>
        <w:rPr>
          <w:position w:val="7"/>
          <w:sz w:val="18"/>
        </w:rPr>
        <w:t xml:space="preserve">19 </w:t>
      </w:r>
      <w:r>
        <w:t>has been cited to submit that international conventions must be followed when there is a void in the domestic law or when there is any inconsistency in the norms for construing the domestic law.</w:t>
      </w:r>
    </w:p>
    <w:p w:rsidR="003B2FC0" w:rsidRDefault="00052A49">
      <w:pPr>
        <w:pStyle w:val="BodyText"/>
        <w:spacing w:before="124"/>
        <w:ind w:left="500"/>
        <w:jc w:val="both"/>
        <w:rPr>
          <w:b/>
        </w:rPr>
      </w:pPr>
      <w:r>
        <w:rPr>
          <w:b/>
          <w:u w:val="single"/>
        </w:rPr>
        <w:t>Submissions on behalf of Intervenor in I.A No. 34/2017</w:t>
      </w:r>
    </w:p>
    <w:p w:rsidR="003B2FC0" w:rsidRDefault="003B2FC0">
      <w:pPr>
        <w:pStyle w:val="BodyText"/>
        <w:spacing w:before="6"/>
        <w:rPr>
          <w:b/>
          <w:sz w:val="29"/>
        </w:rPr>
      </w:pPr>
    </w:p>
    <w:p w:rsidR="003B2FC0" w:rsidRDefault="003B2FC0">
      <w:pPr>
        <w:pStyle w:val="ListParagraph"/>
        <w:numPr>
          <w:ilvl w:val="0"/>
          <w:numId w:val="60"/>
        </w:numPr>
        <w:tabs>
          <w:tab w:val="left" w:pos="1221"/>
        </w:tabs>
        <w:spacing w:before="100" w:line="480" w:lineRule="auto"/>
        <w:ind w:right="272" w:firstLine="0"/>
        <w:jc w:val="both"/>
        <w:rPr>
          <w:rFonts w:ascii="Bookman Old Style" w:hAnsi="Bookman Old Style"/>
          <w:sz w:val="28"/>
        </w:rPr>
      </w:pPr>
      <w:r w:rsidRPr="003B2FC0">
        <w:pict>
          <v:line id="_x0000_s1168" style="position:absolute;left:0;text-align:left;z-index:-251610624;mso-wrap-distance-left:0;mso-wrap-distance-right:0;mso-position-horizontal-relative:page" from="1in,500.25pt" to="216.05pt,500.25pt" strokeweight=".6pt">
            <w10:wrap type="topAndBottom" anchorx="page"/>
          </v:line>
        </w:pict>
      </w:r>
      <w:r w:rsidR="00052A49">
        <w:rPr>
          <w:rFonts w:ascii="Bookman Old Style" w:hAnsi="Bookman Old Style"/>
          <w:sz w:val="28"/>
        </w:rPr>
        <w:t xml:space="preserve">The intervenor, All India Democratic Women‟s </w:t>
      </w:r>
      <w:r w:rsidR="00052A49">
        <w:rPr>
          <w:rFonts w:ascii="Bookman Old Style" w:hAnsi="Bookman Old Style"/>
          <w:spacing w:val="-5"/>
          <w:sz w:val="28"/>
        </w:rPr>
        <w:t xml:space="preserve">Association, </w:t>
      </w:r>
      <w:r w:rsidR="00052A49">
        <w:rPr>
          <w:rFonts w:ascii="Bookman Old Style" w:hAnsi="Bookman Old Style"/>
          <w:sz w:val="28"/>
        </w:rPr>
        <w:t xml:space="preserve">has filed I.A No. 34/2017 wherein it has submitted that the meaning of the Constitution cannot be frozen and it must continuously evolve with the changing times. Further, the applicant submits that </w:t>
      </w:r>
      <w:r w:rsidR="00052A49">
        <w:rPr>
          <w:rFonts w:ascii="Bookman Old Style" w:hAnsi="Bookman Old Style"/>
          <w:sz w:val="28"/>
        </w:rPr>
        <w:t>merely because Article 26 does not specify that it is subject to Part III or Article 25 of the Constitution, it cannot be said that it is insulated against Part III and especially Articles 14, 15 19, 21 and 25 of the Constitution. To emphasize the same, th</w:t>
      </w:r>
      <w:r w:rsidR="00052A49">
        <w:rPr>
          <w:rFonts w:ascii="Bookman Old Style" w:hAnsi="Bookman Old Style"/>
          <w:sz w:val="28"/>
        </w:rPr>
        <w:t xml:space="preserve">e applicant/intervenor has relied upon the observations made in </w:t>
      </w:r>
      <w:r w:rsidR="00052A49">
        <w:rPr>
          <w:rFonts w:ascii="Bookman Old Style" w:hAnsi="Bookman Old Style"/>
          <w:b/>
          <w:i/>
          <w:sz w:val="28"/>
        </w:rPr>
        <w:t xml:space="preserve">Devaru </w:t>
      </w:r>
      <w:r w:rsidR="00052A49">
        <w:rPr>
          <w:rFonts w:ascii="Bookman Old Style" w:hAnsi="Bookman Old Style"/>
          <w:sz w:val="28"/>
        </w:rPr>
        <w:t xml:space="preserve">case where the Court has stated that the rule of construction is well settled that when there </w:t>
      </w:r>
      <w:r w:rsidR="00052A49">
        <w:rPr>
          <w:rFonts w:ascii="Bookman Old Style" w:hAnsi="Bookman Old Style"/>
          <w:spacing w:val="-2"/>
          <w:sz w:val="28"/>
        </w:rPr>
        <w:t xml:space="preserve">are </w:t>
      </w:r>
      <w:r w:rsidR="00052A49">
        <w:rPr>
          <w:rFonts w:ascii="Bookman Old Style" w:hAnsi="Bookman Old Style"/>
          <w:sz w:val="28"/>
        </w:rPr>
        <w:t xml:space="preserve">two provisions in an enactment which cannot be reconciled with each other, they should </w:t>
      </w:r>
      <w:r w:rsidR="00052A49">
        <w:rPr>
          <w:rFonts w:ascii="Bookman Old Style" w:hAnsi="Bookman Old Style"/>
          <w:sz w:val="28"/>
        </w:rPr>
        <w:t>be so interpreted that, if possible, effect could be given to both. The Court observed that applying this  rule of harmonious construction, if the contention of</w:t>
      </w:r>
      <w:r w:rsidR="00052A49">
        <w:rPr>
          <w:rFonts w:ascii="Bookman Old Style" w:hAnsi="Bookman Old Style"/>
          <w:spacing w:val="9"/>
          <w:sz w:val="28"/>
        </w:rPr>
        <w:t xml:space="preserve"> </w:t>
      </w:r>
      <w:r w:rsidR="00052A49">
        <w:rPr>
          <w:rFonts w:ascii="Bookman Old Style" w:hAnsi="Bookman Old Style"/>
          <w:sz w:val="28"/>
        </w:rPr>
        <w:t>the</w:t>
      </w:r>
    </w:p>
    <w:p w:rsidR="003B2FC0" w:rsidRDefault="00052A49">
      <w:pPr>
        <w:tabs>
          <w:tab w:val="left" w:pos="889"/>
        </w:tabs>
        <w:spacing w:before="50"/>
        <w:ind w:left="500"/>
        <w:rPr>
          <w:rFonts w:ascii="Times New Roman"/>
          <w:sz w:val="20"/>
        </w:rPr>
      </w:pPr>
      <w:r>
        <w:rPr>
          <w:rFonts w:ascii="Times New Roman"/>
          <w:position w:val="9"/>
          <w:sz w:val="13"/>
        </w:rPr>
        <w:t>19</w:t>
      </w:r>
      <w:r>
        <w:rPr>
          <w:rFonts w:ascii="Times New Roman"/>
          <w:position w:val="9"/>
          <w:sz w:val="13"/>
        </w:rPr>
        <w:tab/>
      </w:r>
      <w:r>
        <w:rPr>
          <w:rFonts w:ascii="Times New Roman"/>
          <w:sz w:val="20"/>
        </w:rPr>
        <w:t>(1997) 6 SCC</w:t>
      </w:r>
      <w:r>
        <w:rPr>
          <w:rFonts w:ascii="Times New Roman"/>
          <w:spacing w:val="-3"/>
          <w:sz w:val="20"/>
        </w:rPr>
        <w:t xml:space="preserve"> </w:t>
      </w:r>
      <w:r>
        <w:rPr>
          <w:rFonts w:ascii="Times New Roman"/>
          <w:sz w:val="20"/>
        </w:rPr>
        <w:t>241</w:t>
      </w:r>
    </w:p>
    <w:p w:rsidR="003B2FC0" w:rsidRDefault="003B2FC0">
      <w:pPr>
        <w:rPr>
          <w:rFonts w:ascii="Times New Roman"/>
          <w:sz w:val="20"/>
        </w:rPr>
        <w:sectPr w:rsidR="003B2FC0">
          <w:headerReference w:type="default" r:id="rId57"/>
          <w:footerReference w:type="default" r:id="rId58"/>
          <w:pgSz w:w="11910" w:h="16840"/>
          <w:pgMar w:top="1340" w:right="1160" w:bottom="280" w:left="940" w:header="554" w:footer="0" w:gutter="0"/>
          <w:pgNumType w:start="27"/>
          <w:cols w:space="720"/>
        </w:sectPr>
      </w:pPr>
    </w:p>
    <w:p w:rsidR="003B2FC0" w:rsidRDefault="00052A49">
      <w:pPr>
        <w:pStyle w:val="BodyText"/>
        <w:spacing w:before="93" w:line="480" w:lineRule="auto"/>
        <w:ind w:left="500" w:right="273"/>
        <w:jc w:val="both"/>
      </w:pPr>
      <w:r>
        <w:t>appellants is to be accepted</w:t>
      </w:r>
      <w:r>
        <w:t xml:space="preserve">, then Art. 25(2)(b) will become wholly nugatory in its application to denominational temples, though, as stated above, the language of that Article includes them. The Court further observed that if the contention of the respondents is accepted, then full </w:t>
      </w:r>
      <w:r>
        <w:t xml:space="preserve">effect can be given to Article 26(b) in all matters of religion, subject only to this that as regards one aspect of them, entry into a temple for worship, the rights declared under Article 25(2)(b) will prevail and therefore while, in </w:t>
      </w:r>
      <w:r>
        <w:rPr>
          <w:spacing w:val="-3"/>
        </w:rPr>
        <w:t xml:space="preserve">the </w:t>
      </w:r>
      <w:r>
        <w:t>former case, Article 25(2)(b) will be put wholly out of operation, in the latter, effect can be given to both that provision and Article 26(b) and, hence, it  must  be  accordingly  held  that Article  26(b) must be read subject to Article</w:t>
      </w:r>
      <w:r>
        <w:rPr>
          <w:spacing w:val="-6"/>
        </w:rPr>
        <w:t xml:space="preserve"> </w:t>
      </w:r>
      <w:r>
        <w:t>25(2)(b).</w:t>
      </w:r>
    </w:p>
    <w:p w:rsidR="003B2FC0" w:rsidRDefault="00052A49">
      <w:pPr>
        <w:pStyle w:val="BodyText"/>
        <w:spacing w:before="1"/>
        <w:ind w:left="500"/>
        <w:rPr>
          <w:b/>
        </w:rPr>
      </w:pPr>
      <w:r>
        <w:rPr>
          <w:b/>
          <w:u w:val="single"/>
        </w:rPr>
        <w:t>Submis</w:t>
      </w:r>
      <w:r>
        <w:rPr>
          <w:b/>
          <w:u w:val="single"/>
        </w:rPr>
        <w:t>sions on behalf of Respondent No. 1</w:t>
      </w:r>
    </w:p>
    <w:p w:rsidR="003B2FC0" w:rsidRDefault="003B2FC0">
      <w:pPr>
        <w:pStyle w:val="BodyText"/>
        <w:rPr>
          <w:b/>
        </w:rPr>
      </w:pPr>
    </w:p>
    <w:p w:rsidR="003B2FC0" w:rsidRDefault="00052A49">
      <w:pPr>
        <w:pStyle w:val="ListParagraph"/>
        <w:numPr>
          <w:ilvl w:val="0"/>
          <w:numId w:val="60"/>
        </w:numPr>
        <w:tabs>
          <w:tab w:val="left" w:pos="1221"/>
        </w:tabs>
        <w:spacing w:before="1" w:line="480" w:lineRule="auto"/>
        <w:ind w:right="278" w:firstLine="0"/>
        <w:jc w:val="both"/>
        <w:rPr>
          <w:rFonts w:ascii="Bookman Old Style"/>
          <w:sz w:val="28"/>
        </w:rPr>
      </w:pPr>
      <w:r>
        <w:rPr>
          <w:rFonts w:ascii="Bookman Old Style"/>
          <w:sz w:val="28"/>
        </w:rPr>
        <w:t>The State of Kerala, the first respondent herein, as indicated earlier, had taken contrary stands at different times. An affidavit was filed on 13.11.2007 which indicated that the Government was not in favour of discrimination towards any woman or any sect</w:t>
      </w:r>
      <w:r>
        <w:rPr>
          <w:rFonts w:ascii="Bookman Old Style"/>
          <w:sz w:val="28"/>
        </w:rPr>
        <w:t>ion of the society. The said stand was changed in the  affidavit dated 5.2.2016 taking the stand that the earlier affidavit was contrary to the judgment of the Kerala High Court. On 7.11.2016 on a query being made by the Court, the</w:t>
      </w:r>
      <w:r>
        <w:rPr>
          <w:rFonts w:ascii="Bookman Old Style"/>
          <w:spacing w:val="42"/>
          <w:sz w:val="28"/>
        </w:rPr>
        <w:t xml:space="preserve"> </w:t>
      </w:r>
      <w:r>
        <w:rPr>
          <w:rFonts w:ascii="Bookman Old Style"/>
          <w:sz w:val="28"/>
        </w:rPr>
        <w:t>learned</w:t>
      </w:r>
    </w:p>
    <w:p w:rsidR="003B2FC0" w:rsidRDefault="003B2FC0">
      <w:pPr>
        <w:spacing w:line="480" w:lineRule="auto"/>
        <w:jc w:val="both"/>
        <w:rPr>
          <w:rFonts w:ascii="Bookman Old Style"/>
          <w:sz w:val="28"/>
        </w:rPr>
        <w:sectPr w:rsidR="003B2FC0">
          <w:headerReference w:type="default" r:id="rId59"/>
          <w:footerReference w:type="default" r:id="rId60"/>
          <w:pgSz w:w="11910" w:h="16840"/>
          <w:pgMar w:top="1340" w:right="1160" w:bottom="280" w:left="940" w:header="554" w:footer="0" w:gutter="0"/>
          <w:pgNumType w:start="28"/>
          <w:cols w:space="720"/>
        </w:sectPr>
      </w:pPr>
    </w:p>
    <w:p w:rsidR="003B2FC0" w:rsidRDefault="00052A49">
      <w:pPr>
        <w:pStyle w:val="BodyText"/>
        <w:spacing w:before="93" w:line="480" w:lineRule="auto"/>
        <w:ind w:left="500" w:right="273"/>
        <w:jc w:val="both"/>
      </w:pPr>
      <w:r>
        <w:t>counsel for the State submitted that it wanted to place reliance on the original affidavit dated 13.11.2007. It is contended by Mr. Jaideep Gupta, learned senior counsel appearing for the State of Kerala, that the 1965 Act and th</w:t>
      </w:r>
      <w:r>
        <w:t>e Rules framed thereunder are in consonance with Article 25(2)(b) of the Constitution. Reference has been made to Section 3 of the Act, for the said provision deals with places of public worship to be open to Hindus generally or any section or class thereo</w:t>
      </w:r>
      <w:r>
        <w:t xml:space="preserve">f. The concept of prohibition is not conceived of. It is urged by Mr. Gupta that there is no restriction in view of the legislation in the field. In essence, the stand of the State is that it does not conceive of any discrimination as regards the entry of </w:t>
      </w:r>
      <w:r>
        <w:t>women into the temple where male devotees can</w:t>
      </w:r>
      <w:r>
        <w:rPr>
          <w:spacing w:val="-3"/>
        </w:rPr>
        <w:t xml:space="preserve"> </w:t>
      </w:r>
      <w:r>
        <w:t>enter.</w:t>
      </w:r>
    </w:p>
    <w:p w:rsidR="003B2FC0" w:rsidRDefault="00052A49">
      <w:pPr>
        <w:pStyle w:val="BodyText"/>
        <w:spacing w:before="2"/>
        <w:ind w:left="500"/>
        <w:rPr>
          <w:b/>
        </w:rPr>
      </w:pPr>
      <w:r>
        <w:rPr>
          <w:b/>
          <w:u w:val="single"/>
        </w:rPr>
        <w:t>Submissions on behalf of Respondent No. 2</w:t>
      </w:r>
    </w:p>
    <w:p w:rsidR="003B2FC0" w:rsidRDefault="003B2FC0">
      <w:pPr>
        <w:pStyle w:val="BodyText"/>
        <w:rPr>
          <w:b/>
        </w:rPr>
      </w:pPr>
    </w:p>
    <w:p w:rsidR="003B2FC0" w:rsidRDefault="00052A49">
      <w:pPr>
        <w:pStyle w:val="ListParagraph"/>
        <w:numPr>
          <w:ilvl w:val="0"/>
          <w:numId w:val="60"/>
        </w:numPr>
        <w:tabs>
          <w:tab w:val="left" w:pos="1221"/>
        </w:tabs>
        <w:spacing w:line="480" w:lineRule="auto"/>
        <w:ind w:right="273" w:firstLine="0"/>
        <w:jc w:val="both"/>
        <w:rPr>
          <w:rFonts w:ascii="Bookman Old Style" w:hAnsi="Bookman Old Style"/>
          <w:sz w:val="28"/>
        </w:rPr>
      </w:pPr>
      <w:r>
        <w:rPr>
          <w:rFonts w:ascii="Bookman Old Style" w:hAnsi="Bookman Old Style"/>
          <w:sz w:val="28"/>
        </w:rPr>
        <w:t xml:space="preserve">The respondent no. 2 has submitted that Sabarimala is a temple of great antiquity dedicated to Lord Ayyappa who the petitioner avers to be a deity depicting “a </w:t>
      </w:r>
      <w:r>
        <w:rPr>
          <w:rFonts w:ascii="Bookman Old Style" w:hAnsi="Bookman Old Style"/>
          <w:sz w:val="28"/>
        </w:rPr>
        <w:t>hyper masculine God born out of the union of two male Gods Shiva and Mohini, where Mohini is Vishnu in a female</w:t>
      </w:r>
      <w:r>
        <w:rPr>
          <w:rFonts w:ascii="Bookman Old Style" w:hAnsi="Bookman Old Style"/>
          <w:spacing w:val="-8"/>
          <w:sz w:val="28"/>
        </w:rPr>
        <w:t xml:space="preserve"> </w:t>
      </w:r>
      <w:r>
        <w:rPr>
          <w:rFonts w:ascii="Bookman Old Style" w:hAnsi="Bookman Old Style"/>
          <w:sz w:val="28"/>
        </w:rPr>
        <w:t>form.”</w:t>
      </w:r>
    </w:p>
    <w:p w:rsidR="003B2FC0" w:rsidRDefault="00052A49">
      <w:pPr>
        <w:pStyle w:val="ListParagraph"/>
        <w:numPr>
          <w:ilvl w:val="0"/>
          <w:numId w:val="60"/>
        </w:numPr>
        <w:tabs>
          <w:tab w:val="left" w:pos="1221"/>
        </w:tabs>
        <w:spacing w:line="480" w:lineRule="auto"/>
        <w:ind w:right="276" w:firstLine="0"/>
        <w:jc w:val="both"/>
        <w:rPr>
          <w:rFonts w:ascii="Bookman Old Style"/>
          <w:sz w:val="28"/>
        </w:rPr>
      </w:pPr>
      <w:r>
        <w:rPr>
          <w:rFonts w:ascii="Bookman Old Style"/>
          <w:sz w:val="28"/>
        </w:rPr>
        <w:t>Thereafter, the respondent no. 2 reiterated the submissions of</w:t>
      </w:r>
      <w:r>
        <w:rPr>
          <w:rFonts w:ascii="Bookman Old Style"/>
          <w:spacing w:val="29"/>
          <w:sz w:val="28"/>
        </w:rPr>
        <w:t xml:space="preserve"> </w:t>
      </w:r>
      <w:r>
        <w:rPr>
          <w:rFonts w:ascii="Bookman Old Style"/>
          <w:sz w:val="28"/>
        </w:rPr>
        <w:t>the</w:t>
      </w:r>
      <w:r>
        <w:rPr>
          <w:rFonts w:ascii="Bookman Old Style"/>
          <w:spacing w:val="29"/>
          <w:sz w:val="28"/>
        </w:rPr>
        <w:t xml:space="preserve"> </w:t>
      </w:r>
      <w:r>
        <w:rPr>
          <w:rFonts w:ascii="Bookman Old Style"/>
          <w:sz w:val="28"/>
        </w:rPr>
        <w:t>respondent</w:t>
      </w:r>
      <w:r>
        <w:rPr>
          <w:rFonts w:ascii="Bookman Old Style"/>
          <w:spacing w:val="31"/>
          <w:sz w:val="28"/>
        </w:rPr>
        <w:t xml:space="preserve"> </w:t>
      </w:r>
      <w:r>
        <w:rPr>
          <w:rFonts w:ascii="Bookman Old Style"/>
          <w:sz w:val="28"/>
        </w:rPr>
        <w:t>no.</w:t>
      </w:r>
      <w:r>
        <w:rPr>
          <w:rFonts w:ascii="Bookman Old Style"/>
          <w:spacing w:val="28"/>
          <w:sz w:val="28"/>
        </w:rPr>
        <w:t xml:space="preserve"> </w:t>
      </w:r>
      <w:r>
        <w:rPr>
          <w:rFonts w:ascii="Bookman Old Style"/>
          <w:sz w:val="28"/>
        </w:rPr>
        <w:t>4</w:t>
      </w:r>
      <w:r>
        <w:rPr>
          <w:rFonts w:ascii="Bookman Old Style"/>
          <w:spacing w:val="28"/>
          <w:sz w:val="28"/>
        </w:rPr>
        <w:t xml:space="preserve"> </w:t>
      </w:r>
      <w:r>
        <w:rPr>
          <w:rFonts w:ascii="Bookman Old Style"/>
          <w:sz w:val="28"/>
        </w:rPr>
        <w:t>pertaining</w:t>
      </w:r>
      <w:r>
        <w:rPr>
          <w:rFonts w:ascii="Bookman Old Style"/>
          <w:spacing w:val="29"/>
          <w:sz w:val="28"/>
        </w:rPr>
        <w:t xml:space="preserve"> </w:t>
      </w:r>
      <w:r>
        <w:rPr>
          <w:rFonts w:ascii="Bookman Old Style"/>
          <w:sz w:val="28"/>
        </w:rPr>
        <w:t>to</w:t>
      </w:r>
      <w:r>
        <w:rPr>
          <w:rFonts w:ascii="Bookman Old Style"/>
          <w:spacing w:val="31"/>
          <w:sz w:val="28"/>
        </w:rPr>
        <w:t xml:space="preserve"> </w:t>
      </w:r>
      <w:r>
        <w:rPr>
          <w:rFonts w:ascii="Bookman Old Style"/>
          <w:sz w:val="28"/>
        </w:rPr>
        <w:t>the</w:t>
      </w:r>
      <w:r>
        <w:rPr>
          <w:rFonts w:ascii="Bookman Old Style"/>
          <w:spacing w:val="32"/>
          <w:sz w:val="28"/>
        </w:rPr>
        <w:t xml:space="preserve"> </w:t>
      </w:r>
      <w:r>
        <w:rPr>
          <w:rFonts w:ascii="Bookman Old Style"/>
          <w:sz w:val="28"/>
        </w:rPr>
        <w:t>observance</w:t>
      </w:r>
      <w:r>
        <w:rPr>
          <w:rFonts w:ascii="Bookman Old Style"/>
          <w:spacing w:val="32"/>
          <w:sz w:val="28"/>
        </w:rPr>
        <w:t xml:space="preserve"> </w:t>
      </w:r>
      <w:r>
        <w:rPr>
          <w:rFonts w:ascii="Bookman Old Style"/>
          <w:sz w:val="28"/>
        </w:rPr>
        <w:t>of</w:t>
      </w:r>
      <w:r>
        <w:rPr>
          <w:rFonts w:ascii="Bookman Old Style"/>
          <w:spacing w:val="27"/>
          <w:sz w:val="28"/>
        </w:rPr>
        <w:t xml:space="preserve"> </w:t>
      </w:r>
      <w:r>
        <w:rPr>
          <w:rFonts w:ascii="Bookman Old Style"/>
          <w:sz w:val="28"/>
        </w:rPr>
        <w:t>41</w:t>
      </w:r>
      <w:r>
        <w:rPr>
          <w:rFonts w:ascii="Bookman Old Style"/>
          <w:spacing w:val="30"/>
          <w:sz w:val="28"/>
        </w:rPr>
        <w:t xml:space="preserve"> </w:t>
      </w:r>
      <w:r>
        <w:rPr>
          <w:rFonts w:ascii="Bookman Old Style"/>
          <w:sz w:val="28"/>
        </w:rPr>
        <w:t>days</w:t>
      </w:r>
    </w:p>
    <w:p w:rsidR="003B2FC0" w:rsidRDefault="003B2FC0">
      <w:pPr>
        <w:spacing w:line="480" w:lineRule="auto"/>
        <w:jc w:val="both"/>
        <w:rPr>
          <w:rFonts w:ascii="Bookman Old Style"/>
          <w:sz w:val="28"/>
        </w:rPr>
        <w:sectPr w:rsidR="003B2FC0">
          <w:headerReference w:type="default" r:id="rId61"/>
          <w:footerReference w:type="default" r:id="rId62"/>
          <w:pgSz w:w="11910" w:h="16840"/>
          <w:pgMar w:top="1340" w:right="1160" w:bottom="280" w:left="940" w:header="554" w:footer="0" w:gutter="0"/>
          <w:pgNumType w:start="29"/>
          <w:cols w:space="720"/>
        </w:sectPr>
      </w:pPr>
    </w:p>
    <w:p w:rsidR="003B2FC0" w:rsidRDefault="00052A49">
      <w:pPr>
        <w:pStyle w:val="BodyText"/>
        <w:spacing w:before="93" w:line="480" w:lineRule="auto"/>
        <w:ind w:left="500" w:right="274"/>
        <w:jc w:val="both"/>
      </w:pPr>
      <w:r>
        <w:t xml:space="preserve">„Vruthum‟ and the fact that the Sabarimala Temple is </w:t>
      </w:r>
      <w:r>
        <w:rPr>
          <w:spacing w:val="-5"/>
        </w:rPr>
        <w:t xml:space="preserve">supposed </w:t>
      </w:r>
      <w:r>
        <w:t xml:space="preserve">to depict „Naishtika Brahmacharya‟. In addition to this, </w:t>
      </w:r>
      <w:r>
        <w:rPr>
          <w:spacing w:val="-20"/>
        </w:rPr>
        <w:t xml:space="preserve">the </w:t>
      </w:r>
      <w:r>
        <w:t>respondent no. 2 has also referred to a Ph.D thesis by Radhika Sekar in the Department of Sociology and</w:t>
      </w:r>
      <w:r>
        <w:t xml:space="preserve"> Anthropology at Carleton University, Ottawa, Ontario in October 1987 titled “The Process of Pilgrimage : The Ayyappa Cultus and Sabarimala Yatra” which has established the very </w:t>
      </w:r>
      <w:r>
        <w:rPr>
          <w:i/>
        </w:rPr>
        <w:t xml:space="preserve">raison d’etre </w:t>
      </w:r>
      <w:r>
        <w:t>for the existence of the denominational Temple of Sabarimala bas</w:t>
      </w:r>
      <w:r>
        <w:t>ed upon deep penance, celibacy and abstinence by all visitors, male and female. The respondent no. 2 has also drawn the attention of the Court to the fact that the Sabarimala temple is open only during specific defined periods, that is, on the Malayalam mo</w:t>
      </w:r>
      <w:r>
        <w:t>nth viz. 17</w:t>
      </w:r>
      <w:r>
        <w:rPr>
          <w:position w:val="7"/>
          <w:sz w:val="18"/>
        </w:rPr>
        <w:t xml:space="preserve">th </w:t>
      </w:r>
      <w:r>
        <w:t>November to 26th December, for the first five days of each Malayalam month which starts approximately in the middle of each English calendar month and also during the period of Makar Sankranti, viz. approximately from January 1 to mid- Januar</w:t>
      </w:r>
      <w:r>
        <w:t>y of each</w:t>
      </w:r>
      <w:r>
        <w:rPr>
          <w:spacing w:val="-9"/>
        </w:rPr>
        <w:t xml:space="preserve"> </w:t>
      </w:r>
      <w:r>
        <w:t>year.</w:t>
      </w:r>
    </w:p>
    <w:p w:rsidR="003B2FC0" w:rsidRDefault="00052A49">
      <w:pPr>
        <w:pStyle w:val="BodyText"/>
        <w:ind w:left="500"/>
        <w:rPr>
          <w:b/>
        </w:rPr>
      </w:pPr>
      <w:r>
        <w:rPr>
          <w:b/>
          <w:u w:val="single"/>
        </w:rPr>
        <w:t>Submissions on behalf of Respondent No. 4</w:t>
      </w:r>
    </w:p>
    <w:p w:rsidR="003B2FC0" w:rsidRDefault="003B2FC0">
      <w:pPr>
        <w:pStyle w:val="BodyText"/>
        <w:spacing w:before="1"/>
        <w:rPr>
          <w:b/>
        </w:rPr>
      </w:pPr>
    </w:p>
    <w:p w:rsidR="003B2FC0" w:rsidRDefault="00052A49">
      <w:pPr>
        <w:pStyle w:val="ListParagraph"/>
        <w:numPr>
          <w:ilvl w:val="0"/>
          <w:numId w:val="60"/>
        </w:numPr>
        <w:tabs>
          <w:tab w:val="left" w:pos="1221"/>
        </w:tabs>
        <w:spacing w:line="480" w:lineRule="auto"/>
        <w:ind w:right="273" w:firstLine="0"/>
        <w:jc w:val="both"/>
        <w:rPr>
          <w:rFonts w:ascii="Bookman Old Style"/>
          <w:sz w:val="28"/>
        </w:rPr>
      </w:pPr>
      <w:r>
        <w:rPr>
          <w:rFonts w:ascii="Bookman Old Style"/>
          <w:sz w:val="28"/>
        </w:rPr>
        <w:t>At the outset, the respondent no. 4 has drawn the attention of the Court to the history of Kerala in general and Sabarimala in particular and has highlighted the existence of stone</w:t>
      </w:r>
      <w:r>
        <w:rPr>
          <w:rFonts w:ascii="Bookman Old Style"/>
          <w:spacing w:val="76"/>
          <w:sz w:val="28"/>
        </w:rPr>
        <w:t xml:space="preserve"> </w:t>
      </w:r>
      <w:r>
        <w:rPr>
          <w:rFonts w:ascii="Bookman Old Style"/>
          <w:sz w:val="28"/>
        </w:rPr>
        <w:t>inscriptions</w:t>
      </w:r>
    </w:p>
    <w:p w:rsidR="003B2FC0" w:rsidRDefault="003B2FC0">
      <w:pPr>
        <w:spacing w:line="480" w:lineRule="auto"/>
        <w:jc w:val="both"/>
        <w:rPr>
          <w:rFonts w:ascii="Bookman Old Style"/>
          <w:sz w:val="28"/>
        </w:rPr>
        <w:sectPr w:rsidR="003B2FC0">
          <w:headerReference w:type="default" r:id="rId63"/>
          <w:footerReference w:type="default" r:id="rId64"/>
          <w:pgSz w:w="11910" w:h="16840"/>
          <w:pgMar w:top="1340" w:right="1160" w:bottom="280" w:left="940" w:header="554" w:footer="0" w:gutter="0"/>
          <w:pgNumType w:start="30"/>
          <w:cols w:space="720"/>
        </w:sectPr>
      </w:pPr>
    </w:p>
    <w:p w:rsidR="003B2FC0" w:rsidRDefault="00052A49">
      <w:pPr>
        <w:pStyle w:val="BodyText"/>
        <w:spacing w:before="93" w:line="480" w:lineRule="auto"/>
        <w:ind w:left="500" w:right="274"/>
        <w:jc w:val="both"/>
      </w:pPr>
      <w:r>
        <w:t>which state that the priest Kantaru Prabhakaru had made an  idol consecration at Sabarimala years back and after the  rampage of fire at Sabarimala, it was Kantaru Shankaru who consecrated the existing idol in Sabari</w:t>
      </w:r>
      <w:r>
        <w:t>mala. The respondent no. 4 has submitted that the Thantri is the vedic head priest of Hindu temples in Kerala and the popularity of any temple depends to a great extent on the Thantri and Santhikkaran (Archaka) who must be able to induce a spiritual revere</w:t>
      </w:r>
      <w:r>
        <w:t>nce among worshippers and explain the significance of the Mantras they recite and poojas they</w:t>
      </w:r>
      <w:r>
        <w:rPr>
          <w:spacing w:val="-3"/>
        </w:rPr>
        <w:t xml:space="preserve"> </w:t>
      </w:r>
      <w:r>
        <w:t>perform.</w:t>
      </w:r>
    </w:p>
    <w:p w:rsidR="003B2FC0" w:rsidRDefault="00052A49">
      <w:pPr>
        <w:pStyle w:val="ListParagraph"/>
        <w:numPr>
          <w:ilvl w:val="0"/>
          <w:numId w:val="60"/>
        </w:numPr>
        <w:tabs>
          <w:tab w:val="left" w:pos="1221"/>
        </w:tabs>
        <w:spacing w:before="1" w:line="480" w:lineRule="auto"/>
        <w:ind w:right="272" w:firstLine="0"/>
        <w:jc w:val="both"/>
        <w:rPr>
          <w:rFonts w:ascii="Bookman Old Style" w:hAnsi="Bookman Old Style"/>
          <w:sz w:val="28"/>
        </w:rPr>
      </w:pPr>
      <w:r>
        <w:rPr>
          <w:rFonts w:ascii="Bookman Old Style" w:hAnsi="Bookman Old Style"/>
          <w:sz w:val="28"/>
        </w:rPr>
        <w:t xml:space="preserve">The respondent no. 4 has averred that the custom and usage of young women (aged between 10 to 50 years) not being allowed to enter the Sabarimala temple </w:t>
      </w:r>
      <w:r>
        <w:rPr>
          <w:rFonts w:ascii="Bookman Old Style" w:hAnsi="Bookman Old Style"/>
          <w:sz w:val="28"/>
        </w:rPr>
        <w:t xml:space="preserve">has its traces in the basic tenets of the establishment of the temple, the deification of Lord Ayyappa and His worship. As per the respondent no. 4, Ayyappa had explained the manner in which the Sabarimala pilgrimage </w:t>
      </w:r>
      <w:r>
        <w:rPr>
          <w:rFonts w:ascii="Bookman Old Style" w:hAnsi="Bookman Old Style"/>
          <w:sz w:val="28"/>
        </w:rPr>
        <w:t>was</w:t>
      </w:r>
      <w:r>
        <w:rPr>
          <w:rFonts w:ascii="Bookman Old Style" w:hAnsi="Bookman Old Style"/>
          <w:spacing w:val="40"/>
          <w:sz w:val="28"/>
        </w:rPr>
        <w:t xml:space="preserve"> </w:t>
      </w:r>
      <w:r>
        <w:rPr>
          <w:rFonts w:ascii="Bookman Old Style" w:hAnsi="Bookman Old Style"/>
          <w:spacing w:val="-2"/>
          <w:sz w:val="28"/>
        </w:rPr>
        <w:t>t</w:t>
      </w:r>
      <w:r>
        <w:rPr>
          <w:rFonts w:ascii="Bookman Old Style" w:hAnsi="Bookman Old Style"/>
          <w:sz w:val="28"/>
        </w:rPr>
        <w:t>o</w:t>
      </w:r>
      <w:r>
        <w:rPr>
          <w:rFonts w:ascii="Bookman Old Style" w:hAnsi="Bookman Old Style"/>
          <w:spacing w:val="38"/>
          <w:sz w:val="28"/>
        </w:rPr>
        <w:t xml:space="preserve"> </w:t>
      </w:r>
      <w:r>
        <w:rPr>
          <w:rFonts w:ascii="Bookman Old Style" w:hAnsi="Bookman Old Style"/>
          <w:spacing w:val="-2"/>
          <w:sz w:val="28"/>
        </w:rPr>
        <w:t>b</w:t>
      </w:r>
      <w:r>
        <w:rPr>
          <w:rFonts w:ascii="Bookman Old Style" w:hAnsi="Bookman Old Style"/>
          <w:sz w:val="28"/>
        </w:rPr>
        <w:t>e</w:t>
      </w:r>
      <w:r>
        <w:rPr>
          <w:rFonts w:ascii="Bookman Old Style" w:hAnsi="Bookman Old Style"/>
          <w:spacing w:val="39"/>
          <w:sz w:val="28"/>
        </w:rPr>
        <w:t xml:space="preserve"> </w:t>
      </w:r>
      <w:r>
        <w:rPr>
          <w:rFonts w:ascii="Bookman Old Style" w:hAnsi="Bookman Old Style"/>
          <w:sz w:val="28"/>
        </w:rPr>
        <w:t>u</w:t>
      </w:r>
      <w:r>
        <w:rPr>
          <w:rFonts w:ascii="Bookman Old Style" w:hAnsi="Bookman Old Style"/>
          <w:spacing w:val="-3"/>
          <w:sz w:val="28"/>
        </w:rPr>
        <w:t>n</w:t>
      </w:r>
      <w:r>
        <w:rPr>
          <w:rFonts w:ascii="Bookman Old Style" w:hAnsi="Bookman Old Style"/>
          <w:spacing w:val="-2"/>
          <w:sz w:val="28"/>
        </w:rPr>
        <w:t>d</w:t>
      </w:r>
      <w:r>
        <w:rPr>
          <w:rFonts w:ascii="Bookman Old Style" w:hAnsi="Bookman Old Style"/>
          <w:spacing w:val="2"/>
          <w:sz w:val="28"/>
        </w:rPr>
        <w:t>e</w:t>
      </w:r>
      <w:r>
        <w:rPr>
          <w:rFonts w:ascii="Bookman Old Style" w:hAnsi="Bookman Old Style"/>
          <w:spacing w:val="-2"/>
          <w:sz w:val="28"/>
        </w:rPr>
        <w:t>rt</w:t>
      </w:r>
      <w:r>
        <w:rPr>
          <w:rFonts w:ascii="Bookman Old Style" w:hAnsi="Bookman Old Style"/>
          <w:spacing w:val="-1"/>
          <w:sz w:val="28"/>
        </w:rPr>
        <w:t>ak</w:t>
      </w:r>
      <w:r>
        <w:rPr>
          <w:rFonts w:ascii="Bookman Old Style" w:hAnsi="Bookman Old Style"/>
          <w:spacing w:val="2"/>
          <w:sz w:val="28"/>
        </w:rPr>
        <w:t>e</w:t>
      </w:r>
      <w:r>
        <w:rPr>
          <w:rFonts w:ascii="Bookman Old Style" w:hAnsi="Bookman Old Style"/>
          <w:sz w:val="28"/>
        </w:rPr>
        <w:t>n</w:t>
      </w:r>
      <w:r>
        <w:rPr>
          <w:rFonts w:ascii="Bookman Old Style" w:hAnsi="Bookman Old Style"/>
          <w:spacing w:val="36"/>
          <w:sz w:val="28"/>
        </w:rPr>
        <w:t xml:space="preserve"> </w:t>
      </w:r>
      <w:r>
        <w:rPr>
          <w:rFonts w:ascii="Bookman Old Style" w:hAnsi="Bookman Old Style"/>
          <w:sz w:val="28"/>
        </w:rPr>
        <w:t>e</w:t>
      </w:r>
      <w:r>
        <w:rPr>
          <w:rFonts w:ascii="Bookman Old Style" w:hAnsi="Bookman Old Style"/>
          <w:spacing w:val="-2"/>
          <w:sz w:val="28"/>
        </w:rPr>
        <w:t>m</w:t>
      </w:r>
      <w:r>
        <w:rPr>
          <w:rFonts w:ascii="Bookman Old Style" w:hAnsi="Bookman Old Style"/>
          <w:sz w:val="28"/>
        </w:rPr>
        <w:t>p</w:t>
      </w:r>
      <w:r>
        <w:rPr>
          <w:rFonts w:ascii="Bookman Old Style" w:hAnsi="Bookman Old Style"/>
          <w:spacing w:val="-1"/>
          <w:sz w:val="28"/>
        </w:rPr>
        <w:t>hasizi</w:t>
      </w:r>
      <w:r>
        <w:rPr>
          <w:rFonts w:ascii="Bookman Old Style" w:hAnsi="Bookman Old Style"/>
          <w:spacing w:val="-4"/>
          <w:sz w:val="28"/>
        </w:rPr>
        <w:t>n</w:t>
      </w:r>
      <w:r>
        <w:rPr>
          <w:rFonts w:ascii="Bookman Old Style" w:hAnsi="Bookman Old Style"/>
          <w:sz w:val="28"/>
        </w:rPr>
        <w:t>g</w:t>
      </w:r>
      <w:r>
        <w:rPr>
          <w:rFonts w:ascii="Bookman Old Style" w:hAnsi="Bookman Old Style"/>
          <w:spacing w:val="39"/>
          <w:sz w:val="28"/>
        </w:rPr>
        <w:t xml:space="preserve"> </w:t>
      </w:r>
      <w:r>
        <w:rPr>
          <w:rFonts w:ascii="Bookman Old Style" w:hAnsi="Bookman Old Style"/>
          <w:spacing w:val="-2"/>
          <w:sz w:val="28"/>
        </w:rPr>
        <w:t>t</w:t>
      </w:r>
      <w:r>
        <w:rPr>
          <w:rFonts w:ascii="Bookman Old Style" w:hAnsi="Bookman Old Style"/>
          <w:spacing w:val="-1"/>
          <w:sz w:val="28"/>
        </w:rPr>
        <w:t>h</w:t>
      </w:r>
      <w:r>
        <w:rPr>
          <w:rFonts w:ascii="Bookman Old Style" w:hAnsi="Bookman Old Style"/>
          <w:sz w:val="28"/>
        </w:rPr>
        <w:t>e</w:t>
      </w:r>
      <w:r>
        <w:rPr>
          <w:rFonts w:ascii="Bookman Old Style" w:hAnsi="Bookman Old Style"/>
          <w:spacing w:val="41"/>
          <w:sz w:val="28"/>
        </w:rPr>
        <w:t xml:space="preserve"> </w:t>
      </w:r>
      <w:r>
        <w:rPr>
          <w:rFonts w:ascii="Bookman Old Style" w:hAnsi="Bookman Old Style"/>
          <w:spacing w:val="-3"/>
          <w:sz w:val="28"/>
        </w:rPr>
        <w:t>i</w:t>
      </w:r>
      <w:r>
        <w:rPr>
          <w:rFonts w:ascii="Bookman Old Style" w:hAnsi="Bookman Old Style"/>
          <w:sz w:val="28"/>
        </w:rPr>
        <w:t>m</w:t>
      </w:r>
      <w:r>
        <w:rPr>
          <w:rFonts w:ascii="Bookman Old Style" w:hAnsi="Bookman Old Style"/>
          <w:spacing w:val="-2"/>
          <w:sz w:val="28"/>
        </w:rPr>
        <w:t>p</w:t>
      </w:r>
      <w:r>
        <w:rPr>
          <w:rFonts w:ascii="Bookman Old Style" w:hAnsi="Bookman Old Style"/>
          <w:sz w:val="28"/>
        </w:rPr>
        <w:t>o</w:t>
      </w:r>
      <w:r>
        <w:rPr>
          <w:rFonts w:ascii="Bookman Old Style" w:hAnsi="Bookman Old Style"/>
          <w:spacing w:val="-2"/>
          <w:sz w:val="28"/>
        </w:rPr>
        <w:t>rt</w:t>
      </w:r>
      <w:r>
        <w:rPr>
          <w:rFonts w:ascii="Bookman Old Style" w:hAnsi="Bookman Old Style"/>
          <w:spacing w:val="-1"/>
          <w:sz w:val="28"/>
        </w:rPr>
        <w:t>an</w:t>
      </w:r>
      <w:r>
        <w:rPr>
          <w:rFonts w:ascii="Bookman Old Style" w:hAnsi="Bookman Old Style"/>
          <w:spacing w:val="-3"/>
          <w:sz w:val="28"/>
        </w:rPr>
        <w:t>c</w:t>
      </w:r>
      <w:r>
        <w:rPr>
          <w:rFonts w:ascii="Bookman Old Style" w:hAnsi="Bookman Old Style"/>
          <w:sz w:val="28"/>
        </w:rPr>
        <w:t>e</w:t>
      </w:r>
      <w:r>
        <w:rPr>
          <w:rFonts w:ascii="Bookman Old Style" w:hAnsi="Bookman Old Style"/>
          <w:spacing w:val="40"/>
          <w:sz w:val="28"/>
        </w:rPr>
        <w:t xml:space="preserve"> </w:t>
      </w:r>
      <w:r>
        <w:rPr>
          <w:rFonts w:ascii="Bookman Old Style" w:hAnsi="Bookman Old Style"/>
          <w:sz w:val="28"/>
        </w:rPr>
        <w:t>of</w:t>
      </w:r>
      <w:r>
        <w:rPr>
          <w:rFonts w:ascii="Bookman Old Style" w:hAnsi="Bookman Old Style"/>
          <w:spacing w:val="38"/>
          <w:sz w:val="28"/>
        </w:rPr>
        <w:t xml:space="preserve"> </w:t>
      </w:r>
      <w:r>
        <w:rPr>
          <w:rFonts w:ascii="Bookman Old Style" w:hAnsi="Bookman Old Style"/>
          <w:spacing w:val="-1"/>
          <w:w w:val="83"/>
          <w:sz w:val="28"/>
        </w:rPr>
        <w:t>„</w:t>
      </w:r>
      <w:r>
        <w:rPr>
          <w:rFonts w:ascii="Bookman Old Style" w:hAnsi="Bookman Old Style"/>
          <w:w w:val="83"/>
          <w:sz w:val="28"/>
        </w:rPr>
        <w:t>V</w:t>
      </w:r>
      <w:r>
        <w:rPr>
          <w:rFonts w:ascii="Bookman Old Style" w:hAnsi="Bookman Old Style"/>
          <w:spacing w:val="-4"/>
          <w:sz w:val="28"/>
        </w:rPr>
        <w:t>r</w:t>
      </w:r>
      <w:r>
        <w:rPr>
          <w:rFonts w:ascii="Bookman Old Style" w:hAnsi="Bookman Old Style"/>
          <w:sz w:val="28"/>
        </w:rPr>
        <w:t>u</w:t>
      </w:r>
      <w:r>
        <w:rPr>
          <w:rFonts w:ascii="Bookman Old Style" w:hAnsi="Bookman Old Style"/>
          <w:spacing w:val="-2"/>
          <w:sz w:val="28"/>
        </w:rPr>
        <w:t>t</w:t>
      </w:r>
      <w:r>
        <w:rPr>
          <w:rFonts w:ascii="Bookman Old Style" w:hAnsi="Bookman Old Style"/>
          <w:spacing w:val="-1"/>
          <w:sz w:val="28"/>
        </w:rPr>
        <w:t>ha</w:t>
      </w:r>
      <w:r>
        <w:rPr>
          <w:rFonts w:ascii="Bookman Old Style" w:hAnsi="Bookman Old Style"/>
          <w:spacing w:val="-3"/>
          <w:sz w:val="28"/>
        </w:rPr>
        <w:t>m</w:t>
      </w:r>
      <w:r>
        <w:rPr>
          <w:rFonts w:ascii="Bookman Old Style" w:hAnsi="Bookman Old Style"/>
          <w:w w:val="29"/>
          <w:sz w:val="28"/>
        </w:rPr>
        <w:t>‟</w:t>
      </w:r>
      <w:r>
        <w:rPr>
          <w:rFonts w:ascii="Bookman Old Style" w:hAnsi="Bookman Old Style"/>
          <w:w w:val="29"/>
          <w:sz w:val="28"/>
        </w:rPr>
        <w:t xml:space="preserve"> </w:t>
      </w:r>
      <w:r>
        <w:rPr>
          <w:rFonts w:ascii="Bookman Old Style" w:hAnsi="Bookman Old Style"/>
          <w:sz w:val="28"/>
        </w:rPr>
        <w:t>which are special observances that need to be followed in order to achieve</w:t>
      </w:r>
      <w:r>
        <w:rPr>
          <w:rFonts w:ascii="Bookman Old Style" w:hAnsi="Bookman Old Style"/>
          <w:spacing w:val="-9"/>
          <w:sz w:val="28"/>
        </w:rPr>
        <w:t xml:space="preserve"> </w:t>
      </w:r>
      <w:r>
        <w:rPr>
          <w:rFonts w:ascii="Bookman Old Style" w:hAnsi="Bookman Old Style"/>
          <w:sz w:val="28"/>
        </w:rPr>
        <w:t>spiritual</w:t>
      </w:r>
      <w:r>
        <w:rPr>
          <w:rFonts w:ascii="Bookman Old Style" w:hAnsi="Bookman Old Style"/>
          <w:spacing w:val="-11"/>
          <w:sz w:val="28"/>
        </w:rPr>
        <w:t xml:space="preserve"> </w:t>
      </w:r>
      <w:r>
        <w:rPr>
          <w:rFonts w:ascii="Bookman Old Style" w:hAnsi="Bookman Old Style"/>
          <w:sz w:val="28"/>
        </w:rPr>
        <w:t>refinement,</w:t>
      </w:r>
      <w:r>
        <w:rPr>
          <w:rFonts w:ascii="Bookman Old Style" w:hAnsi="Bookman Old Style"/>
          <w:spacing w:val="-10"/>
          <w:sz w:val="28"/>
        </w:rPr>
        <w:t xml:space="preserve"> </w:t>
      </w:r>
      <w:r>
        <w:rPr>
          <w:rFonts w:ascii="Bookman Old Style" w:hAnsi="Bookman Old Style"/>
          <w:sz w:val="28"/>
        </w:rPr>
        <w:t>and</w:t>
      </w:r>
      <w:r>
        <w:rPr>
          <w:rFonts w:ascii="Bookman Old Style" w:hAnsi="Bookman Old Style"/>
          <w:spacing w:val="-8"/>
          <w:sz w:val="28"/>
        </w:rPr>
        <w:t xml:space="preserve"> </w:t>
      </w:r>
      <w:r>
        <w:rPr>
          <w:rFonts w:ascii="Bookman Old Style" w:hAnsi="Bookman Old Style"/>
          <w:sz w:val="28"/>
        </w:rPr>
        <w:t>that</w:t>
      </w:r>
      <w:r>
        <w:rPr>
          <w:rFonts w:ascii="Bookman Old Style" w:hAnsi="Bookman Old Style"/>
          <w:spacing w:val="-9"/>
          <w:sz w:val="28"/>
        </w:rPr>
        <w:t xml:space="preserve"> </w:t>
      </w:r>
      <w:r>
        <w:rPr>
          <w:rFonts w:ascii="Bookman Old Style" w:hAnsi="Bookman Old Style"/>
          <w:sz w:val="28"/>
        </w:rPr>
        <w:t>as</w:t>
      </w:r>
      <w:r>
        <w:rPr>
          <w:rFonts w:ascii="Bookman Old Style" w:hAnsi="Bookman Old Style"/>
          <w:spacing w:val="-8"/>
          <w:sz w:val="28"/>
        </w:rPr>
        <w:t xml:space="preserve"> </w:t>
      </w:r>
      <w:r>
        <w:rPr>
          <w:rFonts w:ascii="Bookman Old Style" w:hAnsi="Bookman Old Style"/>
          <w:sz w:val="28"/>
        </w:rPr>
        <w:t>a</w:t>
      </w:r>
      <w:r>
        <w:rPr>
          <w:rFonts w:ascii="Bookman Old Style" w:hAnsi="Bookman Old Style"/>
          <w:spacing w:val="-10"/>
          <w:sz w:val="28"/>
        </w:rPr>
        <w:t xml:space="preserve"> </w:t>
      </w:r>
      <w:r>
        <w:rPr>
          <w:rFonts w:ascii="Bookman Old Style" w:hAnsi="Bookman Old Style"/>
          <w:sz w:val="28"/>
        </w:rPr>
        <w:t>part</w:t>
      </w:r>
      <w:r>
        <w:rPr>
          <w:rFonts w:ascii="Bookman Old Style" w:hAnsi="Bookman Old Style"/>
          <w:spacing w:val="-11"/>
          <w:sz w:val="28"/>
        </w:rPr>
        <w:t xml:space="preserve"> </w:t>
      </w:r>
      <w:r>
        <w:rPr>
          <w:rFonts w:ascii="Bookman Old Style" w:hAnsi="Bookman Old Style"/>
          <w:sz w:val="28"/>
        </w:rPr>
        <w:t>of</w:t>
      </w:r>
      <w:r>
        <w:rPr>
          <w:rFonts w:ascii="Bookman Old Style" w:hAnsi="Bookman Old Style"/>
          <w:spacing w:val="-9"/>
          <w:sz w:val="28"/>
        </w:rPr>
        <w:t xml:space="preserve"> </w:t>
      </w:r>
      <w:r>
        <w:rPr>
          <w:rFonts w:ascii="Bookman Old Style" w:hAnsi="Bookman Old Style"/>
          <w:sz w:val="28"/>
        </w:rPr>
        <w:t>the</w:t>
      </w:r>
      <w:r>
        <w:rPr>
          <w:rFonts w:ascii="Bookman Old Style" w:hAnsi="Bookman Old Style"/>
          <w:spacing w:val="-10"/>
          <w:sz w:val="28"/>
        </w:rPr>
        <w:t xml:space="preserve"> </w:t>
      </w:r>
      <w:r>
        <w:rPr>
          <w:rFonts w:ascii="Bookman Old Style" w:hAnsi="Bookman Old Style"/>
          <w:spacing w:val="-5"/>
          <w:sz w:val="28"/>
        </w:rPr>
        <w:t xml:space="preserve">„Vruthum‟, </w:t>
      </w:r>
      <w:r>
        <w:rPr>
          <w:rFonts w:ascii="Bookman Old Style" w:hAnsi="Bookman Old Style"/>
          <w:sz w:val="28"/>
        </w:rPr>
        <w:t>the person going on pilgrimage separates himself from all family ties</w:t>
      </w:r>
      <w:r>
        <w:rPr>
          <w:rFonts w:ascii="Bookman Old Style" w:hAnsi="Bookman Old Style"/>
          <w:spacing w:val="62"/>
          <w:sz w:val="28"/>
        </w:rPr>
        <w:t xml:space="preserve"> </w:t>
      </w:r>
      <w:r>
        <w:rPr>
          <w:rFonts w:ascii="Bookman Old Style" w:hAnsi="Bookman Old Style"/>
          <w:sz w:val="28"/>
        </w:rPr>
        <w:t>for</w:t>
      </w:r>
      <w:r>
        <w:rPr>
          <w:rFonts w:ascii="Bookman Old Style" w:hAnsi="Bookman Old Style"/>
          <w:spacing w:val="59"/>
          <w:sz w:val="28"/>
        </w:rPr>
        <w:t xml:space="preserve"> </w:t>
      </w:r>
      <w:r>
        <w:rPr>
          <w:rFonts w:ascii="Bookman Old Style" w:hAnsi="Bookman Old Style"/>
          <w:sz w:val="28"/>
        </w:rPr>
        <w:t>41</w:t>
      </w:r>
      <w:r>
        <w:rPr>
          <w:rFonts w:ascii="Bookman Old Style" w:hAnsi="Bookman Old Style"/>
          <w:spacing w:val="61"/>
          <w:sz w:val="28"/>
        </w:rPr>
        <w:t xml:space="preserve"> </w:t>
      </w:r>
      <w:r>
        <w:rPr>
          <w:rFonts w:ascii="Bookman Old Style" w:hAnsi="Bookman Old Style"/>
          <w:sz w:val="28"/>
        </w:rPr>
        <w:t>days</w:t>
      </w:r>
      <w:r>
        <w:rPr>
          <w:rFonts w:ascii="Bookman Old Style" w:hAnsi="Bookman Old Style"/>
          <w:spacing w:val="60"/>
          <w:sz w:val="28"/>
        </w:rPr>
        <w:t xml:space="preserve"> </w:t>
      </w:r>
      <w:r>
        <w:rPr>
          <w:rFonts w:ascii="Bookman Old Style" w:hAnsi="Bookman Old Style"/>
          <w:sz w:val="28"/>
        </w:rPr>
        <w:t>and</w:t>
      </w:r>
      <w:r>
        <w:rPr>
          <w:rFonts w:ascii="Bookman Old Style" w:hAnsi="Bookman Old Style"/>
          <w:spacing w:val="63"/>
          <w:sz w:val="28"/>
        </w:rPr>
        <w:t xml:space="preserve"> </w:t>
      </w:r>
      <w:r>
        <w:rPr>
          <w:rFonts w:ascii="Bookman Old Style" w:hAnsi="Bookman Old Style"/>
          <w:sz w:val="28"/>
        </w:rPr>
        <w:t>during</w:t>
      </w:r>
      <w:r>
        <w:rPr>
          <w:rFonts w:ascii="Bookman Old Style" w:hAnsi="Bookman Old Style"/>
          <w:spacing w:val="62"/>
          <w:sz w:val="28"/>
        </w:rPr>
        <w:t xml:space="preserve"> </w:t>
      </w:r>
      <w:r>
        <w:rPr>
          <w:rFonts w:ascii="Bookman Old Style" w:hAnsi="Bookman Old Style"/>
          <w:sz w:val="28"/>
        </w:rPr>
        <w:t>the</w:t>
      </w:r>
      <w:r>
        <w:rPr>
          <w:rFonts w:ascii="Bookman Old Style" w:hAnsi="Bookman Old Style"/>
          <w:spacing w:val="62"/>
          <w:sz w:val="28"/>
        </w:rPr>
        <w:t xml:space="preserve"> </w:t>
      </w:r>
      <w:r>
        <w:rPr>
          <w:rFonts w:ascii="Bookman Old Style" w:hAnsi="Bookman Old Style"/>
          <w:sz w:val="28"/>
        </w:rPr>
        <w:t>said</w:t>
      </w:r>
      <w:r>
        <w:rPr>
          <w:rFonts w:ascii="Bookman Old Style" w:hAnsi="Bookman Old Style"/>
          <w:spacing w:val="62"/>
          <w:sz w:val="28"/>
        </w:rPr>
        <w:t xml:space="preserve"> </w:t>
      </w:r>
      <w:r>
        <w:rPr>
          <w:rFonts w:ascii="Bookman Old Style" w:hAnsi="Bookman Old Style"/>
          <w:sz w:val="28"/>
        </w:rPr>
        <w:t>period</w:t>
      </w:r>
      <w:r>
        <w:rPr>
          <w:rFonts w:ascii="Bookman Old Style" w:hAnsi="Bookman Old Style"/>
          <w:spacing w:val="61"/>
          <w:sz w:val="28"/>
        </w:rPr>
        <w:t xml:space="preserve"> </w:t>
      </w:r>
      <w:r>
        <w:rPr>
          <w:rFonts w:ascii="Bookman Old Style" w:hAnsi="Bookman Old Style"/>
          <w:sz w:val="28"/>
        </w:rPr>
        <w:t>either</w:t>
      </w:r>
      <w:r>
        <w:rPr>
          <w:rFonts w:ascii="Bookman Old Style" w:hAnsi="Bookman Old Style"/>
          <w:spacing w:val="62"/>
          <w:sz w:val="28"/>
        </w:rPr>
        <w:t xml:space="preserve"> </w:t>
      </w:r>
      <w:r>
        <w:rPr>
          <w:rFonts w:ascii="Bookman Old Style" w:hAnsi="Bookman Old Style"/>
          <w:sz w:val="28"/>
        </w:rPr>
        <w:t>the</w:t>
      </w:r>
      <w:r>
        <w:rPr>
          <w:rFonts w:ascii="Bookman Old Style" w:hAnsi="Bookman Old Style"/>
          <w:spacing w:val="65"/>
          <w:sz w:val="28"/>
        </w:rPr>
        <w:t xml:space="preserve"> </w:t>
      </w:r>
      <w:r>
        <w:rPr>
          <w:rFonts w:ascii="Bookman Old Style" w:hAnsi="Bookman Old Style"/>
          <w:sz w:val="28"/>
        </w:rPr>
        <w:t>woman</w:t>
      </w:r>
    </w:p>
    <w:p w:rsidR="003B2FC0" w:rsidRDefault="003B2FC0">
      <w:pPr>
        <w:spacing w:line="480" w:lineRule="auto"/>
        <w:jc w:val="both"/>
        <w:rPr>
          <w:rFonts w:ascii="Bookman Old Style" w:hAnsi="Bookman Old Style"/>
          <w:sz w:val="28"/>
        </w:rPr>
        <w:sectPr w:rsidR="003B2FC0">
          <w:headerReference w:type="default" r:id="rId65"/>
          <w:footerReference w:type="default" r:id="rId66"/>
          <w:pgSz w:w="11910" w:h="16840"/>
          <w:pgMar w:top="1340" w:right="1160" w:bottom="280" w:left="940" w:header="554" w:footer="0" w:gutter="0"/>
          <w:pgNumType w:start="31"/>
          <w:cols w:space="720"/>
        </w:sectPr>
      </w:pPr>
    </w:p>
    <w:p w:rsidR="003B2FC0" w:rsidRDefault="00052A49">
      <w:pPr>
        <w:pStyle w:val="BodyText"/>
        <w:spacing w:before="93" w:line="480" w:lineRule="auto"/>
        <w:ind w:left="500" w:right="272"/>
        <w:jc w:val="both"/>
      </w:pPr>
      <w:r>
        <w:t>leaves the house or the man resides elsewhere in order to separate himself from all family ties. Thereafter, the respondent no. 4 has pointed out that the problem with women is that they cannot complete the 41 days Vruthum as their periods would eventually</w:t>
      </w:r>
      <w:r>
        <w:t xml:space="preserve"> fall within the said period and it is a custom among all Hindus that women do not go to temples or participate in religious activities during periods and the same is substantiated by the statement of the basic Thantric text of temple worshipping in Kerala</w:t>
      </w:r>
      <w:r>
        <w:t xml:space="preserve"> Thantra Samuchayam, Chapter 10, Verse</w:t>
      </w:r>
      <w:r>
        <w:rPr>
          <w:spacing w:val="-18"/>
        </w:rPr>
        <w:t xml:space="preserve"> </w:t>
      </w:r>
      <w:r>
        <w:t>II.</w:t>
      </w:r>
    </w:p>
    <w:p w:rsidR="003B2FC0" w:rsidRDefault="00052A49">
      <w:pPr>
        <w:pStyle w:val="ListParagraph"/>
        <w:numPr>
          <w:ilvl w:val="0"/>
          <w:numId w:val="60"/>
        </w:numPr>
        <w:tabs>
          <w:tab w:val="left" w:pos="1221"/>
        </w:tabs>
        <w:spacing w:line="480" w:lineRule="auto"/>
        <w:ind w:right="273" w:firstLine="0"/>
        <w:jc w:val="both"/>
        <w:rPr>
          <w:rFonts w:ascii="Bookman Old Style"/>
          <w:sz w:val="28"/>
        </w:rPr>
      </w:pPr>
      <w:r>
        <w:rPr>
          <w:rFonts w:ascii="Bookman Old Style"/>
          <w:sz w:val="28"/>
        </w:rPr>
        <w:t>The respondent no. 4 has emphasized that the observance of 41 days Vruthum is a condition precedent for the pilgrimage which has been an age old custom and anyone who cannot fulfill the said Vruthum cannot enter t</w:t>
      </w:r>
      <w:r>
        <w:rPr>
          <w:rFonts w:ascii="Bookman Old Style"/>
          <w:sz w:val="28"/>
        </w:rPr>
        <w:t>he temple and, hence, women who have not attained puberty and those who are in menopause alone can undertake the pilgrimage at Sabarimala. The respondent no. 4 has also averred that the said condition of observance of 41days Vruthum is not applicable to wo</w:t>
      </w:r>
      <w:r>
        <w:rPr>
          <w:rFonts w:ascii="Bookman Old Style"/>
          <w:sz w:val="28"/>
        </w:rPr>
        <w:t>men alone and even men who cannot observe the 41 days Vruthum due to births and deaths in the family, which results in breaking of Vruthum, are also not allowed to take the pilgrimage that</w:t>
      </w:r>
      <w:r>
        <w:rPr>
          <w:rFonts w:ascii="Bookman Old Style"/>
          <w:spacing w:val="-22"/>
          <w:sz w:val="28"/>
        </w:rPr>
        <w:t xml:space="preserve"> </w:t>
      </w:r>
      <w:r>
        <w:rPr>
          <w:rFonts w:ascii="Bookman Old Style"/>
          <w:sz w:val="28"/>
        </w:rPr>
        <w:t>year.</w:t>
      </w:r>
    </w:p>
    <w:p w:rsidR="003B2FC0" w:rsidRDefault="003B2FC0">
      <w:pPr>
        <w:spacing w:line="480" w:lineRule="auto"/>
        <w:jc w:val="both"/>
        <w:rPr>
          <w:rFonts w:ascii="Bookman Old Style"/>
          <w:sz w:val="28"/>
        </w:rPr>
        <w:sectPr w:rsidR="003B2FC0">
          <w:headerReference w:type="default" r:id="rId67"/>
          <w:footerReference w:type="default" r:id="rId68"/>
          <w:pgSz w:w="11910" w:h="16840"/>
          <w:pgMar w:top="1340" w:right="1160" w:bottom="280" w:left="940" w:header="554" w:footer="0" w:gutter="0"/>
          <w:pgNumType w:start="32"/>
          <w:cols w:space="720"/>
        </w:sectPr>
      </w:pPr>
    </w:p>
    <w:p w:rsidR="003B2FC0" w:rsidRDefault="00052A49">
      <w:pPr>
        <w:pStyle w:val="ListParagraph"/>
        <w:numPr>
          <w:ilvl w:val="0"/>
          <w:numId w:val="60"/>
        </w:numPr>
        <w:tabs>
          <w:tab w:val="left" w:pos="1221"/>
        </w:tabs>
        <w:spacing w:before="93" w:line="480" w:lineRule="auto"/>
        <w:ind w:right="273" w:firstLine="0"/>
        <w:jc w:val="both"/>
        <w:rPr>
          <w:rFonts w:ascii="Bookman Old Style"/>
          <w:sz w:val="28"/>
        </w:rPr>
      </w:pPr>
      <w:r>
        <w:rPr>
          <w:rFonts w:ascii="Bookman Old Style"/>
          <w:sz w:val="28"/>
        </w:rPr>
        <w:t>The respondent no.</w:t>
      </w:r>
      <w:r>
        <w:rPr>
          <w:rFonts w:ascii="Bookman Old Style"/>
          <w:sz w:val="28"/>
        </w:rPr>
        <w:t xml:space="preserve"> 4 has also drawn the attention of the Court to the fact that religious customs as well as the traditional science of Ayurveda consider menstrual period as an occasion for rest for women and a period of uncleanliness of the body and during this period, wom</w:t>
      </w:r>
      <w:r>
        <w:rPr>
          <w:rFonts w:ascii="Bookman Old Style"/>
          <w:sz w:val="28"/>
        </w:rPr>
        <w:t>en are affected by several discomforts and, hence, observance of intense spiritual discipline for 41 days is not possible. The respondent no. 4 has also contented that it is for the sake of pilgrims who practise celibacy that young women are not allowed in</w:t>
      </w:r>
      <w:r>
        <w:rPr>
          <w:rFonts w:ascii="Bookman Old Style"/>
          <w:sz w:val="28"/>
        </w:rPr>
        <w:t xml:space="preserve"> the Sabarimala</w:t>
      </w:r>
      <w:r>
        <w:rPr>
          <w:rFonts w:ascii="Bookman Old Style"/>
          <w:spacing w:val="-9"/>
          <w:sz w:val="28"/>
        </w:rPr>
        <w:t xml:space="preserve"> </w:t>
      </w:r>
      <w:r>
        <w:rPr>
          <w:rFonts w:ascii="Bookman Old Style"/>
          <w:sz w:val="28"/>
        </w:rPr>
        <w:t>pilgrimage.</w:t>
      </w:r>
    </w:p>
    <w:p w:rsidR="003B2FC0" w:rsidRDefault="00052A49">
      <w:pPr>
        <w:pStyle w:val="ListParagraph"/>
        <w:numPr>
          <w:ilvl w:val="0"/>
          <w:numId w:val="60"/>
        </w:numPr>
        <w:tabs>
          <w:tab w:val="left" w:pos="1221"/>
        </w:tabs>
        <w:spacing w:line="480" w:lineRule="auto"/>
        <w:ind w:right="276" w:firstLine="0"/>
        <w:jc w:val="both"/>
        <w:rPr>
          <w:rFonts w:ascii="Bookman Old Style"/>
          <w:sz w:val="28"/>
        </w:rPr>
      </w:pPr>
      <w:r>
        <w:rPr>
          <w:rFonts w:ascii="Bookman Old Style"/>
          <w:sz w:val="28"/>
        </w:rPr>
        <w:t>The respondent no. 4, thereafter, contends that the prohibition is not a social discrimination but is only a part of the essential spiritual discipline related to this particular pilgrimage and is clearly intended to keep the mi</w:t>
      </w:r>
      <w:r>
        <w:rPr>
          <w:rFonts w:ascii="Bookman Old Style"/>
          <w:sz w:val="28"/>
        </w:rPr>
        <w:t>nd of the pilgrims away from the distraction related to sex as the dominant objective of the pilgrimage is the creation of circumstances in all respects for the successful practice of spiritual</w:t>
      </w:r>
      <w:r>
        <w:rPr>
          <w:rFonts w:ascii="Bookman Old Style"/>
          <w:spacing w:val="-8"/>
          <w:sz w:val="28"/>
        </w:rPr>
        <w:t xml:space="preserve"> </w:t>
      </w:r>
      <w:r>
        <w:rPr>
          <w:rFonts w:ascii="Bookman Old Style"/>
          <w:sz w:val="28"/>
        </w:rPr>
        <w:t>self-discipline.</w:t>
      </w:r>
    </w:p>
    <w:p w:rsidR="003B2FC0" w:rsidRDefault="00052A49">
      <w:pPr>
        <w:pStyle w:val="ListParagraph"/>
        <w:numPr>
          <w:ilvl w:val="0"/>
          <w:numId w:val="60"/>
        </w:numPr>
        <w:tabs>
          <w:tab w:val="left" w:pos="1221"/>
        </w:tabs>
        <w:ind w:left="1220"/>
        <w:jc w:val="both"/>
        <w:rPr>
          <w:rFonts w:ascii="Bookman Old Style"/>
          <w:sz w:val="28"/>
        </w:rPr>
      </w:pPr>
      <w:r>
        <w:rPr>
          <w:rFonts w:ascii="Bookman Old Style"/>
          <w:sz w:val="28"/>
        </w:rPr>
        <w:t>The</w:t>
      </w:r>
      <w:r>
        <w:rPr>
          <w:rFonts w:ascii="Bookman Old Style"/>
          <w:spacing w:val="16"/>
          <w:sz w:val="28"/>
        </w:rPr>
        <w:t xml:space="preserve"> </w:t>
      </w:r>
      <w:r>
        <w:rPr>
          <w:rFonts w:ascii="Bookman Old Style"/>
          <w:sz w:val="28"/>
        </w:rPr>
        <w:t>respondent</w:t>
      </w:r>
      <w:r>
        <w:rPr>
          <w:rFonts w:ascii="Bookman Old Style"/>
          <w:spacing w:val="15"/>
          <w:sz w:val="28"/>
        </w:rPr>
        <w:t xml:space="preserve"> </w:t>
      </w:r>
      <w:r>
        <w:rPr>
          <w:rFonts w:ascii="Bookman Old Style"/>
          <w:sz w:val="28"/>
        </w:rPr>
        <w:t>no.</w:t>
      </w:r>
      <w:r>
        <w:rPr>
          <w:rFonts w:ascii="Bookman Old Style"/>
          <w:spacing w:val="13"/>
          <w:sz w:val="28"/>
        </w:rPr>
        <w:t xml:space="preserve"> </w:t>
      </w:r>
      <w:r>
        <w:rPr>
          <w:rFonts w:ascii="Bookman Old Style"/>
          <w:sz w:val="28"/>
        </w:rPr>
        <w:t>4</w:t>
      </w:r>
      <w:r>
        <w:rPr>
          <w:rFonts w:ascii="Bookman Old Style"/>
          <w:spacing w:val="15"/>
          <w:sz w:val="28"/>
        </w:rPr>
        <w:t xml:space="preserve"> </w:t>
      </w:r>
      <w:r>
        <w:rPr>
          <w:rFonts w:ascii="Bookman Old Style"/>
          <w:sz w:val="28"/>
        </w:rPr>
        <w:t>has</w:t>
      </w:r>
      <w:r>
        <w:rPr>
          <w:rFonts w:ascii="Bookman Old Style"/>
          <w:spacing w:val="14"/>
          <w:sz w:val="28"/>
        </w:rPr>
        <w:t xml:space="preserve"> </w:t>
      </w:r>
      <w:r>
        <w:rPr>
          <w:rFonts w:ascii="Bookman Old Style"/>
          <w:sz w:val="28"/>
        </w:rPr>
        <w:t>also</w:t>
      </w:r>
      <w:r>
        <w:rPr>
          <w:rFonts w:ascii="Bookman Old Style"/>
          <w:spacing w:val="13"/>
          <w:sz w:val="28"/>
        </w:rPr>
        <w:t xml:space="preserve"> </w:t>
      </w:r>
      <w:r>
        <w:rPr>
          <w:rFonts w:ascii="Bookman Old Style"/>
          <w:sz w:val="28"/>
        </w:rPr>
        <w:t>averred</w:t>
      </w:r>
      <w:r>
        <w:rPr>
          <w:rFonts w:ascii="Bookman Old Style"/>
          <w:spacing w:val="15"/>
          <w:sz w:val="28"/>
        </w:rPr>
        <w:t xml:space="preserve"> </w:t>
      </w:r>
      <w:r>
        <w:rPr>
          <w:rFonts w:ascii="Bookman Old Style"/>
          <w:sz w:val="28"/>
        </w:rPr>
        <w:t>that</w:t>
      </w:r>
      <w:r>
        <w:rPr>
          <w:rFonts w:ascii="Bookman Old Style"/>
          <w:spacing w:val="13"/>
          <w:sz w:val="28"/>
        </w:rPr>
        <w:t xml:space="preserve"> </w:t>
      </w:r>
      <w:r>
        <w:rPr>
          <w:rFonts w:ascii="Bookman Old Style"/>
          <w:sz w:val="28"/>
        </w:rPr>
        <w:t>for</w:t>
      </w:r>
      <w:r>
        <w:rPr>
          <w:rFonts w:ascii="Bookman Old Style"/>
          <w:spacing w:val="13"/>
          <w:sz w:val="28"/>
        </w:rPr>
        <w:t xml:space="preserve"> </w:t>
      </w:r>
      <w:r>
        <w:rPr>
          <w:rFonts w:ascii="Bookman Old Style"/>
          <w:sz w:val="28"/>
        </w:rPr>
        <w:t>climbing</w:t>
      </w:r>
      <w:r>
        <w:rPr>
          <w:rFonts w:ascii="Bookman Old Style"/>
          <w:spacing w:val="13"/>
          <w:sz w:val="28"/>
        </w:rPr>
        <w:t xml:space="preserve"> </w:t>
      </w:r>
      <w:r>
        <w:rPr>
          <w:rFonts w:ascii="Bookman Old Style"/>
          <w:sz w:val="28"/>
        </w:rPr>
        <w:t>the</w:t>
      </w:r>
    </w:p>
    <w:p w:rsidR="003B2FC0" w:rsidRDefault="003B2FC0">
      <w:pPr>
        <w:pStyle w:val="BodyText"/>
        <w:spacing w:before="3"/>
      </w:pPr>
    </w:p>
    <w:p w:rsidR="003B2FC0" w:rsidRDefault="00052A49">
      <w:pPr>
        <w:pStyle w:val="BodyText"/>
        <w:spacing w:line="480" w:lineRule="auto"/>
        <w:ind w:left="500" w:right="274"/>
        <w:jc w:val="both"/>
      </w:pPr>
      <w:r>
        <w:t xml:space="preserve">18 holy steps, one has to carry the </w:t>
      </w:r>
      <w:r>
        <w:rPr>
          <w:i/>
        </w:rPr>
        <w:t xml:space="preserve">irumudikettu (the sacred package of offerings) </w:t>
      </w:r>
      <w:r>
        <w:t>and for making the pilgrimage really meaningful, austerities for a period of 41 days have to be observed</w:t>
      </w:r>
      <w:r>
        <w:rPr>
          <w:spacing w:val="63"/>
        </w:rPr>
        <w:t xml:space="preserve"> </w:t>
      </w:r>
      <w:r>
        <w:t>and,</w:t>
      </w:r>
      <w:r>
        <w:rPr>
          <w:spacing w:val="61"/>
        </w:rPr>
        <w:t xml:space="preserve"> </w:t>
      </w:r>
      <w:r>
        <w:t>hence,</w:t>
      </w:r>
      <w:r>
        <w:rPr>
          <w:spacing w:val="61"/>
        </w:rPr>
        <w:t xml:space="preserve"> </w:t>
      </w:r>
      <w:r>
        <w:t>for</w:t>
      </w:r>
      <w:r>
        <w:rPr>
          <w:spacing w:val="61"/>
        </w:rPr>
        <w:t xml:space="preserve"> </w:t>
      </w:r>
      <w:r>
        <w:t>a</w:t>
      </w:r>
      <w:r>
        <w:rPr>
          <w:spacing w:val="62"/>
        </w:rPr>
        <w:t xml:space="preserve"> </w:t>
      </w:r>
      <w:r>
        <w:t>meaningful</w:t>
      </w:r>
      <w:r>
        <w:rPr>
          <w:spacing w:val="62"/>
        </w:rPr>
        <w:t xml:space="preserve"> </w:t>
      </w:r>
      <w:r>
        <w:t>pilgrimage,</w:t>
      </w:r>
      <w:r>
        <w:rPr>
          <w:spacing w:val="61"/>
        </w:rPr>
        <w:t xml:space="preserve"> </w:t>
      </w:r>
      <w:r>
        <w:t>it</w:t>
      </w:r>
      <w:r>
        <w:rPr>
          <w:spacing w:val="61"/>
        </w:rPr>
        <w:t xml:space="preserve"> </w:t>
      </w:r>
      <w:r>
        <w:t>is</w:t>
      </w:r>
      <w:r>
        <w:rPr>
          <w:spacing w:val="62"/>
        </w:rPr>
        <w:t xml:space="preserve"> </w:t>
      </w:r>
      <w:r>
        <w:t>always</w:t>
      </w:r>
    </w:p>
    <w:p w:rsidR="003B2FC0" w:rsidRDefault="003B2FC0">
      <w:pPr>
        <w:spacing w:line="480" w:lineRule="auto"/>
        <w:jc w:val="both"/>
        <w:sectPr w:rsidR="003B2FC0">
          <w:headerReference w:type="default" r:id="rId69"/>
          <w:footerReference w:type="default" r:id="rId70"/>
          <w:pgSz w:w="11910" w:h="16840"/>
          <w:pgMar w:top="1340" w:right="1160" w:bottom="280" w:left="940" w:header="554" w:footer="0" w:gutter="0"/>
          <w:pgNumType w:start="33"/>
          <w:cols w:space="720"/>
        </w:sectPr>
      </w:pPr>
    </w:p>
    <w:p w:rsidR="003B2FC0" w:rsidRDefault="00052A49">
      <w:pPr>
        <w:pStyle w:val="BodyText"/>
        <w:spacing w:before="93" w:line="480" w:lineRule="auto"/>
        <w:ind w:left="500" w:right="282"/>
        <w:jc w:val="both"/>
      </w:pPr>
      <w:r>
        <w:t>prudent if women of the forbidden age group hold themselves back.</w:t>
      </w:r>
    </w:p>
    <w:p w:rsidR="003B2FC0" w:rsidRDefault="00052A49">
      <w:pPr>
        <w:pStyle w:val="ListParagraph"/>
        <w:numPr>
          <w:ilvl w:val="0"/>
          <w:numId w:val="60"/>
        </w:numPr>
        <w:tabs>
          <w:tab w:val="left" w:pos="1221"/>
        </w:tabs>
        <w:spacing w:line="480" w:lineRule="auto"/>
        <w:ind w:right="273" w:firstLine="0"/>
        <w:jc w:val="both"/>
        <w:rPr>
          <w:rFonts w:ascii="Bookman Old Style" w:hAnsi="Bookman Old Style"/>
          <w:sz w:val="28"/>
        </w:rPr>
      </w:pPr>
      <w:r>
        <w:rPr>
          <w:rFonts w:ascii="Bookman Old Style" w:hAnsi="Bookman Old Style"/>
          <w:sz w:val="28"/>
        </w:rPr>
        <w:t>T</w:t>
      </w:r>
      <w:r>
        <w:rPr>
          <w:rFonts w:ascii="Bookman Old Style" w:hAnsi="Bookman Old Style"/>
          <w:spacing w:val="-3"/>
          <w:sz w:val="28"/>
        </w:rPr>
        <w:t>h</w:t>
      </w:r>
      <w:r>
        <w:rPr>
          <w:rFonts w:ascii="Bookman Old Style" w:hAnsi="Bookman Old Style"/>
          <w:sz w:val="28"/>
        </w:rPr>
        <w:t>e</w:t>
      </w:r>
      <w:r>
        <w:rPr>
          <w:rFonts w:ascii="Bookman Old Style" w:hAnsi="Bookman Old Style"/>
          <w:spacing w:val="39"/>
          <w:sz w:val="28"/>
        </w:rPr>
        <w:t xml:space="preserve"> </w:t>
      </w:r>
      <w:r>
        <w:rPr>
          <w:rFonts w:ascii="Bookman Old Style" w:hAnsi="Bookman Old Style"/>
          <w:spacing w:val="-3"/>
          <w:sz w:val="28"/>
        </w:rPr>
        <w:t>r</w:t>
      </w:r>
      <w:r>
        <w:rPr>
          <w:rFonts w:ascii="Bookman Old Style" w:hAnsi="Bookman Old Style"/>
          <w:spacing w:val="2"/>
          <w:sz w:val="28"/>
        </w:rPr>
        <w:t>e</w:t>
      </w:r>
      <w:r>
        <w:rPr>
          <w:rFonts w:ascii="Bookman Old Style" w:hAnsi="Bookman Old Style"/>
          <w:spacing w:val="-2"/>
          <w:sz w:val="28"/>
        </w:rPr>
        <w:t>s</w:t>
      </w:r>
      <w:r>
        <w:rPr>
          <w:rFonts w:ascii="Bookman Old Style" w:hAnsi="Bookman Old Style"/>
          <w:sz w:val="28"/>
        </w:rPr>
        <w:t>po</w:t>
      </w:r>
      <w:r>
        <w:rPr>
          <w:rFonts w:ascii="Bookman Old Style" w:hAnsi="Bookman Old Style"/>
          <w:spacing w:val="-3"/>
          <w:sz w:val="28"/>
        </w:rPr>
        <w:t>n</w:t>
      </w:r>
      <w:r>
        <w:rPr>
          <w:rFonts w:ascii="Bookman Old Style" w:hAnsi="Bookman Old Style"/>
          <w:spacing w:val="-2"/>
          <w:sz w:val="28"/>
        </w:rPr>
        <w:t>d</w:t>
      </w:r>
      <w:r>
        <w:rPr>
          <w:rFonts w:ascii="Bookman Old Style" w:hAnsi="Bookman Old Style"/>
          <w:spacing w:val="2"/>
          <w:sz w:val="28"/>
        </w:rPr>
        <w:t>e</w:t>
      </w:r>
      <w:r>
        <w:rPr>
          <w:rFonts w:ascii="Bookman Old Style" w:hAnsi="Bookman Old Style"/>
          <w:spacing w:val="-1"/>
          <w:sz w:val="28"/>
        </w:rPr>
        <w:t>n</w:t>
      </w:r>
      <w:r>
        <w:rPr>
          <w:rFonts w:ascii="Bookman Old Style" w:hAnsi="Bookman Old Style"/>
          <w:sz w:val="28"/>
        </w:rPr>
        <w:t>t</w:t>
      </w:r>
      <w:r>
        <w:rPr>
          <w:rFonts w:ascii="Bookman Old Style" w:hAnsi="Bookman Old Style"/>
          <w:spacing w:val="37"/>
          <w:sz w:val="28"/>
        </w:rPr>
        <w:t xml:space="preserve"> </w:t>
      </w:r>
      <w:r>
        <w:rPr>
          <w:rFonts w:ascii="Bookman Old Style" w:hAnsi="Bookman Old Style"/>
          <w:spacing w:val="-1"/>
          <w:sz w:val="28"/>
        </w:rPr>
        <w:t>n</w:t>
      </w:r>
      <w:r>
        <w:rPr>
          <w:rFonts w:ascii="Bookman Old Style" w:hAnsi="Bookman Old Style"/>
          <w:sz w:val="28"/>
        </w:rPr>
        <w:t>o.</w:t>
      </w:r>
      <w:r>
        <w:rPr>
          <w:rFonts w:ascii="Bookman Old Style" w:hAnsi="Bookman Old Style"/>
          <w:spacing w:val="36"/>
          <w:sz w:val="28"/>
        </w:rPr>
        <w:t xml:space="preserve"> </w:t>
      </w:r>
      <w:r>
        <w:rPr>
          <w:rFonts w:ascii="Bookman Old Style" w:hAnsi="Bookman Old Style"/>
          <w:sz w:val="28"/>
        </w:rPr>
        <w:t>4</w:t>
      </w:r>
      <w:r>
        <w:rPr>
          <w:rFonts w:ascii="Bookman Old Style" w:hAnsi="Bookman Old Style"/>
          <w:spacing w:val="39"/>
          <w:sz w:val="28"/>
        </w:rPr>
        <w:t xml:space="preserve"> </w:t>
      </w:r>
      <w:r>
        <w:rPr>
          <w:rFonts w:ascii="Bookman Old Style" w:hAnsi="Bookman Old Style"/>
          <w:spacing w:val="-2"/>
          <w:sz w:val="28"/>
        </w:rPr>
        <w:t>f</w:t>
      </w:r>
      <w:r>
        <w:rPr>
          <w:rFonts w:ascii="Bookman Old Style" w:hAnsi="Bookman Old Style"/>
          <w:sz w:val="28"/>
        </w:rPr>
        <w:t>u</w:t>
      </w:r>
      <w:r>
        <w:rPr>
          <w:rFonts w:ascii="Bookman Old Style" w:hAnsi="Bookman Old Style"/>
          <w:spacing w:val="-2"/>
          <w:sz w:val="28"/>
        </w:rPr>
        <w:t>rt</w:t>
      </w:r>
      <w:r>
        <w:rPr>
          <w:rFonts w:ascii="Bookman Old Style" w:hAnsi="Bookman Old Style"/>
          <w:spacing w:val="-1"/>
          <w:sz w:val="28"/>
        </w:rPr>
        <w:t>h</w:t>
      </w:r>
      <w:r>
        <w:rPr>
          <w:rFonts w:ascii="Bookman Old Style" w:hAnsi="Bookman Old Style"/>
          <w:spacing w:val="1"/>
          <w:sz w:val="28"/>
        </w:rPr>
        <w:t>e</w:t>
      </w:r>
      <w:r>
        <w:rPr>
          <w:rFonts w:ascii="Bookman Old Style" w:hAnsi="Bookman Old Style"/>
          <w:sz w:val="28"/>
        </w:rPr>
        <w:t>r</w:t>
      </w:r>
      <w:r>
        <w:rPr>
          <w:rFonts w:ascii="Bookman Old Style" w:hAnsi="Bookman Old Style"/>
          <w:spacing w:val="36"/>
          <w:sz w:val="28"/>
        </w:rPr>
        <w:t xml:space="preserve"> </w:t>
      </w:r>
      <w:r>
        <w:rPr>
          <w:rFonts w:ascii="Bookman Old Style" w:hAnsi="Bookman Old Style"/>
          <w:sz w:val="28"/>
        </w:rPr>
        <w:t>s</w:t>
      </w:r>
      <w:r>
        <w:rPr>
          <w:rFonts w:ascii="Bookman Old Style" w:hAnsi="Bookman Old Style"/>
          <w:spacing w:val="-1"/>
          <w:sz w:val="28"/>
        </w:rPr>
        <w:t>u</w:t>
      </w:r>
      <w:r>
        <w:rPr>
          <w:rFonts w:ascii="Bookman Old Style" w:hAnsi="Bookman Old Style"/>
          <w:sz w:val="28"/>
        </w:rPr>
        <w:t>bmi</w:t>
      </w:r>
      <w:r>
        <w:rPr>
          <w:rFonts w:ascii="Bookman Old Style" w:hAnsi="Bookman Old Style"/>
          <w:spacing w:val="-2"/>
          <w:sz w:val="28"/>
        </w:rPr>
        <w:t>t</w:t>
      </w:r>
      <w:r>
        <w:rPr>
          <w:rFonts w:ascii="Bookman Old Style" w:hAnsi="Bookman Old Style"/>
          <w:sz w:val="28"/>
        </w:rPr>
        <w:t>s</w:t>
      </w:r>
      <w:r>
        <w:rPr>
          <w:rFonts w:ascii="Bookman Old Style" w:hAnsi="Bookman Old Style"/>
          <w:spacing w:val="37"/>
          <w:sz w:val="28"/>
        </w:rPr>
        <w:t xml:space="preserve"> </w:t>
      </w:r>
      <w:r>
        <w:rPr>
          <w:rFonts w:ascii="Bookman Old Style" w:hAnsi="Bookman Old Style"/>
          <w:spacing w:val="-2"/>
          <w:sz w:val="28"/>
        </w:rPr>
        <w:t>t</w:t>
      </w:r>
      <w:r>
        <w:rPr>
          <w:rFonts w:ascii="Bookman Old Style" w:hAnsi="Bookman Old Style"/>
          <w:spacing w:val="-1"/>
          <w:sz w:val="28"/>
        </w:rPr>
        <w:t>ha</w:t>
      </w:r>
      <w:r>
        <w:rPr>
          <w:rFonts w:ascii="Bookman Old Style" w:hAnsi="Bookman Old Style"/>
          <w:sz w:val="28"/>
        </w:rPr>
        <w:t>t</w:t>
      </w:r>
      <w:r>
        <w:rPr>
          <w:rFonts w:ascii="Bookman Old Style" w:hAnsi="Bookman Old Style"/>
          <w:spacing w:val="35"/>
          <w:sz w:val="28"/>
        </w:rPr>
        <w:t xml:space="preserve"> </w:t>
      </w:r>
      <w:r>
        <w:rPr>
          <w:rFonts w:ascii="Bookman Old Style" w:hAnsi="Bookman Old Style"/>
          <w:spacing w:val="-1"/>
          <w:w w:val="94"/>
          <w:sz w:val="28"/>
        </w:rPr>
        <w:t>„devap</w:t>
      </w:r>
      <w:r>
        <w:rPr>
          <w:rFonts w:ascii="Bookman Old Style" w:hAnsi="Bookman Old Style"/>
          <w:spacing w:val="-2"/>
          <w:sz w:val="28"/>
        </w:rPr>
        <w:t>r</w:t>
      </w:r>
      <w:r>
        <w:rPr>
          <w:rFonts w:ascii="Bookman Old Style" w:hAnsi="Bookman Old Style"/>
          <w:spacing w:val="-1"/>
          <w:sz w:val="28"/>
        </w:rPr>
        <w:t>a</w:t>
      </w:r>
      <w:r>
        <w:rPr>
          <w:rFonts w:ascii="Bookman Old Style" w:hAnsi="Bookman Old Style"/>
          <w:spacing w:val="3"/>
          <w:sz w:val="28"/>
        </w:rPr>
        <w:t>s</w:t>
      </w:r>
      <w:r>
        <w:rPr>
          <w:rFonts w:ascii="Bookman Old Style" w:hAnsi="Bookman Old Style"/>
          <w:sz w:val="28"/>
        </w:rPr>
        <w:t>a</w:t>
      </w:r>
      <w:r>
        <w:rPr>
          <w:rFonts w:ascii="Bookman Old Style" w:hAnsi="Bookman Old Style"/>
          <w:spacing w:val="-1"/>
          <w:sz w:val="28"/>
        </w:rPr>
        <w:t>n</w:t>
      </w:r>
      <w:r>
        <w:rPr>
          <w:rFonts w:ascii="Bookman Old Style" w:hAnsi="Bookman Old Style"/>
          <w:spacing w:val="-3"/>
          <w:sz w:val="28"/>
        </w:rPr>
        <w:t>am</w:t>
      </w:r>
      <w:r>
        <w:rPr>
          <w:rFonts w:ascii="Bookman Old Style" w:hAnsi="Bookman Old Style"/>
          <w:w w:val="29"/>
          <w:sz w:val="28"/>
        </w:rPr>
        <w:t>‟</w:t>
      </w:r>
      <w:r>
        <w:rPr>
          <w:rFonts w:ascii="Bookman Old Style" w:hAnsi="Bookman Old Style"/>
          <w:w w:val="29"/>
          <w:sz w:val="28"/>
        </w:rPr>
        <w:t xml:space="preserve"> </w:t>
      </w:r>
      <w:r>
        <w:rPr>
          <w:rFonts w:ascii="Bookman Old Style" w:hAnsi="Bookman Old Style"/>
          <w:sz w:val="28"/>
        </w:rPr>
        <w:t xml:space="preserve">is a ritual performed for answering questions pertaining to religious practices when the Thantris are also unable to take decisions and that „devaprasanams‟ conducted in the past </w:t>
      </w:r>
      <w:r>
        <w:rPr>
          <w:rFonts w:ascii="Bookman Old Style" w:hAnsi="Bookman Old Style"/>
          <w:spacing w:val="-13"/>
          <w:sz w:val="28"/>
        </w:rPr>
        <w:t xml:space="preserve">also </w:t>
      </w:r>
      <w:r>
        <w:rPr>
          <w:rFonts w:ascii="Bookman Old Style" w:hAnsi="Bookman Old Style"/>
          <w:sz w:val="28"/>
        </w:rPr>
        <w:t>reveal that the deity does not want young women to enter the precincts o</w:t>
      </w:r>
      <w:r>
        <w:rPr>
          <w:rFonts w:ascii="Bookman Old Style" w:hAnsi="Bookman Old Style"/>
          <w:sz w:val="28"/>
        </w:rPr>
        <w:t xml:space="preserve">f the temple. As per the respondent no. 4, the philosophy involved in evolving a particular aspect of power in a temple is well reflected in the following </w:t>
      </w:r>
      <w:r>
        <w:rPr>
          <w:rFonts w:ascii="Bookman Old Style" w:hAnsi="Bookman Old Style"/>
          <w:i/>
          <w:sz w:val="28"/>
        </w:rPr>
        <w:t xml:space="preserve">mantra </w:t>
      </w:r>
      <w:r>
        <w:rPr>
          <w:rFonts w:ascii="Bookman Old Style" w:hAnsi="Bookman Old Style"/>
          <w:sz w:val="28"/>
        </w:rPr>
        <w:t>chanting during the infusion of divine</w:t>
      </w:r>
      <w:r>
        <w:rPr>
          <w:rFonts w:ascii="Bookman Old Style" w:hAnsi="Bookman Old Style"/>
          <w:spacing w:val="-3"/>
          <w:sz w:val="28"/>
        </w:rPr>
        <w:t xml:space="preserve"> </w:t>
      </w:r>
      <w:r>
        <w:rPr>
          <w:rFonts w:ascii="Bookman Old Style" w:hAnsi="Bookman Old Style"/>
          <w:sz w:val="28"/>
        </w:rPr>
        <w:t>power:</w:t>
      </w:r>
    </w:p>
    <w:p w:rsidR="003B2FC0" w:rsidRDefault="00052A49">
      <w:pPr>
        <w:pStyle w:val="BodyText"/>
        <w:spacing w:before="1"/>
        <w:ind w:left="1220" w:right="994"/>
        <w:jc w:val="both"/>
      </w:pPr>
      <w:r>
        <w:t xml:space="preserve">“O the Supreme Lord! It is well known that You </w:t>
      </w:r>
      <w:r>
        <w:rPr>
          <w:spacing w:val="-2"/>
        </w:rPr>
        <w:t>p</w:t>
      </w:r>
      <w:r>
        <w:rPr>
          <w:spacing w:val="2"/>
        </w:rPr>
        <w:t>e</w:t>
      </w:r>
      <w:r>
        <w:rPr>
          <w:spacing w:val="-2"/>
        </w:rPr>
        <w:t>r</w:t>
      </w:r>
      <w:r>
        <w:t>v</w:t>
      </w:r>
      <w:r>
        <w:rPr>
          <w:spacing w:val="-2"/>
        </w:rPr>
        <w:t>ad</w:t>
      </w:r>
      <w:r>
        <w:t>e</w:t>
      </w:r>
      <w:r>
        <w:rPr>
          <w:spacing w:val="37"/>
        </w:rPr>
        <w:t xml:space="preserve"> </w:t>
      </w:r>
      <w:r>
        <w:t>e</w:t>
      </w:r>
      <w:r>
        <w:rPr>
          <w:spacing w:val="-2"/>
        </w:rPr>
        <w:t>v</w:t>
      </w:r>
      <w:r>
        <w:rPr>
          <w:spacing w:val="2"/>
        </w:rPr>
        <w:t>e</w:t>
      </w:r>
      <w:r>
        <w:rPr>
          <w:spacing w:val="-2"/>
        </w:rPr>
        <w:t>r</w:t>
      </w:r>
      <w:r>
        <w:rPr>
          <w:spacing w:val="-1"/>
        </w:rPr>
        <w:t>y</w:t>
      </w:r>
      <w:r>
        <w:rPr>
          <w:spacing w:val="-2"/>
        </w:rPr>
        <w:t>t</w:t>
      </w:r>
      <w:r>
        <w:rPr>
          <w:spacing w:val="-1"/>
        </w:rPr>
        <w:t>hi</w:t>
      </w:r>
      <w:r>
        <w:rPr>
          <w:spacing w:val="-2"/>
        </w:rPr>
        <w:t>n</w:t>
      </w:r>
      <w:r>
        <w:t>g</w:t>
      </w:r>
      <w:r>
        <w:rPr>
          <w:spacing w:val="36"/>
        </w:rPr>
        <w:t xml:space="preserve"> </w:t>
      </w:r>
      <w:r>
        <w:rPr>
          <w:spacing w:val="-1"/>
        </w:rPr>
        <w:t>an</w:t>
      </w:r>
      <w:r>
        <w:t>d</w:t>
      </w:r>
      <w:r>
        <w:rPr>
          <w:spacing w:val="35"/>
        </w:rPr>
        <w:t xml:space="preserve"> </w:t>
      </w:r>
      <w:r>
        <w:rPr>
          <w:spacing w:val="2"/>
        </w:rPr>
        <w:t>e</w:t>
      </w:r>
      <w:r>
        <w:rPr>
          <w:spacing w:val="-2"/>
        </w:rPr>
        <w:t>v</w:t>
      </w:r>
      <w:r>
        <w:rPr>
          <w:spacing w:val="2"/>
        </w:rPr>
        <w:t>e</w:t>
      </w:r>
      <w:r>
        <w:rPr>
          <w:spacing w:val="-2"/>
        </w:rPr>
        <w:t>r</w:t>
      </w:r>
      <w:r>
        <w:rPr>
          <w:spacing w:val="-1"/>
        </w:rPr>
        <w:t>y</w:t>
      </w:r>
      <w:r>
        <w:rPr>
          <w:spacing w:val="-2"/>
        </w:rPr>
        <w:t>w</w:t>
      </w:r>
      <w:r>
        <w:rPr>
          <w:spacing w:val="-3"/>
        </w:rPr>
        <w:t>h</w:t>
      </w:r>
      <w:r>
        <w:t>er</w:t>
      </w:r>
      <w:r>
        <w:rPr>
          <w:spacing w:val="1"/>
        </w:rPr>
        <w:t>e</w:t>
      </w:r>
      <w:r>
        <w:rPr>
          <w:w w:val="29"/>
        </w:rPr>
        <w:t>‟</w:t>
      </w:r>
      <w:r>
        <w:rPr>
          <w:spacing w:val="37"/>
        </w:rPr>
        <w:t xml:space="preserve"> </w:t>
      </w:r>
      <w:r>
        <w:rPr>
          <w:spacing w:val="-3"/>
        </w:rPr>
        <w:t>y</w:t>
      </w:r>
      <w:r>
        <w:rPr>
          <w:spacing w:val="2"/>
        </w:rPr>
        <w:t>e</w:t>
      </w:r>
      <w:r>
        <w:t>t</w:t>
      </w:r>
      <w:r>
        <w:rPr>
          <w:spacing w:val="33"/>
        </w:rPr>
        <w:t xml:space="preserve"> </w:t>
      </w:r>
      <w:r>
        <w:t>I</w:t>
      </w:r>
      <w:r>
        <w:rPr>
          <w:spacing w:val="39"/>
        </w:rPr>
        <w:t xml:space="preserve"> </w:t>
      </w:r>
      <w:r>
        <w:rPr>
          <w:spacing w:val="-2"/>
        </w:rPr>
        <w:t>a</w:t>
      </w:r>
      <w:r>
        <w:t>m</w:t>
      </w:r>
      <w:r>
        <w:rPr>
          <w:spacing w:val="37"/>
        </w:rPr>
        <w:t xml:space="preserve"> </w:t>
      </w:r>
      <w:r>
        <w:t>inv</w:t>
      </w:r>
      <w:r>
        <w:rPr>
          <w:spacing w:val="-2"/>
        </w:rPr>
        <w:t>o</w:t>
      </w:r>
      <w:r>
        <w:t>ki</w:t>
      </w:r>
      <w:r>
        <w:rPr>
          <w:spacing w:val="-4"/>
        </w:rPr>
        <w:t>n</w:t>
      </w:r>
      <w:r>
        <w:t xml:space="preserve">g </w:t>
      </w:r>
      <w:r>
        <w:t xml:space="preserve">You in this </w:t>
      </w:r>
      <w:r>
        <w:rPr>
          <w:i/>
        </w:rPr>
        <w:t>bimbham</w:t>
      </w:r>
      <w:r>
        <w:t xml:space="preserve">very much like a fan that gathers and activates the all-pervading air at a particular spot. At the fire latent in wood expresses itself through friction, O Lord be specially active in this </w:t>
      </w:r>
      <w:r>
        <w:rPr>
          <w:i/>
        </w:rPr>
        <w:t>bimbham</w:t>
      </w:r>
      <w:r>
        <w:t>as a result of sacred</w:t>
      </w:r>
      <w:r>
        <w:rPr>
          <w:spacing w:val="-6"/>
        </w:rPr>
        <w:t xml:space="preserve"> </w:t>
      </w:r>
      <w:r>
        <w:t>act.”</w:t>
      </w:r>
    </w:p>
    <w:p w:rsidR="003B2FC0" w:rsidRDefault="003B2FC0">
      <w:pPr>
        <w:pStyle w:val="BodyText"/>
        <w:spacing w:before="1"/>
      </w:pPr>
    </w:p>
    <w:p w:rsidR="003B2FC0" w:rsidRDefault="00052A49">
      <w:pPr>
        <w:pStyle w:val="ListParagraph"/>
        <w:numPr>
          <w:ilvl w:val="0"/>
          <w:numId w:val="60"/>
        </w:numPr>
        <w:tabs>
          <w:tab w:val="left" w:pos="1221"/>
        </w:tabs>
        <w:spacing w:line="480" w:lineRule="auto"/>
        <w:ind w:right="274" w:firstLine="0"/>
        <w:jc w:val="both"/>
        <w:rPr>
          <w:rFonts w:ascii="Bookman Old Style" w:hAnsi="Bookman Old Style"/>
          <w:sz w:val="28"/>
        </w:rPr>
      </w:pPr>
      <w:r>
        <w:rPr>
          <w:rFonts w:ascii="Bookman Old Style" w:hAnsi="Bookman Old Style"/>
          <w:sz w:val="28"/>
        </w:rPr>
        <w:t xml:space="preserve">The respondent no. 4 is of the </w:t>
      </w:r>
      <w:r>
        <w:rPr>
          <w:rFonts w:ascii="Bookman Old Style" w:hAnsi="Bookman Old Style"/>
          <w:sz w:val="28"/>
        </w:rPr>
        <w:t xml:space="preserve">view that it is the particular characteristic of the field of power, its maintenance and impact </w:t>
      </w:r>
      <w:r>
        <w:rPr>
          <w:rFonts w:ascii="Bookman Old Style" w:hAnsi="Bookman Old Style"/>
          <w:sz w:val="28"/>
        </w:rPr>
        <w:t>w</w:t>
      </w:r>
      <w:r>
        <w:rPr>
          <w:rFonts w:ascii="Bookman Old Style" w:hAnsi="Bookman Old Style"/>
          <w:spacing w:val="-2"/>
          <w:sz w:val="28"/>
        </w:rPr>
        <w:t>h</w:t>
      </w:r>
      <w:r>
        <w:rPr>
          <w:rFonts w:ascii="Bookman Old Style" w:hAnsi="Bookman Old Style"/>
          <w:sz w:val="28"/>
        </w:rPr>
        <w:t>ich</w:t>
      </w:r>
      <w:r>
        <w:rPr>
          <w:rFonts w:ascii="Bookman Old Style" w:hAnsi="Bookman Old Style"/>
          <w:sz w:val="28"/>
        </w:rPr>
        <w:t xml:space="preserve">  </w:t>
      </w:r>
      <w:r>
        <w:rPr>
          <w:rFonts w:ascii="Bookman Old Style" w:hAnsi="Bookman Old Style"/>
          <w:spacing w:val="-6"/>
          <w:sz w:val="28"/>
        </w:rPr>
        <w:t xml:space="preserve"> </w:t>
      </w:r>
      <w:r>
        <w:rPr>
          <w:rFonts w:ascii="Bookman Old Style" w:hAnsi="Bookman Old Style"/>
          <w:spacing w:val="-2"/>
          <w:sz w:val="28"/>
        </w:rPr>
        <w:t>t</w:t>
      </w:r>
      <w:r>
        <w:rPr>
          <w:rFonts w:ascii="Bookman Old Style" w:hAnsi="Bookman Old Style"/>
          <w:spacing w:val="-1"/>
          <w:sz w:val="28"/>
        </w:rPr>
        <w:t>h</w:t>
      </w:r>
      <w:r>
        <w:rPr>
          <w:rFonts w:ascii="Bookman Old Style" w:hAnsi="Bookman Old Style"/>
          <w:sz w:val="28"/>
        </w:rPr>
        <w:t>e</w:t>
      </w:r>
      <w:r>
        <w:rPr>
          <w:rFonts w:ascii="Bookman Old Style" w:hAnsi="Bookman Old Style"/>
          <w:sz w:val="28"/>
        </w:rPr>
        <w:t xml:space="preserve">  </w:t>
      </w:r>
      <w:r>
        <w:rPr>
          <w:rFonts w:ascii="Bookman Old Style" w:hAnsi="Bookman Old Style"/>
          <w:spacing w:val="-4"/>
          <w:sz w:val="28"/>
        </w:rPr>
        <w:t xml:space="preserve"> </w:t>
      </w:r>
      <w:r>
        <w:rPr>
          <w:rFonts w:ascii="Bookman Old Style" w:hAnsi="Bookman Old Style"/>
          <w:spacing w:val="-2"/>
          <w:w w:val="55"/>
          <w:sz w:val="28"/>
        </w:rPr>
        <w:t>„</w:t>
      </w:r>
      <w:r>
        <w:rPr>
          <w:rFonts w:ascii="Bookman Old Style" w:hAnsi="Bookman Old Style"/>
          <w:spacing w:val="-2"/>
          <w:sz w:val="28"/>
        </w:rPr>
        <w:t>D</w:t>
      </w:r>
      <w:r>
        <w:rPr>
          <w:rFonts w:ascii="Bookman Old Style" w:hAnsi="Bookman Old Style"/>
          <w:spacing w:val="2"/>
          <w:sz w:val="28"/>
        </w:rPr>
        <w:t>e</w:t>
      </w:r>
      <w:r>
        <w:rPr>
          <w:rFonts w:ascii="Bookman Old Style" w:hAnsi="Bookman Old Style"/>
          <w:spacing w:val="-2"/>
          <w:sz w:val="28"/>
        </w:rPr>
        <w:t>v</w:t>
      </w:r>
      <w:r>
        <w:rPr>
          <w:rFonts w:ascii="Bookman Old Style" w:hAnsi="Bookman Old Style"/>
          <w:spacing w:val="-1"/>
          <w:sz w:val="28"/>
        </w:rPr>
        <w:t>a</w:t>
      </w:r>
      <w:r>
        <w:rPr>
          <w:rFonts w:ascii="Bookman Old Style" w:hAnsi="Bookman Old Style"/>
          <w:spacing w:val="2"/>
          <w:sz w:val="28"/>
        </w:rPr>
        <w:t>p</w:t>
      </w:r>
      <w:r>
        <w:rPr>
          <w:rFonts w:ascii="Bookman Old Style" w:hAnsi="Bookman Old Style"/>
          <w:spacing w:val="-2"/>
          <w:sz w:val="28"/>
        </w:rPr>
        <w:t>r</w:t>
      </w:r>
      <w:r>
        <w:rPr>
          <w:rFonts w:ascii="Bookman Old Style" w:hAnsi="Bookman Old Style"/>
          <w:spacing w:val="-1"/>
          <w:sz w:val="28"/>
        </w:rPr>
        <w:t>a</w:t>
      </w:r>
      <w:r>
        <w:rPr>
          <w:rFonts w:ascii="Bookman Old Style" w:hAnsi="Bookman Old Style"/>
          <w:spacing w:val="-2"/>
          <w:sz w:val="28"/>
        </w:rPr>
        <w:t>s</w:t>
      </w:r>
      <w:r>
        <w:rPr>
          <w:rFonts w:ascii="Bookman Old Style" w:hAnsi="Bookman Old Style"/>
          <w:spacing w:val="-1"/>
          <w:sz w:val="28"/>
        </w:rPr>
        <w:t>ana</w:t>
      </w:r>
      <w:r>
        <w:rPr>
          <w:rFonts w:ascii="Bookman Old Style" w:hAnsi="Bookman Old Style"/>
          <w:spacing w:val="-3"/>
          <w:sz w:val="28"/>
        </w:rPr>
        <w:t>m</w:t>
      </w:r>
      <w:r>
        <w:rPr>
          <w:rFonts w:ascii="Bookman Old Style" w:hAnsi="Bookman Old Style"/>
          <w:w w:val="29"/>
          <w:sz w:val="28"/>
        </w:rPr>
        <w:t>‟</w:t>
      </w:r>
      <w:r>
        <w:rPr>
          <w:rFonts w:ascii="Bookman Old Style" w:hAnsi="Bookman Old Style"/>
          <w:sz w:val="28"/>
        </w:rPr>
        <w:t xml:space="preserve">  </w:t>
      </w:r>
      <w:r>
        <w:rPr>
          <w:rFonts w:ascii="Bookman Old Style" w:hAnsi="Bookman Old Style"/>
          <w:spacing w:val="-5"/>
          <w:sz w:val="28"/>
        </w:rPr>
        <w:t xml:space="preserve"> </w:t>
      </w:r>
      <w:r>
        <w:rPr>
          <w:rFonts w:ascii="Bookman Old Style" w:hAnsi="Bookman Old Style"/>
          <w:spacing w:val="-2"/>
          <w:sz w:val="28"/>
        </w:rPr>
        <w:t>d</w:t>
      </w:r>
      <w:r>
        <w:rPr>
          <w:rFonts w:ascii="Bookman Old Style" w:hAnsi="Bookman Old Style"/>
          <w:spacing w:val="2"/>
          <w:sz w:val="28"/>
        </w:rPr>
        <w:t>e</w:t>
      </w:r>
      <w:r>
        <w:rPr>
          <w:rFonts w:ascii="Bookman Old Style" w:hAnsi="Bookman Old Style"/>
          <w:spacing w:val="-2"/>
          <w:sz w:val="28"/>
        </w:rPr>
        <w:t>a</w:t>
      </w:r>
      <w:r>
        <w:rPr>
          <w:rFonts w:ascii="Bookman Old Style" w:hAnsi="Bookman Old Style"/>
          <w:spacing w:val="-3"/>
          <w:sz w:val="28"/>
        </w:rPr>
        <w:t>l</w:t>
      </w:r>
      <w:r>
        <w:rPr>
          <w:rFonts w:ascii="Bookman Old Style" w:hAnsi="Bookman Old Style"/>
          <w:sz w:val="28"/>
        </w:rPr>
        <w:t>s</w:t>
      </w:r>
      <w:r>
        <w:rPr>
          <w:rFonts w:ascii="Bookman Old Style" w:hAnsi="Bookman Old Style"/>
          <w:sz w:val="28"/>
        </w:rPr>
        <w:t xml:space="preserve">  </w:t>
      </w:r>
      <w:r>
        <w:rPr>
          <w:rFonts w:ascii="Bookman Old Style" w:hAnsi="Bookman Old Style"/>
          <w:spacing w:val="-5"/>
          <w:sz w:val="28"/>
        </w:rPr>
        <w:t xml:space="preserve"> </w:t>
      </w:r>
      <w:r>
        <w:rPr>
          <w:rFonts w:ascii="Bookman Old Style" w:hAnsi="Bookman Old Style"/>
          <w:sz w:val="28"/>
        </w:rPr>
        <w:t>w</w:t>
      </w:r>
      <w:r>
        <w:rPr>
          <w:rFonts w:ascii="Bookman Old Style" w:hAnsi="Bookman Old Style"/>
          <w:spacing w:val="-1"/>
          <w:sz w:val="28"/>
        </w:rPr>
        <w:t>i</w:t>
      </w:r>
      <w:r>
        <w:rPr>
          <w:rFonts w:ascii="Bookman Old Style" w:hAnsi="Bookman Old Style"/>
          <w:spacing w:val="-2"/>
          <w:sz w:val="28"/>
        </w:rPr>
        <w:t>t</w:t>
      </w:r>
      <w:r>
        <w:rPr>
          <w:rFonts w:ascii="Bookman Old Style" w:hAnsi="Bookman Old Style"/>
          <w:sz w:val="28"/>
        </w:rPr>
        <w:t>h</w:t>
      </w:r>
      <w:r>
        <w:rPr>
          <w:rFonts w:ascii="Bookman Old Style" w:hAnsi="Bookman Old Style"/>
          <w:sz w:val="28"/>
        </w:rPr>
        <w:t xml:space="preserve">  </w:t>
      </w:r>
      <w:r>
        <w:rPr>
          <w:rFonts w:ascii="Bookman Old Style" w:hAnsi="Bookman Old Style"/>
          <w:spacing w:val="-6"/>
          <w:sz w:val="28"/>
        </w:rPr>
        <w:t xml:space="preserve"> </w:t>
      </w:r>
      <w:r>
        <w:rPr>
          <w:rFonts w:ascii="Bookman Old Style" w:hAnsi="Bookman Old Style"/>
          <w:spacing w:val="-1"/>
          <w:sz w:val="28"/>
        </w:rPr>
        <w:t>an</w:t>
      </w:r>
      <w:r>
        <w:rPr>
          <w:rFonts w:ascii="Bookman Old Style" w:hAnsi="Bookman Old Style"/>
          <w:sz w:val="28"/>
        </w:rPr>
        <w:t>d</w:t>
      </w:r>
      <w:r>
        <w:rPr>
          <w:rFonts w:ascii="Bookman Old Style" w:hAnsi="Bookman Old Style"/>
          <w:sz w:val="28"/>
        </w:rPr>
        <w:t xml:space="preserve">  </w:t>
      </w:r>
      <w:r>
        <w:rPr>
          <w:rFonts w:ascii="Bookman Old Style" w:hAnsi="Bookman Old Style"/>
          <w:spacing w:val="-5"/>
          <w:sz w:val="28"/>
        </w:rPr>
        <w:t xml:space="preserve"> </w:t>
      </w:r>
      <w:r>
        <w:rPr>
          <w:rFonts w:ascii="Bookman Old Style" w:hAnsi="Bookman Old Style"/>
          <w:spacing w:val="-6"/>
          <w:w w:val="93"/>
          <w:sz w:val="28"/>
        </w:rPr>
        <w:t>„Dev</w:t>
      </w:r>
      <w:r>
        <w:rPr>
          <w:rFonts w:ascii="Bookman Old Style" w:hAnsi="Bookman Old Style"/>
          <w:spacing w:val="-8"/>
          <w:w w:val="93"/>
          <w:sz w:val="28"/>
        </w:rPr>
        <w:t>a</w:t>
      </w:r>
      <w:r>
        <w:rPr>
          <w:rFonts w:ascii="Bookman Old Style" w:hAnsi="Bookman Old Style"/>
          <w:spacing w:val="-1"/>
          <w:sz w:val="28"/>
        </w:rPr>
        <w:t>p</w:t>
      </w:r>
      <w:r>
        <w:rPr>
          <w:rFonts w:ascii="Bookman Old Style" w:hAnsi="Bookman Old Style"/>
          <w:spacing w:val="-7"/>
          <w:sz w:val="28"/>
        </w:rPr>
        <w:t>r</w:t>
      </w:r>
      <w:r>
        <w:rPr>
          <w:rFonts w:ascii="Bookman Old Style" w:hAnsi="Bookman Old Style"/>
          <w:spacing w:val="-5"/>
          <w:sz w:val="28"/>
        </w:rPr>
        <w:t>as</w:t>
      </w:r>
      <w:r>
        <w:rPr>
          <w:rFonts w:ascii="Bookman Old Style" w:hAnsi="Bookman Old Style"/>
          <w:spacing w:val="-6"/>
          <w:sz w:val="28"/>
        </w:rPr>
        <w:t>a</w:t>
      </w:r>
      <w:r>
        <w:rPr>
          <w:rFonts w:ascii="Bookman Old Style" w:hAnsi="Bookman Old Style"/>
          <w:spacing w:val="-8"/>
          <w:sz w:val="28"/>
        </w:rPr>
        <w:t>n</w:t>
      </w:r>
      <w:r>
        <w:rPr>
          <w:rFonts w:ascii="Bookman Old Style" w:hAnsi="Bookman Old Style"/>
          <w:spacing w:val="-6"/>
          <w:w w:val="76"/>
          <w:sz w:val="28"/>
        </w:rPr>
        <w:t>am‟</w:t>
      </w:r>
      <w:r>
        <w:rPr>
          <w:rFonts w:ascii="Bookman Old Style" w:hAnsi="Bookman Old Style"/>
          <w:spacing w:val="-1"/>
          <w:w w:val="76"/>
          <w:sz w:val="28"/>
        </w:rPr>
        <w:t xml:space="preserve"> </w:t>
      </w:r>
      <w:r>
        <w:rPr>
          <w:rFonts w:ascii="Bookman Old Style" w:hAnsi="Bookman Old Style"/>
          <w:sz w:val="28"/>
        </w:rPr>
        <w:t>confirms that the practice of women of particular age group not participating in the temple should be</w:t>
      </w:r>
      <w:r>
        <w:rPr>
          <w:rFonts w:ascii="Bookman Old Style" w:hAnsi="Bookman Old Style"/>
          <w:spacing w:val="-7"/>
          <w:sz w:val="28"/>
        </w:rPr>
        <w:t xml:space="preserve"> </w:t>
      </w:r>
      <w:r>
        <w:rPr>
          <w:rFonts w:ascii="Bookman Old Style" w:hAnsi="Bookman Old Style"/>
          <w:sz w:val="28"/>
        </w:rPr>
        <w:t>maintained.</w:t>
      </w:r>
    </w:p>
    <w:p w:rsidR="003B2FC0" w:rsidRDefault="003B2FC0">
      <w:pPr>
        <w:spacing w:line="480" w:lineRule="auto"/>
        <w:jc w:val="both"/>
        <w:rPr>
          <w:rFonts w:ascii="Bookman Old Style" w:hAnsi="Bookman Old Style"/>
          <w:sz w:val="28"/>
        </w:rPr>
        <w:sectPr w:rsidR="003B2FC0">
          <w:headerReference w:type="default" r:id="rId71"/>
          <w:footerReference w:type="default" r:id="rId72"/>
          <w:pgSz w:w="11910" w:h="16840"/>
          <w:pgMar w:top="1340" w:right="1160" w:bottom="280" w:left="940" w:header="554" w:footer="0" w:gutter="0"/>
          <w:pgNumType w:start="34"/>
          <w:cols w:space="720"/>
        </w:sectPr>
      </w:pPr>
    </w:p>
    <w:p w:rsidR="003B2FC0" w:rsidRDefault="00052A49">
      <w:pPr>
        <w:pStyle w:val="ListParagraph"/>
        <w:numPr>
          <w:ilvl w:val="0"/>
          <w:numId w:val="60"/>
        </w:numPr>
        <w:tabs>
          <w:tab w:val="left" w:pos="1221"/>
        </w:tabs>
        <w:spacing w:before="93" w:line="480" w:lineRule="auto"/>
        <w:ind w:right="273" w:firstLine="0"/>
        <w:jc w:val="both"/>
        <w:rPr>
          <w:rFonts w:ascii="Bookman Old Style"/>
          <w:sz w:val="28"/>
        </w:rPr>
      </w:pPr>
      <w:r>
        <w:rPr>
          <w:rFonts w:ascii="Bookman Old Style"/>
          <w:sz w:val="28"/>
        </w:rPr>
        <w:t xml:space="preserve">To bolster his stand, the respondent no. 4 has also placed reliance upon the decision of the Kerala High Court in </w:t>
      </w:r>
      <w:r>
        <w:rPr>
          <w:rFonts w:ascii="Bookman Old Style"/>
          <w:b/>
          <w:i/>
          <w:sz w:val="28"/>
        </w:rPr>
        <w:t xml:space="preserve">S. Mahendran </w:t>
      </w:r>
      <w:r>
        <w:rPr>
          <w:rFonts w:ascii="Bookman Old Style"/>
          <w:sz w:val="28"/>
        </w:rPr>
        <w:t xml:space="preserve">(supra) wherein the then Thantri Shri Neelakandaru had deposed as C.W 6 and he stated that the present idol was installed by his </w:t>
      </w:r>
      <w:r>
        <w:rPr>
          <w:rFonts w:ascii="Bookman Old Style"/>
          <w:sz w:val="28"/>
        </w:rPr>
        <w:t xml:space="preserve">paternal uncle Kantaru Shankaru and he confirmed that women of age group 10 to 50 years were not allowed to enter the temple even before 1950s. The said witness also deposed that his paternal uncle had instructed him and the temple officials to follow the </w:t>
      </w:r>
      <w:r>
        <w:rPr>
          <w:rFonts w:ascii="Bookman Old Style"/>
          <w:sz w:val="28"/>
        </w:rPr>
        <w:t>old customs and</w:t>
      </w:r>
      <w:r>
        <w:rPr>
          <w:rFonts w:ascii="Bookman Old Style"/>
          <w:spacing w:val="-10"/>
          <w:sz w:val="28"/>
        </w:rPr>
        <w:t xml:space="preserve"> </w:t>
      </w:r>
      <w:r>
        <w:rPr>
          <w:rFonts w:ascii="Bookman Old Style"/>
          <w:sz w:val="28"/>
        </w:rPr>
        <w:t>usages.</w:t>
      </w:r>
    </w:p>
    <w:p w:rsidR="003B2FC0" w:rsidRDefault="00052A49">
      <w:pPr>
        <w:pStyle w:val="ListParagraph"/>
        <w:numPr>
          <w:ilvl w:val="0"/>
          <w:numId w:val="60"/>
        </w:numPr>
        <w:tabs>
          <w:tab w:val="left" w:pos="1221"/>
        </w:tabs>
        <w:spacing w:line="480" w:lineRule="auto"/>
        <w:ind w:right="276" w:firstLine="0"/>
        <w:jc w:val="both"/>
        <w:rPr>
          <w:rFonts w:ascii="Bookman Old Style"/>
          <w:sz w:val="28"/>
        </w:rPr>
      </w:pPr>
      <w:r>
        <w:rPr>
          <w:rFonts w:ascii="Bookman Old Style"/>
          <w:sz w:val="28"/>
        </w:rPr>
        <w:t xml:space="preserve">The respondent no. 4 has also drawn the attention of the Court to the opinion of this Court in </w:t>
      </w:r>
      <w:r>
        <w:rPr>
          <w:rFonts w:ascii="Bookman Old Style"/>
          <w:b/>
          <w:i/>
          <w:sz w:val="28"/>
        </w:rPr>
        <w:t>Seshammal and others v. State of Tamil Nadu</w:t>
      </w:r>
      <w:r>
        <w:rPr>
          <w:rFonts w:ascii="Bookman Old Style"/>
          <w:position w:val="7"/>
          <w:sz w:val="18"/>
        </w:rPr>
        <w:t>20</w:t>
      </w:r>
      <w:r>
        <w:rPr>
          <w:rFonts w:ascii="Bookman Old Style"/>
          <w:sz w:val="28"/>
        </w:rPr>
        <w:t>, wherein it was observed that on the consecration of the image in the temple, the Hindu wor</w:t>
      </w:r>
      <w:r>
        <w:rPr>
          <w:rFonts w:ascii="Bookman Old Style"/>
          <w:sz w:val="28"/>
        </w:rPr>
        <w:t>shippers believe that the divine spirit has descended into the image and from then on, the image of the deity is fit to be worshipped and the rules with regard to daily and periodical worship have been laid down for securing the continuance of the divine s</w:t>
      </w:r>
      <w:r>
        <w:rPr>
          <w:rFonts w:ascii="Bookman Old Style"/>
          <w:sz w:val="28"/>
        </w:rPr>
        <w:t>pirit and as per the Agamas, an image becomes defiled if there is any departure or violation of any of the rules relating to</w:t>
      </w:r>
      <w:r>
        <w:rPr>
          <w:rFonts w:ascii="Bookman Old Style"/>
          <w:spacing w:val="-19"/>
          <w:sz w:val="28"/>
        </w:rPr>
        <w:t xml:space="preserve"> </w:t>
      </w:r>
      <w:r>
        <w:rPr>
          <w:rFonts w:ascii="Bookman Old Style"/>
          <w:sz w:val="28"/>
        </w:rPr>
        <w:t>worship.</w:t>
      </w:r>
    </w:p>
    <w:p w:rsidR="003B2FC0" w:rsidRDefault="003B2FC0">
      <w:pPr>
        <w:pStyle w:val="ListParagraph"/>
        <w:numPr>
          <w:ilvl w:val="0"/>
          <w:numId w:val="60"/>
        </w:numPr>
        <w:tabs>
          <w:tab w:val="left" w:pos="1221"/>
        </w:tabs>
        <w:spacing w:before="1" w:line="480" w:lineRule="auto"/>
        <w:ind w:right="281" w:firstLine="0"/>
        <w:jc w:val="both"/>
        <w:rPr>
          <w:rFonts w:ascii="Bookman Old Style" w:hAnsi="Bookman Old Style"/>
          <w:sz w:val="28"/>
        </w:rPr>
      </w:pPr>
      <w:r w:rsidRPr="003B2FC0">
        <w:pict>
          <v:line id="_x0000_s1167" style="position:absolute;left:0;text-align:left;z-index:-251627008;mso-position-horizontal-relative:page" from="1in,60.85pt" to="216.05pt,60.85pt" strokeweight=".6pt">
            <w10:wrap anchorx="page"/>
          </v:line>
        </w:pict>
      </w:r>
      <w:r w:rsidR="00052A49">
        <w:rPr>
          <w:rFonts w:ascii="Bookman Old Style" w:hAnsi="Bookman Old Style"/>
          <w:sz w:val="28"/>
        </w:rPr>
        <w:t xml:space="preserve">The respondent no. 4 has also submitted that the deity at </w:t>
      </w:r>
      <w:r w:rsidR="00052A49">
        <w:rPr>
          <w:rFonts w:ascii="Bookman Old Style" w:hAnsi="Bookman Old Style"/>
          <w:spacing w:val="-1"/>
          <w:sz w:val="28"/>
        </w:rPr>
        <w:t>Sa</w:t>
      </w:r>
      <w:r w:rsidR="00052A49">
        <w:rPr>
          <w:rFonts w:ascii="Bookman Old Style" w:hAnsi="Bookman Old Style"/>
          <w:sz w:val="28"/>
        </w:rPr>
        <w:t>b</w:t>
      </w:r>
      <w:r w:rsidR="00052A49">
        <w:rPr>
          <w:rFonts w:ascii="Bookman Old Style" w:hAnsi="Bookman Old Style"/>
          <w:spacing w:val="-1"/>
          <w:sz w:val="28"/>
        </w:rPr>
        <w:t>ar</w:t>
      </w:r>
      <w:r w:rsidR="00052A49">
        <w:rPr>
          <w:rFonts w:ascii="Bookman Old Style" w:hAnsi="Bookman Old Style"/>
          <w:spacing w:val="-2"/>
          <w:sz w:val="28"/>
        </w:rPr>
        <w:t>i</w:t>
      </w:r>
      <w:r w:rsidR="00052A49">
        <w:rPr>
          <w:rFonts w:ascii="Bookman Old Style" w:hAnsi="Bookman Old Style"/>
          <w:spacing w:val="-3"/>
          <w:sz w:val="28"/>
        </w:rPr>
        <w:t>m</w:t>
      </w:r>
      <w:r w:rsidR="00052A49">
        <w:rPr>
          <w:rFonts w:ascii="Bookman Old Style" w:hAnsi="Bookman Old Style"/>
          <w:spacing w:val="-1"/>
          <w:sz w:val="28"/>
        </w:rPr>
        <w:t>al</w:t>
      </w:r>
      <w:r w:rsidR="00052A49">
        <w:rPr>
          <w:rFonts w:ascii="Bookman Old Style" w:hAnsi="Bookman Old Style"/>
          <w:sz w:val="28"/>
        </w:rPr>
        <w:t>a</w:t>
      </w:r>
      <w:r w:rsidR="00052A49">
        <w:rPr>
          <w:rFonts w:ascii="Bookman Old Style" w:hAnsi="Bookman Old Style"/>
          <w:spacing w:val="4"/>
          <w:sz w:val="28"/>
        </w:rPr>
        <w:t xml:space="preserve"> </w:t>
      </w:r>
      <w:r w:rsidR="00052A49">
        <w:rPr>
          <w:rFonts w:ascii="Bookman Old Style" w:hAnsi="Bookman Old Style"/>
          <w:sz w:val="28"/>
        </w:rPr>
        <w:t>in</w:t>
      </w:r>
      <w:r w:rsidR="00052A49">
        <w:rPr>
          <w:rFonts w:ascii="Bookman Old Style" w:hAnsi="Bookman Old Style"/>
          <w:spacing w:val="3"/>
          <w:sz w:val="28"/>
        </w:rPr>
        <w:t xml:space="preserve"> </w:t>
      </w:r>
      <w:r w:rsidR="00052A49">
        <w:rPr>
          <w:rFonts w:ascii="Bookman Old Style" w:hAnsi="Bookman Old Style"/>
          <w:spacing w:val="-2"/>
          <w:sz w:val="28"/>
        </w:rPr>
        <w:t>t</w:t>
      </w:r>
      <w:r w:rsidR="00052A49">
        <w:rPr>
          <w:rFonts w:ascii="Bookman Old Style" w:hAnsi="Bookman Old Style"/>
          <w:spacing w:val="-1"/>
          <w:sz w:val="28"/>
        </w:rPr>
        <w:t>h</w:t>
      </w:r>
      <w:r w:rsidR="00052A49">
        <w:rPr>
          <w:rFonts w:ascii="Bookman Old Style" w:hAnsi="Bookman Old Style"/>
          <w:sz w:val="28"/>
        </w:rPr>
        <w:t>e</w:t>
      </w:r>
      <w:r w:rsidR="00052A49">
        <w:rPr>
          <w:rFonts w:ascii="Bookman Old Style" w:hAnsi="Bookman Old Style"/>
          <w:spacing w:val="5"/>
          <w:sz w:val="28"/>
        </w:rPr>
        <w:t xml:space="preserve"> </w:t>
      </w:r>
      <w:r w:rsidR="00052A49">
        <w:rPr>
          <w:rFonts w:ascii="Bookman Old Style" w:hAnsi="Bookman Old Style"/>
          <w:spacing w:val="-2"/>
          <w:sz w:val="28"/>
        </w:rPr>
        <w:t>f</w:t>
      </w:r>
      <w:r w:rsidR="00052A49">
        <w:rPr>
          <w:rFonts w:ascii="Bookman Old Style" w:hAnsi="Bookman Old Style"/>
          <w:sz w:val="28"/>
        </w:rPr>
        <w:t>o</w:t>
      </w:r>
      <w:r w:rsidR="00052A49">
        <w:rPr>
          <w:rFonts w:ascii="Bookman Old Style" w:hAnsi="Bookman Old Style"/>
          <w:spacing w:val="-2"/>
          <w:sz w:val="28"/>
        </w:rPr>
        <w:t>r</w:t>
      </w:r>
      <w:r w:rsidR="00052A49">
        <w:rPr>
          <w:rFonts w:ascii="Bookman Old Style" w:hAnsi="Bookman Old Style"/>
          <w:sz w:val="28"/>
        </w:rPr>
        <w:t>m</w:t>
      </w:r>
      <w:r w:rsidR="00052A49">
        <w:rPr>
          <w:rFonts w:ascii="Bookman Old Style" w:hAnsi="Bookman Old Style"/>
          <w:spacing w:val="1"/>
          <w:sz w:val="28"/>
        </w:rPr>
        <w:t xml:space="preserve"> </w:t>
      </w:r>
      <w:r w:rsidR="00052A49">
        <w:rPr>
          <w:rFonts w:ascii="Bookman Old Style" w:hAnsi="Bookman Old Style"/>
          <w:sz w:val="28"/>
        </w:rPr>
        <w:t>of</w:t>
      </w:r>
      <w:r w:rsidR="00052A49">
        <w:rPr>
          <w:rFonts w:ascii="Bookman Old Style" w:hAnsi="Bookman Old Style"/>
          <w:spacing w:val="2"/>
          <w:sz w:val="28"/>
        </w:rPr>
        <w:t xml:space="preserve"> </w:t>
      </w:r>
      <w:r w:rsidR="00052A49">
        <w:rPr>
          <w:rFonts w:ascii="Bookman Old Style" w:hAnsi="Bookman Old Style"/>
          <w:spacing w:val="-1"/>
          <w:w w:val="84"/>
          <w:sz w:val="28"/>
        </w:rPr>
        <w:t>„</w:t>
      </w:r>
      <w:r w:rsidR="00052A49">
        <w:rPr>
          <w:rFonts w:ascii="Bookman Old Style" w:hAnsi="Bookman Old Style"/>
          <w:spacing w:val="1"/>
          <w:w w:val="84"/>
          <w:sz w:val="28"/>
        </w:rPr>
        <w:t>N</w:t>
      </w:r>
      <w:r w:rsidR="00052A49">
        <w:rPr>
          <w:rFonts w:ascii="Bookman Old Style" w:hAnsi="Bookman Old Style"/>
          <w:spacing w:val="-1"/>
          <w:sz w:val="28"/>
        </w:rPr>
        <w:t>aish</w:t>
      </w:r>
      <w:r w:rsidR="00052A49">
        <w:rPr>
          <w:rFonts w:ascii="Bookman Old Style" w:hAnsi="Bookman Old Style"/>
          <w:spacing w:val="-2"/>
          <w:sz w:val="28"/>
        </w:rPr>
        <w:t>t</w:t>
      </w:r>
      <w:r w:rsidR="00052A49">
        <w:rPr>
          <w:rFonts w:ascii="Bookman Old Style" w:hAnsi="Bookman Old Style"/>
          <w:spacing w:val="-3"/>
          <w:sz w:val="28"/>
        </w:rPr>
        <w:t>i</w:t>
      </w:r>
      <w:r w:rsidR="00052A49">
        <w:rPr>
          <w:rFonts w:ascii="Bookman Old Style" w:hAnsi="Bookman Old Style"/>
          <w:sz w:val="28"/>
        </w:rPr>
        <w:t>k</w:t>
      </w:r>
      <w:r w:rsidR="00052A49">
        <w:rPr>
          <w:rFonts w:ascii="Bookman Old Style" w:hAnsi="Bookman Old Style"/>
          <w:spacing w:val="4"/>
          <w:sz w:val="28"/>
        </w:rPr>
        <w:t xml:space="preserve"> </w:t>
      </w:r>
      <w:r w:rsidR="00052A49">
        <w:rPr>
          <w:rFonts w:ascii="Bookman Old Style" w:hAnsi="Bookman Old Style"/>
          <w:sz w:val="28"/>
        </w:rPr>
        <w:t>B</w:t>
      </w:r>
      <w:r w:rsidR="00052A49">
        <w:rPr>
          <w:rFonts w:ascii="Bookman Old Style" w:hAnsi="Bookman Old Style"/>
          <w:spacing w:val="-2"/>
          <w:sz w:val="28"/>
        </w:rPr>
        <w:t>r</w:t>
      </w:r>
      <w:r w:rsidR="00052A49">
        <w:rPr>
          <w:rFonts w:ascii="Bookman Old Style" w:hAnsi="Bookman Old Style"/>
          <w:spacing w:val="-1"/>
          <w:sz w:val="28"/>
        </w:rPr>
        <w:t>ah</w:t>
      </w:r>
      <w:r w:rsidR="00052A49">
        <w:rPr>
          <w:rFonts w:ascii="Bookman Old Style" w:hAnsi="Bookman Old Style"/>
          <w:spacing w:val="-3"/>
          <w:sz w:val="28"/>
        </w:rPr>
        <w:t>m</w:t>
      </w:r>
      <w:r w:rsidR="00052A49">
        <w:rPr>
          <w:rFonts w:ascii="Bookman Old Style" w:hAnsi="Bookman Old Style"/>
          <w:spacing w:val="-1"/>
          <w:sz w:val="28"/>
        </w:rPr>
        <w:t>achari</w:t>
      </w:r>
      <w:r w:rsidR="00052A49">
        <w:rPr>
          <w:rFonts w:ascii="Bookman Old Style" w:hAnsi="Bookman Old Style"/>
          <w:w w:val="29"/>
          <w:sz w:val="28"/>
        </w:rPr>
        <w:t>‟</w:t>
      </w:r>
      <w:r w:rsidR="00052A49">
        <w:rPr>
          <w:rFonts w:ascii="Bookman Old Style" w:hAnsi="Bookman Old Style"/>
          <w:spacing w:val="4"/>
          <w:sz w:val="28"/>
        </w:rPr>
        <w:t xml:space="preserve"> </w:t>
      </w:r>
      <w:r w:rsidR="00052A49">
        <w:rPr>
          <w:rFonts w:ascii="Bookman Old Style" w:hAnsi="Bookman Old Style"/>
          <w:spacing w:val="-2"/>
          <w:sz w:val="28"/>
        </w:rPr>
        <w:t>a</w:t>
      </w:r>
      <w:r w:rsidR="00052A49">
        <w:rPr>
          <w:rFonts w:ascii="Bookman Old Style" w:hAnsi="Bookman Old Style"/>
          <w:spacing w:val="-1"/>
          <w:sz w:val="28"/>
        </w:rPr>
        <w:t>n</w:t>
      </w:r>
      <w:r w:rsidR="00052A49">
        <w:rPr>
          <w:rFonts w:ascii="Bookman Old Style" w:hAnsi="Bookman Old Style"/>
          <w:sz w:val="28"/>
        </w:rPr>
        <w:t>d</w:t>
      </w:r>
      <w:r w:rsidR="00052A49">
        <w:rPr>
          <w:rFonts w:ascii="Bookman Old Style" w:hAnsi="Bookman Old Style"/>
          <w:spacing w:val="4"/>
          <w:sz w:val="28"/>
        </w:rPr>
        <w:t xml:space="preserve"> </w:t>
      </w:r>
      <w:r w:rsidR="00052A49">
        <w:rPr>
          <w:rFonts w:ascii="Bookman Old Style" w:hAnsi="Bookman Old Style"/>
          <w:spacing w:val="-2"/>
          <w:sz w:val="28"/>
        </w:rPr>
        <w:t>t</w:t>
      </w:r>
      <w:r w:rsidR="00052A49">
        <w:rPr>
          <w:rFonts w:ascii="Bookman Old Style" w:hAnsi="Bookman Old Style"/>
          <w:spacing w:val="-1"/>
          <w:sz w:val="28"/>
        </w:rPr>
        <w:t>ha</w:t>
      </w:r>
      <w:r w:rsidR="00052A49">
        <w:rPr>
          <w:rFonts w:ascii="Bookman Old Style" w:hAnsi="Bookman Old Style"/>
          <w:sz w:val="28"/>
        </w:rPr>
        <w:t>t</w:t>
      </w:r>
      <w:r w:rsidR="00052A49">
        <w:rPr>
          <w:rFonts w:ascii="Bookman Old Style" w:hAnsi="Bookman Old Style"/>
          <w:spacing w:val="2"/>
          <w:sz w:val="28"/>
        </w:rPr>
        <w:t xml:space="preserve"> </w:t>
      </w:r>
      <w:r w:rsidR="00052A49">
        <w:rPr>
          <w:rFonts w:ascii="Bookman Old Style" w:hAnsi="Bookman Old Style"/>
          <w:sz w:val="28"/>
        </w:rPr>
        <w:t>is</w:t>
      </w:r>
      <w:r w:rsidR="00052A49">
        <w:rPr>
          <w:rFonts w:ascii="Bookman Old Style" w:hAnsi="Bookman Old Style"/>
          <w:spacing w:val="4"/>
          <w:sz w:val="28"/>
        </w:rPr>
        <w:t xml:space="preserve"> </w:t>
      </w:r>
      <w:r w:rsidR="00052A49">
        <w:rPr>
          <w:rFonts w:ascii="Bookman Old Style" w:hAnsi="Bookman Old Style"/>
          <w:spacing w:val="-1"/>
          <w:sz w:val="28"/>
        </w:rPr>
        <w:t>also</w:t>
      </w:r>
    </w:p>
    <w:p w:rsidR="003B2FC0" w:rsidRDefault="00052A49">
      <w:pPr>
        <w:spacing w:line="242" w:lineRule="exact"/>
        <w:ind w:left="500"/>
        <w:rPr>
          <w:rFonts w:ascii="Times New Roman"/>
          <w:sz w:val="20"/>
        </w:rPr>
      </w:pPr>
      <w:r>
        <w:rPr>
          <w:rFonts w:ascii="Times New Roman"/>
          <w:position w:val="9"/>
          <w:sz w:val="13"/>
        </w:rPr>
        <w:t xml:space="preserve">20 </w:t>
      </w:r>
      <w:r>
        <w:rPr>
          <w:rFonts w:ascii="Times New Roman"/>
          <w:sz w:val="20"/>
        </w:rPr>
        <w:t>(1972) 2 SCC 11</w:t>
      </w:r>
    </w:p>
    <w:p w:rsidR="003B2FC0" w:rsidRDefault="003B2FC0">
      <w:pPr>
        <w:spacing w:line="242" w:lineRule="exact"/>
        <w:rPr>
          <w:rFonts w:ascii="Times New Roman"/>
          <w:sz w:val="20"/>
        </w:rPr>
        <w:sectPr w:rsidR="003B2FC0">
          <w:headerReference w:type="default" r:id="rId73"/>
          <w:footerReference w:type="default" r:id="rId74"/>
          <w:pgSz w:w="11910" w:h="16840"/>
          <w:pgMar w:top="1340" w:right="1160" w:bottom="280" w:left="940" w:header="554" w:footer="0" w:gutter="0"/>
          <w:pgNumType w:start="35"/>
          <w:cols w:space="720"/>
        </w:sectPr>
      </w:pPr>
    </w:p>
    <w:p w:rsidR="003B2FC0" w:rsidRDefault="00052A49">
      <w:pPr>
        <w:pStyle w:val="BodyText"/>
        <w:spacing w:before="93" w:line="480" w:lineRule="auto"/>
        <w:ind w:left="500" w:right="279"/>
        <w:jc w:val="both"/>
      </w:pPr>
      <w:r>
        <w:t>a reason why young women are not allowed inside the temple so as to prevent even the slightest deviation from celibacy and austerity observed by the deity.</w:t>
      </w:r>
    </w:p>
    <w:p w:rsidR="003B2FC0" w:rsidRDefault="00052A49">
      <w:pPr>
        <w:pStyle w:val="BodyText"/>
        <w:ind w:left="500"/>
        <w:rPr>
          <w:b/>
        </w:rPr>
      </w:pPr>
      <w:r>
        <w:rPr>
          <w:b/>
          <w:u w:val="single"/>
        </w:rPr>
        <w:t>Submissions on behalf of Intervenor in I.A Nos. 12 and 13</w:t>
      </w:r>
    </w:p>
    <w:p w:rsidR="003B2FC0" w:rsidRDefault="003B2FC0">
      <w:pPr>
        <w:pStyle w:val="BodyText"/>
        <w:rPr>
          <w:b/>
        </w:rPr>
      </w:pPr>
    </w:p>
    <w:p w:rsidR="003B2FC0" w:rsidRDefault="00052A49">
      <w:pPr>
        <w:pStyle w:val="ListParagraph"/>
        <w:numPr>
          <w:ilvl w:val="0"/>
          <w:numId w:val="60"/>
        </w:numPr>
        <w:tabs>
          <w:tab w:val="left" w:pos="1221"/>
        </w:tabs>
        <w:spacing w:before="1" w:line="480" w:lineRule="auto"/>
        <w:ind w:right="273" w:firstLine="0"/>
        <w:jc w:val="both"/>
        <w:rPr>
          <w:rFonts w:ascii="Bookman Old Style"/>
          <w:sz w:val="28"/>
        </w:rPr>
      </w:pPr>
      <w:r>
        <w:rPr>
          <w:rFonts w:ascii="Bookman Old Style"/>
          <w:sz w:val="28"/>
        </w:rPr>
        <w:t xml:space="preserve">Another applicant/intervenor has filed I.A Nos. 12 and 13 and his main submission is that this Court may remove </w:t>
      </w:r>
      <w:r>
        <w:rPr>
          <w:rFonts w:ascii="Bookman Old Style"/>
          <w:spacing w:val="-3"/>
          <w:sz w:val="28"/>
        </w:rPr>
        <w:t xml:space="preserve">the </w:t>
      </w:r>
      <w:r>
        <w:rPr>
          <w:rFonts w:ascii="Bookman Old Style"/>
          <w:sz w:val="28"/>
        </w:rPr>
        <w:t>restriction which bars women between the age group of 10 to 50 years from enterin</w:t>
      </w:r>
      <w:r>
        <w:rPr>
          <w:rFonts w:ascii="Bookman Old Style"/>
          <w:sz w:val="28"/>
        </w:rPr>
        <w:t>g the Sabarimala temple for all days barring the period between 16</w:t>
      </w:r>
      <w:r>
        <w:rPr>
          <w:rFonts w:ascii="Bookman Old Style"/>
          <w:position w:val="7"/>
          <w:sz w:val="18"/>
        </w:rPr>
        <w:t xml:space="preserve">th </w:t>
      </w:r>
      <w:r>
        <w:rPr>
          <w:rFonts w:ascii="Bookman Old Style"/>
          <w:sz w:val="28"/>
        </w:rPr>
        <w:t>November to 14</w:t>
      </w:r>
      <w:r>
        <w:rPr>
          <w:rFonts w:ascii="Bookman Old Style"/>
          <w:position w:val="7"/>
          <w:sz w:val="18"/>
        </w:rPr>
        <w:t xml:space="preserve">th </w:t>
      </w:r>
      <w:r>
        <w:rPr>
          <w:rFonts w:ascii="Bookman Old Style"/>
          <w:sz w:val="28"/>
        </w:rPr>
        <w:t xml:space="preserve">January (60 days) as during the said period, Lord Ayyappa sits in the Sabarimala temple and Lord Ayyappa visits other temples all across </w:t>
      </w:r>
      <w:r>
        <w:rPr>
          <w:rFonts w:ascii="Bookman Old Style"/>
          <w:spacing w:val="-3"/>
          <w:sz w:val="28"/>
        </w:rPr>
        <w:t xml:space="preserve">the </w:t>
      </w:r>
      <w:r>
        <w:rPr>
          <w:rFonts w:ascii="Bookman Old Style"/>
          <w:sz w:val="28"/>
        </w:rPr>
        <w:t xml:space="preserve">country during the remaining </w:t>
      </w:r>
      <w:r>
        <w:rPr>
          <w:rFonts w:ascii="Bookman Old Style"/>
          <w:sz w:val="28"/>
        </w:rPr>
        <w:t>days. The applicant/intervenor further highlights that during the said period, the pilgrims coming to the temple must strictly follow the rituals which includes taking a 41 days Vruthum and one of the rituals pertains to not touching the ladies including d</w:t>
      </w:r>
      <w:r>
        <w:rPr>
          <w:rFonts w:ascii="Bookman Old Style"/>
          <w:sz w:val="28"/>
        </w:rPr>
        <w:t>aughters and wives as well. The applicant/intervenor has further submitted that if the restriction under Section 3(b) of the Kerala Hindu Places of Worship (Authorization of Entry) Rules, 1965 is allowed to operate only for the said period of 60 days, it w</w:t>
      </w:r>
      <w:r>
        <w:rPr>
          <w:rFonts w:ascii="Bookman Old Style"/>
          <w:sz w:val="28"/>
        </w:rPr>
        <w:t>ould not amount to</w:t>
      </w:r>
      <w:r>
        <w:rPr>
          <w:rFonts w:ascii="Bookman Old Style"/>
          <w:spacing w:val="14"/>
          <w:sz w:val="28"/>
        </w:rPr>
        <w:t xml:space="preserve"> </w:t>
      </w:r>
      <w:r>
        <w:rPr>
          <w:rFonts w:ascii="Bookman Old Style"/>
          <w:sz w:val="28"/>
        </w:rPr>
        <w:t>any</w:t>
      </w:r>
      <w:r>
        <w:rPr>
          <w:rFonts w:ascii="Bookman Old Style"/>
          <w:spacing w:val="10"/>
          <w:sz w:val="28"/>
        </w:rPr>
        <w:t xml:space="preserve"> </w:t>
      </w:r>
      <w:r>
        <w:rPr>
          <w:rFonts w:ascii="Bookman Old Style"/>
          <w:sz w:val="28"/>
        </w:rPr>
        <w:t>violation</w:t>
      </w:r>
      <w:r>
        <w:rPr>
          <w:rFonts w:ascii="Bookman Old Style"/>
          <w:spacing w:val="10"/>
          <w:sz w:val="28"/>
        </w:rPr>
        <w:t xml:space="preserve"> </w:t>
      </w:r>
      <w:r>
        <w:rPr>
          <w:rFonts w:ascii="Bookman Old Style"/>
          <w:sz w:val="28"/>
        </w:rPr>
        <w:t>of</w:t>
      </w:r>
      <w:r>
        <w:rPr>
          <w:rFonts w:ascii="Bookman Old Style"/>
          <w:spacing w:val="12"/>
          <w:sz w:val="28"/>
        </w:rPr>
        <w:t xml:space="preserve"> </w:t>
      </w:r>
      <w:r>
        <w:rPr>
          <w:rFonts w:ascii="Bookman Old Style"/>
          <w:sz w:val="28"/>
        </w:rPr>
        <w:t>Articles</w:t>
      </w:r>
      <w:r>
        <w:rPr>
          <w:rFonts w:ascii="Bookman Old Style"/>
          <w:spacing w:val="11"/>
          <w:sz w:val="28"/>
        </w:rPr>
        <w:t xml:space="preserve"> </w:t>
      </w:r>
      <w:r>
        <w:rPr>
          <w:rFonts w:ascii="Bookman Old Style"/>
          <w:sz w:val="28"/>
        </w:rPr>
        <w:t>14,</w:t>
      </w:r>
      <w:r>
        <w:rPr>
          <w:rFonts w:ascii="Bookman Old Style"/>
          <w:spacing w:val="12"/>
          <w:sz w:val="28"/>
        </w:rPr>
        <w:t xml:space="preserve"> </w:t>
      </w:r>
      <w:r>
        <w:rPr>
          <w:rFonts w:ascii="Bookman Old Style"/>
          <w:sz w:val="28"/>
        </w:rPr>
        <w:t>15</w:t>
      </w:r>
      <w:r>
        <w:rPr>
          <w:rFonts w:ascii="Bookman Old Style"/>
          <w:spacing w:val="12"/>
          <w:sz w:val="28"/>
        </w:rPr>
        <w:t xml:space="preserve"> </w:t>
      </w:r>
      <w:r>
        <w:rPr>
          <w:rFonts w:ascii="Bookman Old Style"/>
          <w:sz w:val="28"/>
        </w:rPr>
        <w:t>and</w:t>
      </w:r>
      <w:r>
        <w:rPr>
          <w:rFonts w:ascii="Bookman Old Style"/>
          <w:spacing w:val="12"/>
          <w:sz w:val="28"/>
        </w:rPr>
        <w:t xml:space="preserve"> </w:t>
      </w:r>
      <w:r>
        <w:rPr>
          <w:rFonts w:ascii="Bookman Old Style"/>
          <w:sz w:val="28"/>
        </w:rPr>
        <w:t>17</w:t>
      </w:r>
      <w:r>
        <w:rPr>
          <w:rFonts w:ascii="Bookman Old Style"/>
          <w:spacing w:val="14"/>
          <w:sz w:val="28"/>
        </w:rPr>
        <w:t xml:space="preserve"> </w:t>
      </w:r>
      <w:r>
        <w:rPr>
          <w:rFonts w:ascii="Bookman Old Style"/>
          <w:sz w:val="28"/>
        </w:rPr>
        <w:t>of</w:t>
      </w:r>
      <w:r>
        <w:rPr>
          <w:rFonts w:ascii="Bookman Old Style"/>
          <w:spacing w:val="12"/>
          <w:sz w:val="28"/>
        </w:rPr>
        <w:t xml:space="preserve"> </w:t>
      </w:r>
      <w:r>
        <w:rPr>
          <w:rFonts w:ascii="Bookman Old Style"/>
          <w:sz w:val="28"/>
        </w:rPr>
        <w:t>the</w:t>
      </w:r>
      <w:r>
        <w:rPr>
          <w:rFonts w:ascii="Bookman Old Style"/>
          <w:spacing w:val="15"/>
          <w:sz w:val="28"/>
        </w:rPr>
        <w:t xml:space="preserve"> </w:t>
      </w:r>
      <w:r>
        <w:rPr>
          <w:rFonts w:ascii="Bookman Old Style"/>
          <w:sz w:val="28"/>
        </w:rPr>
        <w:t>Constitution</w:t>
      </w:r>
      <w:r>
        <w:rPr>
          <w:rFonts w:ascii="Bookman Old Style"/>
          <w:spacing w:val="13"/>
          <w:sz w:val="28"/>
        </w:rPr>
        <w:t xml:space="preserve"> </w:t>
      </w:r>
      <w:r>
        <w:rPr>
          <w:rFonts w:ascii="Bookman Old Style"/>
          <w:sz w:val="28"/>
        </w:rPr>
        <w:t>and</w:t>
      </w:r>
    </w:p>
    <w:p w:rsidR="003B2FC0" w:rsidRDefault="003B2FC0">
      <w:pPr>
        <w:spacing w:line="480" w:lineRule="auto"/>
        <w:jc w:val="both"/>
        <w:rPr>
          <w:rFonts w:ascii="Bookman Old Style"/>
          <w:sz w:val="28"/>
        </w:rPr>
        <w:sectPr w:rsidR="003B2FC0">
          <w:headerReference w:type="default" r:id="rId75"/>
          <w:footerReference w:type="default" r:id="rId76"/>
          <w:pgSz w:w="11910" w:h="16840"/>
          <w:pgMar w:top="1340" w:right="1160" w:bottom="280" w:left="940" w:header="554" w:footer="0" w:gutter="0"/>
          <w:pgNumType w:start="36"/>
          <w:cols w:space="720"/>
        </w:sectPr>
      </w:pPr>
    </w:p>
    <w:p w:rsidR="003B2FC0" w:rsidRDefault="00052A49">
      <w:pPr>
        <w:pStyle w:val="BodyText"/>
        <w:spacing w:before="93" w:line="480" w:lineRule="auto"/>
        <w:ind w:left="500" w:right="276"/>
        <w:jc w:val="both"/>
      </w:pPr>
      <w:r>
        <w:t>it would also be well within the ambit of Articles 25 and 26 of the Constitution.</w:t>
      </w:r>
    </w:p>
    <w:p w:rsidR="003B2FC0" w:rsidRDefault="00052A49">
      <w:pPr>
        <w:pStyle w:val="BodyText"/>
        <w:ind w:left="500"/>
        <w:rPr>
          <w:b/>
        </w:rPr>
      </w:pPr>
      <w:r>
        <w:rPr>
          <w:b/>
          <w:u w:val="single"/>
        </w:rPr>
        <w:t>Rejoinder Submissions on behalf of the Petitioners</w:t>
      </w:r>
    </w:p>
    <w:p w:rsidR="003B2FC0" w:rsidRDefault="003B2FC0">
      <w:pPr>
        <w:pStyle w:val="BodyText"/>
        <w:rPr>
          <w:b/>
        </w:rPr>
      </w:pPr>
    </w:p>
    <w:p w:rsidR="003B2FC0" w:rsidRDefault="00052A49">
      <w:pPr>
        <w:pStyle w:val="ListParagraph"/>
        <w:numPr>
          <w:ilvl w:val="0"/>
          <w:numId w:val="60"/>
        </w:numPr>
        <w:tabs>
          <w:tab w:val="left" w:pos="1221"/>
        </w:tabs>
        <w:spacing w:line="480" w:lineRule="auto"/>
        <w:ind w:right="272" w:firstLine="0"/>
        <w:jc w:val="both"/>
        <w:rPr>
          <w:rFonts w:ascii="Bookman Old Style" w:hAnsi="Bookman Old Style"/>
          <w:sz w:val="28"/>
        </w:rPr>
      </w:pPr>
      <w:r>
        <w:rPr>
          <w:rFonts w:ascii="Bookman Old Style" w:hAnsi="Bookman Old Style"/>
          <w:sz w:val="28"/>
        </w:rPr>
        <w:t>In reply to the contention of the respondent no. 2- Devaswom Board that the writ jurisdiction does not lie in the present matter, the petitioners submit that the validity of Section 3(b) could not have be</w:t>
      </w:r>
      <w:r>
        <w:rPr>
          <w:rFonts w:ascii="Bookman Old Style" w:hAnsi="Bookman Old Style"/>
          <w:sz w:val="28"/>
        </w:rPr>
        <w:t xml:space="preserve">en challenged in suit proceedings as the present writ petition has been filed against the State authorities and the Chief Thantri who has been impleaded as the respondent no. 4 is appointed by a Statutory Board; and since now „custom </w:t>
      </w:r>
      <w:r>
        <w:rPr>
          <w:rFonts w:ascii="Bookman Old Style" w:hAnsi="Bookman Old Style"/>
          <w:spacing w:val="-1"/>
          <w:sz w:val="28"/>
        </w:rPr>
        <w:t>an</w:t>
      </w:r>
      <w:r>
        <w:rPr>
          <w:rFonts w:ascii="Bookman Old Style" w:hAnsi="Bookman Old Style"/>
          <w:sz w:val="28"/>
        </w:rPr>
        <w:t>d</w:t>
      </w:r>
      <w:r>
        <w:rPr>
          <w:rFonts w:ascii="Bookman Old Style" w:hAnsi="Bookman Old Style"/>
          <w:spacing w:val="33"/>
          <w:sz w:val="28"/>
        </w:rPr>
        <w:t xml:space="preserve"> </w:t>
      </w:r>
      <w:r>
        <w:rPr>
          <w:rFonts w:ascii="Bookman Old Style" w:hAnsi="Bookman Old Style"/>
          <w:sz w:val="28"/>
        </w:rPr>
        <w:t>u</w:t>
      </w:r>
      <w:r>
        <w:rPr>
          <w:rFonts w:ascii="Bookman Old Style" w:hAnsi="Bookman Old Style"/>
          <w:spacing w:val="-2"/>
          <w:sz w:val="28"/>
        </w:rPr>
        <w:t>s</w:t>
      </w:r>
      <w:r>
        <w:rPr>
          <w:rFonts w:ascii="Bookman Old Style" w:hAnsi="Bookman Old Style"/>
          <w:spacing w:val="-1"/>
          <w:sz w:val="28"/>
        </w:rPr>
        <w:t>a</w:t>
      </w:r>
      <w:r>
        <w:rPr>
          <w:rFonts w:ascii="Bookman Old Style" w:hAnsi="Bookman Old Style"/>
          <w:spacing w:val="-3"/>
          <w:sz w:val="28"/>
        </w:rPr>
        <w:t>g</w:t>
      </w:r>
      <w:r>
        <w:rPr>
          <w:rFonts w:ascii="Bookman Old Style" w:hAnsi="Bookman Old Style"/>
          <w:spacing w:val="2"/>
          <w:sz w:val="28"/>
        </w:rPr>
        <w:t>e</w:t>
      </w:r>
      <w:r>
        <w:rPr>
          <w:rFonts w:ascii="Bookman Old Style" w:hAnsi="Bookman Old Style"/>
          <w:w w:val="29"/>
          <w:sz w:val="28"/>
        </w:rPr>
        <w:t>‟</w:t>
      </w:r>
      <w:r>
        <w:rPr>
          <w:rFonts w:ascii="Bookman Old Style" w:hAnsi="Bookman Old Style"/>
          <w:spacing w:val="35"/>
          <w:sz w:val="28"/>
        </w:rPr>
        <w:t xml:space="preserve"> </w:t>
      </w:r>
      <w:r>
        <w:rPr>
          <w:rFonts w:ascii="Bookman Old Style" w:hAnsi="Bookman Old Style"/>
          <w:spacing w:val="-2"/>
          <w:sz w:val="28"/>
        </w:rPr>
        <w:t>f</w:t>
      </w:r>
      <w:r>
        <w:rPr>
          <w:rFonts w:ascii="Bookman Old Style" w:hAnsi="Bookman Old Style"/>
          <w:spacing w:val="-1"/>
          <w:sz w:val="28"/>
        </w:rPr>
        <w:t>al</w:t>
      </w:r>
      <w:r>
        <w:rPr>
          <w:rFonts w:ascii="Bookman Old Style" w:hAnsi="Bookman Old Style"/>
          <w:sz w:val="28"/>
        </w:rPr>
        <w:t>l</w:t>
      </w:r>
      <w:r>
        <w:rPr>
          <w:rFonts w:ascii="Bookman Old Style" w:hAnsi="Bookman Old Style"/>
          <w:spacing w:val="32"/>
          <w:sz w:val="28"/>
        </w:rPr>
        <w:t xml:space="preserve"> </w:t>
      </w:r>
      <w:r>
        <w:rPr>
          <w:rFonts w:ascii="Bookman Old Style" w:hAnsi="Bookman Old Style"/>
          <w:spacing w:val="-2"/>
          <w:sz w:val="28"/>
        </w:rPr>
        <w:t>u</w:t>
      </w:r>
      <w:r>
        <w:rPr>
          <w:rFonts w:ascii="Bookman Old Style" w:hAnsi="Bookman Old Style"/>
          <w:spacing w:val="-1"/>
          <w:sz w:val="28"/>
        </w:rPr>
        <w:t>n</w:t>
      </w:r>
      <w:r>
        <w:rPr>
          <w:rFonts w:ascii="Bookman Old Style" w:hAnsi="Bookman Old Style"/>
          <w:spacing w:val="-2"/>
          <w:sz w:val="28"/>
        </w:rPr>
        <w:t>d</w:t>
      </w:r>
      <w:r>
        <w:rPr>
          <w:rFonts w:ascii="Bookman Old Style" w:hAnsi="Bookman Old Style"/>
          <w:spacing w:val="2"/>
          <w:sz w:val="28"/>
        </w:rPr>
        <w:t>e</w:t>
      </w:r>
      <w:r>
        <w:rPr>
          <w:rFonts w:ascii="Bookman Old Style" w:hAnsi="Bookman Old Style"/>
          <w:sz w:val="28"/>
        </w:rPr>
        <w:t>r</w:t>
      </w:r>
      <w:r>
        <w:rPr>
          <w:rFonts w:ascii="Bookman Old Style" w:hAnsi="Bookman Old Style"/>
          <w:spacing w:val="33"/>
          <w:sz w:val="28"/>
        </w:rPr>
        <w:t xml:space="preserve"> </w:t>
      </w:r>
      <w:r>
        <w:rPr>
          <w:rFonts w:ascii="Bookman Old Style" w:hAnsi="Bookman Old Style"/>
          <w:spacing w:val="-2"/>
          <w:sz w:val="28"/>
        </w:rPr>
        <w:t>t</w:t>
      </w:r>
      <w:r>
        <w:rPr>
          <w:rFonts w:ascii="Bookman Old Style" w:hAnsi="Bookman Old Style"/>
          <w:spacing w:val="-3"/>
          <w:sz w:val="28"/>
        </w:rPr>
        <w:t>h</w:t>
      </w:r>
      <w:r>
        <w:rPr>
          <w:rFonts w:ascii="Bookman Old Style" w:hAnsi="Bookman Old Style"/>
          <w:sz w:val="28"/>
        </w:rPr>
        <w:t>e</w:t>
      </w:r>
      <w:r>
        <w:rPr>
          <w:rFonts w:ascii="Bookman Old Style" w:hAnsi="Bookman Old Style"/>
          <w:spacing w:val="35"/>
          <w:sz w:val="28"/>
        </w:rPr>
        <w:t xml:space="preserve"> </w:t>
      </w:r>
      <w:r>
        <w:rPr>
          <w:rFonts w:ascii="Bookman Old Style" w:hAnsi="Bookman Old Style"/>
          <w:spacing w:val="-1"/>
          <w:sz w:val="28"/>
        </w:rPr>
        <w:t>amb</w:t>
      </w:r>
      <w:r>
        <w:rPr>
          <w:rFonts w:ascii="Bookman Old Style" w:hAnsi="Bookman Old Style"/>
          <w:sz w:val="28"/>
        </w:rPr>
        <w:t>it</w:t>
      </w:r>
      <w:r>
        <w:rPr>
          <w:rFonts w:ascii="Bookman Old Style" w:hAnsi="Bookman Old Style"/>
          <w:spacing w:val="33"/>
          <w:sz w:val="28"/>
        </w:rPr>
        <w:t xml:space="preserve"> </w:t>
      </w:r>
      <w:r>
        <w:rPr>
          <w:rFonts w:ascii="Bookman Old Style" w:hAnsi="Bookman Old Style"/>
          <w:spacing w:val="-2"/>
          <w:sz w:val="28"/>
        </w:rPr>
        <w:t>o</w:t>
      </w:r>
      <w:r>
        <w:rPr>
          <w:rFonts w:ascii="Bookman Old Style" w:hAnsi="Bookman Old Style"/>
          <w:sz w:val="28"/>
        </w:rPr>
        <w:t>f</w:t>
      </w:r>
      <w:r>
        <w:rPr>
          <w:rFonts w:ascii="Bookman Old Style" w:hAnsi="Bookman Old Style"/>
          <w:spacing w:val="33"/>
          <w:sz w:val="28"/>
        </w:rPr>
        <w:t xml:space="preserve"> </w:t>
      </w:r>
      <w:r>
        <w:rPr>
          <w:rFonts w:ascii="Bookman Old Style" w:hAnsi="Bookman Old Style"/>
          <w:sz w:val="28"/>
        </w:rPr>
        <w:t>A</w:t>
      </w:r>
      <w:r>
        <w:rPr>
          <w:rFonts w:ascii="Bookman Old Style" w:hAnsi="Bookman Old Style"/>
          <w:spacing w:val="-2"/>
          <w:sz w:val="28"/>
        </w:rPr>
        <w:t>rt</w:t>
      </w:r>
      <w:r>
        <w:rPr>
          <w:rFonts w:ascii="Bookman Old Style" w:hAnsi="Bookman Old Style"/>
          <w:sz w:val="28"/>
        </w:rPr>
        <w:t>ic</w:t>
      </w:r>
      <w:r>
        <w:rPr>
          <w:rFonts w:ascii="Bookman Old Style" w:hAnsi="Bookman Old Style"/>
          <w:spacing w:val="-3"/>
          <w:sz w:val="28"/>
        </w:rPr>
        <w:t>l</w:t>
      </w:r>
      <w:r>
        <w:rPr>
          <w:rFonts w:ascii="Bookman Old Style" w:hAnsi="Bookman Old Style"/>
          <w:sz w:val="28"/>
        </w:rPr>
        <w:t>e</w:t>
      </w:r>
      <w:r>
        <w:rPr>
          <w:rFonts w:ascii="Bookman Old Style" w:hAnsi="Bookman Old Style"/>
          <w:spacing w:val="35"/>
          <w:sz w:val="28"/>
        </w:rPr>
        <w:t xml:space="preserve"> </w:t>
      </w:r>
      <w:r>
        <w:rPr>
          <w:rFonts w:ascii="Bookman Old Style" w:hAnsi="Bookman Old Style"/>
          <w:sz w:val="28"/>
        </w:rPr>
        <w:t>13,</w:t>
      </w:r>
      <w:r>
        <w:rPr>
          <w:rFonts w:ascii="Bookman Old Style" w:hAnsi="Bookman Old Style"/>
          <w:spacing w:val="33"/>
          <w:sz w:val="28"/>
        </w:rPr>
        <w:t xml:space="preserve"> </w:t>
      </w:r>
      <w:r>
        <w:rPr>
          <w:rFonts w:ascii="Bookman Old Style" w:hAnsi="Bookman Old Style"/>
          <w:spacing w:val="-2"/>
          <w:sz w:val="28"/>
        </w:rPr>
        <w:t>t</w:t>
      </w:r>
      <w:r>
        <w:rPr>
          <w:rFonts w:ascii="Bookman Old Style" w:hAnsi="Bookman Old Style"/>
          <w:spacing w:val="-3"/>
          <w:sz w:val="28"/>
        </w:rPr>
        <w:t>h</w:t>
      </w:r>
      <w:r>
        <w:rPr>
          <w:rFonts w:ascii="Bookman Old Style" w:hAnsi="Bookman Old Style"/>
          <w:spacing w:val="2"/>
          <w:sz w:val="28"/>
        </w:rPr>
        <w:t>e</w:t>
      </w:r>
      <w:r>
        <w:rPr>
          <w:rFonts w:ascii="Bookman Old Style" w:hAnsi="Bookman Old Style"/>
          <w:sz w:val="28"/>
        </w:rPr>
        <w:t>y</w:t>
      </w:r>
      <w:r>
        <w:rPr>
          <w:rFonts w:ascii="Bookman Old Style" w:hAnsi="Bookman Old Style"/>
          <w:spacing w:val="32"/>
          <w:sz w:val="28"/>
        </w:rPr>
        <w:t xml:space="preserve"> </w:t>
      </w:r>
      <w:r>
        <w:rPr>
          <w:rFonts w:ascii="Bookman Old Style" w:hAnsi="Bookman Old Style"/>
          <w:spacing w:val="-1"/>
          <w:sz w:val="28"/>
        </w:rPr>
        <w:t>ha</w:t>
      </w:r>
      <w:r>
        <w:rPr>
          <w:rFonts w:ascii="Bookman Old Style" w:hAnsi="Bookman Old Style"/>
          <w:spacing w:val="-3"/>
          <w:sz w:val="28"/>
        </w:rPr>
        <w:t>v</w:t>
      </w:r>
      <w:r>
        <w:rPr>
          <w:rFonts w:ascii="Bookman Old Style" w:hAnsi="Bookman Old Style"/>
          <w:sz w:val="28"/>
        </w:rPr>
        <w:t>e</w:t>
      </w:r>
      <w:r>
        <w:rPr>
          <w:rFonts w:ascii="Bookman Old Style" w:hAnsi="Bookman Old Style"/>
          <w:spacing w:val="35"/>
          <w:sz w:val="28"/>
        </w:rPr>
        <w:t xml:space="preserve"> </w:t>
      </w:r>
      <w:r>
        <w:rPr>
          <w:rFonts w:ascii="Bookman Old Style" w:hAnsi="Bookman Old Style"/>
          <w:spacing w:val="-2"/>
          <w:sz w:val="28"/>
        </w:rPr>
        <w:t>b</w:t>
      </w:r>
      <w:r>
        <w:rPr>
          <w:rFonts w:ascii="Bookman Old Style" w:hAnsi="Bookman Old Style"/>
          <w:sz w:val="28"/>
        </w:rPr>
        <w:t>e</w:t>
      </w:r>
      <w:r>
        <w:rPr>
          <w:rFonts w:ascii="Bookman Old Style" w:hAnsi="Bookman Old Style"/>
          <w:spacing w:val="-2"/>
          <w:sz w:val="28"/>
        </w:rPr>
        <w:t>co</w:t>
      </w:r>
      <w:r>
        <w:rPr>
          <w:rFonts w:ascii="Bookman Old Style" w:hAnsi="Bookman Old Style"/>
          <w:spacing w:val="-3"/>
          <w:sz w:val="28"/>
        </w:rPr>
        <w:t>m</w:t>
      </w:r>
      <w:r>
        <w:rPr>
          <w:rFonts w:ascii="Bookman Old Style" w:hAnsi="Bookman Old Style"/>
          <w:sz w:val="28"/>
        </w:rPr>
        <w:t xml:space="preserve">e </w:t>
      </w:r>
      <w:r>
        <w:rPr>
          <w:rFonts w:ascii="Bookman Old Style" w:hAnsi="Bookman Old Style"/>
          <w:sz w:val="28"/>
        </w:rPr>
        <w:t>subject to the constitutional provisions contained in Part III whose violation can only be challenged in writ</w:t>
      </w:r>
      <w:r>
        <w:rPr>
          <w:rFonts w:ascii="Bookman Old Style" w:hAnsi="Bookman Old Style"/>
          <w:spacing w:val="-14"/>
          <w:sz w:val="28"/>
        </w:rPr>
        <w:t xml:space="preserve"> </w:t>
      </w:r>
      <w:r>
        <w:rPr>
          <w:rFonts w:ascii="Bookman Old Style" w:hAnsi="Bookman Old Style"/>
          <w:sz w:val="28"/>
        </w:rPr>
        <w:t>jurisdiction.</w:t>
      </w:r>
    </w:p>
    <w:p w:rsidR="003B2FC0" w:rsidRDefault="00052A49">
      <w:pPr>
        <w:pStyle w:val="ListParagraph"/>
        <w:numPr>
          <w:ilvl w:val="0"/>
          <w:numId w:val="60"/>
        </w:numPr>
        <w:tabs>
          <w:tab w:val="left" w:pos="1221"/>
        </w:tabs>
        <w:spacing w:before="2" w:line="480" w:lineRule="auto"/>
        <w:ind w:right="275" w:firstLine="0"/>
        <w:jc w:val="both"/>
        <w:rPr>
          <w:rFonts w:ascii="Bookman Old Style"/>
          <w:sz w:val="28"/>
        </w:rPr>
      </w:pPr>
      <w:r>
        <w:rPr>
          <w:rFonts w:ascii="Bookman Old Style"/>
          <w:sz w:val="28"/>
        </w:rPr>
        <w:t xml:space="preserve">Thereafter, the petitioners </w:t>
      </w:r>
      <w:r>
        <w:rPr>
          <w:rFonts w:ascii="Bookman Old Style"/>
          <w:spacing w:val="-3"/>
          <w:sz w:val="28"/>
        </w:rPr>
        <w:t xml:space="preserve">have </w:t>
      </w:r>
      <w:r>
        <w:rPr>
          <w:rFonts w:ascii="Bookman Old Style"/>
          <w:sz w:val="28"/>
        </w:rPr>
        <w:t>submitted that the respondent no. 2 has merely pressed the theory of intelligible differentia to justify encircling of women of prohibited age without elaborating the object sought to be achieved and whether the differentia even has any nexus with the obje</w:t>
      </w:r>
      <w:r>
        <w:rPr>
          <w:rFonts w:ascii="Bookman Old Style"/>
          <w:sz w:val="28"/>
        </w:rPr>
        <w:t>ct and the object of preventing deflecting of the idol from the stage of celibacy cannot be achieved from the present</w:t>
      </w:r>
      <w:r>
        <w:rPr>
          <w:rFonts w:ascii="Bookman Old Style"/>
          <w:spacing w:val="-8"/>
          <w:sz w:val="28"/>
        </w:rPr>
        <w:t xml:space="preserve"> </w:t>
      </w:r>
      <w:r>
        <w:rPr>
          <w:rFonts w:ascii="Bookman Old Style"/>
          <w:sz w:val="28"/>
        </w:rPr>
        <w:t>classification.</w:t>
      </w:r>
    </w:p>
    <w:p w:rsidR="003B2FC0" w:rsidRDefault="003B2FC0">
      <w:pPr>
        <w:spacing w:line="480" w:lineRule="auto"/>
        <w:jc w:val="both"/>
        <w:rPr>
          <w:rFonts w:ascii="Bookman Old Style"/>
          <w:sz w:val="28"/>
        </w:rPr>
        <w:sectPr w:rsidR="003B2FC0">
          <w:headerReference w:type="default" r:id="rId77"/>
          <w:footerReference w:type="default" r:id="rId78"/>
          <w:pgSz w:w="11910" w:h="16840"/>
          <w:pgMar w:top="1340" w:right="1160" w:bottom="280" w:left="940" w:header="554" w:footer="0" w:gutter="0"/>
          <w:pgNumType w:start="37"/>
          <w:cols w:space="720"/>
        </w:sectPr>
      </w:pPr>
    </w:p>
    <w:p w:rsidR="003B2FC0" w:rsidRDefault="00052A49">
      <w:pPr>
        <w:pStyle w:val="ListParagraph"/>
        <w:numPr>
          <w:ilvl w:val="0"/>
          <w:numId w:val="60"/>
        </w:numPr>
        <w:tabs>
          <w:tab w:val="left" w:pos="1221"/>
        </w:tabs>
        <w:spacing w:before="93" w:line="480" w:lineRule="auto"/>
        <w:ind w:right="273" w:firstLine="0"/>
        <w:jc w:val="both"/>
        <w:rPr>
          <w:rFonts w:ascii="Bookman Old Style" w:hAnsi="Bookman Old Style"/>
          <w:sz w:val="28"/>
        </w:rPr>
      </w:pPr>
      <w:r>
        <w:rPr>
          <w:rFonts w:ascii="Bookman Old Style" w:hAnsi="Bookman Old Style"/>
          <w:sz w:val="28"/>
        </w:rPr>
        <w:t>Further, the petitioners have submitted that the respondent no. 2 has wrongly s</w:t>
      </w:r>
      <w:r>
        <w:rPr>
          <w:rFonts w:ascii="Bookman Old Style" w:hAnsi="Bookman Old Style"/>
          <w:sz w:val="28"/>
        </w:rPr>
        <w:t>tated that the Sabarimala temple is a  religious denomination, for any temple under a statutory board like a Devaswom Board and financed out of the Consolidated Fund of Kerala and whose employees are employed by the Kerala Service Commission cannot claim t</w:t>
      </w:r>
      <w:r>
        <w:rPr>
          <w:rFonts w:ascii="Bookman Old Style" w:hAnsi="Bookman Old Style"/>
          <w:sz w:val="28"/>
        </w:rPr>
        <w:t>o be an independent „religious denomination‟.</w:t>
      </w:r>
    </w:p>
    <w:p w:rsidR="003B2FC0" w:rsidRDefault="00052A49">
      <w:pPr>
        <w:pStyle w:val="ListParagraph"/>
        <w:numPr>
          <w:ilvl w:val="0"/>
          <w:numId w:val="60"/>
        </w:numPr>
        <w:tabs>
          <w:tab w:val="left" w:pos="1221"/>
        </w:tabs>
        <w:spacing w:line="480" w:lineRule="auto"/>
        <w:ind w:right="272" w:firstLine="0"/>
        <w:jc w:val="both"/>
        <w:rPr>
          <w:rFonts w:ascii="Bookman Old Style"/>
          <w:sz w:val="28"/>
        </w:rPr>
      </w:pPr>
      <w:r>
        <w:rPr>
          <w:rFonts w:ascii="Bookman Old Style"/>
          <w:sz w:val="28"/>
        </w:rPr>
        <w:t>Besides, the petitioners have contended that several ill- practices in existence and falling within the ambit of religion as cited by the respondent no. 2 may not be acceptable today and the said practices have</w:t>
      </w:r>
      <w:r>
        <w:rPr>
          <w:rFonts w:ascii="Bookman Old Style"/>
          <w:sz w:val="28"/>
        </w:rPr>
        <w:t xml:space="preserve"> not come up before this Court and should not be taken cognizance of. Further, it is the view of the petitioners that the said practices cannot be held to be </w:t>
      </w:r>
      <w:r>
        <w:rPr>
          <w:rFonts w:ascii="Bookman Old Style"/>
          <w:spacing w:val="-3"/>
          <w:sz w:val="28"/>
        </w:rPr>
        <w:t xml:space="preserve">the </w:t>
      </w:r>
      <w:r>
        <w:rPr>
          <w:rFonts w:ascii="Bookman Old Style"/>
          <w:sz w:val="28"/>
        </w:rPr>
        <w:t>essence of religion as they had evolved out of convenience and, in due course of time, have be</w:t>
      </w:r>
      <w:r>
        <w:rPr>
          <w:rFonts w:ascii="Bookman Old Style"/>
          <w:sz w:val="28"/>
        </w:rPr>
        <w:t>come crude accretions. To prove its point, the petitioners have cited the examples of the practices of dowry and restriction of women from entering mosques which, although had come into existence due to certain factors existing at the relevant time, no lon</w:t>
      </w:r>
      <w:r>
        <w:rPr>
          <w:rFonts w:ascii="Bookman Old Style"/>
          <w:sz w:val="28"/>
        </w:rPr>
        <w:t>ger</w:t>
      </w:r>
      <w:r>
        <w:rPr>
          <w:rFonts w:ascii="Bookman Old Style"/>
          <w:spacing w:val="-8"/>
          <w:sz w:val="28"/>
        </w:rPr>
        <w:t xml:space="preserve"> </w:t>
      </w:r>
      <w:r>
        <w:rPr>
          <w:rFonts w:ascii="Bookman Old Style"/>
          <w:sz w:val="28"/>
        </w:rPr>
        <w:t>apply.</w:t>
      </w:r>
    </w:p>
    <w:p w:rsidR="003B2FC0" w:rsidRDefault="00052A49">
      <w:pPr>
        <w:pStyle w:val="ListParagraph"/>
        <w:numPr>
          <w:ilvl w:val="0"/>
          <w:numId w:val="60"/>
        </w:numPr>
        <w:tabs>
          <w:tab w:val="left" w:pos="1221"/>
        </w:tabs>
        <w:spacing w:before="1" w:line="480" w:lineRule="auto"/>
        <w:ind w:right="276" w:firstLine="0"/>
        <w:jc w:val="both"/>
        <w:rPr>
          <w:rFonts w:ascii="Bookman Old Style"/>
          <w:sz w:val="28"/>
        </w:rPr>
      </w:pPr>
      <w:r>
        <w:rPr>
          <w:rFonts w:ascii="Bookman Old Style"/>
          <w:sz w:val="28"/>
        </w:rPr>
        <w:t>Thereafter, the petitioners have contended that if Sabarimala</w:t>
      </w:r>
      <w:r>
        <w:rPr>
          <w:rFonts w:ascii="Bookman Old Style"/>
          <w:spacing w:val="32"/>
          <w:sz w:val="28"/>
        </w:rPr>
        <w:t xml:space="preserve"> </w:t>
      </w:r>
      <w:r>
        <w:rPr>
          <w:rFonts w:ascii="Bookman Old Style"/>
          <w:sz w:val="28"/>
        </w:rPr>
        <w:t>does</w:t>
      </w:r>
      <w:r>
        <w:rPr>
          <w:rFonts w:ascii="Bookman Old Style"/>
          <w:spacing w:val="32"/>
          <w:sz w:val="28"/>
        </w:rPr>
        <w:t xml:space="preserve"> </w:t>
      </w:r>
      <w:r>
        <w:rPr>
          <w:rFonts w:ascii="Bookman Old Style"/>
          <w:sz w:val="28"/>
        </w:rPr>
        <w:t>not</w:t>
      </w:r>
      <w:r>
        <w:rPr>
          <w:rFonts w:ascii="Bookman Old Style"/>
          <w:spacing w:val="29"/>
          <w:sz w:val="28"/>
        </w:rPr>
        <w:t xml:space="preserve"> </w:t>
      </w:r>
      <w:r>
        <w:rPr>
          <w:rFonts w:ascii="Bookman Old Style"/>
          <w:sz w:val="28"/>
        </w:rPr>
        <w:t>come</w:t>
      </w:r>
      <w:r>
        <w:rPr>
          <w:rFonts w:ascii="Bookman Old Style"/>
          <w:spacing w:val="31"/>
          <w:sz w:val="28"/>
        </w:rPr>
        <w:t xml:space="preserve"> </w:t>
      </w:r>
      <w:r>
        <w:rPr>
          <w:rFonts w:ascii="Bookman Old Style"/>
          <w:sz w:val="28"/>
        </w:rPr>
        <w:t>in</w:t>
      </w:r>
      <w:r>
        <w:rPr>
          <w:rFonts w:ascii="Bookman Old Style"/>
          <w:spacing w:val="30"/>
          <w:sz w:val="28"/>
        </w:rPr>
        <w:t xml:space="preserve"> </w:t>
      </w:r>
      <w:r>
        <w:rPr>
          <w:rFonts w:ascii="Bookman Old Style"/>
          <w:sz w:val="28"/>
        </w:rPr>
        <w:t>the</w:t>
      </w:r>
      <w:r>
        <w:rPr>
          <w:rFonts w:ascii="Bookman Old Style"/>
          <w:spacing w:val="32"/>
          <w:sz w:val="28"/>
        </w:rPr>
        <w:t xml:space="preserve"> </w:t>
      </w:r>
      <w:r>
        <w:rPr>
          <w:rFonts w:ascii="Bookman Old Style"/>
          <w:sz w:val="28"/>
        </w:rPr>
        <w:t>category</w:t>
      </w:r>
      <w:r>
        <w:rPr>
          <w:rFonts w:ascii="Bookman Old Style"/>
          <w:spacing w:val="30"/>
          <w:sz w:val="28"/>
        </w:rPr>
        <w:t xml:space="preserve"> </w:t>
      </w:r>
      <w:r>
        <w:rPr>
          <w:rFonts w:ascii="Bookman Old Style"/>
          <w:sz w:val="28"/>
        </w:rPr>
        <w:t>of</w:t>
      </w:r>
      <w:r>
        <w:rPr>
          <w:rFonts w:ascii="Bookman Old Style"/>
          <w:spacing w:val="30"/>
          <w:sz w:val="28"/>
        </w:rPr>
        <w:t xml:space="preserve"> </w:t>
      </w:r>
      <w:r>
        <w:rPr>
          <w:rFonts w:ascii="Bookman Old Style"/>
          <w:sz w:val="28"/>
        </w:rPr>
        <w:t>religious</w:t>
      </w:r>
    </w:p>
    <w:p w:rsidR="003B2FC0" w:rsidRDefault="003B2FC0">
      <w:pPr>
        <w:spacing w:line="480" w:lineRule="auto"/>
        <w:jc w:val="both"/>
        <w:rPr>
          <w:rFonts w:ascii="Bookman Old Style"/>
          <w:sz w:val="28"/>
        </w:rPr>
        <w:sectPr w:rsidR="003B2FC0">
          <w:headerReference w:type="default" r:id="rId79"/>
          <w:footerReference w:type="default" r:id="rId80"/>
          <w:pgSz w:w="11910" w:h="16840"/>
          <w:pgMar w:top="1340" w:right="1160" w:bottom="280" w:left="940" w:header="554" w:footer="0" w:gutter="0"/>
          <w:pgNumType w:start="38"/>
          <w:cols w:space="720"/>
        </w:sectPr>
      </w:pPr>
    </w:p>
    <w:p w:rsidR="003B2FC0" w:rsidRDefault="00052A49">
      <w:pPr>
        <w:pStyle w:val="BodyText"/>
        <w:spacing w:before="93" w:line="480" w:lineRule="auto"/>
        <w:ind w:left="500" w:right="273"/>
        <w:jc w:val="both"/>
      </w:pPr>
      <w:r>
        <w:t xml:space="preserve">denomination, then it cannot claim the right under Article 26 and it would come within the purview of Article 12 making it subject to Articles 14 and 15 and, hence, the State would be restrained from denying equal protection of law and cannot discriminate </w:t>
      </w:r>
      <w:r>
        <w:t xml:space="preserve">on the basis of sex. Even if it is concluded that Sabarimala is a religious denomination, then as per the </w:t>
      </w:r>
      <w:r>
        <w:rPr>
          <w:b/>
          <w:i/>
        </w:rPr>
        <w:t xml:space="preserve">Devaru </w:t>
      </w:r>
      <w:r>
        <w:t>case, there has to be a harmonious construction between Articles 25 and 26 of the Constitution and, thus, to completely deny women of the age g</w:t>
      </w:r>
      <w:r>
        <w:t xml:space="preserve">roup of 10 to 50 years from entering the temple would be impermissible as per the </w:t>
      </w:r>
      <w:r>
        <w:rPr>
          <w:b/>
          <w:i/>
        </w:rPr>
        <w:t xml:space="preserve">Devaru </w:t>
      </w:r>
      <w:r>
        <w:t xml:space="preserve">case. Finally, the petitioners have submitted that in legal and constitutional parlance, after </w:t>
      </w:r>
      <w:r>
        <w:t>c</w:t>
      </w:r>
      <w:r>
        <w:rPr>
          <w:spacing w:val="1"/>
        </w:rPr>
        <w:t>o</w:t>
      </w:r>
      <w:r>
        <w:t>ming</w:t>
      </w:r>
      <w:r>
        <w:rPr>
          <w:spacing w:val="17"/>
        </w:rPr>
        <w:t xml:space="preserve"> </w:t>
      </w:r>
      <w:r>
        <w:t>in</w:t>
      </w:r>
      <w:r>
        <w:rPr>
          <w:spacing w:val="-5"/>
        </w:rPr>
        <w:t>t</w:t>
      </w:r>
      <w:r>
        <w:t>o</w:t>
      </w:r>
      <w:r>
        <w:rPr>
          <w:spacing w:val="16"/>
        </w:rPr>
        <w:t xml:space="preserve"> </w:t>
      </w:r>
      <w:r>
        <w:rPr>
          <w:spacing w:val="2"/>
        </w:rPr>
        <w:t>e</w:t>
      </w:r>
      <w:r>
        <w:rPr>
          <w:spacing w:val="-2"/>
        </w:rPr>
        <w:t>f</w:t>
      </w:r>
      <w:r>
        <w:rPr>
          <w:spacing w:val="-4"/>
        </w:rPr>
        <w:t>f</w:t>
      </w:r>
      <w:r>
        <w:rPr>
          <w:spacing w:val="2"/>
        </w:rPr>
        <w:t>e</w:t>
      </w:r>
      <w:r>
        <w:t>ct</w:t>
      </w:r>
      <w:r>
        <w:rPr>
          <w:spacing w:val="17"/>
        </w:rPr>
        <w:t xml:space="preserve"> </w:t>
      </w:r>
      <w:r>
        <w:t>of</w:t>
      </w:r>
      <w:r>
        <w:rPr>
          <w:spacing w:val="17"/>
        </w:rPr>
        <w:t xml:space="preserve"> </w:t>
      </w:r>
      <w:r>
        <w:rPr>
          <w:spacing w:val="-2"/>
        </w:rPr>
        <w:t>t</w:t>
      </w:r>
      <w:r>
        <w:rPr>
          <w:spacing w:val="-1"/>
        </w:rPr>
        <w:t>h</w:t>
      </w:r>
      <w:r>
        <w:t>e</w:t>
      </w:r>
      <w:r>
        <w:rPr>
          <w:spacing w:val="17"/>
        </w:rPr>
        <w:t xml:space="preserve"> </w:t>
      </w:r>
      <w:r>
        <w:rPr>
          <w:spacing w:val="-2"/>
        </w:rPr>
        <w:t>C</w:t>
      </w:r>
      <w:r>
        <w:t>o</w:t>
      </w:r>
      <w:r>
        <w:rPr>
          <w:spacing w:val="-1"/>
        </w:rPr>
        <w:t>ns</w:t>
      </w:r>
      <w:r>
        <w:rPr>
          <w:spacing w:val="-2"/>
        </w:rPr>
        <w:t>t</w:t>
      </w:r>
      <w:r>
        <w:t>i</w:t>
      </w:r>
      <w:r>
        <w:rPr>
          <w:spacing w:val="-2"/>
        </w:rPr>
        <w:t>t</w:t>
      </w:r>
      <w:r>
        <w:t>u</w:t>
      </w:r>
      <w:r>
        <w:rPr>
          <w:spacing w:val="-2"/>
        </w:rPr>
        <w:t>t</w:t>
      </w:r>
      <w:r>
        <w:rPr>
          <w:spacing w:val="-3"/>
        </w:rPr>
        <w:t>i</w:t>
      </w:r>
      <w:r>
        <w:t>on</w:t>
      </w:r>
      <w:r>
        <w:rPr>
          <w:spacing w:val="17"/>
        </w:rPr>
        <w:t xml:space="preserve"> </w:t>
      </w:r>
      <w:r>
        <w:t>of</w:t>
      </w:r>
      <w:r>
        <w:rPr>
          <w:spacing w:val="14"/>
        </w:rPr>
        <w:t xml:space="preserve"> </w:t>
      </w:r>
      <w:r>
        <w:rPr>
          <w:spacing w:val="2"/>
        </w:rPr>
        <w:t>I</w:t>
      </w:r>
      <w:r>
        <w:rPr>
          <w:spacing w:val="-3"/>
        </w:rPr>
        <w:t>n</w:t>
      </w:r>
      <w:r>
        <w:t>di</w:t>
      </w:r>
      <w:r>
        <w:rPr>
          <w:spacing w:val="3"/>
        </w:rPr>
        <w:t>a</w:t>
      </w:r>
      <w:r>
        <w:t>,</w:t>
      </w:r>
      <w:r>
        <w:rPr>
          <w:spacing w:val="17"/>
        </w:rPr>
        <w:t xml:space="preserve"> </w:t>
      </w:r>
      <w:r>
        <w:rPr>
          <w:spacing w:val="-2"/>
          <w:w w:val="55"/>
        </w:rPr>
        <w:t>„</w:t>
      </w:r>
      <w:r>
        <w:t>dig</w:t>
      </w:r>
      <w:r>
        <w:rPr>
          <w:spacing w:val="-2"/>
        </w:rPr>
        <w:t>n</w:t>
      </w:r>
      <w:r>
        <w:rPr>
          <w:spacing w:val="-3"/>
        </w:rPr>
        <w:t>i</w:t>
      </w:r>
      <w:r>
        <w:rPr>
          <w:spacing w:val="-2"/>
        </w:rPr>
        <w:t>t</w:t>
      </w:r>
      <w:r>
        <w:t>y</w:t>
      </w:r>
      <w:r>
        <w:rPr>
          <w:spacing w:val="17"/>
        </w:rPr>
        <w:t xml:space="preserve"> </w:t>
      </w:r>
      <w:r>
        <w:t>of</w:t>
      </w:r>
      <w:r>
        <w:rPr>
          <w:spacing w:val="17"/>
        </w:rPr>
        <w:t xml:space="preserve"> </w:t>
      </w:r>
      <w:r>
        <w:t>wo</w:t>
      </w:r>
      <w:r>
        <w:rPr>
          <w:spacing w:val="-1"/>
        </w:rPr>
        <w:t>m</w:t>
      </w:r>
      <w:r>
        <w:rPr>
          <w:spacing w:val="2"/>
        </w:rPr>
        <w:t>e</w:t>
      </w:r>
      <w:r>
        <w:rPr>
          <w:spacing w:val="-3"/>
        </w:rPr>
        <w:t>n</w:t>
      </w:r>
      <w:r>
        <w:rPr>
          <w:w w:val="29"/>
        </w:rPr>
        <w:t>‟</w:t>
      </w:r>
      <w:r>
        <w:rPr>
          <w:w w:val="29"/>
        </w:rPr>
        <w:t xml:space="preserve"> </w:t>
      </w:r>
      <w:r>
        <w:t>under Article 51A(e) is an essential ingredient of constitutional morality.</w:t>
      </w:r>
    </w:p>
    <w:p w:rsidR="003B2FC0" w:rsidRDefault="00052A49">
      <w:pPr>
        <w:pStyle w:val="BodyText"/>
        <w:spacing w:before="4" w:line="237" w:lineRule="auto"/>
        <w:ind w:left="500" w:right="273"/>
        <w:jc w:val="both"/>
        <w:rPr>
          <w:b/>
        </w:rPr>
      </w:pPr>
      <w:r>
        <w:rPr>
          <w:b/>
          <w:u w:val="single"/>
        </w:rPr>
        <w:t>Rejoinder Submissions on behalf of Intervenor in I.A No. 10</w:t>
      </w:r>
      <w:r>
        <w:rPr>
          <w:b/>
        </w:rPr>
        <w:t xml:space="preserve"> </w:t>
      </w:r>
      <w:r>
        <w:rPr>
          <w:b/>
          <w:u w:val="single"/>
        </w:rPr>
        <w:t>of</w:t>
      </w:r>
      <w:r>
        <w:rPr>
          <w:b/>
          <w:spacing w:val="-2"/>
          <w:u w:val="single"/>
        </w:rPr>
        <w:t xml:space="preserve"> </w:t>
      </w:r>
      <w:r>
        <w:rPr>
          <w:b/>
          <w:u w:val="single"/>
        </w:rPr>
        <w:t>2016</w:t>
      </w:r>
    </w:p>
    <w:p w:rsidR="003B2FC0" w:rsidRDefault="003B2FC0">
      <w:pPr>
        <w:pStyle w:val="BodyText"/>
        <w:spacing w:before="3"/>
        <w:rPr>
          <w:b/>
        </w:rPr>
      </w:pPr>
    </w:p>
    <w:p w:rsidR="003B2FC0" w:rsidRDefault="00052A49">
      <w:pPr>
        <w:pStyle w:val="ListParagraph"/>
        <w:numPr>
          <w:ilvl w:val="0"/>
          <w:numId w:val="60"/>
        </w:numPr>
        <w:tabs>
          <w:tab w:val="left" w:pos="1221"/>
        </w:tabs>
        <w:spacing w:line="480" w:lineRule="auto"/>
        <w:ind w:right="276" w:firstLine="0"/>
        <w:jc w:val="both"/>
        <w:rPr>
          <w:rFonts w:ascii="Bookman Old Style"/>
          <w:sz w:val="28"/>
        </w:rPr>
      </w:pPr>
      <w:r>
        <w:rPr>
          <w:rFonts w:ascii="Bookman Old Style"/>
          <w:sz w:val="28"/>
        </w:rPr>
        <w:t>The applicant/intervenor has submitted that the law relating to entry into temple for darshan is separate and d</w:t>
      </w:r>
      <w:r>
        <w:rPr>
          <w:rFonts w:ascii="Bookman Old Style"/>
          <w:sz w:val="28"/>
        </w:rPr>
        <w:t>istinct from the law relating to management of religious affairs. The former is governed by Article 25 and the latter is governed by Article 26. Further, the applicant/intervenor has pointed out that even those institutions which are held to be denominatio</w:t>
      </w:r>
      <w:r>
        <w:rPr>
          <w:rFonts w:ascii="Bookman Old Style"/>
          <w:sz w:val="28"/>
        </w:rPr>
        <w:t>ns</w:t>
      </w:r>
      <w:r>
        <w:rPr>
          <w:rFonts w:ascii="Bookman Old Style"/>
          <w:spacing w:val="18"/>
          <w:sz w:val="28"/>
        </w:rPr>
        <w:t xml:space="preserve"> </w:t>
      </w:r>
      <w:r>
        <w:rPr>
          <w:rFonts w:ascii="Bookman Old Style"/>
          <w:sz w:val="28"/>
        </w:rPr>
        <w:t>and</w:t>
      </w:r>
    </w:p>
    <w:p w:rsidR="003B2FC0" w:rsidRDefault="003B2FC0">
      <w:pPr>
        <w:spacing w:line="480" w:lineRule="auto"/>
        <w:jc w:val="both"/>
        <w:rPr>
          <w:rFonts w:ascii="Bookman Old Style"/>
          <w:sz w:val="28"/>
        </w:rPr>
        <w:sectPr w:rsidR="003B2FC0">
          <w:headerReference w:type="default" r:id="rId81"/>
          <w:footerReference w:type="default" r:id="rId82"/>
          <w:pgSz w:w="11910" w:h="16840"/>
          <w:pgMar w:top="1340" w:right="1160" w:bottom="280" w:left="940" w:header="554" w:footer="0" w:gutter="0"/>
          <w:pgNumType w:start="39"/>
          <w:cols w:space="720"/>
        </w:sectPr>
      </w:pPr>
    </w:p>
    <w:p w:rsidR="003B2FC0" w:rsidRDefault="00052A49">
      <w:pPr>
        <w:pStyle w:val="BodyText"/>
        <w:spacing w:before="93" w:line="480" w:lineRule="auto"/>
        <w:ind w:left="500" w:right="272"/>
        <w:jc w:val="both"/>
      </w:pPr>
      <w:r>
        <w:t xml:space="preserve">claim protection under Article 26 cannot deny entry to any person for the purpose of </w:t>
      </w:r>
      <w:r>
        <w:rPr>
          <w:i/>
        </w:rPr>
        <w:t xml:space="preserve">darshan </w:t>
      </w:r>
      <w:r>
        <w:t xml:space="preserve">and the </w:t>
      </w:r>
      <w:r>
        <w:rPr>
          <w:i/>
        </w:rPr>
        <w:t xml:space="preserve">ex facie </w:t>
      </w:r>
      <w:r>
        <w:t>denial of women between the age group of 10 to 50 years violates Articles 14, 15, 21 and 25 of the</w:t>
      </w:r>
      <w:r>
        <w:rPr>
          <w:spacing w:val="-13"/>
        </w:rPr>
        <w:t xml:space="preserve"> </w:t>
      </w:r>
      <w:r>
        <w:t>Constitution.</w:t>
      </w:r>
    </w:p>
    <w:p w:rsidR="003B2FC0" w:rsidRDefault="00052A49">
      <w:pPr>
        <w:pStyle w:val="ListParagraph"/>
        <w:numPr>
          <w:ilvl w:val="0"/>
          <w:numId w:val="60"/>
        </w:numPr>
        <w:tabs>
          <w:tab w:val="left" w:pos="1221"/>
        </w:tabs>
        <w:spacing w:line="480" w:lineRule="auto"/>
        <w:ind w:right="272" w:firstLine="0"/>
        <w:jc w:val="both"/>
        <w:rPr>
          <w:rFonts w:ascii="Bookman Old Style"/>
          <w:sz w:val="28"/>
        </w:rPr>
      </w:pPr>
      <w:r>
        <w:rPr>
          <w:rFonts w:ascii="Bookman Old Style"/>
          <w:sz w:val="28"/>
        </w:rPr>
        <w:t>Thereafter, the applicant/intervenor has averred that the question whether Sabarimala is a denomination or not is irrelevant for the reason tha</w:t>
      </w:r>
      <w:r>
        <w:rPr>
          <w:rFonts w:ascii="Bookman Old Style"/>
          <w:sz w:val="28"/>
        </w:rPr>
        <w:t>t even if it is concluded that Sabarimala is a denomination, it can claim protection of only essential practices under Article 26(b) and denial of entry to women between the age of 10 to 50 years cannot be said to be an essential aspect of the Hindu religi</w:t>
      </w:r>
      <w:r>
        <w:rPr>
          <w:rFonts w:ascii="Bookman Old Style"/>
          <w:sz w:val="28"/>
        </w:rPr>
        <w:t xml:space="preserve">on. Further, the applicant/intervenor has also averred that Sabarimala does not satisfy the test of religious denomination as laid down in </w:t>
      </w:r>
      <w:r>
        <w:rPr>
          <w:rFonts w:ascii="Bookman Old Style"/>
          <w:b/>
          <w:i/>
          <w:sz w:val="28"/>
        </w:rPr>
        <w:t>S.P. Mittal</w:t>
      </w:r>
      <w:r>
        <w:rPr>
          <w:rFonts w:ascii="Bookman Old Style"/>
          <w:b/>
          <w:i/>
          <w:spacing w:val="-1"/>
          <w:sz w:val="28"/>
        </w:rPr>
        <w:t xml:space="preserve"> </w:t>
      </w:r>
      <w:r>
        <w:rPr>
          <w:rFonts w:ascii="Bookman Old Style"/>
          <w:sz w:val="28"/>
        </w:rPr>
        <w:t>(supra).</w:t>
      </w:r>
    </w:p>
    <w:p w:rsidR="003B2FC0" w:rsidRDefault="00052A49">
      <w:pPr>
        <w:pStyle w:val="ListParagraph"/>
        <w:numPr>
          <w:ilvl w:val="0"/>
          <w:numId w:val="60"/>
        </w:numPr>
        <w:tabs>
          <w:tab w:val="left" w:pos="1221"/>
        </w:tabs>
        <w:spacing w:before="1" w:line="480" w:lineRule="auto"/>
        <w:ind w:right="277" w:firstLine="0"/>
        <w:jc w:val="both"/>
        <w:rPr>
          <w:rFonts w:ascii="Bookman Old Style"/>
          <w:sz w:val="28"/>
        </w:rPr>
      </w:pPr>
      <w:r>
        <w:rPr>
          <w:rFonts w:ascii="Bookman Old Style"/>
          <w:sz w:val="28"/>
        </w:rPr>
        <w:t>The applicant/intervenor has also submitted that the respondents, by referring to the practice as a custom with aberrations, have themselves suggested that there has been no continuity in the applicability of the said custom and that it has also been estab</w:t>
      </w:r>
      <w:r>
        <w:rPr>
          <w:rFonts w:ascii="Bookman Old Style"/>
          <w:sz w:val="28"/>
        </w:rPr>
        <w:t>lished in the evidence before the High Court that women irrespective of their age were permitted to enter the Sabarimala</w:t>
      </w:r>
      <w:r>
        <w:rPr>
          <w:rFonts w:ascii="Bookman Old Style"/>
          <w:spacing w:val="52"/>
          <w:sz w:val="28"/>
        </w:rPr>
        <w:t xml:space="preserve"> </w:t>
      </w:r>
      <w:r>
        <w:rPr>
          <w:rFonts w:ascii="Bookman Old Style"/>
          <w:sz w:val="28"/>
        </w:rPr>
        <w:t>for</w:t>
      </w:r>
      <w:r>
        <w:rPr>
          <w:rFonts w:ascii="Bookman Old Style"/>
          <w:spacing w:val="51"/>
          <w:sz w:val="28"/>
        </w:rPr>
        <w:t xml:space="preserve"> </w:t>
      </w:r>
      <w:r>
        <w:rPr>
          <w:rFonts w:ascii="Bookman Old Style"/>
          <w:sz w:val="28"/>
        </w:rPr>
        <w:t>the</w:t>
      </w:r>
      <w:r>
        <w:rPr>
          <w:rFonts w:ascii="Bookman Old Style"/>
          <w:spacing w:val="53"/>
          <w:sz w:val="28"/>
        </w:rPr>
        <w:t xml:space="preserve"> </w:t>
      </w:r>
      <w:r>
        <w:rPr>
          <w:rFonts w:ascii="Bookman Old Style"/>
          <w:sz w:val="28"/>
        </w:rPr>
        <w:t>first</w:t>
      </w:r>
      <w:r>
        <w:rPr>
          <w:rFonts w:ascii="Bookman Old Style"/>
          <w:spacing w:val="51"/>
          <w:sz w:val="28"/>
        </w:rPr>
        <w:t xml:space="preserve"> </w:t>
      </w:r>
      <w:r>
        <w:rPr>
          <w:rFonts w:ascii="Bookman Old Style"/>
          <w:sz w:val="28"/>
        </w:rPr>
        <w:t>rice</w:t>
      </w:r>
      <w:r>
        <w:rPr>
          <w:rFonts w:ascii="Bookman Old Style"/>
          <w:spacing w:val="55"/>
          <w:sz w:val="28"/>
        </w:rPr>
        <w:t xml:space="preserve"> </w:t>
      </w:r>
      <w:r>
        <w:rPr>
          <w:rFonts w:ascii="Bookman Old Style"/>
          <w:sz w:val="28"/>
        </w:rPr>
        <w:t>feeding</w:t>
      </w:r>
      <w:r>
        <w:rPr>
          <w:rFonts w:ascii="Bookman Old Style"/>
          <w:spacing w:val="50"/>
          <w:sz w:val="28"/>
        </w:rPr>
        <w:t xml:space="preserve"> </w:t>
      </w:r>
      <w:r>
        <w:rPr>
          <w:rFonts w:ascii="Bookman Old Style"/>
          <w:sz w:val="28"/>
        </w:rPr>
        <w:t>ceremony</w:t>
      </w:r>
      <w:r>
        <w:rPr>
          <w:rFonts w:ascii="Bookman Old Style"/>
          <w:spacing w:val="51"/>
          <w:sz w:val="28"/>
        </w:rPr>
        <w:t xml:space="preserve"> </w:t>
      </w:r>
      <w:r>
        <w:rPr>
          <w:rFonts w:ascii="Bookman Old Style"/>
          <w:sz w:val="28"/>
        </w:rPr>
        <w:t>of</w:t>
      </w:r>
      <w:r>
        <w:rPr>
          <w:rFonts w:ascii="Bookman Old Style"/>
          <w:spacing w:val="50"/>
          <w:sz w:val="28"/>
        </w:rPr>
        <w:t xml:space="preserve"> </w:t>
      </w:r>
      <w:r>
        <w:rPr>
          <w:rFonts w:ascii="Bookman Old Style"/>
          <w:sz w:val="28"/>
        </w:rPr>
        <w:t>their</w:t>
      </w:r>
      <w:r>
        <w:rPr>
          <w:rFonts w:ascii="Bookman Old Style"/>
          <w:spacing w:val="51"/>
          <w:sz w:val="28"/>
        </w:rPr>
        <w:t xml:space="preserve"> </w:t>
      </w:r>
      <w:r>
        <w:rPr>
          <w:rFonts w:ascii="Bookman Old Style"/>
          <w:sz w:val="28"/>
        </w:rPr>
        <w:t>children</w:t>
      </w:r>
    </w:p>
    <w:p w:rsidR="003B2FC0" w:rsidRDefault="003B2FC0">
      <w:pPr>
        <w:spacing w:line="480" w:lineRule="auto"/>
        <w:jc w:val="both"/>
        <w:rPr>
          <w:rFonts w:ascii="Bookman Old Style"/>
          <w:sz w:val="28"/>
        </w:rPr>
        <w:sectPr w:rsidR="003B2FC0">
          <w:headerReference w:type="default" r:id="rId83"/>
          <w:footerReference w:type="default" r:id="rId84"/>
          <w:pgSz w:w="11910" w:h="16840"/>
          <w:pgMar w:top="1340" w:right="1160" w:bottom="280" w:left="940" w:header="554" w:footer="0" w:gutter="0"/>
          <w:pgNumType w:start="40"/>
          <w:cols w:space="720"/>
        </w:sectPr>
      </w:pPr>
    </w:p>
    <w:p w:rsidR="003B2FC0" w:rsidRDefault="00052A49">
      <w:pPr>
        <w:pStyle w:val="BodyText"/>
        <w:spacing w:before="93" w:line="480" w:lineRule="auto"/>
        <w:ind w:left="500" w:right="274"/>
        <w:jc w:val="both"/>
      </w:pPr>
      <w:r>
        <w:t>and it is only since the last 60 years after the passing of the Notification in 1955 that women between the age of 10 to 50 years were prohibited from entering the temple. The applicant/intervenor has also pointed out that even if the said practice is cons</w:t>
      </w:r>
      <w:r>
        <w:t xml:space="preserve">idered to be a custom, it has to still pass the test of constitutional morality and constitutional legitimacy and the applicant/intervenor has relied upon the decision of this Court in </w:t>
      </w:r>
      <w:r>
        <w:rPr>
          <w:b/>
          <w:i/>
        </w:rPr>
        <w:t>Adi Saiva Sivachariyargal Nala Sangam and others v. Government of Tamil</w:t>
      </w:r>
      <w:r>
        <w:rPr>
          <w:b/>
          <w:i/>
        </w:rPr>
        <w:t xml:space="preserve"> Nadu and others </w:t>
      </w:r>
      <w:r>
        <w:rPr>
          <w:position w:val="7"/>
          <w:sz w:val="18"/>
        </w:rPr>
        <w:t xml:space="preserve">21 </w:t>
      </w:r>
      <w:r>
        <w:t xml:space="preserve">wherein it </w:t>
      </w:r>
      <w:r>
        <w:rPr>
          <w:spacing w:val="-2"/>
        </w:rPr>
        <w:t xml:space="preserve">was </w:t>
      </w:r>
      <w:r>
        <w:t>observed:</w:t>
      </w:r>
    </w:p>
    <w:p w:rsidR="003B2FC0" w:rsidRDefault="00052A49">
      <w:pPr>
        <w:pStyle w:val="BodyText"/>
        <w:spacing w:before="1"/>
        <w:ind w:left="1220" w:right="996"/>
        <w:jc w:val="both"/>
      </w:pPr>
      <w:r>
        <w:t>“48. Seshammal vs State of T.N., (1972) 2 SCC 11] is not an authority for any proposition as to what an Agama or a set of Agamas governing a particular or group of temples lay down with regard to the question th</w:t>
      </w:r>
      <w:r>
        <w:t>at confronts the court, namely, whether any particular denomination of worshippers or believers have an exclusive right to be appointed as Archakas to perform the poojas. Much less, has the judgment  taken note of the particular class or caste to which the</w:t>
      </w:r>
      <w:r>
        <w:t xml:space="preserve"> Archakas of a temple must belong asprescribed by the Agamas. All that it does and says is that some of the Agamas do incorporate a fundamental religious belief of the necessity of performance of the poojas by Archakas belonging to a particular and distinc</w:t>
      </w:r>
      <w:r>
        <w:t>t sect/group/denomination, failing which, there will be defilement of deity requiring purification ceremonies. Surely, if the Agamas in question do not proscribe any group of citizens from being appointed as Archakas on the basis of caste or class the sanc</w:t>
      </w:r>
      <w:r>
        <w:t>tity of Article 17 or any other provision of Part III of the Constitution or even</w:t>
      </w:r>
      <w:r>
        <w:rPr>
          <w:spacing w:val="13"/>
        </w:rPr>
        <w:t xml:space="preserve"> </w:t>
      </w:r>
      <w:r>
        <w:t>theProtection</w:t>
      </w:r>
      <w:r>
        <w:rPr>
          <w:spacing w:val="14"/>
        </w:rPr>
        <w:t xml:space="preserve"> </w:t>
      </w:r>
      <w:r>
        <w:t>of</w:t>
      </w:r>
      <w:r>
        <w:rPr>
          <w:spacing w:val="13"/>
        </w:rPr>
        <w:t xml:space="preserve"> </w:t>
      </w:r>
      <w:r>
        <w:t>Civil</w:t>
      </w:r>
      <w:r>
        <w:rPr>
          <w:spacing w:val="14"/>
        </w:rPr>
        <w:t xml:space="preserve"> </w:t>
      </w:r>
      <w:r>
        <w:t>Rights</w:t>
      </w:r>
      <w:r>
        <w:rPr>
          <w:spacing w:val="15"/>
        </w:rPr>
        <w:t xml:space="preserve"> </w:t>
      </w:r>
      <w:r>
        <w:t>Act,</w:t>
      </w:r>
      <w:r>
        <w:rPr>
          <w:spacing w:val="13"/>
        </w:rPr>
        <w:t xml:space="preserve"> </w:t>
      </w:r>
      <w:r>
        <w:t>1955</w:t>
      </w:r>
      <w:r>
        <w:rPr>
          <w:spacing w:val="15"/>
        </w:rPr>
        <w:t xml:space="preserve"> </w:t>
      </w:r>
      <w:r>
        <w:t>will</w:t>
      </w:r>
      <w:r>
        <w:rPr>
          <w:spacing w:val="14"/>
        </w:rPr>
        <w:t xml:space="preserve"> </w:t>
      </w:r>
      <w:r>
        <w:t>not</w:t>
      </w:r>
      <w:r>
        <w:rPr>
          <w:spacing w:val="13"/>
        </w:rPr>
        <w:t xml:space="preserve"> </w:t>
      </w:r>
      <w:r>
        <w:t>be</w:t>
      </w:r>
    </w:p>
    <w:p w:rsidR="003B2FC0" w:rsidRDefault="003B2FC0">
      <w:pPr>
        <w:pStyle w:val="BodyText"/>
        <w:spacing w:before="9"/>
        <w:rPr>
          <w:sz w:val="15"/>
        </w:rPr>
      </w:pPr>
      <w:r w:rsidRPr="003B2FC0">
        <w:pict>
          <v:line id="_x0000_s1166" style="position:absolute;z-index:-251609600;mso-wrap-distance-left:0;mso-wrap-distance-right:0;mso-position-horizontal-relative:page" from="1in,11.55pt" to="216.05pt,11.55pt" strokeweight=".6pt">
            <w10:wrap type="topAndBottom" anchorx="page"/>
          </v:line>
        </w:pict>
      </w:r>
    </w:p>
    <w:p w:rsidR="003B2FC0" w:rsidRDefault="00052A49">
      <w:pPr>
        <w:spacing w:before="50"/>
        <w:ind w:left="500"/>
        <w:rPr>
          <w:rFonts w:ascii="Times New Roman"/>
          <w:sz w:val="20"/>
        </w:rPr>
      </w:pPr>
      <w:r>
        <w:rPr>
          <w:rFonts w:ascii="Times New Roman"/>
          <w:position w:val="9"/>
          <w:sz w:val="13"/>
        </w:rPr>
        <w:t xml:space="preserve">21 </w:t>
      </w:r>
      <w:r>
        <w:rPr>
          <w:rFonts w:ascii="Times New Roman"/>
          <w:sz w:val="20"/>
        </w:rPr>
        <w:t>(2016) 2 SCC 725</w:t>
      </w:r>
    </w:p>
    <w:p w:rsidR="003B2FC0" w:rsidRDefault="003B2FC0">
      <w:pPr>
        <w:rPr>
          <w:rFonts w:ascii="Times New Roman"/>
          <w:sz w:val="20"/>
        </w:rPr>
        <w:sectPr w:rsidR="003B2FC0">
          <w:headerReference w:type="default" r:id="rId85"/>
          <w:footerReference w:type="default" r:id="rId86"/>
          <w:pgSz w:w="11910" w:h="16840"/>
          <w:pgMar w:top="1340" w:right="1160" w:bottom="280" w:left="940" w:header="554" w:footer="0" w:gutter="0"/>
          <w:pgNumType w:start="41"/>
          <w:cols w:space="720"/>
        </w:sectPr>
      </w:pPr>
    </w:p>
    <w:p w:rsidR="003B2FC0" w:rsidRDefault="00052A49">
      <w:pPr>
        <w:pStyle w:val="BodyText"/>
        <w:spacing w:before="93"/>
        <w:ind w:left="1220" w:right="997"/>
        <w:jc w:val="both"/>
      </w:pPr>
      <w:r>
        <w:t>violated. What has been said in</w:t>
      </w:r>
      <w:r>
        <w:rPr>
          <w:spacing w:val="73"/>
        </w:rPr>
        <w:t xml:space="preserve"> </w:t>
      </w:r>
      <w:r>
        <w:t>Seshammal [Seshammal v. State of T.N., (1972) 2 SCC 11] (supra) is that if any prescription with regard to appointment of Archakas is made by the Agamas, Section 28 of the Tamil Nadu Act mandates the trustee to conduct the temple affairs in accordance with</w:t>
      </w:r>
      <w:r>
        <w:t xml:space="preserve"> such custom or usage. The requirement of constitutional conformity is inbuilt and if a custom or usage is outside the protective</w:t>
      </w:r>
      <w:r>
        <w:rPr>
          <w:spacing w:val="24"/>
        </w:rPr>
        <w:t xml:space="preserve"> </w:t>
      </w:r>
      <w:r>
        <w:t>umbrella</w:t>
      </w:r>
      <w:r>
        <w:rPr>
          <w:spacing w:val="24"/>
        </w:rPr>
        <w:t xml:space="preserve"> </w:t>
      </w:r>
      <w:r>
        <w:t>afforded</w:t>
      </w:r>
      <w:r>
        <w:rPr>
          <w:spacing w:val="23"/>
        </w:rPr>
        <w:t xml:space="preserve"> </w:t>
      </w:r>
      <w:r>
        <w:t>and</w:t>
      </w:r>
      <w:r>
        <w:rPr>
          <w:spacing w:val="22"/>
        </w:rPr>
        <w:t xml:space="preserve"> </w:t>
      </w:r>
      <w:r>
        <w:t>envisaged</w:t>
      </w:r>
      <w:r>
        <w:rPr>
          <w:spacing w:val="23"/>
        </w:rPr>
        <w:t xml:space="preserve"> </w:t>
      </w:r>
      <w:r>
        <w:t>by</w:t>
      </w:r>
      <w:r>
        <w:rPr>
          <w:spacing w:val="24"/>
        </w:rPr>
        <w:t xml:space="preserve"> </w:t>
      </w:r>
      <w:r>
        <w:t>Articles</w:t>
      </w:r>
    </w:p>
    <w:p w:rsidR="003B2FC0" w:rsidRDefault="00052A49">
      <w:pPr>
        <w:pStyle w:val="BodyText"/>
        <w:spacing w:before="1"/>
        <w:ind w:left="1220" w:right="997"/>
        <w:jc w:val="both"/>
      </w:pPr>
      <w:r>
        <w:t>25 and 26, the law would certainly take its own  course. The constitutional legiti</w:t>
      </w:r>
      <w:r>
        <w:t>macy, naturally, must supersede all religious beliefs or</w:t>
      </w:r>
      <w:r>
        <w:rPr>
          <w:spacing w:val="-7"/>
        </w:rPr>
        <w:t xml:space="preserve"> </w:t>
      </w:r>
      <w:r>
        <w:t>practices.”</w:t>
      </w:r>
    </w:p>
    <w:p w:rsidR="003B2FC0" w:rsidRDefault="003B2FC0">
      <w:pPr>
        <w:pStyle w:val="BodyText"/>
        <w:spacing w:before="10"/>
        <w:rPr>
          <w:sz w:val="27"/>
        </w:rPr>
      </w:pPr>
    </w:p>
    <w:p w:rsidR="003B2FC0" w:rsidRDefault="00052A49">
      <w:pPr>
        <w:pStyle w:val="ListParagraph"/>
        <w:numPr>
          <w:ilvl w:val="0"/>
          <w:numId w:val="60"/>
        </w:numPr>
        <w:tabs>
          <w:tab w:val="left" w:pos="1221"/>
        </w:tabs>
        <w:spacing w:line="480" w:lineRule="auto"/>
        <w:ind w:right="273" w:firstLine="0"/>
        <w:jc w:val="both"/>
        <w:rPr>
          <w:rFonts w:ascii="Bookman Old Style"/>
          <w:sz w:val="28"/>
        </w:rPr>
      </w:pPr>
      <w:r>
        <w:rPr>
          <w:rFonts w:ascii="Bookman Old Style"/>
          <w:sz w:val="28"/>
        </w:rPr>
        <w:t>In reply to the contention of the respondents that the basis for exclusion of women is that women cannot observe the 41 days Vruthum and also on the ground that Ayyappa is a celibate God</w:t>
      </w:r>
      <w:r>
        <w:rPr>
          <w:rFonts w:ascii="Bookman Old Style"/>
          <w:sz w:val="28"/>
        </w:rPr>
        <w:t>, the applicant/intervenor has submitted that the meaning of celibacy is the abstinence from sex and the respondents by suggesting that women cannot practice Vruthum which requires abstinence from sex are stigmatizing women and stereotyping them as being w</w:t>
      </w:r>
      <w:r>
        <w:rPr>
          <w:rFonts w:ascii="Bookman Old Style"/>
          <w:sz w:val="28"/>
        </w:rPr>
        <w:t>eak and lesser human beings than men. Hence, the classification, in view of the applicant/intervenor, is not based on intelligible</w:t>
      </w:r>
      <w:r>
        <w:rPr>
          <w:rFonts w:ascii="Bookman Old Style"/>
          <w:spacing w:val="-4"/>
          <w:sz w:val="28"/>
        </w:rPr>
        <w:t xml:space="preserve"> </w:t>
      </w:r>
      <w:r>
        <w:rPr>
          <w:rFonts w:ascii="Bookman Old Style"/>
          <w:sz w:val="28"/>
        </w:rPr>
        <w:t>differentia.</w:t>
      </w:r>
    </w:p>
    <w:p w:rsidR="003B2FC0" w:rsidRDefault="00052A49">
      <w:pPr>
        <w:pStyle w:val="ListParagraph"/>
        <w:numPr>
          <w:ilvl w:val="0"/>
          <w:numId w:val="60"/>
        </w:numPr>
        <w:tabs>
          <w:tab w:val="left" w:pos="1221"/>
        </w:tabs>
        <w:spacing w:before="1" w:line="480" w:lineRule="auto"/>
        <w:ind w:right="273" w:firstLine="0"/>
        <w:jc w:val="both"/>
        <w:rPr>
          <w:rFonts w:ascii="Bookman Old Style" w:hAnsi="Bookman Old Style"/>
          <w:sz w:val="28"/>
        </w:rPr>
      </w:pPr>
      <w:r>
        <w:rPr>
          <w:rFonts w:ascii="Bookman Old Style" w:hAnsi="Bookman Old Style"/>
          <w:sz w:val="28"/>
        </w:rPr>
        <w:t>The applicant/intervenor has also submitted that menstruating women and untouchables are being treated as simila</w:t>
      </w:r>
      <w:r>
        <w:rPr>
          <w:rFonts w:ascii="Bookman Old Style" w:hAnsi="Bookman Old Style"/>
          <w:sz w:val="28"/>
        </w:rPr>
        <w:t>r in terms of entry to temple and, hence, the custom in dispute amounts to</w:t>
      </w:r>
      <w:r>
        <w:rPr>
          <w:rFonts w:ascii="Bookman Old Style" w:hAnsi="Bookman Old Style"/>
          <w:spacing w:val="-18"/>
          <w:sz w:val="28"/>
        </w:rPr>
        <w:t xml:space="preserve"> </w:t>
      </w:r>
      <w:r>
        <w:rPr>
          <w:rFonts w:ascii="Bookman Old Style" w:hAnsi="Bookman Old Style"/>
          <w:sz w:val="28"/>
        </w:rPr>
        <w:t>„untouchability‟.</w:t>
      </w:r>
    </w:p>
    <w:p w:rsidR="003B2FC0" w:rsidRDefault="003B2FC0">
      <w:pPr>
        <w:spacing w:line="480" w:lineRule="auto"/>
        <w:jc w:val="both"/>
        <w:rPr>
          <w:rFonts w:ascii="Bookman Old Style" w:hAnsi="Bookman Old Style"/>
          <w:sz w:val="28"/>
        </w:rPr>
        <w:sectPr w:rsidR="003B2FC0">
          <w:headerReference w:type="default" r:id="rId87"/>
          <w:footerReference w:type="default" r:id="rId88"/>
          <w:pgSz w:w="11910" w:h="16840"/>
          <w:pgMar w:top="1340" w:right="1160" w:bottom="280" w:left="940" w:header="554" w:footer="0" w:gutter="0"/>
          <w:pgNumType w:start="42"/>
          <w:cols w:space="720"/>
        </w:sectPr>
      </w:pPr>
    </w:p>
    <w:p w:rsidR="003B2FC0" w:rsidRDefault="00052A49">
      <w:pPr>
        <w:pStyle w:val="ListParagraph"/>
        <w:numPr>
          <w:ilvl w:val="0"/>
          <w:numId w:val="60"/>
        </w:numPr>
        <w:tabs>
          <w:tab w:val="left" w:pos="1221"/>
        </w:tabs>
        <w:spacing w:before="93" w:line="480" w:lineRule="auto"/>
        <w:ind w:right="275" w:firstLine="0"/>
        <w:jc w:val="both"/>
        <w:rPr>
          <w:rFonts w:ascii="Bookman Old Style"/>
          <w:sz w:val="28"/>
        </w:rPr>
      </w:pPr>
      <w:r>
        <w:rPr>
          <w:rFonts w:ascii="Bookman Old Style"/>
          <w:sz w:val="28"/>
        </w:rPr>
        <w:t xml:space="preserve">The applicant/intervenor has, thereafter, drawn the attention of the Court to the fact that although the respondents aver that they do not intend to discriminate on the basis of gender, yet the Court has to test the violation of the fundamental rights not </w:t>
      </w:r>
      <w:r>
        <w:rPr>
          <w:rFonts w:ascii="Bookman Old Style"/>
          <w:sz w:val="28"/>
        </w:rPr>
        <w:t>on the basis of intention but the impact of the impugned action. The applicant/intervenor has stated that the respondents</w:t>
      </w:r>
      <w:r>
        <w:rPr>
          <w:rFonts w:ascii="Bookman Old Style"/>
          <w:spacing w:val="50"/>
          <w:sz w:val="28"/>
        </w:rPr>
        <w:t xml:space="preserve"> </w:t>
      </w:r>
      <w:r>
        <w:rPr>
          <w:rFonts w:ascii="Bookman Old Style"/>
          <w:sz w:val="28"/>
        </w:rPr>
        <w:t>have</w:t>
      </w:r>
      <w:r>
        <w:rPr>
          <w:rFonts w:ascii="Bookman Old Style"/>
          <w:spacing w:val="52"/>
          <w:sz w:val="28"/>
        </w:rPr>
        <w:t xml:space="preserve"> </w:t>
      </w:r>
      <w:r>
        <w:rPr>
          <w:rFonts w:ascii="Bookman Old Style"/>
          <w:sz w:val="28"/>
        </w:rPr>
        <w:t>wrongly</w:t>
      </w:r>
      <w:r>
        <w:rPr>
          <w:rFonts w:ascii="Bookman Old Style"/>
          <w:spacing w:val="49"/>
          <w:sz w:val="28"/>
        </w:rPr>
        <w:t xml:space="preserve"> </w:t>
      </w:r>
      <w:r>
        <w:rPr>
          <w:rFonts w:ascii="Bookman Old Style"/>
          <w:sz w:val="28"/>
        </w:rPr>
        <w:t>placed</w:t>
      </w:r>
      <w:r>
        <w:rPr>
          <w:rFonts w:ascii="Bookman Old Style"/>
          <w:spacing w:val="49"/>
          <w:sz w:val="28"/>
        </w:rPr>
        <w:t xml:space="preserve"> </w:t>
      </w:r>
      <w:r>
        <w:rPr>
          <w:rFonts w:ascii="Bookman Old Style"/>
          <w:sz w:val="28"/>
        </w:rPr>
        <w:t>reliance</w:t>
      </w:r>
      <w:r>
        <w:rPr>
          <w:rFonts w:ascii="Bookman Old Style"/>
          <w:spacing w:val="50"/>
          <w:sz w:val="28"/>
        </w:rPr>
        <w:t xml:space="preserve"> </w:t>
      </w:r>
      <w:r>
        <w:rPr>
          <w:rFonts w:ascii="Bookman Old Style"/>
          <w:sz w:val="28"/>
        </w:rPr>
        <w:t>upon</w:t>
      </w:r>
      <w:r>
        <w:rPr>
          <w:rFonts w:ascii="Bookman Old Style"/>
          <w:spacing w:val="49"/>
          <w:sz w:val="28"/>
        </w:rPr>
        <w:t xml:space="preserve"> </w:t>
      </w:r>
      <w:r>
        <w:rPr>
          <w:rFonts w:ascii="Bookman Old Style"/>
          <w:sz w:val="28"/>
        </w:rPr>
        <w:t>the</w:t>
      </w:r>
      <w:r>
        <w:rPr>
          <w:rFonts w:ascii="Bookman Old Style"/>
          <w:spacing w:val="50"/>
          <w:sz w:val="28"/>
        </w:rPr>
        <w:t xml:space="preserve"> </w:t>
      </w:r>
      <w:r>
        <w:rPr>
          <w:rFonts w:ascii="Bookman Old Style"/>
          <w:sz w:val="28"/>
        </w:rPr>
        <w:t>decision</w:t>
      </w:r>
      <w:r>
        <w:rPr>
          <w:rFonts w:ascii="Bookman Old Style"/>
          <w:spacing w:val="49"/>
          <w:sz w:val="28"/>
        </w:rPr>
        <w:t xml:space="preserve"> </w:t>
      </w:r>
      <w:r>
        <w:rPr>
          <w:rFonts w:ascii="Bookman Old Style"/>
          <w:sz w:val="28"/>
        </w:rPr>
        <w:t>in</w:t>
      </w:r>
    </w:p>
    <w:p w:rsidR="003B2FC0" w:rsidRDefault="00052A49">
      <w:pPr>
        <w:spacing w:line="480" w:lineRule="auto"/>
        <w:ind w:left="500" w:right="275"/>
        <w:jc w:val="both"/>
        <w:rPr>
          <w:rFonts w:ascii="Bookman Old Style"/>
          <w:sz w:val="28"/>
        </w:rPr>
      </w:pPr>
      <w:r>
        <w:rPr>
          <w:rFonts w:ascii="Bookman Old Style"/>
          <w:b/>
          <w:i/>
          <w:sz w:val="28"/>
        </w:rPr>
        <w:t>T.M.A. Pai Foundation and others v. State of Karnataka and others</w:t>
      </w:r>
      <w:r>
        <w:rPr>
          <w:rFonts w:ascii="Bookman Old Style"/>
          <w:position w:val="7"/>
          <w:sz w:val="18"/>
        </w:rPr>
        <w:t xml:space="preserve">22 </w:t>
      </w:r>
      <w:r>
        <w:rPr>
          <w:rFonts w:ascii="Bookman Old Style"/>
          <w:sz w:val="28"/>
        </w:rPr>
        <w:t>as in the present case, the issue is not one pertaining to the rights of minorities but concerning the unconstitutional acts of the majority.</w:t>
      </w:r>
    </w:p>
    <w:p w:rsidR="003B2FC0" w:rsidRDefault="00052A49">
      <w:pPr>
        <w:pStyle w:val="ListParagraph"/>
        <w:numPr>
          <w:ilvl w:val="0"/>
          <w:numId w:val="60"/>
        </w:numPr>
        <w:tabs>
          <w:tab w:val="left" w:pos="1221"/>
        </w:tabs>
        <w:spacing w:before="1" w:line="480" w:lineRule="auto"/>
        <w:ind w:right="273" w:firstLine="0"/>
        <w:jc w:val="both"/>
        <w:rPr>
          <w:rFonts w:ascii="Bookman Old Style"/>
          <w:sz w:val="28"/>
        </w:rPr>
      </w:pPr>
      <w:r>
        <w:rPr>
          <w:rFonts w:ascii="Bookman Old Style"/>
          <w:sz w:val="28"/>
        </w:rPr>
        <w:t>The applicant/intervenor has also submitted that the age- old practice of considering women as impure while they a</w:t>
      </w:r>
      <w:r>
        <w:rPr>
          <w:rFonts w:ascii="Bookman Old Style"/>
          <w:sz w:val="28"/>
        </w:rPr>
        <w:t>re menstruating amounts to untouchability and stigmatizes them as lesser human beings and is, therefore, violative of Articles14, 15, 17 and 21 of the</w:t>
      </w:r>
      <w:r>
        <w:rPr>
          <w:rFonts w:ascii="Bookman Old Style"/>
          <w:spacing w:val="-2"/>
          <w:sz w:val="28"/>
        </w:rPr>
        <w:t xml:space="preserve"> </w:t>
      </w:r>
      <w:r>
        <w:rPr>
          <w:rFonts w:ascii="Bookman Old Style"/>
          <w:sz w:val="28"/>
        </w:rPr>
        <w:t>Constitution.</w:t>
      </w:r>
    </w:p>
    <w:p w:rsidR="003B2FC0" w:rsidRDefault="00052A49">
      <w:pPr>
        <w:pStyle w:val="BodyText"/>
        <w:ind w:left="500" w:right="272"/>
        <w:jc w:val="both"/>
        <w:rPr>
          <w:b/>
        </w:rPr>
      </w:pPr>
      <w:r>
        <w:rPr>
          <w:b/>
          <w:u w:val="single"/>
        </w:rPr>
        <w:t>Submissions of learned Amicus Curiae, Sr. Advocate Mr. Raju</w:t>
      </w:r>
      <w:r>
        <w:rPr>
          <w:b/>
        </w:rPr>
        <w:t xml:space="preserve"> </w:t>
      </w:r>
      <w:r>
        <w:rPr>
          <w:b/>
          <w:u w:val="single"/>
        </w:rPr>
        <w:t>Ramchandran, assisted by Mr. K.</w:t>
      </w:r>
      <w:r>
        <w:rPr>
          <w:b/>
          <w:u w:val="single"/>
        </w:rPr>
        <w:t xml:space="preserve"> Parameshwar</w:t>
      </w:r>
    </w:p>
    <w:p w:rsidR="003B2FC0" w:rsidRDefault="003B2FC0">
      <w:pPr>
        <w:pStyle w:val="BodyText"/>
        <w:rPr>
          <w:b/>
          <w:sz w:val="20"/>
        </w:rPr>
      </w:pPr>
    </w:p>
    <w:p w:rsidR="003B2FC0" w:rsidRDefault="003B2FC0">
      <w:pPr>
        <w:pStyle w:val="BodyText"/>
        <w:spacing w:before="10"/>
        <w:rPr>
          <w:b/>
          <w:sz w:val="19"/>
        </w:rPr>
      </w:pPr>
    </w:p>
    <w:p w:rsidR="003B2FC0" w:rsidRDefault="00052A49">
      <w:pPr>
        <w:pStyle w:val="ListParagraph"/>
        <w:numPr>
          <w:ilvl w:val="0"/>
          <w:numId w:val="60"/>
        </w:numPr>
        <w:tabs>
          <w:tab w:val="left" w:pos="1220"/>
          <w:tab w:val="left" w:pos="1221"/>
        </w:tabs>
        <w:spacing w:before="101"/>
        <w:ind w:left="1220"/>
        <w:rPr>
          <w:rFonts w:ascii="Bookman Old Style"/>
          <w:sz w:val="28"/>
        </w:rPr>
      </w:pPr>
      <w:r>
        <w:rPr>
          <w:rFonts w:ascii="Bookman Old Style"/>
          <w:sz w:val="28"/>
        </w:rPr>
        <w:t>It is submitted on the behalf of learned Senior Advocate</w:t>
      </w:r>
      <w:r>
        <w:rPr>
          <w:rFonts w:ascii="Bookman Old Style"/>
          <w:spacing w:val="21"/>
          <w:sz w:val="28"/>
        </w:rPr>
        <w:t xml:space="preserve"> </w:t>
      </w:r>
      <w:r>
        <w:rPr>
          <w:rFonts w:ascii="Bookman Old Style"/>
          <w:sz w:val="28"/>
        </w:rPr>
        <w:t>Mr.</w:t>
      </w:r>
    </w:p>
    <w:p w:rsidR="003B2FC0" w:rsidRDefault="003B2FC0">
      <w:pPr>
        <w:pStyle w:val="BodyText"/>
      </w:pPr>
    </w:p>
    <w:p w:rsidR="003B2FC0" w:rsidRDefault="00052A49">
      <w:pPr>
        <w:pStyle w:val="BodyText"/>
        <w:spacing w:line="480" w:lineRule="auto"/>
        <w:ind w:left="500"/>
      </w:pPr>
      <w:r>
        <w:t>Raju Ramchandran, that the Sabarimala Sree Dharma Sastha Temple, Kerala is a public temple being used as a place of</w:t>
      </w:r>
    </w:p>
    <w:p w:rsidR="003B2FC0" w:rsidRDefault="003B2FC0">
      <w:pPr>
        <w:pStyle w:val="BodyText"/>
        <w:spacing w:line="20" w:lineRule="exact"/>
        <w:ind w:left="494"/>
        <w:rPr>
          <w:sz w:val="2"/>
        </w:rPr>
      </w:pPr>
      <w:r>
        <w:rPr>
          <w:sz w:val="2"/>
        </w:rPr>
      </w:r>
      <w:r>
        <w:rPr>
          <w:sz w:val="2"/>
        </w:rPr>
        <w:pict>
          <v:group id="_x0000_s1164" style="width:144.05pt;height:.6pt;mso-position-horizontal-relative:char;mso-position-vertical-relative:line" coordsize="2881,12">
            <v:line id="_x0000_s1165" style="position:absolute" from="0,6" to="2880,6" strokeweight=".6pt"/>
            <w10:anchorlock/>
          </v:group>
        </w:pict>
      </w:r>
    </w:p>
    <w:p w:rsidR="003B2FC0" w:rsidRDefault="003B2FC0">
      <w:pPr>
        <w:spacing w:line="20" w:lineRule="exact"/>
        <w:rPr>
          <w:sz w:val="2"/>
        </w:rPr>
        <w:sectPr w:rsidR="003B2FC0">
          <w:footerReference w:type="default" r:id="rId89"/>
          <w:pgSz w:w="11910" w:h="16840"/>
          <w:pgMar w:top="1340" w:right="1160" w:bottom="1600" w:left="940" w:header="554" w:footer="1403" w:gutter="0"/>
          <w:cols w:space="720"/>
        </w:sectPr>
      </w:pPr>
    </w:p>
    <w:p w:rsidR="003B2FC0" w:rsidRDefault="00052A49">
      <w:pPr>
        <w:pStyle w:val="BodyText"/>
        <w:spacing w:before="93" w:line="480" w:lineRule="auto"/>
        <w:ind w:left="500" w:right="273"/>
        <w:jc w:val="both"/>
      </w:pPr>
      <w:r>
        <w:t>worship where members of the public are admitted as a matter of right and entry thereto is not restricted to any particular denomination or part thereof. As per the learned Amicus, the public character of the temple gives birth to the right of the devotees</w:t>
      </w:r>
      <w:r>
        <w:t xml:space="preserve"> to enter it for the purpose of darshan or worship and this universal right to entry is not a permissive right dependent upon the temple authorities but a legal right in the true sense of the expression. To advance this view, the learned Amicus has relied </w:t>
      </w:r>
      <w:r>
        <w:t xml:space="preserve">upon the decisions of this Court in </w:t>
      </w:r>
      <w:r>
        <w:rPr>
          <w:b/>
          <w:i/>
        </w:rPr>
        <w:t>Deoki Nandan v. Murlidhar and others</w:t>
      </w:r>
      <w:r>
        <w:rPr>
          <w:position w:val="7"/>
          <w:sz w:val="18"/>
        </w:rPr>
        <w:t xml:space="preserve">23 </w:t>
      </w:r>
      <w:r>
        <w:t xml:space="preserve">and </w:t>
      </w:r>
      <w:r>
        <w:rPr>
          <w:b/>
          <w:i/>
        </w:rPr>
        <w:t>Sri Radhakanta Deb and another v. Commissioner of Hindu Religious Endowments, Orissa</w:t>
      </w:r>
      <w:r>
        <w:rPr>
          <w:position w:val="7"/>
          <w:sz w:val="18"/>
        </w:rPr>
        <w:t>24</w:t>
      </w:r>
      <w:r>
        <w:t>.</w:t>
      </w:r>
    </w:p>
    <w:p w:rsidR="003B2FC0" w:rsidRDefault="003B2FC0">
      <w:pPr>
        <w:pStyle w:val="ListParagraph"/>
        <w:numPr>
          <w:ilvl w:val="0"/>
          <w:numId w:val="60"/>
        </w:numPr>
        <w:tabs>
          <w:tab w:val="left" w:pos="1221"/>
        </w:tabs>
        <w:spacing w:before="121" w:line="480" w:lineRule="auto"/>
        <w:ind w:right="275" w:firstLine="0"/>
        <w:jc w:val="both"/>
        <w:rPr>
          <w:rFonts w:ascii="Bookman Old Style"/>
          <w:sz w:val="28"/>
        </w:rPr>
      </w:pPr>
      <w:r w:rsidRPr="003B2FC0">
        <w:pict>
          <v:line id="_x0000_s1163" style="position:absolute;left:0;text-align:left;z-index:-251608576;mso-wrap-distance-left:0;mso-wrap-distance-right:0;mso-position-horizontal-relative:page" from="1in,275.55pt" to="216.05pt,275.55pt" strokeweight=".6pt">
            <w10:wrap type="topAndBottom" anchorx="page"/>
          </v:line>
        </w:pict>
      </w:r>
      <w:r w:rsidR="00052A49">
        <w:rPr>
          <w:rFonts w:ascii="Bookman Old Style"/>
          <w:sz w:val="28"/>
        </w:rPr>
        <w:t>As regards the nature of the right claimed by the petitioners herein, learned Senior Adv</w:t>
      </w:r>
      <w:r w:rsidR="00052A49">
        <w:rPr>
          <w:rFonts w:ascii="Bookman Old Style"/>
          <w:sz w:val="28"/>
        </w:rPr>
        <w:t>ocate, Mr. Raju Ramchandran, the learned Amicus, has submitted that it is the freedom of conscience and the right to practise and profess their religion which is recognized under Article 25 of the Constitution of India. This right, as per the learned Amicu</w:t>
      </w:r>
      <w:r w:rsidR="00052A49">
        <w:rPr>
          <w:rFonts w:ascii="Bookman Old Style"/>
          <w:sz w:val="28"/>
        </w:rPr>
        <w:t>s, encompasses the liberty of belief, faith and worship, pithily declared as a constitutional vision in the Preamble to the Constitution of</w:t>
      </w:r>
      <w:r w:rsidR="00052A49">
        <w:rPr>
          <w:rFonts w:ascii="Bookman Old Style"/>
          <w:spacing w:val="-9"/>
          <w:sz w:val="28"/>
        </w:rPr>
        <w:t xml:space="preserve"> </w:t>
      </w:r>
      <w:r w:rsidR="00052A49">
        <w:rPr>
          <w:rFonts w:ascii="Bookman Old Style"/>
          <w:sz w:val="28"/>
        </w:rPr>
        <w:t>India.</w:t>
      </w:r>
    </w:p>
    <w:p w:rsidR="003B2FC0" w:rsidRDefault="00052A49">
      <w:pPr>
        <w:spacing w:before="54"/>
        <w:ind w:left="500"/>
        <w:rPr>
          <w:rFonts w:ascii="Calibri"/>
        </w:rPr>
      </w:pPr>
      <w:r>
        <w:rPr>
          <w:rFonts w:ascii="Calibri"/>
          <w:position w:val="10"/>
          <w:sz w:val="14"/>
        </w:rPr>
        <w:t xml:space="preserve">23 </w:t>
      </w:r>
      <w:r>
        <w:rPr>
          <w:rFonts w:ascii="Calibri"/>
        </w:rPr>
        <w:t>AIR 1957 SC 133</w:t>
      </w:r>
    </w:p>
    <w:p w:rsidR="003B2FC0" w:rsidRDefault="003B2FC0">
      <w:pPr>
        <w:rPr>
          <w:rFonts w:ascii="Calibri"/>
        </w:rPr>
        <w:sectPr w:rsidR="003B2FC0">
          <w:footerReference w:type="default" r:id="rId90"/>
          <w:pgSz w:w="11910" w:h="16840"/>
          <w:pgMar w:top="1340" w:right="1160" w:bottom="1540" w:left="940" w:header="554" w:footer="1342" w:gutter="0"/>
          <w:cols w:space="720"/>
        </w:sectPr>
      </w:pPr>
    </w:p>
    <w:p w:rsidR="003B2FC0" w:rsidRDefault="00052A49">
      <w:pPr>
        <w:pStyle w:val="ListParagraph"/>
        <w:numPr>
          <w:ilvl w:val="0"/>
          <w:numId w:val="60"/>
        </w:numPr>
        <w:tabs>
          <w:tab w:val="left" w:pos="1221"/>
        </w:tabs>
        <w:spacing w:before="93" w:line="480" w:lineRule="auto"/>
        <w:ind w:right="273" w:firstLine="0"/>
        <w:jc w:val="both"/>
        <w:rPr>
          <w:rFonts w:ascii="Bookman Old Style" w:hAnsi="Bookman Old Style"/>
          <w:sz w:val="28"/>
        </w:rPr>
      </w:pPr>
      <w:r>
        <w:rPr>
          <w:rFonts w:ascii="Bookman Old Style" w:hAnsi="Bookman Old Style"/>
          <w:sz w:val="28"/>
        </w:rPr>
        <w:t>Learned Senior Advocate Mr. Raju Ramchandran, the learned Amicus, submits that the right of a woman to visit and enter a temple as a devotee of the deity and as a believer in Hindu faith is an essential aspect of her right to worship without which her righ</w:t>
      </w:r>
      <w:r>
        <w:rPr>
          <w:rFonts w:ascii="Bookman Old Style" w:hAnsi="Bookman Old Style"/>
          <w:sz w:val="28"/>
        </w:rPr>
        <w:t xml:space="preserve">t to worship is significantly denuded. Article 25 </w:t>
      </w:r>
      <w:r>
        <w:rPr>
          <w:rFonts w:ascii="Bookman Old Style" w:hAnsi="Bookman Old Style"/>
          <w:spacing w:val="-2"/>
          <w:sz w:val="28"/>
        </w:rPr>
        <w:t>p</w:t>
      </w:r>
      <w:r>
        <w:rPr>
          <w:rFonts w:ascii="Bookman Old Style" w:hAnsi="Bookman Old Style"/>
          <w:spacing w:val="2"/>
          <w:sz w:val="28"/>
        </w:rPr>
        <w:t>e</w:t>
      </w:r>
      <w:r>
        <w:rPr>
          <w:rFonts w:ascii="Bookman Old Style" w:hAnsi="Bookman Old Style"/>
          <w:spacing w:val="-2"/>
          <w:sz w:val="28"/>
        </w:rPr>
        <w:t>rt</w:t>
      </w:r>
      <w:r>
        <w:rPr>
          <w:rFonts w:ascii="Bookman Old Style" w:hAnsi="Bookman Old Style"/>
          <w:sz w:val="28"/>
        </w:rPr>
        <w:t>i</w:t>
      </w:r>
      <w:r>
        <w:rPr>
          <w:rFonts w:ascii="Bookman Old Style" w:hAnsi="Bookman Old Style"/>
          <w:spacing w:val="-4"/>
          <w:sz w:val="28"/>
        </w:rPr>
        <w:t>n</w:t>
      </w:r>
      <w:r>
        <w:rPr>
          <w:rFonts w:ascii="Bookman Old Style" w:hAnsi="Bookman Old Style"/>
          <w:spacing w:val="2"/>
          <w:sz w:val="28"/>
        </w:rPr>
        <w:t>e</w:t>
      </w:r>
      <w:r>
        <w:rPr>
          <w:rFonts w:ascii="Bookman Old Style" w:hAnsi="Bookman Old Style"/>
          <w:spacing w:val="-1"/>
          <w:sz w:val="28"/>
        </w:rPr>
        <w:t>n</w:t>
      </w:r>
      <w:r>
        <w:rPr>
          <w:rFonts w:ascii="Bookman Old Style" w:hAnsi="Bookman Old Style"/>
          <w:spacing w:val="-2"/>
          <w:sz w:val="28"/>
        </w:rPr>
        <w:t>t</w:t>
      </w:r>
      <w:r>
        <w:rPr>
          <w:rFonts w:ascii="Bookman Old Style" w:hAnsi="Bookman Old Style"/>
          <w:sz w:val="28"/>
        </w:rPr>
        <w:t>ly</w:t>
      </w:r>
      <w:r>
        <w:rPr>
          <w:rFonts w:ascii="Bookman Old Style" w:hAnsi="Bookman Old Style"/>
          <w:spacing w:val="8"/>
          <w:sz w:val="28"/>
        </w:rPr>
        <w:t xml:space="preserve"> </w:t>
      </w:r>
      <w:r>
        <w:rPr>
          <w:rFonts w:ascii="Bookman Old Style" w:hAnsi="Bookman Old Style"/>
          <w:spacing w:val="-2"/>
          <w:sz w:val="28"/>
        </w:rPr>
        <w:t>d</w:t>
      </w:r>
      <w:r>
        <w:rPr>
          <w:rFonts w:ascii="Bookman Old Style" w:hAnsi="Bookman Old Style"/>
          <w:sz w:val="28"/>
        </w:rPr>
        <w:t>ecla</w:t>
      </w:r>
      <w:r>
        <w:rPr>
          <w:rFonts w:ascii="Bookman Old Style" w:hAnsi="Bookman Old Style"/>
          <w:spacing w:val="-4"/>
          <w:sz w:val="28"/>
        </w:rPr>
        <w:t>r</w:t>
      </w:r>
      <w:r>
        <w:rPr>
          <w:rFonts w:ascii="Bookman Old Style" w:hAnsi="Bookman Old Style"/>
          <w:spacing w:val="-1"/>
          <w:sz w:val="28"/>
        </w:rPr>
        <w:t>e</w:t>
      </w:r>
      <w:r>
        <w:rPr>
          <w:rFonts w:ascii="Bookman Old Style" w:hAnsi="Bookman Old Style"/>
          <w:sz w:val="28"/>
        </w:rPr>
        <w:t>s</w:t>
      </w:r>
      <w:r>
        <w:rPr>
          <w:rFonts w:ascii="Bookman Old Style" w:hAnsi="Bookman Old Style"/>
          <w:spacing w:val="9"/>
          <w:sz w:val="28"/>
        </w:rPr>
        <w:t xml:space="preserve"> </w:t>
      </w:r>
      <w:r>
        <w:rPr>
          <w:rFonts w:ascii="Bookman Old Style" w:hAnsi="Bookman Old Style"/>
          <w:spacing w:val="-2"/>
          <w:sz w:val="28"/>
        </w:rPr>
        <w:t>t</w:t>
      </w:r>
      <w:r>
        <w:rPr>
          <w:rFonts w:ascii="Bookman Old Style" w:hAnsi="Bookman Old Style"/>
          <w:spacing w:val="-1"/>
          <w:sz w:val="28"/>
        </w:rPr>
        <w:t>ha</w:t>
      </w:r>
      <w:r>
        <w:rPr>
          <w:rFonts w:ascii="Bookman Old Style" w:hAnsi="Bookman Old Style"/>
          <w:sz w:val="28"/>
        </w:rPr>
        <w:t>t</w:t>
      </w:r>
      <w:r>
        <w:rPr>
          <w:rFonts w:ascii="Bookman Old Style" w:hAnsi="Bookman Old Style"/>
          <w:spacing w:val="7"/>
          <w:sz w:val="28"/>
        </w:rPr>
        <w:t xml:space="preserve"> </w:t>
      </w:r>
      <w:r>
        <w:rPr>
          <w:rFonts w:ascii="Bookman Old Style" w:hAnsi="Bookman Old Style"/>
          <w:spacing w:val="-1"/>
          <w:sz w:val="28"/>
        </w:rPr>
        <w:t>al</w:t>
      </w:r>
      <w:r>
        <w:rPr>
          <w:rFonts w:ascii="Bookman Old Style" w:hAnsi="Bookman Old Style"/>
          <w:sz w:val="28"/>
        </w:rPr>
        <w:t>l</w:t>
      </w:r>
      <w:r>
        <w:rPr>
          <w:rFonts w:ascii="Bookman Old Style" w:hAnsi="Bookman Old Style"/>
          <w:spacing w:val="5"/>
          <w:sz w:val="28"/>
        </w:rPr>
        <w:t xml:space="preserve"> </w:t>
      </w:r>
      <w:r>
        <w:rPr>
          <w:rFonts w:ascii="Bookman Old Style" w:hAnsi="Bookman Old Style"/>
          <w:spacing w:val="-2"/>
          <w:sz w:val="28"/>
        </w:rPr>
        <w:t>p</w:t>
      </w:r>
      <w:r>
        <w:rPr>
          <w:rFonts w:ascii="Bookman Old Style" w:hAnsi="Bookman Old Style"/>
          <w:spacing w:val="2"/>
          <w:sz w:val="28"/>
        </w:rPr>
        <w:t>e</w:t>
      </w:r>
      <w:r>
        <w:rPr>
          <w:rFonts w:ascii="Bookman Old Style" w:hAnsi="Bookman Old Style"/>
          <w:spacing w:val="-4"/>
          <w:sz w:val="28"/>
        </w:rPr>
        <w:t>r</w:t>
      </w:r>
      <w:r>
        <w:rPr>
          <w:rFonts w:ascii="Bookman Old Style" w:hAnsi="Bookman Old Style"/>
          <w:sz w:val="28"/>
        </w:rPr>
        <w:t>s</w:t>
      </w:r>
      <w:r>
        <w:rPr>
          <w:rFonts w:ascii="Bookman Old Style" w:hAnsi="Bookman Old Style"/>
          <w:spacing w:val="1"/>
          <w:sz w:val="28"/>
        </w:rPr>
        <w:t>o</w:t>
      </w:r>
      <w:r>
        <w:rPr>
          <w:rFonts w:ascii="Bookman Old Style" w:hAnsi="Bookman Old Style"/>
          <w:spacing w:val="-3"/>
          <w:sz w:val="28"/>
        </w:rPr>
        <w:t>n</w:t>
      </w:r>
      <w:r>
        <w:rPr>
          <w:rFonts w:ascii="Bookman Old Style" w:hAnsi="Bookman Old Style"/>
          <w:sz w:val="28"/>
        </w:rPr>
        <w:t>s</w:t>
      </w:r>
      <w:r>
        <w:rPr>
          <w:rFonts w:ascii="Bookman Old Style" w:hAnsi="Bookman Old Style"/>
          <w:spacing w:val="9"/>
          <w:sz w:val="28"/>
        </w:rPr>
        <w:t xml:space="preserve"> </w:t>
      </w:r>
      <w:r>
        <w:rPr>
          <w:rFonts w:ascii="Bookman Old Style" w:hAnsi="Bookman Old Style"/>
          <w:spacing w:val="-1"/>
          <w:sz w:val="28"/>
        </w:rPr>
        <w:t>a</w:t>
      </w:r>
      <w:r>
        <w:rPr>
          <w:rFonts w:ascii="Bookman Old Style" w:hAnsi="Bookman Old Style"/>
          <w:spacing w:val="-4"/>
          <w:sz w:val="28"/>
        </w:rPr>
        <w:t>r</w:t>
      </w:r>
      <w:r>
        <w:rPr>
          <w:rFonts w:ascii="Bookman Old Style" w:hAnsi="Bookman Old Style"/>
          <w:sz w:val="28"/>
        </w:rPr>
        <w:t>e</w:t>
      </w:r>
      <w:r>
        <w:rPr>
          <w:rFonts w:ascii="Bookman Old Style" w:hAnsi="Bookman Old Style"/>
          <w:spacing w:val="8"/>
          <w:sz w:val="28"/>
        </w:rPr>
        <w:t xml:space="preserve"> </w:t>
      </w:r>
      <w:r>
        <w:rPr>
          <w:rFonts w:ascii="Bookman Old Style" w:hAnsi="Bookman Old Style"/>
          <w:spacing w:val="-2"/>
          <w:w w:val="55"/>
          <w:sz w:val="28"/>
        </w:rPr>
        <w:t>„</w:t>
      </w:r>
      <w:r>
        <w:rPr>
          <w:rFonts w:ascii="Bookman Old Style" w:hAnsi="Bookman Old Style"/>
          <w:spacing w:val="2"/>
          <w:sz w:val="28"/>
        </w:rPr>
        <w:t>e</w:t>
      </w:r>
      <w:r>
        <w:rPr>
          <w:rFonts w:ascii="Bookman Old Style" w:hAnsi="Bookman Old Style"/>
          <w:spacing w:val="-2"/>
          <w:sz w:val="28"/>
        </w:rPr>
        <w:t>q</w:t>
      </w:r>
      <w:r>
        <w:rPr>
          <w:rFonts w:ascii="Bookman Old Style" w:hAnsi="Bookman Old Style"/>
          <w:sz w:val="28"/>
        </w:rPr>
        <w:t>u</w:t>
      </w:r>
      <w:r>
        <w:rPr>
          <w:rFonts w:ascii="Bookman Old Style" w:hAnsi="Bookman Old Style"/>
          <w:spacing w:val="-1"/>
          <w:sz w:val="28"/>
        </w:rPr>
        <w:t>all</w:t>
      </w:r>
      <w:r>
        <w:rPr>
          <w:rFonts w:ascii="Bookman Old Style" w:hAnsi="Bookman Old Style"/>
          <w:spacing w:val="-4"/>
          <w:sz w:val="28"/>
        </w:rPr>
        <w:t>y</w:t>
      </w:r>
      <w:r>
        <w:rPr>
          <w:rFonts w:ascii="Bookman Old Style" w:hAnsi="Bookman Old Style"/>
          <w:w w:val="29"/>
          <w:sz w:val="28"/>
        </w:rPr>
        <w:t>‟</w:t>
      </w:r>
      <w:r>
        <w:rPr>
          <w:rFonts w:ascii="Bookman Old Style" w:hAnsi="Bookman Old Style"/>
          <w:spacing w:val="6"/>
          <w:sz w:val="28"/>
        </w:rPr>
        <w:t xml:space="preserve"> </w:t>
      </w:r>
      <w:r>
        <w:rPr>
          <w:rFonts w:ascii="Bookman Old Style" w:hAnsi="Bookman Old Style"/>
          <w:spacing w:val="2"/>
          <w:sz w:val="28"/>
        </w:rPr>
        <w:t>e</w:t>
      </w:r>
      <w:r>
        <w:rPr>
          <w:rFonts w:ascii="Bookman Old Style" w:hAnsi="Bookman Old Style"/>
          <w:spacing w:val="-1"/>
          <w:sz w:val="28"/>
        </w:rPr>
        <w:t>n</w:t>
      </w:r>
      <w:r>
        <w:rPr>
          <w:rFonts w:ascii="Bookman Old Style" w:hAnsi="Bookman Old Style"/>
          <w:spacing w:val="-4"/>
          <w:sz w:val="28"/>
        </w:rPr>
        <w:t>t</w:t>
      </w:r>
      <w:r>
        <w:rPr>
          <w:rFonts w:ascii="Bookman Old Style" w:hAnsi="Bookman Old Style"/>
          <w:sz w:val="28"/>
        </w:rPr>
        <w:t>i</w:t>
      </w:r>
      <w:r>
        <w:rPr>
          <w:rFonts w:ascii="Bookman Old Style" w:hAnsi="Bookman Old Style"/>
          <w:spacing w:val="-2"/>
          <w:sz w:val="28"/>
        </w:rPr>
        <w:t>t</w:t>
      </w:r>
      <w:r>
        <w:rPr>
          <w:rFonts w:ascii="Bookman Old Style" w:hAnsi="Bookman Old Style"/>
          <w:sz w:val="28"/>
        </w:rPr>
        <w:t>led</w:t>
      </w:r>
      <w:r>
        <w:rPr>
          <w:rFonts w:ascii="Bookman Old Style" w:hAnsi="Bookman Old Style"/>
          <w:spacing w:val="9"/>
          <w:sz w:val="28"/>
        </w:rPr>
        <w:t xml:space="preserve"> </w:t>
      </w:r>
      <w:r>
        <w:rPr>
          <w:rFonts w:ascii="Bookman Old Style" w:hAnsi="Bookman Old Style"/>
          <w:spacing w:val="-2"/>
          <w:sz w:val="28"/>
        </w:rPr>
        <w:t>t</w:t>
      </w:r>
      <w:r>
        <w:rPr>
          <w:rFonts w:ascii="Bookman Old Style" w:hAnsi="Bookman Old Style"/>
          <w:sz w:val="28"/>
        </w:rPr>
        <w:t>o</w:t>
      </w:r>
      <w:r>
        <w:rPr>
          <w:rFonts w:ascii="Bookman Old Style" w:hAnsi="Bookman Old Style"/>
          <w:spacing w:val="7"/>
          <w:sz w:val="28"/>
        </w:rPr>
        <w:t xml:space="preserve"> </w:t>
      </w:r>
      <w:r>
        <w:rPr>
          <w:rFonts w:ascii="Bookman Old Style" w:hAnsi="Bookman Old Style"/>
          <w:spacing w:val="-2"/>
          <w:sz w:val="28"/>
        </w:rPr>
        <w:t>fr</w:t>
      </w:r>
      <w:r>
        <w:rPr>
          <w:rFonts w:ascii="Bookman Old Style" w:hAnsi="Bookman Old Style"/>
          <w:sz w:val="28"/>
        </w:rPr>
        <w:t xml:space="preserve">eely </w:t>
      </w:r>
      <w:r>
        <w:rPr>
          <w:rFonts w:ascii="Bookman Old Style" w:hAnsi="Bookman Old Style"/>
          <w:sz w:val="28"/>
        </w:rPr>
        <w:t>practise religion. This, in view of the learned Amicus, implies not just inter-faith but intra-faith parity. Therefore, the primary right under Article 25(1) is a non-discriminatory right and is, thus, available to men and women professing the same</w:t>
      </w:r>
      <w:r>
        <w:rPr>
          <w:rFonts w:ascii="Bookman Old Style" w:hAnsi="Bookman Old Style"/>
          <w:spacing w:val="-11"/>
          <w:sz w:val="28"/>
        </w:rPr>
        <w:t xml:space="preserve"> </w:t>
      </w:r>
      <w:r>
        <w:rPr>
          <w:rFonts w:ascii="Bookman Old Style" w:hAnsi="Bookman Old Style"/>
          <w:sz w:val="28"/>
        </w:rPr>
        <w:t>faith.</w:t>
      </w:r>
    </w:p>
    <w:p w:rsidR="003B2FC0" w:rsidRDefault="00052A49">
      <w:pPr>
        <w:pStyle w:val="ListParagraph"/>
        <w:numPr>
          <w:ilvl w:val="0"/>
          <w:numId w:val="60"/>
        </w:numPr>
        <w:tabs>
          <w:tab w:val="left" w:pos="1221"/>
        </w:tabs>
        <w:spacing w:before="121" w:line="480" w:lineRule="auto"/>
        <w:ind w:right="276" w:firstLine="0"/>
        <w:jc w:val="both"/>
        <w:rPr>
          <w:rFonts w:ascii="Bookman Old Style" w:hAnsi="Bookman Old Style"/>
          <w:sz w:val="28"/>
        </w:rPr>
      </w:pPr>
      <w:r>
        <w:rPr>
          <w:rFonts w:ascii="Bookman Old Style" w:hAnsi="Bookman Old Style"/>
          <w:sz w:val="28"/>
        </w:rPr>
        <w:t>Further, it has been put forth that the constitutional intent in keeping the understanding of untouchability in Article 17 open-textured was to abolish all practices based on the notion of purity and pollution. This Article proscribes untouchability „in an</w:t>
      </w:r>
      <w:r>
        <w:rPr>
          <w:rFonts w:ascii="Bookman Old Style" w:hAnsi="Bookman Old Style"/>
          <w:sz w:val="28"/>
        </w:rPr>
        <w:t xml:space="preserve">y form‟ as prohibited and the exclusion of </w:t>
      </w:r>
      <w:r>
        <w:rPr>
          <w:rFonts w:ascii="Bookman Old Style" w:hAnsi="Bookman Old Style"/>
          <w:spacing w:val="-4"/>
          <w:sz w:val="28"/>
        </w:rPr>
        <w:t xml:space="preserve">menstruating </w:t>
      </w:r>
      <w:r>
        <w:rPr>
          <w:rFonts w:ascii="Bookman Old Style" w:hAnsi="Bookman Old Style"/>
          <w:sz w:val="28"/>
        </w:rPr>
        <w:t xml:space="preserve">women from religious spaces and practices is no less a form of discrimination than the exclusion of oppressed castes. After referring to Section 7(c) of the Civil Rights Act, 1955, which criminalizes </w:t>
      </w:r>
      <w:r>
        <w:rPr>
          <w:rFonts w:ascii="Bookman Old Style" w:hAnsi="Bookman Old Style"/>
          <w:sz w:val="28"/>
        </w:rPr>
        <w:t xml:space="preserve">the encouragement and incitement to practise </w:t>
      </w:r>
      <w:r>
        <w:rPr>
          <w:rFonts w:ascii="Bookman Old Style" w:hAnsi="Bookman Old Style"/>
          <w:sz w:val="28"/>
        </w:rPr>
        <w:t>u</w:t>
      </w:r>
      <w:r>
        <w:rPr>
          <w:rFonts w:ascii="Bookman Old Style" w:hAnsi="Bookman Old Style"/>
          <w:spacing w:val="-1"/>
          <w:sz w:val="28"/>
        </w:rPr>
        <w:t>n</w:t>
      </w:r>
      <w:r>
        <w:rPr>
          <w:rFonts w:ascii="Bookman Old Style" w:hAnsi="Bookman Old Style"/>
          <w:spacing w:val="-2"/>
          <w:sz w:val="28"/>
        </w:rPr>
        <w:t>to</w:t>
      </w:r>
      <w:r>
        <w:rPr>
          <w:rFonts w:ascii="Bookman Old Style" w:hAnsi="Bookman Old Style"/>
          <w:sz w:val="28"/>
        </w:rPr>
        <w:t>uch</w:t>
      </w:r>
      <w:r>
        <w:rPr>
          <w:rFonts w:ascii="Bookman Old Style" w:hAnsi="Bookman Old Style"/>
          <w:spacing w:val="-3"/>
          <w:sz w:val="28"/>
        </w:rPr>
        <w:t>a</w:t>
      </w:r>
      <w:r>
        <w:rPr>
          <w:rFonts w:ascii="Bookman Old Style" w:hAnsi="Bookman Old Style"/>
          <w:sz w:val="28"/>
        </w:rPr>
        <w:t>bili</w:t>
      </w:r>
      <w:r>
        <w:rPr>
          <w:rFonts w:ascii="Bookman Old Style" w:hAnsi="Bookman Old Style"/>
          <w:spacing w:val="-2"/>
          <w:sz w:val="28"/>
        </w:rPr>
        <w:t>t</w:t>
      </w:r>
      <w:r>
        <w:rPr>
          <w:rFonts w:ascii="Bookman Old Style" w:hAnsi="Bookman Old Style"/>
          <w:sz w:val="28"/>
        </w:rPr>
        <w:t>y</w:t>
      </w:r>
      <w:r>
        <w:rPr>
          <w:rFonts w:ascii="Bookman Old Style" w:hAnsi="Bookman Old Style"/>
          <w:sz w:val="28"/>
        </w:rPr>
        <w:t xml:space="preserve"> </w:t>
      </w:r>
      <w:r>
        <w:rPr>
          <w:rFonts w:ascii="Bookman Old Style" w:hAnsi="Bookman Old Style"/>
          <w:spacing w:val="-36"/>
          <w:sz w:val="28"/>
        </w:rPr>
        <w:t xml:space="preserve"> </w:t>
      </w:r>
      <w:r>
        <w:rPr>
          <w:rFonts w:ascii="Bookman Old Style" w:hAnsi="Bookman Old Style"/>
          <w:sz w:val="28"/>
        </w:rPr>
        <w:t>in</w:t>
      </w:r>
      <w:r>
        <w:rPr>
          <w:rFonts w:ascii="Bookman Old Style" w:hAnsi="Bookman Old Style"/>
          <w:sz w:val="28"/>
        </w:rPr>
        <w:t xml:space="preserve"> </w:t>
      </w:r>
      <w:r>
        <w:rPr>
          <w:rFonts w:ascii="Bookman Old Style" w:hAnsi="Bookman Old Style"/>
          <w:spacing w:val="-37"/>
          <w:sz w:val="28"/>
        </w:rPr>
        <w:t xml:space="preserve"> </w:t>
      </w:r>
      <w:r>
        <w:rPr>
          <w:rFonts w:ascii="Bookman Old Style" w:hAnsi="Bookman Old Style"/>
          <w:spacing w:val="-1"/>
          <w:w w:val="81"/>
          <w:sz w:val="28"/>
        </w:rPr>
        <w:t>„</w:t>
      </w:r>
      <w:r>
        <w:rPr>
          <w:rFonts w:ascii="Bookman Old Style" w:hAnsi="Bookman Old Style"/>
          <w:w w:val="81"/>
          <w:sz w:val="28"/>
        </w:rPr>
        <w:t>a</w:t>
      </w:r>
      <w:r>
        <w:rPr>
          <w:rFonts w:ascii="Bookman Old Style" w:hAnsi="Bookman Old Style"/>
          <w:spacing w:val="-1"/>
          <w:sz w:val="28"/>
        </w:rPr>
        <w:t>n</w:t>
      </w:r>
      <w:r>
        <w:rPr>
          <w:rFonts w:ascii="Bookman Old Style" w:hAnsi="Bookman Old Style"/>
          <w:sz w:val="28"/>
        </w:rPr>
        <w:t>y</w:t>
      </w:r>
      <w:r>
        <w:rPr>
          <w:rFonts w:ascii="Bookman Old Style" w:hAnsi="Bookman Old Style"/>
          <w:sz w:val="28"/>
        </w:rPr>
        <w:t xml:space="preserve"> </w:t>
      </w:r>
      <w:r>
        <w:rPr>
          <w:rFonts w:ascii="Bookman Old Style" w:hAnsi="Bookman Old Style"/>
          <w:spacing w:val="-37"/>
          <w:sz w:val="28"/>
        </w:rPr>
        <w:t xml:space="preserve"> </w:t>
      </w:r>
      <w:r>
        <w:rPr>
          <w:rFonts w:ascii="Bookman Old Style" w:hAnsi="Bookman Old Style"/>
          <w:spacing w:val="-2"/>
          <w:sz w:val="28"/>
        </w:rPr>
        <w:t>f</w:t>
      </w:r>
      <w:r>
        <w:rPr>
          <w:rFonts w:ascii="Bookman Old Style" w:hAnsi="Bookman Old Style"/>
          <w:sz w:val="28"/>
        </w:rPr>
        <w:t>o</w:t>
      </w:r>
      <w:r>
        <w:rPr>
          <w:rFonts w:ascii="Bookman Old Style" w:hAnsi="Bookman Old Style"/>
          <w:spacing w:val="-2"/>
          <w:sz w:val="28"/>
        </w:rPr>
        <w:t>r</w:t>
      </w:r>
      <w:r>
        <w:rPr>
          <w:rFonts w:ascii="Bookman Old Style" w:hAnsi="Bookman Old Style"/>
          <w:sz w:val="28"/>
        </w:rPr>
        <w:t>m</w:t>
      </w:r>
      <w:r>
        <w:rPr>
          <w:rFonts w:ascii="Bookman Old Style" w:hAnsi="Bookman Old Style"/>
          <w:sz w:val="28"/>
        </w:rPr>
        <w:t xml:space="preserve"> </w:t>
      </w:r>
      <w:r>
        <w:rPr>
          <w:rFonts w:ascii="Bookman Old Style" w:hAnsi="Bookman Old Style"/>
          <w:spacing w:val="-36"/>
          <w:sz w:val="28"/>
        </w:rPr>
        <w:t xml:space="preserve"> </w:t>
      </w:r>
      <w:r>
        <w:rPr>
          <w:rFonts w:ascii="Bookman Old Style" w:hAnsi="Bookman Old Style"/>
          <w:sz w:val="28"/>
        </w:rPr>
        <w:t>w</w:t>
      </w:r>
      <w:r>
        <w:rPr>
          <w:rFonts w:ascii="Bookman Old Style" w:hAnsi="Bookman Old Style"/>
          <w:spacing w:val="-2"/>
          <w:sz w:val="28"/>
        </w:rPr>
        <w:t>h</w:t>
      </w:r>
      <w:r>
        <w:rPr>
          <w:rFonts w:ascii="Bookman Old Style" w:hAnsi="Bookman Old Style"/>
          <w:spacing w:val="-1"/>
          <w:sz w:val="28"/>
        </w:rPr>
        <w:t>ats</w:t>
      </w:r>
      <w:r>
        <w:rPr>
          <w:rFonts w:ascii="Bookman Old Style" w:hAnsi="Bookman Old Style"/>
          <w:spacing w:val="-2"/>
          <w:sz w:val="28"/>
        </w:rPr>
        <w:t>o</w:t>
      </w:r>
      <w:r>
        <w:rPr>
          <w:rFonts w:ascii="Bookman Old Style" w:hAnsi="Bookman Old Style"/>
          <w:spacing w:val="2"/>
          <w:sz w:val="28"/>
        </w:rPr>
        <w:t>e</w:t>
      </w:r>
      <w:r>
        <w:rPr>
          <w:rFonts w:ascii="Bookman Old Style" w:hAnsi="Bookman Old Style"/>
          <w:spacing w:val="-2"/>
          <w:sz w:val="28"/>
        </w:rPr>
        <w:t>v</w:t>
      </w:r>
      <w:r>
        <w:rPr>
          <w:rFonts w:ascii="Bookman Old Style" w:hAnsi="Bookman Old Style"/>
          <w:spacing w:val="2"/>
          <w:sz w:val="28"/>
        </w:rPr>
        <w:t>e</w:t>
      </w:r>
      <w:r>
        <w:rPr>
          <w:rFonts w:ascii="Bookman Old Style" w:hAnsi="Bookman Old Style"/>
          <w:spacing w:val="-4"/>
          <w:sz w:val="28"/>
        </w:rPr>
        <w:t>r</w:t>
      </w:r>
      <w:r>
        <w:rPr>
          <w:rFonts w:ascii="Bookman Old Style" w:hAnsi="Bookman Old Style"/>
          <w:w w:val="29"/>
          <w:sz w:val="28"/>
        </w:rPr>
        <w:t>‟</w:t>
      </w:r>
      <w:r>
        <w:rPr>
          <w:rFonts w:ascii="Bookman Old Style" w:hAnsi="Bookman Old Style"/>
          <w:sz w:val="28"/>
        </w:rPr>
        <w:t xml:space="preserve"> </w:t>
      </w:r>
      <w:r>
        <w:rPr>
          <w:rFonts w:ascii="Bookman Old Style" w:hAnsi="Bookman Old Style"/>
          <w:spacing w:val="-35"/>
          <w:sz w:val="28"/>
        </w:rPr>
        <w:t xml:space="preserve"> </w:t>
      </w:r>
      <w:r>
        <w:rPr>
          <w:rFonts w:ascii="Bookman Old Style" w:hAnsi="Bookman Old Style"/>
          <w:spacing w:val="-1"/>
          <w:sz w:val="28"/>
        </w:rPr>
        <w:t>an</w:t>
      </w:r>
      <w:r>
        <w:rPr>
          <w:rFonts w:ascii="Bookman Old Style" w:hAnsi="Bookman Old Style"/>
          <w:sz w:val="28"/>
        </w:rPr>
        <w:t>d</w:t>
      </w:r>
      <w:r>
        <w:rPr>
          <w:rFonts w:ascii="Bookman Old Style" w:hAnsi="Bookman Old Style"/>
          <w:sz w:val="28"/>
        </w:rPr>
        <w:t xml:space="preserve"> </w:t>
      </w:r>
      <w:r>
        <w:rPr>
          <w:rFonts w:ascii="Bookman Old Style" w:hAnsi="Bookman Old Style"/>
          <w:spacing w:val="-35"/>
          <w:sz w:val="28"/>
        </w:rPr>
        <w:t xml:space="preserve"> </w:t>
      </w:r>
      <w:r>
        <w:rPr>
          <w:rFonts w:ascii="Bookman Old Style" w:hAnsi="Bookman Old Style"/>
          <w:spacing w:val="-2"/>
          <w:sz w:val="28"/>
        </w:rPr>
        <w:t>t</w:t>
      </w:r>
      <w:r>
        <w:rPr>
          <w:rFonts w:ascii="Bookman Old Style" w:hAnsi="Bookman Old Style"/>
          <w:spacing w:val="-3"/>
          <w:sz w:val="28"/>
        </w:rPr>
        <w:t>h</w:t>
      </w:r>
      <w:r>
        <w:rPr>
          <w:rFonts w:ascii="Bookman Old Style" w:hAnsi="Bookman Old Style"/>
          <w:sz w:val="28"/>
        </w:rPr>
        <w:t>e</w:t>
      </w:r>
      <w:r>
        <w:rPr>
          <w:rFonts w:ascii="Bookman Old Style" w:hAnsi="Bookman Old Style"/>
          <w:sz w:val="28"/>
        </w:rPr>
        <w:t xml:space="preserve"> </w:t>
      </w:r>
      <w:r>
        <w:rPr>
          <w:rFonts w:ascii="Bookman Old Style" w:hAnsi="Bookman Old Style"/>
          <w:spacing w:val="-33"/>
          <w:sz w:val="28"/>
        </w:rPr>
        <w:t xml:space="preserve"> </w:t>
      </w:r>
      <w:r>
        <w:rPr>
          <w:rFonts w:ascii="Bookman Old Style" w:hAnsi="Bookman Old Style"/>
          <w:spacing w:val="-4"/>
          <w:sz w:val="28"/>
        </w:rPr>
        <w:t>E</w:t>
      </w:r>
      <w:r>
        <w:rPr>
          <w:rFonts w:ascii="Bookman Old Style" w:hAnsi="Bookman Old Style"/>
          <w:sz w:val="28"/>
        </w:rPr>
        <w:t>xp</w:t>
      </w:r>
      <w:r>
        <w:rPr>
          <w:rFonts w:ascii="Bookman Old Style" w:hAnsi="Bookman Old Style"/>
          <w:spacing w:val="-3"/>
          <w:sz w:val="28"/>
        </w:rPr>
        <w:t>l</w:t>
      </w:r>
      <w:r>
        <w:rPr>
          <w:rFonts w:ascii="Bookman Old Style" w:hAnsi="Bookman Old Style"/>
          <w:spacing w:val="-1"/>
          <w:sz w:val="28"/>
        </w:rPr>
        <w:t>anat</w:t>
      </w:r>
      <w:r>
        <w:rPr>
          <w:rFonts w:ascii="Bookman Old Style" w:hAnsi="Bookman Old Style"/>
          <w:sz w:val="28"/>
        </w:rPr>
        <w:t>i</w:t>
      </w:r>
      <w:r>
        <w:rPr>
          <w:rFonts w:ascii="Bookman Old Style" w:hAnsi="Bookman Old Style"/>
          <w:spacing w:val="-2"/>
          <w:sz w:val="28"/>
        </w:rPr>
        <w:t>o</w:t>
      </w:r>
      <w:r>
        <w:rPr>
          <w:rFonts w:ascii="Bookman Old Style" w:hAnsi="Bookman Old Style"/>
          <w:sz w:val="28"/>
        </w:rPr>
        <w:t>n</w:t>
      </w:r>
      <w:r>
        <w:rPr>
          <w:rFonts w:ascii="Bookman Old Style" w:hAnsi="Bookman Old Style"/>
          <w:sz w:val="28"/>
        </w:rPr>
        <w:t xml:space="preserve"> </w:t>
      </w:r>
      <w:r>
        <w:rPr>
          <w:rFonts w:ascii="Bookman Old Style" w:hAnsi="Bookman Old Style"/>
          <w:spacing w:val="-41"/>
          <w:sz w:val="28"/>
        </w:rPr>
        <w:t xml:space="preserve"> </w:t>
      </w:r>
      <w:r>
        <w:rPr>
          <w:rFonts w:ascii="Bookman Old Style" w:hAnsi="Bookman Old Style"/>
          <w:sz w:val="28"/>
        </w:rPr>
        <w:t xml:space="preserve">II </w:t>
      </w:r>
      <w:r>
        <w:rPr>
          <w:rFonts w:ascii="Bookman Old Style" w:hAnsi="Bookman Old Style"/>
          <w:sz w:val="28"/>
        </w:rPr>
        <w:t>appended</w:t>
      </w:r>
      <w:r>
        <w:rPr>
          <w:rFonts w:ascii="Bookman Old Style" w:hAnsi="Bookman Old Style"/>
          <w:spacing w:val="17"/>
          <w:sz w:val="28"/>
        </w:rPr>
        <w:t xml:space="preserve"> </w:t>
      </w:r>
      <w:r>
        <w:rPr>
          <w:rFonts w:ascii="Bookman Old Style" w:hAnsi="Bookman Old Style"/>
          <w:sz w:val="28"/>
        </w:rPr>
        <w:t>to</w:t>
      </w:r>
      <w:r>
        <w:rPr>
          <w:rFonts w:ascii="Bookman Old Style" w:hAnsi="Bookman Old Style"/>
          <w:spacing w:val="17"/>
          <w:sz w:val="28"/>
        </w:rPr>
        <w:t xml:space="preserve"> </w:t>
      </w:r>
      <w:r>
        <w:rPr>
          <w:rFonts w:ascii="Bookman Old Style" w:hAnsi="Bookman Old Style"/>
          <w:sz w:val="28"/>
        </w:rPr>
        <w:t>the</w:t>
      </w:r>
      <w:r>
        <w:rPr>
          <w:rFonts w:ascii="Bookman Old Style" w:hAnsi="Bookman Old Style"/>
          <w:spacing w:val="17"/>
          <w:sz w:val="28"/>
        </w:rPr>
        <w:t xml:space="preserve"> </w:t>
      </w:r>
      <w:r>
        <w:rPr>
          <w:rFonts w:ascii="Bookman Old Style" w:hAnsi="Bookman Old Style"/>
          <w:sz w:val="28"/>
        </w:rPr>
        <w:t>said</w:t>
      </w:r>
      <w:r>
        <w:rPr>
          <w:rFonts w:ascii="Bookman Old Style" w:hAnsi="Bookman Old Style"/>
          <w:spacing w:val="17"/>
          <w:sz w:val="28"/>
        </w:rPr>
        <w:t xml:space="preserve"> </w:t>
      </w:r>
      <w:r>
        <w:rPr>
          <w:rFonts w:ascii="Bookman Old Style" w:hAnsi="Bookman Old Style"/>
          <w:sz w:val="28"/>
        </w:rPr>
        <w:t>Section,</w:t>
      </w:r>
      <w:r>
        <w:rPr>
          <w:rFonts w:ascii="Bookman Old Style" w:hAnsi="Bookman Old Style"/>
          <w:spacing w:val="15"/>
          <w:sz w:val="28"/>
        </w:rPr>
        <w:t xml:space="preserve"> </w:t>
      </w:r>
      <w:r>
        <w:rPr>
          <w:rFonts w:ascii="Bookman Old Style" w:hAnsi="Bookman Old Style"/>
          <w:sz w:val="28"/>
        </w:rPr>
        <w:t>the</w:t>
      </w:r>
      <w:r>
        <w:rPr>
          <w:rFonts w:ascii="Bookman Old Style" w:hAnsi="Bookman Old Style"/>
          <w:spacing w:val="17"/>
          <w:sz w:val="28"/>
        </w:rPr>
        <w:t xml:space="preserve"> </w:t>
      </w:r>
      <w:r>
        <w:rPr>
          <w:rFonts w:ascii="Bookman Old Style" w:hAnsi="Bookman Old Style"/>
          <w:sz w:val="28"/>
        </w:rPr>
        <w:t>learned</w:t>
      </w:r>
      <w:r>
        <w:rPr>
          <w:rFonts w:ascii="Bookman Old Style" w:hAnsi="Bookman Old Style"/>
          <w:spacing w:val="18"/>
          <w:sz w:val="28"/>
        </w:rPr>
        <w:t xml:space="preserve"> </w:t>
      </w:r>
      <w:r>
        <w:rPr>
          <w:rFonts w:ascii="Bookman Old Style" w:hAnsi="Bookman Old Style"/>
          <w:sz w:val="28"/>
        </w:rPr>
        <w:t>Amicus</w:t>
      </w:r>
      <w:r>
        <w:rPr>
          <w:rFonts w:ascii="Bookman Old Style" w:hAnsi="Bookman Old Style"/>
          <w:spacing w:val="18"/>
          <w:sz w:val="28"/>
        </w:rPr>
        <w:t xml:space="preserve"> </w:t>
      </w:r>
      <w:r>
        <w:rPr>
          <w:rFonts w:ascii="Bookman Old Style" w:hAnsi="Bookman Old Style"/>
          <w:sz w:val="28"/>
        </w:rPr>
        <w:t>has</w:t>
      </w:r>
      <w:r>
        <w:rPr>
          <w:rFonts w:ascii="Bookman Old Style" w:hAnsi="Bookman Old Style"/>
          <w:spacing w:val="16"/>
          <w:sz w:val="28"/>
        </w:rPr>
        <w:t xml:space="preserve"> </w:t>
      </w:r>
      <w:r>
        <w:rPr>
          <w:rFonts w:ascii="Bookman Old Style" w:hAnsi="Bookman Old Style"/>
          <w:sz w:val="28"/>
        </w:rPr>
        <w:t>submitted</w:t>
      </w:r>
    </w:p>
    <w:p w:rsidR="003B2FC0" w:rsidRDefault="003B2FC0">
      <w:pPr>
        <w:spacing w:line="480" w:lineRule="auto"/>
        <w:jc w:val="both"/>
        <w:rPr>
          <w:rFonts w:ascii="Bookman Old Style" w:hAnsi="Bookman Old Style"/>
          <w:sz w:val="28"/>
        </w:rPr>
        <w:sectPr w:rsidR="003B2FC0">
          <w:footerReference w:type="default" r:id="rId91"/>
          <w:pgSz w:w="11910" w:h="16840"/>
          <w:pgMar w:top="1340" w:right="1160" w:bottom="280" w:left="940" w:header="554" w:footer="0" w:gutter="0"/>
          <w:cols w:space="720"/>
        </w:sectPr>
      </w:pPr>
    </w:p>
    <w:p w:rsidR="003B2FC0" w:rsidRDefault="00052A49">
      <w:pPr>
        <w:pStyle w:val="BodyText"/>
        <w:spacing w:before="93" w:line="480" w:lineRule="auto"/>
        <w:ind w:left="500" w:right="278"/>
        <w:jc w:val="both"/>
      </w:pPr>
      <w:r>
        <w:t>that untouchability cannot be understood in a pedantic sense but must be understood in the context of the Civil Rights Act to include any exclusion based on the notions of purity and pollution.</w:t>
      </w:r>
    </w:p>
    <w:p w:rsidR="003B2FC0" w:rsidRDefault="00052A49">
      <w:pPr>
        <w:pStyle w:val="ListParagraph"/>
        <w:numPr>
          <w:ilvl w:val="0"/>
          <w:numId w:val="60"/>
        </w:numPr>
        <w:tabs>
          <w:tab w:val="left" w:pos="1220"/>
          <w:tab w:val="left" w:pos="1221"/>
        </w:tabs>
        <w:spacing w:before="121"/>
        <w:ind w:left="1220"/>
        <w:rPr>
          <w:rFonts w:ascii="Bookman Old Style"/>
          <w:sz w:val="28"/>
        </w:rPr>
      </w:pPr>
      <w:r>
        <w:rPr>
          <w:rFonts w:ascii="Bookman Old Style"/>
          <w:sz w:val="28"/>
        </w:rPr>
        <w:t>It</w:t>
      </w:r>
      <w:r>
        <w:rPr>
          <w:rFonts w:ascii="Bookman Old Style"/>
          <w:spacing w:val="56"/>
          <w:sz w:val="28"/>
        </w:rPr>
        <w:t xml:space="preserve"> </w:t>
      </w:r>
      <w:r>
        <w:rPr>
          <w:rFonts w:ascii="Bookman Old Style"/>
          <w:sz w:val="28"/>
        </w:rPr>
        <w:t>is</w:t>
      </w:r>
      <w:r>
        <w:rPr>
          <w:rFonts w:ascii="Bookman Old Style"/>
          <w:spacing w:val="57"/>
          <w:sz w:val="28"/>
        </w:rPr>
        <w:t xml:space="preserve"> </w:t>
      </w:r>
      <w:r>
        <w:rPr>
          <w:rFonts w:ascii="Bookman Old Style"/>
          <w:sz w:val="28"/>
        </w:rPr>
        <w:t>also</w:t>
      </w:r>
      <w:r>
        <w:rPr>
          <w:rFonts w:ascii="Bookman Old Style"/>
          <w:spacing w:val="58"/>
          <w:sz w:val="28"/>
        </w:rPr>
        <w:t xml:space="preserve"> </w:t>
      </w:r>
      <w:r>
        <w:rPr>
          <w:rFonts w:ascii="Bookman Old Style"/>
          <w:sz w:val="28"/>
        </w:rPr>
        <w:t>the</w:t>
      </w:r>
      <w:r>
        <w:rPr>
          <w:rFonts w:ascii="Bookman Old Style"/>
          <w:spacing w:val="59"/>
          <w:sz w:val="28"/>
        </w:rPr>
        <w:t xml:space="preserve"> </w:t>
      </w:r>
      <w:r>
        <w:rPr>
          <w:rFonts w:ascii="Bookman Old Style"/>
          <w:sz w:val="28"/>
        </w:rPr>
        <w:t>view</w:t>
      </w:r>
      <w:r>
        <w:rPr>
          <w:rFonts w:ascii="Bookman Old Style"/>
          <w:spacing w:val="57"/>
          <w:sz w:val="28"/>
        </w:rPr>
        <w:t xml:space="preserve"> </w:t>
      </w:r>
      <w:r>
        <w:rPr>
          <w:rFonts w:ascii="Bookman Old Style"/>
          <w:sz w:val="28"/>
        </w:rPr>
        <w:t>of</w:t>
      </w:r>
      <w:r>
        <w:rPr>
          <w:rFonts w:ascii="Bookman Old Style"/>
          <w:spacing w:val="56"/>
          <w:sz w:val="28"/>
        </w:rPr>
        <w:t xml:space="preserve"> </w:t>
      </w:r>
      <w:r>
        <w:rPr>
          <w:rFonts w:ascii="Bookman Old Style"/>
          <w:sz w:val="28"/>
        </w:rPr>
        <w:t>the</w:t>
      </w:r>
      <w:r>
        <w:rPr>
          <w:rFonts w:ascii="Bookman Old Style"/>
          <w:spacing w:val="59"/>
          <w:sz w:val="28"/>
        </w:rPr>
        <w:t xml:space="preserve"> </w:t>
      </w:r>
      <w:r>
        <w:rPr>
          <w:rFonts w:ascii="Bookman Old Style"/>
          <w:sz w:val="28"/>
        </w:rPr>
        <w:t>learned</w:t>
      </w:r>
      <w:r>
        <w:rPr>
          <w:rFonts w:ascii="Bookman Old Style"/>
          <w:spacing w:val="61"/>
          <w:sz w:val="28"/>
        </w:rPr>
        <w:t xml:space="preserve"> </w:t>
      </w:r>
      <w:r>
        <w:rPr>
          <w:rFonts w:ascii="Bookman Old Style"/>
          <w:sz w:val="28"/>
        </w:rPr>
        <w:t>Amicus</w:t>
      </w:r>
      <w:r>
        <w:rPr>
          <w:rFonts w:ascii="Bookman Old Style"/>
          <w:spacing w:val="59"/>
          <w:sz w:val="28"/>
        </w:rPr>
        <w:t xml:space="preserve"> </w:t>
      </w:r>
      <w:r>
        <w:rPr>
          <w:rFonts w:ascii="Bookman Old Style"/>
          <w:sz w:val="28"/>
        </w:rPr>
        <w:t>that</w:t>
      </w:r>
      <w:r>
        <w:rPr>
          <w:rFonts w:ascii="Bookman Old Style"/>
          <w:spacing w:val="57"/>
          <w:sz w:val="28"/>
        </w:rPr>
        <w:t xml:space="preserve"> </w:t>
      </w:r>
      <w:r>
        <w:rPr>
          <w:rFonts w:ascii="Bookman Old Style"/>
          <w:sz w:val="28"/>
        </w:rPr>
        <w:t>the</w:t>
      </w:r>
      <w:r>
        <w:rPr>
          <w:rFonts w:ascii="Bookman Old Style"/>
          <w:spacing w:val="56"/>
          <w:sz w:val="28"/>
        </w:rPr>
        <w:t xml:space="preserve"> </w:t>
      </w:r>
      <w:r>
        <w:rPr>
          <w:rFonts w:ascii="Bookman Old Style"/>
          <w:sz w:val="28"/>
        </w:rPr>
        <w:t>phrase</w:t>
      </w:r>
    </w:p>
    <w:p w:rsidR="003B2FC0" w:rsidRDefault="003B2FC0">
      <w:pPr>
        <w:pStyle w:val="BodyText"/>
        <w:spacing w:before="10"/>
        <w:rPr>
          <w:sz w:val="27"/>
        </w:rPr>
      </w:pPr>
    </w:p>
    <w:p w:rsidR="003B2FC0" w:rsidRDefault="00052A49">
      <w:pPr>
        <w:pStyle w:val="BodyText"/>
        <w:spacing w:line="480" w:lineRule="auto"/>
        <w:ind w:left="500" w:right="272"/>
        <w:jc w:val="both"/>
      </w:pPr>
      <w:r>
        <w:rPr>
          <w:spacing w:val="-2"/>
          <w:w w:val="55"/>
        </w:rPr>
        <w:t>„</w:t>
      </w:r>
      <w:r>
        <w:rPr>
          <w:spacing w:val="2"/>
        </w:rPr>
        <w:t>e</w:t>
      </w:r>
      <w:r>
        <w:rPr>
          <w:spacing w:val="-2"/>
        </w:rPr>
        <w:t>q</w:t>
      </w:r>
      <w:r>
        <w:t>u</w:t>
      </w:r>
      <w:r>
        <w:rPr>
          <w:spacing w:val="-1"/>
        </w:rPr>
        <w:t>all</w:t>
      </w:r>
      <w:r>
        <w:t>y</w:t>
      </w:r>
      <w:r>
        <w:t xml:space="preserve"> </w:t>
      </w:r>
      <w:r>
        <w:rPr>
          <w:spacing w:val="3"/>
        </w:rPr>
        <w:t>e</w:t>
      </w:r>
      <w:r>
        <w:rPr>
          <w:spacing w:val="-1"/>
        </w:rPr>
        <w:t>n</w:t>
      </w:r>
      <w:r>
        <w:rPr>
          <w:spacing w:val="-2"/>
        </w:rPr>
        <w:t>t</w:t>
      </w:r>
      <w:r>
        <w:t>i</w:t>
      </w:r>
      <w:r>
        <w:rPr>
          <w:spacing w:val="-2"/>
        </w:rPr>
        <w:t>t</w:t>
      </w:r>
      <w:r>
        <w:rPr>
          <w:spacing w:val="-3"/>
        </w:rPr>
        <w:t>l</w:t>
      </w:r>
      <w:r>
        <w:rPr>
          <w:spacing w:val="2"/>
        </w:rPr>
        <w:t>e</w:t>
      </w:r>
      <w:r>
        <w:t>d</w:t>
      </w:r>
      <w:r>
        <w:rPr>
          <w:spacing w:val="4"/>
        </w:rPr>
        <w:t xml:space="preserve"> </w:t>
      </w:r>
      <w:r>
        <w:rPr>
          <w:spacing w:val="-4"/>
        </w:rPr>
        <w:t>t</w:t>
      </w:r>
      <w:r>
        <w:t>o</w:t>
      </w:r>
      <w:r>
        <w:rPr>
          <w:w w:val="29"/>
        </w:rPr>
        <w:t>‟</w:t>
      </w:r>
      <w:r>
        <w:rPr>
          <w:spacing w:val="4"/>
        </w:rPr>
        <w:t xml:space="preserve"> </w:t>
      </w:r>
      <w:r>
        <w:t>in</w:t>
      </w:r>
      <w:r>
        <w:rPr>
          <w:spacing w:val="3"/>
        </w:rPr>
        <w:t xml:space="preserve"> </w:t>
      </w:r>
      <w:r>
        <w:t>A</w:t>
      </w:r>
      <w:r>
        <w:rPr>
          <w:spacing w:val="-2"/>
        </w:rPr>
        <w:t>rt</w:t>
      </w:r>
      <w:r>
        <w:t>ic</w:t>
      </w:r>
      <w:r>
        <w:rPr>
          <w:spacing w:val="-3"/>
        </w:rPr>
        <w:t>l</w:t>
      </w:r>
      <w:r>
        <w:t>e</w:t>
      </w:r>
      <w:r>
        <w:rPr>
          <w:spacing w:val="3"/>
        </w:rPr>
        <w:t xml:space="preserve"> </w:t>
      </w:r>
      <w:r>
        <w:t>25</w:t>
      </w:r>
      <w:r>
        <w:rPr>
          <w:spacing w:val="-3"/>
        </w:rPr>
        <w:t>(</w:t>
      </w:r>
      <w:r>
        <w:t>1)</w:t>
      </w:r>
      <w:r>
        <w:rPr>
          <w:spacing w:val="1"/>
        </w:rPr>
        <w:t xml:space="preserve"> </w:t>
      </w:r>
      <w:r>
        <w:rPr>
          <w:spacing w:val="-2"/>
        </w:rPr>
        <w:t>f</w:t>
      </w:r>
      <w:r>
        <w:t>inds</w:t>
      </w:r>
      <w:r>
        <w:rPr>
          <w:spacing w:val="4"/>
        </w:rPr>
        <w:t xml:space="preserve"> </w:t>
      </w:r>
      <w:r>
        <w:rPr>
          <w:spacing w:val="-2"/>
        </w:rPr>
        <w:t>r</w:t>
      </w:r>
      <w:r>
        <w:t>es</w:t>
      </w:r>
      <w:r>
        <w:rPr>
          <w:spacing w:val="1"/>
        </w:rPr>
        <w:t>o</w:t>
      </w:r>
      <w:r>
        <w:rPr>
          <w:spacing w:val="-3"/>
        </w:rPr>
        <w:t>n</w:t>
      </w:r>
      <w:r>
        <w:rPr>
          <w:spacing w:val="-1"/>
        </w:rPr>
        <w:t>an</w:t>
      </w:r>
      <w:r>
        <w:rPr>
          <w:spacing w:val="-3"/>
        </w:rPr>
        <w:t>c</w:t>
      </w:r>
      <w:r>
        <w:t>e</w:t>
      </w:r>
      <w:r>
        <w:rPr>
          <w:spacing w:val="6"/>
        </w:rPr>
        <w:t xml:space="preserve"> </w:t>
      </w:r>
      <w:r>
        <w:rPr>
          <w:spacing w:val="-3"/>
        </w:rPr>
        <w:t>i</w:t>
      </w:r>
      <w:r>
        <w:t>n</w:t>
      </w:r>
      <w:r>
        <w:rPr>
          <w:spacing w:val="3"/>
        </w:rPr>
        <w:t xml:space="preserve"> </w:t>
      </w:r>
      <w:r>
        <w:rPr>
          <w:spacing w:val="-1"/>
        </w:rPr>
        <w:t>S</w:t>
      </w:r>
      <w:r>
        <w:rPr>
          <w:spacing w:val="1"/>
        </w:rPr>
        <w:t>e</w:t>
      </w:r>
      <w:r>
        <w:t>ct</w:t>
      </w:r>
      <w:r>
        <w:rPr>
          <w:spacing w:val="-4"/>
        </w:rPr>
        <w:t>i</w:t>
      </w:r>
      <w:r>
        <w:t>on</w:t>
      </w:r>
      <w:r>
        <w:rPr>
          <w:spacing w:val="3"/>
        </w:rPr>
        <w:t xml:space="preserve"> </w:t>
      </w:r>
      <w:r>
        <w:t>3</w:t>
      </w:r>
      <w:r>
        <w:rPr>
          <w:spacing w:val="-3"/>
        </w:rPr>
        <w:t>(</w:t>
      </w:r>
      <w:r>
        <w:rPr>
          <w:spacing w:val="-1"/>
        </w:rPr>
        <w:t xml:space="preserve">a) </w:t>
      </w:r>
      <w:r>
        <w:t xml:space="preserve">of the Civil Rights Act, 1955 which criminalizes exclusion of people to those places which are “open to other persons professing the same religion or any section thereof, as such person” and prevention of worship “in the same manner and to the same extent </w:t>
      </w:r>
      <w:r>
        <w:t xml:space="preserve">as is permissible to other persons professing the same religion or any section thereof, as such persons”. That apart, the learned Amicus has drawn our attention to Section </w:t>
      </w:r>
      <w:r>
        <w:t>2(d)</w:t>
      </w:r>
      <w:r>
        <w:t xml:space="preserve"> </w:t>
      </w:r>
      <w:r>
        <w:rPr>
          <w:spacing w:val="-36"/>
        </w:rPr>
        <w:t xml:space="preserve"> </w:t>
      </w:r>
      <w:r>
        <w:t>of</w:t>
      </w:r>
      <w:r>
        <w:t xml:space="preserve"> </w:t>
      </w:r>
      <w:r>
        <w:rPr>
          <w:spacing w:val="-35"/>
        </w:rPr>
        <w:t xml:space="preserve"> </w:t>
      </w:r>
      <w:r>
        <w:rPr>
          <w:spacing w:val="-2"/>
        </w:rPr>
        <w:t>t</w:t>
      </w:r>
      <w:r>
        <w:rPr>
          <w:spacing w:val="-1"/>
        </w:rPr>
        <w:t>h</w:t>
      </w:r>
      <w:r>
        <w:t>e</w:t>
      </w:r>
      <w:r>
        <w:t xml:space="preserve"> </w:t>
      </w:r>
      <w:r>
        <w:rPr>
          <w:spacing w:val="-32"/>
        </w:rPr>
        <w:t xml:space="preserve"> </w:t>
      </w:r>
      <w:r>
        <w:rPr>
          <w:spacing w:val="-2"/>
        </w:rPr>
        <w:t>1</w:t>
      </w:r>
      <w:r>
        <w:t>9</w:t>
      </w:r>
      <w:r>
        <w:rPr>
          <w:spacing w:val="-2"/>
        </w:rPr>
        <w:t>5</w:t>
      </w:r>
      <w:r>
        <w:t>5</w:t>
      </w:r>
      <w:r>
        <w:t xml:space="preserve"> </w:t>
      </w:r>
      <w:r>
        <w:rPr>
          <w:spacing w:val="-35"/>
        </w:rPr>
        <w:t xml:space="preserve"> </w:t>
      </w:r>
      <w:r>
        <w:t>A</w:t>
      </w:r>
      <w:r>
        <w:rPr>
          <w:spacing w:val="-1"/>
        </w:rPr>
        <w:t>c</w:t>
      </w:r>
      <w:r>
        <w:t>t</w:t>
      </w:r>
      <w:r>
        <w:t xml:space="preserve"> </w:t>
      </w:r>
      <w:r>
        <w:rPr>
          <w:spacing w:val="-34"/>
        </w:rPr>
        <w:t xml:space="preserve"> </w:t>
      </w:r>
      <w:r>
        <w:t>w</w:t>
      </w:r>
      <w:r>
        <w:rPr>
          <w:spacing w:val="-2"/>
        </w:rPr>
        <w:t>h</w:t>
      </w:r>
      <w:r>
        <w:t>ich</w:t>
      </w:r>
      <w:r>
        <w:t xml:space="preserve"> </w:t>
      </w:r>
      <w:r>
        <w:rPr>
          <w:spacing w:val="-34"/>
        </w:rPr>
        <w:t xml:space="preserve"> </w:t>
      </w:r>
      <w:r>
        <w:rPr>
          <w:spacing w:val="-2"/>
        </w:rPr>
        <w:t>d</w:t>
      </w:r>
      <w:r>
        <w:rPr>
          <w:spacing w:val="2"/>
        </w:rPr>
        <w:t>e</w:t>
      </w:r>
      <w:r>
        <w:rPr>
          <w:spacing w:val="-2"/>
        </w:rPr>
        <w:t>f</w:t>
      </w:r>
      <w:r>
        <w:t>ines</w:t>
      </w:r>
      <w:r>
        <w:t xml:space="preserve"> </w:t>
      </w:r>
      <w:r>
        <w:rPr>
          <w:spacing w:val="-33"/>
        </w:rPr>
        <w:t xml:space="preserve"> </w:t>
      </w:r>
      <w:r>
        <w:rPr>
          <w:spacing w:val="-1"/>
          <w:w w:val="82"/>
        </w:rPr>
        <w:t>„</w:t>
      </w:r>
      <w:r>
        <w:rPr>
          <w:spacing w:val="1"/>
          <w:w w:val="82"/>
        </w:rPr>
        <w:t>p</w:t>
      </w:r>
      <w:r>
        <w:t>l</w:t>
      </w:r>
      <w:r>
        <w:rPr>
          <w:spacing w:val="-3"/>
        </w:rPr>
        <w:t>a</w:t>
      </w:r>
      <w:r>
        <w:rPr>
          <w:spacing w:val="-2"/>
        </w:rPr>
        <w:t>c</w:t>
      </w:r>
      <w:r>
        <w:t>e</w:t>
      </w:r>
      <w:r>
        <w:t xml:space="preserve"> </w:t>
      </w:r>
      <w:r>
        <w:rPr>
          <w:spacing w:val="-31"/>
        </w:rPr>
        <w:t xml:space="preserve"> </w:t>
      </w:r>
      <w:r>
        <w:t>of</w:t>
      </w:r>
      <w:r>
        <w:t xml:space="preserve"> </w:t>
      </w:r>
      <w:r>
        <w:rPr>
          <w:spacing w:val="-35"/>
        </w:rPr>
        <w:t xml:space="preserve"> </w:t>
      </w:r>
      <w:r>
        <w:rPr>
          <w:spacing w:val="-2"/>
        </w:rPr>
        <w:t>p</w:t>
      </w:r>
      <w:r>
        <w:t>ub</w:t>
      </w:r>
      <w:r>
        <w:rPr>
          <w:spacing w:val="-3"/>
        </w:rPr>
        <w:t>l</w:t>
      </w:r>
      <w:r>
        <w:t>ic</w:t>
      </w:r>
      <w:r>
        <w:t xml:space="preserve"> </w:t>
      </w:r>
      <w:r>
        <w:rPr>
          <w:spacing w:val="-33"/>
        </w:rPr>
        <w:t xml:space="preserve"> </w:t>
      </w:r>
      <w:r>
        <w:t>worsh</w:t>
      </w:r>
      <w:r>
        <w:rPr>
          <w:spacing w:val="-2"/>
        </w:rPr>
        <w:t>i</w:t>
      </w:r>
      <w:r>
        <w:t>p</w:t>
      </w:r>
      <w:r>
        <w:rPr>
          <w:w w:val="29"/>
        </w:rPr>
        <w:t>‟</w:t>
      </w:r>
      <w:r>
        <w:t xml:space="preserve"> </w:t>
      </w:r>
      <w:r>
        <w:rPr>
          <w:spacing w:val="-33"/>
        </w:rPr>
        <w:t xml:space="preserve"> </w:t>
      </w:r>
      <w:r>
        <w:rPr>
          <w:spacing w:val="-4"/>
        </w:rPr>
        <w:t>t</w:t>
      </w:r>
      <w:r>
        <w:t xml:space="preserve">o </w:t>
      </w:r>
      <w:r>
        <w:t xml:space="preserve">mean, </w:t>
      </w:r>
      <w:r>
        <w:rPr>
          <w:i/>
        </w:rPr>
        <w:t>inter alia</w:t>
      </w:r>
      <w:r>
        <w:t xml:space="preserve">, „by whatever name belonging to any religious denomination or any section thereof, for the performance of any religious service‟ and, therefore, the Amicus submits that </w:t>
      </w:r>
      <w:r>
        <w:rPr>
          <w:spacing w:val="-30"/>
        </w:rPr>
        <w:t xml:space="preserve">a </w:t>
      </w:r>
      <w:r>
        <w:t>temple is a public temple and irrespective of its denominational character</w:t>
      </w:r>
      <w:r>
        <w:t>, it cannot prevent the entry of any devotee aspiring to enter and</w:t>
      </w:r>
      <w:r>
        <w:rPr>
          <w:spacing w:val="-3"/>
        </w:rPr>
        <w:t xml:space="preserve"> </w:t>
      </w:r>
      <w:r>
        <w:t>worship.</w:t>
      </w:r>
    </w:p>
    <w:p w:rsidR="003B2FC0" w:rsidRDefault="003B2FC0">
      <w:pPr>
        <w:spacing w:line="480" w:lineRule="auto"/>
        <w:jc w:val="both"/>
        <w:sectPr w:rsidR="003B2FC0">
          <w:headerReference w:type="default" r:id="rId92"/>
          <w:footerReference w:type="default" r:id="rId93"/>
          <w:pgSz w:w="11910" w:h="16840"/>
          <w:pgMar w:top="1340" w:right="1160" w:bottom="280" w:left="940" w:header="554" w:footer="0" w:gutter="0"/>
          <w:pgNumType w:start="46"/>
          <w:cols w:space="720"/>
        </w:sectPr>
      </w:pPr>
    </w:p>
    <w:p w:rsidR="003B2FC0" w:rsidRDefault="00052A49">
      <w:pPr>
        <w:pStyle w:val="ListParagraph"/>
        <w:numPr>
          <w:ilvl w:val="0"/>
          <w:numId w:val="60"/>
        </w:numPr>
        <w:tabs>
          <w:tab w:val="left" w:pos="1221"/>
        </w:tabs>
        <w:spacing w:before="90" w:line="480" w:lineRule="auto"/>
        <w:ind w:right="273" w:firstLine="0"/>
        <w:jc w:val="both"/>
        <w:rPr>
          <w:rFonts w:ascii="Bookman Old Style"/>
          <w:sz w:val="28"/>
        </w:rPr>
      </w:pPr>
      <w:r>
        <w:rPr>
          <w:rFonts w:ascii="Bookman Old Style"/>
          <w:sz w:val="28"/>
        </w:rPr>
        <w:t xml:space="preserve">After placing reliance on the decision of this Court in </w:t>
      </w:r>
      <w:r>
        <w:rPr>
          <w:rFonts w:ascii="Bookman Old Style"/>
          <w:b/>
          <w:i/>
          <w:sz w:val="28"/>
        </w:rPr>
        <w:t xml:space="preserve">K.S. Puttaswamy </w:t>
      </w:r>
      <w:r>
        <w:rPr>
          <w:rFonts w:ascii="Bookman Old Style"/>
          <w:sz w:val="28"/>
        </w:rPr>
        <w:t xml:space="preserve">(supra), the Amicus has submitted that the exclusionary practice in its implementation results in involuntary disclosure by women of both their menstrual status and age which amounts to forced disclosure that consequently violates the right to dignity and </w:t>
      </w:r>
      <w:r>
        <w:rPr>
          <w:rFonts w:ascii="Bookman Old Style"/>
          <w:sz w:val="28"/>
        </w:rPr>
        <w:t xml:space="preserve">privacy embedded in Article </w:t>
      </w:r>
      <w:r>
        <w:rPr>
          <w:rFonts w:ascii="Bookman Old Style"/>
          <w:spacing w:val="2"/>
          <w:sz w:val="28"/>
        </w:rPr>
        <w:t xml:space="preserve">21 </w:t>
      </w:r>
      <w:r>
        <w:rPr>
          <w:rFonts w:ascii="Bookman Old Style"/>
          <w:sz w:val="28"/>
        </w:rPr>
        <w:t>of the Constitution of</w:t>
      </w:r>
      <w:r>
        <w:rPr>
          <w:rFonts w:ascii="Bookman Old Style"/>
          <w:spacing w:val="-8"/>
          <w:sz w:val="28"/>
        </w:rPr>
        <w:t xml:space="preserve"> </w:t>
      </w:r>
      <w:r>
        <w:rPr>
          <w:rFonts w:ascii="Bookman Old Style"/>
          <w:sz w:val="28"/>
        </w:rPr>
        <w:t>India.</w:t>
      </w:r>
    </w:p>
    <w:p w:rsidR="003B2FC0" w:rsidRDefault="00052A49">
      <w:pPr>
        <w:pStyle w:val="ListParagraph"/>
        <w:numPr>
          <w:ilvl w:val="0"/>
          <w:numId w:val="60"/>
        </w:numPr>
        <w:tabs>
          <w:tab w:val="left" w:pos="1221"/>
        </w:tabs>
        <w:spacing w:before="123" w:line="480" w:lineRule="auto"/>
        <w:ind w:right="272" w:firstLine="0"/>
        <w:jc w:val="both"/>
        <w:rPr>
          <w:rFonts w:ascii="Bookman Old Style"/>
          <w:sz w:val="28"/>
        </w:rPr>
      </w:pPr>
      <w:r>
        <w:rPr>
          <w:rFonts w:ascii="Bookman Old Style"/>
          <w:sz w:val="28"/>
        </w:rPr>
        <w:t xml:space="preserve">It has also been submitted by the Amicus Curiae that  Article 25(2)(b) is not a mere enabling provision but is a substantive right as it creates an exception for laws providing for social reform </w:t>
      </w:r>
      <w:r>
        <w:rPr>
          <w:rFonts w:ascii="Bookman Old Style"/>
          <w:sz w:val="28"/>
        </w:rPr>
        <w:t xml:space="preserve">or throwing open of Hindu religious institutions of a public character to all classes and sections of Hindus and thereby embodies the constitutional intent of abhorring exclusionary practices. Further, referring to the judgment of this Court in </w:t>
      </w:r>
      <w:r>
        <w:rPr>
          <w:rFonts w:ascii="Bookman Old Style"/>
          <w:b/>
          <w:i/>
          <w:sz w:val="28"/>
        </w:rPr>
        <w:t xml:space="preserve">Devaru </w:t>
      </w:r>
      <w:r>
        <w:rPr>
          <w:rFonts w:ascii="Bookman Old Style"/>
          <w:sz w:val="28"/>
        </w:rPr>
        <w:t>(sup</w:t>
      </w:r>
      <w:r>
        <w:rPr>
          <w:rFonts w:ascii="Bookman Old Style"/>
          <w:sz w:val="28"/>
        </w:rPr>
        <w:t>ra), the learned Amicus has submitted that Article 25(2)(b) does not merely seek to prevent exclusionary practices on the basis of caste only, for the rights under Part III of the Constitution must be given a broad meaning and any exception must be given a</w:t>
      </w:r>
      <w:r>
        <w:rPr>
          <w:rFonts w:ascii="Bookman Old Style"/>
          <w:sz w:val="28"/>
        </w:rPr>
        <w:t xml:space="preserve"> narrow</w:t>
      </w:r>
      <w:r>
        <w:rPr>
          <w:rFonts w:ascii="Bookman Old Style"/>
          <w:spacing w:val="-9"/>
          <w:sz w:val="28"/>
        </w:rPr>
        <w:t xml:space="preserve"> </w:t>
      </w:r>
      <w:r>
        <w:rPr>
          <w:rFonts w:ascii="Bookman Old Style"/>
          <w:sz w:val="28"/>
        </w:rPr>
        <w:t>construction.</w:t>
      </w:r>
    </w:p>
    <w:p w:rsidR="003B2FC0" w:rsidRDefault="00052A49">
      <w:pPr>
        <w:pStyle w:val="ListParagraph"/>
        <w:numPr>
          <w:ilvl w:val="0"/>
          <w:numId w:val="60"/>
        </w:numPr>
        <w:tabs>
          <w:tab w:val="left" w:pos="1221"/>
        </w:tabs>
        <w:spacing w:before="121" w:line="480" w:lineRule="auto"/>
        <w:ind w:right="272" w:firstLine="0"/>
        <w:jc w:val="both"/>
        <w:rPr>
          <w:rFonts w:ascii="Bookman Old Style"/>
          <w:sz w:val="28"/>
        </w:rPr>
      </w:pPr>
      <w:r>
        <w:rPr>
          <w:rFonts w:ascii="Bookman Old Style"/>
          <w:sz w:val="28"/>
        </w:rPr>
        <w:t>Further, it has been submitted by the learned Amicus that the exclusionary practice in the present case cannot be</w:t>
      </w:r>
      <w:r>
        <w:rPr>
          <w:rFonts w:ascii="Bookman Old Style"/>
          <w:spacing w:val="-27"/>
          <w:sz w:val="28"/>
        </w:rPr>
        <w:t xml:space="preserve"> </w:t>
      </w:r>
      <w:r>
        <w:rPr>
          <w:rFonts w:ascii="Bookman Old Style"/>
          <w:sz w:val="28"/>
        </w:rPr>
        <w:t>justified</w:t>
      </w:r>
    </w:p>
    <w:p w:rsidR="003B2FC0" w:rsidRDefault="003B2FC0">
      <w:pPr>
        <w:spacing w:line="480" w:lineRule="auto"/>
        <w:jc w:val="both"/>
        <w:rPr>
          <w:rFonts w:ascii="Bookman Old Style"/>
          <w:sz w:val="28"/>
        </w:rPr>
        <w:sectPr w:rsidR="003B2FC0">
          <w:headerReference w:type="default" r:id="rId94"/>
          <w:footerReference w:type="default" r:id="rId95"/>
          <w:pgSz w:w="11910" w:h="16840"/>
          <w:pgMar w:top="1340" w:right="1160" w:bottom="280" w:left="940" w:header="554" w:footer="0" w:gutter="0"/>
          <w:pgNumType w:start="47"/>
          <w:cols w:space="720"/>
        </w:sectPr>
      </w:pPr>
    </w:p>
    <w:p w:rsidR="003B2FC0" w:rsidRDefault="00052A49">
      <w:pPr>
        <w:pStyle w:val="BodyText"/>
        <w:spacing w:before="93" w:line="480" w:lineRule="auto"/>
        <w:ind w:left="500" w:right="273"/>
        <w:jc w:val="both"/>
      </w:pPr>
      <w:r>
        <w:t>either on the grounds of health, public order or morality for the term</w:t>
      </w:r>
      <w:r>
        <w:rPr>
          <w:spacing w:val="-14"/>
        </w:rPr>
        <w:t xml:space="preserve"> </w:t>
      </w:r>
      <w:r>
        <w:t>„morality‟</w:t>
      </w:r>
      <w:r>
        <w:rPr>
          <w:spacing w:val="-14"/>
        </w:rPr>
        <w:t xml:space="preserve"> </w:t>
      </w:r>
      <w:r>
        <w:t>used</w:t>
      </w:r>
      <w:r>
        <w:rPr>
          <w:spacing w:val="-13"/>
        </w:rPr>
        <w:t xml:space="preserve"> </w:t>
      </w:r>
      <w:r>
        <w:t>in</w:t>
      </w:r>
      <w:r>
        <w:rPr>
          <w:spacing w:val="-16"/>
        </w:rPr>
        <w:t xml:space="preserve"> </w:t>
      </w:r>
      <w:r>
        <w:t>Article</w:t>
      </w:r>
      <w:r>
        <w:rPr>
          <w:spacing w:val="-14"/>
        </w:rPr>
        <w:t xml:space="preserve"> </w:t>
      </w:r>
      <w:r>
        <w:t>25</w:t>
      </w:r>
      <w:r>
        <w:rPr>
          <w:spacing w:val="-15"/>
        </w:rPr>
        <w:t xml:space="preserve"> </w:t>
      </w:r>
      <w:r>
        <w:t>or</w:t>
      </w:r>
      <w:r>
        <w:rPr>
          <w:spacing w:val="-14"/>
        </w:rPr>
        <w:t xml:space="preserve"> </w:t>
      </w:r>
      <w:r>
        <w:t>26</w:t>
      </w:r>
      <w:r>
        <w:rPr>
          <w:spacing w:val="-13"/>
        </w:rPr>
        <w:t xml:space="preserve"> </w:t>
      </w:r>
      <w:r>
        <w:t>is</w:t>
      </w:r>
      <w:r>
        <w:rPr>
          <w:spacing w:val="-14"/>
        </w:rPr>
        <w:t xml:space="preserve"> </w:t>
      </w:r>
      <w:r>
        <w:t>not</w:t>
      </w:r>
      <w:r>
        <w:rPr>
          <w:spacing w:val="-16"/>
        </w:rPr>
        <w:t xml:space="preserve"> </w:t>
      </w:r>
      <w:r>
        <w:t>an</w:t>
      </w:r>
      <w:r>
        <w:rPr>
          <w:spacing w:val="-14"/>
        </w:rPr>
        <w:t xml:space="preserve"> </w:t>
      </w:r>
      <w:r>
        <w:t>individualized</w:t>
      </w:r>
      <w:r>
        <w:rPr>
          <w:spacing w:val="-16"/>
        </w:rPr>
        <w:t xml:space="preserve"> or </w:t>
      </w:r>
      <w:r>
        <w:t xml:space="preserve">sectionalized sense of morality subject to varying practices and ideals of every religion but it is the morality informed by the constitutional vision. The judgments of this Court in </w:t>
      </w:r>
      <w:r>
        <w:rPr>
          <w:b/>
          <w:i/>
        </w:rPr>
        <w:t xml:space="preserve">Adi Saiva Sivachariyargal Nala Sangam </w:t>
      </w:r>
      <w:r>
        <w:t xml:space="preserve">(supra), </w:t>
      </w:r>
      <w:r>
        <w:rPr>
          <w:b/>
          <w:i/>
        </w:rPr>
        <w:t xml:space="preserve">Manoj Narula v.  Union of </w:t>
      </w:r>
      <w:r>
        <w:rPr>
          <w:b/>
          <w:i/>
        </w:rPr>
        <w:t>India</w:t>
      </w:r>
      <w:r>
        <w:rPr>
          <w:position w:val="7"/>
          <w:sz w:val="18"/>
        </w:rPr>
        <w:t xml:space="preserve">25 </w:t>
      </w:r>
      <w:r>
        <w:t xml:space="preserve">and </w:t>
      </w:r>
      <w:r>
        <w:rPr>
          <w:b/>
          <w:i/>
        </w:rPr>
        <w:t xml:space="preserve">National Legal Services Authority </w:t>
      </w:r>
      <w:r>
        <w:t xml:space="preserve">(supra) have been pressed into service by the Amicus to accentuate that any subjective reading of the term „morality‟ </w:t>
      </w:r>
      <w:r>
        <w:rPr>
          <w:spacing w:val="-16"/>
        </w:rPr>
        <w:t xml:space="preserve">in </w:t>
      </w:r>
      <w:r>
        <w:t>the context of Article 25 would make the liberty of faith and worship otiose and the excl</w:t>
      </w:r>
      <w:r>
        <w:t>usion of women as in the present case is a matter of institutional practice and not</w:t>
      </w:r>
      <w:r>
        <w:rPr>
          <w:spacing w:val="-16"/>
        </w:rPr>
        <w:t xml:space="preserve"> </w:t>
      </w:r>
      <w:r>
        <w:t>morality.</w:t>
      </w:r>
    </w:p>
    <w:p w:rsidR="003B2FC0" w:rsidRDefault="00052A49">
      <w:pPr>
        <w:pStyle w:val="ListParagraph"/>
        <w:numPr>
          <w:ilvl w:val="0"/>
          <w:numId w:val="60"/>
        </w:numPr>
        <w:tabs>
          <w:tab w:val="left" w:pos="1221"/>
        </w:tabs>
        <w:spacing w:before="121" w:line="480" w:lineRule="auto"/>
        <w:ind w:right="274" w:firstLine="0"/>
        <w:jc w:val="both"/>
        <w:rPr>
          <w:rFonts w:ascii="Bookman Old Style"/>
          <w:sz w:val="28"/>
        </w:rPr>
      </w:pPr>
      <w:r>
        <w:rPr>
          <w:rFonts w:ascii="Bookman Old Style"/>
          <w:sz w:val="28"/>
        </w:rPr>
        <w:t xml:space="preserve">The Amicus has also cited the judgments of this Court in </w:t>
      </w:r>
      <w:r>
        <w:rPr>
          <w:rFonts w:ascii="Bookman Old Style"/>
          <w:b/>
          <w:i/>
          <w:sz w:val="28"/>
        </w:rPr>
        <w:t xml:space="preserve">Acharya Jagadishwarananda Avadhuta </w:t>
      </w:r>
      <w:r>
        <w:rPr>
          <w:rFonts w:ascii="Bookman Old Style"/>
          <w:sz w:val="28"/>
        </w:rPr>
        <w:t>(supra) to submit that in order to claim protection of the doctrine of</w:t>
      </w:r>
      <w:r>
        <w:rPr>
          <w:rFonts w:ascii="Bookman Old Style"/>
          <w:sz w:val="28"/>
        </w:rPr>
        <w:t xml:space="preserve"> essential religious practices, the practice to exclude women from entry to the Sabarimala temple must be shown by the respondents to be so fundamental to the religious belief without which the religion will not survive. On the contrary, no scriptural evid</w:t>
      </w:r>
      <w:r>
        <w:rPr>
          <w:rFonts w:ascii="Bookman Old Style"/>
          <w:sz w:val="28"/>
        </w:rPr>
        <w:t>ence</w:t>
      </w:r>
      <w:r>
        <w:rPr>
          <w:rFonts w:ascii="Bookman Old Style"/>
          <w:spacing w:val="-26"/>
          <w:sz w:val="28"/>
        </w:rPr>
        <w:t xml:space="preserve"> </w:t>
      </w:r>
      <w:r>
        <w:rPr>
          <w:rFonts w:ascii="Bookman Old Style"/>
          <w:sz w:val="28"/>
        </w:rPr>
        <w:t>has</w:t>
      </w: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spacing w:before="1"/>
        <w:rPr>
          <w:sz w:val="26"/>
        </w:rPr>
      </w:pPr>
      <w:r w:rsidRPr="003B2FC0">
        <w:pict>
          <v:line id="_x0000_s1162" style="position:absolute;z-index:-251607552;mso-wrap-distance-left:0;mso-wrap-distance-right:0;mso-position-horizontal-relative:page" from="1in,17.55pt" to="216.05pt,17.55pt" strokeweight=".21169mm">
            <w10:wrap type="topAndBottom" anchorx="page"/>
          </v:line>
        </w:pict>
      </w:r>
    </w:p>
    <w:p w:rsidR="003B2FC0" w:rsidRDefault="00052A49">
      <w:pPr>
        <w:spacing w:before="54"/>
        <w:ind w:left="500"/>
        <w:rPr>
          <w:rFonts w:ascii="Calibri"/>
        </w:rPr>
      </w:pPr>
      <w:r>
        <w:rPr>
          <w:rFonts w:ascii="Calibri"/>
          <w:position w:val="10"/>
          <w:sz w:val="14"/>
        </w:rPr>
        <w:t xml:space="preserve">25 </w:t>
      </w:r>
      <w:r>
        <w:rPr>
          <w:rFonts w:ascii="Calibri"/>
        </w:rPr>
        <w:t>(2014) 9 SCC 1</w:t>
      </w:r>
    </w:p>
    <w:p w:rsidR="003B2FC0" w:rsidRDefault="003B2FC0">
      <w:pPr>
        <w:rPr>
          <w:rFonts w:ascii="Calibri"/>
        </w:rPr>
        <w:sectPr w:rsidR="003B2FC0">
          <w:headerReference w:type="default" r:id="rId96"/>
          <w:footerReference w:type="default" r:id="rId97"/>
          <w:pgSz w:w="11910" w:h="16840"/>
          <w:pgMar w:top="1340" w:right="1160" w:bottom="280" w:left="940" w:header="554" w:footer="0" w:gutter="0"/>
          <w:pgNumType w:start="48"/>
          <w:cols w:space="720"/>
        </w:sectPr>
      </w:pPr>
    </w:p>
    <w:p w:rsidR="003B2FC0" w:rsidRDefault="00052A49">
      <w:pPr>
        <w:pStyle w:val="BodyText"/>
        <w:spacing w:before="93" w:line="480" w:lineRule="auto"/>
        <w:ind w:left="500" w:right="282"/>
        <w:jc w:val="both"/>
      </w:pPr>
      <w:r>
        <w:t>been led by the respondents herein to demonstrate that the exclusion of women is an essential part of their religion.</w:t>
      </w:r>
    </w:p>
    <w:p w:rsidR="003B2FC0" w:rsidRDefault="00052A49">
      <w:pPr>
        <w:pStyle w:val="ListParagraph"/>
        <w:numPr>
          <w:ilvl w:val="0"/>
          <w:numId w:val="60"/>
        </w:numPr>
        <w:tabs>
          <w:tab w:val="left" w:pos="1221"/>
        </w:tabs>
        <w:spacing w:before="120" w:line="480" w:lineRule="auto"/>
        <w:ind w:right="278" w:firstLine="0"/>
        <w:jc w:val="both"/>
        <w:rPr>
          <w:rFonts w:ascii="Bookman Old Style"/>
          <w:sz w:val="28"/>
        </w:rPr>
      </w:pPr>
      <w:r>
        <w:rPr>
          <w:rFonts w:ascii="Bookman Old Style"/>
          <w:sz w:val="28"/>
        </w:rPr>
        <w:t>After referring to Section 3 of the Kerala Hindu Places of Public Worship (Authorization of Entry) Act, 1965 which makes a place of worship open to all sections and classes, Mr. Raju Ramchandran, learned senior counsel, is of the view that the said Section</w:t>
      </w:r>
      <w:r>
        <w:rPr>
          <w:rFonts w:ascii="Bookman Old Style"/>
          <w:sz w:val="28"/>
        </w:rPr>
        <w:t xml:space="preserve"> is nothing but a statutory enunciation of rights embodied under</w:t>
      </w:r>
      <w:r>
        <w:rPr>
          <w:rFonts w:ascii="Bookman Old Style"/>
          <w:spacing w:val="50"/>
          <w:sz w:val="28"/>
        </w:rPr>
        <w:t xml:space="preserve"> </w:t>
      </w:r>
      <w:r>
        <w:rPr>
          <w:rFonts w:ascii="Bookman Old Style"/>
          <w:sz w:val="28"/>
        </w:rPr>
        <w:t>Article</w:t>
      </w:r>
      <w:r>
        <w:rPr>
          <w:rFonts w:ascii="Bookman Old Style"/>
          <w:spacing w:val="54"/>
          <w:sz w:val="28"/>
        </w:rPr>
        <w:t xml:space="preserve"> </w:t>
      </w:r>
      <w:r>
        <w:rPr>
          <w:rFonts w:ascii="Bookman Old Style"/>
          <w:sz w:val="28"/>
        </w:rPr>
        <w:t>25(2)(b)</w:t>
      </w:r>
      <w:r>
        <w:rPr>
          <w:rFonts w:ascii="Bookman Old Style"/>
          <w:spacing w:val="53"/>
          <w:sz w:val="28"/>
        </w:rPr>
        <w:t xml:space="preserve"> </w:t>
      </w:r>
      <w:r>
        <w:rPr>
          <w:rFonts w:ascii="Bookman Old Style"/>
          <w:sz w:val="28"/>
        </w:rPr>
        <w:t>and</w:t>
      </w:r>
      <w:r>
        <w:rPr>
          <w:rFonts w:ascii="Bookman Old Style"/>
          <w:spacing w:val="52"/>
          <w:sz w:val="28"/>
        </w:rPr>
        <w:t xml:space="preserve"> </w:t>
      </w:r>
      <w:r>
        <w:rPr>
          <w:rFonts w:ascii="Bookman Old Style"/>
          <w:sz w:val="28"/>
        </w:rPr>
        <w:t>similarly,</w:t>
      </w:r>
      <w:r>
        <w:rPr>
          <w:rFonts w:ascii="Bookman Old Style"/>
          <w:spacing w:val="53"/>
          <w:sz w:val="28"/>
        </w:rPr>
        <w:t xml:space="preserve"> </w:t>
      </w:r>
      <w:r>
        <w:rPr>
          <w:rFonts w:ascii="Bookman Old Style"/>
          <w:sz w:val="28"/>
        </w:rPr>
        <w:t>the</w:t>
      </w:r>
      <w:r>
        <w:rPr>
          <w:rFonts w:ascii="Bookman Old Style"/>
          <w:spacing w:val="53"/>
          <w:sz w:val="28"/>
        </w:rPr>
        <w:t xml:space="preserve"> </w:t>
      </w:r>
      <w:r>
        <w:rPr>
          <w:rFonts w:ascii="Bookman Old Style"/>
          <w:sz w:val="28"/>
        </w:rPr>
        <w:t>emphasis</w:t>
      </w:r>
      <w:r>
        <w:rPr>
          <w:rFonts w:ascii="Bookman Old Style"/>
          <w:spacing w:val="52"/>
          <w:sz w:val="28"/>
        </w:rPr>
        <w:t xml:space="preserve"> </w:t>
      </w:r>
      <w:r>
        <w:rPr>
          <w:rFonts w:ascii="Bookman Old Style"/>
          <w:sz w:val="28"/>
        </w:rPr>
        <w:t>on</w:t>
      </w:r>
      <w:r>
        <w:rPr>
          <w:rFonts w:ascii="Bookman Old Style"/>
          <w:spacing w:val="54"/>
          <w:sz w:val="28"/>
        </w:rPr>
        <w:t xml:space="preserve"> </w:t>
      </w:r>
      <w:r>
        <w:rPr>
          <w:rFonts w:ascii="Bookman Old Style"/>
          <w:sz w:val="28"/>
        </w:rPr>
        <w:t>the</w:t>
      </w:r>
      <w:r>
        <w:rPr>
          <w:rFonts w:ascii="Bookman Old Style"/>
          <w:spacing w:val="56"/>
          <w:sz w:val="28"/>
        </w:rPr>
        <w:t xml:space="preserve"> </w:t>
      </w:r>
      <w:r>
        <w:rPr>
          <w:rFonts w:ascii="Bookman Old Style"/>
          <w:sz w:val="28"/>
        </w:rPr>
        <w:t>word</w:t>
      </w:r>
    </w:p>
    <w:p w:rsidR="003B2FC0" w:rsidRDefault="00052A49">
      <w:pPr>
        <w:pStyle w:val="BodyText"/>
        <w:spacing w:line="480" w:lineRule="auto"/>
        <w:ind w:left="500" w:right="277"/>
        <w:jc w:val="both"/>
      </w:pPr>
      <w:r>
        <w:rPr>
          <w:spacing w:val="-1"/>
          <w:w w:val="89"/>
        </w:rPr>
        <w:t>„li</w:t>
      </w:r>
      <w:r>
        <w:rPr>
          <w:spacing w:val="-2"/>
          <w:w w:val="89"/>
        </w:rPr>
        <w:t>k</w:t>
      </w:r>
      <w:r>
        <w:rPr>
          <w:w w:val="58"/>
        </w:rPr>
        <w:t>e‟</w:t>
      </w:r>
      <w:r>
        <w:rPr>
          <w:spacing w:val="7"/>
        </w:rPr>
        <w:t xml:space="preserve"> </w:t>
      </w:r>
      <w:r>
        <w:t>in</w:t>
      </w:r>
      <w:r>
        <w:rPr>
          <w:spacing w:val="5"/>
        </w:rPr>
        <w:t xml:space="preserve"> </w:t>
      </w:r>
      <w:r>
        <w:rPr>
          <w:spacing w:val="-1"/>
        </w:rPr>
        <w:t>Sect</w:t>
      </w:r>
      <w:r>
        <w:t>ion</w:t>
      </w:r>
      <w:r>
        <w:rPr>
          <w:spacing w:val="5"/>
        </w:rPr>
        <w:t xml:space="preserve"> </w:t>
      </w:r>
      <w:r>
        <w:t>3</w:t>
      </w:r>
      <w:r>
        <w:rPr>
          <w:spacing w:val="4"/>
        </w:rPr>
        <w:t xml:space="preserve"> </w:t>
      </w:r>
      <w:r>
        <w:t>is</w:t>
      </w:r>
      <w:r>
        <w:rPr>
          <w:spacing w:val="6"/>
        </w:rPr>
        <w:t xml:space="preserve"> </w:t>
      </w:r>
      <w:r>
        <w:rPr>
          <w:spacing w:val="-2"/>
        </w:rPr>
        <w:t>t</w:t>
      </w:r>
      <w:r>
        <w:rPr>
          <w:spacing w:val="-1"/>
        </w:rPr>
        <w:t>h</w:t>
      </w:r>
      <w:r>
        <w:t>e</w:t>
      </w:r>
      <w:r>
        <w:rPr>
          <w:spacing w:val="8"/>
        </w:rPr>
        <w:t xml:space="preserve"> </w:t>
      </w:r>
      <w:r>
        <w:t>sta</w:t>
      </w:r>
      <w:r>
        <w:rPr>
          <w:spacing w:val="-2"/>
        </w:rPr>
        <w:t>t</w:t>
      </w:r>
      <w:r>
        <w:t>u</w:t>
      </w:r>
      <w:r>
        <w:rPr>
          <w:spacing w:val="-4"/>
        </w:rPr>
        <w:t>t</w:t>
      </w:r>
      <w:r>
        <w:t>o</w:t>
      </w:r>
      <w:r>
        <w:rPr>
          <w:spacing w:val="-2"/>
        </w:rPr>
        <w:t>r</w:t>
      </w:r>
      <w:r>
        <w:t>y</w:t>
      </w:r>
      <w:r>
        <w:rPr>
          <w:spacing w:val="5"/>
        </w:rPr>
        <w:t xml:space="preserve"> </w:t>
      </w:r>
      <w:r>
        <w:rPr>
          <w:spacing w:val="-2"/>
        </w:rPr>
        <w:t>r</w:t>
      </w:r>
      <w:r>
        <w:rPr>
          <w:spacing w:val="2"/>
        </w:rPr>
        <w:t>e</w:t>
      </w:r>
      <w:r>
        <w:rPr>
          <w:spacing w:val="-2"/>
        </w:rPr>
        <w:t>f</w:t>
      </w:r>
      <w:r>
        <w:rPr>
          <w:spacing w:val="-3"/>
        </w:rPr>
        <w:t>l</w:t>
      </w:r>
      <w:r>
        <w:rPr>
          <w:spacing w:val="-1"/>
        </w:rPr>
        <w:t>ectio</w:t>
      </w:r>
      <w:r>
        <w:t>n</w:t>
      </w:r>
      <w:r>
        <w:rPr>
          <w:spacing w:val="6"/>
        </w:rPr>
        <w:t xml:space="preserve"> </w:t>
      </w:r>
      <w:r>
        <w:t>of</w:t>
      </w:r>
      <w:r>
        <w:rPr>
          <w:spacing w:val="5"/>
        </w:rPr>
        <w:t xml:space="preserve"> </w:t>
      </w:r>
      <w:r>
        <w:rPr>
          <w:spacing w:val="-2"/>
        </w:rPr>
        <w:t>t</w:t>
      </w:r>
      <w:r>
        <w:rPr>
          <w:spacing w:val="-3"/>
        </w:rPr>
        <w:t>h</w:t>
      </w:r>
      <w:r>
        <w:t>e</w:t>
      </w:r>
      <w:r>
        <w:rPr>
          <w:spacing w:val="8"/>
        </w:rPr>
        <w:t xml:space="preserve"> </w:t>
      </w:r>
      <w:r>
        <w:rPr>
          <w:spacing w:val="-2"/>
        </w:rPr>
        <w:t>p</w:t>
      </w:r>
      <w:r>
        <w:rPr>
          <w:spacing w:val="-1"/>
        </w:rPr>
        <w:t>h</w:t>
      </w:r>
      <w:r>
        <w:rPr>
          <w:spacing w:val="-2"/>
        </w:rPr>
        <w:t>r</w:t>
      </w:r>
      <w:r>
        <w:rPr>
          <w:spacing w:val="-1"/>
        </w:rPr>
        <w:t>a</w:t>
      </w:r>
      <w:r>
        <w:rPr>
          <w:spacing w:val="-2"/>
        </w:rPr>
        <w:t>s</w:t>
      </w:r>
      <w:r>
        <w:t>e</w:t>
      </w:r>
      <w:r>
        <w:rPr>
          <w:spacing w:val="8"/>
        </w:rPr>
        <w:t xml:space="preserve"> </w:t>
      </w:r>
      <w:r>
        <w:rPr>
          <w:spacing w:val="-7"/>
          <w:w w:val="55"/>
        </w:rPr>
        <w:t>„</w:t>
      </w:r>
      <w:r>
        <w:rPr>
          <w:spacing w:val="-3"/>
        </w:rPr>
        <w:t>e</w:t>
      </w:r>
      <w:r>
        <w:rPr>
          <w:spacing w:val="-7"/>
        </w:rPr>
        <w:t>q</w:t>
      </w:r>
      <w:r>
        <w:rPr>
          <w:spacing w:val="-5"/>
        </w:rPr>
        <w:t>u</w:t>
      </w:r>
      <w:r>
        <w:rPr>
          <w:spacing w:val="-6"/>
        </w:rPr>
        <w:t>all</w:t>
      </w:r>
      <w:r>
        <w:rPr>
          <w:spacing w:val="-9"/>
        </w:rPr>
        <w:t>y</w:t>
      </w:r>
      <w:r>
        <w:rPr>
          <w:spacing w:val="-9"/>
          <w:w w:val="29"/>
        </w:rPr>
        <w:t>‟</w:t>
      </w:r>
      <w:r>
        <w:rPr>
          <w:w w:val="29"/>
        </w:rPr>
        <w:t xml:space="preserve"> </w:t>
      </w:r>
      <w:r>
        <w:t xml:space="preserve">found in Article 25(1). That apart, it is the case of the learned Amicus curiae that the expression „section‟ or „class‟ in </w:t>
      </w:r>
      <w:r>
        <w:rPr>
          <w:spacing w:val="-14"/>
        </w:rPr>
        <w:t xml:space="preserve">Section </w:t>
      </w:r>
      <w:r>
        <w:t xml:space="preserve">2(c) of the 1965 Act must necessarily include all sexes if Section 3 is to be in consonance with a woman‟s right to worship </w:t>
      </w:r>
      <w:r>
        <w:rPr>
          <w:spacing w:val="-8"/>
        </w:rPr>
        <w:t xml:space="preserve">under </w:t>
      </w:r>
      <w:r>
        <w:t>Article 25 and in consonance with Article 15. As per the learned Amicus, women between the age of 10 to 50 years are a section  or class of Hindus who are within the inclusive provision of Section 3 and the proviso to Section 3 brings in the right co</w:t>
      </w:r>
      <w:r>
        <w:t xml:space="preserve">nferred in Article 26, for the inter-play between Section 3 and the proviso must be governed by how Articles 25(2)(b) and 26 are reconciled by the judgment of this Court in </w:t>
      </w:r>
      <w:r>
        <w:rPr>
          <w:b/>
          <w:i/>
        </w:rPr>
        <w:t>Devaru</w:t>
      </w:r>
      <w:r>
        <w:rPr>
          <w:b/>
          <w:i/>
          <w:spacing w:val="-19"/>
        </w:rPr>
        <w:t xml:space="preserve"> </w:t>
      </w:r>
      <w:r>
        <w:t>(supra).</w:t>
      </w:r>
    </w:p>
    <w:p w:rsidR="003B2FC0" w:rsidRDefault="003B2FC0">
      <w:pPr>
        <w:spacing w:line="480" w:lineRule="auto"/>
        <w:jc w:val="both"/>
        <w:sectPr w:rsidR="003B2FC0">
          <w:headerReference w:type="default" r:id="rId98"/>
          <w:footerReference w:type="default" r:id="rId99"/>
          <w:pgSz w:w="11910" w:h="16840"/>
          <w:pgMar w:top="1340" w:right="1160" w:bottom="280" w:left="940" w:header="554" w:footer="0" w:gutter="0"/>
          <w:pgNumType w:start="49"/>
          <w:cols w:space="720"/>
        </w:sectPr>
      </w:pPr>
    </w:p>
    <w:p w:rsidR="003B2FC0" w:rsidRDefault="00052A49">
      <w:pPr>
        <w:pStyle w:val="ListParagraph"/>
        <w:numPr>
          <w:ilvl w:val="0"/>
          <w:numId w:val="60"/>
        </w:numPr>
        <w:tabs>
          <w:tab w:val="left" w:pos="1221"/>
        </w:tabs>
        <w:spacing w:before="93" w:line="480" w:lineRule="auto"/>
        <w:ind w:right="276" w:firstLine="0"/>
        <w:jc w:val="both"/>
        <w:rPr>
          <w:rFonts w:ascii="Bookman Old Style"/>
          <w:sz w:val="28"/>
        </w:rPr>
      </w:pPr>
      <w:r>
        <w:rPr>
          <w:rFonts w:ascii="Bookman Old Style"/>
          <w:sz w:val="28"/>
        </w:rPr>
        <w:t xml:space="preserve">It have been asseverated by Mr. Raju Ramchandran, learned senior counsel, that Rule 3(b) of the Kerala Hindu Places of Public Worship (Authorization of Entry) Rules, 1965 is </w:t>
      </w:r>
      <w:r>
        <w:rPr>
          <w:rFonts w:ascii="Bookman Old Style"/>
          <w:i/>
          <w:sz w:val="28"/>
        </w:rPr>
        <w:t xml:space="preserve">ultra vires </w:t>
      </w:r>
      <w:r>
        <w:rPr>
          <w:rFonts w:ascii="Bookman Old Style"/>
          <w:sz w:val="28"/>
        </w:rPr>
        <w:t>Sections</w:t>
      </w:r>
      <w:r>
        <w:rPr>
          <w:rFonts w:ascii="Bookman Old Style"/>
          <w:spacing w:val="23"/>
          <w:sz w:val="28"/>
        </w:rPr>
        <w:t xml:space="preserve"> </w:t>
      </w:r>
      <w:r>
        <w:rPr>
          <w:rFonts w:ascii="Bookman Old Style"/>
          <w:sz w:val="28"/>
        </w:rPr>
        <w:t>3</w:t>
      </w:r>
      <w:r>
        <w:rPr>
          <w:rFonts w:ascii="Bookman Old Style"/>
          <w:spacing w:val="24"/>
          <w:sz w:val="28"/>
        </w:rPr>
        <w:t xml:space="preserve"> </w:t>
      </w:r>
      <w:r>
        <w:rPr>
          <w:rFonts w:ascii="Bookman Old Style"/>
          <w:sz w:val="28"/>
        </w:rPr>
        <w:t>and</w:t>
      </w:r>
      <w:r>
        <w:rPr>
          <w:rFonts w:ascii="Bookman Old Style"/>
          <w:spacing w:val="24"/>
          <w:sz w:val="28"/>
        </w:rPr>
        <w:t xml:space="preserve"> </w:t>
      </w:r>
      <w:r>
        <w:rPr>
          <w:rFonts w:ascii="Bookman Old Style"/>
          <w:sz w:val="28"/>
        </w:rPr>
        <w:t>4</w:t>
      </w:r>
      <w:r>
        <w:rPr>
          <w:rFonts w:ascii="Bookman Old Style"/>
          <w:spacing w:val="25"/>
          <w:sz w:val="28"/>
        </w:rPr>
        <w:t xml:space="preserve"> </w:t>
      </w:r>
      <w:r>
        <w:rPr>
          <w:rFonts w:ascii="Bookman Old Style"/>
          <w:sz w:val="28"/>
        </w:rPr>
        <w:t>of</w:t>
      </w:r>
      <w:r>
        <w:rPr>
          <w:rFonts w:ascii="Bookman Old Style"/>
          <w:spacing w:val="24"/>
          <w:sz w:val="28"/>
        </w:rPr>
        <w:t xml:space="preserve"> </w:t>
      </w:r>
      <w:r>
        <w:rPr>
          <w:rFonts w:ascii="Bookman Old Style"/>
          <w:sz w:val="28"/>
        </w:rPr>
        <w:t>the</w:t>
      </w:r>
      <w:r>
        <w:rPr>
          <w:rFonts w:ascii="Bookman Old Style"/>
          <w:spacing w:val="26"/>
          <w:sz w:val="28"/>
        </w:rPr>
        <w:t xml:space="preserve"> </w:t>
      </w:r>
      <w:r>
        <w:rPr>
          <w:rFonts w:ascii="Bookman Old Style"/>
          <w:sz w:val="28"/>
        </w:rPr>
        <w:t>1965</w:t>
      </w:r>
      <w:r>
        <w:rPr>
          <w:rFonts w:ascii="Bookman Old Style"/>
          <w:spacing w:val="24"/>
          <w:sz w:val="28"/>
        </w:rPr>
        <w:t xml:space="preserve"> </w:t>
      </w:r>
      <w:r>
        <w:rPr>
          <w:rFonts w:ascii="Bookman Old Style"/>
          <w:sz w:val="28"/>
        </w:rPr>
        <w:t>Act,</w:t>
      </w:r>
      <w:r>
        <w:rPr>
          <w:rFonts w:ascii="Bookman Old Style"/>
          <w:spacing w:val="21"/>
          <w:sz w:val="28"/>
        </w:rPr>
        <w:t xml:space="preserve"> </w:t>
      </w:r>
      <w:r>
        <w:rPr>
          <w:rFonts w:ascii="Bookman Old Style"/>
          <w:sz w:val="28"/>
        </w:rPr>
        <w:t>for</w:t>
      </w:r>
      <w:r>
        <w:rPr>
          <w:rFonts w:ascii="Bookman Old Style"/>
          <w:spacing w:val="25"/>
          <w:sz w:val="28"/>
        </w:rPr>
        <w:t xml:space="preserve"> </w:t>
      </w:r>
      <w:r>
        <w:rPr>
          <w:rFonts w:ascii="Bookman Old Style"/>
          <w:sz w:val="28"/>
        </w:rPr>
        <w:t>the</w:t>
      </w:r>
      <w:r>
        <w:rPr>
          <w:rFonts w:ascii="Bookman Old Style"/>
          <w:spacing w:val="28"/>
          <w:sz w:val="28"/>
        </w:rPr>
        <w:t xml:space="preserve"> </w:t>
      </w:r>
      <w:r>
        <w:rPr>
          <w:rFonts w:ascii="Bookman Old Style"/>
          <w:sz w:val="28"/>
        </w:rPr>
        <w:t>reason</w:t>
      </w:r>
      <w:r>
        <w:rPr>
          <w:rFonts w:ascii="Bookman Old Style"/>
          <w:spacing w:val="22"/>
          <w:sz w:val="28"/>
        </w:rPr>
        <w:t xml:space="preserve"> </w:t>
      </w:r>
      <w:r>
        <w:rPr>
          <w:rFonts w:ascii="Bookman Old Style"/>
          <w:sz w:val="28"/>
        </w:rPr>
        <w:t>that</w:t>
      </w:r>
      <w:r>
        <w:rPr>
          <w:rFonts w:ascii="Bookman Old Style"/>
          <w:spacing w:val="24"/>
          <w:sz w:val="28"/>
        </w:rPr>
        <w:t xml:space="preserve"> </w:t>
      </w:r>
      <w:r>
        <w:rPr>
          <w:rFonts w:ascii="Bookman Old Style"/>
          <w:sz w:val="28"/>
        </w:rPr>
        <w:t>it</w:t>
      </w:r>
      <w:r>
        <w:rPr>
          <w:rFonts w:ascii="Bookman Old Style"/>
          <w:spacing w:val="25"/>
          <w:sz w:val="28"/>
        </w:rPr>
        <w:t xml:space="preserve"> </w:t>
      </w:r>
      <w:r>
        <w:rPr>
          <w:rFonts w:ascii="Bookman Old Style"/>
          <w:sz w:val="28"/>
        </w:rPr>
        <w:t>protects</w:t>
      </w:r>
    </w:p>
    <w:p w:rsidR="003B2FC0" w:rsidRDefault="00052A49">
      <w:pPr>
        <w:pStyle w:val="BodyText"/>
        <w:spacing w:line="480" w:lineRule="auto"/>
        <w:ind w:left="500" w:right="277"/>
        <w:jc w:val="both"/>
      </w:pPr>
      <w:r>
        <w:t>„cus</w:t>
      </w:r>
      <w:r>
        <w:t xml:space="preserve">tom and usage‟ which may prohibit entry when Section </w:t>
      </w:r>
      <w:r>
        <w:rPr>
          <w:spacing w:val="-35"/>
        </w:rPr>
        <w:t xml:space="preserve">3 </w:t>
      </w:r>
      <w:r>
        <w:t>expressly overrides custom and usage. The said rule, in view of the learned Amicus, discriminates against women when Section 4 makes it clear that rules made under it cannot be discriminatory against a</w:t>
      </w:r>
      <w:r>
        <w:t xml:space="preserve">ny section or class. It is submitted that the power entrusted under the 1965 Act to make rules, </w:t>
      </w:r>
      <w:r>
        <w:rPr>
          <w:i/>
        </w:rPr>
        <w:t>inter alia</w:t>
      </w:r>
      <w:r>
        <w:t xml:space="preserve">, for due observance of religious rights and ceremonies is for the furtherance of a devotee‟s right to worship under Article </w:t>
      </w:r>
      <w:r>
        <w:rPr>
          <w:spacing w:val="-13"/>
        </w:rPr>
        <w:t xml:space="preserve">25, </w:t>
      </w:r>
      <w:r>
        <w:t>whereas</w:t>
      </w:r>
      <w:r>
        <w:rPr>
          <w:spacing w:val="-15"/>
        </w:rPr>
        <w:t xml:space="preserve"> </w:t>
      </w:r>
      <w:r>
        <w:t>to</w:t>
      </w:r>
      <w:r>
        <w:rPr>
          <w:spacing w:val="-14"/>
        </w:rPr>
        <w:t xml:space="preserve"> </w:t>
      </w:r>
      <w:r>
        <w:t>the</w:t>
      </w:r>
      <w:r>
        <w:rPr>
          <w:spacing w:val="-14"/>
        </w:rPr>
        <w:t xml:space="preserve"> </w:t>
      </w:r>
      <w:r>
        <w:t>contrary,</w:t>
      </w:r>
      <w:r>
        <w:rPr>
          <w:spacing w:val="-14"/>
        </w:rPr>
        <w:t xml:space="preserve"> </w:t>
      </w:r>
      <w:r>
        <w:t>Rule</w:t>
      </w:r>
      <w:r>
        <w:rPr>
          <w:spacing w:val="-16"/>
        </w:rPr>
        <w:t xml:space="preserve"> </w:t>
      </w:r>
      <w:r>
        <w:t>3(b),</w:t>
      </w:r>
      <w:r>
        <w:rPr>
          <w:spacing w:val="-18"/>
        </w:rPr>
        <w:t xml:space="preserve"> </w:t>
      </w:r>
      <w:r>
        <w:t>by</w:t>
      </w:r>
      <w:r>
        <w:rPr>
          <w:spacing w:val="-15"/>
        </w:rPr>
        <w:t xml:space="preserve"> </w:t>
      </w:r>
      <w:r>
        <w:t>saving</w:t>
      </w:r>
      <w:r>
        <w:rPr>
          <w:spacing w:val="-16"/>
        </w:rPr>
        <w:t xml:space="preserve"> </w:t>
      </w:r>
      <w:r>
        <w:t>„custom</w:t>
      </w:r>
      <w:r>
        <w:rPr>
          <w:spacing w:val="-15"/>
        </w:rPr>
        <w:t xml:space="preserve"> </w:t>
      </w:r>
      <w:r>
        <w:t>and</w:t>
      </w:r>
      <w:r>
        <w:rPr>
          <w:spacing w:val="-15"/>
        </w:rPr>
        <w:t xml:space="preserve"> </w:t>
      </w:r>
      <w:r>
        <w:rPr>
          <w:spacing w:val="-4"/>
        </w:rPr>
        <w:t xml:space="preserve">usage‟, </w:t>
      </w:r>
      <w:r>
        <w:t>militates against the very purpose of the 1965 Act which is to protect the right to worship guaranteed under Article</w:t>
      </w:r>
      <w:r>
        <w:rPr>
          <w:spacing w:val="-12"/>
        </w:rPr>
        <w:t xml:space="preserve"> </w:t>
      </w:r>
      <w:r>
        <w:t>25.</w:t>
      </w:r>
    </w:p>
    <w:p w:rsidR="003B2FC0" w:rsidRDefault="00052A49">
      <w:pPr>
        <w:pStyle w:val="ListParagraph"/>
        <w:numPr>
          <w:ilvl w:val="0"/>
          <w:numId w:val="60"/>
        </w:numPr>
        <w:tabs>
          <w:tab w:val="left" w:pos="1221"/>
        </w:tabs>
        <w:spacing w:before="122" w:line="480" w:lineRule="auto"/>
        <w:ind w:right="276" w:firstLine="0"/>
        <w:jc w:val="both"/>
        <w:rPr>
          <w:rFonts w:ascii="Bookman Old Style"/>
          <w:sz w:val="28"/>
        </w:rPr>
      </w:pPr>
      <w:r>
        <w:rPr>
          <w:rFonts w:ascii="Bookman Old Style"/>
          <w:sz w:val="28"/>
        </w:rPr>
        <w:t xml:space="preserve">It has also been pointed out that there is another Rule, similar to Rule 3(b), in the form of Rule 6(c) framed under the 1950 Act, which was relied upon by the High Court and this </w:t>
      </w:r>
      <w:r>
        <w:rPr>
          <w:rFonts w:ascii="Bookman Old Style"/>
          <w:spacing w:val="-3"/>
          <w:sz w:val="28"/>
        </w:rPr>
        <w:t xml:space="preserve">Rule </w:t>
      </w:r>
      <w:r>
        <w:rPr>
          <w:rFonts w:ascii="Bookman Old Style"/>
          <w:sz w:val="28"/>
        </w:rPr>
        <w:t>6(c) has not been assailed by the petitioners in the present writ petit</w:t>
      </w:r>
      <w:r>
        <w:rPr>
          <w:rFonts w:ascii="Bookman Old Style"/>
          <w:sz w:val="28"/>
        </w:rPr>
        <w:t>ion, but in view of the learned Amicus, this Rule 6(c)</w:t>
      </w:r>
      <w:r>
        <w:rPr>
          <w:rFonts w:ascii="Bookman Old Style"/>
          <w:spacing w:val="16"/>
          <w:sz w:val="28"/>
        </w:rPr>
        <w:t xml:space="preserve"> </w:t>
      </w:r>
      <w:r>
        <w:rPr>
          <w:rFonts w:ascii="Bookman Old Style"/>
          <w:sz w:val="28"/>
        </w:rPr>
        <w:t>would</w:t>
      </w:r>
    </w:p>
    <w:p w:rsidR="003B2FC0" w:rsidRDefault="003B2FC0">
      <w:pPr>
        <w:spacing w:line="480" w:lineRule="auto"/>
        <w:jc w:val="both"/>
        <w:rPr>
          <w:rFonts w:ascii="Bookman Old Style"/>
          <w:sz w:val="28"/>
        </w:rPr>
        <w:sectPr w:rsidR="003B2FC0">
          <w:headerReference w:type="default" r:id="rId100"/>
          <w:footerReference w:type="default" r:id="rId101"/>
          <w:pgSz w:w="11910" w:h="16840"/>
          <w:pgMar w:top="1340" w:right="1160" w:bottom="280" w:left="940" w:header="554" w:footer="0" w:gutter="0"/>
          <w:pgNumType w:start="50"/>
          <w:cols w:space="720"/>
        </w:sectPr>
      </w:pPr>
    </w:p>
    <w:p w:rsidR="003B2FC0" w:rsidRDefault="00052A49">
      <w:pPr>
        <w:pStyle w:val="BodyText"/>
        <w:spacing w:before="93" w:line="480" w:lineRule="auto"/>
        <w:ind w:left="500" w:right="282"/>
        <w:jc w:val="both"/>
      </w:pPr>
      <w:r>
        <w:t>also be unconstitutional for the same reason that Rule 3(b) is unconstitutional.</w:t>
      </w:r>
    </w:p>
    <w:p w:rsidR="003B2FC0" w:rsidRDefault="00052A49">
      <w:pPr>
        <w:pStyle w:val="ListParagraph"/>
        <w:numPr>
          <w:ilvl w:val="0"/>
          <w:numId w:val="60"/>
        </w:numPr>
        <w:tabs>
          <w:tab w:val="left" w:pos="1221"/>
        </w:tabs>
        <w:spacing w:before="120" w:line="480" w:lineRule="auto"/>
        <w:ind w:right="273" w:firstLine="0"/>
        <w:jc w:val="both"/>
        <w:rPr>
          <w:rFonts w:ascii="Bookman Old Style"/>
          <w:sz w:val="28"/>
        </w:rPr>
      </w:pPr>
      <w:r>
        <w:rPr>
          <w:rFonts w:ascii="Bookman Old Style"/>
          <w:sz w:val="28"/>
        </w:rPr>
        <w:t>The burden to prove that the devotees of Lord Ayyappa form a denominati</w:t>
      </w:r>
      <w:r>
        <w:rPr>
          <w:rFonts w:ascii="Bookman Old Style"/>
          <w:sz w:val="28"/>
        </w:rPr>
        <w:t>on within the meaning of Article 26, as per the learned Amicus, is on the respondents, which they have failed to discharge as none of the three tests for determination of denominational status, i.e., (i) common faith, (ii) common organization and (iii) des</w:t>
      </w:r>
      <w:r>
        <w:rPr>
          <w:rFonts w:ascii="Bookman Old Style"/>
          <w:sz w:val="28"/>
        </w:rPr>
        <w:t xml:space="preserve">ignation by a distinctive name, have been established by the respondents. Further, the Amicus has submitted that the decision of the Kerala High Court in </w:t>
      </w:r>
      <w:r>
        <w:rPr>
          <w:rFonts w:ascii="Bookman Old Style"/>
          <w:b/>
          <w:i/>
          <w:sz w:val="28"/>
        </w:rPr>
        <w:t xml:space="preserve">S. Mahendran </w:t>
      </w:r>
      <w:r>
        <w:rPr>
          <w:rFonts w:ascii="Bookman Old Style"/>
          <w:sz w:val="28"/>
        </w:rPr>
        <w:t>(supra) does not indicate finding of a denominational status.</w:t>
      </w:r>
    </w:p>
    <w:p w:rsidR="003B2FC0" w:rsidRDefault="00052A49">
      <w:pPr>
        <w:pStyle w:val="ListParagraph"/>
        <w:numPr>
          <w:ilvl w:val="0"/>
          <w:numId w:val="60"/>
        </w:numPr>
        <w:tabs>
          <w:tab w:val="left" w:pos="1221"/>
        </w:tabs>
        <w:spacing w:before="121" w:line="480" w:lineRule="auto"/>
        <w:ind w:right="274" w:firstLine="0"/>
        <w:jc w:val="both"/>
        <w:rPr>
          <w:rFonts w:ascii="Bookman Old Style"/>
          <w:sz w:val="28"/>
        </w:rPr>
      </w:pPr>
      <w:r>
        <w:rPr>
          <w:rFonts w:ascii="Bookman Old Style"/>
          <w:sz w:val="28"/>
        </w:rPr>
        <w:t>It is also submitted by the</w:t>
      </w:r>
      <w:r>
        <w:rPr>
          <w:rFonts w:ascii="Bookman Old Style"/>
          <w:sz w:val="28"/>
        </w:rPr>
        <w:t xml:space="preserve"> learned Amicus that Devaswom Board in its counter affidavit before the Kerala High Court in </w:t>
      </w:r>
      <w:r>
        <w:rPr>
          <w:rFonts w:ascii="Bookman Old Style"/>
          <w:b/>
          <w:i/>
          <w:sz w:val="28"/>
        </w:rPr>
        <w:t xml:space="preserve">S. Mahendran </w:t>
      </w:r>
      <w:r>
        <w:rPr>
          <w:rFonts w:ascii="Bookman Old Style"/>
          <w:sz w:val="28"/>
        </w:rPr>
        <w:t>(supra), had asserted, as is reflected vide para 7 of the judgment, that there was no such prohibition against women entering the temple and that there was no evidence to suggest any binding religious practice and, likewise, the High Court, in its judgment</w:t>
      </w:r>
      <w:r>
        <w:rPr>
          <w:rFonts w:ascii="Bookman Old Style"/>
          <w:sz w:val="28"/>
        </w:rPr>
        <w:t xml:space="preserve"> vide para 34, found the exclusionary practice as just a usage and not a religious custom or essential religious</w:t>
      </w:r>
      <w:r>
        <w:rPr>
          <w:rFonts w:ascii="Bookman Old Style"/>
          <w:spacing w:val="-16"/>
          <w:sz w:val="28"/>
        </w:rPr>
        <w:t xml:space="preserve"> </w:t>
      </w:r>
      <w:r>
        <w:rPr>
          <w:rFonts w:ascii="Bookman Old Style"/>
          <w:sz w:val="28"/>
        </w:rPr>
        <w:t>practice.</w:t>
      </w:r>
    </w:p>
    <w:p w:rsidR="003B2FC0" w:rsidRDefault="003B2FC0">
      <w:pPr>
        <w:spacing w:line="480" w:lineRule="auto"/>
        <w:jc w:val="both"/>
        <w:rPr>
          <w:rFonts w:ascii="Bookman Old Style"/>
          <w:sz w:val="28"/>
        </w:rPr>
        <w:sectPr w:rsidR="003B2FC0">
          <w:headerReference w:type="default" r:id="rId102"/>
          <w:footerReference w:type="default" r:id="rId103"/>
          <w:pgSz w:w="11910" w:h="16840"/>
          <w:pgMar w:top="1340" w:right="1160" w:bottom="280" w:left="940" w:header="554" w:footer="0" w:gutter="0"/>
          <w:pgNumType w:start="51"/>
          <w:cols w:space="720"/>
        </w:sectPr>
      </w:pPr>
    </w:p>
    <w:p w:rsidR="003B2FC0" w:rsidRDefault="00052A49">
      <w:pPr>
        <w:pStyle w:val="ListParagraph"/>
        <w:numPr>
          <w:ilvl w:val="0"/>
          <w:numId w:val="60"/>
        </w:numPr>
        <w:tabs>
          <w:tab w:val="left" w:pos="1221"/>
        </w:tabs>
        <w:spacing w:before="93" w:line="480" w:lineRule="auto"/>
        <w:ind w:right="273" w:firstLine="0"/>
        <w:jc w:val="both"/>
        <w:rPr>
          <w:rFonts w:ascii="Bookman Old Style" w:hAnsi="Bookman Old Style"/>
          <w:sz w:val="28"/>
        </w:rPr>
      </w:pPr>
      <w:r>
        <w:rPr>
          <w:rFonts w:ascii="Bookman Old Style" w:hAnsi="Bookman Old Style"/>
          <w:sz w:val="28"/>
        </w:rPr>
        <w:t>The learned Amicus also averred that even if we are</w:t>
      </w:r>
      <w:r>
        <w:rPr>
          <w:rFonts w:ascii="Bookman Old Style" w:hAnsi="Bookman Old Style"/>
          <w:spacing w:val="55"/>
          <w:sz w:val="28"/>
        </w:rPr>
        <w:t xml:space="preserve"> </w:t>
      </w:r>
      <w:r>
        <w:rPr>
          <w:rFonts w:ascii="Bookman Old Style" w:hAnsi="Bookman Old Style"/>
          <w:sz w:val="28"/>
        </w:rPr>
        <w:t>to assume that the devotees of Lord Ayyappa constitute a separate denomination, the rights conferred under Article 26 being subject to the constitutional standard of morality, exclusion of women from entry would violate this standard of morality for a deno</w:t>
      </w:r>
      <w:r>
        <w:rPr>
          <w:rFonts w:ascii="Bookman Old Style" w:hAnsi="Bookman Old Style"/>
          <w:sz w:val="28"/>
        </w:rPr>
        <w:t xml:space="preserve">mination‟s right to manage its affairs in matters of </w:t>
      </w:r>
      <w:r>
        <w:rPr>
          <w:rFonts w:ascii="Bookman Old Style" w:hAnsi="Bookman Old Style"/>
          <w:spacing w:val="-7"/>
          <w:sz w:val="28"/>
        </w:rPr>
        <w:t xml:space="preserve">religion </w:t>
      </w:r>
      <w:r>
        <w:rPr>
          <w:rFonts w:ascii="Bookman Old Style" w:hAnsi="Bookman Old Style"/>
          <w:sz w:val="28"/>
        </w:rPr>
        <w:t xml:space="preserve">under Article 26(b) is subject to Article 25(2)(b) as has been succinctly explained by this Court in </w:t>
      </w:r>
      <w:r>
        <w:rPr>
          <w:rFonts w:ascii="Bookman Old Style" w:hAnsi="Bookman Old Style"/>
          <w:b/>
          <w:i/>
          <w:sz w:val="28"/>
        </w:rPr>
        <w:t xml:space="preserve">Devaru </w:t>
      </w:r>
      <w:r>
        <w:rPr>
          <w:rFonts w:ascii="Bookman Old Style" w:hAnsi="Bookman Old Style"/>
          <w:sz w:val="28"/>
        </w:rPr>
        <w:t>(supra) by observing</w:t>
      </w:r>
      <w:r>
        <w:rPr>
          <w:rFonts w:ascii="Bookman Old Style" w:hAnsi="Bookman Old Style"/>
          <w:spacing w:val="-3"/>
          <w:sz w:val="28"/>
        </w:rPr>
        <w:t xml:space="preserve"> </w:t>
      </w:r>
      <w:r>
        <w:rPr>
          <w:rFonts w:ascii="Bookman Old Style" w:hAnsi="Bookman Old Style"/>
          <w:sz w:val="28"/>
        </w:rPr>
        <w:t>thus:</w:t>
      </w:r>
    </w:p>
    <w:p w:rsidR="003B2FC0" w:rsidRDefault="00052A49">
      <w:pPr>
        <w:pStyle w:val="BodyText"/>
        <w:spacing w:before="120"/>
        <w:ind w:left="1220" w:right="994"/>
        <w:jc w:val="both"/>
      </w:pPr>
      <w:r>
        <w:t>“And lastly, it is argued that whereas Article 25 deals wit</w:t>
      </w:r>
      <w:r>
        <w:t>h the rights of individuals, Article 26 protects the rights of denominations, and that as what the appellants claim is the right of the Gowda Saraswath Brahmins to exclude those who do not belong to that denomination, that would remain unaffected by Articl</w:t>
      </w:r>
      <w:r>
        <w:t>e 25(2)(b). This contention ignores the true nature of the right conferred by Article 25(2)(b). That is a right conferred on "all classes and sections of Hindus" to enter into a public temple, and on the unqualified terms of that Article, that right must b</w:t>
      </w:r>
      <w:r>
        <w:t xml:space="preserve">e available, whether it is sought to be exercised against an individual under Article 25(1) or against a denomination under Article 26(b). The fact is that though Article 25(1) deals with rights of individuals, Art. 25(2) is much wider in its contents and </w:t>
      </w:r>
      <w:r>
        <w:t>has reference to the rights of communities, and controls both Article 25(1) and Article 26(b).”</w:t>
      </w:r>
    </w:p>
    <w:p w:rsidR="003B2FC0" w:rsidRDefault="003B2FC0">
      <w:pPr>
        <w:jc w:val="both"/>
        <w:sectPr w:rsidR="003B2FC0">
          <w:headerReference w:type="default" r:id="rId104"/>
          <w:footerReference w:type="default" r:id="rId105"/>
          <w:pgSz w:w="11910" w:h="16840"/>
          <w:pgMar w:top="1340" w:right="1160" w:bottom="280" w:left="940" w:header="554" w:footer="0" w:gutter="0"/>
          <w:pgNumType w:start="52"/>
          <w:cols w:space="720"/>
        </w:sectPr>
      </w:pPr>
    </w:p>
    <w:p w:rsidR="003B2FC0" w:rsidRDefault="00052A49">
      <w:pPr>
        <w:pStyle w:val="BodyText"/>
        <w:spacing w:before="93" w:line="242" w:lineRule="auto"/>
        <w:ind w:left="500" w:right="373"/>
        <w:rPr>
          <w:b/>
        </w:rPr>
      </w:pPr>
      <w:r>
        <w:rPr>
          <w:b/>
          <w:u w:val="single"/>
        </w:rPr>
        <w:t>Submissions of learned Amicus Curiae, Senior Advocate Mr.</w:t>
      </w:r>
      <w:r>
        <w:rPr>
          <w:b/>
        </w:rPr>
        <w:t xml:space="preserve"> </w:t>
      </w:r>
      <w:r>
        <w:rPr>
          <w:b/>
          <w:u w:val="single"/>
        </w:rPr>
        <w:t>K. Ramamoorthy</w:t>
      </w:r>
    </w:p>
    <w:p w:rsidR="003B2FC0" w:rsidRDefault="003B2FC0">
      <w:pPr>
        <w:pStyle w:val="BodyText"/>
        <w:rPr>
          <w:b/>
          <w:sz w:val="20"/>
        </w:rPr>
      </w:pPr>
    </w:p>
    <w:p w:rsidR="003B2FC0" w:rsidRDefault="003B2FC0">
      <w:pPr>
        <w:pStyle w:val="BodyText"/>
        <w:spacing w:before="10"/>
        <w:rPr>
          <w:b/>
          <w:sz w:val="15"/>
        </w:rPr>
      </w:pPr>
    </w:p>
    <w:p w:rsidR="003B2FC0" w:rsidRDefault="00052A49">
      <w:pPr>
        <w:pStyle w:val="ListParagraph"/>
        <w:numPr>
          <w:ilvl w:val="0"/>
          <w:numId w:val="60"/>
        </w:numPr>
        <w:tabs>
          <w:tab w:val="left" w:pos="1221"/>
        </w:tabs>
        <w:spacing w:before="100" w:line="480" w:lineRule="auto"/>
        <w:ind w:right="276" w:firstLine="0"/>
        <w:jc w:val="both"/>
        <w:rPr>
          <w:rFonts w:ascii="Bookman Old Style"/>
          <w:sz w:val="28"/>
        </w:rPr>
      </w:pPr>
      <w:r>
        <w:rPr>
          <w:rFonts w:ascii="Bookman Old Style"/>
          <w:sz w:val="28"/>
        </w:rPr>
        <w:t>It has been asseverated by learned Senior Advocate Mr. K. Ramamoorthy, learned Amicus curiae, that in all prominent Hindu temples in India, there had been some religious practices based on religious beliefs, which are essential part of the Hindu religion a</w:t>
      </w:r>
      <w:r>
        <w:rPr>
          <w:rFonts w:ascii="Bookman Old Style"/>
          <w:sz w:val="28"/>
        </w:rPr>
        <w:t xml:space="preserve">s considered by people for a long time. </w:t>
      </w:r>
      <w:r>
        <w:rPr>
          <w:rFonts w:ascii="Bookman Old Style"/>
          <w:spacing w:val="2"/>
          <w:sz w:val="28"/>
        </w:rPr>
        <w:t xml:space="preserve">It </w:t>
      </w:r>
      <w:r>
        <w:rPr>
          <w:rFonts w:ascii="Bookman Old Style"/>
          <w:sz w:val="28"/>
        </w:rPr>
        <w:t>has been submitted that the devotees of Lord Ayyappa could also be brought within the ambit of religious denomination who have been following the impugned religious practice which has been essential part of</w:t>
      </w:r>
      <w:r>
        <w:rPr>
          <w:rFonts w:ascii="Bookman Old Style"/>
          <w:spacing w:val="-10"/>
          <w:sz w:val="28"/>
        </w:rPr>
        <w:t xml:space="preserve"> </w:t>
      </w:r>
      <w:r>
        <w:rPr>
          <w:rFonts w:ascii="Bookman Old Style"/>
          <w:sz w:val="28"/>
        </w:rPr>
        <w:t>religi</w:t>
      </w:r>
      <w:r>
        <w:rPr>
          <w:rFonts w:ascii="Bookman Old Style"/>
          <w:sz w:val="28"/>
        </w:rPr>
        <w:t>on.</w:t>
      </w:r>
    </w:p>
    <w:p w:rsidR="003B2FC0" w:rsidRDefault="00052A49">
      <w:pPr>
        <w:pStyle w:val="ListParagraph"/>
        <w:numPr>
          <w:ilvl w:val="0"/>
          <w:numId w:val="60"/>
        </w:numPr>
        <w:tabs>
          <w:tab w:val="left" w:pos="1221"/>
        </w:tabs>
        <w:spacing w:before="203" w:line="480" w:lineRule="auto"/>
        <w:ind w:right="277" w:firstLine="0"/>
        <w:jc w:val="both"/>
        <w:rPr>
          <w:rFonts w:ascii="Bookman Old Style"/>
          <w:sz w:val="28"/>
        </w:rPr>
      </w:pPr>
      <w:r>
        <w:rPr>
          <w:rFonts w:ascii="Bookman Old Style"/>
          <w:sz w:val="28"/>
        </w:rPr>
        <w:t xml:space="preserve">Mr. K. Ramamoorthy, learned senior counsel, has submitted that the petitioners herein have not disputed that the impugned religious practice in Sabarimala temple is not a religious practice based on religious belief for several centuries, rather </w:t>
      </w:r>
      <w:r>
        <w:rPr>
          <w:rFonts w:ascii="Bookman Old Style"/>
          <w:spacing w:val="-3"/>
          <w:sz w:val="28"/>
        </w:rPr>
        <w:t xml:space="preserve">the </w:t>
      </w:r>
      <w:r>
        <w:rPr>
          <w:rFonts w:ascii="Bookman Old Style"/>
          <w:sz w:val="28"/>
        </w:rPr>
        <w:t>pe</w:t>
      </w:r>
      <w:r>
        <w:rPr>
          <w:rFonts w:ascii="Bookman Old Style"/>
          <w:sz w:val="28"/>
        </w:rPr>
        <w:t xml:space="preserve">titioners have only argued that such a practice is violative of Article 25 of the Constitution. </w:t>
      </w:r>
      <w:r>
        <w:rPr>
          <w:rFonts w:ascii="Bookman Old Style"/>
          <w:spacing w:val="2"/>
          <w:sz w:val="28"/>
        </w:rPr>
        <w:t xml:space="preserve">It </w:t>
      </w:r>
      <w:r>
        <w:rPr>
          <w:rFonts w:ascii="Bookman Old Style"/>
          <w:sz w:val="28"/>
        </w:rPr>
        <w:t xml:space="preserve">is also submitted by Mr. K. Ramamoorthy that in any of the judgments cited by the petitioners, the question never arose as to what the religious practice on </w:t>
      </w:r>
      <w:r>
        <w:rPr>
          <w:rFonts w:ascii="Bookman Old Style"/>
          <w:sz w:val="28"/>
        </w:rPr>
        <w:t>the basis of religious belief is and, accordingly, the question as to whether religious practices based on</w:t>
      </w:r>
      <w:r>
        <w:rPr>
          <w:rFonts w:ascii="Bookman Old Style"/>
          <w:spacing w:val="5"/>
          <w:sz w:val="28"/>
        </w:rPr>
        <w:t xml:space="preserve"> </w:t>
      </w:r>
      <w:r>
        <w:rPr>
          <w:rFonts w:ascii="Bookman Old Style"/>
          <w:sz w:val="28"/>
        </w:rPr>
        <w:t>religious</w:t>
      </w:r>
    </w:p>
    <w:p w:rsidR="003B2FC0" w:rsidRDefault="003B2FC0">
      <w:pPr>
        <w:spacing w:line="480" w:lineRule="auto"/>
        <w:jc w:val="both"/>
        <w:rPr>
          <w:rFonts w:ascii="Bookman Old Style"/>
          <w:sz w:val="28"/>
        </w:rPr>
        <w:sectPr w:rsidR="003B2FC0">
          <w:headerReference w:type="default" r:id="rId106"/>
          <w:footerReference w:type="default" r:id="rId107"/>
          <w:pgSz w:w="11910" w:h="16840"/>
          <w:pgMar w:top="1340" w:right="1160" w:bottom="280" w:left="940" w:header="554" w:footer="0" w:gutter="0"/>
          <w:pgNumType w:start="53"/>
          <w:cols w:space="720"/>
        </w:sectPr>
      </w:pPr>
    </w:p>
    <w:p w:rsidR="003B2FC0" w:rsidRDefault="00052A49">
      <w:pPr>
        <w:pStyle w:val="BodyText"/>
        <w:spacing w:before="93" w:line="480" w:lineRule="auto"/>
        <w:ind w:left="500" w:right="278"/>
        <w:jc w:val="both"/>
      </w:pPr>
      <w:r>
        <w:t>beliefs in all prominent temples in India are violative of Articles14, 15, 17, 21 and 25 of the Constitution is to be considered</w:t>
      </w:r>
      <w:r>
        <w:rPr>
          <w:spacing w:val="-1"/>
        </w:rPr>
        <w:t xml:space="preserve"> </w:t>
      </w:r>
      <w:r>
        <w:t>herein.</w:t>
      </w:r>
    </w:p>
    <w:p w:rsidR="003B2FC0" w:rsidRDefault="00052A49">
      <w:pPr>
        <w:pStyle w:val="ListParagraph"/>
        <w:numPr>
          <w:ilvl w:val="0"/>
          <w:numId w:val="60"/>
        </w:numPr>
        <w:tabs>
          <w:tab w:val="left" w:pos="1221"/>
        </w:tabs>
        <w:spacing w:before="200" w:line="480" w:lineRule="auto"/>
        <w:ind w:right="278" w:firstLine="0"/>
        <w:jc w:val="both"/>
        <w:rPr>
          <w:rFonts w:ascii="Bookman Old Style"/>
          <w:sz w:val="28"/>
        </w:rPr>
      </w:pPr>
      <w:r>
        <w:rPr>
          <w:rFonts w:ascii="Bookman Old Style"/>
          <w:sz w:val="28"/>
        </w:rPr>
        <w:t>It has been put forth by Mr. K. Ramamoorthy that the protection of Articles 25 and 26 are not limited to the matters of</w:t>
      </w:r>
      <w:r>
        <w:rPr>
          <w:rFonts w:ascii="Bookman Old Style"/>
          <w:sz w:val="28"/>
        </w:rPr>
        <w:t xml:space="preserve"> doctrine or belief, rather they extend to acts done in pursuance of religion and, therefore, contain a guarantee for rituals, observations, ceremonies and modes of worship which </w:t>
      </w:r>
      <w:r>
        <w:rPr>
          <w:rFonts w:ascii="Bookman Old Style"/>
          <w:spacing w:val="-2"/>
          <w:sz w:val="28"/>
        </w:rPr>
        <w:t xml:space="preserve">are </w:t>
      </w:r>
      <w:r>
        <w:rPr>
          <w:rFonts w:ascii="Bookman Old Style"/>
          <w:sz w:val="28"/>
        </w:rPr>
        <w:t>integral parts of religion. It has been submitted that what constitutes a</w:t>
      </w:r>
      <w:r>
        <w:rPr>
          <w:rFonts w:ascii="Bookman Old Style"/>
          <w:sz w:val="28"/>
        </w:rPr>
        <w:t>n essential part of a religious practice is to be decided with reference to the practices which are regarded by a large section of the community for several centuries and, therefore, would have to be treated as a part of the</w:t>
      </w:r>
      <w:r>
        <w:rPr>
          <w:rFonts w:ascii="Bookman Old Style"/>
          <w:spacing w:val="-19"/>
          <w:sz w:val="28"/>
        </w:rPr>
        <w:t xml:space="preserve"> </w:t>
      </w:r>
      <w:r>
        <w:rPr>
          <w:rFonts w:ascii="Bookman Old Style"/>
          <w:sz w:val="28"/>
        </w:rPr>
        <w:t>religion.</w:t>
      </w:r>
    </w:p>
    <w:p w:rsidR="003B2FC0" w:rsidRDefault="00052A49">
      <w:pPr>
        <w:pStyle w:val="ListParagraph"/>
        <w:numPr>
          <w:ilvl w:val="0"/>
          <w:numId w:val="60"/>
        </w:numPr>
        <w:tabs>
          <w:tab w:val="left" w:pos="1221"/>
        </w:tabs>
        <w:spacing w:before="200" w:line="480" w:lineRule="auto"/>
        <w:ind w:right="275" w:firstLine="0"/>
        <w:jc w:val="both"/>
        <w:rPr>
          <w:rFonts w:ascii="Bookman Old Style"/>
          <w:sz w:val="28"/>
        </w:rPr>
      </w:pPr>
      <w:r>
        <w:rPr>
          <w:rFonts w:ascii="Bookman Old Style"/>
          <w:sz w:val="28"/>
        </w:rPr>
        <w:t xml:space="preserve">It has also been averred that Ayyappa temple by itself is a denomination as contemplated under Article 26 having regard to the nature of worship and the practices followed by the temple and similarly, the devotees of Ayyappa temple would also constitute a </w:t>
      </w:r>
      <w:r>
        <w:rPr>
          <w:rFonts w:ascii="Bookman Old Style"/>
          <w:sz w:val="28"/>
        </w:rPr>
        <w:t>denomination who have accepted the impugned religious practice based on religious belief which has been in vogue for several centuries unbroken and accepted by all sections of</w:t>
      </w:r>
      <w:r>
        <w:rPr>
          <w:rFonts w:ascii="Bookman Old Style"/>
          <w:spacing w:val="-2"/>
          <w:sz w:val="28"/>
        </w:rPr>
        <w:t xml:space="preserve"> </w:t>
      </w:r>
      <w:r>
        <w:rPr>
          <w:rFonts w:ascii="Bookman Old Style"/>
          <w:sz w:val="28"/>
        </w:rPr>
        <w:t>Hindus.</w:t>
      </w:r>
    </w:p>
    <w:p w:rsidR="003B2FC0" w:rsidRDefault="003B2FC0">
      <w:pPr>
        <w:spacing w:line="480" w:lineRule="auto"/>
        <w:jc w:val="both"/>
        <w:rPr>
          <w:rFonts w:ascii="Bookman Old Style"/>
          <w:sz w:val="28"/>
        </w:rPr>
        <w:sectPr w:rsidR="003B2FC0">
          <w:headerReference w:type="default" r:id="rId108"/>
          <w:footerReference w:type="default" r:id="rId109"/>
          <w:pgSz w:w="11910" w:h="16840"/>
          <w:pgMar w:top="1340" w:right="1160" w:bottom="280" w:left="940" w:header="554" w:footer="0" w:gutter="0"/>
          <w:pgNumType w:start="54"/>
          <w:cols w:space="720"/>
        </w:sectPr>
      </w:pPr>
    </w:p>
    <w:p w:rsidR="003B2FC0" w:rsidRDefault="00052A49">
      <w:pPr>
        <w:pStyle w:val="ListParagraph"/>
        <w:numPr>
          <w:ilvl w:val="0"/>
          <w:numId w:val="60"/>
        </w:numPr>
        <w:tabs>
          <w:tab w:val="left" w:pos="1221"/>
        </w:tabs>
        <w:spacing w:before="93" w:line="480" w:lineRule="auto"/>
        <w:ind w:right="272" w:firstLine="0"/>
        <w:jc w:val="both"/>
        <w:rPr>
          <w:rFonts w:ascii="Bookman Old Style"/>
          <w:sz w:val="28"/>
        </w:rPr>
      </w:pPr>
      <w:r>
        <w:rPr>
          <w:rFonts w:ascii="Bookman Old Style"/>
          <w:sz w:val="28"/>
        </w:rPr>
        <w:t>It has been submitted that it</w:t>
      </w:r>
      <w:r>
        <w:rPr>
          <w:rFonts w:ascii="Bookman Old Style"/>
          <w:sz w:val="28"/>
        </w:rPr>
        <w:t xml:space="preserve"> is too late in the day to contend that religious practice based on religious faith, adhered to and followed by millions of Hindus for so long in consonance with the natural rights of men and women is violative of fundamental rights. </w:t>
      </w:r>
      <w:r>
        <w:rPr>
          <w:rFonts w:ascii="Bookman Old Style"/>
          <w:spacing w:val="2"/>
          <w:sz w:val="28"/>
        </w:rPr>
        <w:t xml:space="preserve">It </w:t>
      </w:r>
      <w:r>
        <w:rPr>
          <w:rFonts w:ascii="Bookman Old Style"/>
          <w:sz w:val="28"/>
        </w:rPr>
        <w:t>is also the case of</w:t>
      </w:r>
      <w:r>
        <w:rPr>
          <w:rFonts w:ascii="Bookman Old Style"/>
          <w:sz w:val="28"/>
        </w:rPr>
        <w:t xml:space="preserve"> the Amicus Mr. K. Ramamoorthy that to project such a religious practice as being contrary to natural law is a shock to the judgment of the community, as calling such a religious practice contrary to fundamental rights amounts to offending the common sense</w:t>
      </w:r>
      <w:r>
        <w:rPr>
          <w:rFonts w:ascii="Bookman Old Style"/>
          <w:sz w:val="28"/>
        </w:rPr>
        <w:t xml:space="preserve"> and wisdom of our ancestors in faithfully following the command of the divine. Further, no group or individual can force other  Hindus to follow their view in the domain of religious</w:t>
      </w:r>
      <w:r>
        <w:rPr>
          <w:rFonts w:ascii="Bookman Old Style"/>
          <w:spacing w:val="-23"/>
          <w:sz w:val="28"/>
        </w:rPr>
        <w:t xml:space="preserve"> </w:t>
      </w:r>
      <w:r>
        <w:rPr>
          <w:rFonts w:ascii="Bookman Old Style"/>
          <w:sz w:val="28"/>
        </w:rPr>
        <w:t>faith.</w:t>
      </w:r>
    </w:p>
    <w:p w:rsidR="003B2FC0" w:rsidRDefault="00052A49">
      <w:pPr>
        <w:pStyle w:val="ListParagraph"/>
        <w:numPr>
          <w:ilvl w:val="0"/>
          <w:numId w:val="60"/>
        </w:numPr>
        <w:tabs>
          <w:tab w:val="left" w:pos="1221"/>
        </w:tabs>
        <w:spacing w:before="200" w:line="480" w:lineRule="auto"/>
        <w:ind w:right="278" w:firstLine="0"/>
        <w:jc w:val="both"/>
        <w:rPr>
          <w:rFonts w:ascii="Bookman Old Style"/>
          <w:sz w:val="28"/>
        </w:rPr>
      </w:pPr>
      <w:r>
        <w:rPr>
          <w:rFonts w:ascii="Bookman Old Style"/>
          <w:sz w:val="28"/>
        </w:rPr>
        <w:t>As regards the challenge raised by the petitioners against Rule 3</w:t>
      </w:r>
      <w:r>
        <w:rPr>
          <w:rFonts w:ascii="Bookman Old Style"/>
          <w:sz w:val="28"/>
        </w:rPr>
        <w:t>(b) of the Kerala Hindu Places of Public Worship (Authorization of Entry) Rules, 1965, it is asseverated by Mr. K. Ramamoorthy that the question which arises is whether  the State Government, with reference to such a religious practice, could make a rule s</w:t>
      </w:r>
      <w:r>
        <w:rPr>
          <w:rFonts w:ascii="Bookman Old Style"/>
          <w:sz w:val="28"/>
        </w:rPr>
        <w:t xml:space="preserve">o that the general public would know </w:t>
      </w:r>
      <w:r>
        <w:rPr>
          <w:rFonts w:ascii="Bookman Old Style"/>
          <w:spacing w:val="-3"/>
          <w:sz w:val="28"/>
        </w:rPr>
        <w:t xml:space="preserve">the </w:t>
      </w:r>
      <w:r>
        <w:rPr>
          <w:rFonts w:ascii="Bookman Old Style"/>
          <w:sz w:val="28"/>
        </w:rPr>
        <w:t>denominational character of the temple and the religious practice followed by the</w:t>
      </w:r>
      <w:r>
        <w:rPr>
          <w:rFonts w:ascii="Bookman Old Style"/>
          <w:spacing w:val="-2"/>
          <w:sz w:val="28"/>
        </w:rPr>
        <w:t xml:space="preserve"> </w:t>
      </w:r>
      <w:r>
        <w:rPr>
          <w:rFonts w:ascii="Bookman Old Style"/>
          <w:sz w:val="28"/>
        </w:rPr>
        <w:t>temple.</w:t>
      </w:r>
    </w:p>
    <w:p w:rsidR="003B2FC0" w:rsidRDefault="003B2FC0">
      <w:pPr>
        <w:spacing w:line="480" w:lineRule="auto"/>
        <w:jc w:val="both"/>
        <w:rPr>
          <w:rFonts w:ascii="Bookman Old Style"/>
          <w:sz w:val="28"/>
        </w:rPr>
        <w:sectPr w:rsidR="003B2FC0">
          <w:headerReference w:type="default" r:id="rId110"/>
          <w:footerReference w:type="default" r:id="rId111"/>
          <w:pgSz w:w="11910" w:h="16840"/>
          <w:pgMar w:top="1340" w:right="1160" w:bottom="280" w:left="940" w:header="554" w:footer="0" w:gutter="0"/>
          <w:pgNumType w:start="55"/>
          <w:cols w:space="720"/>
        </w:sectPr>
      </w:pPr>
    </w:p>
    <w:p w:rsidR="003B2FC0" w:rsidRDefault="00052A49">
      <w:pPr>
        <w:pStyle w:val="BodyText"/>
        <w:tabs>
          <w:tab w:val="left" w:pos="2100"/>
          <w:tab w:val="left" w:pos="2591"/>
          <w:tab w:val="left" w:pos="3464"/>
          <w:tab w:val="left" w:pos="4908"/>
          <w:tab w:val="left" w:pos="5469"/>
          <w:tab w:val="left" w:pos="6177"/>
          <w:tab w:val="left" w:pos="7892"/>
          <w:tab w:val="left" w:pos="8266"/>
        </w:tabs>
        <w:spacing w:before="95" w:line="254" w:lineRule="auto"/>
        <w:ind w:left="500" w:right="273"/>
        <w:rPr>
          <w:b/>
        </w:rPr>
      </w:pPr>
      <w:r>
        <w:rPr>
          <w:b/>
          <w:u w:val="single"/>
        </w:rPr>
        <w:t>Followers</w:t>
      </w:r>
      <w:r>
        <w:rPr>
          <w:b/>
          <w:u w:val="single"/>
        </w:rPr>
        <w:tab/>
        <w:t>of</w:t>
      </w:r>
      <w:r>
        <w:rPr>
          <w:b/>
          <w:u w:val="single"/>
        </w:rPr>
        <w:tab/>
        <w:t>Lord</w:t>
      </w:r>
      <w:r>
        <w:rPr>
          <w:b/>
          <w:u w:val="single"/>
        </w:rPr>
        <w:tab/>
        <w:t>Ayyappa</w:t>
      </w:r>
      <w:r>
        <w:rPr>
          <w:b/>
          <w:u w:val="single"/>
        </w:rPr>
        <w:tab/>
        <w:t>do</w:t>
      </w:r>
      <w:r>
        <w:rPr>
          <w:b/>
          <w:u w:val="single"/>
        </w:rPr>
        <w:tab/>
        <w:t>not</w:t>
      </w:r>
      <w:r>
        <w:rPr>
          <w:b/>
          <w:u w:val="single"/>
        </w:rPr>
        <w:tab/>
        <w:t>constitute</w:t>
      </w:r>
      <w:r>
        <w:rPr>
          <w:b/>
          <w:u w:val="single"/>
        </w:rPr>
        <w:tab/>
        <w:t>a</w:t>
      </w:r>
      <w:r>
        <w:rPr>
          <w:b/>
          <w:u w:val="single"/>
        </w:rPr>
        <w:tab/>
        <w:t>religious</w:t>
      </w:r>
      <w:r>
        <w:rPr>
          <w:b/>
        </w:rPr>
        <w:t xml:space="preserve"> </w:t>
      </w:r>
      <w:r>
        <w:rPr>
          <w:b/>
          <w:u w:val="single"/>
        </w:rPr>
        <w:t>denomination</w:t>
      </w:r>
    </w:p>
    <w:p w:rsidR="003B2FC0" w:rsidRDefault="003B2FC0">
      <w:pPr>
        <w:pStyle w:val="BodyText"/>
        <w:rPr>
          <w:b/>
          <w:sz w:val="20"/>
        </w:rPr>
      </w:pPr>
    </w:p>
    <w:p w:rsidR="003B2FC0" w:rsidRDefault="00052A49">
      <w:pPr>
        <w:pStyle w:val="ListParagraph"/>
        <w:numPr>
          <w:ilvl w:val="0"/>
          <w:numId w:val="60"/>
        </w:numPr>
        <w:tabs>
          <w:tab w:val="left" w:pos="1221"/>
        </w:tabs>
        <w:spacing w:before="256" w:line="480" w:lineRule="auto"/>
        <w:ind w:right="277" w:firstLine="0"/>
        <w:jc w:val="both"/>
        <w:rPr>
          <w:rFonts w:ascii="Bookman Old Style"/>
          <w:sz w:val="28"/>
        </w:rPr>
      </w:pPr>
      <w:r>
        <w:rPr>
          <w:rFonts w:ascii="Bookman Old Style"/>
          <w:sz w:val="28"/>
        </w:rPr>
        <w:t>Article 26 of the Constitution of India guarantees to every religious denomination the right (a) to establish and maintain institutions for religious and charitable purposes; (b) to manage its own affairs in matters of religion; (c) to own and acquire mova</w:t>
      </w:r>
      <w:r>
        <w:rPr>
          <w:rFonts w:ascii="Bookman Old Style"/>
          <w:sz w:val="28"/>
        </w:rPr>
        <w:t>ble and immovable property; and (d) to administer such property in accordance with law. However, these rights are subject to public order, morality and</w:t>
      </w:r>
      <w:r>
        <w:rPr>
          <w:rFonts w:ascii="Bookman Old Style"/>
          <w:spacing w:val="-13"/>
          <w:sz w:val="28"/>
        </w:rPr>
        <w:t xml:space="preserve"> </w:t>
      </w:r>
      <w:r>
        <w:rPr>
          <w:rFonts w:ascii="Bookman Old Style"/>
          <w:sz w:val="28"/>
        </w:rPr>
        <w:t>health.</w:t>
      </w:r>
    </w:p>
    <w:p w:rsidR="003B2FC0" w:rsidRDefault="00052A49">
      <w:pPr>
        <w:pStyle w:val="ListParagraph"/>
        <w:numPr>
          <w:ilvl w:val="0"/>
          <w:numId w:val="60"/>
        </w:numPr>
        <w:tabs>
          <w:tab w:val="left" w:pos="1221"/>
        </w:tabs>
        <w:spacing w:before="161" w:line="480" w:lineRule="auto"/>
        <w:ind w:right="277" w:firstLine="0"/>
        <w:jc w:val="both"/>
        <w:rPr>
          <w:rFonts w:ascii="Bookman Old Style"/>
          <w:sz w:val="28"/>
        </w:rPr>
      </w:pPr>
      <w:r>
        <w:rPr>
          <w:rFonts w:ascii="Bookman Old Style"/>
          <w:sz w:val="28"/>
        </w:rPr>
        <w:t xml:space="preserve">The important question that emerges is as to what constitutes a religious denomination. The said question has been the subject matter of several decisions of this Court beginning from </w:t>
      </w:r>
      <w:r>
        <w:rPr>
          <w:rFonts w:ascii="Bookman Old Style"/>
          <w:b/>
          <w:i/>
          <w:sz w:val="28"/>
        </w:rPr>
        <w:t xml:space="preserve">Shirur Mutt </w:t>
      </w:r>
      <w:r>
        <w:rPr>
          <w:rFonts w:ascii="Bookman Old Style"/>
          <w:sz w:val="28"/>
        </w:rPr>
        <w:t>(supra) wherein the Court observed</w:t>
      </w:r>
      <w:r>
        <w:rPr>
          <w:rFonts w:ascii="Bookman Old Style"/>
          <w:spacing w:val="-24"/>
          <w:sz w:val="28"/>
        </w:rPr>
        <w:t xml:space="preserve"> </w:t>
      </w:r>
      <w:r>
        <w:rPr>
          <w:rFonts w:ascii="Bookman Old Style"/>
          <w:sz w:val="28"/>
        </w:rPr>
        <w:t>thus:</w:t>
      </w:r>
    </w:p>
    <w:p w:rsidR="003B2FC0" w:rsidRDefault="003B2FC0">
      <w:pPr>
        <w:pStyle w:val="BodyText"/>
        <w:spacing w:before="160"/>
        <w:ind w:left="1350" w:right="1125"/>
        <w:jc w:val="both"/>
      </w:pPr>
      <w:r>
        <w:pict>
          <v:rect id="_x0000_s1161" style="position:absolute;left:0;text-align:left;margin-left:114.5pt;margin-top:138.6pt;width:366.45pt;height:17.3pt;z-index:-251625984;mso-position-horizontal-relative:page" stroked="f">
            <w10:wrap anchorx="page"/>
          </v:rect>
        </w:pict>
      </w:r>
      <w:r w:rsidR="00052A49">
        <w:t>“As regards Articl</w:t>
      </w:r>
      <w:r w:rsidR="00052A49">
        <w:t>e 26, the first question is, what is the precise meaning or connotation of the expression "religious denomination" and whether a Math could come within this expression. The word "denomination" has been defined in the Oxford Dictionary to mean 'a collection</w:t>
      </w:r>
      <w:r w:rsidR="00052A49">
        <w:t xml:space="preserve"> of individuals classed together under the same name: a religious sect or body having a common faith and Organisation and designated by a distinctive name.  It is well known that the practice of setting up Maths as centres of the logical teaching was start</w:t>
      </w:r>
      <w:r w:rsidR="00052A49">
        <w:t>ed by Shri Sankaracharya and was followed by various teachers since then. After Sankara, came a galaxy of religious teachers and philosophers who founded the different sects and sub-sects of the Hindu religion that we find</w:t>
      </w:r>
      <w:r w:rsidR="00052A49">
        <w:rPr>
          <w:spacing w:val="51"/>
        </w:rPr>
        <w:t xml:space="preserve"> </w:t>
      </w:r>
      <w:r w:rsidR="00052A49">
        <w:t>in</w:t>
      </w:r>
      <w:r w:rsidR="00052A49">
        <w:rPr>
          <w:spacing w:val="48"/>
        </w:rPr>
        <w:t xml:space="preserve"> </w:t>
      </w:r>
      <w:r w:rsidR="00052A49">
        <w:t>India</w:t>
      </w:r>
      <w:r w:rsidR="00052A49">
        <w:rPr>
          <w:spacing w:val="52"/>
        </w:rPr>
        <w:t xml:space="preserve"> </w:t>
      </w:r>
      <w:r w:rsidR="00052A49">
        <w:t>at</w:t>
      </w:r>
      <w:r w:rsidR="00052A49">
        <w:rPr>
          <w:spacing w:val="50"/>
        </w:rPr>
        <w:t xml:space="preserve"> </w:t>
      </w:r>
      <w:r w:rsidR="00052A49">
        <w:t>the</w:t>
      </w:r>
      <w:r w:rsidR="00052A49">
        <w:rPr>
          <w:spacing w:val="51"/>
        </w:rPr>
        <w:t xml:space="preserve"> </w:t>
      </w:r>
      <w:r w:rsidR="00052A49">
        <w:t>present</w:t>
      </w:r>
      <w:r w:rsidR="00052A49">
        <w:rPr>
          <w:spacing w:val="49"/>
        </w:rPr>
        <w:t xml:space="preserve"> </w:t>
      </w:r>
      <w:r w:rsidR="00052A49">
        <w:t>day.</w:t>
      </w:r>
      <w:r w:rsidR="00052A49">
        <w:rPr>
          <w:spacing w:val="51"/>
        </w:rPr>
        <w:t xml:space="preserve"> </w:t>
      </w:r>
      <w:r w:rsidR="00052A49">
        <w:t>Each</w:t>
      </w:r>
      <w:r w:rsidR="00052A49">
        <w:rPr>
          <w:spacing w:val="50"/>
        </w:rPr>
        <w:t xml:space="preserve"> </w:t>
      </w:r>
      <w:r w:rsidR="00052A49">
        <w:t>one</w:t>
      </w:r>
      <w:r w:rsidR="00052A49">
        <w:rPr>
          <w:spacing w:val="51"/>
        </w:rPr>
        <w:t xml:space="preserve"> </w:t>
      </w:r>
      <w:r w:rsidR="00052A49">
        <w:t>of</w:t>
      </w:r>
      <w:r w:rsidR="00052A49">
        <w:rPr>
          <w:spacing w:val="51"/>
        </w:rPr>
        <w:t xml:space="preserve"> </w:t>
      </w:r>
      <w:r w:rsidR="00052A49">
        <w:t>such</w:t>
      </w:r>
    </w:p>
    <w:p w:rsidR="003B2FC0" w:rsidRDefault="003B2FC0">
      <w:pPr>
        <w:jc w:val="both"/>
        <w:sectPr w:rsidR="003B2FC0">
          <w:headerReference w:type="default" r:id="rId112"/>
          <w:footerReference w:type="default" r:id="rId113"/>
          <w:pgSz w:w="11910" w:h="16840"/>
          <w:pgMar w:top="1340" w:right="1160" w:bottom="280" w:left="940" w:header="554" w:footer="0" w:gutter="0"/>
          <w:pgNumType w:start="56"/>
          <w:cols w:space="720"/>
        </w:sectPr>
      </w:pPr>
    </w:p>
    <w:p w:rsidR="003B2FC0" w:rsidRDefault="003B2FC0">
      <w:pPr>
        <w:pStyle w:val="BodyText"/>
        <w:spacing w:before="93"/>
        <w:ind w:left="1350" w:right="1127"/>
        <w:jc w:val="both"/>
      </w:pPr>
      <w:r>
        <w:pict>
          <v:rect id="_x0000_s1160" style="position:absolute;left:0;text-align:left;margin-left:114.5pt;margin-top:168.1pt;width:366.45pt;height:17.3pt;z-index:-251624960;mso-position-horizontal-relative:page" stroked="f">
            <w10:wrap anchorx="page"/>
          </v:rect>
        </w:pict>
      </w:r>
      <w:r w:rsidR="00052A49">
        <w:t>sects or sub-sects can certainly be balled a religious denomination, as it is designated by a distinctive name, -in many cases it is the name of the founder, - and has a common faith and common spiritual organization. The followers of Ramanuja, who are kno</w:t>
      </w:r>
      <w:r w:rsidR="00052A49">
        <w:t xml:space="preserve">wn by the name of Shri Vaishnabas, undoubtedly constitute a religious denomination; and so do the followers of Madhwacharya and other religious teachers. </w:t>
      </w:r>
      <w:r w:rsidR="00052A49">
        <w:rPr>
          <w:spacing w:val="2"/>
        </w:rPr>
        <w:t xml:space="preserve">It </w:t>
      </w:r>
      <w:r w:rsidR="00052A49">
        <w:t>is a fact well established by tradition that the eight UdipiMaths were founded by Madhwacharya hims</w:t>
      </w:r>
      <w:r w:rsidR="00052A49">
        <w:t>elf and the trustees and the beneficiaries of these Maths profess to be followers of that teacher. The High Court has found that the Math in question is in charge of the Sivalli Brahmins who constitute a section of the followers of Madhwacharya. As article</w:t>
      </w:r>
      <w:r w:rsidR="00052A49">
        <w:t xml:space="preserve"> 26 contemplates not merely a religious denomination but also a section thereof, the Math or the spiritual fraternity represented by it can legitimately come within the purview of this</w:t>
      </w:r>
      <w:r w:rsidR="00052A49">
        <w:rPr>
          <w:spacing w:val="-7"/>
        </w:rPr>
        <w:t xml:space="preserve"> </w:t>
      </w:r>
      <w:r w:rsidR="00052A49">
        <w:t>article.”</w:t>
      </w:r>
    </w:p>
    <w:p w:rsidR="003B2FC0" w:rsidRDefault="003B2FC0">
      <w:pPr>
        <w:pStyle w:val="BodyText"/>
        <w:rPr>
          <w:sz w:val="32"/>
        </w:rPr>
      </w:pPr>
    </w:p>
    <w:p w:rsidR="003B2FC0" w:rsidRDefault="00052A49">
      <w:pPr>
        <w:pStyle w:val="ListParagraph"/>
        <w:numPr>
          <w:ilvl w:val="0"/>
          <w:numId w:val="60"/>
        </w:numPr>
        <w:tabs>
          <w:tab w:val="left" w:pos="1221"/>
        </w:tabs>
        <w:spacing w:before="271" w:line="480" w:lineRule="auto"/>
        <w:ind w:right="275" w:firstLine="0"/>
        <w:jc w:val="both"/>
        <w:rPr>
          <w:rFonts w:ascii="Bookman Old Style"/>
          <w:sz w:val="28"/>
        </w:rPr>
      </w:pPr>
      <w:r>
        <w:rPr>
          <w:rFonts w:ascii="Bookman Old Style"/>
          <w:sz w:val="28"/>
        </w:rPr>
        <w:t xml:space="preserve">In </w:t>
      </w:r>
      <w:r>
        <w:rPr>
          <w:rFonts w:ascii="Bookman Old Style"/>
          <w:b/>
          <w:i/>
          <w:sz w:val="28"/>
        </w:rPr>
        <w:t xml:space="preserve">S.P. Mittal </w:t>
      </w:r>
      <w:r>
        <w:rPr>
          <w:rFonts w:ascii="Bookman Old Style"/>
          <w:sz w:val="28"/>
        </w:rPr>
        <w:t xml:space="preserve">(supra), the challenge was with regard to the validity of the Auroville (Emergency) Provisions Act, 1980 as being violative of Articles 25 and 26 of the Constitution. Sri Aurobindo postulated the philosophy of cosmic salvation and along with the disciples </w:t>
      </w:r>
      <w:r>
        <w:rPr>
          <w:rFonts w:ascii="Bookman Old Style"/>
          <w:sz w:val="28"/>
        </w:rPr>
        <w:t xml:space="preserve">found the Aurobindo Society </w:t>
      </w:r>
      <w:r>
        <w:rPr>
          <w:rFonts w:ascii="Bookman Old Style"/>
          <w:spacing w:val="-2"/>
          <w:sz w:val="28"/>
        </w:rPr>
        <w:t xml:space="preserve">for </w:t>
      </w:r>
      <w:r>
        <w:rPr>
          <w:rFonts w:ascii="Bookman Old Style"/>
          <w:sz w:val="28"/>
        </w:rPr>
        <w:t xml:space="preserve">preaching and propagating the teachings of Sri Aurobindo and The Mother through its centres in India as well as abroad. After the death of Sri Aurobindo, the Mother proposed an international cultural township, Auroville, in </w:t>
      </w:r>
      <w:r>
        <w:rPr>
          <w:rFonts w:ascii="Bookman Old Style"/>
          <w:sz w:val="28"/>
        </w:rPr>
        <w:t>the then Pondicherry. The society received funds as grants from the Central Government,</w:t>
      </w:r>
      <w:r>
        <w:rPr>
          <w:rFonts w:ascii="Bookman Old Style"/>
          <w:spacing w:val="20"/>
          <w:sz w:val="28"/>
        </w:rPr>
        <w:t xml:space="preserve"> </w:t>
      </w:r>
      <w:r>
        <w:rPr>
          <w:rFonts w:ascii="Bookman Old Style"/>
          <w:sz w:val="28"/>
        </w:rPr>
        <w:t>State</w:t>
      </w:r>
    </w:p>
    <w:p w:rsidR="003B2FC0" w:rsidRDefault="003B2FC0">
      <w:pPr>
        <w:spacing w:line="480" w:lineRule="auto"/>
        <w:jc w:val="both"/>
        <w:rPr>
          <w:rFonts w:ascii="Bookman Old Style"/>
          <w:sz w:val="28"/>
        </w:rPr>
        <w:sectPr w:rsidR="003B2FC0">
          <w:headerReference w:type="default" r:id="rId114"/>
          <w:footerReference w:type="default" r:id="rId115"/>
          <w:pgSz w:w="11910" w:h="16840"/>
          <w:pgMar w:top="1340" w:right="1160" w:bottom="280" w:left="940" w:header="554" w:footer="0" w:gutter="0"/>
          <w:pgNumType w:start="57"/>
          <w:cols w:space="720"/>
        </w:sectPr>
      </w:pPr>
    </w:p>
    <w:p w:rsidR="003B2FC0" w:rsidRDefault="00052A49">
      <w:pPr>
        <w:pStyle w:val="BodyText"/>
        <w:spacing w:before="93" w:line="480" w:lineRule="auto"/>
        <w:ind w:left="500" w:right="274"/>
        <w:jc w:val="both"/>
      </w:pPr>
      <w:r>
        <w:t>Government and other organizations in India as well as from outside India for development of the township at Auroville.</w:t>
      </w:r>
      <w:r>
        <w:t xml:space="preserve"> Upon the death of the Mother, the Government started receiving complaints about the mismanagement of the society and, accordingly, enacted the Auroville (Emergency) Provisions Act, 1980. The Supreme Court, by a majority of 4:1, ruled that neither the soci</w:t>
      </w:r>
      <w:r>
        <w:t xml:space="preserve">ety nor the township of Auroville constituted a religious denomination, for the teachings and utterances of Sri Aurobindo did not constitute a religion and, therefore, taking over of the Auroville by the Government did not infringe the society‟s </w:t>
      </w:r>
      <w:r>
        <w:rPr>
          <w:spacing w:val="-7"/>
        </w:rPr>
        <w:t xml:space="preserve">right </w:t>
      </w:r>
      <w:r>
        <w:t>unde</w:t>
      </w:r>
      <w:r>
        <w:t>r Articles 25 and 26 of the</w:t>
      </w:r>
      <w:r>
        <w:rPr>
          <w:spacing w:val="-15"/>
        </w:rPr>
        <w:t xml:space="preserve"> </w:t>
      </w:r>
      <w:r>
        <w:t>Constitution.</w:t>
      </w:r>
    </w:p>
    <w:p w:rsidR="003B2FC0" w:rsidRDefault="00052A49">
      <w:pPr>
        <w:pStyle w:val="ListParagraph"/>
        <w:numPr>
          <w:ilvl w:val="0"/>
          <w:numId w:val="60"/>
        </w:numPr>
        <w:tabs>
          <w:tab w:val="left" w:pos="1221"/>
        </w:tabs>
        <w:spacing w:before="162" w:line="480" w:lineRule="auto"/>
        <w:ind w:right="276" w:firstLine="0"/>
        <w:jc w:val="both"/>
        <w:rPr>
          <w:rFonts w:ascii="Bookman Old Style"/>
          <w:sz w:val="28"/>
        </w:rPr>
      </w:pPr>
      <w:r>
        <w:rPr>
          <w:rFonts w:ascii="Bookman Old Style"/>
          <w:sz w:val="28"/>
        </w:rPr>
        <w:t xml:space="preserve">The Court referred, </w:t>
      </w:r>
      <w:r>
        <w:rPr>
          <w:rFonts w:ascii="Bookman Old Style"/>
          <w:i/>
          <w:sz w:val="28"/>
        </w:rPr>
        <w:t xml:space="preserve">inter alia, </w:t>
      </w:r>
      <w:r>
        <w:rPr>
          <w:rFonts w:ascii="Bookman Old Style"/>
          <w:sz w:val="28"/>
        </w:rPr>
        <w:t>to the MoA of the society along with Rule 9 of the Rules and Regulations of Sri Aurobindo Society which dealt with membership and read</w:t>
      </w:r>
      <w:r>
        <w:rPr>
          <w:rFonts w:ascii="Bookman Old Style"/>
          <w:spacing w:val="-10"/>
          <w:sz w:val="28"/>
        </w:rPr>
        <w:t xml:space="preserve"> </w:t>
      </w:r>
      <w:r>
        <w:rPr>
          <w:rFonts w:ascii="Bookman Old Style"/>
          <w:sz w:val="28"/>
        </w:rPr>
        <w:t>thus:</w:t>
      </w:r>
    </w:p>
    <w:p w:rsidR="003B2FC0" w:rsidRDefault="00052A49">
      <w:pPr>
        <w:pStyle w:val="BodyText"/>
        <w:spacing w:before="161" w:line="256" w:lineRule="auto"/>
        <w:ind w:left="1352" w:right="1079"/>
        <w:jc w:val="both"/>
      </w:pPr>
      <w:r>
        <w:t>“9. Any person or institution for organis</w:t>
      </w:r>
      <w:r>
        <w:t>ation either in India or abroad who subscribes to the aims and objects of the Society, and whose application for membership is approved by the Executive  Committee, will be member of the Society. The membership is open to people everywhere without any dist</w:t>
      </w:r>
      <w:r>
        <w:t>inction of nationality, religion, caste, creed or sex.”</w:t>
      </w:r>
    </w:p>
    <w:p w:rsidR="003B2FC0" w:rsidRDefault="003B2FC0">
      <w:pPr>
        <w:pStyle w:val="BodyText"/>
        <w:rPr>
          <w:sz w:val="32"/>
        </w:rPr>
      </w:pPr>
    </w:p>
    <w:p w:rsidR="003B2FC0" w:rsidRDefault="00052A49">
      <w:pPr>
        <w:pStyle w:val="BodyText"/>
        <w:spacing w:before="285"/>
        <w:ind w:left="500"/>
        <w:jc w:val="both"/>
      </w:pPr>
      <w:r>
        <w:t>After so referring, the Court opined thus:</w:t>
      </w:r>
    </w:p>
    <w:p w:rsidR="003B2FC0" w:rsidRDefault="003B2FC0">
      <w:pPr>
        <w:jc w:val="both"/>
        <w:sectPr w:rsidR="003B2FC0">
          <w:headerReference w:type="default" r:id="rId116"/>
          <w:footerReference w:type="default" r:id="rId117"/>
          <w:pgSz w:w="11910" w:h="16840"/>
          <w:pgMar w:top="1340" w:right="1160" w:bottom="280" w:left="940" w:header="554" w:footer="0" w:gutter="0"/>
          <w:pgNumType w:start="58"/>
          <w:cols w:space="720"/>
        </w:sectPr>
      </w:pPr>
    </w:p>
    <w:p w:rsidR="003B2FC0" w:rsidRDefault="003B2FC0">
      <w:pPr>
        <w:pStyle w:val="BodyText"/>
        <w:spacing w:before="93"/>
        <w:ind w:left="1350" w:right="1125"/>
        <w:jc w:val="both"/>
      </w:pPr>
      <w:r>
        <w:pict>
          <v:rect id="_x0000_s1159" style="position:absolute;left:0;text-align:left;margin-left:114.5pt;margin-top:168.1pt;width:366.45pt;height:17.3pt;z-index:-251623936;mso-position-horizontal-relative:page" stroked="f">
            <w10:wrap anchorx="page"/>
          </v:rect>
        </w:pict>
      </w:r>
      <w:r w:rsidR="00052A49">
        <w:t xml:space="preserve">“The only condition for membership is that </w:t>
      </w:r>
      <w:r w:rsidR="00052A49">
        <w:rPr>
          <w:spacing w:val="-2"/>
        </w:rPr>
        <w:t xml:space="preserve">the </w:t>
      </w:r>
      <w:r w:rsidR="00052A49">
        <w:t xml:space="preserve">person seeking the membership of the Society must subscribe to the aims and objects of the Society. It was further urged that what is universal cannot be a religious denomination. </w:t>
      </w:r>
      <w:r w:rsidR="00052A49">
        <w:rPr>
          <w:spacing w:val="2"/>
        </w:rPr>
        <w:t xml:space="preserve">In </w:t>
      </w:r>
      <w:r w:rsidR="00052A49">
        <w:t>order to constitute a separate denomination, there must be something dist</w:t>
      </w:r>
      <w:r w:rsidR="00052A49">
        <w:t>inct from another. A denomination, argues the counsel, is one which is different from the other and if the Society was a religious denomination, then the person seeking admission to the institution would lose his previous religion. He cannot be a member of</w:t>
      </w:r>
      <w:r w:rsidR="00052A49">
        <w:t xml:space="preserve"> two religions at one and the same time. But this is not the position in becoming a member of the Society and Auroville. A religious denomination must necessarily be a new one and new methodology must be provided for a religion. Substantially, the view tak</w:t>
      </w:r>
      <w:r w:rsidR="00052A49">
        <w:t>en by Sri Aurobindo remains a part of the Hindu philosophy. There may be certain innovations in his philosophy but that would not make it a religion on that</w:t>
      </w:r>
      <w:r w:rsidR="00052A49">
        <w:rPr>
          <w:spacing w:val="-4"/>
        </w:rPr>
        <w:t xml:space="preserve"> </w:t>
      </w:r>
      <w:r w:rsidR="00052A49">
        <w:t>account.”</w:t>
      </w:r>
    </w:p>
    <w:p w:rsidR="003B2FC0" w:rsidRDefault="003B2FC0">
      <w:pPr>
        <w:pStyle w:val="BodyText"/>
        <w:rPr>
          <w:sz w:val="32"/>
        </w:rPr>
      </w:pPr>
    </w:p>
    <w:p w:rsidR="003B2FC0" w:rsidRDefault="00052A49">
      <w:pPr>
        <w:pStyle w:val="ListParagraph"/>
        <w:numPr>
          <w:ilvl w:val="0"/>
          <w:numId w:val="60"/>
        </w:numPr>
        <w:tabs>
          <w:tab w:val="left" w:pos="1221"/>
        </w:tabs>
        <w:spacing w:before="271" w:line="480" w:lineRule="auto"/>
        <w:ind w:right="278" w:firstLine="0"/>
        <w:jc w:val="both"/>
        <w:rPr>
          <w:rFonts w:ascii="Bookman Old Style" w:hAnsi="Bookman Old Style"/>
          <w:sz w:val="28"/>
        </w:rPr>
      </w:pPr>
      <w:r>
        <w:rPr>
          <w:rFonts w:ascii="Bookman Old Style" w:hAnsi="Bookman Old Style"/>
          <w:sz w:val="28"/>
        </w:rPr>
        <w:t xml:space="preserve">The Court in </w:t>
      </w:r>
      <w:r>
        <w:rPr>
          <w:rFonts w:ascii="Bookman Old Style" w:hAnsi="Bookman Old Style"/>
          <w:b/>
          <w:i/>
          <w:sz w:val="28"/>
        </w:rPr>
        <w:t xml:space="preserve">S.P Mittal </w:t>
      </w:r>
      <w:r>
        <w:rPr>
          <w:rFonts w:ascii="Bookman Old Style" w:hAnsi="Bookman Old Style"/>
          <w:sz w:val="28"/>
        </w:rPr>
        <w:t>(supra) reiterated and concurred with the definition of „religio</w:t>
      </w:r>
      <w:r>
        <w:rPr>
          <w:rFonts w:ascii="Bookman Old Style" w:hAnsi="Bookman Old Style"/>
          <w:sz w:val="28"/>
        </w:rPr>
        <w:t xml:space="preserve">us denomination‟ which was </w:t>
      </w:r>
      <w:r>
        <w:rPr>
          <w:rFonts w:ascii="Bookman Old Style" w:hAnsi="Bookman Old Style"/>
          <w:spacing w:val="-11"/>
          <w:sz w:val="28"/>
        </w:rPr>
        <w:t xml:space="preserve">also </w:t>
      </w:r>
      <w:r>
        <w:rPr>
          <w:rFonts w:ascii="Bookman Old Style" w:hAnsi="Bookman Old Style"/>
          <w:sz w:val="28"/>
        </w:rPr>
        <w:t xml:space="preserve">accepted in </w:t>
      </w:r>
      <w:r>
        <w:rPr>
          <w:rFonts w:ascii="Bookman Old Style" w:hAnsi="Bookman Old Style"/>
          <w:b/>
          <w:i/>
          <w:sz w:val="28"/>
        </w:rPr>
        <w:t xml:space="preserve">Shirur Mutt </w:t>
      </w:r>
      <w:r>
        <w:rPr>
          <w:rFonts w:ascii="Bookman Old Style" w:hAnsi="Bookman Old Style"/>
          <w:sz w:val="28"/>
        </w:rPr>
        <w:t>(supra) and observed as</w:t>
      </w:r>
      <w:r>
        <w:rPr>
          <w:rFonts w:ascii="Bookman Old Style" w:hAnsi="Bookman Old Style"/>
          <w:spacing w:val="-17"/>
          <w:sz w:val="28"/>
        </w:rPr>
        <w:t xml:space="preserve"> </w:t>
      </w:r>
      <w:r>
        <w:rPr>
          <w:rFonts w:ascii="Bookman Old Style" w:hAnsi="Bookman Old Style"/>
          <w:sz w:val="28"/>
        </w:rPr>
        <w:t>under:</w:t>
      </w:r>
    </w:p>
    <w:p w:rsidR="003B2FC0" w:rsidRDefault="00052A49">
      <w:pPr>
        <w:pStyle w:val="BodyText"/>
        <w:spacing w:before="166" w:line="254" w:lineRule="auto"/>
        <w:ind w:left="1407" w:right="1187"/>
        <w:jc w:val="both"/>
      </w:pPr>
      <w:r>
        <w:t>"The words 'religious denomination' in Article 26 of the Constitution must take their colour from the word 'religion' and if this be so, the expression 'religious denomi</w:t>
      </w:r>
      <w:r>
        <w:t>nation' must also satisfy three conditions:</w:t>
      </w:r>
    </w:p>
    <w:p w:rsidR="003B2FC0" w:rsidRDefault="003B2FC0">
      <w:pPr>
        <w:pStyle w:val="BodyText"/>
        <w:rPr>
          <w:sz w:val="25"/>
        </w:rPr>
      </w:pPr>
    </w:p>
    <w:p w:rsidR="003B2FC0" w:rsidRDefault="00052A49">
      <w:pPr>
        <w:pStyle w:val="ListParagraph"/>
        <w:numPr>
          <w:ilvl w:val="0"/>
          <w:numId w:val="57"/>
        </w:numPr>
        <w:tabs>
          <w:tab w:val="left" w:pos="2370"/>
        </w:tabs>
        <w:spacing w:line="254" w:lineRule="auto"/>
        <w:ind w:right="1640" w:firstLine="0"/>
        <w:jc w:val="both"/>
        <w:rPr>
          <w:rFonts w:ascii="Bookman Old Style"/>
          <w:sz w:val="28"/>
        </w:rPr>
      </w:pPr>
      <w:r>
        <w:rPr>
          <w:rFonts w:ascii="Bookman Old Style"/>
          <w:sz w:val="28"/>
        </w:rPr>
        <w:t>It must be a collection of individuals who have a system of beliefs or doctrines which they regard as conducive to their spiritual well-being, that is, a common</w:t>
      </w:r>
      <w:r>
        <w:rPr>
          <w:rFonts w:ascii="Bookman Old Style"/>
          <w:spacing w:val="-12"/>
          <w:sz w:val="28"/>
        </w:rPr>
        <w:t xml:space="preserve"> </w:t>
      </w:r>
      <w:r>
        <w:rPr>
          <w:rFonts w:ascii="Bookman Old Style"/>
          <w:sz w:val="28"/>
        </w:rPr>
        <w:t>faith;</w:t>
      </w:r>
    </w:p>
    <w:p w:rsidR="003B2FC0" w:rsidRDefault="003B2FC0">
      <w:pPr>
        <w:pStyle w:val="BodyText"/>
        <w:spacing w:before="8"/>
        <w:rPr>
          <w:sz w:val="24"/>
        </w:rPr>
      </w:pPr>
    </w:p>
    <w:p w:rsidR="003B2FC0" w:rsidRDefault="00052A49">
      <w:pPr>
        <w:pStyle w:val="ListParagraph"/>
        <w:numPr>
          <w:ilvl w:val="0"/>
          <w:numId w:val="57"/>
        </w:numPr>
        <w:tabs>
          <w:tab w:val="left" w:pos="2349"/>
        </w:tabs>
        <w:ind w:left="2348" w:hanging="432"/>
        <w:jc w:val="both"/>
        <w:rPr>
          <w:rFonts w:ascii="Bookman Old Style"/>
          <w:sz w:val="28"/>
        </w:rPr>
      </w:pPr>
      <w:r>
        <w:rPr>
          <w:rFonts w:ascii="Bookman Old Style"/>
          <w:sz w:val="28"/>
        </w:rPr>
        <w:t>common organisation,</w:t>
      </w:r>
      <w:r>
        <w:rPr>
          <w:rFonts w:ascii="Bookman Old Style"/>
          <w:spacing w:val="-6"/>
          <w:sz w:val="28"/>
        </w:rPr>
        <w:t xml:space="preserve"> </w:t>
      </w:r>
      <w:r>
        <w:rPr>
          <w:rFonts w:ascii="Bookman Old Style"/>
          <w:sz w:val="28"/>
        </w:rPr>
        <w:t>and</w:t>
      </w:r>
    </w:p>
    <w:p w:rsidR="003B2FC0" w:rsidRDefault="003B2FC0">
      <w:pPr>
        <w:pStyle w:val="BodyText"/>
        <w:rPr>
          <w:sz w:val="26"/>
        </w:rPr>
      </w:pPr>
    </w:p>
    <w:p w:rsidR="003B2FC0" w:rsidRDefault="00052A49">
      <w:pPr>
        <w:pStyle w:val="ListParagraph"/>
        <w:numPr>
          <w:ilvl w:val="0"/>
          <w:numId w:val="57"/>
        </w:numPr>
        <w:tabs>
          <w:tab w:val="left" w:pos="2349"/>
        </w:tabs>
        <w:ind w:left="2348" w:hanging="432"/>
        <w:jc w:val="both"/>
        <w:rPr>
          <w:rFonts w:ascii="Bookman Old Style"/>
          <w:sz w:val="28"/>
        </w:rPr>
      </w:pPr>
      <w:r>
        <w:rPr>
          <w:rFonts w:ascii="Bookman Old Style"/>
          <w:sz w:val="28"/>
        </w:rPr>
        <w:t>designation by a distinctive</w:t>
      </w:r>
      <w:r>
        <w:rPr>
          <w:rFonts w:ascii="Bookman Old Style"/>
          <w:spacing w:val="-8"/>
          <w:sz w:val="28"/>
        </w:rPr>
        <w:t xml:space="preserve"> </w:t>
      </w:r>
      <w:r>
        <w:rPr>
          <w:rFonts w:ascii="Bookman Old Style"/>
          <w:sz w:val="28"/>
        </w:rPr>
        <w:t>name."</w:t>
      </w:r>
    </w:p>
    <w:p w:rsidR="003B2FC0" w:rsidRDefault="003B2FC0">
      <w:pPr>
        <w:jc w:val="both"/>
        <w:rPr>
          <w:rFonts w:ascii="Bookman Old Style"/>
          <w:sz w:val="28"/>
        </w:rPr>
        <w:sectPr w:rsidR="003B2FC0">
          <w:headerReference w:type="default" r:id="rId118"/>
          <w:footerReference w:type="default" r:id="rId119"/>
          <w:pgSz w:w="11910" w:h="16840"/>
          <w:pgMar w:top="1340" w:right="1160" w:bottom="280" w:left="940" w:header="554" w:footer="0" w:gutter="0"/>
          <w:pgNumType w:start="59"/>
          <w:cols w:space="720"/>
        </w:sectPr>
      </w:pPr>
    </w:p>
    <w:p w:rsidR="003B2FC0" w:rsidRDefault="00052A49">
      <w:pPr>
        <w:pStyle w:val="ListParagraph"/>
        <w:numPr>
          <w:ilvl w:val="0"/>
          <w:numId w:val="60"/>
        </w:numPr>
        <w:tabs>
          <w:tab w:val="left" w:pos="1220"/>
          <w:tab w:val="left" w:pos="1221"/>
        </w:tabs>
        <w:spacing w:before="90"/>
        <w:ind w:left="1220"/>
        <w:rPr>
          <w:rFonts w:ascii="Bookman Old Style"/>
          <w:b/>
          <w:i/>
          <w:sz w:val="28"/>
        </w:rPr>
      </w:pPr>
      <w:r>
        <w:rPr>
          <w:rFonts w:ascii="Bookman Old Style"/>
          <w:sz w:val="28"/>
        </w:rPr>
        <w:t xml:space="preserve">In the case of </w:t>
      </w:r>
      <w:r>
        <w:rPr>
          <w:rFonts w:ascii="Bookman Old Style"/>
          <w:b/>
          <w:i/>
          <w:sz w:val="28"/>
        </w:rPr>
        <w:t>Nallor Marthandam Vellalar and others</w:t>
      </w:r>
      <w:r>
        <w:rPr>
          <w:rFonts w:ascii="Bookman Old Style"/>
          <w:b/>
          <w:i/>
          <w:spacing w:val="19"/>
          <w:sz w:val="28"/>
        </w:rPr>
        <w:t xml:space="preserve"> </w:t>
      </w:r>
      <w:r>
        <w:rPr>
          <w:rFonts w:ascii="Bookman Old Style"/>
          <w:b/>
          <w:i/>
          <w:sz w:val="28"/>
        </w:rPr>
        <w:t>v.</w:t>
      </w:r>
    </w:p>
    <w:p w:rsidR="003B2FC0" w:rsidRDefault="003B2FC0">
      <w:pPr>
        <w:pStyle w:val="BodyText"/>
        <w:rPr>
          <w:b/>
          <w:i/>
        </w:rPr>
      </w:pPr>
    </w:p>
    <w:p w:rsidR="003B2FC0" w:rsidRDefault="00052A49">
      <w:pPr>
        <w:pStyle w:val="BodyText"/>
        <w:spacing w:line="480" w:lineRule="auto"/>
        <w:ind w:left="500" w:right="272"/>
        <w:jc w:val="both"/>
      </w:pPr>
      <w:r>
        <w:rPr>
          <w:b/>
          <w:i/>
        </w:rPr>
        <w:t>Commissioner, Hindu Religious and Charitable Endowment and others</w:t>
      </w:r>
      <w:r>
        <w:rPr>
          <w:position w:val="7"/>
          <w:sz w:val="18"/>
        </w:rPr>
        <w:t>26</w:t>
      </w:r>
      <w:r>
        <w:t>, the question that arose before the Court was whethe</w:t>
      </w:r>
      <w:r>
        <w:t xml:space="preserve">r the temple at Nellor owned by the Vellala Community of Marthandam constituted a „religious denomination‟ within the meaning of Article 26 of the Constitution. It was argued in this case that the Vellala Community observed special religious practices and </w:t>
      </w:r>
      <w:r>
        <w:t>beliefs which are integral part of their religion and that the front mandappam of the sanctorium is open to access only to the members of their community and no one else and outsiders can offer worship from the outer compound. The Court held that the templ</w:t>
      </w:r>
      <w:r>
        <w:t>e at Nellor owned by the Vellala Community of Marthandam did not constitute a religious denomination as there was no evidence to prove that the members of the Vellala Community had common religious tenets peculiar to themselves other than those which are c</w:t>
      </w:r>
      <w:r>
        <w:t xml:space="preserve">ommon to the entire Hindu community and further, the Court, following the principle laid down in </w:t>
      </w:r>
      <w:r>
        <w:rPr>
          <w:b/>
          <w:i/>
        </w:rPr>
        <w:t xml:space="preserve">S.P. Mittal </w:t>
      </w:r>
      <w:r>
        <w:t>(supra), observed:</w:t>
      </w:r>
    </w:p>
    <w:p w:rsidR="003B2FC0" w:rsidRDefault="00052A49">
      <w:pPr>
        <w:pStyle w:val="BodyText"/>
        <w:spacing w:before="124"/>
        <w:ind w:left="1220" w:right="1400"/>
      </w:pPr>
      <w:r>
        <w:t>“It is settled position in law, having regard to the various decisions of this Court that the words</w:t>
      </w: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spacing w:before="6"/>
        <w:rPr>
          <w:sz w:val="29"/>
        </w:rPr>
      </w:pPr>
      <w:r w:rsidRPr="003B2FC0">
        <w:pict>
          <v:line id="_x0000_s1158" style="position:absolute;z-index:-251606528;mso-wrap-distance-left:0;mso-wrap-distance-right:0;mso-position-horizontal-relative:page" from="1in,19.6pt" to="216.05pt,19.6pt" strokeweight=".6pt">
            <w10:wrap type="topAndBottom" anchorx="page"/>
          </v:line>
        </w:pict>
      </w:r>
    </w:p>
    <w:p w:rsidR="003B2FC0" w:rsidRDefault="00052A49">
      <w:pPr>
        <w:spacing w:before="50"/>
        <w:ind w:left="500"/>
        <w:rPr>
          <w:rFonts w:ascii="Times New Roman"/>
          <w:sz w:val="20"/>
        </w:rPr>
      </w:pPr>
      <w:r>
        <w:rPr>
          <w:rFonts w:ascii="Times New Roman"/>
          <w:position w:val="9"/>
          <w:sz w:val="13"/>
        </w:rPr>
        <w:t>26</w:t>
      </w:r>
      <w:r>
        <w:rPr>
          <w:rFonts w:ascii="Times New Roman"/>
          <w:sz w:val="20"/>
        </w:rPr>
        <w:t>(2003) 10 SCC 712</w:t>
      </w:r>
    </w:p>
    <w:p w:rsidR="003B2FC0" w:rsidRDefault="003B2FC0">
      <w:pPr>
        <w:rPr>
          <w:rFonts w:ascii="Times New Roman"/>
          <w:sz w:val="20"/>
        </w:rPr>
        <w:sectPr w:rsidR="003B2FC0">
          <w:headerReference w:type="default" r:id="rId120"/>
          <w:footerReference w:type="default" r:id="rId121"/>
          <w:pgSz w:w="11910" w:h="16840"/>
          <w:pgMar w:top="1340" w:right="1160" w:bottom="280" w:left="940" w:header="554" w:footer="0" w:gutter="0"/>
          <w:pgNumType w:start="60"/>
          <w:cols w:space="720"/>
        </w:sectPr>
      </w:pPr>
    </w:p>
    <w:p w:rsidR="003B2FC0" w:rsidRDefault="003B2FC0">
      <w:pPr>
        <w:pStyle w:val="BodyText"/>
        <w:spacing w:before="93"/>
        <w:ind w:left="1220" w:right="1068"/>
        <w:jc w:val="both"/>
      </w:pPr>
      <w:r>
        <w:pict>
          <v:rect id="_x0000_s1157" style="position:absolute;left:0;text-align:left;margin-left:108pt;margin-top:168.1pt;width:375.7pt;height:17.3pt;z-index:-251622912;mso-position-horizontal-relative:page" stroked="f">
            <w10:wrap anchorx="page"/>
          </v:rect>
        </w:pict>
      </w:r>
      <w:r w:rsidR="00052A49">
        <w:t xml:space="preserve">"religious denomination" take their colour from the word `religion'. The expression "religious denomination" must satisfy three requirements – (1) it must be collection of individuals who have a system of belief or </w:t>
      </w:r>
      <w:r w:rsidR="00052A49">
        <w:t xml:space="preserve">doctrine which they regard as conducive to their spiritual well-being, i.e., a common faith; (2) a common organisation; and (3) designation of a distinctive name. </w:t>
      </w:r>
      <w:r w:rsidR="00052A49">
        <w:rPr>
          <w:spacing w:val="2"/>
        </w:rPr>
        <w:t xml:space="preserve">It </w:t>
      </w:r>
      <w:r w:rsidR="00052A49">
        <w:t>necessarily follows that the common faith of the community should be based on religion and</w:t>
      </w:r>
      <w:r w:rsidR="00052A49">
        <w:t xml:space="preserve"> in that they should have common religious tenets and the basic cord which connects them, should be religion and not merely considerations of caste or community </w:t>
      </w:r>
      <w:r w:rsidR="00052A49">
        <w:rPr>
          <w:spacing w:val="3"/>
        </w:rPr>
        <w:t xml:space="preserve">or </w:t>
      </w:r>
      <w:r w:rsidR="00052A49">
        <w:t>societal status.”</w:t>
      </w:r>
    </w:p>
    <w:p w:rsidR="003B2FC0" w:rsidRDefault="00052A49">
      <w:pPr>
        <w:pStyle w:val="ListParagraph"/>
        <w:numPr>
          <w:ilvl w:val="0"/>
          <w:numId w:val="60"/>
        </w:numPr>
        <w:tabs>
          <w:tab w:val="left" w:pos="1221"/>
        </w:tabs>
        <w:spacing w:before="283" w:line="480" w:lineRule="auto"/>
        <w:ind w:right="275" w:firstLine="0"/>
        <w:jc w:val="both"/>
        <w:rPr>
          <w:rFonts w:ascii="Bookman Old Style"/>
          <w:sz w:val="28"/>
        </w:rPr>
      </w:pPr>
      <w:r>
        <w:rPr>
          <w:rFonts w:ascii="Bookman Old Style"/>
          <w:sz w:val="28"/>
        </w:rPr>
        <w:t>As is decipherable form the above decisions of this Court, for any religio</w:t>
      </w:r>
      <w:r>
        <w:rPr>
          <w:rFonts w:ascii="Bookman Old Style"/>
          <w:sz w:val="28"/>
        </w:rPr>
        <w:t>us mutt, sect, body, sub-sect or any section thereof to be designated as a religious denomination, it must be a collection of individuals having a collective common faith, a common organization which adheres to the said common faith, and last but not the l</w:t>
      </w:r>
      <w:r>
        <w:rPr>
          <w:rFonts w:ascii="Bookman Old Style"/>
          <w:sz w:val="28"/>
        </w:rPr>
        <w:t>east, the said collection of individuals must be labeled, branded and identified by a distinct</w:t>
      </w:r>
      <w:r>
        <w:rPr>
          <w:rFonts w:ascii="Bookman Old Style"/>
          <w:spacing w:val="-11"/>
          <w:sz w:val="28"/>
        </w:rPr>
        <w:t xml:space="preserve"> </w:t>
      </w:r>
      <w:r>
        <w:rPr>
          <w:rFonts w:ascii="Bookman Old Style"/>
          <w:sz w:val="28"/>
        </w:rPr>
        <w:t>name.</w:t>
      </w:r>
    </w:p>
    <w:p w:rsidR="003B2FC0" w:rsidRDefault="00052A49">
      <w:pPr>
        <w:pStyle w:val="ListParagraph"/>
        <w:numPr>
          <w:ilvl w:val="0"/>
          <w:numId w:val="60"/>
        </w:numPr>
        <w:tabs>
          <w:tab w:val="left" w:pos="1221"/>
        </w:tabs>
        <w:spacing w:line="480" w:lineRule="auto"/>
        <w:ind w:right="278" w:firstLine="0"/>
        <w:jc w:val="both"/>
        <w:rPr>
          <w:rFonts w:ascii="Bookman Old Style"/>
          <w:sz w:val="28"/>
        </w:rPr>
      </w:pPr>
      <w:r>
        <w:rPr>
          <w:rFonts w:ascii="Bookman Old Style"/>
          <w:sz w:val="28"/>
        </w:rPr>
        <w:t>Though, the respondents have urged that the pilgrims coming to visit the Sabarimala temple being devotees of Lord Ayyappa are addressed as Ayyappans and, t</w:t>
      </w:r>
      <w:r>
        <w:rPr>
          <w:rFonts w:ascii="Bookman Old Style"/>
          <w:sz w:val="28"/>
        </w:rPr>
        <w:t xml:space="preserve">herefore, the third condition for a religious denomination stands satisfied, is unacceptable. There is no identified group called Ayyappans. Every Hindu devotee can go to the temple. We have also been apprised that there are other temples for Lord Ayyappa </w:t>
      </w:r>
      <w:r>
        <w:rPr>
          <w:rFonts w:ascii="Bookman Old Style"/>
          <w:sz w:val="28"/>
        </w:rPr>
        <w:t>and</w:t>
      </w:r>
      <w:r>
        <w:rPr>
          <w:rFonts w:ascii="Bookman Old Style"/>
          <w:spacing w:val="48"/>
          <w:sz w:val="28"/>
        </w:rPr>
        <w:t xml:space="preserve"> </w:t>
      </w:r>
      <w:r>
        <w:rPr>
          <w:rFonts w:ascii="Bookman Old Style"/>
          <w:sz w:val="28"/>
        </w:rPr>
        <w:t>there</w:t>
      </w:r>
    </w:p>
    <w:p w:rsidR="003B2FC0" w:rsidRDefault="003B2FC0">
      <w:pPr>
        <w:spacing w:line="480" w:lineRule="auto"/>
        <w:jc w:val="both"/>
        <w:rPr>
          <w:rFonts w:ascii="Bookman Old Style"/>
          <w:sz w:val="28"/>
        </w:rPr>
        <w:sectPr w:rsidR="003B2FC0">
          <w:headerReference w:type="default" r:id="rId122"/>
          <w:footerReference w:type="default" r:id="rId123"/>
          <w:pgSz w:w="11910" w:h="16840"/>
          <w:pgMar w:top="1340" w:right="1160" w:bottom="280" w:left="940" w:header="554" w:footer="0" w:gutter="0"/>
          <w:pgNumType w:start="61"/>
          <w:cols w:space="720"/>
        </w:sectPr>
      </w:pPr>
    </w:p>
    <w:p w:rsidR="003B2FC0" w:rsidRDefault="00052A49">
      <w:pPr>
        <w:pStyle w:val="BodyText"/>
        <w:spacing w:before="93" w:line="480" w:lineRule="auto"/>
        <w:ind w:left="500" w:right="277"/>
        <w:jc w:val="both"/>
      </w:pPr>
      <w:r>
        <w:t xml:space="preserve">is no such prohibition. Therefore, there is no identified sect. Accordingly, we hold, without any hesitation, that Sabarimala temple is a public religious endowment and there are no exclusive identified </w:t>
      </w:r>
      <w:r>
        <w:t>followers of the</w:t>
      </w:r>
      <w:r>
        <w:rPr>
          <w:spacing w:val="-5"/>
        </w:rPr>
        <w:t xml:space="preserve"> </w:t>
      </w:r>
      <w:r>
        <w:t>cult.</w:t>
      </w:r>
    </w:p>
    <w:p w:rsidR="003B2FC0" w:rsidRDefault="00052A49">
      <w:pPr>
        <w:pStyle w:val="ListParagraph"/>
        <w:numPr>
          <w:ilvl w:val="0"/>
          <w:numId w:val="60"/>
        </w:numPr>
        <w:tabs>
          <w:tab w:val="left" w:pos="1221"/>
        </w:tabs>
        <w:spacing w:before="1" w:line="480" w:lineRule="auto"/>
        <w:ind w:right="273" w:firstLine="0"/>
        <w:jc w:val="both"/>
        <w:rPr>
          <w:rFonts w:ascii="Bookman Old Style"/>
          <w:sz w:val="28"/>
        </w:rPr>
      </w:pPr>
      <w:r>
        <w:rPr>
          <w:rFonts w:ascii="Bookman Old Style"/>
          <w:sz w:val="28"/>
        </w:rPr>
        <w:t>Coming to the first and the most important condition for a religious denomination, i.e., the collection of individuals ought to have a system of beliefs or doctrines which they regard as conducive to their spiritual well-being, there is nothing on record t</w:t>
      </w:r>
      <w:r>
        <w:rPr>
          <w:rFonts w:ascii="Bookman Old Style"/>
          <w:sz w:val="28"/>
        </w:rPr>
        <w:t>o show that the devotees of Lord Ayyappa have any common religious tenets peculiar to themselves, which they regard as conducive to their spiritual well-being, other than those which are common to the Hindu religion. Therefore, the devotees of Lord Ayyappa</w:t>
      </w:r>
      <w:r>
        <w:rPr>
          <w:rFonts w:ascii="Bookman Old Style"/>
          <w:sz w:val="28"/>
        </w:rPr>
        <w:t xml:space="preserve"> are just Hindus and do not constitute a separate religious denomination. For a religious denomination, there must be new methodology provided for a religion. Mere observance of certain practices, even though from a long time, does not make it a distinct r</w:t>
      </w:r>
      <w:r>
        <w:rPr>
          <w:rFonts w:ascii="Bookman Old Style"/>
          <w:sz w:val="28"/>
        </w:rPr>
        <w:t>eligion on that</w:t>
      </w:r>
      <w:r>
        <w:rPr>
          <w:rFonts w:ascii="Bookman Old Style"/>
          <w:spacing w:val="-12"/>
          <w:sz w:val="28"/>
        </w:rPr>
        <w:t xml:space="preserve"> </w:t>
      </w:r>
      <w:r>
        <w:rPr>
          <w:rFonts w:ascii="Bookman Old Style"/>
          <w:sz w:val="28"/>
        </w:rPr>
        <w:t>account.</w:t>
      </w:r>
    </w:p>
    <w:p w:rsidR="003B2FC0" w:rsidRDefault="00052A49">
      <w:pPr>
        <w:spacing w:before="2"/>
        <w:ind w:left="500" w:right="286"/>
        <w:jc w:val="both"/>
        <w:rPr>
          <w:rFonts w:ascii="Bookman Old Style"/>
          <w:b/>
          <w:sz w:val="26"/>
        </w:rPr>
      </w:pPr>
      <w:r>
        <w:rPr>
          <w:rFonts w:ascii="Bookman Old Style"/>
          <w:b/>
          <w:sz w:val="26"/>
          <w:u w:val="single"/>
        </w:rPr>
        <w:t>Enforceability of Fundamental Rights under Article 25(1) against</w:t>
      </w:r>
      <w:r>
        <w:rPr>
          <w:rFonts w:ascii="Bookman Old Style"/>
          <w:b/>
          <w:sz w:val="26"/>
        </w:rPr>
        <w:t xml:space="preserve"> </w:t>
      </w:r>
      <w:r>
        <w:rPr>
          <w:rFonts w:ascii="Bookman Old Style"/>
          <w:b/>
          <w:sz w:val="26"/>
          <w:u w:val="single"/>
        </w:rPr>
        <w:t>the Travancore Devaswom Board</w:t>
      </w:r>
    </w:p>
    <w:p w:rsidR="003B2FC0" w:rsidRDefault="003B2FC0">
      <w:pPr>
        <w:pStyle w:val="BodyText"/>
        <w:spacing w:before="9"/>
        <w:rPr>
          <w:b/>
          <w:sz w:val="27"/>
        </w:rPr>
      </w:pPr>
    </w:p>
    <w:p w:rsidR="003B2FC0" w:rsidRDefault="00052A49">
      <w:pPr>
        <w:pStyle w:val="ListParagraph"/>
        <w:numPr>
          <w:ilvl w:val="0"/>
          <w:numId w:val="60"/>
        </w:numPr>
        <w:tabs>
          <w:tab w:val="left" w:pos="1221"/>
        </w:tabs>
        <w:spacing w:line="480" w:lineRule="auto"/>
        <w:ind w:right="280" w:firstLine="0"/>
        <w:jc w:val="both"/>
        <w:rPr>
          <w:rFonts w:ascii="Bookman Old Style"/>
          <w:sz w:val="28"/>
        </w:rPr>
      </w:pPr>
      <w:r>
        <w:rPr>
          <w:rFonts w:ascii="Bookman Old Style"/>
          <w:sz w:val="28"/>
        </w:rPr>
        <w:t>Having stated that the devotees of Lord Ayyappa do not constitute a religious denomination within the meaning of Article 26 and that Sabarimala Temple is a public temple by virtue of</w:t>
      </w:r>
      <w:r>
        <w:rPr>
          <w:rFonts w:ascii="Bookman Old Style"/>
          <w:spacing w:val="-19"/>
          <w:sz w:val="28"/>
        </w:rPr>
        <w:t xml:space="preserve"> </w:t>
      </w:r>
      <w:r>
        <w:rPr>
          <w:rFonts w:ascii="Bookman Old Style"/>
          <w:sz w:val="28"/>
        </w:rPr>
        <w:t>the</w:t>
      </w:r>
    </w:p>
    <w:p w:rsidR="003B2FC0" w:rsidRDefault="003B2FC0">
      <w:pPr>
        <w:spacing w:line="480" w:lineRule="auto"/>
        <w:jc w:val="both"/>
        <w:rPr>
          <w:rFonts w:ascii="Bookman Old Style"/>
          <w:sz w:val="28"/>
        </w:rPr>
        <w:sectPr w:rsidR="003B2FC0">
          <w:headerReference w:type="default" r:id="rId124"/>
          <w:footerReference w:type="default" r:id="rId125"/>
          <w:pgSz w:w="11910" w:h="16840"/>
          <w:pgMar w:top="1340" w:right="1160" w:bottom="280" w:left="940" w:header="554" w:footer="0" w:gutter="0"/>
          <w:pgNumType w:start="62"/>
          <w:cols w:space="720"/>
        </w:sectPr>
      </w:pPr>
    </w:p>
    <w:p w:rsidR="003B2FC0" w:rsidRDefault="00052A49">
      <w:pPr>
        <w:pStyle w:val="BodyText"/>
        <w:spacing w:before="93" w:line="480" w:lineRule="auto"/>
        <w:ind w:left="500" w:right="280"/>
        <w:jc w:val="both"/>
      </w:pPr>
      <w:r>
        <w:t>fact that Section 15 of th</w:t>
      </w:r>
      <w:r>
        <w:t>e 1950 Act vests all powers of direction, control and supervision over it in the Travancore Devaswom Board</w:t>
      </w:r>
      <w:r>
        <w:rPr>
          <w:spacing w:val="57"/>
        </w:rPr>
        <w:t xml:space="preserve"> </w:t>
      </w:r>
      <w:r>
        <w:t>which,</w:t>
      </w:r>
      <w:r>
        <w:rPr>
          <w:spacing w:val="56"/>
        </w:rPr>
        <w:t xml:space="preserve"> </w:t>
      </w:r>
      <w:r>
        <w:t>in</w:t>
      </w:r>
      <w:r>
        <w:rPr>
          <w:spacing w:val="57"/>
        </w:rPr>
        <w:t xml:space="preserve"> </w:t>
      </w:r>
      <w:r>
        <w:t>our foregoing</w:t>
      </w:r>
      <w:r>
        <w:rPr>
          <w:spacing w:val="56"/>
        </w:rPr>
        <w:t xml:space="preserve"> </w:t>
      </w:r>
      <w:r>
        <w:t>analysis,</w:t>
      </w:r>
      <w:r>
        <w:rPr>
          <w:spacing w:val="56"/>
        </w:rPr>
        <w:t xml:space="preserve"> </w:t>
      </w:r>
      <w:r>
        <w:t>has</w:t>
      </w:r>
      <w:r>
        <w:rPr>
          <w:spacing w:val="58"/>
        </w:rPr>
        <w:t xml:space="preserve"> </w:t>
      </w:r>
      <w:r>
        <w:t>been</w:t>
      </w:r>
      <w:r>
        <w:rPr>
          <w:spacing w:val="56"/>
        </w:rPr>
        <w:t xml:space="preserve"> </w:t>
      </w:r>
      <w:r>
        <w:t>unveiled</w:t>
      </w:r>
      <w:r>
        <w:rPr>
          <w:spacing w:val="59"/>
        </w:rPr>
        <w:t xml:space="preserve"> </w:t>
      </w:r>
      <w:r>
        <w:t>as</w:t>
      </w:r>
    </w:p>
    <w:p w:rsidR="003B2FC0" w:rsidRDefault="00052A49">
      <w:pPr>
        <w:pStyle w:val="BodyText"/>
        <w:spacing w:line="480" w:lineRule="auto"/>
        <w:ind w:left="500" w:right="279"/>
        <w:jc w:val="both"/>
      </w:pPr>
      <w:r>
        <w:t>„other authority‟ within the meaning of Article 12, resultantly fundamental rights including t</w:t>
      </w:r>
      <w:r>
        <w:t>hose guaranteed under Article 25(1) are enforceable against the Travancore Devaswom Board and other incorporated Devaswoms including the Sabarimala Temple. We have also discussed the secular character of the Indian Constitution as well as the broad meaning</w:t>
      </w:r>
      <w:r>
        <w:t xml:space="preserve"> assigned to the term religion occurring in various Articles of the Constitution including Article 25(1).</w:t>
      </w:r>
    </w:p>
    <w:p w:rsidR="003B2FC0" w:rsidRDefault="00052A49">
      <w:pPr>
        <w:pStyle w:val="ListParagraph"/>
        <w:numPr>
          <w:ilvl w:val="0"/>
          <w:numId w:val="60"/>
        </w:numPr>
        <w:tabs>
          <w:tab w:val="left" w:pos="1221"/>
        </w:tabs>
        <w:spacing w:before="1" w:line="480" w:lineRule="auto"/>
        <w:ind w:right="273" w:firstLine="0"/>
        <w:jc w:val="both"/>
        <w:rPr>
          <w:rFonts w:ascii="Bookman Old Style" w:hAnsi="Bookman Old Style"/>
          <w:sz w:val="28"/>
        </w:rPr>
      </w:pPr>
      <w:r>
        <w:rPr>
          <w:rFonts w:ascii="Bookman Old Style" w:hAnsi="Bookman Old Style"/>
          <w:sz w:val="28"/>
        </w:rPr>
        <w:t xml:space="preserve">Now adverting to the rights guaranteed under Article 25(1) of the Constitution, be it clarified that Article 25(1), by employing the expression „all persons‟, demonstrates that the freedom </w:t>
      </w:r>
      <w:r>
        <w:rPr>
          <w:rFonts w:ascii="Bookman Old Style" w:hAnsi="Bookman Old Style"/>
          <w:spacing w:val="-11"/>
          <w:sz w:val="28"/>
        </w:rPr>
        <w:t xml:space="preserve">of </w:t>
      </w:r>
      <w:r>
        <w:rPr>
          <w:rFonts w:ascii="Bookman Old Style" w:hAnsi="Bookman Old Style"/>
          <w:sz w:val="28"/>
        </w:rPr>
        <w:t>conscience and the right to freely profess, practise and propaga</w:t>
      </w:r>
      <w:r>
        <w:rPr>
          <w:rFonts w:ascii="Bookman Old Style" w:hAnsi="Bookman Old Style"/>
          <w:sz w:val="28"/>
        </w:rPr>
        <w:t>te religion is available, though subject to the restrictions delineated in Article 25(1) itself, to every person including</w:t>
      </w:r>
      <w:r>
        <w:rPr>
          <w:rFonts w:ascii="Bookman Old Style" w:hAnsi="Bookman Old Style"/>
          <w:spacing w:val="-16"/>
          <w:sz w:val="28"/>
        </w:rPr>
        <w:t xml:space="preserve"> </w:t>
      </w:r>
      <w:r>
        <w:rPr>
          <w:rFonts w:ascii="Bookman Old Style" w:hAnsi="Bookman Old Style"/>
          <w:sz w:val="28"/>
        </w:rPr>
        <w:t>women.</w:t>
      </w:r>
    </w:p>
    <w:p w:rsidR="003B2FC0" w:rsidRDefault="00052A49">
      <w:pPr>
        <w:pStyle w:val="ListParagraph"/>
        <w:numPr>
          <w:ilvl w:val="0"/>
          <w:numId w:val="60"/>
        </w:numPr>
        <w:tabs>
          <w:tab w:val="left" w:pos="1221"/>
        </w:tabs>
        <w:spacing w:line="328" w:lineRule="exact"/>
        <w:ind w:left="1220"/>
        <w:jc w:val="both"/>
        <w:rPr>
          <w:rFonts w:ascii="Bookman Old Style"/>
          <w:sz w:val="28"/>
        </w:rPr>
      </w:pPr>
      <w:r>
        <w:rPr>
          <w:rFonts w:ascii="Bookman Old Style"/>
          <w:sz w:val="28"/>
        </w:rPr>
        <w:t>It</w:t>
      </w:r>
      <w:r>
        <w:rPr>
          <w:rFonts w:ascii="Bookman Old Style"/>
          <w:spacing w:val="53"/>
          <w:sz w:val="28"/>
        </w:rPr>
        <w:t xml:space="preserve"> </w:t>
      </w:r>
      <w:r>
        <w:rPr>
          <w:rFonts w:ascii="Bookman Old Style"/>
          <w:sz w:val="28"/>
        </w:rPr>
        <w:t>needs</w:t>
      </w:r>
      <w:r>
        <w:rPr>
          <w:rFonts w:ascii="Bookman Old Style"/>
          <w:spacing w:val="55"/>
          <w:sz w:val="28"/>
        </w:rPr>
        <w:t xml:space="preserve"> </w:t>
      </w:r>
      <w:r>
        <w:rPr>
          <w:rFonts w:ascii="Bookman Old Style"/>
          <w:sz w:val="28"/>
        </w:rPr>
        <w:t>to</w:t>
      </w:r>
      <w:r>
        <w:rPr>
          <w:rFonts w:ascii="Bookman Old Style"/>
          <w:spacing w:val="56"/>
          <w:sz w:val="28"/>
        </w:rPr>
        <w:t xml:space="preserve"> </w:t>
      </w:r>
      <w:r>
        <w:rPr>
          <w:rFonts w:ascii="Bookman Old Style"/>
          <w:sz w:val="28"/>
        </w:rPr>
        <w:t>be</w:t>
      </w:r>
      <w:r>
        <w:rPr>
          <w:rFonts w:ascii="Bookman Old Style"/>
          <w:spacing w:val="55"/>
          <w:sz w:val="28"/>
        </w:rPr>
        <w:t xml:space="preserve"> </w:t>
      </w:r>
      <w:r>
        <w:rPr>
          <w:rFonts w:ascii="Bookman Old Style"/>
          <w:sz w:val="28"/>
        </w:rPr>
        <w:t>understood</w:t>
      </w:r>
      <w:r>
        <w:rPr>
          <w:rFonts w:ascii="Bookman Old Style"/>
          <w:spacing w:val="56"/>
          <w:sz w:val="28"/>
        </w:rPr>
        <w:t xml:space="preserve"> </w:t>
      </w:r>
      <w:r>
        <w:rPr>
          <w:rFonts w:ascii="Bookman Old Style"/>
          <w:sz w:val="28"/>
        </w:rPr>
        <w:t>that</w:t>
      </w:r>
      <w:r>
        <w:rPr>
          <w:rFonts w:ascii="Bookman Old Style"/>
          <w:spacing w:val="53"/>
          <w:sz w:val="28"/>
        </w:rPr>
        <w:t xml:space="preserve"> </w:t>
      </w:r>
      <w:r>
        <w:rPr>
          <w:rFonts w:ascii="Bookman Old Style"/>
          <w:sz w:val="28"/>
        </w:rPr>
        <w:t>the</w:t>
      </w:r>
      <w:r>
        <w:rPr>
          <w:rFonts w:ascii="Bookman Old Style"/>
          <w:spacing w:val="54"/>
          <w:sz w:val="28"/>
        </w:rPr>
        <w:t xml:space="preserve"> </w:t>
      </w:r>
      <w:r>
        <w:rPr>
          <w:rFonts w:ascii="Bookman Old Style"/>
          <w:sz w:val="28"/>
        </w:rPr>
        <w:t>kernel</w:t>
      </w:r>
      <w:r>
        <w:rPr>
          <w:rFonts w:ascii="Bookman Old Style"/>
          <w:spacing w:val="53"/>
          <w:sz w:val="28"/>
        </w:rPr>
        <w:t xml:space="preserve"> </w:t>
      </w:r>
      <w:r>
        <w:rPr>
          <w:rFonts w:ascii="Bookman Old Style"/>
          <w:sz w:val="28"/>
        </w:rPr>
        <w:t>of</w:t>
      </w:r>
      <w:r>
        <w:rPr>
          <w:rFonts w:ascii="Bookman Old Style"/>
          <w:spacing w:val="53"/>
          <w:sz w:val="28"/>
        </w:rPr>
        <w:t xml:space="preserve"> </w:t>
      </w:r>
      <w:r>
        <w:rPr>
          <w:rFonts w:ascii="Bookman Old Style"/>
          <w:sz w:val="28"/>
        </w:rPr>
        <w:t>Article</w:t>
      </w:r>
      <w:r>
        <w:rPr>
          <w:rFonts w:ascii="Bookman Old Style"/>
          <w:spacing w:val="58"/>
          <w:sz w:val="28"/>
        </w:rPr>
        <w:t xml:space="preserve"> </w:t>
      </w:r>
      <w:r>
        <w:rPr>
          <w:rFonts w:ascii="Bookman Old Style"/>
          <w:sz w:val="28"/>
        </w:rPr>
        <w:t>26</w:t>
      </w:r>
      <w:r>
        <w:rPr>
          <w:rFonts w:ascii="Bookman Old Style"/>
          <w:spacing w:val="55"/>
          <w:sz w:val="28"/>
        </w:rPr>
        <w:t xml:space="preserve"> </w:t>
      </w:r>
      <w:r>
        <w:rPr>
          <w:rFonts w:ascii="Bookman Old Style"/>
          <w:sz w:val="28"/>
        </w:rPr>
        <w:t>is</w:t>
      </w:r>
    </w:p>
    <w:p w:rsidR="003B2FC0" w:rsidRDefault="003B2FC0">
      <w:pPr>
        <w:pStyle w:val="BodyText"/>
      </w:pPr>
    </w:p>
    <w:p w:rsidR="003B2FC0" w:rsidRDefault="00052A49">
      <w:pPr>
        <w:pStyle w:val="BodyText"/>
        <w:spacing w:line="480" w:lineRule="auto"/>
        <w:ind w:left="500" w:right="275"/>
        <w:jc w:val="both"/>
      </w:pPr>
      <w:r>
        <w:t>„establishment of a religious institution‟ so as to acclaim the status of religious denomination. Whereas, Article 25(1) guarantees the right to practise religion to every individual and</w:t>
      </w:r>
    </w:p>
    <w:p w:rsidR="003B2FC0" w:rsidRDefault="003B2FC0">
      <w:pPr>
        <w:spacing w:line="480" w:lineRule="auto"/>
        <w:jc w:val="both"/>
        <w:sectPr w:rsidR="003B2FC0">
          <w:headerReference w:type="default" r:id="rId126"/>
          <w:footerReference w:type="default" r:id="rId127"/>
          <w:pgSz w:w="11910" w:h="16840"/>
          <w:pgMar w:top="1340" w:right="1160" w:bottom="280" w:left="940" w:header="554" w:footer="0" w:gutter="0"/>
          <w:pgNumType w:start="63"/>
          <w:cols w:space="720"/>
        </w:sectPr>
      </w:pPr>
    </w:p>
    <w:p w:rsidR="003B2FC0" w:rsidRDefault="00052A49">
      <w:pPr>
        <w:pStyle w:val="BodyText"/>
        <w:spacing w:before="93" w:line="480" w:lineRule="auto"/>
        <w:ind w:left="500" w:right="275"/>
        <w:jc w:val="both"/>
      </w:pPr>
      <w:r>
        <w:t xml:space="preserve">the act of practice is concerned, primarily, with religious worship, rituals and observations as held in </w:t>
      </w:r>
      <w:r>
        <w:rPr>
          <w:b/>
          <w:i/>
        </w:rPr>
        <w:t>Rev</w:t>
      </w:r>
      <w:r>
        <w:t xml:space="preserve">. </w:t>
      </w:r>
      <w:r>
        <w:rPr>
          <w:b/>
          <w:i/>
        </w:rPr>
        <w:t>Stainislaus v. State of Madhya Pradesh and others</w:t>
      </w:r>
      <w:r>
        <w:rPr>
          <w:position w:val="7"/>
          <w:sz w:val="18"/>
        </w:rPr>
        <w:t>27</w:t>
      </w:r>
      <w:r>
        <w:rPr>
          <w:i/>
        </w:rPr>
        <w:t xml:space="preserve">. </w:t>
      </w:r>
      <w:r>
        <w:t xml:space="preserve">Further, it has been held in </w:t>
      </w:r>
      <w:r>
        <w:rPr>
          <w:b/>
          <w:i/>
        </w:rPr>
        <w:t xml:space="preserve">Shirur Mutt </w:t>
      </w:r>
      <w:r>
        <w:t>(supra) that the logic underlying the constitutional</w:t>
      </w:r>
      <w:r>
        <w:t xml:space="preserve"> guarantee regarding „practice‟ of religion is that religious practices are as such a part of religion as religious faith or doctrines.</w:t>
      </w:r>
    </w:p>
    <w:p w:rsidR="003B2FC0" w:rsidRDefault="00052A49">
      <w:pPr>
        <w:pStyle w:val="ListParagraph"/>
        <w:numPr>
          <w:ilvl w:val="0"/>
          <w:numId w:val="60"/>
        </w:numPr>
        <w:tabs>
          <w:tab w:val="left" w:pos="1221"/>
        </w:tabs>
        <w:spacing w:line="480" w:lineRule="auto"/>
        <w:ind w:right="279" w:firstLine="0"/>
        <w:jc w:val="both"/>
        <w:rPr>
          <w:rFonts w:ascii="Bookman Old Style"/>
          <w:sz w:val="28"/>
        </w:rPr>
      </w:pPr>
      <w:r>
        <w:rPr>
          <w:rFonts w:ascii="Bookman Old Style"/>
          <w:sz w:val="28"/>
        </w:rPr>
        <w:t>The right guaranteed under Article 25(1) has nothing to do with gender or, for that matter, certain physiological factor</w:t>
      </w:r>
      <w:r>
        <w:rPr>
          <w:rFonts w:ascii="Bookman Old Style"/>
          <w:sz w:val="28"/>
        </w:rPr>
        <w:t>s, specifically attributable to women. Women of any age group have as much a right as men to visit and enter a temple in order to freely practise a religion as guaranteed under Article 25(1). When we say so, we are absolutely alive to the fact that whether</w:t>
      </w:r>
      <w:r>
        <w:rPr>
          <w:rFonts w:ascii="Bookman Old Style"/>
          <w:sz w:val="28"/>
        </w:rPr>
        <w:t xml:space="preserve"> any such proposed exclusion of women from entry into religious places forms an essential part of a religion would be examined at a subsequent</w:t>
      </w:r>
      <w:r>
        <w:rPr>
          <w:rFonts w:ascii="Bookman Old Style"/>
          <w:spacing w:val="-3"/>
          <w:sz w:val="28"/>
        </w:rPr>
        <w:t xml:space="preserve"> </w:t>
      </w:r>
      <w:r>
        <w:rPr>
          <w:rFonts w:ascii="Bookman Old Style"/>
          <w:sz w:val="28"/>
        </w:rPr>
        <w:t>stage.</w:t>
      </w:r>
    </w:p>
    <w:p w:rsidR="003B2FC0" w:rsidRDefault="003B2FC0">
      <w:pPr>
        <w:pStyle w:val="ListParagraph"/>
        <w:numPr>
          <w:ilvl w:val="0"/>
          <w:numId w:val="60"/>
        </w:numPr>
        <w:tabs>
          <w:tab w:val="left" w:pos="1221"/>
        </w:tabs>
        <w:spacing w:line="480" w:lineRule="auto"/>
        <w:ind w:right="274" w:firstLine="0"/>
        <w:jc w:val="both"/>
        <w:rPr>
          <w:rFonts w:ascii="Bookman Old Style"/>
          <w:sz w:val="28"/>
        </w:rPr>
      </w:pPr>
      <w:r w:rsidRPr="003B2FC0">
        <w:pict>
          <v:line id="_x0000_s1156" style="position:absolute;left:0;text-align:left;z-index:-251621888;mso-position-horizontal-relative:page" from="1in,159.45pt" to="216.05pt,159.45pt" strokeweight=".6pt">
            <w10:wrap anchorx="page"/>
          </v:line>
        </w:pict>
      </w:r>
      <w:r w:rsidR="00052A49">
        <w:rPr>
          <w:rFonts w:ascii="Bookman Old Style"/>
          <w:sz w:val="28"/>
        </w:rPr>
        <w:t xml:space="preserve">We have no hesitation to say that such an exclusionary practice violates the right of women to visit and </w:t>
      </w:r>
      <w:r w:rsidR="00052A49">
        <w:rPr>
          <w:rFonts w:ascii="Bookman Old Style"/>
          <w:sz w:val="28"/>
        </w:rPr>
        <w:t>enter a temple to freely practise Hindu religion and to exhibit her devotion towards Lord Ayyappa. The denial of this right to women significantly denudes</w:t>
      </w:r>
      <w:r w:rsidR="00052A49">
        <w:rPr>
          <w:rFonts w:ascii="Bookman Old Style"/>
          <w:spacing w:val="19"/>
          <w:sz w:val="28"/>
        </w:rPr>
        <w:t xml:space="preserve"> </w:t>
      </w:r>
      <w:r w:rsidR="00052A49">
        <w:rPr>
          <w:rFonts w:ascii="Bookman Old Style"/>
          <w:sz w:val="28"/>
        </w:rPr>
        <w:t>them</w:t>
      </w:r>
      <w:r w:rsidR="00052A49">
        <w:rPr>
          <w:rFonts w:ascii="Bookman Old Style"/>
          <w:spacing w:val="16"/>
          <w:sz w:val="28"/>
        </w:rPr>
        <w:t xml:space="preserve"> </w:t>
      </w:r>
      <w:r w:rsidR="00052A49">
        <w:rPr>
          <w:rFonts w:ascii="Bookman Old Style"/>
          <w:sz w:val="28"/>
        </w:rPr>
        <w:t>of</w:t>
      </w:r>
      <w:r w:rsidR="00052A49">
        <w:rPr>
          <w:rFonts w:ascii="Bookman Old Style"/>
          <w:spacing w:val="16"/>
          <w:sz w:val="28"/>
        </w:rPr>
        <w:t xml:space="preserve"> </w:t>
      </w:r>
      <w:r w:rsidR="00052A49">
        <w:rPr>
          <w:rFonts w:ascii="Bookman Old Style"/>
          <w:sz w:val="28"/>
        </w:rPr>
        <w:t>their</w:t>
      </w:r>
      <w:r w:rsidR="00052A49">
        <w:rPr>
          <w:rFonts w:ascii="Bookman Old Style"/>
          <w:spacing w:val="17"/>
          <w:sz w:val="28"/>
        </w:rPr>
        <w:t xml:space="preserve"> </w:t>
      </w:r>
      <w:r w:rsidR="00052A49">
        <w:rPr>
          <w:rFonts w:ascii="Bookman Old Style"/>
          <w:sz w:val="28"/>
        </w:rPr>
        <w:t>right</w:t>
      </w:r>
      <w:r w:rsidR="00052A49">
        <w:rPr>
          <w:rFonts w:ascii="Bookman Old Style"/>
          <w:spacing w:val="18"/>
          <w:sz w:val="28"/>
        </w:rPr>
        <w:t xml:space="preserve"> </w:t>
      </w:r>
      <w:r w:rsidR="00052A49">
        <w:rPr>
          <w:rFonts w:ascii="Bookman Old Style"/>
          <w:sz w:val="28"/>
        </w:rPr>
        <w:t>to</w:t>
      </w:r>
      <w:r w:rsidR="00052A49">
        <w:rPr>
          <w:rFonts w:ascii="Bookman Old Style"/>
          <w:spacing w:val="17"/>
          <w:sz w:val="28"/>
        </w:rPr>
        <w:t xml:space="preserve"> </w:t>
      </w:r>
      <w:r w:rsidR="00052A49">
        <w:rPr>
          <w:rFonts w:ascii="Bookman Old Style"/>
          <w:sz w:val="28"/>
        </w:rPr>
        <w:t>worship.</w:t>
      </w:r>
      <w:r w:rsidR="00052A49">
        <w:rPr>
          <w:rFonts w:ascii="Bookman Old Style"/>
          <w:spacing w:val="19"/>
          <w:sz w:val="28"/>
        </w:rPr>
        <w:t xml:space="preserve"> </w:t>
      </w:r>
      <w:r w:rsidR="00052A49">
        <w:rPr>
          <w:rFonts w:ascii="Bookman Old Style"/>
          <w:sz w:val="28"/>
        </w:rPr>
        <w:t>We</w:t>
      </w:r>
      <w:r w:rsidR="00052A49">
        <w:rPr>
          <w:rFonts w:ascii="Bookman Old Style"/>
          <w:spacing w:val="19"/>
          <w:sz w:val="28"/>
        </w:rPr>
        <w:t xml:space="preserve"> </w:t>
      </w:r>
      <w:r w:rsidR="00052A49">
        <w:rPr>
          <w:rFonts w:ascii="Bookman Old Style"/>
          <w:sz w:val="28"/>
        </w:rPr>
        <w:t>concur</w:t>
      </w:r>
      <w:r w:rsidR="00052A49">
        <w:rPr>
          <w:rFonts w:ascii="Bookman Old Style"/>
          <w:spacing w:val="16"/>
          <w:sz w:val="28"/>
        </w:rPr>
        <w:t xml:space="preserve"> </w:t>
      </w:r>
      <w:r w:rsidR="00052A49">
        <w:rPr>
          <w:rFonts w:ascii="Bookman Old Style"/>
          <w:sz w:val="28"/>
        </w:rPr>
        <w:t>with</w:t>
      </w:r>
      <w:r w:rsidR="00052A49">
        <w:rPr>
          <w:rFonts w:ascii="Bookman Old Style"/>
          <w:spacing w:val="17"/>
          <w:sz w:val="28"/>
        </w:rPr>
        <w:t xml:space="preserve"> </w:t>
      </w:r>
      <w:r w:rsidR="00052A49">
        <w:rPr>
          <w:rFonts w:ascii="Bookman Old Style"/>
          <w:sz w:val="28"/>
        </w:rPr>
        <w:t>the</w:t>
      </w:r>
      <w:r w:rsidR="00052A49">
        <w:rPr>
          <w:rFonts w:ascii="Bookman Old Style"/>
          <w:spacing w:val="18"/>
          <w:sz w:val="28"/>
        </w:rPr>
        <w:t xml:space="preserve"> </w:t>
      </w:r>
      <w:r w:rsidR="00052A49">
        <w:rPr>
          <w:rFonts w:ascii="Bookman Old Style"/>
          <w:sz w:val="28"/>
        </w:rPr>
        <w:t>view</w:t>
      </w:r>
    </w:p>
    <w:p w:rsidR="003B2FC0" w:rsidRDefault="00052A49">
      <w:pPr>
        <w:spacing w:line="242" w:lineRule="exact"/>
        <w:ind w:left="500"/>
        <w:rPr>
          <w:rFonts w:ascii="Times New Roman"/>
          <w:sz w:val="20"/>
        </w:rPr>
      </w:pPr>
      <w:r>
        <w:rPr>
          <w:rFonts w:ascii="Times New Roman"/>
          <w:position w:val="9"/>
          <w:sz w:val="13"/>
        </w:rPr>
        <w:t xml:space="preserve">27 </w:t>
      </w:r>
      <w:r>
        <w:rPr>
          <w:rFonts w:ascii="Times New Roman"/>
          <w:sz w:val="20"/>
        </w:rPr>
        <w:t>(1977) 1 SCC 677</w:t>
      </w:r>
    </w:p>
    <w:p w:rsidR="003B2FC0" w:rsidRDefault="003B2FC0">
      <w:pPr>
        <w:spacing w:line="242" w:lineRule="exact"/>
        <w:rPr>
          <w:rFonts w:ascii="Times New Roman"/>
          <w:sz w:val="20"/>
        </w:rPr>
        <w:sectPr w:rsidR="003B2FC0">
          <w:headerReference w:type="default" r:id="rId128"/>
          <w:footerReference w:type="default" r:id="rId129"/>
          <w:pgSz w:w="11910" w:h="16840"/>
          <w:pgMar w:top="1340" w:right="1160" w:bottom="280" w:left="940" w:header="554" w:footer="0" w:gutter="0"/>
          <w:pgNumType w:start="64"/>
          <w:cols w:space="720"/>
        </w:sectPr>
      </w:pPr>
    </w:p>
    <w:p w:rsidR="003B2FC0" w:rsidRDefault="00052A49">
      <w:pPr>
        <w:pStyle w:val="BodyText"/>
        <w:spacing w:before="93" w:line="480" w:lineRule="auto"/>
        <w:ind w:left="500" w:right="272"/>
        <w:jc w:val="both"/>
      </w:pPr>
      <w:r>
        <w:t>of the Amicus Curiae, learned senior counsel, Mr. Raju Ramachandran, that the right guaranteed under Article 25(1) is not only about inter-faith parity but it is also about intra-faith parity. Therefore, the right to practise reli</w:t>
      </w:r>
      <w:r>
        <w:t>gion under Article 25(1), in its broad contour, encompasses a non-discriminatory right which is equally available to both men and women of all age groups professing the same religion.</w:t>
      </w:r>
    </w:p>
    <w:p w:rsidR="003B2FC0" w:rsidRDefault="00052A49">
      <w:pPr>
        <w:pStyle w:val="ListParagraph"/>
        <w:numPr>
          <w:ilvl w:val="0"/>
          <w:numId w:val="60"/>
        </w:numPr>
        <w:tabs>
          <w:tab w:val="left" w:pos="1221"/>
        </w:tabs>
        <w:spacing w:before="201" w:line="480" w:lineRule="auto"/>
        <w:ind w:right="273" w:firstLine="0"/>
        <w:jc w:val="both"/>
        <w:rPr>
          <w:rFonts w:ascii="Bookman Old Style"/>
          <w:sz w:val="28"/>
        </w:rPr>
      </w:pPr>
      <w:r>
        <w:rPr>
          <w:rFonts w:ascii="Bookman Old Style"/>
          <w:sz w:val="28"/>
        </w:rPr>
        <w:t>Though not in reference to men or women, yet in the context of any Hindu</w:t>
      </w:r>
      <w:r>
        <w:rPr>
          <w:rFonts w:ascii="Bookman Old Style"/>
          <w:sz w:val="28"/>
        </w:rPr>
        <w:t xml:space="preserve"> worshipper seeking entry in a temple which is a public place of worship for Hindus, the observations of the Supreme Court in </w:t>
      </w:r>
      <w:r>
        <w:rPr>
          <w:rFonts w:ascii="Bookman Old Style"/>
          <w:b/>
          <w:i/>
          <w:sz w:val="28"/>
        </w:rPr>
        <w:t>Nar Hari Shastri and others v. Shri Badrinath Temple Committee</w:t>
      </w:r>
      <w:r>
        <w:rPr>
          <w:rFonts w:ascii="Bookman Old Style"/>
          <w:position w:val="7"/>
          <w:sz w:val="18"/>
        </w:rPr>
        <w:t xml:space="preserve">28 </w:t>
      </w:r>
      <w:r>
        <w:rPr>
          <w:rFonts w:ascii="Bookman Old Style"/>
          <w:sz w:val="28"/>
        </w:rPr>
        <w:t>are quite instructive wherein the Court opined</w:t>
      </w:r>
      <w:r>
        <w:rPr>
          <w:rFonts w:ascii="Bookman Old Style"/>
          <w:spacing w:val="-4"/>
          <w:sz w:val="28"/>
        </w:rPr>
        <w:t xml:space="preserve"> </w:t>
      </w:r>
      <w:r>
        <w:rPr>
          <w:rFonts w:ascii="Bookman Old Style"/>
          <w:sz w:val="28"/>
        </w:rPr>
        <w:t>thus:</w:t>
      </w:r>
    </w:p>
    <w:p w:rsidR="003B2FC0" w:rsidRDefault="00052A49">
      <w:pPr>
        <w:pStyle w:val="BodyText"/>
        <w:spacing w:before="199"/>
        <w:ind w:left="1364" w:right="1142"/>
        <w:jc w:val="both"/>
      </w:pPr>
      <w:r>
        <w:t>“It seems to</w:t>
      </w:r>
      <w:r>
        <w:t xml:space="preserve"> us that the approach of the court below to this aspect of the case has not been quite proper, and, to avoid any possible misconception, we would desire to state succinctly what the correct legal position is. Once it is admitted, as in fact has been admitt</w:t>
      </w:r>
      <w:r>
        <w:t>ed in the present case, that the temple is a public place of worship of the Hindus, the right of entrance into the temple for purposes of 'darshan' or worship is a right which flows from the nature of the institution itself, and for the acquisition of such</w:t>
      </w:r>
      <w:r>
        <w:t xml:space="preserve"> rights, no custom or immemorial usage need be asserted or proved…..”</w:t>
      </w:r>
    </w:p>
    <w:p w:rsidR="003B2FC0" w:rsidRDefault="00052A49">
      <w:pPr>
        <w:pStyle w:val="BodyText"/>
        <w:spacing w:before="204"/>
        <w:ind w:left="500"/>
        <w:jc w:val="both"/>
      </w:pPr>
      <w:r>
        <w:t>And again:</w:t>
      </w:r>
    </w:p>
    <w:p w:rsidR="003B2FC0" w:rsidRDefault="003B2FC0">
      <w:pPr>
        <w:pStyle w:val="BodyText"/>
        <w:spacing w:before="5"/>
        <w:rPr>
          <w:sz w:val="20"/>
        </w:rPr>
      </w:pPr>
      <w:r w:rsidRPr="003B2FC0">
        <w:pict>
          <v:line id="_x0000_s1155" style="position:absolute;z-index:-251605504;mso-wrap-distance-left:0;mso-wrap-distance-right:0;mso-position-horizontal-relative:page" from="1in,14.25pt" to="216.05pt,14.25pt" strokeweight=".6pt">
            <w10:wrap type="topAndBottom" anchorx="page"/>
          </v:line>
        </w:pict>
      </w:r>
    </w:p>
    <w:p w:rsidR="003B2FC0" w:rsidRDefault="00052A49">
      <w:pPr>
        <w:spacing w:before="50"/>
        <w:ind w:left="500"/>
        <w:rPr>
          <w:rFonts w:ascii="Times New Roman"/>
          <w:sz w:val="20"/>
        </w:rPr>
      </w:pPr>
      <w:r>
        <w:rPr>
          <w:rFonts w:ascii="Times New Roman"/>
          <w:position w:val="9"/>
          <w:sz w:val="13"/>
        </w:rPr>
        <w:t xml:space="preserve">28 </w:t>
      </w:r>
      <w:r>
        <w:rPr>
          <w:rFonts w:ascii="Times New Roman"/>
          <w:sz w:val="20"/>
        </w:rPr>
        <w:t>AIR 1952 SC 245</w:t>
      </w:r>
    </w:p>
    <w:p w:rsidR="003B2FC0" w:rsidRDefault="003B2FC0">
      <w:pPr>
        <w:rPr>
          <w:rFonts w:ascii="Times New Roman"/>
          <w:sz w:val="20"/>
        </w:rPr>
        <w:sectPr w:rsidR="003B2FC0">
          <w:headerReference w:type="default" r:id="rId130"/>
          <w:footerReference w:type="default" r:id="rId131"/>
          <w:pgSz w:w="11910" w:h="16840"/>
          <w:pgMar w:top="1340" w:right="1160" w:bottom="280" w:left="940" w:header="554" w:footer="0" w:gutter="0"/>
          <w:pgNumType w:start="65"/>
          <w:cols w:space="720"/>
        </w:sectPr>
      </w:pPr>
    </w:p>
    <w:p w:rsidR="003B2FC0" w:rsidRDefault="00052A49">
      <w:pPr>
        <w:pStyle w:val="BodyText"/>
        <w:spacing w:before="93"/>
        <w:ind w:left="1364" w:right="1143"/>
        <w:jc w:val="both"/>
      </w:pPr>
      <w:r>
        <w:t>“The true position, therefore, is that the plaintiffs'</w:t>
      </w:r>
      <w:r>
        <w:t xml:space="preserve"> right of entering the temple along with their Yajmans is not a precarious or a permissive right depending for its existence upon the arbitrary discretion of the temple authorities; it is a legal right in the true sense of the expression but it can be exer</w:t>
      </w:r>
      <w:r>
        <w:t>cised subject to the restrictions which the temple committee may impose in good faith for maintenance of order and decorum within the temple and for ensuring proper performance of customary worship. In our opinion, the plaintiffs are entitled to a declarat</w:t>
      </w:r>
      <w:r>
        <w:t>ion in this form.”</w:t>
      </w:r>
    </w:p>
    <w:p w:rsidR="003B2FC0" w:rsidRDefault="00052A49">
      <w:pPr>
        <w:pStyle w:val="ListParagraph"/>
        <w:numPr>
          <w:ilvl w:val="0"/>
          <w:numId w:val="60"/>
        </w:numPr>
        <w:tabs>
          <w:tab w:val="left" w:pos="1221"/>
        </w:tabs>
        <w:spacing w:before="201" w:line="480" w:lineRule="auto"/>
        <w:ind w:right="273" w:firstLine="0"/>
        <w:jc w:val="both"/>
        <w:rPr>
          <w:rFonts w:ascii="Bookman Old Style"/>
          <w:sz w:val="28"/>
        </w:rPr>
      </w:pPr>
      <w:r>
        <w:rPr>
          <w:rFonts w:ascii="Bookman Old Style"/>
          <w:sz w:val="28"/>
        </w:rPr>
        <w:t xml:space="preserve">Another authoritative pronouncement in regard to the freedom to practise a religion freely without with any fictitious and vague constraint is the case of </w:t>
      </w:r>
      <w:r>
        <w:rPr>
          <w:rFonts w:ascii="Bookman Old Style"/>
          <w:b/>
          <w:i/>
          <w:sz w:val="28"/>
        </w:rPr>
        <w:t xml:space="preserve">Acharya Jagadishwarananda Avadhuta </w:t>
      </w:r>
      <w:r>
        <w:rPr>
          <w:rFonts w:ascii="Bookman Old Style"/>
          <w:sz w:val="28"/>
        </w:rPr>
        <w:t>(supra)</w:t>
      </w:r>
      <w:r>
        <w:rPr>
          <w:rFonts w:ascii="Bookman Old Style"/>
          <w:i/>
          <w:sz w:val="28"/>
        </w:rPr>
        <w:t xml:space="preserve">, </w:t>
      </w:r>
      <w:r>
        <w:rPr>
          <w:rFonts w:ascii="Bookman Old Style"/>
          <w:sz w:val="28"/>
        </w:rPr>
        <w:t>wherein the Court observed</w:t>
      </w:r>
      <w:r>
        <w:rPr>
          <w:rFonts w:ascii="Bookman Old Style"/>
          <w:spacing w:val="-1"/>
          <w:sz w:val="28"/>
        </w:rPr>
        <w:t xml:space="preserve"> </w:t>
      </w:r>
      <w:r>
        <w:rPr>
          <w:rFonts w:ascii="Bookman Old Style"/>
          <w:sz w:val="28"/>
        </w:rPr>
        <w:t>thus:</w:t>
      </w:r>
    </w:p>
    <w:p w:rsidR="003B2FC0" w:rsidRDefault="00052A49">
      <w:pPr>
        <w:pStyle w:val="BodyText"/>
        <w:spacing w:before="201"/>
        <w:ind w:left="1364" w:right="1143"/>
        <w:jc w:val="both"/>
      </w:pPr>
      <w:r>
        <w:t xml:space="preserve">“The full concept and scope of religious freedom is that there are no restraints upon the free exercise of religion according to the dictates of one's conscience or upon the right freely to profess, practice and propagate religion save those imposed under </w:t>
      </w:r>
      <w:r>
        <w:t xml:space="preserve">the police power of the State and the other provisions of Part II of the Constitution. This means the right to worship God according to the dictates of one's conscience. Man's relation to his God is made no concern for the State. Freedom of conscience and </w:t>
      </w:r>
      <w:r>
        <w:t>religious belief cannot, however, be, set up to avoid those duties which every citizen owes to the nation;</w:t>
      </w:r>
    </w:p>
    <w:p w:rsidR="003B2FC0" w:rsidRDefault="00052A49">
      <w:pPr>
        <w:pStyle w:val="BodyText"/>
        <w:ind w:left="1364" w:right="1143"/>
        <w:jc w:val="both"/>
      </w:pPr>
      <w:r>
        <w:t>e.g. to receive military training, to take an oath expressing willingness to perform military service and so</w:t>
      </w:r>
      <w:r>
        <w:rPr>
          <w:spacing w:val="-2"/>
        </w:rPr>
        <w:t xml:space="preserve"> </w:t>
      </w:r>
      <w:r>
        <w:t>on.”</w:t>
      </w:r>
    </w:p>
    <w:p w:rsidR="003B2FC0" w:rsidRDefault="00052A49">
      <w:pPr>
        <w:pStyle w:val="ListParagraph"/>
        <w:numPr>
          <w:ilvl w:val="0"/>
          <w:numId w:val="60"/>
        </w:numPr>
        <w:tabs>
          <w:tab w:val="left" w:pos="1221"/>
        </w:tabs>
        <w:spacing w:before="199" w:line="480" w:lineRule="auto"/>
        <w:ind w:right="276" w:firstLine="0"/>
        <w:jc w:val="both"/>
        <w:rPr>
          <w:rFonts w:ascii="Bookman Old Style"/>
          <w:sz w:val="28"/>
        </w:rPr>
      </w:pPr>
      <w:r>
        <w:rPr>
          <w:rFonts w:ascii="Bookman Old Style"/>
          <w:sz w:val="28"/>
        </w:rPr>
        <w:t>Therefore, it can be said without a</w:t>
      </w:r>
      <w:r>
        <w:rPr>
          <w:rFonts w:ascii="Bookman Old Style"/>
          <w:sz w:val="28"/>
        </w:rPr>
        <w:t>ny hesitation or reservation</w:t>
      </w:r>
      <w:r>
        <w:rPr>
          <w:rFonts w:ascii="Bookman Old Style"/>
          <w:spacing w:val="14"/>
          <w:sz w:val="28"/>
        </w:rPr>
        <w:t xml:space="preserve"> </w:t>
      </w:r>
      <w:r>
        <w:rPr>
          <w:rFonts w:ascii="Bookman Old Style"/>
          <w:sz w:val="28"/>
        </w:rPr>
        <w:t>that</w:t>
      </w:r>
      <w:r>
        <w:rPr>
          <w:rFonts w:ascii="Bookman Old Style"/>
          <w:spacing w:val="10"/>
          <w:sz w:val="28"/>
        </w:rPr>
        <w:t xml:space="preserve"> </w:t>
      </w:r>
      <w:r>
        <w:rPr>
          <w:rFonts w:ascii="Bookman Old Style"/>
          <w:sz w:val="28"/>
        </w:rPr>
        <w:t>the</w:t>
      </w:r>
      <w:r>
        <w:rPr>
          <w:rFonts w:ascii="Bookman Old Style"/>
          <w:spacing w:val="17"/>
          <w:sz w:val="28"/>
        </w:rPr>
        <w:t xml:space="preserve"> </w:t>
      </w:r>
      <w:r>
        <w:rPr>
          <w:rFonts w:ascii="Bookman Old Style"/>
          <w:sz w:val="28"/>
        </w:rPr>
        <w:t>impugned</w:t>
      </w:r>
      <w:r>
        <w:rPr>
          <w:rFonts w:ascii="Bookman Old Style"/>
          <w:spacing w:val="13"/>
          <w:sz w:val="28"/>
        </w:rPr>
        <w:t xml:space="preserve"> </w:t>
      </w:r>
      <w:r>
        <w:rPr>
          <w:rFonts w:ascii="Bookman Old Style"/>
          <w:sz w:val="28"/>
        </w:rPr>
        <w:t>Rule</w:t>
      </w:r>
      <w:r>
        <w:rPr>
          <w:rFonts w:ascii="Bookman Old Style"/>
          <w:spacing w:val="14"/>
          <w:sz w:val="28"/>
        </w:rPr>
        <w:t xml:space="preserve"> </w:t>
      </w:r>
      <w:r>
        <w:rPr>
          <w:rFonts w:ascii="Bookman Old Style"/>
          <w:sz w:val="28"/>
        </w:rPr>
        <w:t>3(b)</w:t>
      </w:r>
      <w:r>
        <w:rPr>
          <w:rFonts w:ascii="Bookman Old Style"/>
          <w:spacing w:val="12"/>
          <w:sz w:val="28"/>
        </w:rPr>
        <w:t xml:space="preserve"> </w:t>
      </w:r>
      <w:r>
        <w:rPr>
          <w:rFonts w:ascii="Bookman Old Style"/>
          <w:sz w:val="28"/>
        </w:rPr>
        <w:t>of</w:t>
      </w:r>
      <w:r>
        <w:rPr>
          <w:rFonts w:ascii="Bookman Old Style"/>
          <w:spacing w:val="13"/>
          <w:sz w:val="28"/>
        </w:rPr>
        <w:t xml:space="preserve"> </w:t>
      </w:r>
      <w:r>
        <w:rPr>
          <w:rFonts w:ascii="Bookman Old Style"/>
          <w:sz w:val="28"/>
        </w:rPr>
        <w:t>the</w:t>
      </w:r>
      <w:r>
        <w:rPr>
          <w:rFonts w:ascii="Bookman Old Style"/>
          <w:spacing w:val="14"/>
          <w:sz w:val="28"/>
        </w:rPr>
        <w:t xml:space="preserve"> </w:t>
      </w:r>
      <w:r>
        <w:rPr>
          <w:rFonts w:ascii="Bookman Old Style"/>
          <w:sz w:val="28"/>
        </w:rPr>
        <w:t>1965</w:t>
      </w:r>
      <w:r>
        <w:rPr>
          <w:rFonts w:ascii="Bookman Old Style"/>
          <w:spacing w:val="16"/>
          <w:sz w:val="28"/>
        </w:rPr>
        <w:t xml:space="preserve"> </w:t>
      </w:r>
      <w:r>
        <w:rPr>
          <w:rFonts w:ascii="Bookman Old Style"/>
          <w:sz w:val="28"/>
        </w:rPr>
        <w:t>Rules,</w:t>
      </w:r>
    </w:p>
    <w:p w:rsidR="003B2FC0" w:rsidRDefault="003B2FC0">
      <w:pPr>
        <w:spacing w:line="480" w:lineRule="auto"/>
        <w:jc w:val="both"/>
        <w:rPr>
          <w:rFonts w:ascii="Bookman Old Style"/>
          <w:sz w:val="28"/>
        </w:rPr>
        <w:sectPr w:rsidR="003B2FC0">
          <w:headerReference w:type="default" r:id="rId132"/>
          <w:footerReference w:type="default" r:id="rId133"/>
          <w:pgSz w:w="11910" w:h="16840"/>
          <w:pgMar w:top="1340" w:right="1160" w:bottom="280" w:left="940" w:header="554" w:footer="0" w:gutter="0"/>
          <w:pgNumType w:start="66"/>
          <w:cols w:space="720"/>
        </w:sectPr>
      </w:pPr>
    </w:p>
    <w:p w:rsidR="003B2FC0" w:rsidRDefault="00052A49">
      <w:pPr>
        <w:pStyle w:val="BodyText"/>
        <w:spacing w:before="93" w:line="480" w:lineRule="auto"/>
        <w:ind w:left="500" w:right="273"/>
        <w:jc w:val="both"/>
      </w:pPr>
      <w:r>
        <w:t>framed in pursuance of the 1965 Act, that stipulates exclusion of entry of women of the age group of 10 to 50 years, is a clear violation</w:t>
      </w:r>
      <w:r>
        <w:t xml:space="preserve"> of the right of such women to practise their religious belief which, in consequence, makes their fundamental right under Article 25(1) a dead letter. It is clear as crystal that as long as the devotees, irrespective of their gender and/or age group, seeki</w:t>
      </w:r>
      <w:r>
        <w:t>ng entry to a temple of any caste are Hindus, it is their legal right to enter into a temple and offer prayers. The women, in the case at hand, are also Hindus and so, there is neither any viable nor any legal limitation on their right to enter into the  S</w:t>
      </w:r>
      <w:r>
        <w:t>abarimala Temple as devotees of Lord Ayyappa and offer their prayers to the deity.</w:t>
      </w:r>
    </w:p>
    <w:p w:rsidR="003B2FC0" w:rsidRDefault="00052A49">
      <w:pPr>
        <w:pStyle w:val="ListParagraph"/>
        <w:numPr>
          <w:ilvl w:val="0"/>
          <w:numId w:val="60"/>
        </w:numPr>
        <w:tabs>
          <w:tab w:val="left" w:pos="1221"/>
        </w:tabs>
        <w:spacing w:before="200" w:line="480" w:lineRule="auto"/>
        <w:ind w:right="273" w:firstLine="0"/>
        <w:jc w:val="both"/>
        <w:rPr>
          <w:rFonts w:ascii="Bookman Old Style"/>
          <w:sz w:val="28"/>
        </w:rPr>
      </w:pPr>
      <w:r>
        <w:rPr>
          <w:rFonts w:ascii="Bookman Old Style"/>
          <w:sz w:val="28"/>
        </w:rPr>
        <w:t>When we say so, we may also make it clear that the said rule of exclusion cannot be justified on the ground that allowing entry to women of the said age group would, in any way, be harmful or would play a jeopardizing role to public order, morality, health</w:t>
      </w:r>
      <w:r>
        <w:rPr>
          <w:rFonts w:ascii="Bookman Old Style"/>
          <w:sz w:val="28"/>
        </w:rPr>
        <w:t xml:space="preserve"> or, for that matter, any other provision/s of Part III of the Constitution, for it is to these precepts that the right guaranteed under Article 25(1) has been made subject</w:t>
      </w:r>
      <w:r>
        <w:rPr>
          <w:rFonts w:ascii="Bookman Old Style"/>
          <w:spacing w:val="-22"/>
          <w:sz w:val="28"/>
        </w:rPr>
        <w:t xml:space="preserve"> </w:t>
      </w:r>
      <w:r>
        <w:rPr>
          <w:rFonts w:ascii="Bookman Old Style"/>
          <w:sz w:val="28"/>
        </w:rPr>
        <w:t>to.</w:t>
      </w:r>
    </w:p>
    <w:p w:rsidR="003B2FC0" w:rsidRDefault="00052A49">
      <w:pPr>
        <w:pStyle w:val="ListParagraph"/>
        <w:numPr>
          <w:ilvl w:val="0"/>
          <w:numId w:val="60"/>
        </w:numPr>
        <w:tabs>
          <w:tab w:val="left" w:pos="1221"/>
        </w:tabs>
        <w:spacing w:before="202" w:line="480" w:lineRule="auto"/>
        <w:ind w:right="281" w:firstLine="0"/>
        <w:jc w:val="both"/>
        <w:rPr>
          <w:rFonts w:ascii="Bookman Old Style" w:hAnsi="Bookman Old Style"/>
          <w:sz w:val="28"/>
        </w:rPr>
      </w:pPr>
      <w:r>
        <w:rPr>
          <w:rFonts w:ascii="Bookman Old Style" w:hAnsi="Bookman Old Style"/>
          <w:sz w:val="28"/>
        </w:rPr>
        <w:t xml:space="preserve">The term „morality‟ occurring in Article 25(1) of </w:t>
      </w:r>
      <w:r>
        <w:rPr>
          <w:rFonts w:ascii="Bookman Old Style" w:hAnsi="Bookman Old Style"/>
          <w:spacing w:val="-19"/>
          <w:sz w:val="28"/>
        </w:rPr>
        <w:t xml:space="preserve">the </w:t>
      </w:r>
      <w:r>
        <w:rPr>
          <w:rFonts w:ascii="Bookman Old Style" w:hAnsi="Bookman Old Style"/>
          <w:sz w:val="28"/>
        </w:rPr>
        <w:t>Constitution cannot be viewed with a narrow lens so as to</w:t>
      </w:r>
      <w:r>
        <w:rPr>
          <w:rFonts w:ascii="Bookman Old Style" w:hAnsi="Bookman Old Style"/>
          <w:spacing w:val="-23"/>
          <w:sz w:val="28"/>
        </w:rPr>
        <w:t xml:space="preserve"> </w:t>
      </w:r>
      <w:r>
        <w:rPr>
          <w:rFonts w:ascii="Bookman Old Style" w:hAnsi="Bookman Old Style"/>
          <w:sz w:val="28"/>
        </w:rPr>
        <w:t>confine</w:t>
      </w:r>
    </w:p>
    <w:p w:rsidR="003B2FC0" w:rsidRDefault="003B2FC0">
      <w:pPr>
        <w:spacing w:line="480" w:lineRule="auto"/>
        <w:jc w:val="both"/>
        <w:rPr>
          <w:rFonts w:ascii="Bookman Old Style" w:hAnsi="Bookman Old Style"/>
          <w:sz w:val="28"/>
        </w:rPr>
        <w:sectPr w:rsidR="003B2FC0">
          <w:headerReference w:type="default" r:id="rId134"/>
          <w:footerReference w:type="default" r:id="rId135"/>
          <w:pgSz w:w="11910" w:h="16840"/>
          <w:pgMar w:top="1340" w:right="1160" w:bottom="280" w:left="940" w:header="554" w:footer="0" w:gutter="0"/>
          <w:pgNumType w:start="67"/>
          <w:cols w:space="720"/>
        </w:sectPr>
      </w:pPr>
    </w:p>
    <w:p w:rsidR="003B2FC0" w:rsidRDefault="00052A49">
      <w:pPr>
        <w:pStyle w:val="BodyText"/>
        <w:spacing w:before="93" w:line="480" w:lineRule="auto"/>
        <w:ind w:left="500" w:right="275"/>
        <w:jc w:val="both"/>
      </w:pPr>
      <w:r>
        <w:t>the sphere of definition of morality to what an individual, a section or religious sect may perceive the term to mean. We must remember that when t</w:t>
      </w:r>
      <w:r>
        <w:t xml:space="preserve">here is a violation of the fundamental </w:t>
      </w:r>
      <w:r>
        <w:rPr>
          <w:spacing w:val="-2"/>
        </w:rPr>
        <w:t>r</w:t>
      </w:r>
      <w:r>
        <w:t>ig</w:t>
      </w:r>
      <w:r>
        <w:rPr>
          <w:spacing w:val="-2"/>
        </w:rPr>
        <w:t>ht</w:t>
      </w:r>
      <w:r>
        <w:rPr>
          <w:spacing w:val="-1"/>
        </w:rPr>
        <w:t>s</w:t>
      </w:r>
      <w:r>
        <w:t>,</w:t>
      </w:r>
      <w:r>
        <w:t xml:space="preserve">  </w:t>
      </w:r>
      <w:r>
        <w:rPr>
          <w:spacing w:val="11"/>
        </w:rPr>
        <w:t xml:space="preserve"> </w:t>
      </w:r>
      <w:r>
        <w:rPr>
          <w:spacing w:val="-2"/>
        </w:rPr>
        <w:t>t</w:t>
      </w:r>
      <w:r>
        <w:rPr>
          <w:spacing w:val="-1"/>
        </w:rPr>
        <w:t>h</w:t>
      </w:r>
      <w:r>
        <w:t>e</w:t>
      </w:r>
      <w:r>
        <w:t xml:space="preserve">  </w:t>
      </w:r>
      <w:r>
        <w:rPr>
          <w:spacing w:val="13"/>
        </w:rPr>
        <w:t xml:space="preserve"> </w:t>
      </w:r>
      <w:r>
        <w:rPr>
          <w:spacing w:val="-2"/>
        </w:rPr>
        <w:t>t</w:t>
      </w:r>
      <w:r>
        <w:rPr>
          <w:spacing w:val="2"/>
        </w:rPr>
        <w:t>e</w:t>
      </w:r>
      <w:r>
        <w:rPr>
          <w:spacing w:val="-4"/>
        </w:rPr>
        <w:t>r</w:t>
      </w:r>
      <w:r>
        <w:t>m</w:t>
      </w:r>
      <w:r>
        <w:t xml:space="preserve">  </w:t>
      </w:r>
      <w:r>
        <w:rPr>
          <w:spacing w:val="13"/>
        </w:rPr>
        <w:t xml:space="preserve"> </w:t>
      </w:r>
      <w:r>
        <w:rPr>
          <w:w w:val="55"/>
        </w:rPr>
        <w:t>„</w:t>
      </w:r>
      <w:r>
        <w:rPr>
          <w:spacing w:val="-3"/>
        </w:rPr>
        <w:t>m</w:t>
      </w:r>
      <w:r>
        <w:t>o</w:t>
      </w:r>
      <w:r>
        <w:rPr>
          <w:spacing w:val="-2"/>
        </w:rPr>
        <w:t>r</w:t>
      </w:r>
      <w:r>
        <w:rPr>
          <w:spacing w:val="-1"/>
        </w:rPr>
        <w:t>ali</w:t>
      </w:r>
      <w:r>
        <w:rPr>
          <w:spacing w:val="-2"/>
        </w:rPr>
        <w:t>t</w:t>
      </w:r>
      <w:r>
        <w:t>y</w:t>
      </w:r>
      <w:r>
        <w:rPr>
          <w:w w:val="29"/>
        </w:rPr>
        <w:t>‟</w:t>
      </w:r>
      <w:r>
        <w:t xml:space="preserve">  </w:t>
      </w:r>
      <w:r>
        <w:rPr>
          <w:spacing w:val="12"/>
        </w:rPr>
        <w:t xml:space="preserve"> </w:t>
      </w:r>
      <w:r>
        <w:rPr>
          <w:spacing w:val="-1"/>
        </w:rPr>
        <w:t>n</w:t>
      </w:r>
      <w:r>
        <w:rPr>
          <w:spacing w:val="-3"/>
        </w:rPr>
        <w:t>a</w:t>
      </w:r>
      <w:r>
        <w:rPr>
          <w:spacing w:val="-2"/>
        </w:rPr>
        <w:t>t</w:t>
      </w:r>
      <w:r>
        <w:t>u</w:t>
      </w:r>
      <w:r>
        <w:rPr>
          <w:spacing w:val="-2"/>
        </w:rPr>
        <w:t>r</w:t>
      </w:r>
      <w:r>
        <w:rPr>
          <w:spacing w:val="-1"/>
        </w:rPr>
        <w:t>all</w:t>
      </w:r>
      <w:r>
        <w:t>y</w:t>
      </w:r>
      <w:r>
        <w:t xml:space="preserve">  </w:t>
      </w:r>
      <w:r>
        <w:rPr>
          <w:spacing w:val="11"/>
        </w:rPr>
        <w:t xml:space="preserve"> </w:t>
      </w:r>
      <w:r>
        <w:t>impl</w:t>
      </w:r>
      <w:r>
        <w:rPr>
          <w:spacing w:val="-3"/>
        </w:rPr>
        <w:t>i</w:t>
      </w:r>
      <w:r>
        <w:rPr>
          <w:spacing w:val="-1"/>
        </w:rPr>
        <w:t>e</w:t>
      </w:r>
      <w:r>
        <w:t>s</w:t>
      </w:r>
      <w:r>
        <w:t xml:space="preserve">  </w:t>
      </w:r>
      <w:r>
        <w:rPr>
          <w:spacing w:val="10"/>
        </w:rPr>
        <w:t xml:space="preserve"> </w:t>
      </w:r>
      <w:r>
        <w:t>c</w:t>
      </w:r>
      <w:r>
        <w:rPr>
          <w:spacing w:val="1"/>
        </w:rPr>
        <w:t>o</w:t>
      </w:r>
      <w:r>
        <w:rPr>
          <w:spacing w:val="-1"/>
        </w:rPr>
        <w:t>ns</w:t>
      </w:r>
      <w:r>
        <w:rPr>
          <w:spacing w:val="-2"/>
        </w:rPr>
        <w:t>t</w:t>
      </w:r>
      <w:r>
        <w:t>i</w:t>
      </w:r>
      <w:r>
        <w:rPr>
          <w:spacing w:val="-2"/>
        </w:rPr>
        <w:t>t</w:t>
      </w:r>
      <w:r>
        <w:t>u</w:t>
      </w:r>
      <w:r>
        <w:rPr>
          <w:spacing w:val="-2"/>
        </w:rPr>
        <w:t>t</w:t>
      </w:r>
      <w:r>
        <w:rPr>
          <w:spacing w:val="-3"/>
        </w:rPr>
        <w:t>i</w:t>
      </w:r>
      <w:r>
        <w:t>o</w:t>
      </w:r>
      <w:r>
        <w:rPr>
          <w:spacing w:val="-1"/>
        </w:rPr>
        <w:t xml:space="preserve">nal </w:t>
      </w:r>
      <w:r>
        <w:t>morality and any view that is ultimately taken by the Constitutional Courts must be in conformity with the principles and basic tenets of the concept of this constitutional morality that gets support from the</w:t>
      </w:r>
      <w:r>
        <w:rPr>
          <w:spacing w:val="-8"/>
        </w:rPr>
        <w:t xml:space="preserve"> </w:t>
      </w:r>
      <w:r>
        <w:t>Constitution.</w:t>
      </w:r>
    </w:p>
    <w:p w:rsidR="003B2FC0" w:rsidRDefault="00052A49">
      <w:pPr>
        <w:pStyle w:val="ListParagraph"/>
        <w:numPr>
          <w:ilvl w:val="0"/>
          <w:numId w:val="60"/>
        </w:numPr>
        <w:tabs>
          <w:tab w:val="left" w:pos="1221"/>
        </w:tabs>
        <w:spacing w:before="197" w:line="482" w:lineRule="auto"/>
        <w:ind w:right="273" w:firstLine="0"/>
        <w:jc w:val="both"/>
        <w:rPr>
          <w:rFonts w:ascii="Bookman Old Style"/>
          <w:sz w:val="28"/>
        </w:rPr>
      </w:pPr>
      <w:r>
        <w:rPr>
          <w:rFonts w:ascii="Bookman Old Style"/>
          <w:sz w:val="28"/>
        </w:rPr>
        <w:t xml:space="preserve">In </w:t>
      </w:r>
      <w:r>
        <w:rPr>
          <w:rFonts w:ascii="Bookman Old Style"/>
          <w:b/>
          <w:i/>
          <w:sz w:val="28"/>
        </w:rPr>
        <w:t xml:space="preserve">Manoj Narula </w:t>
      </w:r>
      <w:r>
        <w:rPr>
          <w:rFonts w:ascii="Bookman Old Style"/>
          <w:sz w:val="28"/>
        </w:rPr>
        <w:t>(supra), this Cou</w:t>
      </w:r>
      <w:r>
        <w:rPr>
          <w:rFonts w:ascii="Bookman Old Style"/>
          <w:sz w:val="28"/>
        </w:rPr>
        <w:t>rt has reflected upon the predominant role that the concept of constitutional morality  plays in a democratic set-up and opined</w:t>
      </w:r>
      <w:r>
        <w:rPr>
          <w:rFonts w:ascii="Bookman Old Style"/>
          <w:spacing w:val="-6"/>
          <w:sz w:val="28"/>
        </w:rPr>
        <w:t xml:space="preserve"> </w:t>
      </w:r>
      <w:r>
        <w:rPr>
          <w:rFonts w:ascii="Bookman Old Style"/>
          <w:sz w:val="28"/>
        </w:rPr>
        <w:t>thus:</w:t>
      </w:r>
    </w:p>
    <w:p w:rsidR="003B2FC0" w:rsidRDefault="00052A49">
      <w:pPr>
        <w:pStyle w:val="BodyText"/>
        <w:spacing w:before="193"/>
        <w:ind w:left="1364" w:right="1140"/>
        <w:jc w:val="both"/>
      </w:pPr>
      <w:r>
        <w:t>“The principle of constitutional morality basically means to bow down to the norms of the Constitution and not to act in a</w:t>
      </w:r>
      <w:r>
        <w:t xml:space="preserve"> manner which would become violative of the rule of law or reflectible of action in an arbitrary manner. </w:t>
      </w:r>
      <w:r>
        <w:rPr>
          <w:spacing w:val="2"/>
        </w:rPr>
        <w:t xml:space="preserve">It </w:t>
      </w:r>
      <w:r>
        <w:t>actually works at the fulcrum and guides as a laser beam in institution building. The traditions and conventions have to grow to sustain the value o</w:t>
      </w:r>
      <w:r>
        <w:t xml:space="preserve">f such a morality. The democratic values survive and become successful where the people at large and the persons-in-charge of the institution are strictly guided by the constitutional parameters without paving the path of deviancy and reflecting in action </w:t>
      </w:r>
      <w:r>
        <w:t>the primary concern to maintain institutional integrity and the requisite constitutional restraints. Commitment to the Constitution is a facet of constitutional</w:t>
      </w:r>
      <w:r>
        <w:rPr>
          <w:spacing w:val="-32"/>
        </w:rPr>
        <w:t xml:space="preserve"> </w:t>
      </w:r>
      <w:r>
        <w:t>morality.”</w:t>
      </w:r>
    </w:p>
    <w:p w:rsidR="003B2FC0" w:rsidRDefault="003B2FC0">
      <w:pPr>
        <w:jc w:val="both"/>
        <w:sectPr w:rsidR="003B2FC0">
          <w:headerReference w:type="default" r:id="rId136"/>
          <w:footerReference w:type="default" r:id="rId137"/>
          <w:pgSz w:w="11910" w:h="16840"/>
          <w:pgMar w:top="1340" w:right="1160" w:bottom="280" w:left="940" w:header="554" w:footer="0" w:gutter="0"/>
          <w:pgNumType w:start="68"/>
          <w:cols w:space="720"/>
        </w:sectPr>
      </w:pPr>
    </w:p>
    <w:p w:rsidR="003B2FC0" w:rsidRDefault="00052A49">
      <w:pPr>
        <w:pStyle w:val="ListParagraph"/>
        <w:numPr>
          <w:ilvl w:val="0"/>
          <w:numId w:val="60"/>
        </w:numPr>
        <w:tabs>
          <w:tab w:val="left" w:pos="1221"/>
        </w:tabs>
        <w:spacing w:before="90"/>
        <w:ind w:left="1220"/>
        <w:rPr>
          <w:rFonts w:ascii="Bookman Old Style"/>
          <w:b/>
          <w:i/>
          <w:sz w:val="28"/>
        </w:rPr>
      </w:pPr>
      <w:r>
        <w:rPr>
          <w:rFonts w:ascii="Bookman Old Style"/>
          <w:sz w:val="28"/>
        </w:rPr>
        <w:t>That</w:t>
      </w:r>
      <w:r>
        <w:rPr>
          <w:rFonts w:ascii="Bookman Old Style"/>
          <w:spacing w:val="30"/>
          <w:sz w:val="28"/>
        </w:rPr>
        <w:t xml:space="preserve"> </w:t>
      </w:r>
      <w:r>
        <w:rPr>
          <w:rFonts w:ascii="Bookman Old Style"/>
          <w:sz w:val="28"/>
        </w:rPr>
        <w:t>apart,</w:t>
      </w:r>
      <w:r>
        <w:rPr>
          <w:rFonts w:ascii="Bookman Old Style"/>
          <w:spacing w:val="31"/>
          <w:sz w:val="28"/>
        </w:rPr>
        <w:t xml:space="preserve"> </w:t>
      </w:r>
      <w:r>
        <w:rPr>
          <w:rFonts w:ascii="Bookman Old Style"/>
          <w:sz w:val="28"/>
        </w:rPr>
        <w:t>this</w:t>
      </w:r>
      <w:r>
        <w:rPr>
          <w:rFonts w:ascii="Bookman Old Style"/>
          <w:spacing w:val="28"/>
          <w:sz w:val="28"/>
        </w:rPr>
        <w:t xml:space="preserve"> </w:t>
      </w:r>
      <w:r>
        <w:rPr>
          <w:rFonts w:ascii="Bookman Old Style"/>
          <w:sz w:val="28"/>
        </w:rPr>
        <w:t>Court,</w:t>
      </w:r>
      <w:r>
        <w:rPr>
          <w:rFonts w:ascii="Bookman Old Style"/>
          <w:spacing w:val="32"/>
          <w:sz w:val="28"/>
        </w:rPr>
        <w:t xml:space="preserve"> </w:t>
      </w:r>
      <w:r>
        <w:rPr>
          <w:rFonts w:ascii="Bookman Old Style"/>
          <w:sz w:val="28"/>
        </w:rPr>
        <w:t>in</w:t>
      </w:r>
      <w:r>
        <w:rPr>
          <w:rFonts w:ascii="Bookman Old Style"/>
          <w:spacing w:val="31"/>
          <w:sz w:val="28"/>
        </w:rPr>
        <w:t xml:space="preserve"> </w:t>
      </w:r>
      <w:r>
        <w:rPr>
          <w:rFonts w:ascii="Bookman Old Style"/>
          <w:b/>
          <w:i/>
          <w:sz w:val="28"/>
        </w:rPr>
        <w:t>Government</w:t>
      </w:r>
      <w:r>
        <w:rPr>
          <w:rFonts w:ascii="Bookman Old Style"/>
          <w:b/>
          <w:i/>
          <w:spacing w:val="29"/>
          <w:sz w:val="28"/>
        </w:rPr>
        <w:t xml:space="preserve"> </w:t>
      </w:r>
      <w:r>
        <w:rPr>
          <w:rFonts w:ascii="Bookman Old Style"/>
          <w:b/>
          <w:i/>
          <w:sz w:val="28"/>
        </w:rPr>
        <w:t>of</w:t>
      </w:r>
      <w:r>
        <w:rPr>
          <w:rFonts w:ascii="Bookman Old Style"/>
          <w:b/>
          <w:i/>
          <w:spacing w:val="29"/>
          <w:sz w:val="28"/>
        </w:rPr>
        <w:t xml:space="preserve"> </w:t>
      </w:r>
      <w:r>
        <w:rPr>
          <w:rFonts w:ascii="Bookman Old Style"/>
          <w:b/>
          <w:i/>
          <w:sz w:val="28"/>
        </w:rPr>
        <w:t>NCT</w:t>
      </w:r>
      <w:r>
        <w:rPr>
          <w:rFonts w:ascii="Bookman Old Style"/>
          <w:b/>
          <w:i/>
          <w:spacing w:val="31"/>
          <w:sz w:val="28"/>
        </w:rPr>
        <w:t xml:space="preserve"> </w:t>
      </w:r>
      <w:r>
        <w:rPr>
          <w:rFonts w:ascii="Bookman Old Style"/>
          <w:b/>
          <w:i/>
          <w:sz w:val="28"/>
        </w:rPr>
        <w:t>of</w:t>
      </w:r>
      <w:r>
        <w:rPr>
          <w:rFonts w:ascii="Bookman Old Style"/>
          <w:b/>
          <w:i/>
          <w:spacing w:val="28"/>
          <w:sz w:val="28"/>
        </w:rPr>
        <w:t xml:space="preserve"> </w:t>
      </w:r>
      <w:r>
        <w:rPr>
          <w:rFonts w:ascii="Bookman Old Style"/>
          <w:b/>
          <w:i/>
          <w:sz w:val="28"/>
        </w:rPr>
        <w:t>Delhi</w:t>
      </w:r>
      <w:r>
        <w:rPr>
          <w:rFonts w:ascii="Bookman Old Style"/>
          <w:b/>
          <w:i/>
          <w:spacing w:val="30"/>
          <w:sz w:val="28"/>
        </w:rPr>
        <w:t xml:space="preserve"> </w:t>
      </w:r>
      <w:r>
        <w:rPr>
          <w:rFonts w:ascii="Bookman Old Style"/>
          <w:b/>
          <w:i/>
          <w:sz w:val="28"/>
        </w:rPr>
        <w:t>v.</w:t>
      </w:r>
    </w:p>
    <w:p w:rsidR="003B2FC0" w:rsidRDefault="003B2FC0">
      <w:pPr>
        <w:pStyle w:val="BodyText"/>
        <w:spacing w:before="3"/>
        <w:rPr>
          <w:b/>
          <w:i/>
        </w:rPr>
      </w:pPr>
    </w:p>
    <w:p w:rsidR="003B2FC0" w:rsidRDefault="00052A49">
      <w:pPr>
        <w:ind w:left="500"/>
        <w:rPr>
          <w:rFonts w:ascii="Bookman Old Style"/>
          <w:sz w:val="28"/>
        </w:rPr>
      </w:pPr>
      <w:r>
        <w:rPr>
          <w:rFonts w:ascii="Bookman Old Style"/>
          <w:b/>
          <w:i/>
          <w:sz w:val="28"/>
        </w:rPr>
        <w:t>Union of India and others</w:t>
      </w:r>
      <w:r>
        <w:rPr>
          <w:rFonts w:ascii="Bookman Old Style"/>
          <w:position w:val="7"/>
          <w:sz w:val="18"/>
        </w:rPr>
        <w:t>29</w:t>
      </w:r>
      <w:r>
        <w:rPr>
          <w:rFonts w:ascii="Bookman Old Style"/>
          <w:sz w:val="28"/>
        </w:rPr>
        <w:t>, observed thus:</w:t>
      </w:r>
    </w:p>
    <w:p w:rsidR="003B2FC0" w:rsidRDefault="003B2FC0">
      <w:pPr>
        <w:pStyle w:val="BodyText"/>
        <w:rPr>
          <w:sz w:val="45"/>
        </w:rPr>
      </w:pPr>
    </w:p>
    <w:p w:rsidR="003B2FC0" w:rsidRDefault="00052A49">
      <w:pPr>
        <w:pStyle w:val="BodyText"/>
        <w:ind w:left="1364" w:right="1137"/>
        <w:jc w:val="both"/>
      </w:pPr>
      <w:r>
        <w:t>“Constitutional morality in its strictest sense of the term implies strict and complete adherence to the constitutional principles as enshrined in various segments of the document. When a country is endowed with a Constitution, there is an accompanying pro</w:t>
      </w:r>
      <w:r>
        <w:t xml:space="preserve">mise which stipulates that every member of the country right from its citizens to the high constitutional functionaries must idolize </w:t>
      </w:r>
      <w:r>
        <w:rPr>
          <w:spacing w:val="-3"/>
        </w:rPr>
        <w:t xml:space="preserve">the </w:t>
      </w:r>
      <w:r>
        <w:t>constitutional fundamentals. This duty imposed by the Constitution stems from the fact that the Constitution is the ind</w:t>
      </w:r>
      <w:r>
        <w:t>ispensable foundational base that functions as the guiding force to protect and ensure that the  democratic  setup  promised  to   the citizenry remains</w:t>
      </w:r>
      <w:r>
        <w:rPr>
          <w:spacing w:val="-8"/>
        </w:rPr>
        <w:t xml:space="preserve"> </w:t>
      </w:r>
      <w:r>
        <w:t>unperturbed.”</w:t>
      </w:r>
    </w:p>
    <w:p w:rsidR="003B2FC0" w:rsidRDefault="003B2FC0">
      <w:pPr>
        <w:pStyle w:val="BodyText"/>
        <w:rPr>
          <w:sz w:val="32"/>
        </w:rPr>
      </w:pPr>
    </w:p>
    <w:p w:rsidR="003B2FC0" w:rsidRDefault="003B2FC0">
      <w:pPr>
        <w:pStyle w:val="BodyText"/>
        <w:spacing w:before="11"/>
        <w:rPr>
          <w:sz w:val="29"/>
        </w:rPr>
      </w:pPr>
    </w:p>
    <w:p w:rsidR="003B2FC0" w:rsidRDefault="00052A49">
      <w:pPr>
        <w:pStyle w:val="ListParagraph"/>
        <w:numPr>
          <w:ilvl w:val="0"/>
          <w:numId w:val="60"/>
        </w:numPr>
        <w:tabs>
          <w:tab w:val="left" w:pos="1221"/>
        </w:tabs>
        <w:ind w:left="1220"/>
        <w:rPr>
          <w:rFonts w:ascii="Bookman Old Style"/>
          <w:b/>
          <w:i/>
          <w:sz w:val="28"/>
        </w:rPr>
      </w:pPr>
      <w:r>
        <w:rPr>
          <w:rFonts w:ascii="Bookman Old Style"/>
          <w:sz w:val="28"/>
        </w:rPr>
        <w:t xml:space="preserve">Elaborating further, in </w:t>
      </w:r>
      <w:r>
        <w:rPr>
          <w:rFonts w:ascii="Bookman Old Style"/>
          <w:b/>
          <w:i/>
          <w:sz w:val="28"/>
        </w:rPr>
        <w:t>Navtej Singh Johar and</w:t>
      </w:r>
      <w:r>
        <w:rPr>
          <w:rFonts w:ascii="Bookman Old Style"/>
          <w:b/>
          <w:i/>
          <w:spacing w:val="-48"/>
          <w:sz w:val="28"/>
        </w:rPr>
        <w:t xml:space="preserve"> </w:t>
      </w:r>
      <w:r>
        <w:rPr>
          <w:rFonts w:ascii="Bookman Old Style"/>
          <w:b/>
          <w:i/>
          <w:sz w:val="28"/>
        </w:rPr>
        <w:t xml:space="preserve">others </w:t>
      </w:r>
      <w:r>
        <w:rPr>
          <w:rFonts w:ascii="Bookman Old Style"/>
          <w:b/>
          <w:i/>
          <w:spacing w:val="2"/>
          <w:sz w:val="28"/>
        </w:rPr>
        <w:t>v.</w:t>
      </w:r>
    </w:p>
    <w:p w:rsidR="003B2FC0" w:rsidRDefault="003B2FC0">
      <w:pPr>
        <w:pStyle w:val="BodyText"/>
        <w:spacing w:before="3"/>
        <w:rPr>
          <w:b/>
          <w:i/>
        </w:rPr>
      </w:pPr>
    </w:p>
    <w:p w:rsidR="003B2FC0" w:rsidRDefault="00052A49">
      <w:pPr>
        <w:ind w:left="500"/>
        <w:rPr>
          <w:rFonts w:ascii="Bookman Old Style"/>
          <w:sz w:val="28"/>
        </w:rPr>
      </w:pPr>
      <w:r>
        <w:rPr>
          <w:rFonts w:ascii="Bookman Old Style"/>
          <w:b/>
          <w:i/>
          <w:sz w:val="28"/>
        </w:rPr>
        <w:t>Union of India and others</w:t>
      </w:r>
      <w:r>
        <w:rPr>
          <w:rFonts w:ascii="Bookman Old Style"/>
          <w:position w:val="7"/>
          <w:sz w:val="18"/>
        </w:rPr>
        <w:t>30</w:t>
      </w:r>
      <w:r>
        <w:rPr>
          <w:rFonts w:ascii="Bookman Old Style"/>
          <w:sz w:val="28"/>
        </w:rPr>
        <w:t xml:space="preserve">, </w:t>
      </w:r>
      <w:r>
        <w:rPr>
          <w:rFonts w:ascii="Bookman Old Style"/>
          <w:sz w:val="28"/>
        </w:rPr>
        <w:t>this Court observed:</w:t>
      </w:r>
    </w:p>
    <w:p w:rsidR="003B2FC0" w:rsidRDefault="003B2FC0">
      <w:pPr>
        <w:pStyle w:val="BodyText"/>
        <w:rPr>
          <w:sz w:val="45"/>
        </w:rPr>
      </w:pPr>
    </w:p>
    <w:p w:rsidR="003B2FC0" w:rsidRDefault="00052A49">
      <w:pPr>
        <w:pStyle w:val="BodyText"/>
        <w:ind w:left="1364" w:right="1140"/>
        <w:jc w:val="both"/>
      </w:pPr>
      <w:r>
        <w:t xml:space="preserve">“The concept of constitutional morality is not limited to the mere observance of the core principles of constitutionalism as the magnitude and sweep of constitutional morality is not confined to </w:t>
      </w:r>
      <w:r>
        <w:rPr>
          <w:spacing w:val="-3"/>
        </w:rPr>
        <w:t xml:space="preserve">the </w:t>
      </w:r>
      <w:r>
        <w:t>provisions and literal text which a</w:t>
      </w:r>
      <w:r>
        <w:t xml:space="preserve"> Constitution contains, rather it embraces within itself virtues of a wide magnitude such as that of ushering a pluralistic and inclusive society, while at the same time adhering to the other principles of constitutionalism. </w:t>
      </w:r>
      <w:r>
        <w:rPr>
          <w:spacing w:val="2"/>
        </w:rPr>
        <w:t xml:space="preserve">It </w:t>
      </w:r>
      <w:r>
        <w:t>is further the result of emb</w:t>
      </w:r>
      <w:r>
        <w:t>odying constitutional morality that the values of constitutionalism trickle down and percolate through the apparatus of the State for the betterment of each and every individual citizen of the</w:t>
      </w:r>
      <w:r>
        <w:rPr>
          <w:spacing w:val="-12"/>
        </w:rPr>
        <w:t xml:space="preserve"> </w:t>
      </w:r>
      <w:r>
        <w:t>State.”</w:t>
      </w:r>
    </w:p>
    <w:p w:rsidR="003B2FC0" w:rsidRDefault="003B2FC0">
      <w:pPr>
        <w:pStyle w:val="BodyText"/>
        <w:rPr>
          <w:sz w:val="20"/>
        </w:rPr>
      </w:pPr>
    </w:p>
    <w:p w:rsidR="003B2FC0" w:rsidRDefault="003B2FC0">
      <w:pPr>
        <w:pStyle w:val="BodyText"/>
        <w:rPr>
          <w:sz w:val="20"/>
        </w:rPr>
      </w:pPr>
      <w:r w:rsidRPr="003B2FC0">
        <w:pict>
          <v:line id="_x0000_s1154" style="position:absolute;z-index:-251604480;mso-wrap-distance-left:0;mso-wrap-distance-right:0;mso-position-horizontal-relative:page" from="1in,14.05pt" to="216.05pt,14.05pt" strokeweight=".6pt">
            <w10:wrap type="topAndBottom" anchorx="page"/>
          </v:line>
        </w:pict>
      </w:r>
    </w:p>
    <w:p w:rsidR="003B2FC0" w:rsidRDefault="00052A49">
      <w:pPr>
        <w:spacing w:before="50" w:line="243" w:lineRule="exact"/>
        <w:ind w:left="500"/>
        <w:rPr>
          <w:rFonts w:ascii="Times New Roman"/>
          <w:sz w:val="20"/>
        </w:rPr>
      </w:pPr>
      <w:r>
        <w:rPr>
          <w:rFonts w:ascii="Times New Roman"/>
          <w:position w:val="9"/>
          <w:sz w:val="13"/>
        </w:rPr>
        <w:t xml:space="preserve">29 </w:t>
      </w:r>
      <w:r>
        <w:rPr>
          <w:rFonts w:ascii="Times New Roman"/>
          <w:sz w:val="20"/>
        </w:rPr>
        <w:t>(2018) 8 SCALE 72</w:t>
      </w:r>
    </w:p>
    <w:p w:rsidR="003B2FC0" w:rsidRDefault="00052A49">
      <w:pPr>
        <w:spacing w:line="243" w:lineRule="exact"/>
        <w:ind w:left="500"/>
        <w:rPr>
          <w:rFonts w:ascii="Times New Roman"/>
          <w:sz w:val="20"/>
        </w:rPr>
      </w:pPr>
      <w:r>
        <w:rPr>
          <w:rFonts w:ascii="Times New Roman"/>
          <w:position w:val="9"/>
          <w:sz w:val="13"/>
        </w:rPr>
        <w:t xml:space="preserve">30 </w:t>
      </w:r>
      <w:r>
        <w:rPr>
          <w:rFonts w:ascii="Times New Roman"/>
          <w:sz w:val="20"/>
        </w:rPr>
        <w:t>(2018) 10 SCALE 386</w:t>
      </w:r>
    </w:p>
    <w:p w:rsidR="003B2FC0" w:rsidRDefault="003B2FC0">
      <w:pPr>
        <w:spacing w:line="243" w:lineRule="exact"/>
        <w:rPr>
          <w:rFonts w:ascii="Times New Roman"/>
          <w:sz w:val="20"/>
        </w:rPr>
        <w:sectPr w:rsidR="003B2FC0">
          <w:headerReference w:type="default" r:id="rId138"/>
          <w:footerReference w:type="default" r:id="rId139"/>
          <w:pgSz w:w="11910" w:h="16840"/>
          <w:pgMar w:top="1340" w:right="1160" w:bottom="280" w:left="940" w:header="554" w:footer="0" w:gutter="0"/>
          <w:pgNumType w:start="69"/>
          <w:cols w:space="720"/>
        </w:sectPr>
      </w:pPr>
    </w:p>
    <w:p w:rsidR="003B2FC0" w:rsidRDefault="00052A49">
      <w:pPr>
        <w:pStyle w:val="BodyText"/>
        <w:spacing w:before="95"/>
        <w:ind w:left="500"/>
      </w:pPr>
      <w:r>
        <w:t>And again:</w:t>
      </w:r>
    </w:p>
    <w:p w:rsidR="003B2FC0" w:rsidRDefault="003B2FC0">
      <w:pPr>
        <w:pStyle w:val="BodyText"/>
        <w:spacing w:before="9"/>
        <w:rPr>
          <w:sz w:val="44"/>
        </w:rPr>
      </w:pPr>
    </w:p>
    <w:p w:rsidR="003B2FC0" w:rsidRDefault="00052A49">
      <w:pPr>
        <w:pStyle w:val="BodyText"/>
        <w:ind w:left="1364" w:right="1142"/>
        <w:jc w:val="both"/>
      </w:pPr>
      <w:r>
        <w:t>“115. The society as a whole or even a minuscule part of the society may aspire and prefer different things for themselves. They are perfectly competent to have such a freedom to be different, like differe</w:t>
      </w:r>
      <w:r>
        <w:t>nt things, so on and so forth, provided that their different tastes and liking remain within their legal framework and neither violates any statute nor results in the abridgement of fundamental rights of any other citizen. The Preambular goals of our Const</w:t>
      </w:r>
      <w:r>
        <w:t>itution which contain the noble objectives of Justice, Liberty, Equality and Fraternity can only be achieved through the commitment and loyalty of the organs of the State to the principle of constitutional morality”</w:t>
      </w:r>
    </w:p>
    <w:p w:rsidR="003B2FC0" w:rsidRDefault="003B2FC0">
      <w:pPr>
        <w:pStyle w:val="BodyText"/>
        <w:rPr>
          <w:sz w:val="32"/>
        </w:rPr>
      </w:pPr>
    </w:p>
    <w:p w:rsidR="003B2FC0" w:rsidRDefault="003B2FC0">
      <w:pPr>
        <w:pStyle w:val="BodyText"/>
        <w:spacing w:before="2"/>
        <w:rPr>
          <w:sz w:val="30"/>
        </w:rPr>
      </w:pPr>
    </w:p>
    <w:p w:rsidR="003B2FC0" w:rsidRDefault="00052A49">
      <w:pPr>
        <w:pStyle w:val="ListParagraph"/>
        <w:numPr>
          <w:ilvl w:val="0"/>
          <w:numId w:val="60"/>
        </w:numPr>
        <w:tabs>
          <w:tab w:val="left" w:pos="1221"/>
        </w:tabs>
        <w:spacing w:line="480" w:lineRule="auto"/>
        <w:ind w:right="274" w:firstLine="0"/>
        <w:jc w:val="both"/>
        <w:rPr>
          <w:rFonts w:ascii="Bookman Old Style" w:hAnsi="Bookman Old Style"/>
          <w:sz w:val="28"/>
        </w:rPr>
      </w:pPr>
      <w:r>
        <w:rPr>
          <w:rFonts w:ascii="Bookman Old Style" w:hAnsi="Bookman Old Style"/>
          <w:sz w:val="28"/>
        </w:rPr>
        <w:t>The right guaranteed under Article 25(</w:t>
      </w:r>
      <w:r>
        <w:rPr>
          <w:rFonts w:ascii="Bookman Old Style" w:hAnsi="Bookman Old Style"/>
          <w:sz w:val="28"/>
        </w:rPr>
        <w:t>1) has been made subject to, by the opening words of the Article itself, public order, morality, health and other provisions of Part III of the Constitution. All the three words, that is, order, morality and health</w:t>
      </w:r>
      <w:r>
        <w:rPr>
          <w:rFonts w:ascii="Bookman Old Style" w:hAnsi="Bookman Old Style"/>
          <w:spacing w:val="-20"/>
          <w:sz w:val="28"/>
        </w:rPr>
        <w:t xml:space="preserve"> </w:t>
      </w:r>
      <w:r>
        <w:rPr>
          <w:rFonts w:ascii="Bookman Old Style" w:hAnsi="Bookman Old Style"/>
          <w:sz w:val="28"/>
        </w:rPr>
        <w:t>are</w:t>
      </w:r>
      <w:r>
        <w:rPr>
          <w:rFonts w:ascii="Bookman Old Style" w:hAnsi="Bookman Old Style"/>
          <w:spacing w:val="-19"/>
          <w:sz w:val="28"/>
        </w:rPr>
        <w:t xml:space="preserve"> </w:t>
      </w:r>
      <w:r>
        <w:rPr>
          <w:rFonts w:ascii="Bookman Old Style" w:hAnsi="Bookman Old Style"/>
          <w:sz w:val="28"/>
        </w:rPr>
        <w:t>qualified</w:t>
      </w:r>
      <w:r>
        <w:rPr>
          <w:rFonts w:ascii="Bookman Old Style" w:hAnsi="Bookman Old Style"/>
          <w:spacing w:val="-20"/>
          <w:sz w:val="28"/>
        </w:rPr>
        <w:t xml:space="preserve"> </w:t>
      </w:r>
      <w:r>
        <w:rPr>
          <w:rFonts w:ascii="Bookman Old Style" w:hAnsi="Bookman Old Style"/>
          <w:sz w:val="28"/>
        </w:rPr>
        <w:t>by</w:t>
      </w:r>
      <w:r>
        <w:rPr>
          <w:rFonts w:ascii="Bookman Old Style" w:hAnsi="Bookman Old Style"/>
          <w:spacing w:val="-20"/>
          <w:sz w:val="28"/>
        </w:rPr>
        <w:t xml:space="preserve"> </w:t>
      </w:r>
      <w:r>
        <w:rPr>
          <w:rFonts w:ascii="Bookman Old Style" w:hAnsi="Bookman Old Style"/>
          <w:sz w:val="28"/>
        </w:rPr>
        <w:t>the</w:t>
      </w:r>
      <w:r>
        <w:rPr>
          <w:rFonts w:ascii="Bookman Old Style" w:hAnsi="Bookman Old Style"/>
          <w:spacing w:val="-18"/>
          <w:sz w:val="28"/>
        </w:rPr>
        <w:t xml:space="preserve"> </w:t>
      </w:r>
      <w:r>
        <w:rPr>
          <w:rFonts w:ascii="Bookman Old Style" w:hAnsi="Bookman Old Style"/>
          <w:sz w:val="28"/>
        </w:rPr>
        <w:t>word</w:t>
      </w:r>
      <w:r>
        <w:rPr>
          <w:rFonts w:ascii="Bookman Old Style" w:hAnsi="Bookman Old Style"/>
          <w:spacing w:val="-21"/>
          <w:sz w:val="28"/>
        </w:rPr>
        <w:t xml:space="preserve"> </w:t>
      </w:r>
      <w:r>
        <w:rPr>
          <w:rFonts w:ascii="Bookman Old Style" w:hAnsi="Bookman Old Style"/>
          <w:sz w:val="28"/>
        </w:rPr>
        <w:t>„public‟.</w:t>
      </w:r>
      <w:r>
        <w:rPr>
          <w:rFonts w:ascii="Bookman Old Style" w:hAnsi="Bookman Old Style"/>
          <w:spacing w:val="49"/>
          <w:sz w:val="28"/>
        </w:rPr>
        <w:t xml:space="preserve"> </w:t>
      </w:r>
      <w:r>
        <w:rPr>
          <w:rFonts w:ascii="Bookman Old Style" w:hAnsi="Bookman Old Style"/>
          <w:sz w:val="28"/>
        </w:rPr>
        <w:t>Neither</w:t>
      </w:r>
      <w:r>
        <w:rPr>
          <w:rFonts w:ascii="Bookman Old Style" w:hAnsi="Bookman Old Style"/>
          <w:spacing w:val="-20"/>
          <w:sz w:val="28"/>
        </w:rPr>
        <w:t xml:space="preserve"> </w:t>
      </w:r>
      <w:r>
        <w:rPr>
          <w:rFonts w:ascii="Bookman Old Style" w:hAnsi="Bookman Old Style"/>
          <w:sz w:val="28"/>
        </w:rPr>
        <w:t>public</w:t>
      </w:r>
      <w:r>
        <w:rPr>
          <w:rFonts w:ascii="Bookman Old Style" w:hAnsi="Bookman Old Style"/>
          <w:spacing w:val="-21"/>
          <w:sz w:val="28"/>
        </w:rPr>
        <w:t xml:space="preserve"> </w:t>
      </w:r>
      <w:r>
        <w:rPr>
          <w:rFonts w:ascii="Bookman Old Style" w:hAnsi="Bookman Old Style"/>
          <w:sz w:val="28"/>
        </w:rPr>
        <w:t>order</w:t>
      </w:r>
      <w:r>
        <w:rPr>
          <w:rFonts w:ascii="Bookman Old Style" w:hAnsi="Bookman Old Style"/>
          <w:spacing w:val="-21"/>
          <w:sz w:val="28"/>
        </w:rPr>
        <w:t xml:space="preserve"> </w:t>
      </w:r>
      <w:r>
        <w:rPr>
          <w:rFonts w:ascii="Bookman Old Style" w:hAnsi="Bookman Old Style"/>
          <w:spacing w:val="-8"/>
          <w:sz w:val="28"/>
        </w:rPr>
        <w:t xml:space="preserve">nor </w:t>
      </w:r>
      <w:r>
        <w:rPr>
          <w:rFonts w:ascii="Bookman Old Style" w:hAnsi="Bookman Old Style"/>
          <w:sz w:val="28"/>
        </w:rPr>
        <w:t>public health will be at peril by allowing entry of women devotees of the age group of 10 to 50 years into the Sabarimala temple for offering their prayers. As regards public morality, we must make it absolutely clear that since th</w:t>
      </w:r>
      <w:r>
        <w:rPr>
          <w:rFonts w:ascii="Bookman Old Style" w:hAnsi="Bookman Old Style"/>
          <w:sz w:val="28"/>
        </w:rPr>
        <w:t>e Constitution was not shoved, by any external force, upon the people of this country but  was rather</w:t>
      </w:r>
      <w:r>
        <w:rPr>
          <w:rFonts w:ascii="Bookman Old Style" w:hAnsi="Bookman Old Style"/>
          <w:spacing w:val="30"/>
          <w:sz w:val="28"/>
        </w:rPr>
        <w:t xml:space="preserve"> </w:t>
      </w:r>
      <w:r>
        <w:rPr>
          <w:rFonts w:ascii="Bookman Old Style" w:hAnsi="Bookman Old Style"/>
          <w:sz w:val="28"/>
        </w:rPr>
        <w:t>adopted</w:t>
      </w:r>
      <w:r>
        <w:rPr>
          <w:rFonts w:ascii="Bookman Old Style" w:hAnsi="Bookman Old Style"/>
          <w:spacing w:val="29"/>
          <w:sz w:val="28"/>
        </w:rPr>
        <w:t xml:space="preserve"> </w:t>
      </w:r>
      <w:r>
        <w:rPr>
          <w:rFonts w:ascii="Bookman Old Style" w:hAnsi="Bookman Old Style"/>
          <w:sz w:val="28"/>
        </w:rPr>
        <w:t>and</w:t>
      </w:r>
      <w:r>
        <w:rPr>
          <w:rFonts w:ascii="Bookman Old Style" w:hAnsi="Bookman Old Style"/>
          <w:spacing w:val="31"/>
          <w:sz w:val="28"/>
        </w:rPr>
        <w:t xml:space="preserve"> </w:t>
      </w:r>
      <w:r>
        <w:rPr>
          <w:rFonts w:ascii="Bookman Old Style" w:hAnsi="Bookman Old Style"/>
          <w:sz w:val="28"/>
        </w:rPr>
        <w:t>given</w:t>
      </w:r>
      <w:r>
        <w:rPr>
          <w:rFonts w:ascii="Bookman Old Style" w:hAnsi="Bookman Old Style"/>
          <w:spacing w:val="29"/>
          <w:sz w:val="28"/>
        </w:rPr>
        <w:t xml:space="preserve"> </w:t>
      </w:r>
      <w:r>
        <w:rPr>
          <w:rFonts w:ascii="Bookman Old Style" w:hAnsi="Bookman Old Style"/>
          <w:sz w:val="28"/>
        </w:rPr>
        <w:t>by</w:t>
      </w:r>
      <w:r>
        <w:rPr>
          <w:rFonts w:ascii="Bookman Old Style" w:hAnsi="Bookman Old Style"/>
          <w:spacing w:val="30"/>
          <w:sz w:val="28"/>
        </w:rPr>
        <w:t xml:space="preserve"> </w:t>
      </w:r>
      <w:r>
        <w:rPr>
          <w:rFonts w:ascii="Bookman Old Style" w:hAnsi="Bookman Old Style"/>
          <w:sz w:val="28"/>
        </w:rPr>
        <w:t>the</w:t>
      </w:r>
      <w:r>
        <w:rPr>
          <w:rFonts w:ascii="Bookman Old Style" w:hAnsi="Bookman Old Style"/>
          <w:spacing w:val="30"/>
          <w:sz w:val="28"/>
        </w:rPr>
        <w:t xml:space="preserve"> </w:t>
      </w:r>
      <w:r>
        <w:rPr>
          <w:rFonts w:ascii="Bookman Old Style" w:hAnsi="Bookman Old Style"/>
          <w:sz w:val="28"/>
        </w:rPr>
        <w:t>people</w:t>
      </w:r>
      <w:r>
        <w:rPr>
          <w:rFonts w:ascii="Bookman Old Style" w:hAnsi="Bookman Old Style"/>
          <w:spacing w:val="32"/>
          <w:sz w:val="28"/>
        </w:rPr>
        <w:t xml:space="preserve"> </w:t>
      </w:r>
      <w:r>
        <w:rPr>
          <w:rFonts w:ascii="Bookman Old Style" w:hAnsi="Bookman Old Style"/>
          <w:sz w:val="28"/>
        </w:rPr>
        <w:t>of</w:t>
      </w:r>
      <w:r>
        <w:rPr>
          <w:rFonts w:ascii="Bookman Old Style" w:hAnsi="Bookman Old Style"/>
          <w:spacing w:val="30"/>
          <w:sz w:val="28"/>
        </w:rPr>
        <w:t xml:space="preserve"> </w:t>
      </w:r>
      <w:r>
        <w:rPr>
          <w:rFonts w:ascii="Bookman Old Style" w:hAnsi="Bookman Old Style"/>
          <w:sz w:val="28"/>
        </w:rPr>
        <w:t>this</w:t>
      </w:r>
      <w:r>
        <w:rPr>
          <w:rFonts w:ascii="Bookman Old Style" w:hAnsi="Bookman Old Style"/>
          <w:spacing w:val="37"/>
          <w:sz w:val="28"/>
        </w:rPr>
        <w:t xml:space="preserve"> </w:t>
      </w:r>
      <w:r>
        <w:rPr>
          <w:rFonts w:ascii="Bookman Old Style" w:hAnsi="Bookman Old Style"/>
          <w:sz w:val="28"/>
        </w:rPr>
        <w:t>country</w:t>
      </w:r>
      <w:r>
        <w:rPr>
          <w:rFonts w:ascii="Bookman Old Style" w:hAnsi="Bookman Old Style"/>
          <w:spacing w:val="31"/>
          <w:sz w:val="28"/>
        </w:rPr>
        <w:t xml:space="preserve"> </w:t>
      </w:r>
      <w:r>
        <w:rPr>
          <w:rFonts w:ascii="Bookman Old Style" w:hAnsi="Bookman Old Style"/>
          <w:sz w:val="28"/>
        </w:rPr>
        <w:t>to</w:t>
      </w:r>
    </w:p>
    <w:p w:rsidR="003B2FC0" w:rsidRDefault="003B2FC0">
      <w:pPr>
        <w:spacing w:line="480" w:lineRule="auto"/>
        <w:jc w:val="both"/>
        <w:rPr>
          <w:rFonts w:ascii="Bookman Old Style" w:hAnsi="Bookman Old Style"/>
          <w:sz w:val="28"/>
        </w:rPr>
        <w:sectPr w:rsidR="003B2FC0">
          <w:headerReference w:type="default" r:id="rId140"/>
          <w:footerReference w:type="default" r:id="rId141"/>
          <w:pgSz w:w="11910" w:h="16840"/>
          <w:pgMar w:top="1340" w:right="1160" w:bottom="280" w:left="940" w:header="554" w:footer="0" w:gutter="0"/>
          <w:pgNumType w:start="70"/>
          <w:cols w:space="720"/>
        </w:sectPr>
      </w:pPr>
    </w:p>
    <w:p w:rsidR="003B2FC0" w:rsidRDefault="00052A49">
      <w:pPr>
        <w:pStyle w:val="BodyText"/>
        <w:spacing w:before="93" w:line="482" w:lineRule="auto"/>
        <w:ind w:left="500" w:right="277"/>
        <w:jc w:val="both"/>
      </w:pPr>
      <w:r>
        <w:t>themselves, the term public morality has to be appositely understood as being synonymous with constitutional morality.</w:t>
      </w:r>
    </w:p>
    <w:p w:rsidR="003B2FC0" w:rsidRDefault="00052A49">
      <w:pPr>
        <w:pStyle w:val="ListParagraph"/>
        <w:numPr>
          <w:ilvl w:val="0"/>
          <w:numId w:val="60"/>
        </w:numPr>
        <w:tabs>
          <w:tab w:val="left" w:pos="1221"/>
        </w:tabs>
        <w:spacing w:before="193" w:line="480" w:lineRule="auto"/>
        <w:ind w:right="271" w:firstLine="0"/>
        <w:jc w:val="both"/>
        <w:rPr>
          <w:rFonts w:ascii="Bookman Old Style"/>
          <w:sz w:val="28"/>
        </w:rPr>
      </w:pPr>
      <w:r>
        <w:rPr>
          <w:rFonts w:ascii="Bookman Old Style"/>
          <w:sz w:val="28"/>
        </w:rPr>
        <w:t>Having said so, the notions of public order, morality and health cannot be used as colourable device to restrict the  freedom to freely p</w:t>
      </w:r>
      <w:r>
        <w:rPr>
          <w:rFonts w:ascii="Bookman Old Style"/>
          <w:sz w:val="28"/>
        </w:rPr>
        <w:t>ractise religion and discriminate against women of the age group of 10 to 50 years by denying them their legal right to enter and offer their prayers at the Sabarimala temple for the simple reason that public morality must yield to constitutional</w:t>
      </w:r>
      <w:r>
        <w:rPr>
          <w:rFonts w:ascii="Bookman Old Style"/>
          <w:spacing w:val="-3"/>
          <w:sz w:val="28"/>
        </w:rPr>
        <w:t xml:space="preserve"> </w:t>
      </w:r>
      <w:r>
        <w:rPr>
          <w:rFonts w:ascii="Bookman Old Style"/>
          <w:sz w:val="28"/>
        </w:rPr>
        <w:t>morality.</w:t>
      </w:r>
    </w:p>
    <w:p w:rsidR="003B2FC0" w:rsidRDefault="00052A49">
      <w:pPr>
        <w:pStyle w:val="BodyText"/>
        <w:spacing w:before="201"/>
        <w:ind w:left="500" w:right="279"/>
        <w:jc w:val="both"/>
        <w:rPr>
          <w:b/>
        </w:rPr>
      </w:pPr>
      <w:r>
        <w:rPr>
          <w:b/>
          <w:color w:val="000009"/>
          <w:u w:val="single" w:color="000009"/>
        </w:rPr>
        <w:t>Whether exclusionary practice is an essential practice as per</w:t>
      </w:r>
      <w:r>
        <w:rPr>
          <w:b/>
          <w:color w:val="000009"/>
        </w:rPr>
        <w:t xml:space="preserve"> </w:t>
      </w:r>
      <w:r>
        <w:rPr>
          <w:b/>
          <w:color w:val="000009"/>
          <w:u w:val="single" w:color="000009"/>
        </w:rPr>
        <w:t>Hindu religion</w:t>
      </w:r>
    </w:p>
    <w:p w:rsidR="003B2FC0" w:rsidRDefault="003B2FC0">
      <w:pPr>
        <w:pStyle w:val="BodyText"/>
        <w:rPr>
          <w:b/>
          <w:sz w:val="20"/>
        </w:rPr>
      </w:pPr>
    </w:p>
    <w:p w:rsidR="003B2FC0" w:rsidRDefault="003B2FC0">
      <w:pPr>
        <w:pStyle w:val="BodyText"/>
        <w:rPr>
          <w:b/>
          <w:sz w:val="20"/>
        </w:rPr>
      </w:pPr>
    </w:p>
    <w:p w:rsidR="003B2FC0" w:rsidRDefault="00052A49">
      <w:pPr>
        <w:pStyle w:val="ListParagraph"/>
        <w:numPr>
          <w:ilvl w:val="0"/>
          <w:numId w:val="60"/>
        </w:numPr>
        <w:tabs>
          <w:tab w:val="left" w:pos="1221"/>
        </w:tabs>
        <w:spacing w:before="100" w:line="480" w:lineRule="auto"/>
        <w:ind w:right="274" w:firstLine="0"/>
        <w:jc w:val="both"/>
        <w:rPr>
          <w:rFonts w:ascii="Bookman Old Style"/>
          <w:color w:val="000009"/>
          <w:sz w:val="28"/>
        </w:rPr>
      </w:pPr>
      <w:r>
        <w:rPr>
          <w:rFonts w:ascii="Bookman Old Style"/>
          <w:color w:val="000009"/>
          <w:sz w:val="28"/>
        </w:rPr>
        <w:t xml:space="preserve">We have, in the earlier part of this judgment, determined that the devotees of Lord Ayyappa, who though claim to be a separate religious denomination, do not, as per the tests </w:t>
      </w:r>
      <w:r>
        <w:rPr>
          <w:rFonts w:ascii="Bookman Old Style"/>
          <w:color w:val="000009"/>
          <w:sz w:val="28"/>
        </w:rPr>
        <w:t xml:space="preserve">laid down by this Court in several decisions, most prominent of them being </w:t>
      </w:r>
      <w:r>
        <w:rPr>
          <w:rFonts w:ascii="Bookman Old Style"/>
          <w:b/>
          <w:i/>
          <w:color w:val="000009"/>
          <w:sz w:val="28"/>
        </w:rPr>
        <w:t xml:space="preserve">S.P. Mittal </w:t>
      </w:r>
      <w:r>
        <w:rPr>
          <w:rFonts w:ascii="Bookman Old Style"/>
          <w:color w:val="000009"/>
          <w:sz w:val="28"/>
        </w:rPr>
        <w:t>(supra), constitute a separate religious denomination within the meaning of Article 26 of the Constitution. This leads us to a mathematical certainty that the devotees o</w:t>
      </w:r>
      <w:r>
        <w:rPr>
          <w:rFonts w:ascii="Bookman Old Style"/>
          <w:color w:val="000009"/>
          <w:sz w:val="28"/>
        </w:rPr>
        <w:t>f Lord Ayyappa are the followers of Hindu religion. Now, what remains to be seen is whether the exclusion of women of</w:t>
      </w:r>
      <w:r>
        <w:rPr>
          <w:rFonts w:ascii="Bookman Old Style"/>
          <w:color w:val="000009"/>
          <w:spacing w:val="20"/>
          <w:sz w:val="28"/>
        </w:rPr>
        <w:t xml:space="preserve"> </w:t>
      </w:r>
      <w:r>
        <w:rPr>
          <w:rFonts w:ascii="Bookman Old Style"/>
          <w:color w:val="000009"/>
          <w:sz w:val="28"/>
        </w:rPr>
        <w:t>the</w:t>
      </w:r>
      <w:r>
        <w:rPr>
          <w:rFonts w:ascii="Bookman Old Style"/>
          <w:color w:val="000009"/>
          <w:spacing w:val="23"/>
          <w:sz w:val="28"/>
        </w:rPr>
        <w:t xml:space="preserve"> </w:t>
      </w:r>
      <w:r>
        <w:rPr>
          <w:rFonts w:ascii="Bookman Old Style"/>
          <w:color w:val="000009"/>
          <w:sz w:val="28"/>
        </w:rPr>
        <w:t>age</w:t>
      </w:r>
      <w:r>
        <w:rPr>
          <w:rFonts w:ascii="Bookman Old Style"/>
          <w:color w:val="000009"/>
          <w:spacing w:val="23"/>
          <w:sz w:val="28"/>
        </w:rPr>
        <w:t xml:space="preserve"> </w:t>
      </w:r>
      <w:r>
        <w:rPr>
          <w:rFonts w:ascii="Bookman Old Style"/>
          <w:color w:val="000009"/>
          <w:sz w:val="28"/>
        </w:rPr>
        <w:t>group</w:t>
      </w:r>
      <w:r>
        <w:rPr>
          <w:rFonts w:ascii="Bookman Old Style"/>
          <w:color w:val="000009"/>
          <w:spacing w:val="22"/>
          <w:sz w:val="28"/>
        </w:rPr>
        <w:t xml:space="preserve"> </w:t>
      </w:r>
      <w:r>
        <w:rPr>
          <w:rFonts w:ascii="Bookman Old Style"/>
          <w:color w:val="000009"/>
          <w:sz w:val="28"/>
        </w:rPr>
        <w:t>of</w:t>
      </w:r>
      <w:r>
        <w:rPr>
          <w:rFonts w:ascii="Bookman Old Style"/>
          <w:color w:val="000009"/>
          <w:spacing w:val="20"/>
          <w:sz w:val="28"/>
        </w:rPr>
        <w:t xml:space="preserve"> </w:t>
      </w:r>
      <w:r>
        <w:rPr>
          <w:rFonts w:ascii="Bookman Old Style"/>
          <w:color w:val="000009"/>
          <w:sz w:val="28"/>
        </w:rPr>
        <w:t>10</w:t>
      </w:r>
      <w:r>
        <w:rPr>
          <w:rFonts w:ascii="Bookman Old Style"/>
          <w:color w:val="000009"/>
          <w:spacing w:val="22"/>
          <w:sz w:val="28"/>
        </w:rPr>
        <w:t xml:space="preserve"> </w:t>
      </w:r>
      <w:r>
        <w:rPr>
          <w:rFonts w:ascii="Bookman Old Style"/>
          <w:color w:val="000009"/>
          <w:sz w:val="28"/>
        </w:rPr>
        <w:t>to</w:t>
      </w:r>
      <w:r>
        <w:rPr>
          <w:rFonts w:ascii="Bookman Old Style"/>
          <w:color w:val="000009"/>
          <w:spacing w:val="21"/>
          <w:sz w:val="28"/>
        </w:rPr>
        <w:t xml:space="preserve"> </w:t>
      </w:r>
      <w:r>
        <w:rPr>
          <w:rFonts w:ascii="Bookman Old Style"/>
          <w:color w:val="000009"/>
          <w:sz w:val="28"/>
        </w:rPr>
        <w:t>50</w:t>
      </w:r>
      <w:r>
        <w:rPr>
          <w:rFonts w:ascii="Bookman Old Style"/>
          <w:color w:val="000009"/>
          <w:spacing w:val="24"/>
          <w:sz w:val="28"/>
        </w:rPr>
        <w:t xml:space="preserve"> </w:t>
      </w:r>
      <w:r>
        <w:rPr>
          <w:rFonts w:ascii="Bookman Old Style"/>
          <w:color w:val="000009"/>
          <w:sz w:val="28"/>
        </w:rPr>
        <w:t>years</w:t>
      </w:r>
      <w:r>
        <w:rPr>
          <w:rFonts w:ascii="Bookman Old Style"/>
          <w:color w:val="000009"/>
          <w:spacing w:val="18"/>
          <w:sz w:val="28"/>
        </w:rPr>
        <w:t xml:space="preserve"> </w:t>
      </w:r>
      <w:r>
        <w:rPr>
          <w:rFonts w:ascii="Bookman Old Style"/>
          <w:color w:val="000009"/>
          <w:sz w:val="28"/>
        </w:rPr>
        <w:t>is</w:t>
      </w:r>
      <w:r>
        <w:rPr>
          <w:rFonts w:ascii="Bookman Old Style"/>
          <w:color w:val="000009"/>
          <w:spacing w:val="22"/>
          <w:sz w:val="28"/>
        </w:rPr>
        <w:t xml:space="preserve"> </w:t>
      </w:r>
      <w:r>
        <w:rPr>
          <w:rFonts w:ascii="Bookman Old Style"/>
          <w:color w:val="000009"/>
          <w:sz w:val="28"/>
        </w:rPr>
        <w:t>an</w:t>
      </w:r>
      <w:r>
        <w:rPr>
          <w:rFonts w:ascii="Bookman Old Style"/>
          <w:color w:val="000009"/>
          <w:spacing w:val="21"/>
          <w:sz w:val="28"/>
        </w:rPr>
        <w:t xml:space="preserve"> </w:t>
      </w:r>
      <w:r>
        <w:rPr>
          <w:rFonts w:ascii="Bookman Old Style"/>
          <w:color w:val="000009"/>
          <w:sz w:val="28"/>
        </w:rPr>
        <w:t>essential</w:t>
      </w:r>
      <w:r>
        <w:rPr>
          <w:rFonts w:ascii="Bookman Old Style"/>
          <w:color w:val="000009"/>
          <w:spacing w:val="18"/>
          <w:sz w:val="28"/>
        </w:rPr>
        <w:t xml:space="preserve"> </w:t>
      </w:r>
      <w:r>
        <w:rPr>
          <w:rFonts w:ascii="Bookman Old Style"/>
          <w:color w:val="000009"/>
          <w:sz w:val="28"/>
        </w:rPr>
        <w:t>practice</w:t>
      </w:r>
      <w:r>
        <w:rPr>
          <w:rFonts w:ascii="Bookman Old Style"/>
          <w:color w:val="000009"/>
          <w:spacing w:val="24"/>
          <w:sz w:val="28"/>
        </w:rPr>
        <w:t xml:space="preserve"> </w:t>
      </w:r>
      <w:r>
        <w:rPr>
          <w:rFonts w:ascii="Bookman Old Style"/>
          <w:color w:val="000009"/>
          <w:sz w:val="28"/>
        </w:rPr>
        <w:t>under</w:t>
      </w:r>
    </w:p>
    <w:p w:rsidR="003B2FC0" w:rsidRDefault="003B2FC0">
      <w:pPr>
        <w:spacing w:line="480" w:lineRule="auto"/>
        <w:jc w:val="both"/>
        <w:rPr>
          <w:rFonts w:ascii="Bookman Old Style"/>
          <w:sz w:val="28"/>
        </w:rPr>
        <w:sectPr w:rsidR="003B2FC0">
          <w:headerReference w:type="default" r:id="rId142"/>
          <w:footerReference w:type="default" r:id="rId143"/>
          <w:pgSz w:w="11910" w:h="16840"/>
          <w:pgMar w:top="1340" w:right="1160" w:bottom="280" w:left="940" w:header="554" w:footer="0" w:gutter="0"/>
          <w:pgNumType w:start="71"/>
          <w:cols w:space="720"/>
        </w:sectPr>
      </w:pPr>
    </w:p>
    <w:p w:rsidR="003B2FC0" w:rsidRDefault="00052A49">
      <w:pPr>
        <w:pStyle w:val="BodyText"/>
        <w:spacing w:before="93" w:line="480" w:lineRule="auto"/>
        <w:ind w:left="500" w:right="273"/>
        <w:jc w:val="both"/>
      </w:pPr>
      <w:r>
        <w:rPr>
          <w:color w:val="000009"/>
        </w:rPr>
        <w:t>the Hindu religion in the backdrop of the peculiar attending circumstances attributable to the Sabarimala temple. For ascertaining the said question, we first need to understand what constitutes an essential practice for a particular religion which has bee</w:t>
      </w:r>
      <w:r>
        <w:rPr>
          <w:color w:val="000009"/>
        </w:rPr>
        <w:t xml:space="preserve">n the subject matter of several decisions of this Court. Article 25 merely protects the freedom to practise rituals, ceremonies, etc. which are an integral part of a religion as observed by this Court in </w:t>
      </w:r>
      <w:r>
        <w:rPr>
          <w:b/>
          <w:i/>
          <w:color w:val="000009"/>
        </w:rPr>
        <w:t>John Vallamattom and another v. Union of India</w:t>
      </w:r>
      <w:r>
        <w:rPr>
          <w:color w:val="000009"/>
          <w:position w:val="7"/>
          <w:sz w:val="18"/>
        </w:rPr>
        <w:t>31</w:t>
      </w:r>
      <w:r>
        <w:rPr>
          <w:color w:val="000009"/>
        </w:rPr>
        <w:t>. Wh</w:t>
      </w:r>
      <w:r>
        <w:rPr>
          <w:color w:val="000009"/>
        </w:rPr>
        <w:t>ile saying so, the Court ruled that a disposition towards making gift for charitable or religious purpose can be designated as a pious act of a person, but the same cannot be said to be an integral part of any</w:t>
      </w:r>
      <w:r>
        <w:rPr>
          <w:color w:val="000009"/>
          <w:spacing w:val="-19"/>
        </w:rPr>
        <w:t xml:space="preserve"> </w:t>
      </w:r>
      <w:r>
        <w:rPr>
          <w:color w:val="000009"/>
        </w:rPr>
        <w:t>religion.</w:t>
      </w:r>
    </w:p>
    <w:p w:rsidR="003B2FC0" w:rsidRDefault="00052A49">
      <w:pPr>
        <w:pStyle w:val="ListParagraph"/>
        <w:numPr>
          <w:ilvl w:val="0"/>
          <w:numId w:val="60"/>
        </w:numPr>
        <w:tabs>
          <w:tab w:val="left" w:pos="1221"/>
        </w:tabs>
        <w:spacing w:before="1" w:line="480" w:lineRule="auto"/>
        <w:ind w:right="273" w:firstLine="0"/>
        <w:jc w:val="both"/>
        <w:rPr>
          <w:rFonts w:ascii="Bookman Old Style"/>
          <w:color w:val="000009"/>
          <w:sz w:val="28"/>
        </w:rPr>
      </w:pPr>
      <w:r>
        <w:rPr>
          <w:rFonts w:ascii="Bookman Old Style"/>
          <w:color w:val="000009"/>
          <w:sz w:val="28"/>
        </w:rPr>
        <w:t xml:space="preserve">The role of essential practices to a particular religion has been well demonstrated by Lord Halsbury in </w:t>
      </w:r>
      <w:r>
        <w:rPr>
          <w:rFonts w:ascii="Bookman Old Style"/>
          <w:b/>
          <w:i/>
          <w:color w:val="000009"/>
          <w:sz w:val="28"/>
        </w:rPr>
        <w:t>Free Church of Scotland v. Overtoun</w:t>
      </w:r>
      <w:r>
        <w:rPr>
          <w:rFonts w:ascii="Bookman Old Style"/>
          <w:color w:val="000009"/>
          <w:position w:val="7"/>
          <w:sz w:val="18"/>
        </w:rPr>
        <w:t xml:space="preserve">32 </w:t>
      </w:r>
      <w:r>
        <w:rPr>
          <w:rFonts w:ascii="Bookman Old Style"/>
          <w:color w:val="000009"/>
          <w:sz w:val="28"/>
        </w:rPr>
        <w:t>wherein it was</w:t>
      </w:r>
      <w:r>
        <w:rPr>
          <w:rFonts w:ascii="Bookman Old Style"/>
          <w:color w:val="000009"/>
          <w:spacing w:val="-36"/>
          <w:sz w:val="28"/>
        </w:rPr>
        <w:t xml:space="preserve"> </w:t>
      </w:r>
      <w:r>
        <w:rPr>
          <w:rFonts w:ascii="Bookman Old Style"/>
          <w:color w:val="000009"/>
          <w:sz w:val="28"/>
        </w:rPr>
        <w:t>observed:</w:t>
      </w:r>
    </w:p>
    <w:p w:rsidR="003B2FC0" w:rsidRDefault="00052A49">
      <w:pPr>
        <w:pStyle w:val="BodyText"/>
        <w:ind w:left="1580" w:right="1535"/>
        <w:jc w:val="both"/>
      </w:pPr>
      <w:r>
        <w:rPr>
          <w:color w:val="000009"/>
        </w:rPr>
        <w:t>"In the absence of conformity to essentials, the denomination would not be an entity ceme</w:t>
      </w:r>
      <w:r>
        <w:rPr>
          <w:color w:val="000009"/>
        </w:rPr>
        <w:t>nted into solidity by harmonious uniformity of opinion, it would be a mere incongruous heap of, as it were, grains of sand, thrown together without being united, each of these intellectual and isolated grains differing from every other, and the whole formi</w:t>
      </w:r>
      <w:r>
        <w:rPr>
          <w:color w:val="000009"/>
        </w:rPr>
        <w:t>ng a but nominally united while really unconnected mass; fraught</w:t>
      </w:r>
      <w:r>
        <w:rPr>
          <w:color w:val="000009"/>
          <w:spacing w:val="38"/>
        </w:rPr>
        <w:t xml:space="preserve"> </w:t>
      </w:r>
      <w:r>
        <w:rPr>
          <w:color w:val="000009"/>
        </w:rPr>
        <w:t>with</w:t>
      </w:r>
    </w:p>
    <w:p w:rsidR="003B2FC0" w:rsidRDefault="003B2FC0">
      <w:pPr>
        <w:pStyle w:val="BodyText"/>
        <w:rPr>
          <w:sz w:val="20"/>
        </w:rPr>
      </w:pPr>
    </w:p>
    <w:p w:rsidR="003B2FC0" w:rsidRDefault="003B2FC0">
      <w:pPr>
        <w:pStyle w:val="BodyText"/>
        <w:spacing w:before="7"/>
        <w:rPr>
          <w:sz w:val="25"/>
        </w:rPr>
      </w:pPr>
      <w:r w:rsidRPr="003B2FC0">
        <w:pict>
          <v:line id="_x0000_s1153" style="position:absolute;z-index:-251603456;mso-wrap-distance-left:0;mso-wrap-distance-right:0;mso-position-horizontal-relative:page" from="1in,17.3pt" to="216.05pt,17.3pt" strokeweight=".6pt">
            <w10:wrap type="topAndBottom" anchorx="page"/>
          </v:line>
        </w:pict>
      </w:r>
    </w:p>
    <w:p w:rsidR="003B2FC0" w:rsidRDefault="00052A49">
      <w:pPr>
        <w:spacing w:before="54"/>
        <w:ind w:left="500"/>
        <w:rPr>
          <w:rFonts w:ascii="Calibri"/>
        </w:rPr>
      </w:pPr>
      <w:r>
        <w:rPr>
          <w:rFonts w:ascii="Calibri"/>
          <w:position w:val="10"/>
          <w:sz w:val="14"/>
        </w:rPr>
        <w:t xml:space="preserve">31 </w:t>
      </w:r>
      <w:r>
        <w:rPr>
          <w:rFonts w:ascii="Calibri"/>
        </w:rPr>
        <w:t>(2003) 6 SCC 611</w:t>
      </w:r>
    </w:p>
    <w:p w:rsidR="003B2FC0" w:rsidRDefault="003B2FC0">
      <w:pPr>
        <w:rPr>
          <w:rFonts w:ascii="Calibri"/>
        </w:rPr>
        <w:sectPr w:rsidR="003B2FC0">
          <w:footerReference w:type="default" r:id="rId144"/>
          <w:pgSz w:w="11910" w:h="16840"/>
          <w:pgMar w:top="1340" w:right="1160" w:bottom="1540" w:left="940" w:header="554" w:footer="1342" w:gutter="0"/>
          <w:cols w:space="720"/>
        </w:sectPr>
      </w:pPr>
    </w:p>
    <w:p w:rsidR="003B2FC0" w:rsidRDefault="00052A49">
      <w:pPr>
        <w:pStyle w:val="BodyText"/>
        <w:spacing w:before="93"/>
        <w:ind w:left="1580" w:right="1538"/>
        <w:jc w:val="both"/>
      </w:pPr>
      <w:r>
        <w:rPr>
          <w:color w:val="000009"/>
        </w:rPr>
        <w:t>nothing but internal dissimilitude, and mutual and reciprocal contradiction and dissension."</w:t>
      </w:r>
    </w:p>
    <w:p w:rsidR="003B2FC0" w:rsidRDefault="003B2FC0">
      <w:pPr>
        <w:pStyle w:val="BodyText"/>
        <w:spacing w:before="9"/>
        <w:rPr>
          <w:sz w:val="27"/>
        </w:rPr>
      </w:pPr>
    </w:p>
    <w:p w:rsidR="003B2FC0" w:rsidRDefault="00052A49">
      <w:pPr>
        <w:pStyle w:val="ListParagraph"/>
        <w:numPr>
          <w:ilvl w:val="0"/>
          <w:numId w:val="60"/>
        </w:numPr>
        <w:tabs>
          <w:tab w:val="left" w:pos="1221"/>
        </w:tabs>
        <w:spacing w:line="480" w:lineRule="auto"/>
        <w:ind w:right="278" w:firstLine="0"/>
        <w:jc w:val="both"/>
        <w:rPr>
          <w:rFonts w:ascii="Bookman Old Style"/>
          <w:color w:val="000009"/>
          <w:sz w:val="28"/>
        </w:rPr>
      </w:pPr>
      <w:r>
        <w:rPr>
          <w:rFonts w:ascii="Bookman Old Style"/>
          <w:color w:val="000009"/>
          <w:sz w:val="28"/>
        </w:rPr>
        <w:t xml:space="preserve">This Court, in </w:t>
      </w:r>
      <w:r>
        <w:rPr>
          <w:rFonts w:ascii="Bookman Old Style"/>
          <w:b/>
          <w:i/>
          <w:color w:val="000009"/>
          <w:sz w:val="28"/>
        </w:rPr>
        <w:t xml:space="preserve">Shirur Mutt </w:t>
      </w:r>
      <w:r>
        <w:rPr>
          <w:rFonts w:ascii="Bookman Old Style"/>
          <w:color w:val="000009"/>
          <w:sz w:val="28"/>
        </w:rPr>
        <w:t>(s</w:t>
      </w:r>
      <w:r>
        <w:rPr>
          <w:rFonts w:ascii="Bookman Old Style"/>
          <w:color w:val="000009"/>
          <w:sz w:val="28"/>
        </w:rPr>
        <w:t>upra), for the first time, held that what constitutes an essential part of a religion will be ascertained with reference to the tenets and doctrines of that religion itself. The Court had opined</w:t>
      </w:r>
      <w:r>
        <w:rPr>
          <w:rFonts w:ascii="Bookman Old Style"/>
          <w:color w:val="000009"/>
          <w:spacing w:val="-9"/>
          <w:sz w:val="28"/>
        </w:rPr>
        <w:t xml:space="preserve"> </w:t>
      </w:r>
      <w:r>
        <w:rPr>
          <w:rFonts w:ascii="Bookman Old Style"/>
          <w:color w:val="000009"/>
          <w:sz w:val="28"/>
        </w:rPr>
        <w:t>thus:</w:t>
      </w:r>
    </w:p>
    <w:p w:rsidR="003B2FC0" w:rsidRDefault="00052A49">
      <w:pPr>
        <w:pStyle w:val="BodyText"/>
        <w:spacing w:before="2"/>
        <w:ind w:left="1580" w:right="1535"/>
        <w:jc w:val="both"/>
      </w:pPr>
      <w:r>
        <w:rPr>
          <w:color w:val="000009"/>
        </w:rPr>
        <w:t>"</w:t>
      </w:r>
      <w:r>
        <w:rPr>
          <w:color w:val="000009"/>
        </w:rPr>
        <w:t>In the first place, what constitutes the essential part of a religion is primarily to be ascertained with reference to the doctrines of that religion itself."</w:t>
      </w:r>
    </w:p>
    <w:p w:rsidR="003B2FC0" w:rsidRDefault="003B2FC0">
      <w:pPr>
        <w:pStyle w:val="BodyText"/>
        <w:spacing w:before="10"/>
        <w:rPr>
          <w:sz w:val="27"/>
        </w:rPr>
      </w:pPr>
    </w:p>
    <w:p w:rsidR="003B2FC0" w:rsidRDefault="00052A49">
      <w:pPr>
        <w:pStyle w:val="ListParagraph"/>
        <w:numPr>
          <w:ilvl w:val="0"/>
          <w:numId w:val="60"/>
        </w:numPr>
        <w:tabs>
          <w:tab w:val="left" w:pos="1221"/>
        </w:tabs>
        <w:spacing w:line="480" w:lineRule="auto"/>
        <w:ind w:right="273" w:firstLine="0"/>
        <w:jc w:val="both"/>
        <w:rPr>
          <w:rFonts w:ascii="Bookman Old Style"/>
          <w:color w:val="000009"/>
          <w:sz w:val="28"/>
        </w:rPr>
      </w:pPr>
      <w:r>
        <w:rPr>
          <w:rFonts w:ascii="Bookman Old Style"/>
          <w:color w:val="000009"/>
          <w:sz w:val="28"/>
        </w:rPr>
        <w:t xml:space="preserve">In </w:t>
      </w:r>
      <w:r>
        <w:rPr>
          <w:rFonts w:ascii="Bookman Old Style"/>
          <w:b/>
          <w:i/>
          <w:color w:val="000009"/>
          <w:sz w:val="28"/>
        </w:rPr>
        <w:t>Mohd. Hanif Quareshi v. State of Bihar</w:t>
      </w:r>
      <w:r>
        <w:rPr>
          <w:rFonts w:ascii="Bookman Old Style"/>
          <w:color w:val="000009"/>
          <w:position w:val="7"/>
          <w:sz w:val="18"/>
        </w:rPr>
        <w:t>33</w:t>
      </w:r>
      <w:r>
        <w:rPr>
          <w:rFonts w:ascii="Bookman Old Style"/>
          <w:color w:val="000009"/>
          <w:sz w:val="28"/>
        </w:rPr>
        <w:t>, this Court rejected the argument of the petitioner that sacrifice of cow on Bakr-id was an essential practice of Mohammedan religion and ruled that it could be prohibited by the State under Clause 2(a) of Article 25.</w:t>
      </w:r>
    </w:p>
    <w:p w:rsidR="003B2FC0" w:rsidRDefault="00052A49">
      <w:pPr>
        <w:pStyle w:val="ListParagraph"/>
        <w:numPr>
          <w:ilvl w:val="0"/>
          <w:numId w:val="60"/>
        </w:numPr>
        <w:tabs>
          <w:tab w:val="left" w:pos="1221"/>
        </w:tabs>
        <w:spacing w:before="2"/>
        <w:ind w:left="1220"/>
        <w:jc w:val="both"/>
        <w:rPr>
          <w:rFonts w:ascii="Bookman Old Style"/>
          <w:b/>
          <w:i/>
          <w:color w:val="000009"/>
          <w:sz w:val="28"/>
        </w:rPr>
      </w:pPr>
      <w:r>
        <w:rPr>
          <w:rFonts w:ascii="Bookman Old Style"/>
          <w:color w:val="000009"/>
          <w:sz w:val="28"/>
        </w:rPr>
        <w:t xml:space="preserve">Similarly, in </w:t>
      </w:r>
      <w:r>
        <w:rPr>
          <w:rFonts w:ascii="Bookman Old Style"/>
          <w:b/>
          <w:i/>
          <w:color w:val="000009"/>
          <w:sz w:val="28"/>
        </w:rPr>
        <w:t>State of West Bengal an</w:t>
      </w:r>
      <w:r>
        <w:rPr>
          <w:rFonts w:ascii="Bookman Old Style"/>
          <w:b/>
          <w:i/>
          <w:color w:val="000009"/>
          <w:sz w:val="28"/>
        </w:rPr>
        <w:t>d others</w:t>
      </w:r>
      <w:r>
        <w:rPr>
          <w:rFonts w:ascii="Bookman Old Style"/>
          <w:b/>
          <w:i/>
          <w:color w:val="000009"/>
          <w:spacing w:val="88"/>
          <w:sz w:val="28"/>
        </w:rPr>
        <w:t xml:space="preserve"> </w:t>
      </w:r>
      <w:r>
        <w:rPr>
          <w:rFonts w:ascii="Bookman Old Style"/>
          <w:b/>
          <w:i/>
          <w:color w:val="000009"/>
          <w:sz w:val="28"/>
        </w:rPr>
        <w:t>v.</w:t>
      </w:r>
    </w:p>
    <w:p w:rsidR="003B2FC0" w:rsidRDefault="003B2FC0">
      <w:pPr>
        <w:pStyle w:val="BodyText"/>
        <w:rPr>
          <w:b/>
          <w:i/>
        </w:rPr>
      </w:pPr>
    </w:p>
    <w:p w:rsidR="003B2FC0" w:rsidRDefault="00052A49">
      <w:pPr>
        <w:pStyle w:val="BodyText"/>
        <w:spacing w:line="480" w:lineRule="auto"/>
        <w:ind w:left="500" w:right="277"/>
        <w:jc w:val="both"/>
      </w:pPr>
      <w:r>
        <w:rPr>
          <w:b/>
          <w:i/>
          <w:color w:val="000009"/>
        </w:rPr>
        <w:t>Ashutosh Lahiri and others</w:t>
      </w:r>
      <w:r>
        <w:rPr>
          <w:color w:val="000009"/>
          <w:position w:val="7"/>
          <w:sz w:val="18"/>
        </w:rPr>
        <w:t>34</w:t>
      </w:r>
      <w:r>
        <w:rPr>
          <w:color w:val="000009"/>
        </w:rPr>
        <w:t xml:space="preserve">, this Court, while approving </w:t>
      </w:r>
      <w:r>
        <w:rPr>
          <w:color w:val="000009"/>
          <w:spacing w:val="-3"/>
        </w:rPr>
        <w:t xml:space="preserve">the </w:t>
      </w:r>
      <w:r>
        <w:rPr>
          <w:color w:val="000009"/>
        </w:rPr>
        <w:t>judgment of the High Court, observed that the State of West Bengal had wrongly invoked Section 12 of the West Bengal Animal Slaughter Control Act, 1950 on the ground that exemption</w:t>
      </w:r>
      <w:r>
        <w:rPr>
          <w:color w:val="000009"/>
          <w:spacing w:val="17"/>
        </w:rPr>
        <w:t xml:space="preserve"> </w:t>
      </w:r>
      <w:r>
        <w:rPr>
          <w:color w:val="000009"/>
        </w:rPr>
        <w:t>of</w:t>
      </w:r>
      <w:r>
        <w:rPr>
          <w:color w:val="000009"/>
          <w:spacing w:val="17"/>
        </w:rPr>
        <w:t xml:space="preserve"> </w:t>
      </w:r>
      <w:r>
        <w:rPr>
          <w:color w:val="000009"/>
        </w:rPr>
        <w:t>slaughtering</w:t>
      </w:r>
      <w:r>
        <w:rPr>
          <w:color w:val="000009"/>
          <w:spacing w:val="17"/>
        </w:rPr>
        <w:t xml:space="preserve"> </w:t>
      </w:r>
      <w:r>
        <w:rPr>
          <w:color w:val="000009"/>
        </w:rPr>
        <w:t>healthy</w:t>
      </w:r>
      <w:r>
        <w:rPr>
          <w:color w:val="000009"/>
          <w:spacing w:val="18"/>
        </w:rPr>
        <w:t xml:space="preserve"> </w:t>
      </w:r>
      <w:r>
        <w:rPr>
          <w:color w:val="000009"/>
        </w:rPr>
        <w:t>cows</w:t>
      </w:r>
      <w:r>
        <w:rPr>
          <w:color w:val="000009"/>
          <w:spacing w:val="18"/>
        </w:rPr>
        <w:t xml:space="preserve"> </w:t>
      </w:r>
      <w:r>
        <w:rPr>
          <w:color w:val="000009"/>
        </w:rPr>
        <w:t>was</w:t>
      </w:r>
      <w:r>
        <w:rPr>
          <w:color w:val="000009"/>
          <w:spacing w:val="19"/>
        </w:rPr>
        <w:t xml:space="preserve"> </w:t>
      </w:r>
      <w:r>
        <w:rPr>
          <w:color w:val="000009"/>
        </w:rPr>
        <w:t>required</w:t>
      </w:r>
      <w:r>
        <w:rPr>
          <w:color w:val="000009"/>
          <w:spacing w:val="19"/>
        </w:rPr>
        <w:t xml:space="preserve"> </w:t>
      </w:r>
      <w:r>
        <w:rPr>
          <w:color w:val="000009"/>
        </w:rPr>
        <w:t>to</w:t>
      </w:r>
      <w:r>
        <w:rPr>
          <w:color w:val="000009"/>
          <w:spacing w:val="18"/>
        </w:rPr>
        <w:t xml:space="preserve"> </w:t>
      </w:r>
      <w:r>
        <w:rPr>
          <w:color w:val="000009"/>
        </w:rPr>
        <w:t>be</w:t>
      </w:r>
      <w:r>
        <w:rPr>
          <w:color w:val="000009"/>
          <w:spacing w:val="21"/>
        </w:rPr>
        <w:t xml:space="preserve"> </w:t>
      </w:r>
      <w:r>
        <w:rPr>
          <w:color w:val="000009"/>
        </w:rPr>
        <w:t>given</w:t>
      </w: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spacing w:before="8"/>
        <w:rPr>
          <w:sz w:val="13"/>
        </w:rPr>
      </w:pPr>
      <w:r w:rsidRPr="003B2FC0">
        <w:pict>
          <v:line id="_x0000_s1152" style="position:absolute;z-index:-251602432;mso-wrap-distance-left:0;mso-wrap-distance-right:0;mso-position-horizontal-relative:page" from="1in,10.35pt" to="216.05pt,10.35pt" strokeweight=".6pt">
            <w10:wrap type="topAndBottom" anchorx="page"/>
          </v:line>
        </w:pict>
      </w:r>
    </w:p>
    <w:p w:rsidR="003B2FC0" w:rsidRDefault="00052A49">
      <w:pPr>
        <w:spacing w:before="54"/>
        <w:ind w:left="514"/>
        <w:rPr>
          <w:rFonts w:ascii="Calibri"/>
        </w:rPr>
      </w:pPr>
      <w:r>
        <w:rPr>
          <w:rFonts w:ascii="Calibri"/>
          <w:position w:val="10"/>
          <w:sz w:val="14"/>
        </w:rPr>
        <w:t xml:space="preserve">33 </w:t>
      </w:r>
      <w:r>
        <w:rPr>
          <w:rFonts w:ascii="Calibri"/>
        </w:rPr>
        <w:t>AIR 1958 SC 731</w:t>
      </w:r>
    </w:p>
    <w:p w:rsidR="003B2FC0" w:rsidRDefault="003B2FC0">
      <w:pPr>
        <w:rPr>
          <w:rFonts w:ascii="Calibri"/>
        </w:rPr>
        <w:sectPr w:rsidR="003B2FC0">
          <w:footerReference w:type="default" r:id="rId145"/>
          <w:pgSz w:w="11910" w:h="16840"/>
          <w:pgMar w:top="1340" w:right="1160" w:bottom="1540" w:left="940" w:header="554" w:footer="1342" w:gutter="0"/>
          <w:cols w:space="720"/>
        </w:sectPr>
      </w:pPr>
    </w:p>
    <w:p w:rsidR="003B2FC0" w:rsidRDefault="00052A49">
      <w:pPr>
        <w:pStyle w:val="BodyText"/>
        <w:spacing w:before="93" w:line="480" w:lineRule="auto"/>
        <w:ind w:left="500" w:right="373"/>
      </w:pPr>
      <w:r>
        <w:rPr>
          <w:color w:val="000009"/>
        </w:rPr>
        <w:t>for the Muslim community. While holding so, the Court opined thus:</w:t>
      </w:r>
    </w:p>
    <w:p w:rsidR="003B2FC0" w:rsidRDefault="00052A49">
      <w:pPr>
        <w:pStyle w:val="BodyText"/>
        <w:ind w:left="1580" w:right="1533"/>
        <w:jc w:val="both"/>
      </w:pPr>
      <w:r>
        <w:rPr>
          <w:color w:val="000009"/>
        </w:rPr>
        <w:t>"</w:t>
      </w:r>
      <w:r>
        <w:rPr>
          <w:color w:val="000009"/>
        </w:rPr>
        <w:t>...before the State can exercise the exemption power under Section 12 in connection with slaughter of any healthy animal covered by the Act, it must be shown that such exemption is necessary to be granted for sub-serving an essential religious, medicinal o</w:t>
      </w:r>
      <w:r>
        <w:rPr>
          <w:color w:val="000009"/>
        </w:rPr>
        <w:t xml:space="preserve">r research purpose. </w:t>
      </w:r>
      <w:r>
        <w:rPr>
          <w:color w:val="000009"/>
          <w:spacing w:val="2"/>
        </w:rPr>
        <w:t xml:space="preserve">If </w:t>
      </w:r>
      <w:r>
        <w:rPr>
          <w:color w:val="000009"/>
        </w:rPr>
        <w:t>granting of such exemption is not essential or necessary for effectuating such a purpose no such exemption can be granted so as to by-pass the thrust of the main provisions of the</w:t>
      </w:r>
      <w:r>
        <w:rPr>
          <w:color w:val="000009"/>
          <w:spacing w:val="-2"/>
        </w:rPr>
        <w:t xml:space="preserve"> </w:t>
      </w:r>
      <w:r>
        <w:rPr>
          <w:color w:val="000009"/>
        </w:rPr>
        <w:t>Act."</w:t>
      </w:r>
    </w:p>
    <w:p w:rsidR="003B2FC0" w:rsidRDefault="003B2FC0">
      <w:pPr>
        <w:pStyle w:val="BodyText"/>
        <w:spacing w:before="9"/>
        <w:rPr>
          <w:sz w:val="27"/>
        </w:rPr>
      </w:pPr>
    </w:p>
    <w:p w:rsidR="003B2FC0" w:rsidRDefault="00052A49">
      <w:pPr>
        <w:pStyle w:val="ListParagraph"/>
        <w:numPr>
          <w:ilvl w:val="0"/>
          <w:numId w:val="60"/>
        </w:numPr>
        <w:tabs>
          <w:tab w:val="left" w:pos="1221"/>
        </w:tabs>
        <w:spacing w:line="480" w:lineRule="auto"/>
        <w:ind w:right="275" w:firstLine="0"/>
        <w:jc w:val="both"/>
        <w:rPr>
          <w:rFonts w:ascii="Bookman Old Style"/>
          <w:color w:val="000009"/>
          <w:sz w:val="28"/>
        </w:rPr>
      </w:pPr>
      <w:r>
        <w:rPr>
          <w:rFonts w:ascii="Bookman Old Style"/>
          <w:color w:val="000009"/>
          <w:sz w:val="28"/>
        </w:rPr>
        <w:t xml:space="preserve">In </w:t>
      </w:r>
      <w:r>
        <w:rPr>
          <w:rFonts w:ascii="Bookman Old Style"/>
          <w:b/>
          <w:i/>
          <w:color w:val="000009"/>
          <w:sz w:val="28"/>
        </w:rPr>
        <w:t xml:space="preserve">Durgah Committee, Ajmer and others </w:t>
      </w:r>
      <w:r>
        <w:rPr>
          <w:rFonts w:ascii="Bookman Old Style"/>
          <w:b/>
          <w:i/>
          <w:color w:val="000009"/>
          <w:spacing w:val="2"/>
          <w:sz w:val="28"/>
        </w:rPr>
        <w:t xml:space="preserve">v. </w:t>
      </w:r>
      <w:r>
        <w:rPr>
          <w:rFonts w:ascii="Bookman Old Style"/>
          <w:b/>
          <w:i/>
          <w:color w:val="000009"/>
          <w:sz w:val="28"/>
        </w:rPr>
        <w:t xml:space="preserve">Syed </w:t>
      </w:r>
      <w:r>
        <w:rPr>
          <w:rFonts w:ascii="Bookman Old Style"/>
          <w:b/>
          <w:i/>
          <w:color w:val="000009"/>
          <w:sz w:val="28"/>
        </w:rPr>
        <w:t>Hussain Ali and others</w:t>
      </w:r>
      <w:r>
        <w:rPr>
          <w:rFonts w:ascii="Bookman Old Style"/>
          <w:color w:val="000009"/>
          <w:position w:val="7"/>
          <w:sz w:val="18"/>
        </w:rPr>
        <w:t>35</w:t>
      </w:r>
      <w:r>
        <w:rPr>
          <w:rFonts w:ascii="Bookman Old Style"/>
          <w:color w:val="000009"/>
          <w:sz w:val="28"/>
        </w:rPr>
        <w:t>, the Court, although speaking in the context of Article 26, warned that some practices, though religious, may have sprung from merely superstitious beliefs and may, in that sense, be extraneous and unessential accretions to religio</w:t>
      </w:r>
      <w:r>
        <w:rPr>
          <w:rFonts w:ascii="Bookman Old Style"/>
          <w:color w:val="000009"/>
          <w:sz w:val="28"/>
        </w:rPr>
        <w:t>n itself and unless such practices are found to constitute an essential and integral part of a religion, their claim for protection as essential practices may have to be carefully scrutinised; in other words, the protection must be confined to such religio</w:t>
      </w:r>
      <w:r>
        <w:rPr>
          <w:rFonts w:ascii="Bookman Old Style"/>
          <w:color w:val="000009"/>
          <w:sz w:val="28"/>
        </w:rPr>
        <w:t>us practices as are an essential and an integral part of the religion and no</w:t>
      </w:r>
      <w:r>
        <w:rPr>
          <w:rFonts w:ascii="Bookman Old Style"/>
          <w:color w:val="000009"/>
          <w:spacing w:val="-2"/>
          <w:sz w:val="28"/>
        </w:rPr>
        <w:t xml:space="preserve"> </w:t>
      </w:r>
      <w:r>
        <w:rPr>
          <w:rFonts w:ascii="Bookman Old Style"/>
          <w:color w:val="000009"/>
          <w:sz w:val="28"/>
        </w:rPr>
        <w:t>other.</w:t>
      </w:r>
    </w:p>
    <w:p w:rsidR="003B2FC0" w:rsidRDefault="003B2FC0">
      <w:pPr>
        <w:pStyle w:val="ListParagraph"/>
        <w:numPr>
          <w:ilvl w:val="0"/>
          <w:numId w:val="60"/>
        </w:numPr>
        <w:tabs>
          <w:tab w:val="left" w:pos="1221"/>
        </w:tabs>
        <w:spacing w:before="4" w:line="480" w:lineRule="auto"/>
        <w:ind w:right="273" w:firstLine="0"/>
        <w:jc w:val="both"/>
        <w:rPr>
          <w:rFonts w:ascii="Bookman Old Style"/>
          <w:color w:val="000009"/>
          <w:sz w:val="28"/>
        </w:rPr>
      </w:pPr>
      <w:r w:rsidRPr="003B2FC0">
        <w:pict>
          <v:line id="_x0000_s1151" style="position:absolute;left:0;text-align:left;z-index:-251620864;mso-position-horizontal-relative:page" from="1in,58.95pt" to="216.05pt,58.95pt" strokeweight=".21169mm">
            <w10:wrap anchorx="page"/>
          </v:line>
        </w:pict>
      </w:r>
      <w:r w:rsidR="00052A49">
        <w:rPr>
          <w:rFonts w:ascii="Bookman Old Style"/>
          <w:color w:val="000009"/>
          <w:sz w:val="28"/>
        </w:rPr>
        <w:t>The Court, in this case, has excluded such practices from protection which, though may have acquired the characteristic</w:t>
      </w:r>
      <w:r w:rsidR="00052A49">
        <w:rPr>
          <w:rFonts w:ascii="Bookman Old Style"/>
          <w:color w:val="000009"/>
          <w:spacing w:val="70"/>
          <w:sz w:val="28"/>
        </w:rPr>
        <w:t xml:space="preserve"> </w:t>
      </w:r>
      <w:r w:rsidR="00052A49">
        <w:rPr>
          <w:rFonts w:ascii="Bookman Old Style"/>
          <w:color w:val="000009"/>
          <w:sz w:val="28"/>
        </w:rPr>
        <w:t>of</w:t>
      </w:r>
    </w:p>
    <w:p w:rsidR="003B2FC0" w:rsidRDefault="003B2FC0">
      <w:pPr>
        <w:spacing w:line="480" w:lineRule="auto"/>
        <w:jc w:val="both"/>
        <w:rPr>
          <w:rFonts w:ascii="Bookman Old Style"/>
          <w:sz w:val="28"/>
        </w:rPr>
        <w:sectPr w:rsidR="003B2FC0">
          <w:footerReference w:type="default" r:id="rId146"/>
          <w:pgSz w:w="11910" w:h="16840"/>
          <w:pgMar w:top="1340" w:right="1160" w:bottom="1600" w:left="940" w:header="554" w:footer="1416" w:gutter="0"/>
          <w:cols w:space="720"/>
        </w:sectPr>
      </w:pPr>
    </w:p>
    <w:p w:rsidR="003B2FC0" w:rsidRDefault="00052A49">
      <w:pPr>
        <w:pStyle w:val="BodyText"/>
        <w:spacing w:before="93" w:line="480" w:lineRule="auto"/>
        <w:ind w:left="500" w:right="275"/>
        <w:jc w:val="both"/>
      </w:pPr>
      <w:r>
        <w:rPr>
          <w:color w:val="000009"/>
        </w:rPr>
        <w:t>relig</w:t>
      </w:r>
      <w:r>
        <w:rPr>
          <w:color w:val="000009"/>
        </w:rPr>
        <w:t>ious practices, are found, on careful scrutiny, to be an outcome of some superstitious beliefs which may render them unessential and not an integral part of the religion.</w:t>
      </w:r>
    </w:p>
    <w:p w:rsidR="003B2FC0" w:rsidRDefault="00052A49">
      <w:pPr>
        <w:pStyle w:val="ListParagraph"/>
        <w:numPr>
          <w:ilvl w:val="0"/>
          <w:numId w:val="60"/>
        </w:numPr>
        <w:tabs>
          <w:tab w:val="left" w:pos="1221"/>
        </w:tabs>
        <w:spacing w:line="327" w:lineRule="exact"/>
        <w:ind w:left="1220"/>
        <w:jc w:val="both"/>
        <w:rPr>
          <w:rFonts w:ascii="Bookman Old Style"/>
          <w:b/>
          <w:i/>
          <w:color w:val="000009"/>
          <w:sz w:val="28"/>
        </w:rPr>
      </w:pPr>
      <w:r>
        <w:rPr>
          <w:rFonts w:ascii="Bookman Old Style"/>
          <w:color w:val="000009"/>
          <w:sz w:val="28"/>
        </w:rPr>
        <w:t xml:space="preserve">In </w:t>
      </w:r>
      <w:r>
        <w:rPr>
          <w:rFonts w:ascii="Bookman Old Style"/>
          <w:b/>
          <w:i/>
          <w:color w:val="000009"/>
          <w:sz w:val="28"/>
        </w:rPr>
        <w:t>Acharya Jagadishwarananda Avadhuta and</w:t>
      </w:r>
      <w:r>
        <w:rPr>
          <w:rFonts w:ascii="Bookman Old Style"/>
          <w:b/>
          <w:i/>
          <w:color w:val="000009"/>
          <w:spacing w:val="82"/>
          <w:sz w:val="28"/>
        </w:rPr>
        <w:t xml:space="preserve"> </w:t>
      </w:r>
      <w:r>
        <w:rPr>
          <w:rFonts w:ascii="Bookman Old Style"/>
          <w:b/>
          <w:i/>
          <w:color w:val="000009"/>
          <w:sz w:val="28"/>
        </w:rPr>
        <w:t>others</w:t>
      </w:r>
    </w:p>
    <w:p w:rsidR="003B2FC0" w:rsidRDefault="003B2FC0">
      <w:pPr>
        <w:pStyle w:val="BodyText"/>
        <w:spacing w:before="5"/>
        <w:rPr>
          <w:b/>
          <w:i/>
          <w:sz w:val="27"/>
        </w:rPr>
      </w:pPr>
    </w:p>
    <w:p w:rsidR="003B2FC0" w:rsidRDefault="00052A49">
      <w:pPr>
        <w:pStyle w:val="BodyText"/>
        <w:spacing w:line="480" w:lineRule="auto"/>
        <w:ind w:left="500" w:right="273"/>
        <w:jc w:val="both"/>
      </w:pPr>
      <w:r>
        <w:rPr>
          <w:b/>
          <w:i/>
          <w:color w:val="000009"/>
        </w:rPr>
        <w:t>v. Commissioner of Police, Calcutta</w:t>
      </w:r>
      <w:r>
        <w:rPr>
          <w:b/>
          <w:color w:val="000009"/>
          <w:position w:val="11"/>
          <w:sz w:val="17"/>
        </w:rPr>
        <w:t>36</w:t>
      </w:r>
      <w:r>
        <w:rPr>
          <w:color w:val="000009"/>
        </w:rPr>
        <w:t xml:space="preserve">, popularly known as the first </w:t>
      </w:r>
      <w:r>
        <w:rPr>
          <w:i/>
          <w:color w:val="000009"/>
        </w:rPr>
        <w:t xml:space="preserve">Ananda Marga </w:t>
      </w:r>
      <w:r>
        <w:rPr>
          <w:color w:val="000009"/>
        </w:rPr>
        <w:t>case, this Court held that Tandav dance in processions or at public places by the Ananda Margis carrying lethal weapons and human skulls was not an essential religious rite of the followers of Ananda Marga and,</w:t>
      </w:r>
      <w:r>
        <w:rPr>
          <w:color w:val="000009"/>
        </w:rPr>
        <w:t xml:space="preserve"> therefore, the order under Section 144 Cr.PC. prohibiting such processions in the interest of public order and morality was not violative of the rights of the Ananda Marga denomination under Articles 25 and 26 of the Constitution more so when the order un</w:t>
      </w:r>
      <w:r>
        <w:rPr>
          <w:color w:val="000009"/>
        </w:rPr>
        <w:t>der Section 144 Cr.PC. did not completely ban the processions or gatherings at public places but only prohibited carrying of daggers, trishuls and skulls which posed danger to public order and</w:t>
      </w:r>
      <w:r>
        <w:rPr>
          <w:color w:val="000009"/>
          <w:spacing w:val="-22"/>
        </w:rPr>
        <w:t xml:space="preserve"> </w:t>
      </w:r>
      <w:r>
        <w:rPr>
          <w:color w:val="000009"/>
        </w:rPr>
        <w:t>morality.</w:t>
      </w:r>
    </w:p>
    <w:p w:rsidR="003B2FC0" w:rsidRDefault="00052A49">
      <w:pPr>
        <w:pStyle w:val="ListParagraph"/>
        <w:numPr>
          <w:ilvl w:val="0"/>
          <w:numId w:val="60"/>
        </w:numPr>
        <w:tabs>
          <w:tab w:val="left" w:pos="1221"/>
        </w:tabs>
        <w:spacing w:line="480" w:lineRule="auto"/>
        <w:ind w:right="278" w:firstLine="0"/>
        <w:jc w:val="both"/>
        <w:rPr>
          <w:rFonts w:ascii="Bookman Old Style"/>
          <w:color w:val="000009"/>
          <w:sz w:val="28"/>
        </w:rPr>
      </w:pPr>
      <w:r>
        <w:rPr>
          <w:rFonts w:ascii="Bookman Old Style"/>
          <w:color w:val="000009"/>
          <w:sz w:val="28"/>
        </w:rPr>
        <w:t xml:space="preserve">In </w:t>
      </w:r>
      <w:r>
        <w:rPr>
          <w:rFonts w:ascii="Bookman Old Style"/>
          <w:b/>
          <w:i/>
          <w:color w:val="000009"/>
          <w:sz w:val="28"/>
        </w:rPr>
        <w:t>N. Adithayan v. Travancore Devaswom Board and othe</w:t>
      </w:r>
      <w:r>
        <w:rPr>
          <w:rFonts w:ascii="Bookman Old Style"/>
          <w:b/>
          <w:i/>
          <w:color w:val="000009"/>
          <w:sz w:val="28"/>
        </w:rPr>
        <w:t>rs</w:t>
      </w:r>
      <w:r>
        <w:rPr>
          <w:rFonts w:ascii="Bookman Old Style"/>
          <w:color w:val="000009"/>
          <w:position w:val="7"/>
          <w:sz w:val="18"/>
        </w:rPr>
        <w:t>37</w:t>
      </w:r>
      <w:r>
        <w:rPr>
          <w:rFonts w:ascii="Bookman Old Style"/>
          <w:color w:val="000009"/>
          <w:sz w:val="28"/>
        </w:rPr>
        <w:t>, the Court very succinctly laid down as to what should be the approach of the court for deciding what constitutes an essential practice of a religion in the following</w:t>
      </w:r>
      <w:r>
        <w:rPr>
          <w:rFonts w:ascii="Bookman Old Style"/>
          <w:color w:val="000009"/>
          <w:spacing w:val="-14"/>
          <w:sz w:val="28"/>
        </w:rPr>
        <w:t xml:space="preserve"> </w:t>
      </w:r>
      <w:r>
        <w:rPr>
          <w:rFonts w:ascii="Bookman Old Style"/>
          <w:color w:val="000009"/>
          <w:sz w:val="28"/>
        </w:rPr>
        <w:t>words:</w:t>
      </w:r>
    </w:p>
    <w:p w:rsidR="003B2FC0" w:rsidRDefault="003B2FC0">
      <w:pPr>
        <w:pStyle w:val="BodyText"/>
        <w:rPr>
          <w:sz w:val="9"/>
        </w:rPr>
      </w:pPr>
      <w:r w:rsidRPr="003B2FC0">
        <w:pict>
          <v:line id="_x0000_s1150" style="position:absolute;z-index:-251601408;mso-wrap-distance-left:0;mso-wrap-distance-right:0;mso-position-horizontal-relative:page" from="1in,7.6pt" to="216.05pt,7.6pt" strokeweight=".6pt">
            <w10:wrap type="topAndBottom" anchorx="page"/>
          </v:line>
        </w:pict>
      </w:r>
    </w:p>
    <w:p w:rsidR="003B2FC0" w:rsidRDefault="00052A49">
      <w:pPr>
        <w:ind w:left="541"/>
        <w:rPr>
          <w:rFonts w:ascii="Calibri"/>
        </w:rPr>
      </w:pPr>
      <w:r>
        <w:rPr>
          <w:rFonts w:ascii="Calibri"/>
          <w:position w:val="10"/>
          <w:sz w:val="14"/>
        </w:rPr>
        <w:t xml:space="preserve">36 </w:t>
      </w:r>
      <w:r>
        <w:rPr>
          <w:rFonts w:ascii="Calibri"/>
        </w:rPr>
        <w:t>(1983) 4 SCC 522</w:t>
      </w:r>
    </w:p>
    <w:p w:rsidR="003B2FC0" w:rsidRDefault="003B2FC0">
      <w:pPr>
        <w:rPr>
          <w:rFonts w:ascii="Calibri"/>
        </w:rPr>
        <w:sectPr w:rsidR="003B2FC0">
          <w:footerReference w:type="default" r:id="rId147"/>
          <w:pgSz w:w="11910" w:h="16840"/>
          <w:pgMar w:top="1340" w:right="1160" w:bottom="1600" w:left="940" w:header="554" w:footer="1416" w:gutter="0"/>
          <w:cols w:space="720"/>
        </w:sectPr>
      </w:pPr>
    </w:p>
    <w:p w:rsidR="003B2FC0" w:rsidRDefault="00052A49">
      <w:pPr>
        <w:pStyle w:val="BodyText"/>
        <w:spacing w:before="93"/>
        <w:ind w:left="1580" w:right="1536"/>
        <w:jc w:val="both"/>
      </w:pPr>
      <w:r>
        <w:rPr>
          <w:color w:val="000009"/>
        </w:rPr>
        <w:t>"</w:t>
      </w:r>
      <w:r>
        <w:rPr>
          <w:color w:val="000009"/>
        </w:rPr>
        <w:t xml:space="preserve">The legal position that the protection under Article 25 and 26 extend a guarantee for rituals and observances, ceremonies and modes of worship which are integral parts of religion and </w:t>
      </w:r>
      <w:r>
        <w:rPr>
          <w:color w:val="000009"/>
          <w:u w:val="single" w:color="000009"/>
        </w:rPr>
        <w:t>as to what really constitutes an essential part of</w:t>
      </w:r>
      <w:r>
        <w:rPr>
          <w:color w:val="000009"/>
        </w:rPr>
        <w:t xml:space="preserve"> </w:t>
      </w:r>
      <w:r>
        <w:rPr>
          <w:color w:val="000009"/>
          <w:u w:val="single" w:color="000009"/>
        </w:rPr>
        <w:t>religion or religious</w:t>
      </w:r>
      <w:r>
        <w:rPr>
          <w:color w:val="000009"/>
          <w:u w:val="single" w:color="000009"/>
        </w:rPr>
        <w:t xml:space="preserve"> practice has to be decided</w:t>
      </w:r>
      <w:r>
        <w:rPr>
          <w:color w:val="000009"/>
        </w:rPr>
        <w:t xml:space="preserve"> </w:t>
      </w:r>
      <w:r>
        <w:rPr>
          <w:color w:val="000009"/>
          <w:u w:val="single" w:color="000009"/>
        </w:rPr>
        <w:t>by the Courts with reference to the doctrine of a</w:t>
      </w:r>
      <w:r>
        <w:rPr>
          <w:color w:val="000009"/>
        </w:rPr>
        <w:t xml:space="preserve"> </w:t>
      </w:r>
      <w:r>
        <w:rPr>
          <w:color w:val="000009"/>
          <w:u w:val="single" w:color="000009"/>
        </w:rPr>
        <w:t>particular religion or practices regarded as parts</w:t>
      </w:r>
      <w:r>
        <w:rPr>
          <w:color w:val="000009"/>
        </w:rPr>
        <w:t xml:space="preserve"> </w:t>
      </w:r>
      <w:r>
        <w:rPr>
          <w:color w:val="000009"/>
          <w:u w:val="single" w:color="000009"/>
        </w:rPr>
        <w:t>of</w:t>
      </w:r>
      <w:r>
        <w:rPr>
          <w:color w:val="000009"/>
          <w:spacing w:val="-3"/>
          <w:u w:val="single" w:color="000009"/>
        </w:rPr>
        <w:t xml:space="preserve"> </w:t>
      </w:r>
      <w:r>
        <w:rPr>
          <w:color w:val="000009"/>
          <w:u w:val="single" w:color="000009"/>
        </w:rPr>
        <w:t>religion</w:t>
      </w:r>
      <w:r>
        <w:rPr>
          <w:color w:val="000009"/>
        </w:rPr>
        <w:t>..."</w:t>
      </w:r>
    </w:p>
    <w:p w:rsidR="003B2FC0" w:rsidRDefault="00052A49">
      <w:pPr>
        <w:pStyle w:val="BodyText"/>
        <w:spacing w:before="1"/>
        <w:ind w:left="5714"/>
      </w:pPr>
      <w:r>
        <w:rPr>
          <w:color w:val="000009"/>
        </w:rPr>
        <w:t>(Emphasis is ours)</w:t>
      </w:r>
    </w:p>
    <w:p w:rsidR="003B2FC0" w:rsidRDefault="003B2FC0">
      <w:pPr>
        <w:pStyle w:val="BodyText"/>
        <w:spacing w:before="7"/>
        <w:rPr>
          <w:sz w:val="27"/>
        </w:rPr>
      </w:pPr>
    </w:p>
    <w:p w:rsidR="003B2FC0" w:rsidRDefault="00052A49">
      <w:pPr>
        <w:pStyle w:val="ListParagraph"/>
        <w:numPr>
          <w:ilvl w:val="0"/>
          <w:numId w:val="60"/>
        </w:numPr>
        <w:tabs>
          <w:tab w:val="left" w:pos="1221"/>
        </w:tabs>
        <w:spacing w:before="1" w:line="480" w:lineRule="auto"/>
        <w:ind w:right="276" w:firstLine="0"/>
        <w:jc w:val="both"/>
        <w:rPr>
          <w:rFonts w:ascii="Bookman Old Style"/>
          <w:color w:val="000009"/>
          <w:sz w:val="28"/>
        </w:rPr>
      </w:pPr>
      <w:r>
        <w:rPr>
          <w:rFonts w:ascii="Bookman Old Style"/>
          <w:color w:val="000009"/>
          <w:sz w:val="28"/>
        </w:rPr>
        <w:t xml:space="preserve">In </w:t>
      </w:r>
      <w:r>
        <w:rPr>
          <w:rFonts w:ascii="Bookman Old Style"/>
          <w:b/>
          <w:i/>
          <w:color w:val="000009"/>
          <w:sz w:val="28"/>
        </w:rPr>
        <w:t xml:space="preserve">Commissioner of Police and others v. Acharya Jagadishwarananda Avadhuta and others </w:t>
      </w:r>
      <w:r>
        <w:rPr>
          <w:rFonts w:ascii="Bookman Old Style"/>
          <w:color w:val="000009"/>
          <w:sz w:val="28"/>
        </w:rPr>
        <w:t>(supr</w:t>
      </w:r>
      <w:r>
        <w:rPr>
          <w:rFonts w:ascii="Bookman Old Style"/>
          <w:color w:val="000009"/>
          <w:sz w:val="28"/>
        </w:rPr>
        <w:t xml:space="preserve">a), being </w:t>
      </w:r>
      <w:r>
        <w:rPr>
          <w:rFonts w:ascii="Bookman Old Style"/>
          <w:color w:val="000009"/>
          <w:spacing w:val="-3"/>
          <w:sz w:val="28"/>
        </w:rPr>
        <w:t xml:space="preserve">the </w:t>
      </w:r>
      <w:r>
        <w:rPr>
          <w:rFonts w:ascii="Bookman Old Style"/>
          <w:color w:val="000009"/>
          <w:sz w:val="28"/>
        </w:rPr>
        <w:t xml:space="preserve">second </w:t>
      </w:r>
      <w:r>
        <w:rPr>
          <w:rFonts w:ascii="Bookman Old Style"/>
          <w:i/>
          <w:color w:val="000009"/>
          <w:sz w:val="28"/>
        </w:rPr>
        <w:t xml:space="preserve">Ananda Marga </w:t>
      </w:r>
      <w:r>
        <w:rPr>
          <w:rFonts w:ascii="Bookman Old Style"/>
          <w:color w:val="000009"/>
          <w:sz w:val="28"/>
        </w:rPr>
        <w:t>case, the Court has elaborately discussed the true nature of an essential practice and has further laid down the test for determining whether a certain practice can be characterized as essential to a particular religion in</w:t>
      </w:r>
      <w:r>
        <w:rPr>
          <w:rFonts w:ascii="Bookman Old Style"/>
          <w:color w:val="000009"/>
          <w:sz w:val="28"/>
        </w:rPr>
        <w:t xml:space="preserve"> order to guarantee protection under the Constitution. The Court has opined:</w:t>
      </w:r>
    </w:p>
    <w:p w:rsidR="003B2FC0" w:rsidRDefault="00052A49">
      <w:pPr>
        <w:pStyle w:val="BodyText"/>
        <w:spacing w:before="4"/>
        <w:ind w:left="1580" w:right="1534"/>
        <w:jc w:val="both"/>
      </w:pPr>
      <w:r>
        <w:rPr>
          <w:color w:val="000009"/>
        </w:rPr>
        <w:t>"The protection guaranteed under Articles 25 and 26 of the Constitution is not confined to matters of doctrine or belief but extends to acts done in pursuance of religion and, the</w:t>
      </w:r>
      <w:r>
        <w:rPr>
          <w:color w:val="000009"/>
        </w:rPr>
        <w:t>refore, contains a guarantee for rituals, observances, ceremonies and modes of worship which are essential or integral part of religion. What constitutes an integral or essential part of religion has to be determined with reference to its doctrines, practi</w:t>
      </w:r>
      <w:r>
        <w:rPr>
          <w:color w:val="000009"/>
        </w:rPr>
        <w:t>ces, tenets, historical background etc. of the given religion. (See generally the Constitution bench decisions in The Commissioner v. L T Swamiar of Srirur  Mutt 1954 SCR 1005, SSTS Saheb v. State of Bombay 1962 (Supp) 2 SCR 496,</w:t>
      </w:r>
      <w:r>
        <w:rPr>
          <w:color w:val="000009"/>
          <w:spacing w:val="11"/>
        </w:rPr>
        <w:t xml:space="preserve"> </w:t>
      </w:r>
      <w:r>
        <w:rPr>
          <w:color w:val="000009"/>
        </w:rPr>
        <w:t>and</w:t>
      </w:r>
    </w:p>
    <w:p w:rsidR="003B2FC0" w:rsidRDefault="003B2FC0">
      <w:pPr>
        <w:jc w:val="both"/>
        <w:sectPr w:rsidR="003B2FC0">
          <w:footerReference w:type="default" r:id="rId148"/>
          <w:pgSz w:w="11910" w:h="16840"/>
          <w:pgMar w:top="1340" w:right="1160" w:bottom="280" w:left="940" w:header="554" w:footer="0" w:gutter="0"/>
          <w:cols w:space="720"/>
        </w:sectPr>
      </w:pPr>
    </w:p>
    <w:p w:rsidR="003B2FC0" w:rsidRDefault="00052A49">
      <w:pPr>
        <w:pStyle w:val="BodyText"/>
        <w:spacing w:before="93"/>
        <w:ind w:left="1580" w:right="1533"/>
        <w:jc w:val="both"/>
      </w:pPr>
      <w:r>
        <w:rPr>
          <w:color w:val="000009"/>
        </w:rPr>
        <w:t>Seshammal v. State of Tamilnadu : [1972]3SCR815 , regarding those aspects that are to be looked into so as to determine whether a part or practice is essential or not). What is meant by 'an essential part or practices of a religion' is now the matter for e</w:t>
      </w:r>
      <w:r>
        <w:rPr>
          <w:color w:val="000009"/>
        </w:rPr>
        <w:t>lucidation. Essential part of a religion means the core beliefs upon which a religion is founded. Essential practice means those practices that are fundamental to follow a religious belief. It is upon the cornerstone of essential parts or practices the sup</w:t>
      </w:r>
      <w:r>
        <w:rPr>
          <w:color w:val="000009"/>
        </w:rPr>
        <w:t xml:space="preserve">erstructure of religion is built. Without which, a religion will be no religion. Test to determine whether a part or practice is essential to the religion is - to find out whether the nature of religion will be changed without that part or practice. </w:t>
      </w:r>
      <w:r>
        <w:rPr>
          <w:color w:val="000009"/>
          <w:spacing w:val="2"/>
        </w:rPr>
        <w:t xml:space="preserve">If </w:t>
      </w:r>
      <w:r>
        <w:rPr>
          <w:color w:val="000009"/>
        </w:rPr>
        <w:t>the</w:t>
      </w:r>
      <w:r>
        <w:rPr>
          <w:color w:val="000009"/>
        </w:rPr>
        <w:t xml:space="preserve"> taking away of that part or practice could result in a fundamental change in the character of that religion or in its belief, then such part could be treated as an essential or integral part. There cannot be additions or subtractions to such part. Because</w:t>
      </w:r>
      <w:r>
        <w:rPr>
          <w:color w:val="000009"/>
        </w:rPr>
        <w:t xml:space="preserve"> it is the very essence of that religion and alterations will change its fundamental character. </w:t>
      </w:r>
      <w:r>
        <w:rPr>
          <w:color w:val="000009"/>
          <w:spacing w:val="2"/>
        </w:rPr>
        <w:t xml:space="preserve">It </w:t>
      </w:r>
      <w:r>
        <w:rPr>
          <w:color w:val="000009"/>
        </w:rPr>
        <w:t>is such permanent essential parts is what is protected by the Constitution. Nobody can say that essential part or practice of one's religion has changed from</w:t>
      </w:r>
      <w:r>
        <w:rPr>
          <w:color w:val="000009"/>
        </w:rPr>
        <w:t xml:space="preserve"> a particular date or by an event. Such alterable parts or practices are definitely not the 'core' of religion where the belief is based and religion is founded upon. It could only be treated as mere embellishments to the nonessential part or</w:t>
      </w:r>
      <w:r>
        <w:rPr>
          <w:color w:val="000009"/>
          <w:spacing w:val="-7"/>
        </w:rPr>
        <w:t xml:space="preserve"> </w:t>
      </w:r>
      <w:r>
        <w:rPr>
          <w:color w:val="000009"/>
        </w:rPr>
        <w:t>practices.”</w:t>
      </w:r>
    </w:p>
    <w:p w:rsidR="003B2FC0" w:rsidRDefault="003B2FC0">
      <w:pPr>
        <w:pStyle w:val="BodyText"/>
        <w:spacing w:before="1"/>
      </w:pPr>
    </w:p>
    <w:p w:rsidR="003B2FC0" w:rsidRDefault="00052A49">
      <w:pPr>
        <w:pStyle w:val="ListParagraph"/>
        <w:numPr>
          <w:ilvl w:val="0"/>
          <w:numId w:val="60"/>
        </w:numPr>
        <w:tabs>
          <w:tab w:val="left" w:pos="1221"/>
        </w:tabs>
        <w:spacing w:line="480" w:lineRule="auto"/>
        <w:ind w:right="274" w:firstLine="0"/>
        <w:jc w:val="both"/>
        <w:rPr>
          <w:rFonts w:ascii="Bookman Old Style"/>
          <w:color w:val="000009"/>
          <w:sz w:val="28"/>
        </w:rPr>
      </w:pPr>
      <w:r>
        <w:rPr>
          <w:rFonts w:ascii="Bookman Old Style"/>
          <w:color w:val="000009"/>
          <w:sz w:val="28"/>
        </w:rPr>
        <w:t>In the light of the above authorities, it has to be determined whether the practice of exclusion of women of the age group of 10 to 50 years is equivalent to a doctrine of Hindu religion or a practice</w:t>
      </w:r>
      <w:r>
        <w:rPr>
          <w:rFonts w:ascii="Bookman Old Style"/>
          <w:color w:val="000009"/>
          <w:spacing w:val="14"/>
          <w:sz w:val="28"/>
        </w:rPr>
        <w:t xml:space="preserve"> </w:t>
      </w:r>
      <w:r>
        <w:rPr>
          <w:rFonts w:ascii="Bookman Old Style"/>
          <w:color w:val="000009"/>
          <w:sz w:val="28"/>
        </w:rPr>
        <w:t>that</w:t>
      </w:r>
      <w:r>
        <w:rPr>
          <w:rFonts w:ascii="Bookman Old Style"/>
          <w:color w:val="000009"/>
          <w:spacing w:val="10"/>
          <w:sz w:val="28"/>
        </w:rPr>
        <w:t xml:space="preserve"> </w:t>
      </w:r>
      <w:r>
        <w:rPr>
          <w:rFonts w:ascii="Bookman Old Style"/>
          <w:color w:val="000009"/>
          <w:sz w:val="28"/>
        </w:rPr>
        <w:t>could</w:t>
      </w:r>
      <w:r>
        <w:rPr>
          <w:rFonts w:ascii="Bookman Old Style"/>
          <w:color w:val="000009"/>
          <w:spacing w:val="12"/>
          <w:sz w:val="28"/>
        </w:rPr>
        <w:t xml:space="preserve"> </w:t>
      </w:r>
      <w:r>
        <w:rPr>
          <w:rFonts w:ascii="Bookman Old Style"/>
          <w:color w:val="000009"/>
          <w:sz w:val="28"/>
        </w:rPr>
        <w:t>be</w:t>
      </w:r>
      <w:r>
        <w:rPr>
          <w:rFonts w:ascii="Bookman Old Style"/>
          <w:color w:val="000009"/>
          <w:spacing w:val="14"/>
          <w:sz w:val="28"/>
        </w:rPr>
        <w:t xml:space="preserve"> </w:t>
      </w:r>
      <w:r>
        <w:rPr>
          <w:rFonts w:ascii="Bookman Old Style"/>
          <w:color w:val="000009"/>
          <w:sz w:val="28"/>
        </w:rPr>
        <w:t>regarded</w:t>
      </w:r>
      <w:r>
        <w:rPr>
          <w:rFonts w:ascii="Bookman Old Style"/>
          <w:color w:val="000009"/>
          <w:spacing w:val="12"/>
          <w:sz w:val="28"/>
        </w:rPr>
        <w:t xml:space="preserve"> </w:t>
      </w:r>
      <w:r>
        <w:rPr>
          <w:rFonts w:ascii="Bookman Old Style"/>
          <w:color w:val="000009"/>
          <w:sz w:val="28"/>
        </w:rPr>
        <w:t>as</w:t>
      </w:r>
      <w:r>
        <w:rPr>
          <w:rFonts w:ascii="Bookman Old Style"/>
          <w:color w:val="000009"/>
          <w:spacing w:val="11"/>
          <w:sz w:val="28"/>
        </w:rPr>
        <w:t xml:space="preserve"> </w:t>
      </w:r>
      <w:r>
        <w:rPr>
          <w:rFonts w:ascii="Bookman Old Style"/>
          <w:color w:val="000009"/>
          <w:sz w:val="28"/>
        </w:rPr>
        <w:t>an</w:t>
      </w:r>
      <w:r>
        <w:rPr>
          <w:rFonts w:ascii="Bookman Old Style"/>
          <w:color w:val="000009"/>
          <w:spacing w:val="11"/>
          <w:sz w:val="28"/>
        </w:rPr>
        <w:t xml:space="preserve"> </w:t>
      </w:r>
      <w:r>
        <w:rPr>
          <w:rFonts w:ascii="Bookman Old Style"/>
          <w:color w:val="000009"/>
          <w:sz w:val="28"/>
        </w:rPr>
        <w:t>essential</w:t>
      </w:r>
      <w:r>
        <w:rPr>
          <w:rFonts w:ascii="Bookman Old Style"/>
          <w:color w:val="000009"/>
          <w:spacing w:val="11"/>
          <w:sz w:val="28"/>
        </w:rPr>
        <w:t xml:space="preserve"> </w:t>
      </w:r>
      <w:r>
        <w:rPr>
          <w:rFonts w:ascii="Bookman Old Style"/>
          <w:color w:val="000009"/>
          <w:sz w:val="28"/>
        </w:rPr>
        <w:t>part</w:t>
      </w:r>
      <w:r>
        <w:rPr>
          <w:rFonts w:ascii="Bookman Old Style"/>
          <w:color w:val="000009"/>
          <w:spacing w:val="10"/>
          <w:sz w:val="28"/>
        </w:rPr>
        <w:t xml:space="preserve"> </w:t>
      </w:r>
      <w:r>
        <w:rPr>
          <w:rFonts w:ascii="Bookman Old Style"/>
          <w:color w:val="000009"/>
          <w:sz w:val="28"/>
        </w:rPr>
        <w:t>of</w:t>
      </w:r>
      <w:r>
        <w:rPr>
          <w:rFonts w:ascii="Bookman Old Style"/>
          <w:color w:val="000009"/>
          <w:spacing w:val="10"/>
          <w:sz w:val="28"/>
        </w:rPr>
        <w:t xml:space="preserve"> </w:t>
      </w:r>
      <w:r>
        <w:rPr>
          <w:rFonts w:ascii="Bookman Old Style"/>
          <w:color w:val="000009"/>
          <w:sz w:val="28"/>
        </w:rPr>
        <w:t>the</w:t>
      </w:r>
      <w:r>
        <w:rPr>
          <w:rFonts w:ascii="Bookman Old Style"/>
          <w:color w:val="000009"/>
          <w:spacing w:val="13"/>
          <w:sz w:val="28"/>
        </w:rPr>
        <w:t xml:space="preserve"> </w:t>
      </w:r>
      <w:r>
        <w:rPr>
          <w:rFonts w:ascii="Bookman Old Style"/>
          <w:color w:val="000009"/>
          <w:sz w:val="28"/>
        </w:rPr>
        <w:t>Hind</w:t>
      </w:r>
      <w:r>
        <w:rPr>
          <w:rFonts w:ascii="Bookman Old Style"/>
          <w:color w:val="000009"/>
          <w:sz w:val="28"/>
        </w:rPr>
        <w:t>u</w:t>
      </w:r>
    </w:p>
    <w:p w:rsidR="003B2FC0" w:rsidRDefault="003B2FC0">
      <w:pPr>
        <w:spacing w:line="480" w:lineRule="auto"/>
        <w:jc w:val="both"/>
        <w:rPr>
          <w:rFonts w:ascii="Bookman Old Style"/>
          <w:sz w:val="28"/>
        </w:rPr>
        <w:sectPr w:rsidR="003B2FC0">
          <w:headerReference w:type="default" r:id="rId149"/>
          <w:footerReference w:type="default" r:id="rId150"/>
          <w:pgSz w:w="11910" w:h="16840"/>
          <w:pgMar w:top="1340" w:right="1160" w:bottom="280" w:left="940" w:header="554" w:footer="0" w:gutter="0"/>
          <w:pgNumType w:start="77"/>
          <w:cols w:space="720"/>
        </w:sectPr>
      </w:pPr>
    </w:p>
    <w:p w:rsidR="003B2FC0" w:rsidRDefault="00052A49">
      <w:pPr>
        <w:pStyle w:val="BodyText"/>
        <w:spacing w:before="93" w:line="480" w:lineRule="auto"/>
        <w:ind w:left="500" w:right="275"/>
        <w:jc w:val="both"/>
      </w:pPr>
      <w:r>
        <w:rPr>
          <w:color w:val="000009"/>
        </w:rPr>
        <w:t xml:space="preserve">religion and whether the nature of Hindu religion would be altered without the said exclusionary practice. The answer to these questions, in our considered opinion, is in the firm negative. </w:t>
      </w:r>
      <w:r>
        <w:rPr>
          <w:color w:val="000009"/>
          <w:spacing w:val="2"/>
        </w:rPr>
        <w:t xml:space="preserve">In </w:t>
      </w:r>
      <w:r>
        <w:rPr>
          <w:color w:val="000009"/>
        </w:rPr>
        <w:t>no scenario, it can be said that exclusion of women of any age group could be regarded as an essential practice of Hindu religion and on the contrary, it is an essential part of the Hindu religion to allow Hindu women to enter into a temple as devotees and</w:t>
      </w:r>
      <w:r>
        <w:rPr>
          <w:color w:val="000009"/>
        </w:rPr>
        <w:t xml:space="preserve"> followers of Hindu religion and offer their prayers to the deity. In the absence of any scriptural or textual evidence, we cannot accord to the exclusionary practice followed at the Sabarimala temple the status of an essential practice of Hindu religion.</w:t>
      </w:r>
    </w:p>
    <w:p w:rsidR="003B2FC0" w:rsidRDefault="00052A49">
      <w:pPr>
        <w:pStyle w:val="ListParagraph"/>
        <w:numPr>
          <w:ilvl w:val="0"/>
          <w:numId w:val="60"/>
        </w:numPr>
        <w:tabs>
          <w:tab w:val="left" w:pos="1221"/>
        </w:tabs>
        <w:spacing w:before="1" w:line="480" w:lineRule="auto"/>
        <w:ind w:right="274" w:firstLine="0"/>
        <w:jc w:val="both"/>
        <w:rPr>
          <w:rFonts w:ascii="Bookman Old Style"/>
          <w:color w:val="000009"/>
          <w:sz w:val="28"/>
        </w:rPr>
      </w:pPr>
      <w:r>
        <w:rPr>
          <w:rFonts w:ascii="Bookman Old Style"/>
          <w:color w:val="000009"/>
          <w:sz w:val="28"/>
        </w:rPr>
        <w:t>By allowing women to enter into the Sabarimala temple for offering prayers, it cannot be imagined that the nature of Hindu religion would be fundamentally altered or changed in any manner. Therefore, the exclusionary practice, which has been given the back</w:t>
      </w:r>
      <w:r>
        <w:rPr>
          <w:rFonts w:ascii="Bookman Old Style"/>
          <w:color w:val="000009"/>
          <w:sz w:val="28"/>
        </w:rPr>
        <w:t xml:space="preserve">ing of a subordinate legislation in the form of Rule 3(b) of the 1965 Rules, framed by the virtue </w:t>
      </w:r>
      <w:r>
        <w:rPr>
          <w:rFonts w:ascii="Bookman Old Style"/>
          <w:color w:val="000009"/>
          <w:spacing w:val="4"/>
          <w:sz w:val="28"/>
        </w:rPr>
        <w:t xml:space="preserve">of </w:t>
      </w:r>
      <w:r>
        <w:rPr>
          <w:rFonts w:ascii="Bookman Old Style"/>
          <w:color w:val="000009"/>
          <w:sz w:val="28"/>
        </w:rPr>
        <w:t>the 1965 Act, is neither an essential nor an integral part of the Hindu religion without which Hindu religion, of which the devotees of Lord Ayyappa are fo</w:t>
      </w:r>
      <w:r>
        <w:rPr>
          <w:rFonts w:ascii="Bookman Old Style"/>
          <w:color w:val="000009"/>
          <w:sz w:val="28"/>
        </w:rPr>
        <w:t>llowers, will not</w:t>
      </w:r>
      <w:r>
        <w:rPr>
          <w:rFonts w:ascii="Bookman Old Style"/>
          <w:color w:val="000009"/>
          <w:spacing w:val="-5"/>
          <w:sz w:val="28"/>
        </w:rPr>
        <w:t xml:space="preserve"> </w:t>
      </w:r>
      <w:r>
        <w:rPr>
          <w:rFonts w:ascii="Bookman Old Style"/>
          <w:color w:val="000009"/>
          <w:sz w:val="28"/>
        </w:rPr>
        <w:t>survive.</w:t>
      </w:r>
    </w:p>
    <w:p w:rsidR="003B2FC0" w:rsidRDefault="003B2FC0">
      <w:pPr>
        <w:spacing w:line="480" w:lineRule="auto"/>
        <w:jc w:val="both"/>
        <w:rPr>
          <w:rFonts w:ascii="Bookman Old Style"/>
          <w:sz w:val="28"/>
        </w:rPr>
        <w:sectPr w:rsidR="003B2FC0">
          <w:headerReference w:type="default" r:id="rId151"/>
          <w:footerReference w:type="default" r:id="rId152"/>
          <w:pgSz w:w="11910" w:h="16840"/>
          <w:pgMar w:top="1340" w:right="1160" w:bottom="280" w:left="940" w:header="554" w:footer="0" w:gutter="0"/>
          <w:pgNumType w:start="78"/>
          <w:cols w:space="720"/>
        </w:sectPr>
      </w:pPr>
    </w:p>
    <w:p w:rsidR="003B2FC0" w:rsidRDefault="00052A49">
      <w:pPr>
        <w:pStyle w:val="ListParagraph"/>
        <w:numPr>
          <w:ilvl w:val="0"/>
          <w:numId w:val="60"/>
        </w:numPr>
        <w:tabs>
          <w:tab w:val="left" w:pos="1221"/>
        </w:tabs>
        <w:spacing w:before="93" w:line="480" w:lineRule="auto"/>
        <w:ind w:right="272" w:firstLine="0"/>
        <w:jc w:val="both"/>
        <w:rPr>
          <w:rFonts w:ascii="Bookman Old Style"/>
          <w:color w:val="000009"/>
          <w:sz w:val="28"/>
        </w:rPr>
      </w:pPr>
      <w:r>
        <w:rPr>
          <w:rFonts w:ascii="Bookman Old Style"/>
          <w:color w:val="000009"/>
          <w:sz w:val="28"/>
        </w:rPr>
        <w:t>Nobody can say that essential part or practice of one's religion has changed from a particular date or by an event. Such alterable parts or practices are definitely not the 'core'</w:t>
      </w:r>
      <w:r>
        <w:rPr>
          <w:rFonts w:ascii="Bookman Old Style"/>
          <w:color w:val="000009"/>
          <w:sz w:val="28"/>
        </w:rPr>
        <w:t xml:space="preserve"> of religion where the belief is based and religion is founded upon. </w:t>
      </w:r>
      <w:r>
        <w:rPr>
          <w:rFonts w:ascii="Bookman Old Style"/>
          <w:color w:val="000009"/>
          <w:spacing w:val="2"/>
          <w:sz w:val="28"/>
        </w:rPr>
        <w:t xml:space="preserve">It </w:t>
      </w:r>
      <w:r>
        <w:rPr>
          <w:rFonts w:ascii="Bookman Old Style"/>
          <w:color w:val="000009"/>
          <w:sz w:val="28"/>
        </w:rPr>
        <w:t>could only be treated as mere embellishments to the non-essential part or</w:t>
      </w:r>
      <w:r>
        <w:rPr>
          <w:rFonts w:ascii="Bookman Old Style"/>
          <w:color w:val="000009"/>
          <w:spacing w:val="-3"/>
          <w:sz w:val="28"/>
        </w:rPr>
        <w:t xml:space="preserve"> </w:t>
      </w:r>
      <w:r>
        <w:rPr>
          <w:rFonts w:ascii="Bookman Old Style"/>
          <w:color w:val="000009"/>
          <w:sz w:val="28"/>
        </w:rPr>
        <w:t>practices.</w:t>
      </w:r>
    </w:p>
    <w:p w:rsidR="003B2FC0" w:rsidRDefault="00052A49">
      <w:pPr>
        <w:pStyle w:val="ListParagraph"/>
        <w:numPr>
          <w:ilvl w:val="0"/>
          <w:numId w:val="60"/>
        </w:numPr>
        <w:tabs>
          <w:tab w:val="left" w:pos="1221"/>
        </w:tabs>
        <w:spacing w:line="480" w:lineRule="auto"/>
        <w:ind w:right="273" w:firstLine="0"/>
        <w:jc w:val="both"/>
        <w:rPr>
          <w:rFonts w:ascii="Bookman Old Style"/>
          <w:color w:val="000009"/>
          <w:sz w:val="28"/>
        </w:rPr>
      </w:pPr>
      <w:r>
        <w:rPr>
          <w:rFonts w:ascii="Bookman Old Style"/>
          <w:color w:val="000009"/>
          <w:sz w:val="28"/>
        </w:rPr>
        <w:t xml:space="preserve">This view of ours is further substantiated by the fact that where a practice changes with the efflux of time, such a practice cannot, in view of the law laid down in </w:t>
      </w:r>
      <w:r>
        <w:rPr>
          <w:rFonts w:ascii="Bookman Old Style"/>
          <w:b/>
          <w:i/>
          <w:color w:val="000009"/>
          <w:sz w:val="28"/>
        </w:rPr>
        <w:t xml:space="preserve">Commissioner of Police and others </w:t>
      </w:r>
      <w:r>
        <w:rPr>
          <w:rFonts w:ascii="Bookman Old Style"/>
          <w:color w:val="000009"/>
          <w:sz w:val="28"/>
        </w:rPr>
        <w:t xml:space="preserve">(supra), be regarded as a core upon which a religion is </w:t>
      </w:r>
      <w:r>
        <w:rPr>
          <w:rFonts w:ascii="Bookman Old Style"/>
          <w:color w:val="000009"/>
          <w:sz w:val="28"/>
        </w:rPr>
        <w:t xml:space="preserve">formed. There has to be unhindered continuity in a practice for it to attain the status of essential practice. It is further discernible from the judgment of the High Court in </w:t>
      </w:r>
      <w:r>
        <w:rPr>
          <w:rFonts w:ascii="Bookman Old Style"/>
          <w:b/>
          <w:i/>
          <w:color w:val="000009"/>
          <w:sz w:val="28"/>
        </w:rPr>
        <w:t xml:space="preserve">S. Mahendran </w:t>
      </w:r>
      <w:r>
        <w:rPr>
          <w:rFonts w:ascii="Bookman Old Style"/>
          <w:color w:val="000009"/>
          <w:sz w:val="28"/>
        </w:rPr>
        <w:t xml:space="preserve">(supra) that the Devaswom Board had accepted before the High Court </w:t>
      </w:r>
      <w:r>
        <w:rPr>
          <w:rFonts w:ascii="Bookman Old Style"/>
          <w:color w:val="000009"/>
          <w:sz w:val="28"/>
        </w:rPr>
        <w:t xml:space="preserve">that female worshippers of the age group of 10 to 50 years used to visit the temple and conduced poojas in every month for five days for the first rice feeding ceremony of their children. The Devaswom Board also took a stand before </w:t>
      </w:r>
      <w:r>
        <w:rPr>
          <w:rFonts w:ascii="Bookman Old Style"/>
          <w:color w:val="000009"/>
          <w:spacing w:val="-3"/>
          <w:sz w:val="28"/>
        </w:rPr>
        <w:t xml:space="preserve">the </w:t>
      </w:r>
      <w:r>
        <w:rPr>
          <w:rFonts w:ascii="Bookman Old Style"/>
          <w:color w:val="000009"/>
          <w:sz w:val="28"/>
        </w:rPr>
        <w:t>High Court that rest</w:t>
      </w:r>
      <w:r>
        <w:rPr>
          <w:rFonts w:ascii="Bookman Old Style"/>
          <w:color w:val="000009"/>
          <w:sz w:val="28"/>
        </w:rPr>
        <w:t xml:space="preserve">riction of entry for women </w:t>
      </w:r>
      <w:r>
        <w:rPr>
          <w:rFonts w:ascii="Bookman Old Style"/>
          <w:color w:val="000009"/>
          <w:spacing w:val="-2"/>
          <w:sz w:val="28"/>
        </w:rPr>
        <w:t xml:space="preserve">was </w:t>
      </w:r>
      <w:r>
        <w:rPr>
          <w:rFonts w:ascii="Bookman Old Style"/>
          <w:color w:val="000009"/>
          <w:sz w:val="28"/>
        </w:rPr>
        <w:t>only during Mandalam, Makaeavilakku and Vishnu days. The same has also been</w:t>
      </w:r>
      <w:r>
        <w:rPr>
          <w:rFonts w:ascii="Bookman Old Style"/>
          <w:color w:val="000009"/>
          <w:spacing w:val="26"/>
          <w:sz w:val="28"/>
        </w:rPr>
        <w:t xml:space="preserve"> </w:t>
      </w:r>
      <w:r>
        <w:rPr>
          <w:rFonts w:ascii="Bookman Old Style"/>
          <w:color w:val="000009"/>
          <w:sz w:val="28"/>
        </w:rPr>
        <w:t>pointed</w:t>
      </w:r>
      <w:r>
        <w:rPr>
          <w:rFonts w:ascii="Bookman Old Style"/>
          <w:color w:val="000009"/>
          <w:spacing w:val="30"/>
          <w:sz w:val="28"/>
        </w:rPr>
        <w:t xml:space="preserve"> </w:t>
      </w:r>
      <w:r>
        <w:rPr>
          <w:rFonts w:ascii="Bookman Old Style"/>
          <w:color w:val="000009"/>
          <w:sz w:val="28"/>
        </w:rPr>
        <w:t>out</w:t>
      </w:r>
      <w:r>
        <w:rPr>
          <w:rFonts w:ascii="Bookman Old Style"/>
          <w:color w:val="000009"/>
          <w:spacing w:val="25"/>
          <w:sz w:val="28"/>
        </w:rPr>
        <w:t xml:space="preserve"> </w:t>
      </w:r>
      <w:r>
        <w:rPr>
          <w:rFonts w:ascii="Bookman Old Style"/>
          <w:color w:val="000009"/>
          <w:sz w:val="28"/>
        </w:rPr>
        <w:t>by</w:t>
      </w:r>
      <w:r>
        <w:rPr>
          <w:rFonts w:ascii="Bookman Old Style"/>
          <w:color w:val="000009"/>
          <w:spacing w:val="32"/>
          <w:sz w:val="28"/>
        </w:rPr>
        <w:t xml:space="preserve"> </w:t>
      </w:r>
      <w:r>
        <w:rPr>
          <w:rFonts w:ascii="Bookman Old Style"/>
          <w:color w:val="000009"/>
          <w:sz w:val="28"/>
        </w:rPr>
        <w:t>learned</w:t>
      </w:r>
      <w:r>
        <w:rPr>
          <w:rFonts w:ascii="Bookman Old Style"/>
          <w:color w:val="000009"/>
          <w:spacing w:val="30"/>
          <w:sz w:val="28"/>
        </w:rPr>
        <w:t xml:space="preserve"> </w:t>
      </w:r>
      <w:r>
        <w:rPr>
          <w:rFonts w:ascii="Bookman Old Style"/>
          <w:color w:val="000009"/>
          <w:sz w:val="28"/>
        </w:rPr>
        <w:t>Senior</w:t>
      </w:r>
      <w:r>
        <w:rPr>
          <w:rFonts w:ascii="Bookman Old Style"/>
          <w:color w:val="000009"/>
          <w:spacing w:val="27"/>
          <w:sz w:val="28"/>
        </w:rPr>
        <w:t xml:space="preserve"> </w:t>
      </w:r>
      <w:r>
        <w:rPr>
          <w:rFonts w:ascii="Bookman Old Style"/>
          <w:color w:val="000009"/>
          <w:sz w:val="28"/>
        </w:rPr>
        <w:t>Counsel,</w:t>
      </w:r>
      <w:r>
        <w:rPr>
          <w:rFonts w:ascii="Bookman Old Style"/>
          <w:color w:val="000009"/>
          <w:spacing w:val="28"/>
          <w:sz w:val="28"/>
        </w:rPr>
        <w:t xml:space="preserve"> </w:t>
      </w:r>
      <w:r>
        <w:rPr>
          <w:rFonts w:ascii="Bookman Old Style"/>
          <w:color w:val="000009"/>
          <w:sz w:val="28"/>
        </w:rPr>
        <w:t>Ms.</w:t>
      </w:r>
      <w:r>
        <w:rPr>
          <w:rFonts w:ascii="Bookman Old Style"/>
          <w:color w:val="000009"/>
          <w:spacing w:val="26"/>
          <w:sz w:val="28"/>
        </w:rPr>
        <w:t xml:space="preserve"> </w:t>
      </w:r>
      <w:r>
        <w:rPr>
          <w:rFonts w:ascii="Bookman Old Style"/>
          <w:color w:val="000009"/>
          <w:sz w:val="28"/>
        </w:rPr>
        <w:t>Indira</w:t>
      </w:r>
      <w:r>
        <w:rPr>
          <w:rFonts w:ascii="Bookman Old Style"/>
          <w:color w:val="000009"/>
          <w:spacing w:val="29"/>
          <w:sz w:val="28"/>
        </w:rPr>
        <w:t xml:space="preserve"> </w:t>
      </w:r>
      <w:r>
        <w:rPr>
          <w:rFonts w:ascii="Bookman Old Style"/>
          <w:color w:val="000009"/>
          <w:sz w:val="28"/>
        </w:rPr>
        <w:t>Jaising,</w:t>
      </w:r>
    </w:p>
    <w:p w:rsidR="003B2FC0" w:rsidRDefault="003B2FC0">
      <w:pPr>
        <w:spacing w:line="480" w:lineRule="auto"/>
        <w:jc w:val="both"/>
        <w:rPr>
          <w:rFonts w:ascii="Bookman Old Style"/>
          <w:sz w:val="28"/>
        </w:rPr>
        <w:sectPr w:rsidR="003B2FC0">
          <w:headerReference w:type="default" r:id="rId153"/>
          <w:footerReference w:type="default" r:id="rId154"/>
          <w:pgSz w:w="11910" w:h="16840"/>
          <w:pgMar w:top="1340" w:right="1160" w:bottom="280" w:left="940" w:header="554" w:footer="0" w:gutter="0"/>
          <w:pgNumType w:start="79"/>
          <w:cols w:space="720"/>
        </w:sectPr>
      </w:pPr>
    </w:p>
    <w:p w:rsidR="003B2FC0" w:rsidRDefault="00052A49">
      <w:pPr>
        <w:pStyle w:val="BodyText"/>
        <w:spacing w:before="93" w:line="480" w:lineRule="auto"/>
        <w:ind w:left="500" w:right="277"/>
        <w:jc w:val="both"/>
      </w:pPr>
      <w:r>
        <w:rPr>
          <w:color w:val="000009"/>
        </w:rPr>
        <w:t>that the impugned exclusionary practice in question is a 'custom with some aberrations' as prior to the passing of the Notification in 1950, women of all age groups used to visit the Sabarimala temple for the first rice feeding ceremony of their children.</w:t>
      </w:r>
    </w:p>
    <w:p w:rsidR="003B2FC0" w:rsidRDefault="00052A49">
      <w:pPr>
        <w:pStyle w:val="ListParagraph"/>
        <w:numPr>
          <w:ilvl w:val="0"/>
          <w:numId w:val="60"/>
        </w:numPr>
        <w:tabs>
          <w:tab w:val="left" w:pos="1221"/>
          <w:tab w:val="left" w:pos="2891"/>
          <w:tab w:val="left" w:pos="3888"/>
          <w:tab w:val="left" w:pos="5030"/>
          <w:tab w:val="left" w:pos="5587"/>
          <w:tab w:val="left" w:pos="6198"/>
          <w:tab w:val="left" w:pos="6834"/>
          <w:tab w:val="left" w:pos="8523"/>
          <w:tab w:val="left" w:pos="9084"/>
        </w:tabs>
        <w:spacing w:before="1" w:line="480" w:lineRule="auto"/>
        <w:ind w:right="277" w:firstLine="0"/>
        <w:rPr>
          <w:rFonts w:ascii="Bookman Old Style"/>
          <w:b/>
          <w:color w:val="000009"/>
          <w:sz w:val="28"/>
        </w:rPr>
      </w:pPr>
      <w:r>
        <w:rPr>
          <w:rFonts w:ascii="Bookman Old Style"/>
          <w:color w:val="000009"/>
          <w:sz w:val="28"/>
        </w:rPr>
        <w:t>Therefore,</w:t>
      </w:r>
      <w:r>
        <w:rPr>
          <w:rFonts w:ascii="Bookman Old Style"/>
          <w:color w:val="000009"/>
          <w:sz w:val="28"/>
        </w:rPr>
        <w:tab/>
        <w:t>there</w:t>
      </w:r>
      <w:r>
        <w:rPr>
          <w:rFonts w:ascii="Bookman Old Style"/>
          <w:color w:val="000009"/>
          <w:sz w:val="28"/>
        </w:rPr>
        <w:tab/>
        <w:t>seems</w:t>
      </w:r>
      <w:r>
        <w:rPr>
          <w:rFonts w:ascii="Bookman Old Style"/>
          <w:color w:val="000009"/>
          <w:sz w:val="28"/>
        </w:rPr>
        <w:tab/>
        <w:t>to</w:t>
      </w:r>
      <w:r>
        <w:rPr>
          <w:rFonts w:ascii="Bookman Old Style"/>
          <w:color w:val="000009"/>
          <w:sz w:val="28"/>
        </w:rPr>
        <w:tab/>
        <w:t>be</w:t>
      </w:r>
      <w:r>
        <w:rPr>
          <w:rFonts w:ascii="Bookman Old Style"/>
          <w:color w:val="000009"/>
          <w:sz w:val="28"/>
        </w:rPr>
        <w:tab/>
        <w:t>no</w:t>
      </w:r>
      <w:r>
        <w:rPr>
          <w:rFonts w:ascii="Bookman Old Style"/>
          <w:color w:val="000009"/>
          <w:sz w:val="28"/>
        </w:rPr>
        <w:tab/>
        <w:t>continuity</w:t>
      </w:r>
      <w:r>
        <w:rPr>
          <w:rFonts w:ascii="Bookman Old Style"/>
          <w:color w:val="000009"/>
          <w:sz w:val="28"/>
        </w:rPr>
        <w:tab/>
        <w:t>in</w:t>
      </w:r>
      <w:r>
        <w:rPr>
          <w:rFonts w:ascii="Bookman Old Style"/>
          <w:color w:val="000009"/>
          <w:sz w:val="28"/>
        </w:rPr>
        <w:tab/>
        <w:t>the exclusionary practice followed at the Sabarimala temple and in view of this, it cannot be treated as an essential practice.</w:t>
      </w:r>
      <w:r>
        <w:rPr>
          <w:rFonts w:ascii="Bookman Old Style"/>
          <w:sz w:val="28"/>
          <w:u w:val="single"/>
        </w:rPr>
        <w:t xml:space="preserve"> </w:t>
      </w:r>
      <w:r>
        <w:rPr>
          <w:rFonts w:ascii="Bookman Old Style"/>
          <w:b/>
          <w:sz w:val="28"/>
          <w:u w:val="single"/>
        </w:rPr>
        <w:t>Analysis of the 1965 Act and Rule 3(b) of the 1965</w:t>
      </w:r>
      <w:r>
        <w:rPr>
          <w:rFonts w:ascii="Bookman Old Style"/>
          <w:b/>
          <w:spacing w:val="-20"/>
          <w:sz w:val="28"/>
          <w:u w:val="single"/>
        </w:rPr>
        <w:t xml:space="preserve"> </w:t>
      </w:r>
      <w:r>
        <w:rPr>
          <w:rFonts w:ascii="Bookman Old Style"/>
          <w:b/>
          <w:sz w:val="28"/>
          <w:u w:val="single"/>
        </w:rPr>
        <w:t>Rules</w:t>
      </w:r>
    </w:p>
    <w:p w:rsidR="003B2FC0" w:rsidRDefault="00052A49">
      <w:pPr>
        <w:pStyle w:val="ListParagraph"/>
        <w:numPr>
          <w:ilvl w:val="0"/>
          <w:numId w:val="60"/>
        </w:numPr>
        <w:tabs>
          <w:tab w:val="left" w:pos="1221"/>
        </w:tabs>
        <w:spacing w:before="85" w:line="480" w:lineRule="auto"/>
        <w:ind w:right="283" w:firstLine="0"/>
        <w:jc w:val="both"/>
        <w:rPr>
          <w:rFonts w:ascii="Bookman Old Style"/>
          <w:sz w:val="28"/>
        </w:rPr>
      </w:pPr>
      <w:r>
        <w:rPr>
          <w:rFonts w:ascii="Bookman Old Style"/>
          <w:sz w:val="28"/>
        </w:rPr>
        <w:t>We may presently deal with the statutory provisions of the Kerala Hindu Places of Public Worship (Authorisation of Entry) Act, 1965. Section 2 of the said Act is the definition clause and reads as</w:t>
      </w:r>
      <w:r>
        <w:rPr>
          <w:rFonts w:ascii="Bookman Old Style"/>
          <w:spacing w:val="-2"/>
          <w:sz w:val="28"/>
        </w:rPr>
        <w:t xml:space="preserve"> </w:t>
      </w:r>
      <w:r>
        <w:rPr>
          <w:rFonts w:ascii="Bookman Old Style"/>
          <w:sz w:val="28"/>
        </w:rPr>
        <w:t>under:</w:t>
      </w:r>
    </w:p>
    <w:p w:rsidR="003B2FC0" w:rsidRDefault="00052A49">
      <w:pPr>
        <w:pStyle w:val="BodyText"/>
        <w:spacing w:before="86"/>
        <w:ind w:left="1940" w:right="1719"/>
        <w:jc w:val="both"/>
      </w:pPr>
      <w:r>
        <w:t>“</w:t>
      </w:r>
      <w:r>
        <w:rPr>
          <w:b/>
        </w:rPr>
        <w:t>2. Definitions.</w:t>
      </w:r>
      <w:r>
        <w:t>- In this Act, unless the context ot</w:t>
      </w:r>
      <w:r>
        <w:t>herwise requires,-</w:t>
      </w:r>
    </w:p>
    <w:p w:rsidR="003B2FC0" w:rsidRDefault="00052A49">
      <w:pPr>
        <w:pStyle w:val="ListParagraph"/>
        <w:numPr>
          <w:ilvl w:val="0"/>
          <w:numId w:val="56"/>
        </w:numPr>
        <w:tabs>
          <w:tab w:val="left" w:pos="2383"/>
        </w:tabs>
        <w:spacing w:before="86"/>
        <w:ind w:right="1722" w:firstLine="0"/>
        <w:jc w:val="both"/>
        <w:rPr>
          <w:rFonts w:ascii="Bookman Old Style"/>
          <w:sz w:val="28"/>
        </w:rPr>
      </w:pPr>
      <w:r>
        <w:rPr>
          <w:rFonts w:ascii="Bookman Old Style"/>
          <w:sz w:val="28"/>
        </w:rPr>
        <w:t>"Hindu" includes a person professing the Buddhist, Sikh or Jaina</w:t>
      </w:r>
      <w:r>
        <w:rPr>
          <w:rFonts w:ascii="Bookman Old Style"/>
          <w:spacing w:val="-10"/>
          <w:sz w:val="28"/>
        </w:rPr>
        <w:t xml:space="preserve"> </w:t>
      </w:r>
      <w:r>
        <w:rPr>
          <w:rFonts w:ascii="Bookman Old Style"/>
          <w:sz w:val="28"/>
        </w:rPr>
        <w:t>religion;</w:t>
      </w:r>
    </w:p>
    <w:p w:rsidR="003B2FC0" w:rsidRDefault="00052A49">
      <w:pPr>
        <w:pStyle w:val="ListParagraph"/>
        <w:numPr>
          <w:ilvl w:val="0"/>
          <w:numId w:val="56"/>
        </w:numPr>
        <w:tabs>
          <w:tab w:val="left" w:pos="2404"/>
        </w:tabs>
        <w:spacing w:before="87"/>
        <w:ind w:right="1714" w:firstLine="0"/>
        <w:jc w:val="both"/>
        <w:rPr>
          <w:rFonts w:ascii="Bookman Old Style"/>
          <w:sz w:val="28"/>
        </w:rPr>
      </w:pPr>
      <w:r>
        <w:rPr>
          <w:rFonts w:ascii="Bookman Old Style"/>
          <w:sz w:val="28"/>
        </w:rPr>
        <w:t>"place of public worship" means a place, by whatever name known or to whomsoever belonging, which is dedicated to, or for the benefit of, or is used generally by,</w:t>
      </w:r>
      <w:r>
        <w:rPr>
          <w:rFonts w:ascii="Bookman Old Style"/>
          <w:sz w:val="28"/>
        </w:rPr>
        <w:t xml:space="preserve"> Hindus or any section or class thereof, for the performance of any religious service or for offering prayers therein, and includes all lands and subsidiary shrines, mutts, devasthanams, namaskara mandapams and nalambalams, appurtenant or attached to any s</w:t>
      </w:r>
      <w:r>
        <w:rPr>
          <w:rFonts w:ascii="Bookman Old Style"/>
          <w:sz w:val="28"/>
        </w:rPr>
        <w:t>uch place, and also any sacred tanks, wells, springs and water courses the waters of which are worshipped or are used</w:t>
      </w:r>
      <w:r>
        <w:rPr>
          <w:rFonts w:ascii="Bookman Old Style"/>
          <w:spacing w:val="67"/>
          <w:sz w:val="28"/>
        </w:rPr>
        <w:t xml:space="preserve"> </w:t>
      </w:r>
      <w:r>
        <w:rPr>
          <w:rFonts w:ascii="Bookman Old Style"/>
          <w:sz w:val="28"/>
        </w:rPr>
        <w:t>for</w:t>
      </w:r>
    </w:p>
    <w:p w:rsidR="003B2FC0" w:rsidRDefault="003B2FC0">
      <w:pPr>
        <w:jc w:val="both"/>
        <w:rPr>
          <w:rFonts w:ascii="Bookman Old Style"/>
          <w:sz w:val="28"/>
        </w:rPr>
        <w:sectPr w:rsidR="003B2FC0">
          <w:headerReference w:type="default" r:id="rId155"/>
          <w:footerReference w:type="default" r:id="rId156"/>
          <w:pgSz w:w="11910" w:h="16840"/>
          <w:pgMar w:top="1340" w:right="1160" w:bottom="280" w:left="940" w:header="554" w:footer="0" w:gutter="0"/>
          <w:pgNumType w:start="80"/>
          <w:cols w:space="720"/>
        </w:sectPr>
      </w:pPr>
    </w:p>
    <w:p w:rsidR="003B2FC0" w:rsidRDefault="00052A49">
      <w:pPr>
        <w:pStyle w:val="BodyText"/>
        <w:spacing w:before="93"/>
        <w:ind w:left="1940" w:right="1721"/>
        <w:jc w:val="both"/>
      </w:pPr>
      <w:r>
        <w:t>bathing or for worship, but does not include a "sreekoil";</w:t>
      </w:r>
    </w:p>
    <w:p w:rsidR="003B2FC0" w:rsidRDefault="00052A49">
      <w:pPr>
        <w:pStyle w:val="ListParagraph"/>
        <w:numPr>
          <w:ilvl w:val="0"/>
          <w:numId w:val="56"/>
        </w:numPr>
        <w:tabs>
          <w:tab w:val="left" w:pos="2404"/>
        </w:tabs>
        <w:spacing w:before="86"/>
        <w:ind w:right="1716" w:firstLine="0"/>
        <w:jc w:val="both"/>
        <w:rPr>
          <w:rFonts w:ascii="Bookman Old Style" w:hAnsi="Bookman Old Style"/>
          <w:sz w:val="28"/>
        </w:rPr>
      </w:pPr>
      <w:r>
        <w:rPr>
          <w:rFonts w:ascii="Bookman Old Style" w:hAnsi="Bookman Old Style"/>
          <w:sz w:val="28"/>
        </w:rPr>
        <w:t>"section or class"</w:t>
      </w:r>
      <w:r>
        <w:rPr>
          <w:rFonts w:ascii="Bookman Old Style" w:hAnsi="Bookman Old Style"/>
          <w:sz w:val="28"/>
        </w:rPr>
        <w:t xml:space="preserve"> includes any division, sub-division, caste, sub-caste, sect or denomination whatsoever.</w:t>
      </w:r>
      <w:r>
        <w:rPr>
          <w:rFonts w:ascii="Bookman Old Style" w:hAnsi="Bookman Old Style"/>
          <w:spacing w:val="-5"/>
          <w:sz w:val="28"/>
        </w:rPr>
        <w:t xml:space="preserve"> </w:t>
      </w:r>
      <w:r>
        <w:rPr>
          <w:rFonts w:ascii="Bookman Old Style" w:hAnsi="Bookman Old Style"/>
          <w:sz w:val="28"/>
        </w:rPr>
        <w:t>”</w:t>
      </w:r>
    </w:p>
    <w:p w:rsidR="003B2FC0" w:rsidRDefault="003B2FC0">
      <w:pPr>
        <w:pStyle w:val="BodyText"/>
        <w:spacing w:before="7"/>
        <w:rPr>
          <w:sz w:val="42"/>
        </w:rPr>
      </w:pPr>
    </w:p>
    <w:p w:rsidR="003B2FC0" w:rsidRDefault="00052A49">
      <w:pPr>
        <w:pStyle w:val="ListParagraph"/>
        <w:numPr>
          <w:ilvl w:val="0"/>
          <w:numId w:val="60"/>
        </w:numPr>
        <w:tabs>
          <w:tab w:val="left" w:pos="1221"/>
        </w:tabs>
        <w:spacing w:line="480" w:lineRule="auto"/>
        <w:ind w:right="273" w:firstLine="0"/>
        <w:jc w:val="both"/>
        <w:rPr>
          <w:rFonts w:ascii="Bookman Old Style"/>
          <w:sz w:val="28"/>
        </w:rPr>
      </w:pPr>
      <w:r>
        <w:rPr>
          <w:rFonts w:ascii="Bookman Old Style"/>
          <w:sz w:val="28"/>
        </w:rPr>
        <w:t>As per clause (a) of Section 2, the term 'Hindu' includes a person professing Buddhist, Sikh or Jaina religion. The word 'person'</w:t>
      </w:r>
      <w:r>
        <w:rPr>
          <w:rFonts w:ascii="Bookman Old Style"/>
          <w:sz w:val="28"/>
        </w:rPr>
        <w:t xml:space="preserve"> occurring in this clause, for the pure and simple reason of logic, must include all genders. Clause (c) defines 'section or class' as any division, sub-division, caste, sub-caste, sect or denomination whatsoever. Nowhere the definition of section or class</w:t>
      </w:r>
      <w:r>
        <w:rPr>
          <w:rFonts w:ascii="Bookman Old Style"/>
          <w:sz w:val="28"/>
        </w:rPr>
        <w:t xml:space="preserve"> suggests being limited to male division, sub-division, caste and so</w:t>
      </w:r>
      <w:r>
        <w:rPr>
          <w:rFonts w:ascii="Bookman Old Style"/>
          <w:spacing w:val="-2"/>
          <w:sz w:val="28"/>
        </w:rPr>
        <w:t xml:space="preserve"> </w:t>
      </w:r>
      <w:r>
        <w:rPr>
          <w:rFonts w:ascii="Bookman Old Style"/>
          <w:sz w:val="28"/>
        </w:rPr>
        <w:t>forth.</w:t>
      </w:r>
    </w:p>
    <w:p w:rsidR="003B2FC0" w:rsidRDefault="00052A49">
      <w:pPr>
        <w:pStyle w:val="ListParagraph"/>
        <w:numPr>
          <w:ilvl w:val="0"/>
          <w:numId w:val="60"/>
        </w:numPr>
        <w:tabs>
          <w:tab w:val="left" w:pos="1221"/>
        </w:tabs>
        <w:spacing w:before="87" w:line="480" w:lineRule="auto"/>
        <w:ind w:right="281" w:firstLine="0"/>
        <w:jc w:val="both"/>
        <w:rPr>
          <w:rFonts w:ascii="Bookman Old Style"/>
          <w:sz w:val="28"/>
        </w:rPr>
      </w:pPr>
      <w:r>
        <w:rPr>
          <w:rFonts w:ascii="Bookman Old Style"/>
          <w:sz w:val="28"/>
        </w:rPr>
        <w:t>Section 3 of the Act stipulates that places of public worship will be open to all sections and classes of Hindus and reads</w:t>
      </w:r>
      <w:r>
        <w:rPr>
          <w:rFonts w:ascii="Bookman Old Style"/>
          <w:spacing w:val="-21"/>
          <w:sz w:val="28"/>
        </w:rPr>
        <w:t xml:space="preserve"> </w:t>
      </w:r>
      <w:r>
        <w:rPr>
          <w:rFonts w:ascii="Bookman Old Style"/>
          <w:sz w:val="28"/>
        </w:rPr>
        <w:t>thus:</w:t>
      </w:r>
    </w:p>
    <w:p w:rsidR="003B2FC0" w:rsidRDefault="00052A49">
      <w:pPr>
        <w:pStyle w:val="BodyText"/>
        <w:spacing w:before="87"/>
        <w:ind w:left="1940" w:right="1715"/>
        <w:jc w:val="both"/>
      </w:pPr>
      <w:r>
        <w:t>“</w:t>
      </w:r>
      <w:r>
        <w:rPr>
          <w:b/>
        </w:rPr>
        <w:t>Section 3 : Places of public worship to open to al</w:t>
      </w:r>
      <w:r>
        <w:rPr>
          <w:b/>
        </w:rPr>
        <w:t>l sections and classes of Hindus.-</w:t>
      </w:r>
      <w:r>
        <w:t>Notwithstanding anything to the contrary contained in any other law for the time being in force or any custom or usage or any instrument having effect by virtue of any such law or any decree or order of  court, every place</w:t>
      </w:r>
      <w:r>
        <w:t xml:space="preserve"> of public worship which is open to Hindus generally or to any section or class thereof, shall be open to all sections and classes of Hindus; and no Hindu of whatsoever section or class shall, in any manner, be prevented, obstructed or discouraged from ent</w:t>
      </w:r>
      <w:r>
        <w:t>ering such place of public worship, or from worshipping</w:t>
      </w:r>
      <w:r>
        <w:rPr>
          <w:spacing w:val="66"/>
        </w:rPr>
        <w:t xml:space="preserve"> </w:t>
      </w:r>
      <w:r>
        <w:t>or</w:t>
      </w:r>
    </w:p>
    <w:p w:rsidR="003B2FC0" w:rsidRDefault="003B2FC0">
      <w:pPr>
        <w:jc w:val="both"/>
        <w:sectPr w:rsidR="003B2FC0">
          <w:headerReference w:type="default" r:id="rId157"/>
          <w:footerReference w:type="default" r:id="rId158"/>
          <w:pgSz w:w="11910" w:h="16840"/>
          <w:pgMar w:top="1340" w:right="1160" w:bottom="280" w:left="940" w:header="554" w:footer="0" w:gutter="0"/>
          <w:pgNumType w:start="81"/>
          <w:cols w:space="720"/>
        </w:sectPr>
      </w:pPr>
    </w:p>
    <w:p w:rsidR="003B2FC0" w:rsidRDefault="00052A49">
      <w:pPr>
        <w:pStyle w:val="BodyText"/>
        <w:spacing w:before="93"/>
        <w:ind w:left="1940" w:right="1717"/>
        <w:jc w:val="both"/>
      </w:pPr>
      <w:r>
        <w:t xml:space="preserve">offering prayers thereat, or performing any religious service therein, in the like manner and to the like extent as any other Hindu of whatsoever section </w:t>
      </w:r>
      <w:r>
        <w:t>or class may so enter, worship, pray or perform:</w:t>
      </w:r>
    </w:p>
    <w:p w:rsidR="003B2FC0" w:rsidRDefault="003B2FC0">
      <w:pPr>
        <w:pStyle w:val="BodyText"/>
        <w:spacing w:before="6"/>
        <w:rPr>
          <w:sz w:val="42"/>
        </w:rPr>
      </w:pPr>
    </w:p>
    <w:p w:rsidR="003B2FC0" w:rsidRDefault="00052A49">
      <w:pPr>
        <w:pStyle w:val="BodyText"/>
        <w:ind w:left="1940" w:right="1714" w:firstLine="720"/>
        <w:jc w:val="both"/>
      </w:pPr>
      <w:r>
        <w:t>Provided that in the case of a place of public worship which is a temple founded for the benefit of any religious denomination or section thereof, the provisions of this section shall be subject to the righ</w:t>
      </w:r>
      <w:r>
        <w:t>t of that religious denomination or section, as the case may be, to manage its own affairs in matters of religion.</w:t>
      </w:r>
      <w:r>
        <w:rPr>
          <w:spacing w:val="-9"/>
        </w:rPr>
        <w:t xml:space="preserve"> </w:t>
      </w:r>
      <w:r>
        <w:t>”</w:t>
      </w:r>
    </w:p>
    <w:p w:rsidR="003B2FC0" w:rsidRDefault="003B2FC0">
      <w:pPr>
        <w:pStyle w:val="BodyText"/>
        <w:spacing w:before="10"/>
        <w:rPr>
          <w:sz w:val="42"/>
        </w:rPr>
      </w:pPr>
    </w:p>
    <w:p w:rsidR="003B2FC0" w:rsidRDefault="00052A49">
      <w:pPr>
        <w:pStyle w:val="ListParagraph"/>
        <w:numPr>
          <w:ilvl w:val="0"/>
          <w:numId w:val="60"/>
        </w:numPr>
        <w:tabs>
          <w:tab w:val="left" w:pos="1221"/>
        </w:tabs>
        <w:spacing w:before="1" w:line="480" w:lineRule="auto"/>
        <w:ind w:right="272" w:firstLine="0"/>
        <w:jc w:val="both"/>
        <w:rPr>
          <w:rFonts w:ascii="Bookman Old Style"/>
          <w:sz w:val="28"/>
        </w:rPr>
      </w:pPr>
      <w:r>
        <w:rPr>
          <w:rFonts w:ascii="Bookman Old Style"/>
          <w:sz w:val="28"/>
        </w:rPr>
        <w:t>Section 3 of the Act being a non-obstante clause declares that every place of public worship which is open to Hindus generally or to any section or class thereof shall be open to all sections and classes of Hindus and no Hindu, of whatsoever section or cla</w:t>
      </w:r>
      <w:r>
        <w:rPr>
          <w:rFonts w:ascii="Bookman Old Style"/>
          <w:sz w:val="28"/>
        </w:rPr>
        <w:t>ss, shall be prevented, obstructed or discouraged from entering such place of public worship, or from worshipping, offering prayers or performing any religious service at such place of public worship in the like manner and to the like extent as any other H</w:t>
      </w:r>
      <w:r>
        <w:rPr>
          <w:rFonts w:ascii="Bookman Old Style"/>
          <w:sz w:val="28"/>
        </w:rPr>
        <w:t>indu of whatsoever section or class may so be eligible to enter, worship, pray or</w:t>
      </w:r>
      <w:r>
        <w:rPr>
          <w:rFonts w:ascii="Bookman Old Style"/>
          <w:spacing w:val="-8"/>
          <w:sz w:val="28"/>
        </w:rPr>
        <w:t xml:space="preserve"> </w:t>
      </w:r>
      <w:r>
        <w:rPr>
          <w:rFonts w:ascii="Bookman Old Style"/>
          <w:sz w:val="28"/>
        </w:rPr>
        <w:t>perform.</w:t>
      </w:r>
    </w:p>
    <w:p w:rsidR="003B2FC0" w:rsidRDefault="00052A49">
      <w:pPr>
        <w:pStyle w:val="ListParagraph"/>
        <w:numPr>
          <w:ilvl w:val="0"/>
          <w:numId w:val="60"/>
        </w:numPr>
        <w:tabs>
          <w:tab w:val="left" w:pos="1221"/>
        </w:tabs>
        <w:spacing w:before="85" w:line="480" w:lineRule="auto"/>
        <w:ind w:right="273" w:firstLine="0"/>
        <w:jc w:val="both"/>
        <w:rPr>
          <w:rFonts w:ascii="Bookman Old Style"/>
          <w:sz w:val="28"/>
        </w:rPr>
      </w:pPr>
      <w:r>
        <w:rPr>
          <w:rFonts w:ascii="Bookman Old Style"/>
          <w:sz w:val="28"/>
        </w:rPr>
        <w:t xml:space="preserve">A careful dissection of Section 3 reveals that places of public worship in the State of Kerala, irrespective of any contrary law, custom, usage or instrument having </w:t>
      </w:r>
      <w:r>
        <w:rPr>
          <w:rFonts w:ascii="Bookman Old Style"/>
          <w:sz w:val="28"/>
        </w:rPr>
        <w:t>effect by virtue of any</w:t>
      </w:r>
      <w:r>
        <w:rPr>
          <w:rFonts w:ascii="Bookman Old Style"/>
          <w:spacing w:val="48"/>
          <w:sz w:val="28"/>
        </w:rPr>
        <w:t xml:space="preserve"> </w:t>
      </w:r>
      <w:r>
        <w:rPr>
          <w:rFonts w:ascii="Bookman Old Style"/>
          <w:sz w:val="28"/>
        </w:rPr>
        <w:t>such</w:t>
      </w:r>
    </w:p>
    <w:p w:rsidR="003B2FC0" w:rsidRDefault="003B2FC0">
      <w:pPr>
        <w:spacing w:line="480" w:lineRule="auto"/>
        <w:jc w:val="both"/>
        <w:rPr>
          <w:rFonts w:ascii="Bookman Old Style"/>
          <w:sz w:val="28"/>
        </w:rPr>
        <w:sectPr w:rsidR="003B2FC0">
          <w:headerReference w:type="default" r:id="rId159"/>
          <w:footerReference w:type="default" r:id="rId160"/>
          <w:pgSz w:w="11910" w:h="16840"/>
          <w:pgMar w:top="1340" w:right="1160" w:bottom="280" w:left="940" w:header="554" w:footer="0" w:gutter="0"/>
          <w:pgNumType w:start="82"/>
          <w:cols w:space="720"/>
        </w:sectPr>
      </w:pPr>
    </w:p>
    <w:p w:rsidR="003B2FC0" w:rsidRDefault="00052A49">
      <w:pPr>
        <w:pStyle w:val="BodyText"/>
        <w:spacing w:before="93" w:line="480" w:lineRule="auto"/>
        <w:ind w:left="500" w:right="275"/>
        <w:jc w:val="both"/>
      </w:pPr>
      <w:r>
        <w:t>law or any decree or order of Court, shall be open to all sections and classes of Hindus. The definition of 'section or class' and 'Hindu' has to be imported, for the purposes of Secti</w:t>
      </w:r>
      <w:r>
        <w:t xml:space="preserve">on 3, from the definition clauses 2(a) and 2(c) which, as per our foregoing analysis, includes all the genders, provided they are Hindus. </w:t>
      </w:r>
      <w:r>
        <w:rPr>
          <w:spacing w:val="2"/>
        </w:rPr>
        <w:t xml:space="preserve">It </w:t>
      </w:r>
      <w:r>
        <w:t>further needs to be accentuated that the right provided under Section 3 due to its non-obstante nature has to be gi</w:t>
      </w:r>
      <w:r>
        <w:t>ven effect to regardless of any law, custom or usage to the</w:t>
      </w:r>
      <w:r>
        <w:rPr>
          <w:spacing w:val="-14"/>
        </w:rPr>
        <w:t xml:space="preserve"> </w:t>
      </w:r>
      <w:r>
        <w:t>contrary.</w:t>
      </w:r>
    </w:p>
    <w:p w:rsidR="003B2FC0" w:rsidRDefault="00052A49">
      <w:pPr>
        <w:pStyle w:val="ListParagraph"/>
        <w:numPr>
          <w:ilvl w:val="0"/>
          <w:numId w:val="60"/>
        </w:numPr>
        <w:tabs>
          <w:tab w:val="left" w:pos="1221"/>
        </w:tabs>
        <w:spacing w:before="86" w:line="480" w:lineRule="auto"/>
        <w:ind w:right="272" w:firstLine="0"/>
        <w:jc w:val="both"/>
        <w:rPr>
          <w:rFonts w:ascii="Bookman Old Style"/>
          <w:sz w:val="28"/>
        </w:rPr>
      </w:pPr>
      <w:r>
        <w:rPr>
          <w:rFonts w:ascii="Bookman Old Style"/>
          <w:sz w:val="28"/>
        </w:rPr>
        <w:t>The proviso to Section 3 stipulates that in case the place of public worship is a temple founded for the benefit of any religious denomination or section thereof, then the rights warrant</w:t>
      </w:r>
      <w:r>
        <w:rPr>
          <w:rFonts w:ascii="Bookman Old Style"/>
          <w:sz w:val="28"/>
        </w:rPr>
        <w:t>ed under Section 3 becomes subject to the right of that religious denomination or section to manage its own affairs in matters of religion. Having said so, we have, in the earlier part of this judgment, categorically stated that devotees and followers of L</w:t>
      </w:r>
      <w:r>
        <w:rPr>
          <w:rFonts w:ascii="Bookman Old Style"/>
          <w:sz w:val="28"/>
        </w:rPr>
        <w:t>ord Ayyappa do not constitute a religious denomination and, therefore, the proviso to Section 3 cannot be resorted to in the case at</w:t>
      </w:r>
      <w:r>
        <w:rPr>
          <w:rFonts w:ascii="Bookman Old Style"/>
          <w:spacing w:val="-2"/>
          <w:sz w:val="28"/>
        </w:rPr>
        <w:t xml:space="preserve"> </w:t>
      </w:r>
      <w:r>
        <w:rPr>
          <w:rFonts w:ascii="Bookman Old Style"/>
          <w:sz w:val="28"/>
        </w:rPr>
        <w:t>hand.</w:t>
      </w:r>
    </w:p>
    <w:p w:rsidR="003B2FC0" w:rsidRDefault="00052A49">
      <w:pPr>
        <w:pStyle w:val="ListParagraph"/>
        <w:numPr>
          <w:ilvl w:val="0"/>
          <w:numId w:val="60"/>
        </w:numPr>
        <w:tabs>
          <w:tab w:val="left" w:pos="1221"/>
        </w:tabs>
        <w:spacing w:before="88" w:line="480" w:lineRule="auto"/>
        <w:ind w:right="273" w:firstLine="0"/>
        <w:jc w:val="both"/>
        <w:rPr>
          <w:rFonts w:ascii="Bookman Old Style"/>
          <w:sz w:val="28"/>
        </w:rPr>
      </w:pPr>
      <w:r>
        <w:rPr>
          <w:rFonts w:ascii="Bookman Old Style"/>
          <w:sz w:val="28"/>
        </w:rPr>
        <w:t>The importance and the gravity of the right stipulated under Section 3 of this Act, for all sections and classes of H</w:t>
      </w:r>
      <w:r>
        <w:rPr>
          <w:rFonts w:ascii="Bookman Old Style"/>
          <w:sz w:val="28"/>
        </w:rPr>
        <w:t>indus which include</w:t>
      </w:r>
      <w:r>
        <w:rPr>
          <w:rFonts w:ascii="Bookman Old Style"/>
          <w:spacing w:val="46"/>
          <w:sz w:val="28"/>
        </w:rPr>
        <w:t xml:space="preserve"> </w:t>
      </w:r>
      <w:r>
        <w:rPr>
          <w:rFonts w:ascii="Bookman Old Style"/>
          <w:sz w:val="28"/>
        </w:rPr>
        <w:t>women,</w:t>
      </w:r>
      <w:r>
        <w:rPr>
          <w:rFonts w:ascii="Bookman Old Style"/>
          <w:spacing w:val="43"/>
          <w:sz w:val="28"/>
        </w:rPr>
        <w:t xml:space="preserve"> </w:t>
      </w:r>
      <w:r>
        <w:rPr>
          <w:rFonts w:ascii="Bookman Old Style"/>
          <w:sz w:val="28"/>
        </w:rPr>
        <w:t>is</w:t>
      </w:r>
      <w:r>
        <w:rPr>
          <w:rFonts w:ascii="Bookman Old Style"/>
          <w:spacing w:val="45"/>
          <w:sz w:val="28"/>
        </w:rPr>
        <w:t xml:space="preserve"> </w:t>
      </w:r>
      <w:r>
        <w:rPr>
          <w:rFonts w:ascii="Bookman Old Style"/>
          <w:sz w:val="28"/>
        </w:rPr>
        <w:t>very</w:t>
      </w:r>
      <w:r>
        <w:rPr>
          <w:rFonts w:ascii="Bookman Old Style"/>
          <w:spacing w:val="45"/>
          <w:sz w:val="28"/>
        </w:rPr>
        <w:t xml:space="preserve"> </w:t>
      </w:r>
      <w:r>
        <w:rPr>
          <w:rFonts w:ascii="Bookman Old Style"/>
          <w:sz w:val="28"/>
        </w:rPr>
        <w:t>well</w:t>
      </w:r>
      <w:r>
        <w:rPr>
          <w:rFonts w:ascii="Bookman Old Style"/>
          <w:spacing w:val="44"/>
          <w:sz w:val="28"/>
        </w:rPr>
        <w:t xml:space="preserve"> </w:t>
      </w:r>
      <w:r>
        <w:rPr>
          <w:rFonts w:ascii="Bookman Old Style"/>
          <w:sz w:val="28"/>
        </w:rPr>
        <w:t>manifest</w:t>
      </w:r>
      <w:r>
        <w:rPr>
          <w:rFonts w:ascii="Bookman Old Style"/>
          <w:spacing w:val="45"/>
          <w:sz w:val="28"/>
        </w:rPr>
        <w:t xml:space="preserve"> </w:t>
      </w:r>
      <w:r>
        <w:rPr>
          <w:rFonts w:ascii="Bookman Old Style"/>
          <w:sz w:val="28"/>
        </w:rPr>
        <w:t>and</w:t>
      </w:r>
      <w:r>
        <w:rPr>
          <w:rFonts w:ascii="Bookman Old Style"/>
          <w:spacing w:val="43"/>
          <w:sz w:val="28"/>
        </w:rPr>
        <w:t xml:space="preserve"> </w:t>
      </w:r>
      <w:r>
        <w:rPr>
          <w:rFonts w:ascii="Bookman Old Style"/>
          <w:sz w:val="28"/>
        </w:rPr>
        <w:t>evident</w:t>
      </w:r>
      <w:r>
        <w:rPr>
          <w:rFonts w:ascii="Bookman Old Style"/>
          <w:spacing w:val="44"/>
          <w:sz w:val="28"/>
        </w:rPr>
        <w:t xml:space="preserve"> </w:t>
      </w:r>
      <w:r>
        <w:rPr>
          <w:rFonts w:ascii="Bookman Old Style"/>
          <w:sz w:val="28"/>
        </w:rPr>
        <w:t>from</w:t>
      </w:r>
      <w:r>
        <w:rPr>
          <w:rFonts w:ascii="Bookman Old Style"/>
          <w:spacing w:val="45"/>
          <w:sz w:val="28"/>
        </w:rPr>
        <w:t xml:space="preserve"> </w:t>
      </w:r>
      <w:r>
        <w:rPr>
          <w:rFonts w:ascii="Bookman Old Style"/>
          <w:sz w:val="28"/>
        </w:rPr>
        <w:t>the</w:t>
      </w:r>
      <w:r>
        <w:rPr>
          <w:rFonts w:ascii="Bookman Old Style"/>
          <w:spacing w:val="47"/>
          <w:sz w:val="28"/>
        </w:rPr>
        <w:t xml:space="preserve"> </w:t>
      </w:r>
      <w:r>
        <w:rPr>
          <w:rFonts w:ascii="Bookman Old Style"/>
          <w:sz w:val="28"/>
        </w:rPr>
        <w:t>fact</w:t>
      </w:r>
    </w:p>
    <w:p w:rsidR="003B2FC0" w:rsidRDefault="003B2FC0">
      <w:pPr>
        <w:spacing w:line="480" w:lineRule="auto"/>
        <w:jc w:val="both"/>
        <w:rPr>
          <w:rFonts w:ascii="Bookman Old Style"/>
          <w:sz w:val="28"/>
        </w:rPr>
        <w:sectPr w:rsidR="003B2FC0">
          <w:headerReference w:type="default" r:id="rId161"/>
          <w:footerReference w:type="default" r:id="rId162"/>
          <w:pgSz w:w="11910" w:h="16840"/>
          <w:pgMar w:top="1340" w:right="1160" w:bottom="280" w:left="940" w:header="554" w:footer="0" w:gutter="0"/>
          <w:pgNumType w:start="83"/>
          <w:cols w:space="720"/>
        </w:sectPr>
      </w:pPr>
    </w:p>
    <w:p w:rsidR="003B2FC0" w:rsidRDefault="00052A49">
      <w:pPr>
        <w:pStyle w:val="BodyText"/>
        <w:spacing w:before="93" w:line="480" w:lineRule="auto"/>
        <w:ind w:left="500" w:right="285"/>
        <w:jc w:val="both"/>
      </w:pPr>
      <w:r>
        <w:t>that its violation has been made penal under Section 5 of the 1965 Act which reads as</w:t>
      </w:r>
      <w:r>
        <w:rPr>
          <w:spacing w:val="-5"/>
        </w:rPr>
        <w:t xml:space="preserve"> </w:t>
      </w:r>
      <w:r>
        <w:t>under:</w:t>
      </w:r>
    </w:p>
    <w:p w:rsidR="003B2FC0" w:rsidRDefault="00052A49">
      <w:pPr>
        <w:pStyle w:val="BodyText"/>
        <w:spacing w:before="86"/>
        <w:ind w:left="1940"/>
        <w:jc w:val="both"/>
        <w:rPr>
          <w:b/>
        </w:rPr>
      </w:pPr>
      <w:r>
        <w:rPr>
          <w:b/>
        </w:rPr>
        <w:t>“Section 5 :</w:t>
      </w:r>
      <w:r>
        <w:rPr>
          <w:b/>
          <w:spacing w:val="-12"/>
        </w:rPr>
        <w:t xml:space="preserve"> </w:t>
      </w:r>
      <w:r>
        <w:rPr>
          <w:b/>
        </w:rPr>
        <w:t>Penalty</w:t>
      </w:r>
    </w:p>
    <w:p w:rsidR="003B2FC0" w:rsidRDefault="00052A49">
      <w:pPr>
        <w:pStyle w:val="BodyText"/>
        <w:spacing w:before="85"/>
        <w:ind w:left="1940"/>
        <w:jc w:val="both"/>
      </w:pPr>
      <w:r>
        <w:t>Whoever, in contravention of Section 3,-</w:t>
      </w:r>
    </w:p>
    <w:p w:rsidR="003B2FC0" w:rsidRDefault="00052A49">
      <w:pPr>
        <w:pStyle w:val="ListParagraph"/>
        <w:numPr>
          <w:ilvl w:val="0"/>
          <w:numId w:val="55"/>
        </w:numPr>
        <w:tabs>
          <w:tab w:val="left" w:pos="2500"/>
        </w:tabs>
        <w:spacing w:before="86"/>
        <w:ind w:right="1718" w:firstLine="0"/>
        <w:jc w:val="both"/>
        <w:rPr>
          <w:rFonts w:ascii="Bookman Old Style"/>
          <w:sz w:val="28"/>
        </w:rPr>
      </w:pPr>
      <w:r>
        <w:rPr>
          <w:rFonts w:ascii="Bookman Old Style"/>
          <w:sz w:val="28"/>
        </w:rPr>
        <w:t>prevents or attempts to prevent any person belonging to any section or class of Hindus from entering, worshipping or offering prayers, performing any religious service, in any place of public worship;</w:t>
      </w:r>
      <w:r>
        <w:rPr>
          <w:rFonts w:ascii="Bookman Old Style"/>
          <w:spacing w:val="-15"/>
          <w:sz w:val="28"/>
        </w:rPr>
        <w:t xml:space="preserve"> </w:t>
      </w:r>
      <w:r>
        <w:rPr>
          <w:rFonts w:ascii="Bookman Old Style"/>
          <w:sz w:val="28"/>
        </w:rPr>
        <w:t>or</w:t>
      </w:r>
    </w:p>
    <w:p w:rsidR="003B2FC0" w:rsidRDefault="00052A49">
      <w:pPr>
        <w:pStyle w:val="ListParagraph"/>
        <w:numPr>
          <w:ilvl w:val="0"/>
          <w:numId w:val="55"/>
        </w:numPr>
        <w:tabs>
          <w:tab w:val="left" w:pos="2377"/>
        </w:tabs>
        <w:spacing w:before="88"/>
        <w:ind w:right="1717" w:firstLine="0"/>
        <w:jc w:val="both"/>
        <w:rPr>
          <w:rFonts w:ascii="Bookman Old Style"/>
          <w:sz w:val="28"/>
        </w:rPr>
      </w:pPr>
      <w:r>
        <w:rPr>
          <w:rFonts w:ascii="Bookman Old Style"/>
          <w:sz w:val="28"/>
        </w:rPr>
        <w:t xml:space="preserve">obstructs, </w:t>
      </w:r>
      <w:r>
        <w:rPr>
          <w:rFonts w:ascii="Bookman Old Style"/>
          <w:sz w:val="28"/>
        </w:rPr>
        <w:t>or causes or attempts to cause obstruction to, or by threat of obstruction or otherwise discourages, any such person from doing or performing any of the acts aforesaid, shall be publishable with imprisonment which may extent to six months, or with fine whi</w:t>
      </w:r>
      <w:r>
        <w:rPr>
          <w:rFonts w:ascii="Bookman Old Style"/>
          <w:sz w:val="28"/>
        </w:rPr>
        <w:t>ch may extent to five hundred rupees, or with</w:t>
      </w:r>
      <w:r>
        <w:rPr>
          <w:rFonts w:ascii="Bookman Old Style"/>
          <w:spacing w:val="-8"/>
          <w:sz w:val="28"/>
        </w:rPr>
        <w:t xml:space="preserve"> </w:t>
      </w:r>
      <w:r>
        <w:rPr>
          <w:rFonts w:ascii="Bookman Old Style"/>
          <w:sz w:val="28"/>
        </w:rPr>
        <w:t>both:</w:t>
      </w:r>
    </w:p>
    <w:p w:rsidR="003B2FC0" w:rsidRDefault="00052A49">
      <w:pPr>
        <w:pStyle w:val="BodyText"/>
        <w:spacing w:before="85"/>
        <w:ind w:left="1940" w:right="1718" w:firstLine="720"/>
        <w:jc w:val="both"/>
      </w:pPr>
      <w:r>
        <w:t>Provided that in a case where a sentence of fine only is awarded, such fine shall not be less than fifty rupees. ”</w:t>
      </w:r>
    </w:p>
    <w:p w:rsidR="003B2FC0" w:rsidRDefault="003B2FC0">
      <w:pPr>
        <w:pStyle w:val="BodyText"/>
        <w:spacing w:before="9"/>
        <w:rPr>
          <w:sz w:val="42"/>
        </w:rPr>
      </w:pPr>
    </w:p>
    <w:p w:rsidR="003B2FC0" w:rsidRDefault="00052A49">
      <w:pPr>
        <w:pStyle w:val="ListParagraph"/>
        <w:numPr>
          <w:ilvl w:val="0"/>
          <w:numId w:val="60"/>
        </w:numPr>
        <w:tabs>
          <w:tab w:val="left" w:pos="1221"/>
        </w:tabs>
        <w:spacing w:line="480" w:lineRule="auto"/>
        <w:ind w:right="276" w:firstLine="0"/>
        <w:jc w:val="both"/>
        <w:rPr>
          <w:rFonts w:ascii="Bookman Old Style"/>
          <w:sz w:val="28"/>
        </w:rPr>
      </w:pPr>
      <w:r>
        <w:rPr>
          <w:rFonts w:ascii="Bookman Old Style"/>
          <w:sz w:val="28"/>
        </w:rPr>
        <w:t>Proceeding ahead, Section 4 of the 1965 Act confers the power to make regulations for the maintenance of order</w:t>
      </w:r>
      <w:r>
        <w:rPr>
          <w:rFonts w:ascii="Bookman Old Style"/>
          <w:spacing w:val="53"/>
          <w:sz w:val="28"/>
        </w:rPr>
        <w:t xml:space="preserve"> </w:t>
      </w:r>
      <w:r>
        <w:rPr>
          <w:rFonts w:ascii="Bookman Old Style"/>
          <w:sz w:val="28"/>
        </w:rPr>
        <w:t>and decorum and performance of rites and ceremonies with regard to places of public worship in</w:t>
      </w:r>
      <w:r>
        <w:rPr>
          <w:rFonts w:ascii="Bookman Old Style"/>
          <w:spacing w:val="-7"/>
          <w:sz w:val="28"/>
        </w:rPr>
        <w:t xml:space="preserve"> </w:t>
      </w:r>
      <w:r>
        <w:rPr>
          <w:rFonts w:ascii="Bookman Old Style"/>
          <w:sz w:val="28"/>
        </w:rPr>
        <w:t>Kerala:</w:t>
      </w:r>
    </w:p>
    <w:p w:rsidR="003B2FC0" w:rsidRDefault="00052A49">
      <w:pPr>
        <w:pStyle w:val="BodyText"/>
        <w:spacing w:before="86"/>
        <w:ind w:left="1940" w:right="1716"/>
        <w:jc w:val="both"/>
        <w:rPr>
          <w:b/>
        </w:rPr>
      </w:pPr>
      <w:r>
        <w:rPr>
          <w:b/>
        </w:rPr>
        <w:t>“Section 4 : Power to make regulations for</w:t>
      </w:r>
      <w:r>
        <w:rPr>
          <w:b/>
        </w:rPr>
        <w:t xml:space="preserve"> the maintenance of order and decorum and the due performance of rites and ceremonies in places of public worship</w:t>
      </w:r>
    </w:p>
    <w:p w:rsidR="003B2FC0" w:rsidRDefault="00052A49">
      <w:pPr>
        <w:pStyle w:val="ListParagraph"/>
        <w:numPr>
          <w:ilvl w:val="0"/>
          <w:numId w:val="54"/>
        </w:numPr>
        <w:tabs>
          <w:tab w:val="left" w:pos="2375"/>
        </w:tabs>
        <w:spacing w:before="87"/>
        <w:ind w:right="1717" w:firstLine="0"/>
        <w:jc w:val="both"/>
        <w:rPr>
          <w:rFonts w:ascii="Bookman Old Style"/>
          <w:sz w:val="28"/>
        </w:rPr>
      </w:pPr>
      <w:r>
        <w:rPr>
          <w:rFonts w:ascii="Bookman Old Style"/>
          <w:sz w:val="28"/>
        </w:rPr>
        <w:t xml:space="preserve">The trustee or any other person in charge of any place public worship shall have power, subject to the control of the competent authority and </w:t>
      </w:r>
      <w:r>
        <w:rPr>
          <w:rFonts w:ascii="Bookman Old Style"/>
          <w:sz w:val="28"/>
        </w:rPr>
        <w:t>any rules</w:t>
      </w:r>
      <w:r>
        <w:rPr>
          <w:rFonts w:ascii="Bookman Old Style"/>
          <w:spacing w:val="14"/>
          <w:sz w:val="28"/>
        </w:rPr>
        <w:t xml:space="preserve"> </w:t>
      </w:r>
      <w:r>
        <w:rPr>
          <w:rFonts w:ascii="Bookman Old Style"/>
          <w:sz w:val="28"/>
        </w:rPr>
        <w:t>which</w:t>
      </w:r>
    </w:p>
    <w:p w:rsidR="003B2FC0" w:rsidRDefault="003B2FC0">
      <w:pPr>
        <w:jc w:val="both"/>
        <w:rPr>
          <w:rFonts w:ascii="Bookman Old Style"/>
          <w:sz w:val="28"/>
        </w:rPr>
        <w:sectPr w:rsidR="003B2FC0">
          <w:headerReference w:type="default" r:id="rId163"/>
          <w:footerReference w:type="default" r:id="rId164"/>
          <w:pgSz w:w="11910" w:h="16840"/>
          <w:pgMar w:top="1340" w:right="1160" w:bottom="280" w:left="940" w:header="554" w:footer="0" w:gutter="0"/>
          <w:pgNumType w:start="84"/>
          <w:cols w:space="720"/>
        </w:sectPr>
      </w:pPr>
    </w:p>
    <w:p w:rsidR="003B2FC0" w:rsidRDefault="00052A49">
      <w:pPr>
        <w:pStyle w:val="BodyText"/>
        <w:spacing w:before="93"/>
        <w:ind w:left="1940" w:right="1719"/>
        <w:jc w:val="both"/>
      </w:pPr>
      <w:r>
        <w:t>may be made by that authority, to make regulations for the maintenance of order and decorum in the place of public worship and the due observance of the religious rites and ceremonies performed the</w:t>
      </w:r>
      <w:r>
        <w:t>rein:</w:t>
      </w:r>
    </w:p>
    <w:p w:rsidR="003B2FC0" w:rsidRDefault="00052A49">
      <w:pPr>
        <w:pStyle w:val="BodyText"/>
        <w:spacing w:before="87"/>
        <w:ind w:left="1940" w:right="1714" w:firstLine="720"/>
        <w:jc w:val="both"/>
      </w:pPr>
      <w:r>
        <w:t>Provided that no regulation made under this sub-section shall discriminate in any manner whatsoever, against any Hindu on the ground that he belongs to a particular section or</w:t>
      </w:r>
      <w:r>
        <w:rPr>
          <w:spacing w:val="-8"/>
        </w:rPr>
        <w:t xml:space="preserve"> </w:t>
      </w:r>
      <w:r>
        <w:t>class.</w:t>
      </w:r>
    </w:p>
    <w:p w:rsidR="003B2FC0" w:rsidRDefault="00052A49">
      <w:pPr>
        <w:pStyle w:val="ListParagraph"/>
        <w:numPr>
          <w:ilvl w:val="0"/>
          <w:numId w:val="54"/>
        </w:numPr>
        <w:tabs>
          <w:tab w:val="left" w:pos="2449"/>
        </w:tabs>
        <w:spacing w:before="85"/>
        <w:ind w:right="1718" w:firstLine="0"/>
        <w:jc w:val="both"/>
        <w:rPr>
          <w:rFonts w:ascii="Bookman Old Style"/>
          <w:sz w:val="28"/>
        </w:rPr>
      </w:pPr>
      <w:r>
        <w:rPr>
          <w:rFonts w:ascii="Bookman Old Style"/>
          <w:sz w:val="28"/>
        </w:rPr>
        <w:t>The competent authority referred to in sub-section (1) shall</w:t>
      </w:r>
      <w:r>
        <w:rPr>
          <w:rFonts w:ascii="Bookman Old Style"/>
          <w:spacing w:val="-4"/>
          <w:sz w:val="28"/>
        </w:rPr>
        <w:t xml:space="preserve"> </w:t>
      </w:r>
      <w:r>
        <w:rPr>
          <w:rFonts w:ascii="Bookman Old Style"/>
          <w:sz w:val="28"/>
        </w:rPr>
        <w:t>be,-</w:t>
      </w:r>
    </w:p>
    <w:p w:rsidR="003B2FC0" w:rsidRDefault="00052A49">
      <w:pPr>
        <w:pStyle w:val="ListParagraph"/>
        <w:numPr>
          <w:ilvl w:val="0"/>
          <w:numId w:val="53"/>
        </w:numPr>
        <w:tabs>
          <w:tab w:val="left" w:pos="2346"/>
        </w:tabs>
        <w:spacing w:before="87"/>
        <w:ind w:right="1715" w:firstLine="0"/>
        <w:jc w:val="both"/>
        <w:rPr>
          <w:rFonts w:ascii="Bookman Old Style"/>
          <w:sz w:val="28"/>
        </w:rPr>
      </w:pPr>
      <w:r>
        <w:rPr>
          <w:rFonts w:ascii="Bookman Old Style"/>
          <w:spacing w:val="2"/>
          <w:sz w:val="28"/>
        </w:rPr>
        <w:t xml:space="preserve">In </w:t>
      </w:r>
      <w:r>
        <w:rPr>
          <w:rFonts w:ascii="Bookman Old Style"/>
          <w:sz w:val="28"/>
        </w:rPr>
        <w:t>relation to a place of public worship situated in any area to which Part I of the Travancore-Cochin Hindu Religious Institutions Act, 1950 (Travancore-Cochin Act XV of 1950), extends, the Travancore Devaswom</w:t>
      </w:r>
      <w:r>
        <w:rPr>
          <w:rFonts w:ascii="Bookman Old Style"/>
          <w:spacing w:val="-2"/>
          <w:sz w:val="28"/>
        </w:rPr>
        <w:t xml:space="preserve"> </w:t>
      </w:r>
      <w:r>
        <w:rPr>
          <w:rFonts w:ascii="Bookman Old Style"/>
          <w:sz w:val="28"/>
        </w:rPr>
        <w:t>Board;</w:t>
      </w:r>
    </w:p>
    <w:p w:rsidR="003B2FC0" w:rsidRDefault="00052A49">
      <w:pPr>
        <w:pStyle w:val="ListParagraph"/>
        <w:numPr>
          <w:ilvl w:val="0"/>
          <w:numId w:val="53"/>
        </w:numPr>
        <w:tabs>
          <w:tab w:val="left" w:pos="2423"/>
        </w:tabs>
        <w:spacing w:before="84"/>
        <w:ind w:right="1718" w:firstLine="0"/>
        <w:jc w:val="both"/>
        <w:rPr>
          <w:rFonts w:ascii="Bookman Old Style"/>
          <w:sz w:val="28"/>
        </w:rPr>
      </w:pPr>
      <w:r>
        <w:rPr>
          <w:rFonts w:ascii="Bookman Old Style"/>
          <w:sz w:val="28"/>
        </w:rPr>
        <w:t>in relation to a place of public worship situated in any area to which Part II of the said Act extends, the Cochin Devaswom Board;</w:t>
      </w:r>
      <w:r>
        <w:rPr>
          <w:rFonts w:ascii="Bookman Old Style"/>
          <w:spacing w:val="-3"/>
          <w:sz w:val="28"/>
        </w:rPr>
        <w:t xml:space="preserve"> </w:t>
      </w:r>
      <w:r>
        <w:rPr>
          <w:rFonts w:ascii="Bookman Old Style"/>
          <w:sz w:val="28"/>
        </w:rPr>
        <w:t>and</w:t>
      </w:r>
    </w:p>
    <w:p w:rsidR="003B2FC0" w:rsidRDefault="00052A49">
      <w:pPr>
        <w:pStyle w:val="ListParagraph"/>
        <w:numPr>
          <w:ilvl w:val="0"/>
          <w:numId w:val="53"/>
        </w:numPr>
        <w:tabs>
          <w:tab w:val="left" w:pos="2497"/>
        </w:tabs>
        <w:spacing w:before="88"/>
        <w:ind w:right="1717" w:firstLine="0"/>
        <w:jc w:val="both"/>
        <w:rPr>
          <w:rFonts w:ascii="Bookman Old Style" w:hAnsi="Bookman Old Style"/>
          <w:sz w:val="28"/>
        </w:rPr>
      </w:pPr>
      <w:r>
        <w:rPr>
          <w:rFonts w:ascii="Bookman Old Style" w:hAnsi="Bookman Old Style"/>
          <w:sz w:val="28"/>
        </w:rPr>
        <w:t>in relation to a place of public worship situated in any other area in the State of Kerala, the</w:t>
      </w:r>
      <w:r>
        <w:rPr>
          <w:rFonts w:ascii="Bookman Old Style" w:hAnsi="Bookman Old Style"/>
          <w:spacing w:val="-2"/>
          <w:sz w:val="28"/>
        </w:rPr>
        <w:t xml:space="preserve"> </w:t>
      </w:r>
      <w:r>
        <w:rPr>
          <w:rFonts w:ascii="Bookman Old Style" w:hAnsi="Bookman Old Style"/>
          <w:sz w:val="28"/>
        </w:rPr>
        <w:t>Government.”</w:t>
      </w:r>
    </w:p>
    <w:p w:rsidR="003B2FC0" w:rsidRDefault="003B2FC0">
      <w:pPr>
        <w:pStyle w:val="BodyText"/>
        <w:spacing w:before="6"/>
        <w:rPr>
          <w:sz w:val="42"/>
        </w:rPr>
      </w:pPr>
    </w:p>
    <w:p w:rsidR="003B2FC0" w:rsidRDefault="00052A49">
      <w:pPr>
        <w:pStyle w:val="ListParagraph"/>
        <w:numPr>
          <w:ilvl w:val="0"/>
          <w:numId w:val="60"/>
        </w:numPr>
        <w:tabs>
          <w:tab w:val="left" w:pos="1221"/>
        </w:tabs>
        <w:spacing w:line="480" w:lineRule="auto"/>
        <w:ind w:right="273" w:firstLine="0"/>
        <w:jc w:val="both"/>
        <w:rPr>
          <w:rFonts w:ascii="Bookman Old Style"/>
          <w:sz w:val="28"/>
        </w:rPr>
      </w:pPr>
      <w:r>
        <w:rPr>
          <w:rFonts w:ascii="Bookman Old Style"/>
          <w:sz w:val="28"/>
        </w:rPr>
        <w:t>The proviso</w:t>
      </w:r>
      <w:r>
        <w:rPr>
          <w:rFonts w:ascii="Bookman Old Style"/>
          <w:sz w:val="28"/>
        </w:rPr>
        <w:t xml:space="preserve"> to Section 4 being an exception to Section 4(1) is a classic example of a situation where the exception is more important than the rule itself. </w:t>
      </w:r>
      <w:r>
        <w:rPr>
          <w:rFonts w:ascii="Bookman Old Style"/>
          <w:spacing w:val="2"/>
          <w:sz w:val="28"/>
        </w:rPr>
        <w:t xml:space="preserve">It </w:t>
      </w:r>
      <w:r>
        <w:rPr>
          <w:rFonts w:ascii="Bookman Old Style"/>
          <w:sz w:val="28"/>
        </w:rPr>
        <w:t>needs to be borne in mind that the language of the proviso to Section 4 of the 1965 Act, in very clear and s</w:t>
      </w:r>
      <w:r>
        <w:rPr>
          <w:rFonts w:ascii="Bookman Old Style"/>
          <w:sz w:val="28"/>
        </w:rPr>
        <w:t>imple terms, states that the regulations made under clause (1) of Section 4 shall not discriminate against any Hindu on</w:t>
      </w:r>
      <w:r>
        <w:rPr>
          <w:rFonts w:ascii="Bookman Old Style"/>
          <w:spacing w:val="72"/>
          <w:sz w:val="28"/>
        </w:rPr>
        <w:t xml:space="preserve"> </w:t>
      </w:r>
      <w:r>
        <w:rPr>
          <w:rFonts w:ascii="Bookman Old Style"/>
          <w:sz w:val="28"/>
        </w:rPr>
        <w:t>the</w:t>
      </w:r>
      <w:r>
        <w:rPr>
          <w:rFonts w:ascii="Bookman Old Style"/>
          <w:spacing w:val="76"/>
          <w:sz w:val="28"/>
        </w:rPr>
        <w:t xml:space="preserve"> </w:t>
      </w:r>
      <w:r>
        <w:rPr>
          <w:rFonts w:ascii="Bookman Old Style"/>
          <w:sz w:val="28"/>
        </w:rPr>
        <w:t>ground</w:t>
      </w:r>
      <w:r>
        <w:rPr>
          <w:rFonts w:ascii="Bookman Old Style"/>
          <w:spacing w:val="75"/>
          <w:sz w:val="28"/>
        </w:rPr>
        <w:t xml:space="preserve"> </w:t>
      </w:r>
      <w:r>
        <w:rPr>
          <w:rFonts w:ascii="Bookman Old Style"/>
          <w:sz w:val="28"/>
        </w:rPr>
        <w:t>that</w:t>
      </w:r>
      <w:r>
        <w:rPr>
          <w:rFonts w:ascii="Bookman Old Style"/>
          <w:spacing w:val="72"/>
          <w:sz w:val="28"/>
        </w:rPr>
        <w:t xml:space="preserve"> </w:t>
      </w:r>
      <w:r>
        <w:rPr>
          <w:rFonts w:ascii="Bookman Old Style"/>
          <w:sz w:val="28"/>
        </w:rPr>
        <w:t>he/she</w:t>
      </w:r>
      <w:r>
        <w:rPr>
          <w:rFonts w:ascii="Bookman Old Style"/>
          <w:spacing w:val="75"/>
          <w:sz w:val="28"/>
        </w:rPr>
        <w:t xml:space="preserve"> </w:t>
      </w:r>
      <w:r>
        <w:rPr>
          <w:rFonts w:ascii="Bookman Old Style"/>
          <w:sz w:val="28"/>
        </w:rPr>
        <w:t>belongs</w:t>
      </w:r>
      <w:r>
        <w:rPr>
          <w:rFonts w:ascii="Bookman Old Style"/>
          <w:spacing w:val="74"/>
          <w:sz w:val="28"/>
        </w:rPr>
        <w:t xml:space="preserve"> </w:t>
      </w:r>
      <w:r>
        <w:rPr>
          <w:rFonts w:ascii="Bookman Old Style"/>
          <w:sz w:val="28"/>
        </w:rPr>
        <w:t>to</w:t>
      </w:r>
      <w:r>
        <w:rPr>
          <w:rFonts w:ascii="Bookman Old Style"/>
          <w:spacing w:val="75"/>
          <w:sz w:val="28"/>
        </w:rPr>
        <w:t xml:space="preserve"> </w:t>
      </w:r>
      <w:r>
        <w:rPr>
          <w:rFonts w:ascii="Bookman Old Style"/>
          <w:sz w:val="28"/>
        </w:rPr>
        <w:t>a</w:t>
      </w:r>
      <w:r>
        <w:rPr>
          <w:rFonts w:ascii="Bookman Old Style"/>
          <w:spacing w:val="74"/>
          <w:sz w:val="28"/>
        </w:rPr>
        <w:t xml:space="preserve"> </w:t>
      </w:r>
      <w:r>
        <w:rPr>
          <w:rFonts w:ascii="Bookman Old Style"/>
          <w:sz w:val="28"/>
        </w:rPr>
        <w:t>particular</w:t>
      </w:r>
      <w:r>
        <w:rPr>
          <w:rFonts w:ascii="Bookman Old Style"/>
          <w:spacing w:val="73"/>
          <w:sz w:val="28"/>
        </w:rPr>
        <w:t xml:space="preserve"> </w:t>
      </w:r>
      <w:r>
        <w:rPr>
          <w:rFonts w:ascii="Bookman Old Style"/>
          <w:sz w:val="28"/>
        </w:rPr>
        <w:t>section</w:t>
      </w:r>
      <w:r>
        <w:rPr>
          <w:rFonts w:ascii="Bookman Old Style"/>
          <w:spacing w:val="72"/>
          <w:sz w:val="28"/>
        </w:rPr>
        <w:t xml:space="preserve"> </w:t>
      </w:r>
      <w:r>
        <w:rPr>
          <w:rFonts w:ascii="Bookman Old Style"/>
          <w:sz w:val="28"/>
        </w:rPr>
        <w:t>or</w:t>
      </w:r>
    </w:p>
    <w:p w:rsidR="003B2FC0" w:rsidRDefault="003B2FC0">
      <w:pPr>
        <w:spacing w:line="480" w:lineRule="auto"/>
        <w:jc w:val="both"/>
        <w:rPr>
          <w:rFonts w:ascii="Bookman Old Style"/>
          <w:sz w:val="28"/>
        </w:rPr>
        <w:sectPr w:rsidR="003B2FC0">
          <w:headerReference w:type="default" r:id="rId165"/>
          <w:footerReference w:type="default" r:id="rId166"/>
          <w:pgSz w:w="11910" w:h="16840"/>
          <w:pgMar w:top="1340" w:right="1160" w:bottom="280" w:left="940" w:header="554" w:footer="0" w:gutter="0"/>
          <w:pgNumType w:start="85"/>
          <w:cols w:space="720"/>
        </w:sectPr>
      </w:pPr>
    </w:p>
    <w:p w:rsidR="003B2FC0" w:rsidRDefault="00052A49">
      <w:pPr>
        <w:pStyle w:val="BodyText"/>
        <w:spacing w:before="93" w:line="480" w:lineRule="auto"/>
        <w:ind w:left="500" w:right="272"/>
        <w:jc w:val="both"/>
      </w:pPr>
      <w:r>
        <w:t>class. As stated earlier, a particular section or class for the purposes of this Act includes women of all age groups, for Hindu women of any age group also constitute a class or section of Hindus.</w:t>
      </w:r>
    </w:p>
    <w:p w:rsidR="003B2FC0" w:rsidRDefault="00052A49">
      <w:pPr>
        <w:pStyle w:val="ListParagraph"/>
        <w:numPr>
          <w:ilvl w:val="0"/>
          <w:numId w:val="60"/>
        </w:numPr>
        <w:tabs>
          <w:tab w:val="left" w:pos="1221"/>
        </w:tabs>
        <w:spacing w:before="85" w:line="480" w:lineRule="auto"/>
        <w:ind w:right="273" w:firstLine="0"/>
        <w:jc w:val="both"/>
        <w:rPr>
          <w:rFonts w:ascii="Bookman Old Style"/>
          <w:sz w:val="28"/>
        </w:rPr>
      </w:pPr>
      <w:r>
        <w:rPr>
          <w:rFonts w:ascii="Bookman Old Style"/>
          <w:sz w:val="28"/>
        </w:rPr>
        <w:t>The State of Kerala, by virtue of clause (1) of Section 4, has framed the Kerala Hindu Places of Public Worship (Authorisation of Entry) Rules, 1965. The relevant rule which is also the most prominent bone of contention in the present case is Rule 3(b). Th</w:t>
      </w:r>
      <w:r>
        <w:rPr>
          <w:rFonts w:ascii="Bookman Old Style"/>
          <w:sz w:val="28"/>
        </w:rPr>
        <w:t>e relevant part of Rule 3 reads</w:t>
      </w:r>
      <w:r>
        <w:rPr>
          <w:rFonts w:ascii="Bookman Old Style"/>
          <w:spacing w:val="-8"/>
          <w:sz w:val="28"/>
        </w:rPr>
        <w:t xml:space="preserve"> </w:t>
      </w:r>
      <w:r>
        <w:rPr>
          <w:rFonts w:ascii="Bookman Old Style"/>
          <w:sz w:val="28"/>
        </w:rPr>
        <w:t>thus:</w:t>
      </w:r>
    </w:p>
    <w:p w:rsidR="003B2FC0" w:rsidRDefault="00052A49">
      <w:pPr>
        <w:pStyle w:val="BodyText"/>
        <w:spacing w:before="88"/>
        <w:ind w:left="1940" w:right="1717"/>
        <w:jc w:val="both"/>
      </w:pPr>
      <w:r>
        <w:t>“</w:t>
      </w:r>
      <w:r>
        <w:rPr>
          <w:b/>
        </w:rPr>
        <w:t xml:space="preserve">Rule 3. </w:t>
      </w:r>
      <w:r>
        <w:t>The classes of persons mentioned here under shall not be entitled to offer worship in any place of public worship or bath in or use the water of any sacred tank, well, spring or water course appurtenant to a p</w:t>
      </w:r>
      <w:r>
        <w:t>lace of public worship whether situate within or outside precincts thereof, or any sacred place including a hill or hill lock, or a road, street or pathways which is requisite for obtaining access to the place of public worship:</w:t>
      </w:r>
    </w:p>
    <w:p w:rsidR="003B2FC0" w:rsidRDefault="00052A49">
      <w:pPr>
        <w:pStyle w:val="BodyText"/>
        <w:tabs>
          <w:tab w:val="left" w:pos="4933"/>
          <w:tab w:val="left" w:pos="5537"/>
        </w:tabs>
        <w:spacing w:line="328" w:lineRule="exact"/>
        <w:ind w:left="4331"/>
      </w:pPr>
      <w:r>
        <w:t>x</w:t>
      </w:r>
      <w:r>
        <w:tab/>
        <w:t>x</w:t>
      </w:r>
      <w:r>
        <w:tab/>
        <w:t>x</w:t>
      </w:r>
    </w:p>
    <w:p w:rsidR="003B2FC0" w:rsidRDefault="00052A49">
      <w:pPr>
        <w:pStyle w:val="BodyText"/>
        <w:ind w:left="1940" w:right="1717"/>
        <w:jc w:val="both"/>
      </w:pPr>
      <w:r>
        <w:t>(b) Women at such tim</w:t>
      </w:r>
      <w:r>
        <w:t>e during which they are not by custom and usage allowed to enter a place of public</w:t>
      </w:r>
      <w:r>
        <w:rPr>
          <w:spacing w:val="-7"/>
        </w:rPr>
        <w:t xml:space="preserve"> </w:t>
      </w:r>
      <w:r>
        <w:t>worship.</w:t>
      </w:r>
    </w:p>
    <w:p w:rsidR="003B2FC0" w:rsidRDefault="003B2FC0">
      <w:pPr>
        <w:pStyle w:val="BodyText"/>
        <w:spacing w:before="1"/>
      </w:pPr>
    </w:p>
    <w:p w:rsidR="003B2FC0" w:rsidRDefault="00052A49">
      <w:pPr>
        <w:pStyle w:val="BodyText"/>
        <w:tabs>
          <w:tab w:val="left" w:pos="4875"/>
          <w:tab w:val="left" w:pos="5479"/>
        </w:tabs>
        <w:ind w:left="4273"/>
      </w:pPr>
      <w:r>
        <w:t>x</w:t>
      </w:r>
      <w:r>
        <w:tab/>
        <w:t>x</w:t>
      </w:r>
      <w:r>
        <w:tab/>
        <w:t>x”</w:t>
      </w:r>
    </w:p>
    <w:p w:rsidR="003B2FC0" w:rsidRDefault="003B2FC0">
      <w:pPr>
        <w:pStyle w:val="BodyText"/>
        <w:spacing w:before="6"/>
        <w:rPr>
          <w:sz w:val="42"/>
        </w:rPr>
      </w:pPr>
    </w:p>
    <w:p w:rsidR="003B2FC0" w:rsidRDefault="00052A49">
      <w:pPr>
        <w:pStyle w:val="ListParagraph"/>
        <w:numPr>
          <w:ilvl w:val="0"/>
          <w:numId w:val="60"/>
        </w:numPr>
        <w:tabs>
          <w:tab w:val="left" w:pos="1221"/>
        </w:tabs>
        <w:spacing w:line="480" w:lineRule="auto"/>
        <w:ind w:right="272" w:firstLine="0"/>
        <w:jc w:val="both"/>
        <w:rPr>
          <w:rFonts w:ascii="Bookman Old Style"/>
          <w:color w:val="000009"/>
          <w:sz w:val="28"/>
        </w:rPr>
      </w:pPr>
      <w:r>
        <w:rPr>
          <w:rFonts w:ascii="Bookman Old Style"/>
          <w:color w:val="000009"/>
          <w:sz w:val="28"/>
        </w:rPr>
        <w:t xml:space="preserve">The law is well-settled on the point that when a rule-making power is conferred under any statute </w:t>
      </w:r>
      <w:r>
        <w:rPr>
          <w:rFonts w:ascii="Bookman Old Style"/>
          <w:color w:val="000009"/>
          <w:spacing w:val="3"/>
          <w:sz w:val="28"/>
        </w:rPr>
        <w:t xml:space="preserve">on </w:t>
      </w:r>
      <w:r>
        <w:rPr>
          <w:rFonts w:ascii="Bookman Old Style"/>
          <w:color w:val="000009"/>
          <w:sz w:val="28"/>
        </w:rPr>
        <w:t>an authority, the said power</w:t>
      </w:r>
      <w:r>
        <w:rPr>
          <w:rFonts w:ascii="Bookman Old Style"/>
          <w:color w:val="000009"/>
          <w:spacing w:val="21"/>
          <w:sz w:val="28"/>
        </w:rPr>
        <w:t xml:space="preserve"> </w:t>
      </w:r>
      <w:r>
        <w:rPr>
          <w:rFonts w:ascii="Bookman Old Style"/>
          <w:color w:val="000009"/>
          <w:sz w:val="28"/>
        </w:rPr>
        <w:t>has</w:t>
      </w:r>
      <w:r>
        <w:rPr>
          <w:rFonts w:ascii="Bookman Old Style"/>
          <w:color w:val="000009"/>
          <w:spacing w:val="24"/>
          <w:sz w:val="28"/>
        </w:rPr>
        <w:t xml:space="preserve"> </w:t>
      </w:r>
      <w:r>
        <w:rPr>
          <w:rFonts w:ascii="Bookman Old Style"/>
          <w:color w:val="000009"/>
          <w:sz w:val="28"/>
        </w:rPr>
        <w:t>to</w:t>
      </w:r>
      <w:r>
        <w:rPr>
          <w:rFonts w:ascii="Bookman Old Style"/>
          <w:color w:val="000009"/>
          <w:spacing w:val="22"/>
          <w:sz w:val="28"/>
        </w:rPr>
        <w:t xml:space="preserve"> </w:t>
      </w:r>
      <w:r>
        <w:rPr>
          <w:rFonts w:ascii="Bookman Old Style"/>
          <w:color w:val="000009"/>
          <w:sz w:val="28"/>
        </w:rPr>
        <w:t>be</w:t>
      </w:r>
      <w:r>
        <w:rPr>
          <w:rFonts w:ascii="Bookman Old Style"/>
          <w:color w:val="000009"/>
          <w:spacing w:val="21"/>
          <w:sz w:val="28"/>
        </w:rPr>
        <w:t xml:space="preserve"> </w:t>
      </w:r>
      <w:r>
        <w:rPr>
          <w:rFonts w:ascii="Bookman Old Style"/>
          <w:color w:val="000009"/>
          <w:sz w:val="28"/>
        </w:rPr>
        <w:t>exercised</w:t>
      </w:r>
      <w:r>
        <w:rPr>
          <w:rFonts w:ascii="Bookman Old Style"/>
          <w:color w:val="000009"/>
          <w:spacing w:val="24"/>
          <w:sz w:val="28"/>
        </w:rPr>
        <w:t xml:space="preserve"> </w:t>
      </w:r>
      <w:r>
        <w:rPr>
          <w:rFonts w:ascii="Bookman Old Style"/>
          <w:color w:val="000009"/>
          <w:sz w:val="28"/>
        </w:rPr>
        <w:t>withi</w:t>
      </w:r>
      <w:r>
        <w:rPr>
          <w:rFonts w:ascii="Bookman Old Style"/>
          <w:color w:val="000009"/>
          <w:sz w:val="28"/>
        </w:rPr>
        <w:t>n</w:t>
      </w:r>
      <w:r>
        <w:rPr>
          <w:rFonts w:ascii="Bookman Old Style"/>
          <w:color w:val="000009"/>
          <w:spacing w:val="19"/>
          <w:sz w:val="28"/>
        </w:rPr>
        <w:t xml:space="preserve"> </w:t>
      </w:r>
      <w:r>
        <w:rPr>
          <w:rFonts w:ascii="Bookman Old Style"/>
          <w:color w:val="000009"/>
          <w:sz w:val="28"/>
        </w:rPr>
        <w:t>the</w:t>
      </w:r>
      <w:r>
        <w:rPr>
          <w:rFonts w:ascii="Bookman Old Style"/>
          <w:color w:val="000009"/>
          <w:spacing w:val="25"/>
          <w:sz w:val="28"/>
        </w:rPr>
        <w:t xml:space="preserve"> </w:t>
      </w:r>
      <w:r>
        <w:rPr>
          <w:rFonts w:ascii="Bookman Old Style"/>
          <w:color w:val="000009"/>
          <w:sz w:val="28"/>
        </w:rPr>
        <w:t>confines</w:t>
      </w:r>
      <w:r>
        <w:rPr>
          <w:rFonts w:ascii="Bookman Old Style"/>
          <w:color w:val="000009"/>
          <w:spacing w:val="21"/>
          <w:sz w:val="28"/>
        </w:rPr>
        <w:t xml:space="preserve"> </w:t>
      </w:r>
      <w:r>
        <w:rPr>
          <w:rFonts w:ascii="Bookman Old Style"/>
          <w:color w:val="000009"/>
          <w:sz w:val="28"/>
        </w:rPr>
        <w:t>of</w:t>
      </w:r>
      <w:r>
        <w:rPr>
          <w:rFonts w:ascii="Bookman Old Style"/>
          <w:color w:val="000009"/>
          <w:spacing w:val="22"/>
          <w:sz w:val="28"/>
        </w:rPr>
        <w:t xml:space="preserve"> </w:t>
      </w:r>
      <w:r>
        <w:rPr>
          <w:rFonts w:ascii="Bookman Old Style"/>
          <w:color w:val="000009"/>
          <w:sz w:val="28"/>
        </w:rPr>
        <w:t>the</w:t>
      </w:r>
      <w:r>
        <w:rPr>
          <w:rFonts w:ascii="Bookman Old Style"/>
          <w:color w:val="000009"/>
          <w:spacing w:val="23"/>
          <w:sz w:val="28"/>
        </w:rPr>
        <w:t xml:space="preserve"> </w:t>
      </w:r>
      <w:r>
        <w:rPr>
          <w:rFonts w:ascii="Bookman Old Style"/>
          <w:color w:val="000009"/>
          <w:sz w:val="28"/>
        </w:rPr>
        <w:t>statute</w:t>
      </w:r>
      <w:r>
        <w:rPr>
          <w:rFonts w:ascii="Bookman Old Style"/>
          <w:color w:val="000009"/>
          <w:spacing w:val="33"/>
          <w:sz w:val="28"/>
        </w:rPr>
        <w:t xml:space="preserve"> </w:t>
      </w:r>
      <w:r>
        <w:rPr>
          <w:rFonts w:ascii="Bookman Old Style"/>
          <w:color w:val="000009"/>
          <w:sz w:val="28"/>
        </w:rPr>
        <w:t>and</w:t>
      </w:r>
    </w:p>
    <w:p w:rsidR="003B2FC0" w:rsidRDefault="003B2FC0">
      <w:pPr>
        <w:spacing w:line="480" w:lineRule="auto"/>
        <w:jc w:val="both"/>
        <w:rPr>
          <w:rFonts w:ascii="Bookman Old Style"/>
          <w:sz w:val="28"/>
        </w:rPr>
        <w:sectPr w:rsidR="003B2FC0">
          <w:headerReference w:type="default" r:id="rId167"/>
          <w:footerReference w:type="default" r:id="rId168"/>
          <w:pgSz w:w="11910" w:h="16840"/>
          <w:pgMar w:top="1340" w:right="1160" w:bottom="280" w:left="940" w:header="554" w:footer="0" w:gutter="0"/>
          <w:pgNumType w:start="86"/>
          <w:cols w:space="720"/>
        </w:sectPr>
      </w:pPr>
    </w:p>
    <w:p w:rsidR="003B2FC0" w:rsidRDefault="00052A49">
      <w:pPr>
        <w:spacing w:before="93" w:line="480" w:lineRule="auto"/>
        <w:ind w:left="500" w:right="275"/>
        <w:jc w:val="both"/>
        <w:rPr>
          <w:rFonts w:ascii="Bookman Old Style"/>
          <w:sz w:val="28"/>
        </w:rPr>
      </w:pPr>
      <w:r>
        <w:rPr>
          <w:rFonts w:ascii="Bookman Old Style"/>
          <w:color w:val="000009"/>
          <w:sz w:val="28"/>
        </w:rPr>
        <w:t xml:space="preserve">no transgression of the same is permissible. In this context, we may refer to the decision in </w:t>
      </w:r>
      <w:r>
        <w:rPr>
          <w:rFonts w:ascii="Bookman Old Style"/>
          <w:b/>
          <w:i/>
          <w:color w:val="000009"/>
          <w:sz w:val="28"/>
        </w:rPr>
        <w:t>Union of India and others v. S. Srinivasan</w:t>
      </w:r>
      <w:r>
        <w:rPr>
          <w:rFonts w:ascii="Bookman Old Style"/>
          <w:color w:val="000009"/>
          <w:position w:val="7"/>
          <w:sz w:val="18"/>
        </w:rPr>
        <w:t xml:space="preserve">38 </w:t>
      </w:r>
      <w:r>
        <w:rPr>
          <w:rFonts w:ascii="Bookman Old Style"/>
          <w:color w:val="000009"/>
          <w:sz w:val="28"/>
        </w:rPr>
        <w:t>wherein it has been ruled:</w:t>
      </w:r>
    </w:p>
    <w:p w:rsidR="003B2FC0" w:rsidRDefault="00052A49">
      <w:pPr>
        <w:pStyle w:val="BodyText"/>
        <w:ind w:left="1580" w:right="1420"/>
        <w:jc w:val="both"/>
      </w:pPr>
      <w:r>
        <w:rPr>
          <w:color w:val="000009"/>
        </w:rPr>
        <w:t>"</w:t>
      </w:r>
      <w:r>
        <w:rPr>
          <w:color w:val="000009"/>
        </w:rPr>
        <w:t xml:space="preserve">At this stage, it is apposite to state about the rule making powers of a delegating authority. </w:t>
      </w:r>
      <w:r>
        <w:rPr>
          <w:color w:val="000009"/>
          <w:spacing w:val="2"/>
        </w:rPr>
        <w:t xml:space="preserve">If </w:t>
      </w:r>
      <w:r>
        <w:rPr>
          <w:color w:val="000009"/>
        </w:rPr>
        <w:t xml:space="preserve">a rule goes beyond the rule making power conferred by the statute, the same has to be declared ultra vires. </w:t>
      </w:r>
      <w:r>
        <w:rPr>
          <w:color w:val="000009"/>
          <w:spacing w:val="2"/>
        </w:rPr>
        <w:t xml:space="preserve">If </w:t>
      </w:r>
      <w:r>
        <w:rPr>
          <w:color w:val="000009"/>
        </w:rPr>
        <w:t>a rule supplants any provision for which power has not been conferred, it becomes ultra vires. The basic test  is to determine and consider the source of power which is relatable to the rule. Similarly, a rule must be in accord with the parent statute as i</w:t>
      </w:r>
      <w:r>
        <w:rPr>
          <w:color w:val="000009"/>
        </w:rPr>
        <w:t>t cannot travel beyond</w:t>
      </w:r>
      <w:r>
        <w:rPr>
          <w:color w:val="000009"/>
          <w:spacing w:val="-4"/>
        </w:rPr>
        <w:t xml:space="preserve"> </w:t>
      </w:r>
      <w:r>
        <w:rPr>
          <w:color w:val="000009"/>
        </w:rPr>
        <w:t>it."</w:t>
      </w:r>
    </w:p>
    <w:p w:rsidR="003B2FC0" w:rsidRDefault="003B2FC0">
      <w:pPr>
        <w:pStyle w:val="BodyText"/>
        <w:spacing w:before="9"/>
        <w:rPr>
          <w:sz w:val="27"/>
        </w:rPr>
      </w:pPr>
    </w:p>
    <w:p w:rsidR="003B2FC0" w:rsidRDefault="00052A49">
      <w:pPr>
        <w:pStyle w:val="ListParagraph"/>
        <w:numPr>
          <w:ilvl w:val="0"/>
          <w:numId w:val="60"/>
        </w:numPr>
        <w:tabs>
          <w:tab w:val="left" w:pos="1221"/>
        </w:tabs>
        <w:spacing w:line="480" w:lineRule="auto"/>
        <w:ind w:right="275" w:firstLine="0"/>
        <w:jc w:val="both"/>
        <w:rPr>
          <w:rFonts w:ascii="Bookman Old Style"/>
          <w:b/>
          <w:i/>
          <w:color w:val="000009"/>
          <w:sz w:val="28"/>
        </w:rPr>
      </w:pPr>
      <w:r>
        <w:rPr>
          <w:rFonts w:ascii="Bookman Old Style"/>
          <w:color w:val="000009"/>
          <w:sz w:val="28"/>
        </w:rPr>
        <w:t xml:space="preserve">In </w:t>
      </w:r>
      <w:r>
        <w:rPr>
          <w:rFonts w:ascii="Bookman Old Style"/>
          <w:b/>
          <w:i/>
          <w:color w:val="000009"/>
          <w:sz w:val="28"/>
        </w:rPr>
        <w:t>General Officer Commanding-in-Chief v. Dr. Subhash Chandra Yadav</w:t>
      </w:r>
      <w:r>
        <w:rPr>
          <w:rFonts w:ascii="Bookman Old Style"/>
          <w:color w:val="000009"/>
          <w:position w:val="7"/>
          <w:sz w:val="18"/>
        </w:rPr>
        <w:t>39</w:t>
      </w:r>
      <w:r>
        <w:rPr>
          <w:rFonts w:ascii="Bookman Old Style"/>
          <w:i/>
          <w:color w:val="000009"/>
          <w:sz w:val="28"/>
        </w:rPr>
        <w:t xml:space="preserve">, </w:t>
      </w:r>
      <w:r>
        <w:rPr>
          <w:rFonts w:ascii="Bookman Old Style"/>
          <w:color w:val="000009"/>
          <w:sz w:val="28"/>
        </w:rPr>
        <w:t xml:space="preserve">the Court held that for a rule to have </w:t>
      </w:r>
      <w:r>
        <w:rPr>
          <w:rFonts w:ascii="Bookman Old Style"/>
          <w:color w:val="000009"/>
          <w:spacing w:val="-3"/>
          <w:sz w:val="28"/>
        </w:rPr>
        <w:t xml:space="preserve">the </w:t>
      </w:r>
      <w:r>
        <w:rPr>
          <w:rFonts w:ascii="Bookman Old Style"/>
          <w:color w:val="000009"/>
          <w:sz w:val="28"/>
        </w:rPr>
        <w:t>effect of a statutory provision, it must fulfill two conditions, firstly it must conform to the provisions of the</w:t>
      </w:r>
      <w:r>
        <w:rPr>
          <w:rFonts w:ascii="Bookman Old Style"/>
          <w:color w:val="000009"/>
          <w:sz w:val="28"/>
        </w:rPr>
        <w:t xml:space="preserve"> statute under which it is framed and secondly, it must also come within the scope and purview of the rule making power of the authority framing the rule and if either of these </w:t>
      </w:r>
      <w:r>
        <w:rPr>
          <w:rFonts w:ascii="Bookman Old Style"/>
          <w:color w:val="000009"/>
          <w:spacing w:val="-2"/>
          <w:sz w:val="28"/>
        </w:rPr>
        <w:t xml:space="preserve">two </w:t>
      </w:r>
      <w:r>
        <w:rPr>
          <w:rFonts w:ascii="Bookman Old Style"/>
          <w:color w:val="000009"/>
          <w:sz w:val="28"/>
        </w:rPr>
        <w:t xml:space="preserve">conditions is not fulfilled, the rule so framed would be void. </w:t>
      </w:r>
      <w:r>
        <w:rPr>
          <w:rFonts w:ascii="Bookman Old Style"/>
          <w:color w:val="000009"/>
          <w:spacing w:val="2"/>
          <w:sz w:val="28"/>
        </w:rPr>
        <w:t xml:space="preserve">In </w:t>
      </w:r>
      <w:r>
        <w:rPr>
          <w:rFonts w:ascii="Bookman Old Style"/>
          <w:b/>
          <w:i/>
          <w:color w:val="000009"/>
          <w:sz w:val="28"/>
        </w:rPr>
        <w:t>Kunj Beha</w:t>
      </w:r>
      <w:r>
        <w:rPr>
          <w:rFonts w:ascii="Bookman Old Style"/>
          <w:b/>
          <w:i/>
          <w:color w:val="000009"/>
          <w:sz w:val="28"/>
        </w:rPr>
        <w:t>ri Lai Butail and</w:t>
      </w:r>
      <w:r>
        <w:rPr>
          <w:rFonts w:ascii="Bookman Old Style"/>
          <w:b/>
          <w:i/>
          <w:color w:val="000009"/>
          <w:spacing w:val="66"/>
          <w:sz w:val="28"/>
        </w:rPr>
        <w:t xml:space="preserve"> </w:t>
      </w:r>
      <w:r>
        <w:rPr>
          <w:rFonts w:ascii="Bookman Old Style"/>
          <w:b/>
          <w:i/>
          <w:color w:val="000009"/>
          <w:sz w:val="28"/>
        </w:rPr>
        <w:t>others</w:t>
      </w:r>
    </w:p>
    <w:p w:rsidR="003B2FC0" w:rsidRDefault="003B2FC0">
      <w:pPr>
        <w:pStyle w:val="BodyText"/>
        <w:spacing w:line="480" w:lineRule="auto"/>
        <w:ind w:left="500" w:right="276"/>
        <w:jc w:val="both"/>
      </w:pPr>
      <w:r>
        <w:pict>
          <v:line id="_x0000_s1149" style="position:absolute;left:0;text-align:left;z-index:-251600384;mso-wrap-distance-left:0;mso-wrap-distance-right:0;mso-position-horizontal-relative:page" from="1in,103.95pt" to="216.05pt,103.95pt" strokeweight=".21169mm">
            <w10:wrap type="topAndBottom" anchorx="page"/>
          </v:line>
        </w:pict>
      </w:r>
      <w:r w:rsidR="00052A49">
        <w:rPr>
          <w:b/>
          <w:i/>
          <w:color w:val="000009"/>
        </w:rPr>
        <w:t>v. State of H.P. and others</w:t>
      </w:r>
      <w:r w:rsidR="00052A49">
        <w:rPr>
          <w:b/>
          <w:color w:val="000009"/>
          <w:position w:val="11"/>
          <w:sz w:val="17"/>
        </w:rPr>
        <w:t>40</w:t>
      </w:r>
      <w:r w:rsidR="00052A49">
        <w:rPr>
          <w:color w:val="000009"/>
        </w:rPr>
        <w:t>, it has been laid down that for holding a rule to be valid, it must first be determined as to what is</w:t>
      </w:r>
      <w:r w:rsidR="00052A49">
        <w:rPr>
          <w:color w:val="000009"/>
          <w:spacing w:val="36"/>
        </w:rPr>
        <w:t xml:space="preserve"> </w:t>
      </w:r>
      <w:r w:rsidR="00052A49">
        <w:rPr>
          <w:color w:val="000009"/>
        </w:rPr>
        <w:t>the</w:t>
      </w:r>
      <w:r w:rsidR="00052A49">
        <w:rPr>
          <w:color w:val="000009"/>
          <w:spacing w:val="35"/>
        </w:rPr>
        <w:t xml:space="preserve"> </w:t>
      </w:r>
      <w:r w:rsidR="00052A49">
        <w:rPr>
          <w:color w:val="000009"/>
        </w:rPr>
        <w:t>object</w:t>
      </w:r>
      <w:r w:rsidR="00052A49">
        <w:rPr>
          <w:color w:val="000009"/>
          <w:spacing w:val="33"/>
        </w:rPr>
        <w:t xml:space="preserve"> </w:t>
      </w:r>
      <w:r w:rsidR="00052A49">
        <w:rPr>
          <w:color w:val="000009"/>
        </w:rPr>
        <w:t>of</w:t>
      </w:r>
      <w:r w:rsidR="00052A49">
        <w:rPr>
          <w:color w:val="000009"/>
          <w:spacing w:val="35"/>
        </w:rPr>
        <w:t xml:space="preserve"> </w:t>
      </w:r>
      <w:r w:rsidR="00052A49">
        <w:rPr>
          <w:color w:val="000009"/>
        </w:rPr>
        <w:t>the</w:t>
      </w:r>
      <w:r w:rsidR="00052A49">
        <w:rPr>
          <w:color w:val="000009"/>
          <w:spacing w:val="35"/>
        </w:rPr>
        <w:t xml:space="preserve"> </w:t>
      </w:r>
      <w:r w:rsidR="00052A49">
        <w:rPr>
          <w:color w:val="000009"/>
        </w:rPr>
        <w:t>enactment</w:t>
      </w:r>
      <w:r w:rsidR="00052A49">
        <w:rPr>
          <w:color w:val="000009"/>
          <w:spacing w:val="35"/>
        </w:rPr>
        <w:t xml:space="preserve"> </w:t>
      </w:r>
      <w:r w:rsidR="00052A49">
        <w:rPr>
          <w:color w:val="000009"/>
        </w:rPr>
        <w:t>and</w:t>
      </w:r>
      <w:r w:rsidR="00052A49">
        <w:rPr>
          <w:color w:val="000009"/>
          <w:spacing w:val="37"/>
        </w:rPr>
        <w:t xml:space="preserve"> </w:t>
      </w:r>
      <w:r w:rsidR="00052A49">
        <w:rPr>
          <w:color w:val="000009"/>
        </w:rPr>
        <w:t>then</w:t>
      </w:r>
      <w:r w:rsidR="00052A49">
        <w:rPr>
          <w:color w:val="000009"/>
          <w:spacing w:val="41"/>
        </w:rPr>
        <w:t xml:space="preserve"> </w:t>
      </w:r>
      <w:r w:rsidR="00052A49">
        <w:rPr>
          <w:color w:val="000009"/>
        </w:rPr>
        <w:t>it</w:t>
      </w:r>
      <w:r w:rsidR="00052A49">
        <w:rPr>
          <w:color w:val="000009"/>
          <w:spacing w:val="35"/>
        </w:rPr>
        <w:t xml:space="preserve"> </w:t>
      </w:r>
      <w:r w:rsidR="00052A49">
        <w:rPr>
          <w:color w:val="000009"/>
        </w:rPr>
        <w:t>has</w:t>
      </w:r>
      <w:r w:rsidR="00052A49">
        <w:rPr>
          <w:color w:val="000009"/>
          <w:spacing w:val="36"/>
        </w:rPr>
        <w:t xml:space="preserve"> </w:t>
      </w:r>
      <w:r w:rsidR="00052A49">
        <w:rPr>
          <w:color w:val="000009"/>
        </w:rPr>
        <w:t>to</w:t>
      </w:r>
      <w:r w:rsidR="00052A49">
        <w:rPr>
          <w:color w:val="000009"/>
          <w:spacing w:val="34"/>
        </w:rPr>
        <w:t xml:space="preserve"> </w:t>
      </w:r>
      <w:r w:rsidR="00052A49">
        <w:rPr>
          <w:color w:val="000009"/>
        </w:rPr>
        <w:t>be</w:t>
      </w:r>
      <w:r w:rsidR="00052A49">
        <w:rPr>
          <w:color w:val="000009"/>
          <w:spacing w:val="41"/>
        </w:rPr>
        <w:t xml:space="preserve"> </w:t>
      </w:r>
      <w:r w:rsidR="00052A49">
        <w:rPr>
          <w:color w:val="000009"/>
        </w:rPr>
        <w:t>seen</w:t>
      </w:r>
      <w:r w:rsidR="00052A49">
        <w:rPr>
          <w:color w:val="000009"/>
          <w:spacing w:val="36"/>
        </w:rPr>
        <w:t xml:space="preserve"> </w:t>
      </w:r>
      <w:r w:rsidR="00052A49">
        <w:rPr>
          <w:color w:val="000009"/>
        </w:rPr>
        <w:t>if</w:t>
      </w:r>
      <w:r w:rsidR="00052A49">
        <w:rPr>
          <w:color w:val="000009"/>
          <w:spacing w:val="35"/>
        </w:rPr>
        <w:t xml:space="preserve"> </w:t>
      </w:r>
      <w:r w:rsidR="00052A49">
        <w:rPr>
          <w:color w:val="000009"/>
        </w:rPr>
        <w:t>the</w:t>
      </w:r>
    </w:p>
    <w:p w:rsidR="003B2FC0" w:rsidRDefault="00052A49">
      <w:pPr>
        <w:spacing w:before="50" w:line="243" w:lineRule="exact"/>
        <w:ind w:left="500"/>
        <w:rPr>
          <w:rFonts w:ascii="Times New Roman"/>
          <w:sz w:val="20"/>
        </w:rPr>
      </w:pPr>
      <w:r>
        <w:rPr>
          <w:rFonts w:ascii="Times New Roman"/>
          <w:position w:val="9"/>
          <w:sz w:val="13"/>
        </w:rPr>
        <w:t xml:space="preserve">38  </w:t>
      </w:r>
      <w:r>
        <w:rPr>
          <w:rFonts w:ascii="Times New Roman"/>
          <w:sz w:val="20"/>
        </w:rPr>
        <w:t>(2012) 7 SCC</w:t>
      </w:r>
      <w:r>
        <w:rPr>
          <w:rFonts w:ascii="Times New Roman"/>
          <w:spacing w:val="-22"/>
          <w:sz w:val="20"/>
        </w:rPr>
        <w:t xml:space="preserve"> </w:t>
      </w:r>
      <w:r>
        <w:rPr>
          <w:rFonts w:ascii="Times New Roman"/>
          <w:sz w:val="20"/>
        </w:rPr>
        <w:t>683</w:t>
      </w:r>
    </w:p>
    <w:p w:rsidR="003B2FC0" w:rsidRDefault="00052A49">
      <w:pPr>
        <w:spacing w:line="230" w:lineRule="exact"/>
        <w:ind w:left="500"/>
        <w:rPr>
          <w:rFonts w:ascii="Times New Roman"/>
          <w:sz w:val="20"/>
        </w:rPr>
      </w:pPr>
      <w:r>
        <w:rPr>
          <w:rFonts w:ascii="Times New Roman"/>
          <w:position w:val="9"/>
          <w:sz w:val="13"/>
        </w:rPr>
        <w:t xml:space="preserve">39   </w:t>
      </w:r>
      <w:r>
        <w:rPr>
          <w:rFonts w:ascii="Times New Roman"/>
          <w:sz w:val="20"/>
        </w:rPr>
        <w:t>AIR 1988 SC</w:t>
      </w:r>
      <w:r>
        <w:rPr>
          <w:rFonts w:ascii="Times New Roman"/>
          <w:spacing w:val="-2"/>
          <w:sz w:val="20"/>
        </w:rPr>
        <w:t xml:space="preserve"> </w:t>
      </w:r>
      <w:r>
        <w:rPr>
          <w:rFonts w:ascii="Times New Roman"/>
          <w:sz w:val="20"/>
        </w:rPr>
        <w:t>876</w:t>
      </w:r>
    </w:p>
    <w:p w:rsidR="003B2FC0" w:rsidRDefault="00052A49">
      <w:pPr>
        <w:spacing w:line="243" w:lineRule="exact"/>
        <w:ind w:left="500"/>
        <w:rPr>
          <w:rFonts w:ascii="Times New Roman"/>
          <w:sz w:val="20"/>
        </w:rPr>
      </w:pPr>
      <w:r>
        <w:rPr>
          <w:rFonts w:ascii="Times New Roman"/>
          <w:position w:val="9"/>
          <w:sz w:val="13"/>
        </w:rPr>
        <w:t xml:space="preserve">40 </w:t>
      </w:r>
      <w:r>
        <w:rPr>
          <w:rFonts w:ascii="Times New Roman"/>
          <w:sz w:val="20"/>
        </w:rPr>
        <w:t>AIR 2000 SC 1069</w:t>
      </w:r>
    </w:p>
    <w:p w:rsidR="003B2FC0" w:rsidRDefault="003B2FC0">
      <w:pPr>
        <w:spacing w:line="243" w:lineRule="exact"/>
        <w:rPr>
          <w:rFonts w:ascii="Times New Roman"/>
          <w:sz w:val="20"/>
        </w:rPr>
        <w:sectPr w:rsidR="003B2FC0">
          <w:headerReference w:type="default" r:id="rId169"/>
          <w:footerReference w:type="default" r:id="rId170"/>
          <w:pgSz w:w="11910" w:h="16840"/>
          <w:pgMar w:top="1340" w:right="1160" w:bottom="280" w:left="940" w:header="554" w:footer="0" w:gutter="0"/>
          <w:pgNumType w:start="87"/>
          <w:cols w:space="720"/>
        </w:sectPr>
      </w:pPr>
    </w:p>
    <w:p w:rsidR="003B2FC0" w:rsidRDefault="00052A49">
      <w:pPr>
        <w:pStyle w:val="BodyText"/>
        <w:spacing w:before="93" w:line="480" w:lineRule="auto"/>
        <w:ind w:left="500" w:right="272"/>
        <w:jc w:val="both"/>
      </w:pPr>
      <w:r>
        <w:rPr>
          <w:color w:val="000009"/>
        </w:rPr>
        <w:t xml:space="preserve">rules framed satisfy the test of having been so framed as to fall within the scope of such general power conferred and if the rule making power is not expressed in such a usual general form, then it shall have to be seen if the rules made are protected by </w:t>
      </w:r>
      <w:r>
        <w:rPr>
          <w:color w:val="000009"/>
        </w:rPr>
        <w:t xml:space="preserve">the limits prescribed by the parent act. Another authority which defines the limits and confines within which the rule-making authority shall exercise its delegating powers is </w:t>
      </w:r>
      <w:r>
        <w:rPr>
          <w:b/>
          <w:i/>
          <w:color w:val="000009"/>
        </w:rPr>
        <w:t>Global Energy Limited and another v. Central Electricity Regulatory Commission</w:t>
      </w:r>
      <w:r>
        <w:rPr>
          <w:color w:val="000009"/>
          <w:position w:val="7"/>
          <w:sz w:val="18"/>
        </w:rPr>
        <w:t>41</w:t>
      </w:r>
      <w:r>
        <w:rPr>
          <w:color w:val="000009"/>
        </w:rPr>
        <w:t xml:space="preserve">, where the question before the Court was regarding the validity of clauses (b) and (f) of Regulation </w:t>
      </w:r>
      <w:r>
        <w:rPr>
          <w:color w:val="000009"/>
          <w:spacing w:val="2"/>
        </w:rPr>
        <w:t xml:space="preserve">6- </w:t>
      </w:r>
      <w:r>
        <w:rPr>
          <w:color w:val="000009"/>
        </w:rPr>
        <w:t>A of the Central Electricity Regulatory Commission (Procedure, Terms and Conditions for Grant of Trading Licence and other Related Matters) Regulations</w:t>
      </w:r>
      <w:r>
        <w:rPr>
          <w:color w:val="000009"/>
        </w:rPr>
        <w:t>, 2004. The Court gave the following</w:t>
      </w:r>
      <w:r>
        <w:rPr>
          <w:color w:val="000009"/>
          <w:spacing w:val="-35"/>
        </w:rPr>
        <w:t xml:space="preserve"> </w:t>
      </w:r>
      <w:r>
        <w:rPr>
          <w:color w:val="000009"/>
        </w:rPr>
        <w:t>opinion:</w:t>
      </w:r>
    </w:p>
    <w:p w:rsidR="003B2FC0" w:rsidRDefault="00052A49">
      <w:pPr>
        <w:pStyle w:val="BodyText"/>
        <w:spacing w:before="2"/>
        <w:ind w:left="1580" w:right="1418"/>
        <w:jc w:val="both"/>
      </w:pPr>
      <w:r>
        <w:rPr>
          <w:color w:val="000009"/>
        </w:rPr>
        <w:t>"It is now a well-settled principle of law that the rulemaking power "for carrying out the purpose of the Act" is a general delegation. Such a general delegation may not be held to be laying down any guidelines</w:t>
      </w:r>
      <w:r>
        <w:rPr>
          <w:color w:val="000009"/>
        </w:rPr>
        <w:t>. Thus, by reason of such a provision alone, the Regulation-making power cannot be exercised so as to bring into existence substantive rights or obligations or disabilities which are not contemplated in terms of the provisions of the said</w:t>
      </w:r>
      <w:r>
        <w:rPr>
          <w:color w:val="000009"/>
          <w:spacing w:val="-7"/>
        </w:rPr>
        <w:t xml:space="preserve"> </w:t>
      </w:r>
      <w:r>
        <w:rPr>
          <w:color w:val="000009"/>
        </w:rPr>
        <w:t>Act.”</w:t>
      </w:r>
    </w:p>
    <w:p w:rsidR="003B2FC0" w:rsidRDefault="003B2FC0">
      <w:pPr>
        <w:pStyle w:val="BodyText"/>
        <w:spacing w:before="11"/>
        <w:rPr>
          <w:sz w:val="27"/>
        </w:rPr>
      </w:pPr>
    </w:p>
    <w:p w:rsidR="003B2FC0" w:rsidRDefault="00052A49">
      <w:pPr>
        <w:pStyle w:val="ListParagraph"/>
        <w:numPr>
          <w:ilvl w:val="0"/>
          <w:numId w:val="60"/>
        </w:numPr>
        <w:tabs>
          <w:tab w:val="left" w:pos="1221"/>
        </w:tabs>
        <w:spacing w:line="480" w:lineRule="auto"/>
        <w:ind w:right="272" w:firstLine="0"/>
        <w:jc w:val="both"/>
        <w:rPr>
          <w:rFonts w:ascii="Bookman Old Style"/>
          <w:color w:val="000009"/>
          <w:sz w:val="28"/>
        </w:rPr>
      </w:pPr>
      <w:r>
        <w:rPr>
          <w:rFonts w:ascii="Bookman Old Style"/>
          <w:color w:val="000009"/>
          <w:sz w:val="28"/>
        </w:rPr>
        <w:t>It was cle</w:t>
      </w:r>
      <w:r>
        <w:rPr>
          <w:rFonts w:ascii="Bookman Old Style"/>
          <w:color w:val="000009"/>
          <w:sz w:val="28"/>
        </w:rPr>
        <w:t>arly held in this case that the rule-making power, which</w:t>
      </w:r>
      <w:r>
        <w:rPr>
          <w:rFonts w:ascii="Bookman Old Style"/>
          <w:color w:val="000009"/>
          <w:spacing w:val="15"/>
          <w:sz w:val="28"/>
        </w:rPr>
        <w:t xml:space="preserve"> </w:t>
      </w:r>
      <w:r>
        <w:rPr>
          <w:rFonts w:ascii="Bookman Old Style"/>
          <w:color w:val="000009"/>
          <w:sz w:val="28"/>
        </w:rPr>
        <w:t>is</w:t>
      </w:r>
      <w:r>
        <w:rPr>
          <w:rFonts w:ascii="Bookman Old Style"/>
          <w:color w:val="000009"/>
          <w:spacing w:val="16"/>
          <w:sz w:val="28"/>
        </w:rPr>
        <w:t xml:space="preserve"> </w:t>
      </w:r>
      <w:r>
        <w:rPr>
          <w:rFonts w:ascii="Bookman Old Style"/>
          <w:color w:val="000009"/>
          <w:sz w:val="28"/>
        </w:rPr>
        <w:t>provided</w:t>
      </w:r>
      <w:r>
        <w:rPr>
          <w:rFonts w:ascii="Bookman Old Style"/>
          <w:color w:val="000009"/>
          <w:spacing w:val="15"/>
          <w:sz w:val="28"/>
        </w:rPr>
        <w:t xml:space="preserve"> </w:t>
      </w:r>
      <w:r>
        <w:rPr>
          <w:rFonts w:ascii="Bookman Old Style"/>
          <w:color w:val="000009"/>
          <w:sz w:val="28"/>
        </w:rPr>
        <w:t>under</w:t>
      </w:r>
      <w:r>
        <w:rPr>
          <w:rFonts w:ascii="Bookman Old Style"/>
          <w:color w:val="000009"/>
          <w:spacing w:val="15"/>
          <w:sz w:val="28"/>
        </w:rPr>
        <w:t xml:space="preserve"> </w:t>
      </w:r>
      <w:r>
        <w:rPr>
          <w:rFonts w:ascii="Bookman Old Style"/>
          <w:color w:val="000009"/>
          <w:sz w:val="28"/>
        </w:rPr>
        <w:t>a</w:t>
      </w:r>
      <w:r>
        <w:rPr>
          <w:rFonts w:ascii="Bookman Old Style"/>
          <w:color w:val="000009"/>
          <w:spacing w:val="17"/>
          <w:sz w:val="28"/>
        </w:rPr>
        <w:t xml:space="preserve"> </w:t>
      </w:r>
      <w:r>
        <w:rPr>
          <w:rFonts w:ascii="Bookman Old Style"/>
          <w:color w:val="000009"/>
          <w:sz w:val="28"/>
        </w:rPr>
        <w:t>statute</w:t>
      </w:r>
      <w:r>
        <w:rPr>
          <w:rFonts w:ascii="Bookman Old Style"/>
          <w:color w:val="000009"/>
          <w:spacing w:val="16"/>
          <w:sz w:val="28"/>
        </w:rPr>
        <w:t xml:space="preserve"> </w:t>
      </w:r>
      <w:r>
        <w:rPr>
          <w:rFonts w:ascii="Bookman Old Style"/>
          <w:color w:val="000009"/>
          <w:sz w:val="28"/>
        </w:rPr>
        <w:t>with</w:t>
      </w:r>
      <w:r>
        <w:rPr>
          <w:rFonts w:ascii="Bookman Old Style"/>
          <w:color w:val="000009"/>
          <w:spacing w:val="15"/>
          <w:sz w:val="28"/>
        </w:rPr>
        <w:t xml:space="preserve"> </w:t>
      </w:r>
      <w:r>
        <w:rPr>
          <w:rFonts w:ascii="Bookman Old Style"/>
          <w:color w:val="000009"/>
          <w:sz w:val="28"/>
        </w:rPr>
        <w:t>the</w:t>
      </w:r>
      <w:r>
        <w:rPr>
          <w:rFonts w:ascii="Bookman Old Style"/>
          <w:color w:val="000009"/>
          <w:spacing w:val="18"/>
          <w:sz w:val="28"/>
        </w:rPr>
        <w:t xml:space="preserve"> </w:t>
      </w:r>
      <w:r>
        <w:rPr>
          <w:rFonts w:ascii="Bookman Old Style"/>
          <w:color w:val="000009"/>
          <w:sz w:val="28"/>
        </w:rPr>
        <w:t>aim</w:t>
      </w:r>
      <w:r>
        <w:rPr>
          <w:rFonts w:ascii="Bookman Old Style"/>
          <w:color w:val="000009"/>
          <w:spacing w:val="13"/>
          <w:sz w:val="28"/>
        </w:rPr>
        <w:t xml:space="preserve"> </w:t>
      </w:r>
      <w:r>
        <w:rPr>
          <w:rFonts w:ascii="Bookman Old Style"/>
          <w:color w:val="000009"/>
          <w:sz w:val="28"/>
        </w:rPr>
        <w:t>of</w:t>
      </w:r>
      <w:r>
        <w:rPr>
          <w:rFonts w:ascii="Bookman Old Style"/>
          <w:color w:val="000009"/>
          <w:spacing w:val="16"/>
          <w:sz w:val="28"/>
        </w:rPr>
        <w:t xml:space="preserve"> </w:t>
      </w:r>
      <w:r>
        <w:rPr>
          <w:rFonts w:ascii="Bookman Old Style"/>
          <w:color w:val="000009"/>
          <w:sz w:val="28"/>
        </w:rPr>
        <w:t>facilitating</w:t>
      </w:r>
      <w:r>
        <w:rPr>
          <w:rFonts w:ascii="Bookman Old Style"/>
          <w:color w:val="000009"/>
          <w:spacing w:val="15"/>
          <w:sz w:val="28"/>
        </w:rPr>
        <w:t xml:space="preserve"> </w:t>
      </w:r>
      <w:r>
        <w:rPr>
          <w:rFonts w:ascii="Bookman Old Style"/>
          <w:color w:val="000009"/>
          <w:sz w:val="28"/>
        </w:rPr>
        <w:t>the</w:t>
      </w:r>
    </w:p>
    <w:p w:rsidR="003B2FC0" w:rsidRDefault="003B2FC0">
      <w:pPr>
        <w:spacing w:line="480" w:lineRule="auto"/>
        <w:jc w:val="both"/>
        <w:rPr>
          <w:rFonts w:ascii="Bookman Old Style"/>
          <w:sz w:val="28"/>
        </w:rPr>
        <w:sectPr w:rsidR="003B2FC0">
          <w:footerReference w:type="default" r:id="rId171"/>
          <w:pgSz w:w="11910" w:h="16840"/>
          <w:pgMar w:top="1340" w:right="1160" w:bottom="1680" w:left="940" w:header="554" w:footer="1499" w:gutter="0"/>
          <w:cols w:space="720"/>
        </w:sectPr>
      </w:pPr>
    </w:p>
    <w:p w:rsidR="003B2FC0" w:rsidRDefault="00052A49">
      <w:pPr>
        <w:pStyle w:val="BodyText"/>
        <w:spacing w:before="93" w:line="480" w:lineRule="auto"/>
        <w:ind w:left="500" w:right="272"/>
        <w:jc w:val="both"/>
      </w:pPr>
      <w:r>
        <w:rPr>
          <w:color w:val="000009"/>
        </w:rPr>
        <w:t>implementation of the statute, does not confer power on any authority to bring into existence substantive rights or obligations or disabilities which are not contemplated in terms of the provisions of the said Act. The Court, further, went on to hold that:</w:t>
      </w:r>
    </w:p>
    <w:p w:rsidR="003B2FC0" w:rsidRDefault="00052A49">
      <w:pPr>
        <w:pStyle w:val="BodyText"/>
        <w:ind w:left="1580" w:right="1416"/>
        <w:jc w:val="both"/>
      </w:pPr>
      <w:r>
        <w:rPr>
          <w:color w:val="000009"/>
        </w:rPr>
        <w:t>"The image of law which flows from this framework is its neutrality and objectivity: the ability of law to put sphere of general decision- making outside the discretionary power of those wielding governmental power. Law has to provide a basic level of "le</w:t>
      </w:r>
      <w:r>
        <w:rPr>
          <w:color w:val="000009"/>
        </w:rPr>
        <w:t>gal security" by assuring that law is knowable, dependable and shielded from excessive manipulation. In the contest of rule- making, delegated legislation should establish the structural conditions within which those processes can function effectively. The</w:t>
      </w:r>
      <w:r>
        <w:rPr>
          <w:color w:val="000009"/>
        </w:rPr>
        <w:t xml:space="preserve"> question which needs to be asked is whether delegated legislation promotes rational and accountable policy implementation. While we say so, we </w:t>
      </w:r>
      <w:r>
        <w:rPr>
          <w:color w:val="000009"/>
          <w:spacing w:val="-2"/>
        </w:rPr>
        <w:t xml:space="preserve">are </w:t>
      </w:r>
      <w:r>
        <w:rPr>
          <w:color w:val="000009"/>
        </w:rPr>
        <w:t>not oblivious of the contours of the judicial review of the legislative Acts. But, we have made all endeavou</w:t>
      </w:r>
      <w:r>
        <w:rPr>
          <w:color w:val="000009"/>
        </w:rPr>
        <w:t>rs to keep ourselves confined within the well-known</w:t>
      </w:r>
      <w:r>
        <w:rPr>
          <w:color w:val="000009"/>
          <w:spacing w:val="-2"/>
        </w:rPr>
        <w:t xml:space="preserve"> </w:t>
      </w:r>
      <w:r>
        <w:rPr>
          <w:color w:val="000009"/>
        </w:rPr>
        <w:t>parameters."</w:t>
      </w:r>
    </w:p>
    <w:p w:rsidR="003B2FC0" w:rsidRDefault="003B2FC0">
      <w:pPr>
        <w:pStyle w:val="BodyText"/>
        <w:spacing w:before="11"/>
        <w:rPr>
          <w:sz w:val="27"/>
        </w:rPr>
      </w:pPr>
    </w:p>
    <w:p w:rsidR="003B2FC0" w:rsidRDefault="00052A49">
      <w:pPr>
        <w:pStyle w:val="ListParagraph"/>
        <w:numPr>
          <w:ilvl w:val="0"/>
          <w:numId w:val="60"/>
        </w:numPr>
        <w:tabs>
          <w:tab w:val="left" w:pos="1221"/>
        </w:tabs>
        <w:spacing w:line="480" w:lineRule="auto"/>
        <w:ind w:right="304" w:firstLine="0"/>
        <w:jc w:val="both"/>
        <w:rPr>
          <w:rFonts w:ascii="Bookman Old Style"/>
          <w:sz w:val="28"/>
        </w:rPr>
      </w:pPr>
      <w:r>
        <w:rPr>
          <w:rFonts w:ascii="Bookman Old Style"/>
          <w:sz w:val="28"/>
        </w:rPr>
        <w:t xml:space="preserve">At this stage, we may also benefit from the observations made in </w:t>
      </w:r>
      <w:r>
        <w:rPr>
          <w:rFonts w:ascii="Bookman Old Style"/>
          <w:b/>
          <w:i/>
          <w:sz w:val="28"/>
        </w:rPr>
        <w:t>State of T.N. and another v. P. Krishnamurthy and others</w:t>
      </w:r>
      <w:r>
        <w:rPr>
          <w:rFonts w:ascii="Bookman Old Style"/>
          <w:position w:val="7"/>
          <w:sz w:val="18"/>
        </w:rPr>
        <w:t xml:space="preserve">42 </w:t>
      </w:r>
      <w:r>
        <w:rPr>
          <w:rFonts w:ascii="Bookman Old Style"/>
          <w:sz w:val="28"/>
        </w:rPr>
        <w:t>wherein it was stated that where a rule is directly inconsistent w</w:t>
      </w:r>
      <w:r>
        <w:rPr>
          <w:rFonts w:ascii="Bookman Old Style"/>
          <w:sz w:val="28"/>
        </w:rPr>
        <w:t>ith a mandatory provision of the statute, then, of course, the task of the court is simple and easy. This implies that if</w:t>
      </w:r>
      <w:r>
        <w:rPr>
          <w:rFonts w:ascii="Bookman Old Style"/>
          <w:spacing w:val="24"/>
          <w:sz w:val="28"/>
        </w:rPr>
        <w:t xml:space="preserve"> </w:t>
      </w:r>
      <w:r>
        <w:rPr>
          <w:rFonts w:ascii="Bookman Old Style"/>
          <w:sz w:val="28"/>
        </w:rPr>
        <w:t>a</w:t>
      </w:r>
      <w:r>
        <w:rPr>
          <w:rFonts w:ascii="Bookman Old Style"/>
          <w:spacing w:val="26"/>
          <w:sz w:val="28"/>
        </w:rPr>
        <w:t xml:space="preserve"> </w:t>
      </w:r>
      <w:r>
        <w:rPr>
          <w:rFonts w:ascii="Bookman Old Style"/>
          <w:sz w:val="28"/>
        </w:rPr>
        <w:t>rule</w:t>
      </w:r>
      <w:r>
        <w:rPr>
          <w:rFonts w:ascii="Bookman Old Style"/>
          <w:spacing w:val="27"/>
          <w:sz w:val="28"/>
        </w:rPr>
        <w:t xml:space="preserve"> </w:t>
      </w:r>
      <w:r>
        <w:rPr>
          <w:rFonts w:ascii="Bookman Old Style"/>
          <w:sz w:val="28"/>
        </w:rPr>
        <w:t>is</w:t>
      </w:r>
      <w:r>
        <w:rPr>
          <w:rFonts w:ascii="Bookman Old Style"/>
          <w:spacing w:val="23"/>
          <w:sz w:val="28"/>
        </w:rPr>
        <w:t xml:space="preserve"> </w:t>
      </w:r>
      <w:r>
        <w:rPr>
          <w:rFonts w:ascii="Bookman Old Style"/>
          <w:sz w:val="28"/>
        </w:rPr>
        <w:t>directly</w:t>
      </w:r>
      <w:r>
        <w:rPr>
          <w:rFonts w:ascii="Bookman Old Style"/>
          <w:spacing w:val="26"/>
          <w:sz w:val="28"/>
        </w:rPr>
        <w:t xml:space="preserve"> </w:t>
      </w:r>
      <w:r>
        <w:rPr>
          <w:rFonts w:ascii="Bookman Old Style"/>
          <w:sz w:val="28"/>
        </w:rPr>
        <w:t>hit</w:t>
      </w:r>
      <w:r>
        <w:rPr>
          <w:rFonts w:ascii="Bookman Old Style"/>
          <w:spacing w:val="23"/>
          <w:sz w:val="28"/>
        </w:rPr>
        <w:t xml:space="preserve"> </w:t>
      </w:r>
      <w:r>
        <w:rPr>
          <w:rFonts w:ascii="Bookman Old Style"/>
          <w:sz w:val="28"/>
        </w:rPr>
        <w:t>for</w:t>
      </w:r>
      <w:r>
        <w:rPr>
          <w:rFonts w:ascii="Bookman Old Style"/>
          <w:spacing w:val="23"/>
          <w:sz w:val="28"/>
        </w:rPr>
        <w:t xml:space="preserve"> </w:t>
      </w:r>
      <w:r>
        <w:rPr>
          <w:rFonts w:ascii="Bookman Old Style"/>
          <w:sz w:val="28"/>
        </w:rPr>
        <w:t>being</w:t>
      </w:r>
      <w:r>
        <w:rPr>
          <w:rFonts w:ascii="Bookman Old Style"/>
          <w:spacing w:val="22"/>
          <w:sz w:val="28"/>
        </w:rPr>
        <w:t xml:space="preserve"> </w:t>
      </w:r>
      <w:r>
        <w:rPr>
          <w:rFonts w:ascii="Bookman Old Style"/>
          <w:sz w:val="28"/>
        </w:rPr>
        <w:t>violative</w:t>
      </w:r>
      <w:r>
        <w:rPr>
          <w:rFonts w:ascii="Bookman Old Style"/>
          <w:spacing w:val="27"/>
          <w:sz w:val="28"/>
        </w:rPr>
        <w:t xml:space="preserve"> </w:t>
      </w:r>
      <w:r>
        <w:rPr>
          <w:rFonts w:ascii="Bookman Old Style"/>
          <w:sz w:val="28"/>
        </w:rPr>
        <w:t>of</w:t>
      </w:r>
      <w:r>
        <w:rPr>
          <w:rFonts w:ascii="Bookman Old Style"/>
          <w:spacing w:val="22"/>
          <w:sz w:val="28"/>
        </w:rPr>
        <w:t xml:space="preserve"> </w:t>
      </w:r>
      <w:r>
        <w:rPr>
          <w:rFonts w:ascii="Bookman Old Style"/>
          <w:sz w:val="28"/>
        </w:rPr>
        <w:t>the</w:t>
      </w:r>
      <w:r>
        <w:rPr>
          <w:rFonts w:ascii="Bookman Old Style"/>
          <w:spacing w:val="26"/>
          <w:sz w:val="28"/>
        </w:rPr>
        <w:t xml:space="preserve"> </w:t>
      </w:r>
      <w:r>
        <w:rPr>
          <w:rFonts w:ascii="Bookman Old Style"/>
          <w:sz w:val="28"/>
        </w:rPr>
        <w:t>provisions</w:t>
      </w:r>
      <w:r>
        <w:rPr>
          <w:rFonts w:ascii="Bookman Old Style"/>
          <w:spacing w:val="23"/>
          <w:sz w:val="28"/>
        </w:rPr>
        <w:t xml:space="preserve"> </w:t>
      </w:r>
      <w:r>
        <w:rPr>
          <w:rFonts w:ascii="Bookman Old Style"/>
          <w:sz w:val="28"/>
        </w:rPr>
        <w:t>of</w:t>
      </w:r>
      <w:r>
        <w:rPr>
          <w:rFonts w:ascii="Bookman Old Style"/>
          <w:spacing w:val="24"/>
          <w:sz w:val="28"/>
        </w:rPr>
        <w:t xml:space="preserve"> </w:t>
      </w:r>
      <w:r>
        <w:rPr>
          <w:rFonts w:ascii="Bookman Old Style"/>
          <w:sz w:val="28"/>
        </w:rPr>
        <w:t>the</w:t>
      </w:r>
    </w:p>
    <w:p w:rsidR="003B2FC0" w:rsidRDefault="003B2FC0">
      <w:pPr>
        <w:spacing w:line="480" w:lineRule="auto"/>
        <w:jc w:val="both"/>
        <w:rPr>
          <w:rFonts w:ascii="Bookman Old Style"/>
          <w:sz w:val="28"/>
        </w:rPr>
        <w:sectPr w:rsidR="003B2FC0">
          <w:footerReference w:type="default" r:id="rId172"/>
          <w:pgSz w:w="11910" w:h="16840"/>
          <w:pgMar w:top="1340" w:right="1160" w:bottom="1680" w:left="940" w:header="554" w:footer="1499" w:gutter="0"/>
          <w:cols w:space="720"/>
        </w:sectPr>
      </w:pPr>
    </w:p>
    <w:p w:rsidR="003B2FC0" w:rsidRDefault="00052A49">
      <w:pPr>
        <w:pStyle w:val="BodyText"/>
        <w:spacing w:before="93" w:line="480" w:lineRule="auto"/>
        <w:ind w:left="500" w:right="299"/>
        <w:jc w:val="both"/>
      </w:pPr>
      <w:r>
        <w:t>enabling statute, then the Courts need not have to look in any other direction but declare the said rule as invalid on the said ground alone.</w:t>
      </w:r>
    </w:p>
    <w:p w:rsidR="003B2FC0" w:rsidRDefault="00052A49">
      <w:pPr>
        <w:pStyle w:val="ListParagraph"/>
        <w:numPr>
          <w:ilvl w:val="0"/>
          <w:numId w:val="60"/>
        </w:numPr>
        <w:tabs>
          <w:tab w:val="left" w:pos="1221"/>
        </w:tabs>
        <w:spacing w:before="87" w:line="480" w:lineRule="auto"/>
        <w:ind w:right="273" w:firstLine="0"/>
        <w:jc w:val="both"/>
        <w:rPr>
          <w:rFonts w:ascii="Bookman Old Style"/>
          <w:sz w:val="28"/>
        </w:rPr>
      </w:pPr>
      <w:r>
        <w:rPr>
          <w:rFonts w:ascii="Bookman Old Style"/>
          <w:sz w:val="28"/>
        </w:rPr>
        <w:t>Rule 3(b) seeks to protect custom and usage by not allowing women, Hindu women to be specific, to enter a place of</w:t>
      </w:r>
      <w:r>
        <w:rPr>
          <w:rFonts w:ascii="Bookman Old Style"/>
          <w:sz w:val="28"/>
        </w:rPr>
        <w:t xml:space="preserve"> public worship at such times during which they are not so allowed to enter by the said custom or usage. A cursory reading of Rule 3(b) divulges that it is </w:t>
      </w:r>
      <w:r>
        <w:rPr>
          <w:rFonts w:ascii="Bookman Old Style"/>
          <w:i/>
          <w:sz w:val="28"/>
        </w:rPr>
        <w:t xml:space="preserve">ultra vires </w:t>
      </w:r>
      <w:r>
        <w:rPr>
          <w:rFonts w:ascii="Bookman Old Style"/>
          <w:sz w:val="28"/>
        </w:rPr>
        <w:t>both Section 3 as well as Section 4 of the 1965 Act, the reason being that Section 3 bei</w:t>
      </w:r>
      <w:r>
        <w:rPr>
          <w:rFonts w:ascii="Bookman Old Style"/>
          <w:sz w:val="28"/>
        </w:rPr>
        <w:t>ng a non- obstante provision clearly stipulates that every place of public worship shall be open to all classes and sections of</w:t>
      </w:r>
      <w:r>
        <w:rPr>
          <w:rFonts w:ascii="Bookman Old Style"/>
          <w:spacing w:val="40"/>
          <w:sz w:val="28"/>
        </w:rPr>
        <w:t xml:space="preserve"> </w:t>
      </w:r>
      <w:r>
        <w:rPr>
          <w:rFonts w:ascii="Bookman Old Style"/>
          <w:sz w:val="28"/>
        </w:rPr>
        <w:t>Hindus, women being one of them, irrespective of any custom or usage to the contrary.</w:t>
      </w:r>
    </w:p>
    <w:p w:rsidR="003B2FC0" w:rsidRDefault="00052A49">
      <w:pPr>
        <w:pStyle w:val="ListParagraph"/>
        <w:numPr>
          <w:ilvl w:val="0"/>
          <w:numId w:val="60"/>
        </w:numPr>
        <w:tabs>
          <w:tab w:val="left" w:pos="1221"/>
        </w:tabs>
        <w:spacing w:before="87" w:line="480" w:lineRule="auto"/>
        <w:ind w:right="276" w:firstLine="0"/>
        <w:jc w:val="both"/>
        <w:rPr>
          <w:rFonts w:ascii="Bookman Old Style"/>
          <w:sz w:val="28"/>
        </w:rPr>
      </w:pPr>
      <w:r>
        <w:rPr>
          <w:rFonts w:ascii="Bookman Old Style"/>
          <w:sz w:val="28"/>
        </w:rPr>
        <w:t xml:space="preserve">That apart, Rule 3(b) is also </w:t>
      </w:r>
      <w:r>
        <w:rPr>
          <w:rFonts w:ascii="Bookman Old Style"/>
          <w:i/>
          <w:sz w:val="28"/>
        </w:rPr>
        <w:t xml:space="preserve">ultra vires </w:t>
      </w:r>
      <w:r>
        <w:rPr>
          <w:rFonts w:ascii="Bookman Old Style"/>
          <w:sz w:val="28"/>
        </w:rPr>
        <w:t>Section 4 of the 1965 Act as the proviso to Section 4(1) creates an exception to the effect that the regulations/rules made under Section 4(1) shall not discriminate, in any manner whatsoever, against any Hindu on the ground that he/she belongs to a partic</w:t>
      </w:r>
      <w:r>
        <w:rPr>
          <w:rFonts w:ascii="Bookman Old Style"/>
          <w:sz w:val="28"/>
        </w:rPr>
        <w:t>ular section or class.</w:t>
      </w:r>
    </w:p>
    <w:p w:rsidR="003B2FC0" w:rsidRDefault="00052A49">
      <w:pPr>
        <w:pStyle w:val="ListParagraph"/>
        <w:numPr>
          <w:ilvl w:val="0"/>
          <w:numId w:val="60"/>
        </w:numPr>
        <w:tabs>
          <w:tab w:val="left" w:pos="1221"/>
        </w:tabs>
        <w:spacing w:before="86" w:line="480" w:lineRule="auto"/>
        <w:ind w:right="272" w:firstLine="0"/>
        <w:jc w:val="both"/>
        <w:rPr>
          <w:rFonts w:ascii="Bookman Old Style"/>
          <w:sz w:val="28"/>
        </w:rPr>
      </w:pPr>
      <w:r>
        <w:rPr>
          <w:rFonts w:ascii="Bookman Old Style"/>
          <w:sz w:val="28"/>
        </w:rPr>
        <w:t>The language of both the provisions, that is, Section 3 and the</w:t>
      </w:r>
      <w:r>
        <w:rPr>
          <w:rFonts w:ascii="Bookman Old Style"/>
          <w:spacing w:val="21"/>
          <w:sz w:val="28"/>
        </w:rPr>
        <w:t xml:space="preserve"> </w:t>
      </w:r>
      <w:r>
        <w:rPr>
          <w:rFonts w:ascii="Bookman Old Style"/>
          <w:sz w:val="28"/>
        </w:rPr>
        <w:t>proviso</w:t>
      </w:r>
      <w:r>
        <w:rPr>
          <w:rFonts w:ascii="Bookman Old Style"/>
          <w:spacing w:val="19"/>
          <w:sz w:val="28"/>
        </w:rPr>
        <w:t xml:space="preserve"> </w:t>
      </w:r>
      <w:r>
        <w:rPr>
          <w:rFonts w:ascii="Bookman Old Style"/>
          <w:sz w:val="28"/>
        </w:rPr>
        <w:t>to</w:t>
      </w:r>
      <w:r>
        <w:rPr>
          <w:rFonts w:ascii="Bookman Old Style"/>
          <w:spacing w:val="22"/>
          <w:sz w:val="28"/>
        </w:rPr>
        <w:t xml:space="preserve"> </w:t>
      </w:r>
      <w:r>
        <w:rPr>
          <w:rFonts w:ascii="Bookman Old Style"/>
          <w:sz w:val="28"/>
        </w:rPr>
        <w:t>Section</w:t>
      </w:r>
      <w:r>
        <w:rPr>
          <w:rFonts w:ascii="Bookman Old Style"/>
          <w:spacing w:val="18"/>
          <w:sz w:val="28"/>
        </w:rPr>
        <w:t xml:space="preserve"> </w:t>
      </w:r>
      <w:r>
        <w:rPr>
          <w:rFonts w:ascii="Bookman Old Style"/>
          <w:sz w:val="28"/>
        </w:rPr>
        <w:t>4(1)</w:t>
      </w:r>
      <w:r>
        <w:rPr>
          <w:rFonts w:ascii="Bookman Old Style"/>
          <w:spacing w:val="19"/>
          <w:sz w:val="28"/>
        </w:rPr>
        <w:t xml:space="preserve"> </w:t>
      </w:r>
      <w:r>
        <w:rPr>
          <w:rFonts w:ascii="Bookman Old Style"/>
          <w:sz w:val="28"/>
        </w:rPr>
        <w:t>of</w:t>
      </w:r>
      <w:r>
        <w:rPr>
          <w:rFonts w:ascii="Bookman Old Style"/>
          <w:spacing w:val="17"/>
          <w:sz w:val="28"/>
        </w:rPr>
        <w:t xml:space="preserve"> </w:t>
      </w:r>
      <w:r>
        <w:rPr>
          <w:rFonts w:ascii="Bookman Old Style"/>
          <w:sz w:val="28"/>
        </w:rPr>
        <w:t>the</w:t>
      </w:r>
      <w:r>
        <w:rPr>
          <w:rFonts w:ascii="Bookman Old Style"/>
          <w:spacing w:val="22"/>
          <w:sz w:val="28"/>
        </w:rPr>
        <w:t xml:space="preserve"> </w:t>
      </w:r>
      <w:r>
        <w:rPr>
          <w:rFonts w:ascii="Bookman Old Style"/>
          <w:sz w:val="28"/>
        </w:rPr>
        <w:t>1965</w:t>
      </w:r>
      <w:r>
        <w:rPr>
          <w:rFonts w:ascii="Bookman Old Style"/>
          <w:spacing w:val="19"/>
          <w:sz w:val="28"/>
        </w:rPr>
        <w:t xml:space="preserve"> </w:t>
      </w:r>
      <w:r>
        <w:rPr>
          <w:rFonts w:ascii="Bookman Old Style"/>
          <w:sz w:val="28"/>
        </w:rPr>
        <w:t>Act,</w:t>
      </w:r>
      <w:r>
        <w:rPr>
          <w:rFonts w:ascii="Bookman Old Style"/>
          <w:spacing w:val="18"/>
          <w:sz w:val="28"/>
        </w:rPr>
        <w:t xml:space="preserve"> </w:t>
      </w:r>
      <w:r>
        <w:rPr>
          <w:rFonts w:ascii="Bookman Old Style"/>
          <w:sz w:val="28"/>
        </w:rPr>
        <w:t>clearly</w:t>
      </w:r>
      <w:r>
        <w:rPr>
          <w:rFonts w:ascii="Bookman Old Style"/>
          <w:spacing w:val="18"/>
          <w:sz w:val="28"/>
        </w:rPr>
        <w:t xml:space="preserve"> </w:t>
      </w:r>
      <w:r>
        <w:rPr>
          <w:rFonts w:ascii="Bookman Old Style"/>
          <w:sz w:val="28"/>
        </w:rPr>
        <w:t>indicates</w:t>
      </w:r>
      <w:r>
        <w:rPr>
          <w:rFonts w:ascii="Bookman Old Style"/>
          <w:spacing w:val="19"/>
          <w:sz w:val="28"/>
        </w:rPr>
        <w:t xml:space="preserve"> </w:t>
      </w:r>
      <w:r>
        <w:rPr>
          <w:rFonts w:ascii="Bookman Old Style"/>
          <w:sz w:val="28"/>
        </w:rPr>
        <w:t>that</w:t>
      </w:r>
    </w:p>
    <w:p w:rsidR="003B2FC0" w:rsidRDefault="003B2FC0">
      <w:pPr>
        <w:spacing w:line="480" w:lineRule="auto"/>
        <w:jc w:val="both"/>
        <w:rPr>
          <w:rFonts w:ascii="Bookman Old Style"/>
          <w:sz w:val="28"/>
        </w:rPr>
        <w:sectPr w:rsidR="003B2FC0">
          <w:footerReference w:type="default" r:id="rId173"/>
          <w:pgSz w:w="11910" w:h="16840"/>
          <w:pgMar w:top="1340" w:right="1160" w:bottom="280" w:left="940" w:header="554" w:footer="0" w:gutter="0"/>
          <w:cols w:space="720"/>
        </w:sectPr>
      </w:pPr>
    </w:p>
    <w:p w:rsidR="003B2FC0" w:rsidRDefault="00052A49">
      <w:pPr>
        <w:pStyle w:val="BodyText"/>
        <w:spacing w:before="93" w:line="480" w:lineRule="auto"/>
        <w:ind w:left="500" w:right="273"/>
        <w:jc w:val="both"/>
      </w:pPr>
      <w:r>
        <w:t>custom and usage must make space to the rights of all sections and classes of Hindus t</w:t>
      </w:r>
      <w:r>
        <w:t>o offer prayers at places of public worship. Any interpretation to the contrary would annihilate the purpose of the 1965 Act and the fundamental right to practise religion guaranteed under Article 25(1). It is clear as crystal that the provisions of the 19</w:t>
      </w:r>
      <w:r>
        <w:t>65 Act are liberal in nature so as to allow entry to all sections and classes of Hindus including Scheduled Castes and Scheduled Tribes. But framing of Rule 3(b) of the 1965 Rules under the garb of Section 4(1) would violate the very purpose of the 1965</w:t>
      </w:r>
      <w:r>
        <w:rPr>
          <w:spacing w:val="-4"/>
        </w:rPr>
        <w:t xml:space="preserve"> </w:t>
      </w:r>
      <w:r>
        <w:t>Ac</w:t>
      </w:r>
      <w:r>
        <w:t>t.</w:t>
      </w:r>
    </w:p>
    <w:p w:rsidR="003B2FC0" w:rsidRDefault="00052A49">
      <w:pPr>
        <w:pStyle w:val="BodyText"/>
        <w:spacing w:before="87"/>
        <w:ind w:left="500"/>
        <w:rPr>
          <w:b/>
        </w:rPr>
      </w:pPr>
      <w:r>
        <w:rPr>
          <w:b/>
          <w:color w:val="000009"/>
          <w:u w:val="single" w:color="000009"/>
        </w:rPr>
        <w:t>Conclusions</w:t>
      </w:r>
    </w:p>
    <w:p w:rsidR="003B2FC0" w:rsidRDefault="003B2FC0">
      <w:pPr>
        <w:pStyle w:val="BodyText"/>
        <w:rPr>
          <w:b/>
        </w:rPr>
      </w:pPr>
    </w:p>
    <w:p w:rsidR="003B2FC0" w:rsidRDefault="00052A49">
      <w:pPr>
        <w:pStyle w:val="ListParagraph"/>
        <w:numPr>
          <w:ilvl w:val="0"/>
          <w:numId w:val="60"/>
        </w:numPr>
        <w:tabs>
          <w:tab w:val="left" w:pos="1221"/>
        </w:tabs>
        <w:spacing w:line="480" w:lineRule="auto"/>
        <w:ind w:right="282" w:firstLine="0"/>
        <w:jc w:val="both"/>
        <w:rPr>
          <w:rFonts w:ascii="Bookman Old Style"/>
          <w:color w:val="000009"/>
          <w:sz w:val="28"/>
        </w:rPr>
      </w:pPr>
      <w:r>
        <w:rPr>
          <w:rFonts w:ascii="Bookman Old Style"/>
          <w:color w:val="000009"/>
          <w:sz w:val="28"/>
        </w:rPr>
        <w:t>In view of our aforesaid analysis, we record our conclusions in</w:t>
      </w:r>
      <w:r>
        <w:rPr>
          <w:rFonts w:ascii="Bookman Old Style"/>
          <w:color w:val="000009"/>
          <w:spacing w:val="-2"/>
          <w:sz w:val="28"/>
        </w:rPr>
        <w:t xml:space="preserve"> </w:t>
      </w:r>
      <w:r>
        <w:rPr>
          <w:rFonts w:ascii="Bookman Old Style"/>
          <w:color w:val="000009"/>
          <w:sz w:val="28"/>
        </w:rPr>
        <w:t>seriatim:</w:t>
      </w:r>
    </w:p>
    <w:p w:rsidR="003B2FC0" w:rsidRDefault="00052A49">
      <w:pPr>
        <w:pStyle w:val="ListParagraph"/>
        <w:numPr>
          <w:ilvl w:val="0"/>
          <w:numId w:val="52"/>
        </w:numPr>
        <w:tabs>
          <w:tab w:val="left" w:pos="1221"/>
        </w:tabs>
        <w:spacing w:line="480" w:lineRule="auto"/>
        <w:ind w:right="276"/>
        <w:jc w:val="both"/>
        <w:rPr>
          <w:rFonts w:ascii="Bookman Old Style"/>
          <w:sz w:val="28"/>
        </w:rPr>
      </w:pPr>
      <w:r>
        <w:rPr>
          <w:rFonts w:ascii="Bookman Old Style"/>
          <w:color w:val="000009"/>
          <w:sz w:val="28"/>
        </w:rPr>
        <w:t xml:space="preserve">In view of the law laid down by this Court in </w:t>
      </w:r>
      <w:r>
        <w:rPr>
          <w:rFonts w:ascii="Bookman Old Style"/>
          <w:b/>
          <w:i/>
          <w:color w:val="000009"/>
          <w:sz w:val="28"/>
        </w:rPr>
        <w:t xml:space="preserve">Shirur Mutt </w:t>
      </w:r>
      <w:r>
        <w:rPr>
          <w:rFonts w:ascii="Bookman Old Style"/>
          <w:color w:val="000009"/>
          <w:sz w:val="28"/>
        </w:rPr>
        <w:t xml:space="preserve">(supra) and </w:t>
      </w:r>
      <w:r>
        <w:rPr>
          <w:rFonts w:ascii="Bookman Old Style"/>
          <w:b/>
          <w:i/>
          <w:color w:val="000009"/>
          <w:sz w:val="28"/>
        </w:rPr>
        <w:t xml:space="preserve">S.P. Mittal </w:t>
      </w:r>
      <w:r>
        <w:rPr>
          <w:rFonts w:ascii="Bookman Old Style"/>
          <w:color w:val="000009"/>
          <w:sz w:val="28"/>
        </w:rPr>
        <w:t>(supra), the devotees of Lord Ayyappa do not constitute a separate religious denomination. They do not have common religious tenets peculiar to themselves, which they regard as conducive to their spiritual well-being, other than those which are common</w:t>
      </w:r>
      <w:r>
        <w:rPr>
          <w:rFonts w:ascii="Bookman Old Style"/>
          <w:color w:val="000009"/>
          <w:spacing w:val="63"/>
          <w:sz w:val="28"/>
        </w:rPr>
        <w:t xml:space="preserve"> </w:t>
      </w:r>
      <w:r>
        <w:rPr>
          <w:rFonts w:ascii="Bookman Old Style"/>
          <w:color w:val="000009"/>
          <w:sz w:val="28"/>
        </w:rPr>
        <w:t>to</w:t>
      </w:r>
      <w:r>
        <w:rPr>
          <w:rFonts w:ascii="Bookman Old Style"/>
          <w:color w:val="000009"/>
          <w:spacing w:val="65"/>
          <w:sz w:val="28"/>
        </w:rPr>
        <w:t xml:space="preserve"> </w:t>
      </w:r>
      <w:r>
        <w:rPr>
          <w:rFonts w:ascii="Bookman Old Style"/>
          <w:color w:val="000009"/>
          <w:sz w:val="28"/>
        </w:rPr>
        <w:t>the</w:t>
      </w:r>
      <w:r>
        <w:rPr>
          <w:rFonts w:ascii="Bookman Old Style"/>
          <w:color w:val="000009"/>
          <w:spacing w:val="64"/>
          <w:sz w:val="28"/>
        </w:rPr>
        <w:t xml:space="preserve"> </w:t>
      </w:r>
      <w:r>
        <w:rPr>
          <w:rFonts w:ascii="Bookman Old Style"/>
          <w:color w:val="000009"/>
          <w:sz w:val="28"/>
        </w:rPr>
        <w:t>Hindu</w:t>
      </w:r>
      <w:r>
        <w:rPr>
          <w:rFonts w:ascii="Bookman Old Style"/>
          <w:color w:val="000009"/>
          <w:spacing w:val="64"/>
          <w:sz w:val="28"/>
        </w:rPr>
        <w:t xml:space="preserve"> </w:t>
      </w:r>
      <w:r>
        <w:rPr>
          <w:rFonts w:ascii="Bookman Old Style"/>
          <w:color w:val="000009"/>
          <w:sz w:val="28"/>
        </w:rPr>
        <w:t>religion.</w:t>
      </w:r>
      <w:r>
        <w:rPr>
          <w:rFonts w:ascii="Bookman Old Style"/>
          <w:color w:val="000009"/>
          <w:spacing w:val="63"/>
          <w:sz w:val="28"/>
        </w:rPr>
        <w:t xml:space="preserve"> </w:t>
      </w:r>
      <w:r>
        <w:rPr>
          <w:rFonts w:ascii="Bookman Old Style"/>
          <w:color w:val="000009"/>
          <w:sz w:val="28"/>
        </w:rPr>
        <w:t>Therefore,</w:t>
      </w:r>
      <w:r>
        <w:rPr>
          <w:rFonts w:ascii="Bookman Old Style"/>
          <w:color w:val="000009"/>
          <w:spacing w:val="63"/>
          <w:sz w:val="28"/>
        </w:rPr>
        <w:t xml:space="preserve"> </w:t>
      </w:r>
      <w:r>
        <w:rPr>
          <w:rFonts w:ascii="Bookman Old Style"/>
          <w:color w:val="000009"/>
          <w:sz w:val="28"/>
        </w:rPr>
        <w:t>the</w:t>
      </w:r>
      <w:r>
        <w:rPr>
          <w:rFonts w:ascii="Bookman Old Style"/>
          <w:color w:val="000009"/>
          <w:spacing w:val="64"/>
          <w:sz w:val="28"/>
        </w:rPr>
        <w:t xml:space="preserve"> </w:t>
      </w:r>
      <w:r>
        <w:rPr>
          <w:rFonts w:ascii="Bookman Old Style"/>
          <w:color w:val="000009"/>
          <w:sz w:val="28"/>
        </w:rPr>
        <w:t>devotees</w:t>
      </w:r>
      <w:r>
        <w:rPr>
          <w:rFonts w:ascii="Bookman Old Style"/>
          <w:color w:val="000009"/>
          <w:spacing w:val="61"/>
          <w:sz w:val="28"/>
        </w:rPr>
        <w:t xml:space="preserve"> </w:t>
      </w:r>
      <w:r>
        <w:rPr>
          <w:rFonts w:ascii="Bookman Old Style"/>
          <w:color w:val="000009"/>
          <w:sz w:val="28"/>
        </w:rPr>
        <w:t>of</w:t>
      </w:r>
    </w:p>
    <w:p w:rsidR="003B2FC0" w:rsidRDefault="003B2FC0">
      <w:pPr>
        <w:spacing w:line="480" w:lineRule="auto"/>
        <w:jc w:val="both"/>
        <w:rPr>
          <w:rFonts w:ascii="Bookman Old Style"/>
          <w:sz w:val="28"/>
        </w:rPr>
        <w:sectPr w:rsidR="003B2FC0">
          <w:headerReference w:type="default" r:id="rId174"/>
          <w:footerReference w:type="default" r:id="rId175"/>
          <w:pgSz w:w="11910" w:h="16840"/>
          <w:pgMar w:top="1340" w:right="1160" w:bottom="280" w:left="940" w:header="554" w:footer="0" w:gutter="0"/>
          <w:pgNumType w:start="91"/>
          <w:cols w:space="720"/>
        </w:sectPr>
      </w:pPr>
    </w:p>
    <w:p w:rsidR="003B2FC0" w:rsidRDefault="00052A49">
      <w:pPr>
        <w:pStyle w:val="BodyText"/>
        <w:spacing w:before="93" w:line="480" w:lineRule="auto"/>
        <w:ind w:left="1220" w:right="373"/>
      </w:pPr>
      <w:r>
        <w:rPr>
          <w:color w:val="000009"/>
        </w:rPr>
        <w:t>Lord Ayyappa are exclusively Hindus and do not constitute a separate religious denomination.</w:t>
      </w:r>
    </w:p>
    <w:p w:rsidR="003B2FC0" w:rsidRDefault="00052A49">
      <w:pPr>
        <w:pStyle w:val="ListParagraph"/>
        <w:numPr>
          <w:ilvl w:val="0"/>
          <w:numId w:val="52"/>
        </w:numPr>
        <w:tabs>
          <w:tab w:val="left" w:pos="1221"/>
        </w:tabs>
        <w:spacing w:line="480" w:lineRule="auto"/>
        <w:ind w:right="277"/>
        <w:jc w:val="both"/>
        <w:rPr>
          <w:rFonts w:ascii="Bookman Old Style"/>
          <w:sz w:val="28"/>
        </w:rPr>
      </w:pPr>
      <w:r>
        <w:rPr>
          <w:rFonts w:ascii="Bookman Old Style"/>
          <w:color w:val="000009"/>
          <w:sz w:val="28"/>
        </w:rPr>
        <w:t>Article 25(1), by employing the expression 'all persons', demonstrates th</w:t>
      </w:r>
      <w:r>
        <w:rPr>
          <w:rFonts w:ascii="Bookman Old Style"/>
          <w:color w:val="000009"/>
          <w:sz w:val="28"/>
        </w:rPr>
        <w:t>at the freedom of conscience and the right to freely profess, practise and propagate religion is available, though subject to the restrictions delineated in Article 25(1) itself, to every person including women. The right guaranteed under Article 25(1) has</w:t>
      </w:r>
      <w:r>
        <w:rPr>
          <w:rFonts w:ascii="Bookman Old Style"/>
          <w:color w:val="000009"/>
          <w:sz w:val="28"/>
        </w:rPr>
        <w:t xml:space="preserve"> nothing to do with gender or, for that matter, certain physiological factors specifically attributable to</w:t>
      </w:r>
      <w:r>
        <w:rPr>
          <w:rFonts w:ascii="Bookman Old Style"/>
          <w:color w:val="000009"/>
          <w:spacing w:val="-2"/>
          <w:sz w:val="28"/>
        </w:rPr>
        <w:t xml:space="preserve"> </w:t>
      </w:r>
      <w:r>
        <w:rPr>
          <w:rFonts w:ascii="Bookman Old Style"/>
          <w:color w:val="000009"/>
          <w:sz w:val="28"/>
        </w:rPr>
        <w:t>women.</w:t>
      </w:r>
    </w:p>
    <w:p w:rsidR="003B2FC0" w:rsidRDefault="00052A49">
      <w:pPr>
        <w:pStyle w:val="ListParagraph"/>
        <w:numPr>
          <w:ilvl w:val="0"/>
          <w:numId w:val="52"/>
        </w:numPr>
        <w:tabs>
          <w:tab w:val="left" w:pos="1221"/>
        </w:tabs>
        <w:spacing w:before="1" w:line="480" w:lineRule="auto"/>
        <w:ind w:right="276"/>
        <w:jc w:val="both"/>
        <w:rPr>
          <w:rFonts w:ascii="Bookman Old Style"/>
          <w:sz w:val="28"/>
        </w:rPr>
      </w:pPr>
      <w:r>
        <w:rPr>
          <w:rFonts w:ascii="Bookman Old Style"/>
          <w:color w:val="000009"/>
          <w:sz w:val="28"/>
        </w:rPr>
        <w:t>The exclusionary practice being followed at the Sabrimala temple by virtue of Rule 3(b) of the 1965 Rules violates the right of Hindu women to</w:t>
      </w:r>
      <w:r>
        <w:rPr>
          <w:rFonts w:ascii="Bookman Old Style"/>
          <w:color w:val="000009"/>
          <w:sz w:val="28"/>
        </w:rPr>
        <w:t xml:space="preserve"> freely practise their religion and exhibit their devotion towards Lord Ayyappa. This denial denudes them of their right to worship. The right to practise religion under Article 25(1) is equally available to both men and women of all age groups professing </w:t>
      </w:r>
      <w:r>
        <w:rPr>
          <w:rFonts w:ascii="Bookman Old Style"/>
          <w:color w:val="000009"/>
          <w:sz w:val="28"/>
        </w:rPr>
        <w:t>the same</w:t>
      </w:r>
      <w:r>
        <w:rPr>
          <w:rFonts w:ascii="Bookman Old Style"/>
          <w:color w:val="000009"/>
          <w:spacing w:val="-24"/>
          <w:sz w:val="28"/>
        </w:rPr>
        <w:t xml:space="preserve"> </w:t>
      </w:r>
      <w:r>
        <w:rPr>
          <w:rFonts w:ascii="Bookman Old Style"/>
          <w:color w:val="000009"/>
          <w:sz w:val="28"/>
        </w:rPr>
        <w:t>religion.</w:t>
      </w:r>
    </w:p>
    <w:p w:rsidR="003B2FC0" w:rsidRDefault="00052A49">
      <w:pPr>
        <w:pStyle w:val="ListParagraph"/>
        <w:numPr>
          <w:ilvl w:val="0"/>
          <w:numId w:val="52"/>
        </w:numPr>
        <w:tabs>
          <w:tab w:val="left" w:pos="1221"/>
        </w:tabs>
        <w:spacing w:line="480" w:lineRule="auto"/>
        <w:ind w:right="273"/>
        <w:jc w:val="both"/>
        <w:rPr>
          <w:rFonts w:ascii="Bookman Old Style"/>
          <w:sz w:val="28"/>
        </w:rPr>
      </w:pPr>
      <w:r>
        <w:rPr>
          <w:rFonts w:ascii="Bookman Old Style"/>
          <w:color w:val="000009"/>
          <w:sz w:val="28"/>
        </w:rPr>
        <w:t>The impugned Rule 3(b) of the 1965 Rules, framed under the 1965 Act, that stipulates exclusion of entiy of women of the age group of 10 to 50 years, is a clear violation of the right of Hindu women to practise their religious</w:t>
      </w:r>
      <w:r>
        <w:rPr>
          <w:rFonts w:ascii="Bookman Old Style"/>
          <w:color w:val="000009"/>
          <w:spacing w:val="15"/>
          <w:sz w:val="28"/>
        </w:rPr>
        <w:t xml:space="preserve"> </w:t>
      </w:r>
      <w:r>
        <w:rPr>
          <w:rFonts w:ascii="Bookman Old Style"/>
          <w:color w:val="000009"/>
          <w:sz w:val="28"/>
        </w:rPr>
        <w:t>beliefs</w:t>
      </w:r>
    </w:p>
    <w:p w:rsidR="003B2FC0" w:rsidRDefault="003B2FC0">
      <w:pPr>
        <w:spacing w:line="480" w:lineRule="auto"/>
        <w:jc w:val="both"/>
        <w:rPr>
          <w:rFonts w:ascii="Bookman Old Style"/>
          <w:sz w:val="28"/>
        </w:rPr>
        <w:sectPr w:rsidR="003B2FC0">
          <w:headerReference w:type="default" r:id="rId176"/>
          <w:footerReference w:type="default" r:id="rId177"/>
          <w:pgSz w:w="11910" w:h="16840"/>
          <w:pgMar w:top="1340" w:right="1160" w:bottom="280" w:left="940" w:header="554" w:footer="0" w:gutter="0"/>
          <w:pgNumType w:start="92"/>
          <w:cols w:space="720"/>
        </w:sectPr>
      </w:pPr>
    </w:p>
    <w:p w:rsidR="003B2FC0" w:rsidRDefault="00052A49">
      <w:pPr>
        <w:pStyle w:val="BodyText"/>
        <w:spacing w:before="93" w:line="480" w:lineRule="auto"/>
        <w:ind w:left="1220"/>
      </w:pPr>
      <w:r>
        <w:rPr>
          <w:color w:val="000009"/>
        </w:rPr>
        <w:t>which, in consequence, makes their fundamental right of religion under Article 25(1) a dead letter.</w:t>
      </w:r>
    </w:p>
    <w:p w:rsidR="003B2FC0" w:rsidRDefault="00052A49">
      <w:pPr>
        <w:pStyle w:val="ListParagraph"/>
        <w:numPr>
          <w:ilvl w:val="0"/>
          <w:numId w:val="52"/>
        </w:numPr>
        <w:tabs>
          <w:tab w:val="left" w:pos="1221"/>
        </w:tabs>
        <w:spacing w:line="480" w:lineRule="auto"/>
        <w:ind w:right="277"/>
        <w:jc w:val="both"/>
        <w:rPr>
          <w:rFonts w:ascii="Bookman Old Style"/>
          <w:sz w:val="28"/>
        </w:rPr>
      </w:pPr>
      <w:r>
        <w:rPr>
          <w:rFonts w:ascii="Bookman Old Style"/>
          <w:color w:val="000009"/>
          <w:sz w:val="28"/>
        </w:rPr>
        <w:t>The term 'morality' occurring in Article 25(1) of the Constitution cannot be viewed with a narrow lens so as to conf</w:t>
      </w:r>
      <w:r>
        <w:rPr>
          <w:rFonts w:ascii="Bookman Old Style"/>
          <w:color w:val="000009"/>
          <w:sz w:val="28"/>
        </w:rPr>
        <w:t>ine the sphere of definition of morality to what an individual, a section or religious sect may perceive the term to mean. Since the Constitution has been adopted  and given by the people of this country to themselves, the term public morality in Article 2</w:t>
      </w:r>
      <w:r>
        <w:rPr>
          <w:rFonts w:ascii="Bookman Old Style"/>
          <w:color w:val="000009"/>
          <w:sz w:val="28"/>
        </w:rPr>
        <w:t>5 has to be appositely understood as being synonymous with constitutional</w:t>
      </w:r>
      <w:r>
        <w:rPr>
          <w:rFonts w:ascii="Bookman Old Style"/>
          <w:color w:val="000009"/>
          <w:spacing w:val="-12"/>
          <w:sz w:val="28"/>
        </w:rPr>
        <w:t xml:space="preserve"> </w:t>
      </w:r>
      <w:r>
        <w:rPr>
          <w:rFonts w:ascii="Bookman Old Style"/>
          <w:color w:val="000009"/>
          <w:sz w:val="28"/>
        </w:rPr>
        <w:t>morality.</w:t>
      </w:r>
    </w:p>
    <w:p w:rsidR="003B2FC0" w:rsidRDefault="00052A49">
      <w:pPr>
        <w:pStyle w:val="ListParagraph"/>
        <w:numPr>
          <w:ilvl w:val="0"/>
          <w:numId w:val="52"/>
        </w:numPr>
        <w:tabs>
          <w:tab w:val="left" w:pos="1221"/>
        </w:tabs>
        <w:spacing w:before="1" w:line="480" w:lineRule="auto"/>
        <w:ind w:right="280"/>
        <w:jc w:val="both"/>
        <w:rPr>
          <w:rFonts w:ascii="Bookman Old Style"/>
          <w:sz w:val="28"/>
        </w:rPr>
      </w:pPr>
      <w:r>
        <w:rPr>
          <w:rFonts w:ascii="Bookman Old Style"/>
          <w:color w:val="000009"/>
          <w:sz w:val="28"/>
        </w:rPr>
        <w:t>The notions of public order, morality and health cannot be used as colourable device to restrict the freedom to freely practise religion and discriminate against women of t</w:t>
      </w:r>
      <w:r>
        <w:rPr>
          <w:rFonts w:ascii="Bookman Old Style"/>
          <w:color w:val="000009"/>
          <w:sz w:val="28"/>
        </w:rPr>
        <w:t>he age group of 10 to 50 years by denying them their legal right to enter and offer their prayers at the Sabarimala</w:t>
      </w:r>
      <w:r>
        <w:rPr>
          <w:rFonts w:ascii="Bookman Old Style"/>
          <w:color w:val="000009"/>
          <w:spacing w:val="-22"/>
          <w:sz w:val="28"/>
        </w:rPr>
        <w:t xml:space="preserve"> </w:t>
      </w:r>
      <w:r>
        <w:rPr>
          <w:rFonts w:ascii="Bookman Old Style"/>
          <w:color w:val="000009"/>
          <w:sz w:val="28"/>
        </w:rPr>
        <w:t>temple.</w:t>
      </w:r>
    </w:p>
    <w:p w:rsidR="003B2FC0" w:rsidRDefault="00052A49">
      <w:pPr>
        <w:pStyle w:val="ListParagraph"/>
        <w:numPr>
          <w:ilvl w:val="0"/>
          <w:numId w:val="52"/>
        </w:numPr>
        <w:tabs>
          <w:tab w:val="left" w:pos="1221"/>
        </w:tabs>
        <w:spacing w:line="480" w:lineRule="auto"/>
        <w:ind w:right="275"/>
        <w:jc w:val="both"/>
        <w:rPr>
          <w:rFonts w:ascii="Bookman Old Style"/>
          <w:sz w:val="28"/>
        </w:rPr>
      </w:pPr>
      <w:r>
        <w:rPr>
          <w:rFonts w:ascii="Bookman Old Style"/>
          <w:color w:val="000009"/>
          <w:sz w:val="28"/>
        </w:rPr>
        <w:t xml:space="preserve">The practice of exclusion of women of the age group of 10 to 50 years being followed at the Sabarimala Temple cannot be regarded as </w:t>
      </w:r>
      <w:r>
        <w:rPr>
          <w:rFonts w:ascii="Bookman Old Style"/>
          <w:color w:val="000009"/>
          <w:sz w:val="28"/>
        </w:rPr>
        <w:t>an essential part as claimed by the respondent Board.</w:t>
      </w:r>
    </w:p>
    <w:p w:rsidR="003B2FC0" w:rsidRDefault="00052A49">
      <w:pPr>
        <w:pStyle w:val="ListParagraph"/>
        <w:numPr>
          <w:ilvl w:val="0"/>
          <w:numId w:val="52"/>
        </w:numPr>
        <w:tabs>
          <w:tab w:val="left" w:pos="1221"/>
        </w:tabs>
        <w:rPr>
          <w:rFonts w:ascii="Bookman Old Style"/>
          <w:sz w:val="28"/>
        </w:rPr>
      </w:pPr>
      <w:r>
        <w:rPr>
          <w:rFonts w:ascii="Bookman Old Style"/>
          <w:color w:val="000009"/>
          <w:sz w:val="28"/>
        </w:rPr>
        <w:t>In</w:t>
      </w:r>
      <w:r>
        <w:rPr>
          <w:rFonts w:ascii="Bookman Old Style"/>
          <w:color w:val="000009"/>
          <w:spacing w:val="53"/>
          <w:sz w:val="28"/>
        </w:rPr>
        <w:t xml:space="preserve"> </w:t>
      </w:r>
      <w:r>
        <w:rPr>
          <w:rFonts w:ascii="Bookman Old Style"/>
          <w:color w:val="000009"/>
          <w:sz w:val="28"/>
        </w:rPr>
        <w:t>view</w:t>
      </w:r>
      <w:r>
        <w:rPr>
          <w:rFonts w:ascii="Bookman Old Style"/>
          <w:color w:val="000009"/>
          <w:spacing w:val="55"/>
          <w:sz w:val="28"/>
        </w:rPr>
        <w:t xml:space="preserve"> </w:t>
      </w:r>
      <w:r>
        <w:rPr>
          <w:rFonts w:ascii="Bookman Old Style"/>
          <w:color w:val="000009"/>
          <w:sz w:val="28"/>
        </w:rPr>
        <w:t>of</w:t>
      </w:r>
      <w:r>
        <w:rPr>
          <w:rFonts w:ascii="Bookman Old Style"/>
          <w:color w:val="000009"/>
          <w:spacing w:val="54"/>
          <w:sz w:val="28"/>
        </w:rPr>
        <w:t xml:space="preserve"> </w:t>
      </w:r>
      <w:r>
        <w:rPr>
          <w:rFonts w:ascii="Bookman Old Style"/>
          <w:color w:val="000009"/>
          <w:sz w:val="28"/>
        </w:rPr>
        <w:t>the</w:t>
      </w:r>
      <w:r>
        <w:rPr>
          <w:rFonts w:ascii="Bookman Old Style"/>
          <w:color w:val="000009"/>
          <w:spacing w:val="58"/>
          <w:sz w:val="28"/>
        </w:rPr>
        <w:t xml:space="preserve"> </w:t>
      </w:r>
      <w:r>
        <w:rPr>
          <w:rFonts w:ascii="Bookman Old Style"/>
          <w:color w:val="000009"/>
          <w:sz w:val="28"/>
        </w:rPr>
        <w:t>law</w:t>
      </w:r>
      <w:r>
        <w:rPr>
          <w:rFonts w:ascii="Bookman Old Style"/>
          <w:color w:val="000009"/>
          <w:spacing w:val="55"/>
          <w:sz w:val="28"/>
        </w:rPr>
        <w:t xml:space="preserve"> </w:t>
      </w:r>
      <w:r>
        <w:rPr>
          <w:rFonts w:ascii="Bookman Old Style"/>
          <w:color w:val="000009"/>
          <w:sz w:val="28"/>
        </w:rPr>
        <w:t>laid</w:t>
      </w:r>
      <w:r>
        <w:rPr>
          <w:rFonts w:ascii="Bookman Old Style"/>
          <w:color w:val="000009"/>
          <w:spacing w:val="57"/>
          <w:sz w:val="28"/>
        </w:rPr>
        <w:t xml:space="preserve"> </w:t>
      </w:r>
      <w:r>
        <w:rPr>
          <w:rFonts w:ascii="Bookman Old Style"/>
          <w:color w:val="000009"/>
          <w:sz w:val="28"/>
        </w:rPr>
        <w:t>down</w:t>
      </w:r>
      <w:r>
        <w:rPr>
          <w:rFonts w:ascii="Bookman Old Style"/>
          <w:color w:val="000009"/>
          <w:spacing w:val="52"/>
          <w:sz w:val="28"/>
        </w:rPr>
        <w:t xml:space="preserve"> </w:t>
      </w:r>
      <w:r>
        <w:rPr>
          <w:rFonts w:ascii="Bookman Old Style"/>
          <w:color w:val="000009"/>
          <w:sz w:val="28"/>
        </w:rPr>
        <w:t>by</w:t>
      </w:r>
      <w:r>
        <w:rPr>
          <w:rFonts w:ascii="Bookman Old Style"/>
          <w:color w:val="000009"/>
          <w:spacing w:val="53"/>
          <w:sz w:val="28"/>
        </w:rPr>
        <w:t xml:space="preserve"> </w:t>
      </w:r>
      <w:r>
        <w:rPr>
          <w:rFonts w:ascii="Bookman Old Style"/>
          <w:color w:val="000009"/>
          <w:sz w:val="28"/>
        </w:rPr>
        <w:t>this</w:t>
      </w:r>
      <w:r>
        <w:rPr>
          <w:rFonts w:ascii="Bookman Old Style"/>
          <w:color w:val="000009"/>
          <w:spacing w:val="55"/>
          <w:sz w:val="28"/>
        </w:rPr>
        <w:t xml:space="preserve"> </w:t>
      </w:r>
      <w:r>
        <w:rPr>
          <w:rFonts w:ascii="Bookman Old Style"/>
          <w:color w:val="000009"/>
          <w:sz w:val="28"/>
        </w:rPr>
        <w:t>Court</w:t>
      </w:r>
      <w:r>
        <w:rPr>
          <w:rFonts w:ascii="Bookman Old Style"/>
          <w:color w:val="000009"/>
          <w:spacing w:val="54"/>
          <w:sz w:val="28"/>
        </w:rPr>
        <w:t xml:space="preserve"> </w:t>
      </w:r>
      <w:r>
        <w:rPr>
          <w:rFonts w:ascii="Bookman Old Style"/>
          <w:color w:val="000009"/>
          <w:sz w:val="28"/>
        </w:rPr>
        <w:t>in</w:t>
      </w:r>
      <w:r>
        <w:rPr>
          <w:rFonts w:ascii="Bookman Old Style"/>
          <w:color w:val="000009"/>
          <w:spacing w:val="55"/>
          <w:sz w:val="28"/>
        </w:rPr>
        <w:t xml:space="preserve"> </w:t>
      </w:r>
      <w:r>
        <w:rPr>
          <w:rFonts w:ascii="Bookman Old Style"/>
          <w:color w:val="000009"/>
          <w:sz w:val="28"/>
        </w:rPr>
        <w:t>the</w:t>
      </w:r>
      <w:r>
        <w:rPr>
          <w:rFonts w:ascii="Bookman Old Style"/>
          <w:color w:val="000009"/>
          <w:spacing w:val="56"/>
          <w:sz w:val="28"/>
        </w:rPr>
        <w:t xml:space="preserve"> </w:t>
      </w:r>
      <w:r>
        <w:rPr>
          <w:rFonts w:ascii="Bookman Old Style"/>
          <w:color w:val="000009"/>
          <w:sz w:val="28"/>
        </w:rPr>
        <w:t>second</w:t>
      </w:r>
    </w:p>
    <w:p w:rsidR="003B2FC0" w:rsidRDefault="003B2FC0">
      <w:pPr>
        <w:pStyle w:val="BodyText"/>
        <w:spacing w:before="10"/>
        <w:rPr>
          <w:sz w:val="27"/>
        </w:rPr>
      </w:pPr>
    </w:p>
    <w:p w:rsidR="003B2FC0" w:rsidRDefault="00052A49">
      <w:pPr>
        <w:tabs>
          <w:tab w:val="left" w:pos="2635"/>
          <w:tab w:val="left" w:pos="3824"/>
          <w:tab w:val="left" w:pos="4769"/>
          <w:tab w:val="left" w:pos="5458"/>
          <w:tab w:val="left" w:pos="7444"/>
          <w:tab w:val="left" w:pos="8784"/>
        </w:tabs>
        <w:ind w:left="1220"/>
        <w:rPr>
          <w:rFonts w:ascii="Bookman Old Style"/>
          <w:sz w:val="28"/>
        </w:rPr>
      </w:pPr>
      <w:r>
        <w:rPr>
          <w:rFonts w:ascii="Bookman Old Style"/>
          <w:b/>
          <w:i/>
          <w:color w:val="000009"/>
          <w:sz w:val="28"/>
        </w:rPr>
        <w:t>Ananda</w:t>
      </w:r>
      <w:r>
        <w:rPr>
          <w:rFonts w:ascii="Bookman Old Style"/>
          <w:b/>
          <w:i/>
          <w:color w:val="000009"/>
          <w:sz w:val="28"/>
        </w:rPr>
        <w:tab/>
        <w:t>Marga</w:t>
      </w:r>
      <w:r>
        <w:rPr>
          <w:rFonts w:ascii="Bookman Old Style"/>
          <w:b/>
          <w:i/>
          <w:color w:val="000009"/>
          <w:sz w:val="28"/>
        </w:rPr>
        <w:tab/>
      </w:r>
      <w:r>
        <w:rPr>
          <w:rFonts w:ascii="Bookman Old Style"/>
          <w:color w:val="000009"/>
          <w:sz w:val="28"/>
        </w:rPr>
        <w:t>case,</w:t>
      </w:r>
      <w:r>
        <w:rPr>
          <w:rFonts w:ascii="Bookman Old Style"/>
          <w:color w:val="000009"/>
          <w:sz w:val="28"/>
        </w:rPr>
        <w:tab/>
        <w:t>the</w:t>
      </w:r>
      <w:r>
        <w:rPr>
          <w:rFonts w:ascii="Bookman Old Style"/>
          <w:color w:val="000009"/>
          <w:sz w:val="28"/>
        </w:rPr>
        <w:tab/>
        <w:t>exclusionary</w:t>
      </w:r>
      <w:r>
        <w:rPr>
          <w:rFonts w:ascii="Bookman Old Style"/>
          <w:color w:val="000009"/>
          <w:sz w:val="28"/>
        </w:rPr>
        <w:tab/>
        <w:t>practice</w:t>
      </w:r>
      <w:r>
        <w:rPr>
          <w:rFonts w:ascii="Bookman Old Style"/>
          <w:color w:val="000009"/>
          <w:sz w:val="28"/>
        </w:rPr>
        <w:tab/>
        <w:t>being</w:t>
      </w:r>
    </w:p>
    <w:p w:rsidR="003B2FC0" w:rsidRDefault="003B2FC0">
      <w:pPr>
        <w:rPr>
          <w:rFonts w:ascii="Bookman Old Style"/>
          <w:sz w:val="28"/>
        </w:rPr>
        <w:sectPr w:rsidR="003B2FC0">
          <w:headerReference w:type="default" r:id="rId178"/>
          <w:footerReference w:type="default" r:id="rId179"/>
          <w:pgSz w:w="11910" w:h="16840"/>
          <w:pgMar w:top="1340" w:right="1160" w:bottom="280" w:left="940" w:header="554" w:footer="0" w:gutter="0"/>
          <w:pgNumType w:start="93"/>
          <w:cols w:space="720"/>
        </w:sectPr>
      </w:pPr>
    </w:p>
    <w:p w:rsidR="003B2FC0" w:rsidRDefault="00052A49">
      <w:pPr>
        <w:pStyle w:val="BodyText"/>
        <w:spacing w:before="93" w:line="480" w:lineRule="auto"/>
        <w:ind w:left="1220" w:right="275"/>
        <w:jc w:val="both"/>
      </w:pPr>
      <w:r>
        <w:rPr>
          <w:color w:val="000009"/>
        </w:rPr>
        <w:t>followed at the Sabarimala Temple cannot be designated as one, the non-observance of which will change or alter the nature of Hindu religion. Besides, the exclusionary practice has not been observed with unhindered continuity as the Devaswom Board had acce</w:t>
      </w:r>
      <w:r>
        <w:rPr>
          <w:color w:val="000009"/>
        </w:rPr>
        <w:t>pted before the High Court that female worshippers of the age group of 10 to 50 years used to visit the temple and conducted poojas in every month for five days for the first rice feeding ceremony of their children.</w:t>
      </w:r>
    </w:p>
    <w:p w:rsidR="003B2FC0" w:rsidRDefault="00052A49">
      <w:pPr>
        <w:pStyle w:val="ListParagraph"/>
        <w:numPr>
          <w:ilvl w:val="0"/>
          <w:numId w:val="52"/>
        </w:numPr>
        <w:tabs>
          <w:tab w:val="left" w:pos="1221"/>
        </w:tabs>
        <w:spacing w:line="480" w:lineRule="auto"/>
        <w:ind w:right="278"/>
        <w:jc w:val="both"/>
        <w:rPr>
          <w:rFonts w:ascii="Bookman Old Style"/>
          <w:sz w:val="28"/>
        </w:rPr>
      </w:pPr>
      <w:r>
        <w:rPr>
          <w:rFonts w:ascii="Bookman Old Style"/>
          <w:color w:val="000009"/>
          <w:sz w:val="28"/>
        </w:rPr>
        <w:t>The exclusionary practice, which has bee</w:t>
      </w:r>
      <w:r>
        <w:rPr>
          <w:rFonts w:ascii="Bookman Old Style"/>
          <w:color w:val="000009"/>
          <w:sz w:val="28"/>
        </w:rPr>
        <w:t>n given the  backing of a subordinate legislation in the form of Rule 3(b) of the 1965 Rules, framed by the virtue of the 1965 Act, is neither an essential nor an integral part of the</w:t>
      </w:r>
      <w:r>
        <w:rPr>
          <w:rFonts w:ascii="Bookman Old Style"/>
          <w:color w:val="000009"/>
          <w:spacing w:val="-23"/>
          <w:sz w:val="28"/>
        </w:rPr>
        <w:t xml:space="preserve"> </w:t>
      </w:r>
      <w:r>
        <w:rPr>
          <w:rFonts w:ascii="Bookman Old Style"/>
          <w:color w:val="000009"/>
          <w:sz w:val="28"/>
        </w:rPr>
        <w:t>religion.</w:t>
      </w:r>
    </w:p>
    <w:p w:rsidR="003B2FC0" w:rsidRDefault="00052A49">
      <w:pPr>
        <w:pStyle w:val="ListParagraph"/>
        <w:numPr>
          <w:ilvl w:val="0"/>
          <w:numId w:val="52"/>
        </w:numPr>
        <w:tabs>
          <w:tab w:val="left" w:pos="1221"/>
        </w:tabs>
        <w:spacing w:before="1" w:line="480" w:lineRule="auto"/>
        <w:ind w:right="272"/>
        <w:jc w:val="both"/>
        <w:rPr>
          <w:rFonts w:ascii="Bookman Old Style"/>
          <w:sz w:val="28"/>
        </w:rPr>
      </w:pPr>
      <w:r>
        <w:rPr>
          <w:rFonts w:ascii="Bookman Old Style"/>
          <w:color w:val="000009"/>
          <w:sz w:val="28"/>
        </w:rPr>
        <w:t>A careful reading of Rule 3(b) of the 1965 Rules makes it lucu</w:t>
      </w:r>
      <w:r>
        <w:rPr>
          <w:rFonts w:ascii="Bookman Old Style"/>
          <w:color w:val="000009"/>
          <w:sz w:val="28"/>
        </w:rPr>
        <w:t xml:space="preserve">lent that it is </w:t>
      </w:r>
      <w:r>
        <w:rPr>
          <w:rFonts w:ascii="Bookman Old Style"/>
          <w:i/>
          <w:color w:val="000009"/>
          <w:sz w:val="28"/>
        </w:rPr>
        <w:t xml:space="preserve">ultra vires </w:t>
      </w:r>
      <w:r>
        <w:rPr>
          <w:rFonts w:ascii="Bookman Old Style"/>
          <w:color w:val="000009"/>
          <w:sz w:val="28"/>
        </w:rPr>
        <w:t>both Section 3 as well as Section 4 of the 1965 Act, for the simon pure reason that Section 3 being a non-obstante provision clearly stipulates that every place of public worship shall be open to all classes and sections of Hind</w:t>
      </w:r>
      <w:r>
        <w:rPr>
          <w:rFonts w:ascii="Bookman Old Style"/>
          <w:color w:val="000009"/>
          <w:sz w:val="28"/>
        </w:rPr>
        <w:t>us, women being one of them, irrespective of any custom or usage to the</w:t>
      </w:r>
      <w:r>
        <w:rPr>
          <w:rFonts w:ascii="Bookman Old Style"/>
          <w:color w:val="000009"/>
          <w:spacing w:val="-13"/>
          <w:sz w:val="28"/>
        </w:rPr>
        <w:t xml:space="preserve"> </w:t>
      </w:r>
      <w:r>
        <w:rPr>
          <w:rFonts w:ascii="Bookman Old Style"/>
          <w:color w:val="000009"/>
          <w:sz w:val="28"/>
        </w:rPr>
        <w:t>contrary.</w:t>
      </w:r>
    </w:p>
    <w:p w:rsidR="003B2FC0" w:rsidRDefault="00052A49">
      <w:pPr>
        <w:pStyle w:val="ListParagraph"/>
        <w:numPr>
          <w:ilvl w:val="0"/>
          <w:numId w:val="52"/>
        </w:numPr>
        <w:tabs>
          <w:tab w:val="left" w:pos="1221"/>
        </w:tabs>
        <w:spacing w:before="2" w:line="477" w:lineRule="auto"/>
        <w:ind w:right="283"/>
        <w:jc w:val="both"/>
        <w:rPr>
          <w:rFonts w:ascii="Bookman Old Style"/>
          <w:sz w:val="28"/>
        </w:rPr>
      </w:pPr>
      <w:r>
        <w:rPr>
          <w:rFonts w:ascii="Bookman Old Style"/>
          <w:color w:val="000009"/>
          <w:sz w:val="28"/>
        </w:rPr>
        <w:t xml:space="preserve">Rule 3(b) is also </w:t>
      </w:r>
      <w:r>
        <w:rPr>
          <w:rFonts w:ascii="Bookman Old Style"/>
          <w:i/>
          <w:color w:val="000009"/>
          <w:sz w:val="28"/>
        </w:rPr>
        <w:t xml:space="preserve">ultra vires </w:t>
      </w:r>
      <w:r>
        <w:rPr>
          <w:rFonts w:ascii="Bookman Old Style"/>
          <w:color w:val="000009"/>
          <w:sz w:val="28"/>
        </w:rPr>
        <w:t>Section 4 of the 1965 Act as the proviso to Section 4(1) creates an exception to the effect</w:t>
      </w:r>
      <w:r>
        <w:rPr>
          <w:rFonts w:ascii="Bookman Old Style"/>
          <w:color w:val="000009"/>
          <w:spacing w:val="3"/>
          <w:sz w:val="28"/>
        </w:rPr>
        <w:t xml:space="preserve"> </w:t>
      </w:r>
      <w:r>
        <w:rPr>
          <w:rFonts w:ascii="Bookman Old Style"/>
          <w:color w:val="000009"/>
          <w:sz w:val="28"/>
        </w:rPr>
        <w:t>that</w:t>
      </w:r>
    </w:p>
    <w:p w:rsidR="003B2FC0" w:rsidRDefault="003B2FC0">
      <w:pPr>
        <w:spacing w:line="477" w:lineRule="auto"/>
        <w:jc w:val="both"/>
        <w:rPr>
          <w:rFonts w:ascii="Bookman Old Style"/>
          <w:sz w:val="28"/>
        </w:rPr>
        <w:sectPr w:rsidR="003B2FC0">
          <w:headerReference w:type="default" r:id="rId180"/>
          <w:footerReference w:type="default" r:id="rId181"/>
          <w:pgSz w:w="11910" w:h="16840"/>
          <w:pgMar w:top="1340" w:right="1160" w:bottom="280" w:left="940" w:header="554" w:footer="0" w:gutter="0"/>
          <w:pgNumType w:start="94"/>
          <w:cols w:space="720"/>
        </w:sectPr>
      </w:pPr>
    </w:p>
    <w:p w:rsidR="003B2FC0" w:rsidRDefault="00052A49">
      <w:pPr>
        <w:pStyle w:val="BodyText"/>
        <w:spacing w:before="93" w:line="480" w:lineRule="auto"/>
        <w:ind w:left="1220" w:right="278"/>
        <w:jc w:val="both"/>
      </w:pPr>
      <w:r>
        <w:rPr>
          <w:color w:val="000009"/>
        </w:rPr>
        <w:t xml:space="preserve">the </w:t>
      </w:r>
      <w:r>
        <w:rPr>
          <w:color w:val="000009"/>
        </w:rPr>
        <w:t>regulations/rules made under Section 4(1) shall not discriminate, in any manner whatsoever, against any Hindu on the ground that he/she belongs to a particular section or class.</w:t>
      </w:r>
    </w:p>
    <w:p w:rsidR="003B2FC0" w:rsidRDefault="00052A49">
      <w:pPr>
        <w:pStyle w:val="ListParagraph"/>
        <w:numPr>
          <w:ilvl w:val="0"/>
          <w:numId w:val="52"/>
        </w:numPr>
        <w:tabs>
          <w:tab w:val="left" w:pos="1221"/>
        </w:tabs>
        <w:spacing w:before="1" w:line="480" w:lineRule="auto"/>
        <w:ind w:right="277"/>
        <w:jc w:val="both"/>
        <w:rPr>
          <w:rFonts w:ascii="Bookman Old Style"/>
          <w:sz w:val="28"/>
        </w:rPr>
      </w:pPr>
      <w:r>
        <w:rPr>
          <w:rFonts w:ascii="Bookman Old Style"/>
          <w:color w:val="000009"/>
          <w:sz w:val="28"/>
        </w:rPr>
        <w:t>The language of both the provisions, that is, Section 3 and the proviso to Section 4(1) of the 1965 Act clearly indicate that custom and usage must make space to the rights of all sections and classes of Hindus to offer prayers at places of public worship.</w:t>
      </w:r>
      <w:r>
        <w:rPr>
          <w:rFonts w:ascii="Bookman Old Style"/>
          <w:color w:val="000009"/>
          <w:sz w:val="28"/>
        </w:rPr>
        <w:t xml:space="preserve"> Any interpretation to the contrary would annihilate the purpose of the 1965 Act and incrementally impair the fundamental right to practise religion guaranteed under Article 25(1). Therefore, we hold that Rule 3(b) of the 1965 Rules is </w:t>
      </w:r>
      <w:r>
        <w:rPr>
          <w:rFonts w:ascii="Bookman Old Style"/>
          <w:i/>
          <w:color w:val="000009"/>
          <w:sz w:val="28"/>
        </w:rPr>
        <w:t xml:space="preserve">ultra vires </w:t>
      </w:r>
      <w:r>
        <w:rPr>
          <w:rFonts w:ascii="Bookman Old Style"/>
          <w:color w:val="000009"/>
          <w:sz w:val="28"/>
        </w:rPr>
        <w:t>the 1965</w:t>
      </w:r>
      <w:r>
        <w:rPr>
          <w:rFonts w:ascii="Bookman Old Style"/>
          <w:color w:val="000009"/>
          <w:spacing w:val="-9"/>
          <w:sz w:val="28"/>
        </w:rPr>
        <w:t xml:space="preserve"> </w:t>
      </w:r>
      <w:r>
        <w:rPr>
          <w:rFonts w:ascii="Bookman Old Style"/>
          <w:color w:val="000009"/>
          <w:sz w:val="28"/>
        </w:rPr>
        <w:t>Act.</w:t>
      </w:r>
    </w:p>
    <w:p w:rsidR="003B2FC0" w:rsidRDefault="00052A49">
      <w:pPr>
        <w:pStyle w:val="ListParagraph"/>
        <w:numPr>
          <w:ilvl w:val="0"/>
          <w:numId w:val="60"/>
        </w:numPr>
        <w:tabs>
          <w:tab w:val="left" w:pos="1221"/>
        </w:tabs>
        <w:spacing w:before="240" w:line="480" w:lineRule="auto"/>
        <w:ind w:right="279" w:firstLine="0"/>
        <w:rPr>
          <w:rFonts w:ascii="Bookman Old Style"/>
          <w:sz w:val="28"/>
        </w:rPr>
      </w:pPr>
      <w:r>
        <w:rPr>
          <w:rFonts w:ascii="Bookman Old Style"/>
          <w:sz w:val="28"/>
        </w:rPr>
        <w:t>In view of the aforesaid analysis and conclusions, the writ petition is allowed. There shall be no order as to</w:t>
      </w:r>
      <w:r>
        <w:rPr>
          <w:rFonts w:ascii="Bookman Old Style"/>
          <w:spacing w:val="-14"/>
          <w:sz w:val="28"/>
        </w:rPr>
        <w:t xml:space="preserve"> </w:t>
      </w:r>
      <w:r>
        <w:rPr>
          <w:rFonts w:ascii="Bookman Old Style"/>
          <w:sz w:val="28"/>
        </w:rPr>
        <w:t>costs.</w:t>
      </w:r>
    </w:p>
    <w:p w:rsidR="003B2FC0" w:rsidRDefault="003B2FC0">
      <w:pPr>
        <w:pStyle w:val="BodyText"/>
        <w:rPr>
          <w:sz w:val="32"/>
        </w:rPr>
      </w:pPr>
    </w:p>
    <w:p w:rsidR="003B2FC0" w:rsidRDefault="003B2FC0">
      <w:pPr>
        <w:pStyle w:val="BodyText"/>
        <w:spacing w:before="7"/>
        <w:rPr>
          <w:sz w:val="38"/>
        </w:rPr>
      </w:pPr>
    </w:p>
    <w:p w:rsidR="003B2FC0" w:rsidRDefault="00052A49">
      <w:pPr>
        <w:pStyle w:val="BodyText"/>
        <w:spacing w:before="1"/>
        <w:ind w:left="5961"/>
      </w:pPr>
      <w:r>
        <w:t>.………………………….CJI.</w:t>
      </w:r>
    </w:p>
    <w:p w:rsidR="003B2FC0" w:rsidRDefault="00052A49">
      <w:pPr>
        <w:pStyle w:val="BodyText"/>
        <w:ind w:left="5997"/>
        <w:rPr>
          <w:b/>
        </w:rPr>
      </w:pPr>
      <w:r>
        <w:rPr>
          <w:b/>
        </w:rPr>
        <w:t>(Dipak Misra)</w:t>
      </w:r>
    </w:p>
    <w:p w:rsidR="003B2FC0" w:rsidRDefault="003B2FC0">
      <w:pPr>
        <w:pStyle w:val="BodyText"/>
        <w:rPr>
          <w:b/>
          <w:sz w:val="20"/>
        </w:rPr>
      </w:pPr>
    </w:p>
    <w:p w:rsidR="003B2FC0" w:rsidRDefault="003B2FC0">
      <w:pPr>
        <w:pStyle w:val="BodyText"/>
        <w:rPr>
          <w:b/>
          <w:sz w:val="20"/>
        </w:rPr>
      </w:pPr>
    </w:p>
    <w:p w:rsidR="003B2FC0" w:rsidRDefault="003B2FC0">
      <w:pPr>
        <w:pStyle w:val="BodyText"/>
        <w:rPr>
          <w:b/>
          <w:sz w:val="20"/>
        </w:rPr>
      </w:pPr>
    </w:p>
    <w:p w:rsidR="003B2FC0" w:rsidRDefault="003B2FC0">
      <w:pPr>
        <w:pStyle w:val="BodyText"/>
        <w:spacing w:before="5"/>
        <w:rPr>
          <w:b/>
          <w:sz w:val="15"/>
        </w:rPr>
      </w:pPr>
    </w:p>
    <w:p w:rsidR="003B2FC0" w:rsidRDefault="003B2FC0">
      <w:pPr>
        <w:rPr>
          <w:sz w:val="15"/>
        </w:rPr>
        <w:sectPr w:rsidR="003B2FC0">
          <w:headerReference w:type="default" r:id="rId182"/>
          <w:footerReference w:type="default" r:id="rId183"/>
          <w:pgSz w:w="11910" w:h="16840"/>
          <w:pgMar w:top="1340" w:right="1160" w:bottom="280" w:left="940" w:header="554" w:footer="0" w:gutter="0"/>
          <w:pgNumType w:start="95"/>
          <w:cols w:space="720"/>
        </w:sectPr>
      </w:pPr>
    </w:p>
    <w:p w:rsidR="003B2FC0" w:rsidRDefault="003B2FC0">
      <w:pPr>
        <w:pStyle w:val="BodyText"/>
        <w:rPr>
          <w:b/>
          <w:sz w:val="32"/>
        </w:rPr>
      </w:pPr>
    </w:p>
    <w:p w:rsidR="003B2FC0" w:rsidRDefault="003B2FC0">
      <w:pPr>
        <w:pStyle w:val="BodyText"/>
        <w:spacing w:before="8"/>
        <w:rPr>
          <w:b/>
          <w:sz w:val="32"/>
        </w:rPr>
      </w:pPr>
    </w:p>
    <w:p w:rsidR="003B2FC0" w:rsidRDefault="00052A49">
      <w:pPr>
        <w:pStyle w:val="BodyText"/>
        <w:ind w:left="500" w:right="19"/>
      </w:pPr>
      <w:r>
        <w:t>New Delhi; September 28, 2018</w:t>
      </w:r>
    </w:p>
    <w:p w:rsidR="003B2FC0" w:rsidRDefault="00052A49">
      <w:pPr>
        <w:pStyle w:val="BodyText"/>
        <w:spacing w:before="101"/>
        <w:ind w:left="500"/>
      </w:pPr>
      <w:r>
        <w:br w:type="column"/>
      </w:r>
      <w:r>
        <w:t>.…………………………….J.</w:t>
      </w:r>
    </w:p>
    <w:p w:rsidR="003B2FC0" w:rsidRDefault="00052A49">
      <w:pPr>
        <w:pStyle w:val="BodyText"/>
        <w:ind w:left="610"/>
        <w:rPr>
          <w:b/>
        </w:rPr>
      </w:pPr>
      <w:r>
        <w:rPr>
          <w:b/>
        </w:rPr>
        <w:t>(A.M. Khanwilkar)</w:t>
      </w:r>
    </w:p>
    <w:p w:rsidR="003B2FC0" w:rsidRDefault="003B2FC0">
      <w:pPr>
        <w:sectPr w:rsidR="003B2FC0">
          <w:type w:val="continuous"/>
          <w:pgSz w:w="11910" w:h="16840"/>
          <w:pgMar w:top="1340" w:right="1160" w:bottom="280" w:left="940" w:header="720" w:footer="720" w:gutter="0"/>
          <w:cols w:num="2" w:space="720" w:equalWidth="0">
            <w:col w:w="3312" w:space="2170"/>
            <w:col w:w="4328"/>
          </w:cols>
        </w:sectPr>
      </w:pPr>
    </w:p>
    <w:p w:rsidR="003B2FC0" w:rsidRDefault="003B2FC0">
      <w:pPr>
        <w:pStyle w:val="BodyText"/>
        <w:ind w:left="6554"/>
        <w:rPr>
          <w:sz w:val="20"/>
        </w:rPr>
      </w:pPr>
      <w:r>
        <w:rPr>
          <w:sz w:val="20"/>
        </w:rPr>
      </w:r>
      <w:r>
        <w:rPr>
          <w:sz w:val="20"/>
        </w:rPr>
        <w:pict>
          <v:shape id="_x0000_s1148" type="#_x0000_t202" style="width:115.35pt;height:18.65pt;mso-position-horizontal-relative:char;mso-position-vertical-relative:line" filled="f" strokeweight=".48pt">
            <v:textbox inset="0,0,0,0">
              <w:txbxContent>
                <w:p w:rsidR="003B2FC0" w:rsidRDefault="00052A49">
                  <w:pPr>
                    <w:spacing w:before="18"/>
                    <w:ind w:left="223"/>
                    <w:rPr>
                      <w:b/>
                      <w:sz w:val="28"/>
                    </w:rPr>
                  </w:pPr>
                  <w:r>
                    <w:rPr>
                      <w:b/>
                      <w:sz w:val="28"/>
                    </w:rPr>
                    <w:t>REPORTABLE</w:t>
                  </w:r>
                </w:p>
              </w:txbxContent>
            </v:textbox>
            <w10:anchorlock/>
          </v:shape>
        </w:pict>
      </w:r>
    </w:p>
    <w:p w:rsidR="003B2FC0" w:rsidRDefault="003B2FC0">
      <w:pPr>
        <w:pStyle w:val="BodyText"/>
        <w:rPr>
          <w:b/>
          <w:sz w:val="20"/>
        </w:rPr>
      </w:pPr>
    </w:p>
    <w:p w:rsidR="003B2FC0" w:rsidRDefault="00052A49">
      <w:pPr>
        <w:pStyle w:val="Heading1"/>
        <w:spacing w:before="251" w:line="480" w:lineRule="auto"/>
        <w:ind w:left="2084" w:right="2103"/>
        <w:jc w:val="center"/>
      </w:pPr>
      <w:r>
        <w:t>IN THE SUPREME COURT OF INDIA CIVIL ORIGINAL JURISDICTION</w:t>
      </w:r>
    </w:p>
    <w:p w:rsidR="003B2FC0" w:rsidRDefault="00052A49">
      <w:pPr>
        <w:spacing w:line="320" w:lineRule="exact"/>
        <w:ind w:left="2084" w:right="2103"/>
        <w:jc w:val="center"/>
        <w:rPr>
          <w:b/>
          <w:sz w:val="28"/>
        </w:rPr>
      </w:pPr>
      <w:r>
        <w:rPr>
          <w:b/>
          <w:sz w:val="28"/>
          <w:u w:val="thick"/>
        </w:rPr>
        <w:t>WRIT PETITION (CIVIL) NO. 373 OF 2006</w:t>
      </w:r>
    </w:p>
    <w:p w:rsidR="003B2FC0" w:rsidRDefault="003B2FC0">
      <w:pPr>
        <w:rPr>
          <w:b/>
          <w:sz w:val="20"/>
        </w:rPr>
      </w:pPr>
    </w:p>
    <w:p w:rsidR="003B2FC0" w:rsidRDefault="003B2FC0">
      <w:pPr>
        <w:spacing w:before="2"/>
        <w:rPr>
          <w:b/>
          <w:sz w:val="28"/>
        </w:rPr>
      </w:pPr>
    </w:p>
    <w:p w:rsidR="003B2FC0" w:rsidRDefault="00052A49">
      <w:pPr>
        <w:pStyle w:val="BodyText"/>
        <w:spacing w:before="92"/>
        <w:ind w:left="383"/>
        <w:rPr>
          <w:rFonts w:ascii="Arial"/>
        </w:rPr>
      </w:pPr>
      <w:r>
        <w:rPr>
          <w:rFonts w:ascii="Arial"/>
        </w:rPr>
        <w:t>INDIAN YOUNG LAWYERS</w:t>
      </w:r>
    </w:p>
    <w:p w:rsidR="003B2FC0" w:rsidRDefault="00052A49">
      <w:pPr>
        <w:pStyle w:val="BodyText"/>
        <w:tabs>
          <w:tab w:val="left" w:pos="6581"/>
        </w:tabs>
        <w:spacing w:line="480" w:lineRule="auto"/>
        <w:ind w:left="4202" w:right="768" w:hanging="3819"/>
        <w:rPr>
          <w:rFonts w:ascii="Arial" w:hAnsi="Arial"/>
        </w:rPr>
      </w:pPr>
      <w:r>
        <w:rPr>
          <w:rFonts w:ascii="Arial" w:hAnsi="Arial"/>
        </w:rPr>
        <w:t>ASSOCIATION</w:t>
      </w:r>
      <w:r>
        <w:rPr>
          <w:rFonts w:ascii="Arial" w:hAnsi="Arial"/>
          <w:spacing w:val="-2"/>
        </w:rPr>
        <w:t xml:space="preserve"> </w:t>
      </w:r>
      <w:r>
        <w:rPr>
          <w:rFonts w:ascii="Arial" w:hAnsi="Arial"/>
        </w:rPr>
        <w:t>AND</w:t>
      </w:r>
      <w:r>
        <w:rPr>
          <w:rFonts w:ascii="Arial" w:hAnsi="Arial"/>
          <w:spacing w:val="-2"/>
        </w:rPr>
        <w:t xml:space="preserve"> </w:t>
      </w:r>
      <w:r>
        <w:rPr>
          <w:rFonts w:ascii="Arial" w:hAnsi="Arial"/>
        </w:rPr>
        <w:t>ORS.</w:t>
      </w:r>
      <w:r>
        <w:rPr>
          <w:rFonts w:ascii="Arial" w:hAnsi="Arial"/>
        </w:rPr>
        <w:tab/>
      </w:r>
      <w:r>
        <w:rPr>
          <w:rFonts w:ascii="Arial" w:hAnsi="Arial"/>
        </w:rPr>
        <w:tab/>
        <w:t xml:space="preserve">… </w:t>
      </w:r>
      <w:r>
        <w:rPr>
          <w:rFonts w:ascii="Arial" w:hAnsi="Arial"/>
          <w:spacing w:val="-3"/>
        </w:rPr>
        <w:t xml:space="preserve">PETITIONERS </w:t>
      </w:r>
      <w:r>
        <w:rPr>
          <w:rFonts w:ascii="Arial" w:hAnsi="Arial"/>
        </w:rPr>
        <w:t>VERSUS</w:t>
      </w:r>
    </w:p>
    <w:p w:rsidR="003B2FC0" w:rsidRDefault="00052A49">
      <w:pPr>
        <w:pStyle w:val="BodyText"/>
        <w:tabs>
          <w:tab w:val="left" w:pos="6581"/>
        </w:tabs>
        <w:spacing w:before="1"/>
        <w:ind w:left="383"/>
        <w:rPr>
          <w:rFonts w:ascii="Arial" w:hAnsi="Arial"/>
        </w:rPr>
      </w:pPr>
      <w:r>
        <w:rPr>
          <w:rFonts w:ascii="Arial" w:hAnsi="Arial"/>
        </w:rPr>
        <w:t>THE STATE OF KERALA</w:t>
      </w:r>
      <w:r>
        <w:rPr>
          <w:rFonts w:ascii="Arial" w:hAnsi="Arial"/>
          <w:spacing w:val="-4"/>
        </w:rPr>
        <w:t xml:space="preserve"> </w:t>
      </w:r>
      <w:r>
        <w:rPr>
          <w:rFonts w:ascii="Arial" w:hAnsi="Arial"/>
        </w:rPr>
        <w:t>AND</w:t>
      </w:r>
      <w:r>
        <w:rPr>
          <w:rFonts w:ascii="Arial" w:hAnsi="Arial"/>
          <w:spacing w:val="-2"/>
        </w:rPr>
        <w:t xml:space="preserve"> </w:t>
      </w:r>
      <w:r>
        <w:rPr>
          <w:rFonts w:ascii="Arial" w:hAnsi="Arial"/>
        </w:rPr>
        <w:t>ORS.</w:t>
      </w:r>
      <w:r>
        <w:rPr>
          <w:rFonts w:ascii="Arial" w:hAnsi="Arial"/>
        </w:rPr>
        <w:tab/>
        <w:t>…</w:t>
      </w:r>
      <w:r>
        <w:rPr>
          <w:rFonts w:ascii="Arial" w:hAnsi="Arial"/>
          <w:spacing w:val="2"/>
        </w:rPr>
        <w:t xml:space="preserve"> </w:t>
      </w:r>
      <w:r>
        <w:rPr>
          <w:rFonts w:ascii="Arial" w:hAnsi="Arial"/>
        </w:rPr>
        <w:t>RESPONDENTS</w:t>
      </w:r>
    </w:p>
    <w:p w:rsidR="003B2FC0" w:rsidRDefault="003B2FC0">
      <w:pPr>
        <w:rPr>
          <w:sz w:val="30"/>
        </w:rPr>
      </w:pPr>
    </w:p>
    <w:p w:rsidR="003B2FC0" w:rsidRDefault="003B2FC0">
      <w:pPr>
        <w:rPr>
          <w:sz w:val="30"/>
        </w:rPr>
      </w:pPr>
    </w:p>
    <w:p w:rsidR="003B2FC0" w:rsidRDefault="003B2FC0">
      <w:pPr>
        <w:spacing w:before="2"/>
        <w:rPr>
          <w:sz w:val="32"/>
        </w:rPr>
      </w:pPr>
    </w:p>
    <w:p w:rsidR="003B2FC0" w:rsidRDefault="00052A49">
      <w:pPr>
        <w:ind w:left="2084" w:right="1670"/>
        <w:jc w:val="center"/>
        <w:rPr>
          <w:b/>
          <w:sz w:val="28"/>
        </w:rPr>
      </w:pPr>
      <w:r>
        <w:rPr>
          <w:b/>
          <w:sz w:val="28"/>
          <w:u w:val="thick"/>
        </w:rPr>
        <w:t>J U D G M E N T</w:t>
      </w:r>
    </w:p>
    <w:p w:rsidR="003B2FC0" w:rsidRDefault="003B2FC0">
      <w:pPr>
        <w:spacing w:before="7"/>
        <w:rPr>
          <w:b/>
          <w:sz w:val="28"/>
        </w:rPr>
      </w:pPr>
    </w:p>
    <w:p w:rsidR="003B2FC0" w:rsidRDefault="00052A49">
      <w:pPr>
        <w:spacing w:before="91"/>
        <w:ind w:left="383"/>
        <w:rPr>
          <w:b/>
          <w:sz w:val="28"/>
        </w:rPr>
      </w:pPr>
      <w:r>
        <w:rPr>
          <w:b/>
          <w:sz w:val="28"/>
          <w:u w:val="thick"/>
        </w:rPr>
        <w:t>R.F. Nariman, J.</w:t>
      </w:r>
      <w:r>
        <w:rPr>
          <w:b/>
          <w:sz w:val="28"/>
        </w:rPr>
        <w:t xml:space="preserve"> (Concurring)</w:t>
      </w:r>
    </w:p>
    <w:p w:rsidR="003B2FC0" w:rsidRDefault="003B2FC0">
      <w:pPr>
        <w:rPr>
          <w:b/>
          <w:sz w:val="20"/>
        </w:rPr>
      </w:pPr>
    </w:p>
    <w:p w:rsidR="003B2FC0" w:rsidRDefault="003B2FC0">
      <w:pPr>
        <w:spacing w:before="6"/>
        <w:rPr>
          <w:b/>
          <w:sz w:val="17"/>
        </w:rPr>
      </w:pPr>
    </w:p>
    <w:p w:rsidR="003B2FC0" w:rsidRDefault="00052A49">
      <w:pPr>
        <w:pStyle w:val="ListParagraph"/>
        <w:numPr>
          <w:ilvl w:val="0"/>
          <w:numId w:val="51"/>
        </w:numPr>
        <w:tabs>
          <w:tab w:val="left" w:pos="1234"/>
        </w:tabs>
        <w:spacing w:before="92" w:line="480" w:lineRule="auto"/>
        <w:ind w:right="401" w:firstLine="0"/>
        <w:jc w:val="both"/>
        <w:rPr>
          <w:sz w:val="28"/>
        </w:rPr>
      </w:pPr>
      <w:r>
        <w:rPr>
          <w:sz w:val="28"/>
        </w:rPr>
        <w:t>The present writ petition raises far-reaching questions on the ambit of the fundamental rights contained in Articles 25 and 26 of the Constitution of India. These questions arise in the backdrop of an extremely famous temple at Sabarimala in which the idol</w:t>
      </w:r>
      <w:r>
        <w:rPr>
          <w:sz w:val="28"/>
        </w:rPr>
        <w:t xml:space="preserve"> of Lord Ayyappa is installed. According to the Respondents, the said temple, though open to all members of the public regardless of caste, creed, or religion, is a denominational temple which claims the fundamental</w:t>
      </w:r>
      <w:r>
        <w:rPr>
          <w:spacing w:val="8"/>
          <w:sz w:val="28"/>
        </w:rPr>
        <w:t xml:space="preserve"> </w:t>
      </w:r>
      <w:r>
        <w:rPr>
          <w:sz w:val="28"/>
        </w:rPr>
        <w:t>right</w:t>
      </w:r>
    </w:p>
    <w:p w:rsidR="003B2FC0" w:rsidRDefault="00052A49">
      <w:pPr>
        <w:pStyle w:val="BodyText"/>
        <w:ind w:left="383"/>
        <w:jc w:val="both"/>
        <w:rPr>
          <w:rFonts w:ascii="Arial"/>
        </w:rPr>
      </w:pPr>
      <w:r>
        <w:rPr>
          <w:rFonts w:ascii="Arial"/>
        </w:rPr>
        <w:t>to</w:t>
      </w:r>
      <w:r>
        <w:rPr>
          <w:rFonts w:ascii="Arial"/>
          <w:spacing w:val="26"/>
        </w:rPr>
        <w:t xml:space="preserve"> </w:t>
      </w:r>
      <w:r>
        <w:rPr>
          <w:rFonts w:ascii="Arial"/>
        </w:rPr>
        <w:t>manage</w:t>
      </w:r>
      <w:r>
        <w:rPr>
          <w:rFonts w:ascii="Arial"/>
          <w:spacing w:val="26"/>
        </w:rPr>
        <w:t xml:space="preserve"> </w:t>
      </w:r>
      <w:r>
        <w:rPr>
          <w:rFonts w:ascii="Arial"/>
        </w:rPr>
        <w:t>its</w:t>
      </w:r>
      <w:r>
        <w:rPr>
          <w:rFonts w:ascii="Arial"/>
          <w:spacing w:val="27"/>
        </w:rPr>
        <w:t xml:space="preserve"> </w:t>
      </w:r>
      <w:r>
        <w:rPr>
          <w:rFonts w:ascii="Arial"/>
        </w:rPr>
        <w:t>own</w:t>
      </w:r>
      <w:r>
        <w:rPr>
          <w:rFonts w:ascii="Arial"/>
          <w:spacing w:val="27"/>
        </w:rPr>
        <w:t xml:space="preserve"> </w:t>
      </w:r>
      <w:r>
        <w:rPr>
          <w:rFonts w:ascii="Arial"/>
        </w:rPr>
        <w:t>affairs</w:t>
      </w:r>
      <w:r>
        <w:rPr>
          <w:rFonts w:ascii="Arial"/>
          <w:spacing w:val="28"/>
        </w:rPr>
        <w:t xml:space="preserve"> </w:t>
      </w:r>
      <w:r>
        <w:rPr>
          <w:rFonts w:ascii="Arial"/>
        </w:rPr>
        <w:t>in</w:t>
      </w:r>
      <w:r>
        <w:rPr>
          <w:rFonts w:ascii="Arial"/>
          <w:spacing w:val="27"/>
        </w:rPr>
        <w:t xml:space="preserve"> </w:t>
      </w:r>
      <w:r>
        <w:rPr>
          <w:rFonts w:ascii="Arial"/>
        </w:rPr>
        <w:t>matte</w:t>
      </w:r>
      <w:r>
        <w:rPr>
          <w:rFonts w:ascii="Arial"/>
        </w:rPr>
        <w:t>rs</w:t>
      </w:r>
      <w:r>
        <w:rPr>
          <w:rFonts w:ascii="Arial"/>
          <w:spacing w:val="27"/>
        </w:rPr>
        <w:t xml:space="preserve"> </w:t>
      </w:r>
      <w:r>
        <w:rPr>
          <w:rFonts w:ascii="Arial"/>
        </w:rPr>
        <w:t>relating</w:t>
      </w:r>
      <w:r>
        <w:rPr>
          <w:rFonts w:ascii="Arial"/>
          <w:spacing w:val="23"/>
        </w:rPr>
        <w:t xml:space="preserve"> </w:t>
      </w:r>
      <w:r>
        <w:rPr>
          <w:rFonts w:ascii="Arial"/>
        </w:rPr>
        <w:t>to</w:t>
      </w:r>
      <w:r>
        <w:rPr>
          <w:rFonts w:ascii="Arial"/>
          <w:spacing w:val="27"/>
        </w:rPr>
        <w:t xml:space="preserve"> </w:t>
      </w:r>
      <w:r>
        <w:rPr>
          <w:rFonts w:ascii="Arial"/>
        </w:rPr>
        <w:t>religion.</w:t>
      </w:r>
      <w:r>
        <w:rPr>
          <w:rFonts w:ascii="Arial"/>
          <w:spacing w:val="25"/>
        </w:rPr>
        <w:t xml:space="preserve"> </w:t>
      </w:r>
      <w:r>
        <w:rPr>
          <w:rFonts w:ascii="Arial"/>
        </w:rPr>
        <w:t>The</w:t>
      </w:r>
      <w:r>
        <w:rPr>
          <w:rFonts w:ascii="Arial"/>
          <w:spacing w:val="27"/>
        </w:rPr>
        <w:t xml:space="preserve"> </w:t>
      </w:r>
      <w:r>
        <w:rPr>
          <w:rFonts w:ascii="Arial"/>
        </w:rPr>
        <w:t>question</w:t>
      </w:r>
    </w:p>
    <w:p w:rsidR="003B2FC0" w:rsidRDefault="003B2FC0">
      <w:pPr>
        <w:jc w:val="both"/>
        <w:sectPr w:rsidR="003B2FC0">
          <w:headerReference w:type="default" r:id="rId184"/>
          <w:footerReference w:type="default" r:id="rId185"/>
          <w:pgSz w:w="12240" w:h="15840"/>
          <w:pgMar w:top="1440" w:right="1320" w:bottom="1640" w:left="1340" w:header="0" w:footer="1459" w:gutter="0"/>
          <w:pgNumType w:start="1"/>
          <w:cols w:space="720"/>
        </w:sectPr>
      </w:pPr>
    </w:p>
    <w:p w:rsidR="003B2FC0" w:rsidRDefault="00052A49">
      <w:pPr>
        <w:pStyle w:val="BodyText"/>
        <w:spacing w:before="77" w:line="480" w:lineRule="auto"/>
        <w:ind w:left="383" w:right="401"/>
        <w:jc w:val="both"/>
        <w:rPr>
          <w:rFonts w:ascii="Arial"/>
        </w:rPr>
      </w:pPr>
      <w:r>
        <w:rPr>
          <w:rFonts w:ascii="Arial"/>
        </w:rPr>
        <w:t>that arises is whether the complete exclusion of women between the ages of 10 and 50 from entry, and consequently, of worship in this temple, based upon a biological factor which is exclusive to women only, and which is based upon custom allegedly constitu</w:t>
      </w:r>
      <w:r>
        <w:rPr>
          <w:rFonts w:ascii="Arial"/>
        </w:rPr>
        <w:t>ting an essential part of religion, can be said to be violative of their rights under Article 25. Consequently, whether such women are covered by Section 3 of the Kerala Hindu Places of Public Worship (Authorisation of Entry) Act, 1965 and whether Rule 3(b</w:t>
      </w:r>
      <w:r>
        <w:rPr>
          <w:rFonts w:ascii="Arial"/>
        </w:rPr>
        <w:t xml:space="preserve">) of the Kerala Hindu Places of Public Worship (Authorisation of Entry) Rules, 1965 is violative of their fundamental right under Article 25(1) and Article 15(1), and </w:t>
      </w:r>
      <w:r>
        <w:rPr>
          <w:rFonts w:ascii="Arial"/>
          <w:i/>
        </w:rPr>
        <w:t xml:space="preserve">ultra vires </w:t>
      </w:r>
      <w:r>
        <w:rPr>
          <w:rFonts w:ascii="Arial"/>
        </w:rPr>
        <w:t>the parent</w:t>
      </w:r>
      <w:r>
        <w:rPr>
          <w:rFonts w:ascii="Arial"/>
          <w:spacing w:val="-4"/>
        </w:rPr>
        <w:t xml:space="preserve"> </w:t>
      </w:r>
      <w:r>
        <w:rPr>
          <w:rFonts w:ascii="Arial"/>
        </w:rPr>
        <w:t>Act.</w:t>
      </w:r>
    </w:p>
    <w:p w:rsidR="003B2FC0" w:rsidRDefault="00052A49">
      <w:pPr>
        <w:pStyle w:val="ListParagraph"/>
        <w:numPr>
          <w:ilvl w:val="0"/>
          <w:numId w:val="51"/>
        </w:numPr>
        <w:tabs>
          <w:tab w:val="left" w:pos="1234"/>
        </w:tabs>
        <w:spacing w:before="201" w:line="480" w:lineRule="auto"/>
        <w:ind w:right="407" w:firstLine="0"/>
        <w:jc w:val="both"/>
        <w:rPr>
          <w:sz w:val="28"/>
        </w:rPr>
      </w:pPr>
      <w:r>
        <w:rPr>
          <w:sz w:val="28"/>
        </w:rPr>
        <w:t>Before answering the question posed on the facts before us, i</w:t>
      </w:r>
      <w:r>
        <w:rPr>
          <w:sz w:val="28"/>
        </w:rPr>
        <w:t>t is necessary to cover the ground that has been covered by our previous decisions on the scope and effect of religious freedom contained in Articles 25 and</w:t>
      </w:r>
      <w:r>
        <w:rPr>
          <w:spacing w:val="-8"/>
          <w:sz w:val="28"/>
        </w:rPr>
        <w:t xml:space="preserve"> </w:t>
      </w:r>
      <w:r>
        <w:rPr>
          <w:sz w:val="28"/>
        </w:rPr>
        <w:t>26.</w:t>
      </w:r>
    </w:p>
    <w:p w:rsidR="003B2FC0" w:rsidRDefault="00052A49">
      <w:pPr>
        <w:pStyle w:val="ListParagraph"/>
        <w:numPr>
          <w:ilvl w:val="0"/>
          <w:numId w:val="51"/>
        </w:numPr>
        <w:tabs>
          <w:tab w:val="left" w:pos="1234"/>
        </w:tabs>
        <w:spacing w:before="199" w:line="480" w:lineRule="auto"/>
        <w:ind w:right="403" w:firstLine="0"/>
        <w:jc w:val="both"/>
        <w:rPr>
          <w:sz w:val="28"/>
        </w:rPr>
      </w:pPr>
      <w:r>
        <w:rPr>
          <w:sz w:val="28"/>
        </w:rPr>
        <w:t xml:space="preserve">In one of the earliest judgments dealing with religious freedom, namely, </w:t>
      </w:r>
      <w:r>
        <w:rPr>
          <w:b/>
          <w:sz w:val="28"/>
        </w:rPr>
        <w:t>Nar Hari Sastri and Ors. v. Shri Badrinath Temple Committee</w:t>
      </w:r>
      <w:r>
        <w:rPr>
          <w:sz w:val="28"/>
        </w:rPr>
        <w:t>, 1952 SCR 849, this Court was concerned with the temple at Badrinath, which is an ancient temple, being a public place</w:t>
      </w:r>
      <w:r>
        <w:rPr>
          <w:spacing w:val="30"/>
          <w:sz w:val="28"/>
        </w:rPr>
        <w:t xml:space="preserve"> </w:t>
      </w:r>
      <w:r>
        <w:rPr>
          <w:sz w:val="28"/>
        </w:rPr>
        <w:t>of</w:t>
      </w:r>
    </w:p>
    <w:p w:rsidR="003B2FC0" w:rsidRDefault="003B2FC0">
      <w:pPr>
        <w:spacing w:line="480" w:lineRule="auto"/>
        <w:jc w:val="both"/>
        <w:rPr>
          <w:sz w:val="28"/>
        </w:rPr>
        <w:sectPr w:rsidR="003B2FC0">
          <w:headerReference w:type="default" r:id="rId186"/>
          <w:footerReference w:type="default" r:id="rId187"/>
          <w:pgSz w:w="12240" w:h="15840"/>
          <w:pgMar w:top="1360" w:right="1320" w:bottom="1680" w:left="1340" w:header="0" w:footer="1492" w:gutter="0"/>
          <w:pgNumType w:start="2"/>
          <w:cols w:space="720"/>
        </w:sectPr>
      </w:pPr>
    </w:p>
    <w:p w:rsidR="003B2FC0" w:rsidRDefault="00052A49">
      <w:pPr>
        <w:pStyle w:val="BodyText"/>
        <w:spacing w:before="77" w:line="480" w:lineRule="auto"/>
        <w:ind w:left="383" w:right="403"/>
        <w:jc w:val="both"/>
        <w:rPr>
          <w:rFonts w:ascii="Arial" w:hAnsi="Arial"/>
        </w:rPr>
      </w:pPr>
      <w:r>
        <w:rPr>
          <w:rFonts w:ascii="Arial" w:hAnsi="Arial"/>
        </w:rPr>
        <w:t>worship for Hindus. A representative</w:t>
      </w:r>
      <w:r>
        <w:rPr>
          <w:rFonts w:ascii="Arial" w:hAnsi="Arial"/>
        </w:rPr>
        <w:t xml:space="preserve"> suit was filed under Order I Rule 8 of the Code of Civil Procedure, 1908 on behalf of all Deoprayagi Pandas who, as guides or escorts of pilgrims, sought a declaration that they cannot be obstructed from entering the precincts of the temple along with the</w:t>
      </w:r>
      <w:r>
        <w:rPr>
          <w:rFonts w:ascii="Arial" w:hAnsi="Arial"/>
        </w:rPr>
        <w:t>ir ―clients‖ for darshan of the deities inside the temple. This Court</w:t>
      </w:r>
      <w:r>
        <w:rPr>
          <w:rFonts w:ascii="Arial" w:hAnsi="Arial"/>
          <w:spacing w:val="-1"/>
        </w:rPr>
        <w:t xml:space="preserve"> </w:t>
      </w:r>
      <w:r>
        <w:rPr>
          <w:rFonts w:ascii="Arial" w:hAnsi="Arial"/>
        </w:rPr>
        <w:t>held:</w:t>
      </w:r>
    </w:p>
    <w:p w:rsidR="003B2FC0" w:rsidRDefault="00052A49">
      <w:pPr>
        <w:pStyle w:val="BodyText"/>
        <w:spacing w:before="1"/>
        <w:ind w:left="1377" w:right="1393"/>
        <w:jc w:val="both"/>
        <w:rPr>
          <w:rFonts w:ascii="Arial" w:hAnsi="Arial"/>
        </w:rPr>
      </w:pPr>
      <w:r>
        <w:rPr>
          <w:rFonts w:ascii="Arial" w:hAnsi="Arial"/>
          <w:w w:val="33"/>
        </w:rPr>
        <w:t>―</w:t>
      </w:r>
      <w:r>
        <w:rPr>
          <w:rFonts w:ascii="Arial" w:hAnsi="Arial"/>
        </w:rPr>
        <w:t>It</w:t>
      </w:r>
      <w:r>
        <w:rPr>
          <w:rFonts w:ascii="Arial" w:hAnsi="Arial"/>
          <w:spacing w:val="9"/>
        </w:rPr>
        <w:t xml:space="preserve"> </w:t>
      </w:r>
      <w:r>
        <w:rPr>
          <w:rFonts w:ascii="Arial" w:hAnsi="Arial"/>
        </w:rPr>
        <w:t>s</w:t>
      </w:r>
      <w:r>
        <w:rPr>
          <w:rFonts w:ascii="Arial" w:hAnsi="Arial"/>
          <w:spacing w:val="-3"/>
        </w:rPr>
        <w:t>e</w:t>
      </w:r>
      <w:r>
        <w:rPr>
          <w:rFonts w:ascii="Arial" w:hAnsi="Arial"/>
        </w:rPr>
        <w:t>e</w:t>
      </w:r>
      <w:r>
        <w:rPr>
          <w:rFonts w:ascii="Arial" w:hAnsi="Arial"/>
          <w:spacing w:val="-2"/>
        </w:rPr>
        <w:t>m</w:t>
      </w:r>
      <w:r>
        <w:rPr>
          <w:rFonts w:ascii="Arial" w:hAnsi="Arial"/>
        </w:rPr>
        <w:t>s</w:t>
      </w:r>
      <w:r>
        <w:rPr>
          <w:rFonts w:ascii="Arial" w:hAnsi="Arial"/>
          <w:spacing w:val="9"/>
        </w:rPr>
        <w:t xml:space="preserve"> </w:t>
      </w:r>
      <w:r>
        <w:rPr>
          <w:rFonts w:ascii="Arial" w:hAnsi="Arial"/>
        </w:rPr>
        <w:t>to</w:t>
      </w:r>
      <w:r>
        <w:rPr>
          <w:rFonts w:ascii="Arial" w:hAnsi="Arial"/>
          <w:spacing w:val="8"/>
        </w:rPr>
        <w:t xml:space="preserve"> </w:t>
      </w:r>
      <w:r>
        <w:rPr>
          <w:rFonts w:ascii="Arial" w:hAnsi="Arial"/>
        </w:rPr>
        <w:t>us</w:t>
      </w:r>
      <w:r>
        <w:rPr>
          <w:rFonts w:ascii="Arial" w:hAnsi="Arial"/>
          <w:spacing w:val="9"/>
        </w:rPr>
        <w:t xml:space="preserve"> </w:t>
      </w:r>
      <w:r>
        <w:rPr>
          <w:rFonts w:ascii="Arial" w:hAnsi="Arial"/>
        </w:rPr>
        <w:t>th</w:t>
      </w:r>
      <w:r>
        <w:rPr>
          <w:rFonts w:ascii="Arial" w:hAnsi="Arial"/>
          <w:spacing w:val="-3"/>
        </w:rPr>
        <w:t>a</w:t>
      </w:r>
      <w:r>
        <w:rPr>
          <w:rFonts w:ascii="Arial" w:hAnsi="Arial"/>
        </w:rPr>
        <w:t>t</w:t>
      </w:r>
      <w:r>
        <w:rPr>
          <w:rFonts w:ascii="Arial" w:hAnsi="Arial"/>
          <w:spacing w:val="9"/>
        </w:rPr>
        <w:t xml:space="preserve"> </w:t>
      </w:r>
      <w:r>
        <w:rPr>
          <w:rFonts w:ascii="Arial" w:hAnsi="Arial"/>
        </w:rPr>
        <w:t>the</w:t>
      </w:r>
      <w:r>
        <w:rPr>
          <w:rFonts w:ascii="Arial" w:hAnsi="Arial"/>
          <w:spacing w:val="8"/>
        </w:rPr>
        <w:t xml:space="preserve"> </w:t>
      </w:r>
      <w:r>
        <w:rPr>
          <w:rFonts w:ascii="Arial" w:hAnsi="Arial"/>
        </w:rPr>
        <w:t>appro</w:t>
      </w:r>
      <w:r>
        <w:rPr>
          <w:rFonts w:ascii="Arial" w:hAnsi="Arial"/>
          <w:spacing w:val="-3"/>
        </w:rPr>
        <w:t>a</w:t>
      </w:r>
      <w:r>
        <w:rPr>
          <w:rFonts w:ascii="Arial" w:hAnsi="Arial"/>
        </w:rPr>
        <w:t>ch</w:t>
      </w:r>
      <w:r>
        <w:rPr>
          <w:rFonts w:ascii="Arial" w:hAnsi="Arial"/>
          <w:spacing w:val="10"/>
        </w:rPr>
        <w:t xml:space="preserve"> </w:t>
      </w:r>
      <w:r>
        <w:rPr>
          <w:rFonts w:ascii="Arial" w:hAnsi="Arial"/>
          <w:spacing w:val="-3"/>
        </w:rPr>
        <w:t>o</w:t>
      </w:r>
      <w:r>
        <w:rPr>
          <w:rFonts w:ascii="Arial" w:hAnsi="Arial"/>
        </w:rPr>
        <w:t>f</w:t>
      </w:r>
      <w:r>
        <w:rPr>
          <w:rFonts w:ascii="Arial" w:hAnsi="Arial"/>
          <w:spacing w:val="9"/>
        </w:rPr>
        <w:t xml:space="preserve"> </w:t>
      </w:r>
      <w:r>
        <w:rPr>
          <w:rFonts w:ascii="Arial" w:hAnsi="Arial"/>
        </w:rPr>
        <w:t>t</w:t>
      </w:r>
      <w:r>
        <w:rPr>
          <w:rFonts w:ascii="Arial" w:hAnsi="Arial"/>
          <w:spacing w:val="-3"/>
        </w:rPr>
        <w:t>h</w:t>
      </w:r>
      <w:r>
        <w:rPr>
          <w:rFonts w:ascii="Arial" w:hAnsi="Arial"/>
        </w:rPr>
        <w:t>e</w:t>
      </w:r>
      <w:r>
        <w:rPr>
          <w:rFonts w:ascii="Arial" w:hAnsi="Arial"/>
          <w:spacing w:val="10"/>
        </w:rPr>
        <w:t xml:space="preserve"> </w:t>
      </w:r>
      <w:r>
        <w:rPr>
          <w:rFonts w:ascii="Arial" w:hAnsi="Arial"/>
        </w:rPr>
        <w:t>co</w:t>
      </w:r>
      <w:r>
        <w:rPr>
          <w:rFonts w:ascii="Arial" w:hAnsi="Arial"/>
          <w:spacing w:val="-3"/>
        </w:rPr>
        <w:t>u</w:t>
      </w:r>
      <w:r>
        <w:rPr>
          <w:rFonts w:ascii="Arial" w:hAnsi="Arial"/>
        </w:rPr>
        <w:t>rt</w:t>
      </w:r>
      <w:r>
        <w:rPr>
          <w:rFonts w:ascii="Arial" w:hAnsi="Arial"/>
          <w:spacing w:val="9"/>
        </w:rPr>
        <w:t xml:space="preserve"> </w:t>
      </w:r>
      <w:r>
        <w:rPr>
          <w:rFonts w:ascii="Arial" w:hAnsi="Arial"/>
        </w:rPr>
        <w:t>below</w:t>
      </w:r>
      <w:r>
        <w:rPr>
          <w:rFonts w:ascii="Arial" w:hAnsi="Arial"/>
          <w:spacing w:val="6"/>
        </w:rPr>
        <w:t xml:space="preserve"> </w:t>
      </w:r>
      <w:r>
        <w:rPr>
          <w:rFonts w:ascii="Arial" w:hAnsi="Arial"/>
        </w:rPr>
        <w:t xml:space="preserve">to </w:t>
      </w:r>
      <w:r>
        <w:rPr>
          <w:rFonts w:ascii="Arial" w:hAnsi="Arial"/>
        </w:rPr>
        <w:t>this aspect of the case has not been quite proper, and, to avoid any possible misconception, we would desire to state succinctly what the correct legal position is. Once it is admitted, as in fact has been admitted in the present case, that the temple is a</w:t>
      </w:r>
      <w:r>
        <w:rPr>
          <w:rFonts w:ascii="Arial" w:hAnsi="Arial"/>
        </w:rPr>
        <w:t xml:space="preserve"> public place of worship of the Hindus, the right of entrance into the </w:t>
      </w:r>
      <w:r>
        <w:rPr>
          <w:rFonts w:ascii="Arial" w:hAnsi="Arial"/>
        </w:rPr>
        <w:t>t</w:t>
      </w:r>
      <w:r>
        <w:rPr>
          <w:rFonts w:ascii="Arial" w:hAnsi="Arial"/>
          <w:spacing w:val="-1"/>
        </w:rPr>
        <w:t>e</w:t>
      </w:r>
      <w:r>
        <w:rPr>
          <w:rFonts w:ascii="Arial" w:hAnsi="Arial"/>
          <w:spacing w:val="-2"/>
        </w:rPr>
        <w:t>m</w:t>
      </w:r>
      <w:r>
        <w:rPr>
          <w:rFonts w:ascii="Arial" w:hAnsi="Arial"/>
          <w:spacing w:val="-1"/>
        </w:rPr>
        <w:t>pl</w:t>
      </w:r>
      <w:r>
        <w:rPr>
          <w:rFonts w:ascii="Arial" w:hAnsi="Arial"/>
        </w:rPr>
        <w:t>e</w:t>
      </w:r>
      <w:r>
        <w:rPr>
          <w:rFonts w:ascii="Arial" w:hAnsi="Arial"/>
          <w:spacing w:val="31"/>
        </w:rPr>
        <w:t xml:space="preserve"> </w:t>
      </w:r>
      <w:r>
        <w:rPr>
          <w:rFonts w:ascii="Arial" w:hAnsi="Arial"/>
        </w:rPr>
        <w:t>f</w:t>
      </w:r>
      <w:r>
        <w:rPr>
          <w:rFonts w:ascii="Arial" w:hAnsi="Arial"/>
          <w:spacing w:val="-1"/>
        </w:rPr>
        <w:t>o</w:t>
      </w:r>
      <w:r>
        <w:rPr>
          <w:rFonts w:ascii="Arial" w:hAnsi="Arial"/>
        </w:rPr>
        <w:t>r</w:t>
      </w:r>
      <w:r>
        <w:rPr>
          <w:rFonts w:ascii="Arial" w:hAnsi="Arial"/>
          <w:spacing w:val="32"/>
        </w:rPr>
        <w:t xml:space="preserve"> </w:t>
      </w:r>
      <w:r>
        <w:rPr>
          <w:rFonts w:ascii="Arial" w:hAnsi="Arial"/>
          <w:spacing w:val="-1"/>
        </w:rPr>
        <w:t>p</w:t>
      </w:r>
      <w:r>
        <w:rPr>
          <w:rFonts w:ascii="Arial" w:hAnsi="Arial"/>
          <w:spacing w:val="-3"/>
        </w:rPr>
        <w:t>u</w:t>
      </w:r>
      <w:r>
        <w:rPr>
          <w:rFonts w:ascii="Arial" w:hAnsi="Arial"/>
        </w:rPr>
        <w:t>rpo</w:t>
      </w:r>
      <w:r>
        <w:rPr>
          <w:rFonts w:ascii="Arial" w:hAnsi="Arial"/>
          <w:spacing w:val="-2"/>
        </w:rPr>
        <w:t>s</w:t>
      </w:r>
      <w:r>
        <w:rPr>
          <w:rFonts w:ascii="Arial" w:hAnsi="Arial"/>
          <w:spacing w:val="-3"/>
        </w:rPr>
        <w:t>e</w:t>
      </w:r>
      <w:r>
        <w:rPr>
          <w:rFonts w:ascii="Arial" w:hAnsi="Arial"/>
        </w:rPr>
        <w:t>s</w:t>
      </w:r>
      <w:r>
        <w:rPr>
          <w:rFonts w:ascii="Arial" w:hAnsi="Arial"/>
          <w:spacing w:val="33"/>
        </w:rPr>
        <w:t xml:space="preserve"> </w:t>
      </w:r>
      <w:r>
        <w:rPr>
          <w:rFonts w:ascii="Arial" w:hAnsi="Arial"/>
          <w:spacing w:val="-1"/>
        </w:rPr>
        <w:t>o</w:t>
      </w:r>
      <w:r>
        <w:rPr>
          <w:rFonts w:ascii="Arial" w:hAnsi="Arial"/>
        </w:rPr>
        <w:t>f</w:t>
      </w:r>
      <w:r>
        <w:rPr>
          <w:rFonts w:ascii="Arial" w:hAnsi="Arial"/>
          <w:spacing w:val="33"/>
        </w:rPr>
        <w:t xml:space="preserve"> </w:t>
      </w:r>
      <w:r>
        <w:rPr>
          <w:rFonts w:ascii="Arial" w:hAnsi="Arial"/>
          <w:spacing w:val="3"/>
          <w:w w:val="40"/>
        </w:rPr>
        <w:t>‗</w:t>
      </w:r>
      <w:r>
        <w:rPr>
          <w:rFonts w:ascii="Arial" w:hAnsi="Arial"/>
        </w:rPr>
        <w:t>da</w:t>
      </w:r>
      <w:r>
        <w:rPr>
          <w:rFonts w:ascii="Arial" w:hAnsi="Arial"/>
          <w:spacing w:val="-3"/>
        </w:rPr>
        <w:t>r</w:t>
      </w:r>
      <w:r>
        <w:rPr>
          <w:rFonts w:ascii="Arial" w:hAnsi="Arial"/>
        </w:rPr>
        <w:t>shan‘</w:t>
      </w:r>
      <w:r>
        <w:rPr>
          <w:rFonts w:ascii="Arial" w:hAnsi="Arial"/>
          <w:spacing w:val="32"/>
        </w:rPr>
        <w:t xml:space="preserve"> </w:t>
      </w:r>
      <w:r>
        <w:rPr>
          <w:rFonts w:ascii="Arial" w:hAnsi="Arial"/>
        </w:rPr>
        <w:t>or</w:t>
      </w:r>
      <w:r>
        <w:rPr>
          <w:rFonts w:ascii="Arial" w:hAnsi="Arial"/>
          <w:spacing w:val="32"/>
        </w:rPr>
        <w:t xml:space="preserve"> </w:t>
      </w:r>
      <w:r>
        <w:rPr>
          <w:rFonts w:ascii="Arial" w:hAnsi="Arial"/>
          <w:spacing w:val="-4"/>
        </w:rPr>
        <w:t>w</w:t>
      </w:r>
      <w:r>
        <w:rPr>
          <w:rFonts w:ascii="Arial" w:hAnsi="Arial"/>
        </w:rPr>
        <w:t>orship</w:t>
      </w:r>
      <w:r>
        <w:rPr>
          <w:rFonts w:ascii="Arial" w:hAnsi="Arial"/>
          <w:spacing w:val="32"/>
        </w:rPr>
        <w:t xml:space="preserve"> </w:t>
      </w:r>
      <w:r>
        <w:rPr>
          <w:rFonts w:ascii="Arial" w:hAnsi="Arial"/>
          <w:spacing w:val="-3"/>
        </w:rPr>
        <w:t>i</w:t>
      </w:r>
      <w:r>
        <w:rPr>
          <w:rFonts w:ascii="Arial" w:hAnsi="Arial"/>
        </w:rPr>
        <w:t>s</w:t>
      </w:r>
      <w:r>
        <w:rPr>
          <w:rFonts w:ascii="Arial" w:hAnsi="Arial"/>
          <w:spacing w:val="33"/>
        </w:rPr>
        <w:t xml:space="preserve"> </w:t>
      </w:r>
      <w:r>
        <w:rPr>
          <w:rFonts w:ascii="Arial" w:hAnsi="Arial"/>
        </w:rPr>
        <w:t>a</w:t>
      </w:r>
      <w:r>
        <w:rPr>
          <w:rFonts w:ascii="Arial" w:hAnsi="Arial"/>
          <w:spacing w:val="32"/>
        </w:rPr>
        <w:t xml:space="preserve"> </w:t>
      </w:r>
      <w:r>
        <w:rPr>
          <w:rFonts w:ascii="Arial" w:hAnsi="Arial"/>
        </w:rPr>
        <w:t xml:space="preserve">right </w:t>
      </w:r>
      <w:r>
        <w:rPr>
          <w:rFonts w:ascii="Arial" w:hAnsi="Arial"/>
        </w:rPr>
        <w:t xml:space="preserve">which flows from the nature of the institution itself, and for the acquisition of such rights, no custom or immemorial usage need </w:t>
      </w:r>
      <w:r>
        <w:rPr>
          <w:rFonts w:ascii="Arial" w:hAnsi="Arial"/>
        </w:rPr>
        <w:t xml:space="preserve">be asserted or proved. As the Panda as well as his client are both Hindu worshippers, there can be nothing wrong in the one‘s accompanying the other inside the temple and subject to what we will state presently, the fact that the pilgrim, being a stranger </w:t>
      </w:r>
      <w:r>
        <w:rPr>
          <w:rFonts w:ascii="Arial" w:hAnsi="Arial"/>
        </w:rPr>
        <w:t xml:space="preserve">to the spot, takes the assistance of </w:t>
      </w:r>
      <w:r>
        <w:rPr>
          <w:rFonts w:ascii="Arial" w:hAnsi="Arial"/>
        </w:rPr>
        <w:t>t</w:t>
      </w:r>
      <w:r>
        <w:rPr>
          <w:rFonts w:ascii="Arial" w:hAnsi="Arial"/>
          <w:spacing w:val="-1"/>
        </w:rPr>
        <w:t>h</w:t>
      </w:r>
      <w:r>
        <w:rPr>
          <w:rFonts w:ascii="Arial" w:hAnsi="Arial"/>
        </w:rPr>
        <w:t>e</w:t>
      </w:r>
      <w:r>
        <w:rPr>
          <w:rFonts w:ascii="Arial" w:hAnsi="Arial"/>
          <w:spacing w:val="22"/>
        </w:rPr>
        <w:t xml:space="preserve"> </w:t>
      </w:r>
      <w:r>
        <w:rPr>
          <w:rFonts w:ascii="Arial" w:hAnsi="Arial"/>
          <w:spacing w:val="-3"/>
        </w:rPr>
        <w:t>P</w:t>
      </w:r>
      <w:r>
        <w:rPr>
          <w:rFonts w:ascii="Arial" w:hAnsi="Arial"/>
          <w:spacing w:val="-1"/>
        </w:rPr>
        <w:t>and</w:t>
      </w:r>
      <w:r>
        <w:rPr>
          <w:rFonts w:ascii="Arial" w:hAnsi="Arial"/>
        </w:rPr>
        <w:t>a</w:t>
      </w:r>
      <w:r>
        <w:rPr>
          <w:rFonts w:ascii="Arial" w:hAnsi="Arial"/>
          <w:spacing w:val="22"/>
        </w:rPr>
        <w:t xml:space="preserve"> </w:t>
      </w:r>
      <w:r>
        <w:rPr>
          <w:rFonts w:ascii="Arial" w:hAnsi="Arial"/>
          <w:spacing w:val="-1"/>
        </w:rPr>
        <w:t>i</w:t>
      </w:r>
      <w:r>
        <w:rPr>
          <w:rFonts w:ascii="Arial" w:hAnsi="Arial"/>
        </w:rPr>
        <w:t>n</w:t>
      </w:r>
      <w:r>
        <w:rPr>
          <w:rFonts w:ascii="Arial" w:hAnsi="Arial"/>
          <w:spacing w:val="20"/>
        </w:rPr>
        <w:t xml:space="preserve"> </w:t>
      </w:r>
      <w:r>
        <w:rPr>
          <w:rFonts w:ascii="Arial" w:hAnsi="Arial"/>
          <w:spacing w:val="-2"/>
        </w:rPr>
        <w:t>t</w:t>
      </w:r>
      <w:r>
        <w:rPr>
          <w:rFonts w:ascii="Arial" w:hAnsi="Arial"/>
          <w:spacing w:val="-1"/>
        </w:rPr>
        <w:t>h</w:t>
      </w:r>
      <w:r>
        <w:rPr>
          <w:rFonts w:ascii="Arial" w:hAnsi="Arial"/>
        </w:rPr>
        <w:t>e</w:t>
      </w:r>
      <w:r>
        <w:rPr>
          <w:rFonts w:ascii="Arial" w:hAnsi="Arial"/>
          <w:spacing w:val="22"/>
        </w:rPr>
        <w:t xml:space="preserve"> </w:t>
      </w:r>
      <w:r>
        <w:rPr>
          <w:rFonts w:ascii="Arial" w:hAnsi="Arial"/>
          <w:spacing w:val="-4"/>
        </w:rPr>
        <w:t>m</w:t>
      </w:r>
      <w:r>
        <w:rPr>
          <w:rFonts w:ascii="Arial" w:hAnsi="Arial"/>
          <w:spacing w:val="-1"/>
        </w:rPr>
        <w:t>a</w:t>
      </w:r>
      <w:r>
        <w:rPr>
          <w:rFonts w:ascii="Arial" w:hAnsi="Arial"/>
        </w:rPr>
        <w:t>tt</w:t>
      </w:r>
      <w:r>
        <w:rPr>
          <w:rFonts w:ascii="Arial" w:hAnsi="Arial"/>
          <w:spacing w:val="-3"/>
        </w:rPr>
        <w:t>e</w:t>
      </w:r>
      <w:r>
        <w:rPr>
          <w:rFonts w:ascii="Arial" w:hAnsi="Arial"/>
        </w:rPr>
        <w:t>r</w:t>
      </w:r>
      <w:r>
        <w:rPr>
          <w:rFonts w:ascii="Arial" w:hAnsi="Arial"/>
          <w:spacing w:val="22"/>
        </w:rPr>
        <w:t xml:space="preserve"> </w:t>
      </w:r>
      <w:r>
        <w:rPr>
          <w:rFonts w:ascii="Arial" w:hAnsi="Arial"/>
          <w:spacing w:val="-3"/>
        </w:rPr>
        <w:t>o</w:t>
      </w:r>
      <w:r>
        <w:rPr>
          <w:rFonts w:ascii="Arial" w:hAnsi="Arial"/>
        </w:rPr>
        <w:t>f</w:t>
      </w:r>
      <w:r>
        <w:rPr>
          <w:rFonts w:ascii="Arial" w:hAnsi="Arial"/>
          <w:spacing w:val="23"/>
        </w:rPr>
        <w:t xml:space="preserve"> </w:t>
      </w:r>
      <w:r>
        <w:rPr>
          <w:rFonts w:ascii="Arial" w:hAnsi="Arial"/>
          <w:spacing w:val="4"/>
          <w:w w:val="40"/>
        </w:rPr>
        <w:t>‗</w:t>
      </w:r>
      <w:r>
        <w:rPr>
          <w:rFonts w:ascii="Arial" w:hAnsi="Arial"/>
        </w:rPr>
        <w:t>da</w:t>
      </w:r>
      <w:r>
        <w:rPr>
          <w:rFonts w:ascii="Arial" w:hAnsi="Arial"/>
          <w:spacing w:val="-3"/>
        </w:rPr>
        <w:t>r</w:t>
      </w:r>
      <w:r>
        <w:rPr>
          <w:rFonts w:ascii="Arial" w:hAnsi="Arial"/>
        </w:rPr>
        <w:t>sha</w:t>
      </w:r>
      <w:r>
        <w:rPr>
          <w:rFonts w:ascii="Arial" w:hAnsi="Arial"/>
          <w:spacing w:val="-3"/>
        </w:rPr>
        <w:t>n</w:t>
      </w:r>
      <w:r>
        <w:rPr>
          <w:rFonts w:ascii="Arial" w:hAnsi="Arial"/>
        </w:rPr>
        <w:t>‘</w:t>
      </w:r>
      <w:r>
        <w:rPr>
          <w:rFonts w:ascii="Arial" w:hAnsi="Arial"/>
          <w:spacing w:val="23"/>
        </w:rPr>
        <w:t xml:space="preserve"> </w:t>
      </w:r>
      <w:r>
        <w:rPr>
          <w:rFonts w:ascii="Arial" w:hAnsi="Arial"/>
          <w:spacing w:val="-3"/>
        </w:rPr>
        <w:t>o</w:t>
      </w:r>
      <w:r>
        <w:rPr>
          <w:rFonts w:ascii="Arial" w:hAnsi="Arial"/>
        </w:rPr>
        <w:t>r</w:t>
      </w:r>
      <w:r>
        <w:rPr>
          <w:rFonts w:ascii="Arial" w:hAnsi="Arial"/>
          <w:spacing w:val="22"/>
        </w:rPr>
        <w:t xml:space="preserve"> </w:t>
      </w:r>
      <w:r>
        <w:rPr>
          <w:rFonts w:ascii="Arial" w:hAnsi="Arial"/>
          <w:spacing w:val="-4"/>
        </w:rPr>
        <w:t>w</w:t>
      </w:r>
      <w:r>
        <w:rPr>
          <w:rFonts w:ascii="Arial" w:hAnsi="Arial"/>
        </w:rPr>
        <w:t>orship</w:t>
      </w:r>
      <w:r>
        <w:rPr>
          <w:rFonts w:ascii="Arial" w:hAnsi="Arial"/>
          <w:spacing w:val="22"/>
        </w:rPr>
        <w:t xml:space="preserve"> </w:t>
      </w:r>
      <w:r>
        <w:rPr>
          <w:rFonts w:ascii="Arial" w:hAnsi="Arial"/>
          <w:spacing w:val="-3"/>
        </w:rPr>
        <w:t>o</w:t>
      </w:r>
      <w:r>
        <w:rPr>
          <w:rFonts w:ascii="Arial" w:hAnsi="Arial"/>
        </w:rPr>
        <w:t>f</w:t>
      </w:r>
      <w:r>
        <w:rPr>
          <w:rFonts w:ascii="Arial" w:hAnsi="Arial"/>
          <w:spacing w:val="21"/>
        </w:rPr>
        <w:t xml:space="preserve"> </w:t>
      </w:r>
      <w:r>
        <w:rPr>
          <w:rFonts w:ascii="Arial" w:hAnsi="Arial"/>
        </w:rPr>
        <w:t xml:space="preserve">the </w:t>
      </w:r>
      <w:r>
        <w:rPr>
          <w:rFonts w:ascii="Arial" w:hAnsi="Arial"/>
        </w:rPr>
        <w:t xml:space="preserve">deities or that the Panda gets remuneration from his client for the services he renders, does not in any way affect the legal rights of either of them. In law, it makes no difference whether one performs the act of worship himself or is aided or guided by </w:t>
      </w:r>
      <w:r>
        <w:rPr>
          <w:rFonts w:ascii="Arial" w:hAnsi="Arial"/>
        </w:rPr>
        <w:t>another in the performance of them. If the Pandas claim any special right which is not enjoyed ordinarily by members of the Hindu public, they would undoubtedly have to establish such rights on the basis of custom, usage or otherwise.</w:t>
      </w:r>
    </w:p>
    <w:p w:rsidR="003B2FC0" w:rsidRDefault="003B2FC0">
      <w:pPr>
        <w:jc w:val="both"/>
        <w:sectPr w:rsidR="003B2FC0">
          <w:headerReference w:type="default" r:id="rId188"/>
          <w:footerReference w:type="default" r:id="rId189"/>
          <w:pgSz w:w="12240" w:h="15840"/>
          <w:pgMar w:top="1360" w:right="1320" w:bottom="1680" w:left="1340" w:header="0" w:footer="1492" w:gutter="0"/>
          <w:pgNumType w:start="3"/>
          <w:cols w:space="720"/>
        </w:sectPr>
      </w:pPr>
    </w:p>
    <w:p w:rsidR="003B2FC0" w:rsidRDefault="003B2FC0">
      <w:pPr>
        <w:spacing w:before="6"/>
        <w:rPr>
          <w:sz w:val="14"/>
        </w:rPr>
      </w:pPr>
    </w:p>
    <w:p w:rsidR="003B2FC0" w:rsidRDefault="00052A49">
      <w:pPr>
        <w:pStyle w:val="BodyText"/>
        <w:spacing w:before="91"/>
        <w:ind w:left="1377" w:right="1394"/>
        <w:jc w:val="both"/>
        <w:rPr>
          <w:rFonts w:ascii="Arial"/>
        </w:rPr>
      </w:pPr>
      <w:r>
        <w:rPr>
          <w:rFonts w:ascii="Arial"/>
        </w:rPr>
        <w:t>This right of entry into a public temple is, however, not an unregulated or unrestricted right. It is open to the trustees of a public temple to regulate the time of public visits and fix certain hours of the day during which alone m</w:t>
      </w:r>
      <w:r>
        <w:rPr>
          <w:rFonts w:ascii="Arial"/>
        </w:rPr>
        <w:t xml:space="preserve">embers of the public would be allowed access to the shrine. The public may also be denied access to certain particularly sacred parts of the temple, </w:t>
      </w:r>
      <w:r>
        <w:rPr>
          <w:rFonts w:ascii="Arial"/>
          <w:i/>
        </w:rPr>
        <w:t>e.g</w:t>
      </w:r>
      <w:r>
        <w:rPr>
          <w:rFonts w:ascii="Arial"/>
        </w:rPr>
        <w:t>., the inner sanctuary or as it is</w:t>
      </w:r>
      <w:r>
        <w:rPr>
          <w:rFonts w:ascii="Arial"/>
          <w:spacing w:val="-17"/>
        </w:rPr>
        <w:t xml:space="preserve"> </w:t>
      </w:r>
      <w:r>
        <w:rPr>
          <w:rFonts w:ascii="Arial"/>
        </w:rPr>
        <w:t>said the</w:t>
      </w:r>
    </w:p>
    <w:p w:rsidR="003B2FC0" w:rsidRDefault="00052A49">
      <w:pPr>
        <w:pStyle w:val="BodyText"/>
        <w:ind w:left="1377" w:right="1392"/>
        <w:jc w:val="both"/>
        <w:rPr>
          <w:rFonts w:ascii="Arial" w:hAnsi="Arial"/>
        </w:rPr>
      </w:pPr>
      <w:r>
        <w:rPr>
          <w:rFonts w:ascii="Arial" w:hAnsi="Arial"/>
          <w:w w:val="40"/>
        </w:rPr>
        <w:t>‗</w:t>
      </w:r>
      <w:r>
        <w:rPr>
          <w:rFonts w:ascii="Arial" w:hAnsi="Arial"/>
          <w:spacing w:val="-2"/>
        </w:rPr>
        <w:t>H</w:t>
      </w:r>
      <w:r>
        <w:rPr>
          <w:rFonts w:ascii="Arial" w:hAnsi="Arial"/>
        </w:rPr>
        <w:t>oly</w:t>
      </w:r>
      <w:r>
        <w:rPr>
          <w:rFonts w:ascii="Arial" w:hAnsi="Arial"/>
        </w:rPr>
        <w:t xml:space="preserve"> </w:t>
      </w:r>
      <w:r>
        <w:rPr>
          <w:rFonts w:ascii="Arial" w:hAnsi="Arial"/>
          <w:spacing w:val="-4"/>
        </w:rPr>
        <w:t xml:space="preserve"> </w:t>
      </w:r>
      <w:r>
        <w:rPr>
          <w:rFonts w:ascii="Arial" w:hAnsi="Arial"/>
        </w:rPr>
        <w:t>of</w:t>
      </w:r>
      <w:r>
        <w:rPr>
          <w:rFonts w:ascii="Arial" w:hAnsi="Arial"/>
        </w:rPr>
        <w:t xml:space="preserve"> </w:t>
      </w:r>
      <w:r>
        <w:rPr>
          <w:rFonts w:ascii="Arial" w:hAnsi="Arial"/>
          <w:spacing w:val="-2"/>
        </w:rPr>
        <w:t xml:space="preserve"> </w:t>
      </w:r>
      <w:r>
        <w:rPr>
          <w:rFonts w:ascii="Arial" w:hAnsi="Arial"/>
          <w:spacing w:val="-2"/>
        </w:rPr>
        <w:t>H</w:t>
      </w:r>
      <w:r>
        <w:rPr>
          <w:rFonts w:ascii="Arial" w:hAnsi="Arial"/>
        </w:rPr>
        <w:t>olie</w:t>
      </w:r>
      <w:r>
        <w:rPr>
          <w:rFonts w:ascii="Arial" w:hAnsi="Arial"/>
          <w:spacing w:val="2"/>
        </w:rPr>
        <w:t>s</w:t>
      </w:r>
      <w:r>
        <w:rPr>
          <w:rFonts w:ascii="Arial" w:hAnsi="Arial"/>
        </w:rPr>
        <w:t>‘</w:t>
      </w:r>
      <w:r>
        <w:rPr>
          <w:rFonts w:ascii="Arial" w:hAnsi="Arial"/>
        </w:rPr>
        <w:t xml:space="preserve"> </w:t>
      </w:r>
      <w:r>
        <w:rPr>
          <w:rFonts w:ascii="Arial" w:hAnsi="Arial"/>
          <w:spacing w:val="-2"/>
        </w:rPr>
        <w:t xml:space="preserve"> </w:t>
      </w:r>
      <w:r>
        <w:rPr>
          <w:rFonts w:ascii="Arial" w:hAnsi="Arial"/>
          <w:spacing w:val="-2"/>
        </w:rPr>
        <w:t>w</w:t>
      </w:r>
      <w:r>
        <w:rPr>
          <w:rFonts w:ascii="Arial" w:hAnsi="Arial"/>
        </w:rPr>
        <w:t>here</w:t>
      </w:r>
      <w:r>
        <w:rPr>
          <w:rFonts w:ascii="Arial" w:hAnsi="Arial"/>
        </w:rPr>
        <w:t xml:space="preserve"> </w:t>
      </w:r>
      <w:r>
        <w:rPr>
          <w:rFonts w:ascii="Arial" w:hAnsi="Arial"/>
          <w:spacing w:val="-3"/>
        </w:rPr>
        <w:t xml:space="preserve"> </w:t>
      </w:r>
      <w:r>
        <w:rPr>
          <w:rFonts w:ascii="Arial" w:hAnsi="Arial"/>
        </w:rPr>
        <w:t>the</w:t>
      </w:r>
      <w:r>
        <w:rPr>
          <w:rFonts w:ascii="Arial" w:hAnsi="Arial"/>
        </w:rPr>
        <w:t xml:space="preserve"> </w:t>
      </w:r>
      <w:r>
        <w:rPr>
          <w:rFonts w:ascii="Arial" w:hAnsi="Arial"/>
          <w:spacing w:val="-3"/>
        </w:rPr>
        <w:t xml:space="preserve"> </w:t>
      </w:r>
      <w:r>
        <w:rPr>
          <w:rFonts w:ascii="Arial" w:hAnsi="Arial"/>
        </w:rPr>
        <w:t>de</w:t>
      </w:r>
      <w:r>
        <w:rPr>
          <w:rFonts w:ascii="Arial" w:hAnsi="Arial"/>
          <w:spacing w:val="-3"/>
        </w:rPr>
        <w:t>i</w:t>
      </w:r>
      <w:r>
        <w:rPr>
          <w:rFonts w:ascii="Arial" w:hAnsi="Arial"/>
        </w:rPr>
        <w:t>ty</w:t>
      </w:r>
      <w:r>
        <w:rPr>
          <w:rFonts w:ascii="Arial" w:hAnsi="Arial"/>
        </w:rPr>
        <w:t xml:space="preserve"> </w:t>
      </w:r>
      <w:r>
        <w:rPr>
          <w:rFonts w:ascii="Arial" w:hAnsi="Arial"/>
          <w:spacing w:val="-6"/>
        </w:rPr>
        <w:t xml:space="preserve"> </w:t>
      </w:r>
      <w:r>
        <w:rPr>
          <w:rFonts w:ascii="Arial" w:hAnsi="Arial"/>
        </w:rPr>
        <w:t>is</w:t>
      </w:r>
      <w:r>
        <w:rPr>
          <w:rFonts w:ascii="Arial" w:hAnsi="Arial"/>
        </w:rPr>
        <w:t xml:space="preserve"> </w:t>
      </w:r>
      <w:r>
        <w:rPr>
          <w:rFonts w:ascii="Arial" w:hAnsi="Arial"/>
          <w:spacing w:val="-2"/>
        </w:rPr>
        <w:t xml:space="preserve"> </w:t>
      </w:r>
      <w:r>
        <w:rPr>
          <w:rFonts w:ascii="Arial" w:hAnsi="Arial"/>
        </w:rPr>
        <w:t>act</w:t>
      </w:r>
      <w:r>
        <w:rPr>
          <w:rFonts w:ascii="Arial" w:hAnsi="Arial"/>
          <w:spacing w:val="-3"/>
        </w:rPr>
        <w:t>u</w:t>
      </w:r>
      <w:r>
        <w:rPr>
          <w:rFonts w:ascii="Arial" w:hAnsi="Arial"/>
        </w:rPr>
        <w:t>ally</w:t>
      </w:r>
      <w:r>
        <w:rPr>
          <w:rFonts w:ascii="Arial" w:hAnsi="Arial"/>
        </w:rPr>
        <w:t xml:space="preserve"> </w:t>
      </w:r>
      <w:r>
        <w:rPr>
          <w:rFonts w:ascii="Arial" w:hAnsi="Arial"/>
          <w:spacing w:val="-6"/>
        </w:rPr>
        <w:t xml:space="preserve"> </w:t>
      </w:r>
      <w:r>
        <w:rPr>
          <w:rFonts w:ascii="Arial" w:hAnsi="Arial"/>
        </w:rPr>
        <w:t>locate</w:t>
      </w:r>
      <w:r>
        <w:rPr>
          <w:rFonts w:ascii="Arial" w:hAnsi="Arial"/>
          <w:spacing w:val="-3"/>
        </w:rPr>
        <w:t>d</w:t>
      </w:r>
      <w:r>
        <w:rPr>
          <w:rFonts w:ascii="Arial" w:hAnsi="Arial"/>
        </w:rPr>
        <w:t xml:space="preserve">. </w:t>
      </w:r>
      <w:r>
        <w:rPr>
          <w:rFonts w:ascii="Arial" w:hAnsi="Arial"/>
        </w:rPr>
        <w:t>Quite apart from these, it is always competent to the temple authorities to make and enforce rules to ensure good order and decency of worship and prevent overcrowding in a temple. Good conduct or</w:t>
      </w:r>
      <w:r>
        <w:rPr>
          <w:rFonts w:ascii="Arial" w:hAnsi="Arial"/>
          <w:spacing w:val="58"/>
        </w:rPr>
        <w:t xml:space="preserve"> </w:t>
      </w:r>
      <w:r>
        <w:rPr>
          <w:rFonts w:ascii="Arial" w:hAnsi="Arial"/>
        </w:rPr>
        <w:t>orderly behaviour is always an obligatory condition of ad</w:t>
      </w:r>
      <w:r>
        <w:rPr>
          <w:rFonts w:ascii="Arial" w:hAnsi="Arial"/>
        </w:rPr>
        <w:t>mission into a temple [</w:t>
      </w:r>
      <w:r>
        <w:rPr>
          <w:rFonts w:ascii="Arial" w:hAnsi="Arial"/>
          <w:i/>
        </w:rPr>
        <w:t xml:space="preserve">Vide Kalidas Jivram </w:t>
      </w:r>
      <w:r>
        <w:rPr>
          <w:rFonts w:ascii="Arial" w:hAnsi="Arial"/>
        </w:rPr>
        <w:t xml:space="preserve">v. </w:t>
      </w:r>
      <w:r>
        <w:rPr>
          <w:rFonts w:ascii="Arial" w:hAnsi="Arial"/>
          <w:i/>
        </w:rPr>
        <w:t>Gor Parjaram</w:t>
      </w:r>
      <w:r>
        <w:rPr>
          <w:rFonts w:ascii="Arial" w:hAnsi="Arial"/>
        </w:rPr>
        <w:t xml:space="preserve">, I.L.R. 15 Bom. p. 309; </w:t>
      </w:r>
      <w:r>
        <w:rPr>
          <w:rFonts w:ascii="Arial" w:hAnsi="Arial"/>
          <w:i/>
        </w:rPr>
        <w:t xml:space="preserve">Thackeray </w:t>
      </w:r>
      <w:r>
        <w:rPr>
          <w:rFonts w:ascii="Arial" w:hAnsi="Arial"/>
          <w:spacing w:val="-4"/>
        </w:rPr>
        <w:t xml:space="preserve">v. </w:t>
      </w:r>
      <w:r>
        <w:rPr>
          <w:rFonts w:ascii="Arial" w:hAnsi="Arial"/>
          <w:i/>
        </w:rPr>
        <w:t>Harbhum</w:t>
      </w:r>
      <w:r>
        <w:rPr>
          <w:rFonts w:ascii="Arial" w:hAnsi="Arial"/>
        </w:rPr>
        <w:t>, I.L.R. 8 Bom. p. 432], and this principle has been accepted by and recognised in the Shri Badrinath Temple Act, section 25 of which provides for framin</w:t>
      </w:r>
      <w:r>
        <w:rPr>
          <w:rFonts w:ascii="Arial" w:hAnsi="Arial"/>
        </w:rPr>
        <w:t xml:space="preserve">g of bye-laws by the temple committee </w:t>
      </w:r>
      <w:r>
        <w:rPr>
          <w:rFonts w:ascii="Arial" w:hAnsi="Arial"/>
          <w:i/>
        </w:rPr>
        <w:t xml:space="preserve">inter alia </w:t>
      </w:r>
      <w:r>
        <w:rPr>
          <w:rFonts w:ascii="Arial" w:hAnsi="Arial"/>
        </w:rPr>
        <w:t>for maintenance of order inside the temple and regulating the entry of persons within it [</w:t>
      </w:r>
      <w:r>
        <w:rPr>
          <w:rFonts w:ascii="Arial" w:hAnsi="Arial"/>
          <w:i/>
        </w:rPr>
        <w:t xml:space="preserve">Vide </w:t>
      </w:r>
      <w:r>
        <w:rPr>
          <w:rFonts w:ascii="Arial" w:hAnsi="Arial"/>
        </w:rPr>
        <w:t>Section 25(1)(m)].</w:t>
      </w:r>
    </w:p>
    <w:p w:rsidR="003B2FC0" w:rsidRDefault="003B2FC0">
      <w:pPr>
        <w:spacing w:before="2"/>
        <w:rPr>
          <w:sz w:val="28"/>
        </w:rPr>
      </w:pPr>
    </w:p>
    <w:p w:rsidR="003B2FC0" w:rsidRDefault="00052A49">
      <w:pPr>
        <w:pStyle w:val="BodyText"/>
        <w:ind w:left="1377" w:right="1393"/>
        <w:jc w:val="both"/>
        <w:rPr>
          <w:rFonts w:ascii="Arial" w:hAnsi="Arial"/>
        </w:rPr>
      </w:pPr>
      <w:r>
        <w:rPr>
          <w:rFonts w:ascii="Arial" w:hAnsi="Arial"/>
        </w:rPr>
        <w:t>The true position, therefore, is that the plaintiffs‘ right of entering the temple along wit</w:t>
      </w:r>
      <w:r>
        <w:rPr>
          <w:rFonts w:ascii="Arial" w:hAnsi="Arial"/>
        </w:rPr>
        <w:t>h their Yajmans is not a precarious or a permissive right depending for its existence upon the arbitrary discretion of the temple authorities; it is a legal right in the true sense of the expression but it can be exercised subject to the restrictions which</w:t>
      </w:r>
      <w:r>
        <w:rPr>
          <w:rFonts w:ascii="Arial" w:hAnsi="Arial"/>
        </w:rPr>
        <w:t xml:space="preserve"> the temple committee may impose in good faith for maintenance of order and decorum within the temple and for ensuring proper performance of customary worship. In our opinion, the plaintiffs are entitled to a declaration in this</w:t>
      </w:r>
      <w:r>
        <w:rPr>
          <w:rFonts w:ascii="Arial" w:hAnsi="Arial"/>
          <w:spacing w:val="-15"/>
        </w:rPr>
        <w:t xml:space="preserve"> </w:t>
      </w:r>
      <w:r>
        <w:rPr>
          <w:rFonts w:ascii="Arial" w:hAnsi="Arial"/>
        </w:rPr>
        <w:t>form.‖</w:t>
      </w:r>
    </w:p>
    <w:p w:rsidR="003B2FC0" w:rsidRDefault="003B2FC0">
      <w:pPr>
        <w:spacing w:before="5"/>
        <w:rPr>
          <w:sz w:val="9"/>
        </w:rPr>
      </w:pPr>
    </w:p>
    <w:p w:rsidR="003B2FC0" w:rsidRDefault="00052A49">
      <w:pPr>
        <w:pStyle w:val="BodyText"/>
        <w:spacing w:before="92"/>
        <w:ind w:left="6046"/>
        <w:rPr>
          <w:rFonts w:ascii="Arial"/>
        </w:rPr>
      </w:pPr>
      <w:r>
        <w:rPr>
          <w:rFonts w:ascii="Arial"/>
        </w:rPr>
        <w:t>(at pp. 860-862)</w:t>
      </w:r>
    </w:p>
    <w:p w:rsidR="003B2FC0" w:rsidRDefault="003B2FC0">
      <w:pPr>
        <w:sectPr w:rsidR="003B2FC0">
          <w:headerReference w:type="default" r:id="rId190"/>
          <w:footerReference w:type="default" r:id="rId191"/>
          <w:pgSz w:w="12240" w:h="15840"/>
          <w:pgMar w:top="1500" w:right="1320" w:bottom="1680" w:left="1340" w:header="0" w:footer="1492" w:gutter="0"/>
          <w:pgNumType w:start="4"/>
          <w:cols w:space="720"/>
        </w:sectPr>
      </w:pPr>
    </w:p>
    <w:p w:rsidR="003B2FC0" w:rsidRDefault="00052A49">
      <w:pPr>
        <w:pStyle w:val="ListParagraph"/>
        <w:numPr>
          <w:ilvl w:val="0"/>
          <w:numId w:val="51"/>
        </w:numPr>
        <w:tabs>
          <w:tab w:val="left" w:pos="1234"/>
        </w:tabs>
        <w:spacing w:before="77" w:line="480" w:lineRule="auto"/>
        <w:ind w:right="401" w:firstLine="0"/>
        <w:jc w:val="both"/>
        <w:rPr>
          <w:sz w:val="28"/>
        </w:rPr>
      </w:pPr>
      <w:r>
        <w:rPr>
          <w:sz w:val="28"/>
        </w:rPr>
        <w:t xml:space="preserve">In chronological sequence, next comes the celebrated </w:t>
      </w:r>
      <w:r>
        <w:rPr>
          <w:b/>
          <w:sz w:val="28"/>
        </w:rPr>
        <w:t xml:space="preserve">Shirur Math </w:t>
      </w:r>
      <w:r>
        <w:rPr>
          <w:sz w:val="28"/>
        </w:rPr>
        <w:t xml:space="preserve">case, </w:t>
      </w:r>
      <w:r>
        <w:rPr>
          <w:i/>
          <w:sz w:val="28"/>
        </w:rPr>
        <w:t>viz.</w:t>
      </w:r>
      <w:r>
        <w:rPr>
          <w:sz w:val="28"/>
        </w:rPr>
        <w:t xml:space="preserve">, </w:t>
      </w:r>
      <w:r>
        <w:rPr>
          <w:b/>
          <w:sz w:val="28"/>
        </w:rPr>
        <w:t>The Commissioner, Hindu Religious Endowments, Madras v. Sri Lakshmindra Thirtha Swamiar of Sri Shirur Mutt</w:t>
      </w:r>
      <w:r>
        <w:rPr>
          <w:sz w:val="28"/>
        </w:rPr>
        <w:t>, 1954 SCR 1005. This case concerned itself with the settlement of a scheme in connection with a Math known as the Shirur Math, which, legislation in the form of the Madras Hindu Religious and Charitable Endowments Act, 1951, sought to interfere with. In h</w:t>
      </w:r>
      <w:r>
        <w:rPr>
          <w:sz w:val="28"/>
        </w:rPr>
        <w:t>istory, the Shirur Math is stated to be one of the eight Maths situated at Udipi in the district of South Kanara and reputed to have been founded by Shri Madhwacharya, the well-known exponent of dualistic theism in Hinduism. This judgment being a seminal a</w:t>
      </w:r>
      <w:r>
        <w:rPr>
          <w:sz w:val="28"/>
        </w:rPr>
        <w:t xml:space="preserve">uthority for a large number of aspects covered under Articles 25 and 26 needs to be quoted </w:t>
      </w:r>
      <w:r>
        <w:rPr>
          <w:i/>
          <w:sz w:val="28"/>
        </w:rPr>
        <w:t>in extenso</w:t>
      </w:r>
      <w:r>
        <w:rPr>
          <w:sz w:val="28"/>
        </w:rPr>
        <w:t>. The Court first dealt with the individual right contained in Article 25 as</w:t>
      </w:r>
      <w:r>
        <w:rPr>
          <w:spacing w:val="-3"/>
          <w:sz w:val="28"/>
        </w:rPr>
        <w:t xml:space="preserve"> </w:t>
      </w:r>
      <w:r>
        <w:rPr>
          <w:sz w:val="28"/>
        </w:rPr>
        <w:t>follows:</w:t>
      </w:r>
    </w:p>
    <w:p w:rsidR="003B2FC0" w:rsidRDefault="00052A49">
      <w:pPr>
        <w:pStyle w:val="BodyText"/>
        <w:spacing w:before="201"/>
        <w:ind w:left="1518" w:right="1540"/>
        <w:jc w:val="both"/>
        <w:rPr>
          <w:rFonts w:ascii="Arial" w:hAnsi="Arial"/>
        </w:rPr>
      </w:pPr>
      <w:r>
        <w:rPr>
          <w:rFonts w:ascii="Arial" w:hAnsi="Arial"/>
          <w:spacing w:val="-3"/>
          <w:w w:val="33"/>
        </w:rPr>
        <w:t>―</w:t>
      </w:r>
      <w:r>
        <w:rPr>
          <w:rFonts w:ascii="Arial" w:hAnsi="Arial"/>
          <w:spacing w:val="3"/>
        </w:rPr>
        <w:t>W</w:t>
      </w:r>
      <w:r>
        <w:rPr>
          <w:rFonts w:ascii="Arial" w:hAnsi="Arial"/>
        </w:rPr>
        <w:t>e</w:t>
      </w:r>
      <w:r>
        <w:rPr>
          <w:rFonts w:ascii="Arial" w:hAnsi="Arial"/>
        </w:rPr>
        <w:t xml:space="preserve"> </w:t>
      </w:r>
      <w:r>
        <w:rPr>
          <w:rFonts w:ascii="Arial" w:hAnsi="Arial"/>
        </w:rPr>
        <w:t>now</w:t>
      </w:r>
      <w:r>
        <w:rPr>
          <w:rFonts w:ascii="Arial" w:hAnsi="Arial"/>
        </w:rPr>
        <w:t xml:space="preserve"> </w:t>
      </w:r>
      <w:r>
        <w:rPr>
          <w:rFonts w:ascii="Arial" w:hAnsi="Arial"/>
        </w:rPr>
        <w:t>co</w:t>
      </w:r>
      <w:r>
        <w:rPr>
          <w:rFonts w:ascii="Arial" w:hAnsi="Arial"/>
          <w:spacing w:val="-2"/>
        </w:rPr>
        <w:t>m</w:t>
      </w:r>
      <w:r>
        <w:rPr>
          <w:rFonts w:ascii="Arial" w:hAnsi="Arial"/>
        </w:rPr>
        <w:t>e</w:t>
      </w:r>
      <w:r>
        <w:rPr>
          <w:rFonts w:ascii="Arial" w:hAnsi="Arial"/>
        </w:rPr>
        <w:t xml:space="preserve"> </w:t>
      </w:r>
      <w:r>
        <w:rPr>
          <w:rFonts w:ascii="Arial" w:hAnsi="Arial"/>
          <w:spacing w:val="-2"/>
        </w:rPr>
        <w:t>t</w:t>
      </w:r>
      <w:r>
        <w:rPr>
          <w:rFonts w:ascii="Arial" w:hAnsi="Arial"/>
        </w:rPr>
        <w:t>o</w:t>
      </w:r>
      <w:r>
        <w:rPr>
          <w:rFonts w:ascii="Arial" w:hAnsi="Arial"/>
        </w:rPr>
        <w:t xml:space="preserve"> </w:t>
      </w:r>
      <w:r>
        <w:rPr>
          <w:rFonts w:ascii="Arial" w:hAnsi="Arial"/>
        </w:rPr>
        <w:t>Art</w:t>
      </w:r>
      <w:r>
        <w:rPr>
          <w:rFonts w:ascii="Arial" w:hAnsi="Arial"/>
          <w:spacing w:val="-3"/>
        </w:rPr>
        <w:t>i</w:t>
      </w:r>
      <w:r>
        <w:rPr>
          <w:rFonts w:ascii="Arial" w:hAnsi="Arial"/>
        </w:rPr>
        <w:t>cle</w:t>
      </w:r>
      <w:r>
        <w:rPr>
          <w:rFonts w:ascii="Arial" w:hAnsi="Arial"/>
        </w:rPr>
        <w:t xml:space="preserve"> </w:t>
      </w:r>
      <w:r>
        <w:rPr>
          <w:rFonts w:ascii="Arial" w:hAnsi="Arial"/>
        </w:rPr>
        <w:t>25</w:t>
      </w:r>
      <w:r>
        <w:rPr>
          <w:rFonts w:ascii="Arial" w:hAnsi="Arial"/>
        </w:rPr>
        <w:t xml:space="preserve"> </w:t>
      </w:r>
      <w:r>
        <w:rPr>
          <w:rFonts w:ascii="Arial" w:hAnsi="Arial"/>
          <w:spacing w:val="-4"/>
        </w:rPr>
        <w:t>w</w:t>
      </w:r>
      <w:r>
        <w:rPr>
          <w:rFonts w:ascii="Arial" w:hAnsi="Arial"/>
        </w:rPr>
        <w:t>hich,</w:t>
      </w:r>
      <w:r>
        <w:rPr>
          <w:rFonts w:ascii="Arial" w:hAnsi="Arial"/>
        </w:rPr>
        <w:t xml:space="preserve"> </w:t>
      </w:r>
      <w:r>
        <w:rPr>
          <w:rFonts w:ascii="Arial" w:hAnsi="Arial"/>
          <w:spacing w:val="-3"/>
        </w:rPr>
        <w:t>a</w:t>
      </w:r>
      <w:r>
        <w:rPr>
          <w:rFonts w:ascii="Arial" w:hAnsi="Arial"/>
        </w:rPr>
        <w:t>s</w:t>
      </w:r>
      <w:r>
        <w:rPr>
          <w:rFonts w:ascii="Arial" w:hAnsi="Arial"/>
        </w:rPr>
        <w:t xml:space="preserve"> </w:t>
      </w:r>
      <w:r>
        <w:rPr>
          <w:rFonts w:ascii="Arial" w:hAnsi="Arial"/>
          <w:spacing w:val="-3"/>
        </w:rPr>
        <w:t>i</w:t>
      </w:r>
      <w:r>
        <w:rPr>
          <w:rFonts w:ascii="Arial" w:hAnsi="Arial"/>
        </w:rPr>
        <w:t>ts</w:t>
      </w:r>
      <w:r>
        <w:rPr>
          <w:rFonts w:ascii="Arial" w:hAnsi="Arial"/>
        </w:rPr>
        <w:t xml:space="preserve"> </w:t>
      </w:r>
      <w:r>
        <w:rPr>
          <w:rFonts w:ascii="Arial" w:hAnsi="Arial"/>
        </w:rPr>
        <w:t>langua</w:t>
      </w:r>
      <w:r>
        <w:rPr>
          <w:rFonts w:ascii="Arial" w:hAnsi="Arial"/>
          <w:spacing w:val="-4"/>
        </w:rPr>
        <w:t>g</w:t>
      </w:r>
      <w:r>
        <w:rPr>
          <w:rFonts w:ascii="Arial" w:hAnsi="Arial"/>
        </w:rPr>
        <w:t xml:space="preserve">e </w:t>
      </w:r>
      <w:r>
        <w:rPr>
          <w:rFonts w:ascii="Arial" w:hAnsi="Arial"/>
        </w:rPr>
        <w:t xml:space="preserve">indicates, secures to every person, subject to public order, health and morality, a freedom not only to entertain such religious belief, as may be approved of by his judgment and conscience, but also to exhibit his belief in such outward acts as he thinks </w:t>
      </w:r>
      <w:r>
        <w:rPr>
          <w:rFonts w:ascii="Arial" w:hAnsi="Arial"/>
        </w:rPr>
        <w:t xml:space="preserve">proper and to propagate or disseminate his ideas for the edification of others. A question is raised as to </w:t>
      </w:r>
      <w:r>
        <w:rPr>
          <w:rFonts w:ascii="Arial" w:hAnsi="Arial"/>
          <w:spacing w:val="-4"/>
        </w:rPr>
        <w:t>w</w:t>
      </w:r>
      <w:r>
        <w:rPr>
          <w:rFonts w:ascii="Arial" w:hAnsi="Arial"/>
          <w:spacing w:val="-1"/>
        </w:rPr>
        <w:t>he</w:t>
      </w:r>
      <w:r>
        <w:rPr>
          <w:rFonts w:ascii="Arial" w:hAnsi="Arial"/>
        </w:rPr>
        <w:t>t</w:t>
      </w:r>
      <w:r>
        <w:rPr>
          <w:rFonts w:ascii="Arial" w:hAnsi="Arial"/>
          <w:spacing w:val="-1"/>
        </w:rPr>
        <w:t>he</w:t>
      </w:r>
      <w:r>
        <w:rPr>
          <w:rFonts w:ascii="Arial" w:hAnsi="Arial"/>
        </w:rPr>
        <w:t>r</w:t>
      </w:r>
      <w:r>
        <w:rPr>
          <w:rFonts w:ascii="Arial" w:hAnsi="Arial"/>
        </w:rPr>
        <w:t xml:space="preserve"> </w:t>
      </w:r>
      <w:r>
        <w:rPr>
          <w:rFonts w:ascii="Arial" w:hAnsi="Arial"/>
        </w:rPr>
        <w:t>t</w:t>
      </w:r>
      <w:r>
        <w:rPr>
          <w:rFonts w:ascii="Arial" w:hAnsi="Arial"/>
          <w:spacing w:val="-1"/>
        </w:rPr>
        <w:t>h</w:t>
      </w:r>
      <w:r>
        <w:rPr>
          <w:rFonts w:ascii="Arial" w:hAnsi="Arial"/>
        </w:rPr>
        <w:t>e</w:t>
      </w:r>
      <w:r>
        <w:rPr>
          <w:rFonts w:ascii="Arial" w:hAnsi="Arial"/>
        </w:rPr>
        <w:t xml:space="preserve"> </w:t>
      </w:r>
      <w:r>
        <w:rPr>
          <w:rFonts w:ascii="Arial" w:hAnsi="Arial"/>
          <w:spacing w:val="-4"/>
        </w:rPr>
        <w:t>w</w:t>
      </w:r>
      <w:r>
        <w:rPr>
          <w:rFonts w:ascii="Arial" w:hAnsi="Arial"/>
          <w:spacing w:val="-1"/>
        </w:rPr>
        <w:t>or</w:t>
      </w:r>
      <w:r>
        <w:rPr>
          <w:rFonts w:ascii="Arial" w:hAnsi="Arial"/>
        </w:rPr>
        <w:t>d</w:t>
      </w:r>
      <w:r>
        <w:rPr>
          <w:rFonts w:ascii="Arial" w:hAnsi="Arial"/>
        </w:rPr>
        <w:t xml:space="preserve"> </w:t>
      </w:r>
      <w:r>
        <w:rPr>
          <w:rFonts w:ascii="Arial" w:hAnsi="Arial"/>
          <w:spacing w:val="2"/>
          <w:w w:val="33"/>
        </w:rPr>
        <w:t>―</w:t>
      </w:r>
      <w:r>
        <w:rPr>
          <w:rFonts w:ascii="Arial" w:hAnsi="Arial"/>
          <w:spacing w:val="-1"/>
        </w:rPr>
        <w:t>per</w:t>
      </w:r>
      <w:r>
        <w:rPr>
          <w:rFonts w:ascii="Arial" w:hAnsi="Arial"/>
        </w:rPr>
        <w:t>s</w:t>
      </w:r>
      <w:r>
        <w:rPr>
          <w:rFonts w:ascii="Arial" w:hAnsi="Arial"/>
          <w:spacing w:val="-1"/>
        </w:rPr>
        <w:t>o</w:t>
      </w:r>
      <w:r>
        <w:rPr>
          <w:rFonts w:ascii="Arial" w:hAnsi="Arial"/>
          <w:spacing w:val="-3"/>
        </w:rPr>
        <w:t>n</w:t>
      </w:r>
      <w:r>
        <w:rPr>
          <w:rFonts w:ascii="Arial" w:hAnsi="Arial"/>
        </w:rPr>
        <w:t>s</w:t>
      </w:r>
      <w:r>
        <w:rPr>
          <w:rFonts w:ascii="Arial" w:hAnsi="Arial"/>
          <w:w w:val="80"/>
        </w:rPr>
        <w:t>‖</w:t>
      </w:r>
      <w:r>
        <w:rPr>
          <w:rFonts w:ascii="Arial" w:hAnsi="Arial"/>
        </w:rPr>
        <w:t xml:space="preserve"> </w:t>
      </w:r>
      <w:r>
        <w:rPr>
          <w:rFonts w:ascii="Arial" w:hAnsi="Arial"/>
          <w:spacing w:val="-1"/>
        </w:rPr>
        <w:t>her</w:t>
      </w:r>
      <w:r>
        <w:rPr>
          <w:rFonts w:ascii="Arial" w:hAnsi="Arial"/>
        </w:rPr>
        <w:t>e</w:t>
      </w:r>
      <w:r>
        <w:rPr>
          <w:rFonts w:ascii="Arial" w:hAnsi="Arial"/>
        </w:rPr>
        <w:t xml:space="preserve"> </w:t>
      </w:r>
      <w:r>
        <w:rPr>
          <w:rFonts w:ascii="Arial" w:hAnsi="Arial"/>
          <w:spacing w:val="-2"/>
        </w:rPr>
        <w:t>m</w:t>
      </w:r>
      <w:r>
        <w:rPr>
          <w:rFonts w:ascii="Arial" w:hAnsi="Arial"/>
          <w:spacing w:val="-1"/>
        </w:rPr>
        <w:t>e</w:t>
      </w:r>
      <w:r>
        <w:rPr>
          <w:rFonts w:ascii="Arial" w:hAnsi="Arial"/>
          <w:spacing w:val="-3"/>
        </w:rPr>
        <w:t>a</w:t>
      </w:r>
      <w:r>
        <w:rPr>
          <w:rFonts w:ascii="Arial" w:hAnsi="Arial"/>
          <w:spacing w:val="-1"/>
        </w:rPr>
        <w:t>n</w:t>
      </w:r>
      <w:r>
        <w:rPr>
          <w:rFonts w:ascii="Arial" w:hAnsi="Arial"/>
        </w:rPr>
        <w:t>s</w:t>
      </w:r>
      <w:r>
        <w:rPr>
          <w:rFonts w:ascii="Arial" w:hAnsi="Arial"/>
        </w:rPr>
        <w:t xml:space="preserve"> </w:t>
      </w:r>
      <w:r>
        <w:rPr>
          <w:rFonts w:ascii="Arial" w:hAnsi="Arial"/>
          <w:spacing w:val="-1"/>
        </w:rPr>
        <w:t>indi</w:t>
      </w:r>
      <w:r>
        <w:rPr>
          <w:rFonts w:ascii="Arial" w:hAnsi="Arial"/>
          <w:spacing w:val="-4"/>
        </w:rPr>
        <w:t>v</w:t>
      </w:r>
      <w:r>
        <w:rPr>
          <w:rFonts w:ascii="Arial" w:hAnsi="Arial"/>
          <w:spacing w:val="-1"/>
        </w:rPr>
        <w:t>idua</w:t>
      </w:r>
      <w:r>
        <w:rPr>
          <w:rFonts w:ascii="Arial" w:hAnsi="Arial"/>
          <w:spacing w:val="-3"/>
        </w:rPr>
        <w:t>l</w:t>
      </w:r>
      <w:r>
        <w:rPr>
          <w:rFonts w:ascii="Arial" w:hAnsi="Arial"/>
        </w:rPr>
        <w:t xml:space="preserve">s </w:t>
      </w:r>
      <w:r>
        <w:rPr>
          <w:rFonts w:ascii="Arial" w:hAnsi="Arial"/>
        </w:rPr>
        <w:t>only or includes corporate bodies as well.</w:t>
      </w:r>
      <w:r>
        <w:rPr>
          <w:rFonts w:ascii="Arial" w:hAnsi="Arial"/>
          <w:spacing w:val="51"/>
        </w:rPr>
        <w:t xml:space="preserve"> </w:t>
      </w:r>
      <w:r>
        <w:rPr>
          <w:rFonts w:ascii="Arial" w:hAnsi="Arial"/>
        </w:rPr>
        <w:t>The</w:t>
      </w:r>
    </w:p>
    <w:p w:rsidR="003B2FC0" w:rsidRDefault="003B2FC0">
      <w:pPr>
        <w:jc w:val="both"/>
        <w:sectPr w:rsidR="003B2FC0">
          <w:headerReference w:type="default" r:id="rId192"/>
          <w:footerReference w:type="default" r:id="rId193"/>
          <w:pgSz w:w="12240" w:h="15840"/>
          <w:pgMar w:top="1360" w:right="1320" w:bottom="1680" w:left="1340" w:header="0" w:footer="1492" w:gutter="0"/>
          <w:pgNumType w:start="5"/>
          <w:cols w:space="720"/>
        </w:sectPr>
      </w:pPr>
    </w:p>
    <w:p w:rsidR="003B2FC0" w:rsidRDefault="00052A49">
      <w:pPr>
        <w:pStyle w:val="BodyText"/>
        <w:spacing w:before="77"/>
        <w:ind w:left="1518" w:right="1537"/>
        <w:jc w:val="both"/>
        <w:rPr>
          <w:rFonts w:ascii="Arial" w:hAnsi="Arial"/>
        </w:rPr>
      </w:pPr>
      <w:r>
        <w:rPr>
          <w:rFonts w:ascii="Arial" w:hAnsi="Arial"/>
        </w:rPr>
        <w:t>question, in our opinion, is not at all relevant for our present purpose. A Mathadhipati is certainly not a corporate body; he is the head of a spiritual fraternity and by virtue of his office has to perform the duties of a religious teacher. It is his dut</w:t>
      </w:r>
      <w:r>
        <w:rPr>
          <w:rFonts w:ascii="Arial" w:hAnsi="Arial"/>
        </w:rPr>
        <w:t xml:space="preserve">y to practice and propagate the religious tenets, of which he is an adherent and if any provision of law prevents him from propagating his doctrines, that would certainly affect the religious freedom which is guaranteed to every person under Article 25. </w:t>
      </w:r>
      <w:r>
        <w:rPr>
          <w:rFonts w:ascii="Arial" w:hAnsi="Arial"/>
          <w:u w:val="thick"/>
        </w:rPr>
        <w:t>In</w:t>
      </w:r>
      <w:r>
        <w:rPr>
          <w:rFonts w:ascii="Arial" w:hAnsi="Arial"/>
          <w:u w:val="thick"/>
        </w:rPr>
        <w:t>stitutions as such cannot practice or propagate</w:t>
      </w:r>
      <w:r>
        <w:rPr>
          <w:rFonts w:ascii="Arial" w:hAnsi="Arial"/>
        </w:rPr>
        <w:t xml:space="preserve"> </w:t>
      </w:r>
      <w:r>
        <w:rPr>
          <w:rFonts w:ascii="Arial" w:hAnsi="Arial"/>
          <w:u w:val="thick"/>
        </w:rPr>
        <w:t>religion; it can be done only by individual persons</w:t>
      </w:r>
      <w:r>
        <w:rPr>
          <w:rFonts w:ascii="Arial" w:hAnsi="Arial"/>
        </w:rPr>
        <w:t xml:space="preserve"> and whether these persons propagate their personal views or the tenets for which the institution stands is really immaterial for purposes of Article 25. It </w:t>
      </w:r>
      <w:r>
        <w:rPr>
          <w:rFonts w:ascii="Arial" w:hAnsi="Arial"/>
        </w:rPr>
        <w:t>is the propagation of belief that is protected, no matter whether the propagation takes place in a church or monastery, or in a temple or parlour</w:t>
      </w:r>
      <w:r>
        <w:rPr>
          <w:rFonts w:ascii="Arial" w:hAnsi="Arial"/>
          <w:spacing w:val="-21"/>
        </w:rPr>
        <w:t xml:space="preserve"> </w:t>
      </w:r>
      <w:r>
        <w:rPr>
          <w:rFonts w:ascii="Arial" w:hAnsi="Arial"/>
        </w:rPr>
        <w:t>meeting.‖</w:t>
      </w:r>
      <w:r>
        <w:rPr>
          <w:rFonts w:ascii="Arial" w:hAnsi="Arial"/>
          <w:vertAlign w:val="superscript"/>
        </w:rPr>
        <w:t>1</w:t>
      </w:r>
    </w:p>
    <w:p w:rsidR="003B2FC0" w:rsidRDefault="00052A49">
      <w:pPr>
        <w:pStyle w:val="BodyText"/>
        <w:spacing w:before="241" w:line="322" w:lineRule="exact"/>
        <w:ind w:left="5530"/>
        <w:rPr>
          <w:rFonts w:ascii="Arial"/>
        </w:rPr>
      </w:pPr>
      <w:r>
        <w:rPr>
          <w:rFonts w:ascii="Arial"/>
        </w:rPr>
        <w:t>(emphasis</w:t>
      </w:r>
      <w:r>
        <w:rPr>
          <w:rFonts w:ascii="Arial"/>
          <w:spacing w:val="-5"/>
        </w:rPr>
        <w:t xml:space="preserve"> </w:t>
      </w:r>
      <w:r>
        <w:rPr>
          <w:rFonts w:ascii="Arial"/>
        </w:rPr>
        <w:t>supplied)</w:t>
      </w:r>
    </w:p>
    <w:p w:rsidR="003B2FC0" w:rsidRDefault="00052A49">
      <w:pPr>
        <w:pStyle w:val="BodyText"/>
        <w:ind w:left="6603"/>
        <w:rPr>
          <w:rFonts w:ascii="Arial"/>
        </w:rPr>
      </w:pPr>
      <w:r>
        <w:rPr>
          <w:rFonts w:ascii="Arial"/>
        </w:rPr>
        <w:t>(at p.</w:t>
      </w:r>
      <w:r>
        <w:rPr>
          <w:rFonts w:ascii="Arial"/>
          <w:spacing w:val="1"/>
        </w:rPr>
        <w:t xml:space="preserve"> </w:t>
      </w:r>
      <w:r>
        <w:rPr>
          <w:rFonts w:ascii="Arial"/>
        </w:rPr>
        <w:t>1021)</w:t>
      </w:r>
    </w:p>
    <w:p w:rsidR="003B2FC0" w:rsidRDefault="00052A49">
      <w:pPr>
        <w:pStyle w:val="BodyText"/>
        <w:spacing w:before="223"/>
        <w:ind w:left="388"/>
        <w:rPr>
          <w:rFonts w:ascii="Arial"/>
        </w:rPr>
      </w:pPr>
      <w:r>
        <w:rPr>
          <w:rFonts w:ascii="Arial"/>
        </w:rPr>
        <w:t>With regard to whether a Math could come within the expression</w:t>
      </w:r>
    </w:p>
    <w:p w:rsidR="003B2FC0" w:rsidRDefault="003B2FC0">
      <w:pPr>
        <w:spacing w:before="10"/>
        <w:rPr>
          <w:sz w:val="27"/>
        </w:rPr>
      </w:pPr>
    </w:p>
    <w:p w:rsidR="003B2FC0" w:rsidRDefault="00052A49">
      <w:pPr>
        <w:pStyle w:val="BodyText"/>
        <w:spacing w:before="1" w:line="482" w:lineRule="auto"/>
        <w:ind w:left="388" w:right="343"/>
        <w:rPr>
          <w:rFonts w:ascii="Arial" w:hAnsi="Arial"/>
        </w:rPr>
      </w:pPr>
      <w:r>
        <w:rPr>
          <w:rFonts w:ascii="Arial" w:hAnsi="Arial"/>
          <w:w w:val="33"/>
        </w:rPr>
        <w:t>―</w:t>
      </w:r>
      <w:r>
        <w:rPr>
          <w:rFonts w:ascii="Arial" w:hAnsi="Arial"/>
        </w:rPr>
        <w:t>religious</w:t>
      </w:r>
      <w:r>
        <w:rPr>
          <w:rFonts w:ascii="Arial" w:hAnsi="Arial"/>
        </w:rPr>
        <w:t xml:space="preserve">  </w:t>
      </w:r>
      <w:r>
        <w:rPr>
          <w:rFonts w:ascii="Arial" w:hAnsi="Arial"/>
        </w:rPr>
        <w:t>denomination</w:t>
      </w:r>
      <w:r>
        <w:rPr>
          <w:rFonts w:ascii="Arial" w:hAnsi="Arial"/>
          <w:w w:val="80"/>
        </w:rPr>
        <w:t>‖</w:t>
      </w:r>
      <w:r>
        <w:rPr>
          <w:rFonts w:ascii="Arial" w:hAnsi="Arial"/>
        </w:rPr>
        <w:t xml:space="preserve">  </w:t>
      </w:r>
      <w:r>
        <w:rPr>
          <w:rFonts w:ascii="Arial" w:hAnsi="Arial"/>
        </w:rPr>
        <w:t>under</w:t>
      </w:r>
      <w:r>
        <w:rPr>
          <w:rFonts w:ascii="Arial" w:hAnsi="Arial"/>
        </w:rPr>
        <w:t xml:space="preserve">  </w:t>
      </w:r>
      <w:r>
        <w:rPr>
          <w:rFonts w:ascii="Arial" w:hAnsi="Arial"/>
        </w:rPr>
        <w:t>Article</w:t>
      </w:r>
      <w:r>
        <w:rPr>
          <w:rFonts w:ascii="Arial" w:hAnsi="Arial"/>
        </w:rPr>
        <w:t xml:space="preserve">  </w:t>
      </w:r>
      <w:r>
        <w:rPr>
          <w:rFonts w:ascii="Arial" w:hAnsi="Arial"/>
        </w:rPr>
        <w:t>26,</w:t>
      </w:r>
      <w:r>
        <w:rPr>
          <w:rFonts w:ascii="Arial" w:hAnsi="Arial"/>
        </w:rPr>
        <w:t xml:space="preserve">  </w:t>
      </w:r>
      <w:r>
        <w:rPr>
          <w:rFonts w:ascii="Arial" w:hAnsi="Arial"/>
        </w:rPr>
        <w:t>this</w:t>
      </w:r>
      <w:r>
        <w:rPr>
          <w:rFonts w:ascii="Arial" w:hAnsi="Arial"/>
        </w:rPr>
        <w:t xml:space="preserve">  </w:t>
      </w:r>
      <w:r>
        <w:rPr>
          <w:rFonts w:ascii="Arial" w:hAnsi="Arial"/>
        </w:rPr>
        <w:t>Court</w:t>
      </w:r>
      <w:r>
        <w:rPr>
          <w:rFonts w:ascii="Arial" w:hAnsi="Arial"/>
        </w:rPr>
        <w:t xml:space="preserve">  </w:t>
      </w:r>
      <w:r>
        <w:rPr>
          <w:rFonts w:ascii="Arial" w:hAnsi="Arial"/>
        </w:rPr>
        <w:t>laid</w:t>
      </w:r>
      <w:r>
        <w:rPr>
          <w:rFonts w:ascii="Arial" w:hAnsi="Arial"/>
        </w:rPr>
        <w:t xml:space="preserve">  </w:t>
      </w:r>
      <w:r>
        <w:rPr>
          <w:rFonts w:ascii="Arial" w:hAnsi="Arial"/>
        </w:rPr>
        <w:t>down</w:t>
      </w:r>
      <w:r>
        <w:rPr>
          <w:rFonts w:ascii="Arial" w:hAnsi="Arial"/>
        </w:rPr>
        <w:t xml:space="preserve">  </w:t>
      </w:r>
      <w:r>
        <w:rPr>
          <w:rFonts w:ascii="Arial" w:hAnsi="Arial"/>
        </w:rPr>
        <w:t xml:space="preserve">the </w:t>
      </w:r>
      <w:r>
        <w:rPr>
          <w:rFonts w:ascii="Arial" w:hAnsi="Arial"/>
        </w:rPr>
        <w:t>following tests:</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7"/>
        <w:rPr>
          <w:sz w:val="11"/>
        </w:rPr>
      </w:pPr>
      <w:r w:rsidRPr="003B2FC0">
        <w:pict>
          <v:line id="_x0000_s1147" style="position:absolute;z-index:-251599360;mso-wrap-distance-left:0;mso-wrap-distance-right:0;mso-position-horizontal-relative:page" from="1in,9.05pt" to="216.05pt,9.05pt" strokeweight=".72pt">
            <w10:wrap type="topAndBottom" anchorx="page"/>
          </v:line>
        </w:pict>
      </w:r>
    </w:p>
    <w:p w:rsidR="003B2FC0" w:rsidRDefault="00052A49">
      <w:pPr>
        <w:spacing w:before="36" w:line="276" w:lineRule="auto"/>
        <w:ind w:left="100" w:right="114"/>
        <w:jc w:val="both"/>
        <w:rPr>
          <w:sz w:val="20"/>
        </w:rPr>
      </w:pPr>
      <w:r>
        <w:rPr>
          <w:position w:val="10"/>
          <w:sz w:val="13"/>
        </w:rPr>
        <w:t xml:space="preserve">1 </w:t>
      </w:r>
      <w:r>
        <w:rPr>
          <w:sz w:val="20"/>
        </w:rPr>
        <w:t xml:space="preserve">In </w:t>
      </w:r>
      <w:r>
        <w:rPr>
          <w:b/>
          <w:sz w:val="20"/>
        </w:rPr>
        <w:t>State Trading Corporation of India Ltd. v. Commercial Tax Officer and Ors.</w:t>
      </w:r>
      <w:r>
        <w:rPr>
          <w:sz w:val="20"/>
        </w:rPr>
        <w:t>, (1964) 4 SCR 99, a majority of 9 Judges held that the S.T.C., which is a company registered under the Indian Companies Act, 1956, is not a citizen within the meaning of Article 19 of the Constitution of India. In a concurring judgment by Hidayatullah, J.</w:t>
      </w:r>
      <w:r>
        <w:rPr>
          <w:sz w:val="20"/>
        </w:rPr>
        <w:t>, the learned Judge, in arriving at this result, held that Articles 15, 16, 18 and 29(1) clearly refer to natural persons, i.e., individuals (</w:t>
      </w:r>
      <w:r>
        <w:rPr>
          <w:i/>
          <w:sz w:val="20"/>
        </w:rPr>
        <w:t xml:space="preserve">See </w:t>
      </w:r>
      <w:r>
        <w:rPr>
          <w:sz w:val="20"/>
        </w:rPr>
        <w:t xml:space="preserve">p. 127). The learned Judge went on to hold that in </w:t>
      </w:r>
      <w:r>
        <w:rPr>
          <w:w w:val="99"/>
          <w:sz w:val="20"/>
        </w:rPr>
        <w:t>Articles</w:t>
      </w:r>
      <w:r>
        <w:rPr>
          <w:sz w:val="20"/>
        </w:rPr>
        <w:t xml:space="preserve"> </w:t>
      </w:r>
      <w:r>
        <w:rPr>
          <w:w w:val="99"/>
          <w:sz w:val="20"/>
        </w:rPr>
        <w:t>14,</w:t>
      </w:r>
      <w:r>
        <w:rPr>
          <w:sz w:val="20"/>
        </w:rPr>
        <w:t xml:space="preserve"> </w:t>
      </w:r>
      <w:r>
        <w:rPr>
          <w:w w:val="99"/>
          <w:sz w:val="20"/>
        </w:rPr>
        <w:t>20,</w:t>
      </w:r>
      <w:r>
        <w:rPr>
          <w:sz w:val="20"/>
        </w:rPr>
        <w:t xml:space="preserve"> </w:t>
      </w:r>
      <w:r>
        <w:rPr>
          <w:w w:val="99"/>
          <w:sz w:val="20"/>
        </w:rPr>
        <w:t>27</w:t>
      </w:r>
      <w:r>
        <w:rPr>
          <w:sz w:val="20"/>
        </w:rPr>
        <w:t xml:space="preserve"> </w:t>
      </w:r>
      <w:r>
        <w:rPr>
          <w:w w:val="99"/>
          <w:sz w:val="20"/>
        </w:rPr>
        <w:t>and</w:t>
      </w:r>
      <w:r>
        <w:rPr>
          <w:sz w:val="20"/>
        </w:rPr>
        <w:t xml:space="preserve"> </w:t>
      </w:r>
      <w:r>
        <w:rPr>
          <w:w w:val="99"/>
          <w:sz w:val="20"/>
        </w:rPr>
        <w:t>31,</w:t>
      </w:r>
      <w:r>
        <w:rPr>
          <w:sz w:val="20"/>
        </w:rPr>
        <w:t xml:space="preserve"> </w:t>
      </w:r>
      <w:r>
        <w:rPr>
          <w:w w:val="99"/>
          <w:sz w:val="20"/>
        </w:rPr>
        <w:t>the</w:t>
      </w:r>
      <w:r>
        <w:rPr>
          <w:sz w:val="20"/>
        </w:rPr>
        <w:t xml:space="preserve"> </w:t>
      </w:r>
      <w:r>
        <w:rPr>
          <w:w w:val="99"/>
          <w:sz w:val="20"/>
        </w:rPr>
        <w:t>word</w:t>
      </w:r>
      <w:r>
        <w:rPr>
          <w:sz w:val="20"/>
        </w:rPr>
        <w:t xml:space="preserve"> </w:t>
      </w:r>
      <w:r>
        <w:rPr>
          <w:w w:val="33"/>
          <w:sz w:val="20"/>
        </w:rPr>
        <w:t>―</w:t>
      </w:r>
      <w:r>
        <w:rPr>
          <w:w w:val="99"/>
          <w:sz w:val="20"/>
        </w:rPr>
        <w:t>person</w:t>
      </w:r>
      <w:r>
        <w:rPr>
          <w:w w:val="80"/>
          <w:sz w:val="20"/>
        </w:rPr>
        <w:t>‖</w:t>
      </w:r>
      <w:r>
        <w:rPr>
          <w:sz w:val="20"/>
        </w:rPr>
        <w:t xml:space="preserve"> </w:t>
      </w:r>
      <w:r>
        <w:rPr>
          <w:w w:val="99"/>
          <w:sz w:val="20"/>
        </w:rPr>
        <w:t>would</w:t>
      </w:r>
      <w:r>
        <w:rPr>
          <w:sz w:val="20"/>
        </w:rPr>
        <w:t xml:space="preserve"> </w:t>
      </w:r>
      <w:r>
        <w:rPr>
          <w:w w:val="99"/>
          <w:sz w:val="20"/>
        </w:rPr>
        <w:t>apply</w:t>
      </w:r>
      <w:r>
        <w:rPr>
          <w:sz w:val="20"/>
        </w:rPr>
        <w:t xml:space="preserve"> </w:t>
      </w:r>
      <w:r>
        <w:rPr>
          <w:w w:val="99"/>
          <w:sz w:val="20"/>
        </w:rPr>
        <w:t>to</w:t>
      </w:r>
      <w:r>
        <w:rPr>
          <w:sz w:val="20"/>
        </w:rPr>
        <w:t xml:space="preserve"> </w:t>
      </w:r>
      <w:r>
        <w:rPr>
          <w:w w:val="99"/>
          <w:sz w:val="20"/>
        </w:rPr>
        <w:t>individuals</w:t>
      </w:r>
      <w:r>
        <w:rPr>
          <w:sz w:val="20"/>
        </w:rPr>
        <w:t xml:space="preserve"> </w:t>
      </w:r>
      <w:r>
        <w:rPr>
          <w:w w:val="99"/>
          <w:sz w:val="20"/>
        </w:rPr>
        <w:t>as</w:t>
      </w:r>
      <w:r>
        <w:rPr>
          <w:sz w:val="20"/>
        </w:rPr>
        <w:t xml:space="preserve"> </w:t>
      </w:r>
      <w:r>
        <w:rPr>
          <w:w w:val="99"/>
          <w:sz w:val="20"/>
        </w:rPr>
        <w:t>well</w:t>
      </w:r>
      <w:r>
        <w:rPr>
          <w:sz w:val="20"/>
        </w:rPr>
        <w:t xml:space="preserve"> </w:t>
      </w:r>
      <w:r>
        <w:rPr>
          <w:w w:val="99"/>
          <w:sz w:val="20"/>
        </w:rPr>
        <w:t>as</w:t>
      </w:r>
      <w:r>
        <w:rPr>
          <w:sz w:val="20"/>
        </w:rPr>
        <w:t xml:space="preserve"> </w:t>
      </w:r>
      <w:r>
        <w:rPr>
          <w:w w:val="99"/>
          <w:sz w:val="20"/>
        </w:rPr>
        <w:t>to</w:t>
      </w:r>
      <w:r>
        <w:rPr>
          <w:sz w:val="20"/>
        </w:rPr>
        <w:t xml:space="preserve"> </w:t>
      </w:r>
      <w:r>
        <w:rPr>
          <w:w w:val="99"/>
          <w:sz w:val="20"/>
        </w:rPr>
        <w:t>corporations</w:t>
      </w:r>
      <w:r>
        <w:rPr>
          <w:sz w:val="20"/>
        </w:rPr>
        <w:t xml:space="preserve"> </w:t>
      </w:r>
      <w:r>
        <w:rPr>
          <w:w w:val="99"/>
          <w:sz w:val="20"/>
        </w:rPr>
        <w:t>(</w:t>
      </w:r>
      <w:r>
        <w:rPr>
          <w:i/>
          <w:w w:val="99"/>
          <w:sz w:val="20"/>
        </w:rPr>
        <w:t>See</w:t>
      </w:r>
      <w:r>
        <w:rPr>
          <w:i/>
          <w:sz w:val="20"/>
        </w:rPr>
        <w:t xml:space="preserve"> </w:t>
      </w:r>
      <w:r>
        <w:rPr>
          <w:w w:val="99"/>
          <w:sz w:val="20"/>
        </w:rPr>
        <w:t>p. 147).</w:t>
      </w:r>
      <w:r>
        <w:rPr>
          <w:sz w:val="20"/>
        </w:rPr>
        <w:t xml:space="preserve"> </w:t>
      </w:r>
      <w:r>
        <w:rPr>
          <w:w w:val="99"/>
          <w:sz w:val="20"/>
        </w:rPr>
        <w:t>What</w:t>
      </w:r>
      <w:r>
        <w:rPr>
          <w:sz w:val="20"/>
        </w:rPr>
        <w:t xml:space="preserve"> </w:t>
      </w:r>
      <w:r>
        <w:rPr>
          <w:w w:val="99"/>
          <w:sz w:val="20"/>
        </w:rPr>
        <w:t>is</w:t>
      </w:r>
      <w:r>
        <w:rPr>
          <w:sz w:val="20"/>
        </w:rPr>
        <w:t xml:space="preserve"> </w:t>
      </w:r>
      <w:r>
        <w:rPr>
          <w:w w:val="99"/>
          <w:sz w:val="20"/>
        </w:rPr>
        <w:t>conspicuous</w:t>
      </w:r>
      <w:r>
        <w:rPr>
          <w:sz w:val="20"/>
        </w:rPr>
        <w:t xml:space="preserve"> </w:t>
      </w:r>
      <w:r>
        <w:rPr>
          <w:w w:val="99"/>
          <w:sz w:val="20"/>
        </w:rPr>
        <w:t>by</w:t>
      </w:r>
      <w:r>
        <w:rPr>
          <w:sz w:val="20"/>
        </w:rPr>
        <w:t xml:space="preserve"> </w:t>
      </w:r>
      <w:r>
        <w:rPr>
          <w:w w:val="99"/>
          <w:sz w:val="20"/>
        </w:rPr>
        <w:t>its</w:t>
      </w:r>
      <w:r>
        <w:rPr>
          <w:sz w:val="20"/>
        </w:rPr>
        <w:t xml:space="preserve"> </w:t>
      </w:r>
      <w:r>
        <w:rPr>
          <w:w w:val="99"/>
          <w:sz w:val="20"/>
        </w:rPr>
        <w:t>absence</w:t>
      </w:r>
      <w:r>
        <w:rPr>
          <w:sz w:val="20"/>
        </w:rPr>
        <w:t xml:space="preserve"> </w:t>
      </w:r>
      <w:r>
        <w:rPr>
          <w:w w:val="99"/>
          <w:sz w:val="20"/>
        </w:rPr>
        <w:t>is</w:t>
      </w:r>
      <w:r>
        <w:rPr>
          <w:sz w:val="20"/>
        </w:rPr>
        <w:t xml:space="preserve"> </w:t>
      </w:r>
      <w:r>
        <w:rPr>
          <w:w w:val="99"/>
          <w:sz w:val="20"/>
        </w:rPr>
        <w:t>Article</w:t>
      </w:r>
      <w:r>
        <w:rPr>
          <w:sz w:val="20"/>
        </w:rPr>
        <w:t xml:space="preserve"> </w:t>
      </w:r>
      <w:r>
        <w:rPr>
          <w:w w:val="99"/>
          <w:sz w:val="20"/>
        </w:rPr>
        <w:t>25(1),</w:t>
      </w:r>
      <w:r>
        <w:rPr>
          <w:sz w:val="20"/>
        </w:rPr>
        <w:t xml:space="preserve"> </w:t>
      </w:r>
      <w:r>
        <w:rPr>
          <w:w w:val="99"/>
          <w:sz w:val="20"/>
        </w:rPr>
        <w:t>which</w:t>
      </w:r>
      <w:r>
        <w:rPr>
          <w:sz w:val="20"/>
        </w:rPr>
        <w:t xml:space="preserve"> </w:t>
      </w:r>
      <w:r>
        <w:rPr>
          <w:w w:val="99"/>
          <w:sz w:val="20"/>
        </w:rPr>
        <w:t>also</w:t>
      </w:r>
      <w:r>
        <w:rPr>
          <w:sz w:val="20"/>
        </w:rPr>
        <w:t xml:space="preserve"> </w:t>
      </w:r>
      <w:r>
        <w:rPr>
          <w:w w:val="99"/>
          <w:sz w:val="20"/>
        </w:rPr>
        <w:t>uses</w:t>
      </w:r>
      <w:r>
        <w:rPr>
          <w:sz w:val="20"/>
        </w:rPr>
        <w:t xml:space="preserve"> </w:t>
      </w:r>
      <w:r>
        <w:rPr>
          <w:w w:val="99"/>
          <w:sz w:val="20"/>
        </w:rPr>
        <w:t>the</w:t>
      </w:r>
      <w:r>
        <w:rPr>
          <w:sz w:val="20"/>
        </w:rPr>
        <w:t xml:space="preserve"> </w:t>
      </w:r>
      <w:r>
        <w:rPr>
          <w:w w:val="99"/>
          <w:sz w:val="20"/>
        </w:rPr>
        <w:t>word</w:t>
      </w:r>
      <w:r>
        <w:rPr>
          <w:sz w:val="20"/>
        </w:rPr>
        <w:t xml:space="preserve"> </w:t>
      </w:r>
      <w:r>
        <w:rPr>
          <w:w w:val="33"/>
          <w:sz w:val="20"/>
        </w:rPr>
        <w:t>―</w:t>
      </w:r>
      <w:r>
        <w:rPr>
          <w:w w:val="99"/>
          <w:sz w:val="20"/>
        </w:rPr>
        <w:t>person</w:t>
      </w:r>
      <w:r>
        <w:rPr>
          <w:w w:val="80"/>
          <w:sz w:val="20"/>
        </w:rPr>
        <w:t>‖</w:t>
      </w:r>
      <w:r>
        <w:rPr>
          <w:w w:val="99"/>
          <w:sz w:val="20"/>
        </w:rPr>
        <w:t>,</w:t>
      </w:r>
      <w:r>
        <w:rPr>
          <w:sz w:val="20"/>
        </w:rPr>
        <w:t xml:space="preserve"> </w:t>
      </w:r>
      <w:r>
        <w:rPr>
          <w:w w:val="99"/>
          <w:sz w:val="20"/>
        </w:rPr>
        <w:t>which,</w:t>
      </w:r>
      <w:r>
        <w:rPr>
          <w:sz w:val="20"/>
        </w:rPr>
        <w:t xml:space="preserve"> </w:t>
      </w:r>
      <w:r>
        <w:rPr>
          <w:w w:val="99"/>
          <w:sz w:val="20"/>
        </w:rPr>
        <w:t xml:space="preserve">as </w:t>
      </w:r>
      <w:r>
        <w:rPr>
          <w:b/>
          <w:sz w:val="20"/>
        </w:rPr>
        <w:t xml:space="preserve">Shirur Math </w:t>
      </w:r>
      <w:r>
        <w:rPr>
          <w:sz w:val="20"/>
        </w:rPr>
        <w:t>(supra) states above, can apply only to natural persons. Consequently, the argument that a</w:t>
      </w:r>
      <w:r>
        <w:rPr>
          <w:sz w:val="20"/>
        </w:rPr>
        <w:t>n idol can exercise fundamental rights contained in Article 25(1), as urged by some of the Respondents, must be rejected.</w:t>
      </w:r>
    </w:p>
    <w:p w:rsidR="003B2FC0" w:rsidRDefault="003B2FC0">
      <w:pPr>
        <w:spacing w:line="276" w:lineRule="auto"/>
        <w:jc w:val="both"/>
        <w:rPr>
          <w:sz w:val="20"/>
        </w:rPr>
        <w:sectPr w:rsidR="003B2FC0">
          <w:headerReference w:type="default" r:id="rId194"/>
          <w:footerReference w:type="default" r:id="rId195"/>
          <w:pgSz w:w="12240" w:h="15840"/>
          <w:pgMar w:top="1360" w:right="1320" w:bottom="1680" w:left="1340" w:header="0" w:footer="1492" w:gutter="0"/>
          <w:pgNumType w:start="6"/>
          <w:cols w:space="720"/>
        </w:sectPr>
      </w:pPr>
    </w:p>
    <w:p w:rsidR="003B2FC0" w:rsidRDefault="00052A49">
      <w:pPr>
        <w:pStyle w:val="BodyText"/>
        <w:spacing w:before="77"/>
        <w:ind w:left="1518" w:right="1536"/>
        <w:jc w:val="both"/>
        <w:rPr>
          <w:rFonts w:ascii="Arial" w:hAnsi="Arial"/>
        </w:rPr>
      </w:pPr>
      <w:r>
        <w:rPr>
          <w:rFonts w:ascii="Arial" w:hAnsi="Arial"/>
          <w:w w:val="33"/>
        </w:rPr>
        <w:t>―</w:t>
      </w:r>
      <w:r>
        <w:rPr>
          <w:rFonts w:ascii="Arial" w:hAnsi="Arial"/>
        </w:rPr>
        <w:t>As</w:t>
      </w:r>
      <w:r>
        <w:rPr>
          <w:rFonts w:ascii="Arial" w:hAnsi="Arial"/>
          <w:spacing w:val="35"/>
        </w:rPr>
        <w:t xml:space="preserve"> </w:t>
      </w:r>
      <w:r>
        <w:rPr>
          <w:rFonts w:ascii="Arial" w:hAnsi="Arial"/>
        </w:rPr>
        <w:t>r</w:t>
      </w:r>
      <w:r>
        <w:rPr>
          <w:rFonts w:ascii="Arial" w:hAnsi="Arial"/>
          <w:spacing w:val="-3"/>
        </w:rPr>
        <w:t>e</w:t>
      </w:r>
      <w:r>
        <w:rPr>
          <w:rFonts w:ascii="Arial" w:hAnsi="Arial"/>
        </w:rPr>
        <w:t>gar</w:t>
      </w:r>
      <w:r>
        <w:rPr>
          <w:rFonts w:ascii="Arial" w:hAnsi="Arial"/>
          <w:spacing w:val="-3"/>
        </w:rPr>
        <w:t>d</w:t>
      </w:r>
      <w:r>
        <w:rPr>
          <w:rFonts w:ascii="Arial" w:hAnsi="Arial"/>
        </w:rPr>
        <w:t>s</w:t>
      </w:r>
      <w:r>
        <w:rPr>
          <w:rFonts w:ascii="Arial" w:hAnsi="Arial"/>
          <w:spacing w:val="35"/>
        </w:rPr>
        <w:t xml:space="preserve"> </w:t>
      </w:r>
      <w:r>
        <w:rPr>
          <w:rFonts w:ascii="Arial" w:hAnsi="Arial"/>
        </w:rPr>
        <w:t>A</w:t>
      </w:r>
      <w:r>
        <w:rPr>
          <w:rFonts w:ascii="Arial" w:hAnsi="Arial"/>
          <w:spacing w:val="-3"/>
        </w:rPr>
        <w:t>r</w:t>
      </w:r>
      <w:r>
        <w:rPr>
          <w:rFonts w:ascii="Arial" w:hAnsi="Arial"/>
        </w:rPr>
        <w:t>tic</w:t>
      </w:r>
      <w:r>
        <w:rPr>
          <w:rFonts w:ascii="Arial" w:hAnsi="Arial"/>
          <w:spacing w:val="-3"/>
        </w:rPr>
        <w:t>l</w:t>
      </w:r>
      <w:r>
        <w:rPr>
          <w:rFonts w:ascii="Arial" w:hAnsi="Arial"/>
        </w:rPr>
        <w:t>e</w:t>
      </w:r>
      <w:r>
        <w:rPr>
          <w:rFonts w:ascii="Arial" w:hAnsi="Arial"/>
          <w:spacing w:val="32"/>
        </w:rPr>
        <w:t xml:space="preserve"> </w:t>
      </w:r>
      <w:r>
        <w:rPr>
          <w:rFonts w:ascii="Arial" w:hAnsi="Arial"/>
        </w:rPr>
        <w:t>26,</w:t>
      </w:r>
      <w:r>
        <w:rPr>
          <w:rFonts w:ascii="Arial" w:hAnsi="Arial"/>
          <w:spacing w:val="32"/>
        </w:rPr>
        <w:t xml:space="preserve"> </w:t>
      </w:r>
      <w:r>
        <w:rPr>
          <w:rFonts w:ascii="Arial" w:hAnsi="Arial"/>
        </w:rPr>
        <w:t>the</w:t>
      </w:r>
      <w:r>
        <w:rPr>
          <w:rFonts w:ascii="Arial" w:hAnsi="Arial"/>
          <w:spacing w:val="32"/>
        </w:rPr>
        <w:t xml:space="preserve"> </w:t>
      </w:r>
      <w:r>
        <w:rPr>
          <w:rFonts w:ascii="Arial" w:hAnsi="Arial"/>
        </w:rPr>
        <w:t>fi</w:t>
      </w:r>
      <w:r>
        <w:rPr>
          <w:rFonts w:ascii="Arial" w:hAnsi="Arial"/>
          <w:spacing w:val="-3"/>
        </w:rPr>
        <w:t>r</w:t>
      </w:r>
      <w:r>
        <w:rPr>
          <w:rFonts w:ascii="Arial" w:hAnsi="Arial"/>
        </w:rPr>
        <w:t>st</w:t>
      </w:r>
      <w:r>
        <w:rPr>
          <w:rFonts w:ascii="Arial" w:hAnsi="Arial"/>
          <w:spacing w:val="33"/>
        </w:rPr>
        <w:t xml:space="preserve"> </w:t>
      </w:r>
      <w:r>
        <w:rPr>
          <w:rFonts w:ascii="Arial" w:hAnsi="Arial"/>
        </w:rPr>
        <w:t>que</w:t>
      </w:r>
      <w:r>
        <w:rPr>
          <w:rFonts w:ascii="Arial" w:hAnsi="Arial"/>
          <w:spacing w:val="-2"/>
        </w:rPr>
        <w:t>s</w:t>
      </w:r>
      <w:r>
        <w:rPr>
          <w:rFonts w:ascii="Arial" w:hAnsi="Arial"/>
        </w:rPr>
        <w:t>t</w:t>
      </w:r>
      <w:r>
        <w:rPr>
          <w:rFonts w:ascii="Arial" w:hAnsi="Arial"/>
          <w:spacing w:val="-3"/>
        </w:rPr>
        <w:t>i</w:t>
      </w:r>
      <w:r>
        <w:rPr>
          <w:rFonts w:ascii="Arial" w:hAnsi="Arial"/>
        </w:rPr>
        <w:t>on</w:t>
      </w:r>
      <w:r>
        <w:rPr>
          <w:rFonts w:ascii="Arial" w:hAnsi="Arial"/>
          <w:spacing w:val="34"/>
        </w:rPr>
        <w:t xml:space="preserve"> </w:t>
      </w:r>
      <w:r>
        <w:rPr>
          <w:rFonts w:ascii="Arial" w:hAnsi="Arial"/>
        </w:rPr>
        <w:t>i</w:t>
      </w:r>
      <w:r>
        <w:rPr>
          <w:rFonts w:ascii="Arial" w:hAnsi="Arial"/>
          <w:spacing w:val="-2"/>
        </w:rPr>
        <w:t>s</w:t>
      </w:r>
      <w:r>
        <w:rPr>
          <w:rFonts w:ascii="Arial" w:hAnsi="Arial"/>
        </w:rPr>
        <w:t>,</w:t>
      </w:r>
      <w:r>
        <w:rPr>
          <w:rFonts w:ascii="Arial" w:hAnsi="Arial"/>
          <w:spacing w:val="35"/>
        </w:rPr>
        <w:t xml:space="preserve"> </w:t>
      </w:r>
      <w:r>
        <w:rPr>
          <w:rFonts w:ascii="Arial" w:hAnsi="Arial"/>
          <w:spacing w:val="-4"/>
        </w:rPr>
        <w:t>w</w:t>
      </w:r>
      <w:r>
        <w:rPr>
          <w:rFonts w:ascii="Arial" w:hAnsi="Arial"/>
        </w:rPr>
        <w:t>hat</w:t>
      </w:r>
      <w:r>
        <w:rPr>
          <w:rFonts w:ascii="Arial" w:hAnsi="Arial"/>
          <w:spacing w:val="35"/>
        </w:rPr>
        <w:t xml:space="preserve"> </w:t>
      </w:r>
      <w:r>
        <w:rPr>
          <w:rFonts w:ascii="Arial" w:hAnsi="Arial"/>
          <w:spacing w:val="-3"/>
        </w:rPr>
        <w:t>i</w:t>
      </w:r>
      <w:r>
        <w:rPr>
          <w:rFonts w:ascii="Arial" w:hAnsi="Arial"/>
        </w:rPr>
        <w:t xml:space="preserve">s </w:t>
      </w:r>
      <w:r>
        <w:rPr>
          <w:rFonts w:ascii="Arial" w:hAnsi="Arial"/>
        </w:rPr>
        <w:t>the precise meaning or connotation of the expression ―religious denomination‖ and whether a Math</w:t>
      </w:r>
      <w:r>
        <w:rPr>
          <w:rFonts w:ascii="Arial" w:hAnsi="Arial"/>
          <w:spacing w:val="44"/>
        </w:rPr>
        <w:t xml:space="preserve"> </w:t>
      </w:r>
      <w:r>
        <w:rPr>
          <w:rFonts w:ascii="Arial" w:hAnsi="Arial"/>
        </w:rPr>
        <w:t>could</w:t>
      </w:r>
      <w:r>
        <w:rPr>
          <w:rFonts w:ascii="Arial" w:hAnsi="Arial"/>
          <w:spacing w:val="43"/>
        </w:rPr>
        <w:t xml:space="preserve"> </w:t>
      </w:r>
      <w:r>
        <w:rPr>
          <w:rFonts w:ascii="Arial" w:hAnsi="Arial"/>
        </w:rPr>
        <w:t>come</w:t>
      </w:r>
      <w:r>
        <w:rPr>
          <w:rFonts w:ascii="Arial" w:hAnsi="Arial"/>
          <w:spacing w:val="43"/>
        </w:rPr>
        <w:t xml:space="preserve"> </w:t>
      </w:r>
      <w:r>
        <w:rPr>
          <w:rFonts w:ascii="Arial" w:hAnsi="Arial"/>
        </w:rPr>
        <w:t>within</w:t>
      </w:r>
      <w:r>
        <w:rPr>
          <w:rFonts w:ascii="Arial" w:hAnsi="Arial"/>
          <w:spacing w:val="44"/>
        </w:rPr>
        <w:t xml:space="preserve"> </w:t>
      </w:r>
      <w:r>
        <w:rPr>
          <w:rFonts w:ascii="Arial" w:hAnsi="Arial"/>
        </w:rPr>
        <w:t>this</w:t>
      </w:r>
      <w:r>
        <w:rPr>
          <w:rFonts w:ascii="Arial" w:hAnsi="Arial"/>
          <w:spacing w:val="44"/>
        </w:rPr>
        <w:t xml:space="preserve"> </w:t>
      </w:r>
      <w:r>
        <w:rPr>
          <w:rFonts w:ascii="Arial" w:hAnsi="Arial"/>
        </w:rPr>
        <w:t>expression.</w:t>
      </w:r>
      <w:r>
        <w:rPr>
          <w:rFonts w:ascii="Arial" w:hAnsi="Arial"/>
          <w:spacing w:val="46"/>
        </w:rPr>
        <w:t xml:space="preserve"> </w:t>
      </w:r>
      <w:r>
        <w:rPr>
          <w:rFonts w:ascii="Arial" w:hAnsi="Arial"/>
        </w:rPr>
        <w:t>The</w:t>
      </w:r>
      <w:r>
        <w:rPr>
          <w:rFonts w:ascii="Arial" w:hAnsi="Arial"/>
          <w:spacing w:val="44"/>
        </w:rPr>
        <w:t xml:space="preserve"> </w:t>
      </w:r>
      <w:r>
        <w:rPr>
          <w:rFonts w:ascii="Arial" w:hAnsi="Arial"/>
        </w:rPr>
        <w:t>word</w:t>
      </w:r>
    </w:p>
    <w:p w:rsidR="003B2FC0" w:rsidRDefault="00052A49">
      <w:pPr>
        <w:pStyle w:val="BodyText"/>
        <w:spacing w:before="1"/>
        <w:ind w:left="1518" w:right="1536"/>
        <w:jc w:val="both"/>
        <w:rPr>
          <w:rFonts w:ascii="Arial" w:hAnsi="Arial"/>
        </w:rPr>
      </w:pPr>
      <w:r>
        <w:rPr>
          <w:rFonts w:ascii="Arial" w:hAnsi="Arial"/>
        </w:rPr>
        <w:t xml:space="preserve">―denomination‖ has been defined in the Oxford Dictionary to mean </w:t>
      </w:r>
      <w:r>
        <w:rPr>
          <w:rFonts w:ascii="Arial" w:hAnsi="Arial"/>
          <w:w w:val="95"/>
        </w:rPr>
        <w:t xml:space="preserve">―a </w:t>
      </w:r>
      <w:r>
        <w:rPr>
          <w:rFonts w:ascii="Arial" w:hAnsi="Arial"/>
        </w:rPr>
        <w:t>collection of individuals classed together under the same name: a religious sect or body having a common faith and organisation and designated by a distinctive</w:t>
      </w:r>
      <w:r>
        <w:rPr>
          <w:rFonts w:ascii="Arial" w:hAnsi="Arial"/>
          <w:spacing w:val="-35"/>
        </w:rPr>
        <w:t xml:space="preserve"> </w:t>
      </w:r>
      <w:r>
        <w:rPr>
          <w:rFonts w:ascii="Arial" w:hAnsi="Arial"/>
        </w:rPr>
        <w:t>name‖.</w:t>
      </w:r>
    </w:p>
    <w:p w:rsidR="003B2FC0" w:rsidRDefault="00052A49">
      <w:pPr>
        <w:pStyle w:val="BodyText"/>
        <w:spacing w:before="199"/>
        <w:ind w:left="1518" w:right="1536"/>
        <w:jc w:val="both"/>
        <w:rPr>
          <w:rFonts w:ascii="Arial" w:hAnsi="Arial"/>
        </w:rPr>
      </w:pPr>
      <w:r>
        <w:rPr>
          <w:rFonts w:ascii="Arial" w:hAnsi="Arial"/>
        </w:rPr>
        <w:t>It is well known that the practice of setting up Maths as centers of theological teaching</w:t>
      </w:r>
      <w:r>
        <w:rPr>
          <w:rFonts w:ascii="Arial" w:hAnsi="Arial"/>
        </w:rPr>
        <w:t xml:space="preserve"> was started by Shri Sankaracharya and was followed by various teachers since then. After Sankara, came a galaxy of religious teachers and philosophers who founded the different sects and sub-sects of the Hindu religion that we find in India at the present</w:t>
      </w:r>
      <w:r>
        <w:rPr>
          <w:rFonts w:ascii="Arial" w:hAnsi="Arial"/>
        </w:rPr>
        <w:t xml:space="preserve"> day. </w:t>
      </w:r>
      <w:r>
        <w:rPr>
          <w:rFonts w:ascii="Arial" w:hAnsi="Arial"/>
          <w:u w:val="thick"/>
        </w:rPr>
        <w:t>Each</w:t>
      </w:r>
      <w:r>
        <w:rPr>
          <w:rFonts w:ascii="Arial" w:hAnsi="Arial"/>
        </w:rPr>
        <w:t xml:space="preserve"> </w:t>
      </w:r>
      <w:r>
        <w:rPr>
          <w:rFonts w:ascii="Arial" w:hAnsi="Arial"/>
          <w:u w:val="thick"/>
        </w:rPr>
        <w:t>one of such sects or sub-sects can certainly be</w:t>
      </w:r>
      <w:r>
        <w:rPr>
          <w:rFonts w:ascii="Arial" w:hAnsi="Arial"/>
        </w:rPr>
        <w:t xml:space="preserve"> </w:t>
      </w:r>
      <w:r>
        <w:rPr>
          <w:rFonts w:ascii="Arial" w:hAnsi="Arial"/>
          <w:u w:val="thick"/>
        </w:rPr>
        <w:t>called a religious denomination, as it is designated</w:t>
      </w:r>
      <w:r>
        <w:rPr>
          <w:rFonts w:ascii="Arial" w:hAnsi="Arial"/>
        </w:rPr>
        <w:t xml:space="preserve"> </w:t>
      </w:r>
      <w:r>
        <w:rPr>
          <w:rFonts w:ascii="Arial" w:hAnsi="Arial"/>
          <w:u w:val="thick"/>
        </w:rPr>
        <w:t>by a distinctive name, — in many cases it is the</w:t>
      </w:r>
      <w:r>
        <w:rPr>
          <w:rFonts w:ascii="Arial" w:hAnsi="Arial"/>
        </w:rPr>
        <w:t xml:space="preserve"> </w:t>
      </w:r>
      <w:r>
        <w:rPr>
          <w:rFonts w:ascii="Arial" w:hAnsi="Arial"/>
          <w:u w:val="thick"/>
        </w:rPr>
        <w:t>name of the founder, and has a common faith and</w:t>
      </w:r>
      <w:r>
        <w:rPr>
          <w:rFonts w:ascii="Arial" w:hAnsi="Arial"/>
        </w:rPr>
        <w:t xml:space="preserve"> </w:t>
      </w:r>
      <w:r>
        <w:rPr>
          <w:rFonts w:ascii="Arial" w:hAnsi="Arial"/>
          <w:u w:val="thick"/>
        </w:rPr>
        <w:t>common spiritual organization.</w:t>
      </w:r>
      <w:r>
        <w:rPr>
          <w:rFonts w:ascii="Arial" w:hAnsi="Arial"/>
        </w:rPr>
        <w:t xml:space="preserve"> The followers of</w:t>
      </w:r>
      <w:r>
        <w:rPr>
          <w:rFonts w:ascii="Arial" w:hAnsi="Arial"/>
        </w:rPr>
        <w:t xml:space="preserve"> Ramanuja, who are known by the name of Shri Vaishnabas, undoubtedly constitute a religious denomination; and so do the followers of Madhwacharya and other religious teachers. It is a fact well established by tradition that the eight Udipi Maths were found</w:t>
      </w:r>
      <w:r>
        <w:rPr>
          <w:rFonts w:ascii="Arial" w:hAnsi="Arial"/>
        </w:rPr>
        <w:t>ed by Madhwacharya himself and the trustees and the beneficiaries of these Maths profess to be followers of that teacher. The High Court has found that the Math in question is in charge of the Sivalli Brahmins who constitute a section of the followers of M</w:t>
      </w:r>
      <w:r>
        <w:rPr>
          <w:rFonts w:ascii="Arial" w:hAnsi="Arial"/>
        </w:rPr>
        <w:t>adhwacharya. As</w:t>
      </w:r>
      <w:r>
        <w:rPr>
          <w:rFonts w:ascii="Arial" w:hAnsi="Arial"/>
          <w:spacing w:val="25"/>
        </w:rPr>
        <w:t xml:space="preserve"> </w:t>
      </w:r>
      <w:r>
        <w:rPr>
          <w:rFonts w:ascii="Arial" w:hAnsi="Arial"/>
        </w:rPr>
        <w:t>Article</w:t>
      </w:r>
    </w:p>
    <w:p w:rsidR="003B2FC0" w:rsidRDefault="00052A49">
      <w:pPr>
        <w:pStyle w:val="BodyText"/>
        <w:spacing w:before="1"/>
        <w:ind w:left="1518" w:right="1539"/>
        <w:jc w:val="both"/>
        <w:rPr>
          <w:rFonts w:ascii="Arial" w:hAnsi="Arial"/>
        </w:rPr>
      </w:pPr>
      <w:r>
        <w:rPr>
          <w:rFonts w:ascii="Arial" w:hAnsi="Arial"/>
        </w:rPr>
        <w:t>26 contemplates not merely a religious denomination but also a section thereof, the Math or the spiritual fraternity represented by it can legitimately come within the purview of this</w:t>
      </w:r>
      <w:r>
        <w:rPr>
          <w:rFonts w:ascii="Arial" w:hAnsi="Arial"/>
          <w:spacing w:val="-46"/>
        </w:rPr>
        <w:t xml:space="preserve"> </w:t>
      </w:r>
      <w:r>
        <w:rPr>
          <w:rFonts w:ascii="Arial" w:hAnsi="Arial"/>
        </w:rPr>
        <w:t>article.‖</w:t>
      </w:r>
    </w:p>
    <w:p w:rsidR="003B2FC0" w:rsidRDefault="00052A49">
      <w:pPr>
        <w:pStyle w:val="BodyText"/>
        <w:spacing w:before="200"/>
        <w:ind w:left="5734" w:right="1522" w:hanging="202"/>
        <w:rPr>
          <w:rFonts w:ascii="Arial"/>
        </w:rPr>
      </w:pPr>
      <w:r>
        <w:rPr>
          <w:rFonts w:ascii="Arial"/>
        </w:rPr>
        <w:t>(emphasis supplied) (at pp. 1021-1022)</w:t>
      </w:r>
    </w:p>
    <w:p w:rsidR="003B2FC0" w:rsidRDefault="003B2FC0">
      <w:pPr>
        <w:sectPr w:rsidR="003B2FC0">
          <w:headerReference w:type="default" r:id="rId196"/>
          <w:footerReference w:type="default" r:id="rId197"/>
          <w:pgSz w:w="12240" w:h="15840"/>
          <w:pgMar w:top="1360" w:right="1320" w:bottom="1680" w:left="1340" w:header="0" w:footer="1487" w:gutter="0"/>
          <w:pgNumType w:start="7"/>
          <w:cols w:space="720"/>
        </w:sectPr>
      </w:pPr>
    </w:p>
    <w:p w:rsidR="003B2FC0" w:rsidRDefault="003B2FC0">
      <w:pPr>
        <w:rPr>
          <w:sz w:val="20"/>
        </w:rPr>
      </w:pPr>
    </w:p>
    <w:p w:rsidR="003B2FC0" w:rsidRDefault="00052A49">
      <w:pPr>
        <w:pStyle w:val="BodyText"/>
        <w:spacing w:before="227"/>
        <w:ind w:left="383"/>
        <w:rPr>
          <w:rFonts w:ascii="Arial" w:hAnsi="Arial"/>
        </w:rPr>
      </w:pPr>
      <w:r>
        <w:rPr>
          <w:rFonts w:ascii="Arial" w:hAnsi="Arial"/>
          <w:spacing w:val="1"/>
        </w:rPr>
        <w:t>W</w:t>
      </w:r>
      <w:r>
        <w:rPr>
          <w:rFonts w:ascii="Arial" w:hAnsi="Arial"/>
          <w:spacing w:val="-3"/>
        </w:rPr>
        <w:t>i</w:t>
      </w:r>
      <w:r>
        <w:rPr>
          <w:rFonts w:ascii="Arial" w:hAnsi="Arial"/>
        </w:rPr>
        <w:t>th</w:t>
      </w:r>
      <w:r>
        <w:rPr>
          <w:rFonts w:ascii="Arial" w:hAnsi="Arial"/>
        </w:rPr>
        <w:t xml:space="preserve"> </w:t>
      </w:r>
      <w:r>
        <w:rPr>
          <w:rFonts w:ascii="Arial" w:hAnsi="Arial"/>
          <w:spacing w:val="9"/>
        </w:rPr>
        <w:t xml:space="preserve"> </w:t>
      </w:r>
      <w:r>
        <w:rPr>
          <w:rFonts w:ascii="Arial" w:hAnsi="Arial"/>
        </w:rPr>
        <w:t>regard</w:t>
      </w:r>
      <w:r>
        <w:rPr>
          <w:rFonts w:ascii="Arial" w:hAnsi="Arial"/>
        </w:rPr>
        <w:t xml:space="preserve"> </w:t>
      </w:r>
      <w:r>
        <w:rPr>
          <w:rFonts w:ascii="Arial" w:hAnsi="Arial"/>
          <w:spacing w:val="9"/>
        </w:rPr>
        <w:t xml:space="preserve"> </w:t>
      </w:r>
      <w:r>
        <w:rPr>
          <w:rFonts w:ascii="Arial" w:hAnsi="Arial"/>
        </w:rPr>
        <w:t>to</w:t>
      </w:r>
      <w:r>
        <w:rPr>
          <w:rFonts w:ascii="Arial" w:hAnsi="Arial"/>
        </w:rPr>
        <w:t xml:space="preserve"> </w:t>
      </w:r>
      <w:r>
        <w:rPr>
          <w:rFonts w:ascii="Arial" w:hAnsi="Arial"/>
          <w:spacing w:val="9"/>
        </w:rPr>
        <w:t xml:space="preserve"> </w:t>
      </w:r>
      <w:r>
        <w:rPr>
          <w:rFonts w:ascii="Arial" w:hAnsi="Arial"/>
          <w:spacing w:val="-2"/>
        </w:rPr>
        <w:t>w</w:t>
      </w:r>
      <w:r>
        <w:rPr>
          <w:rFonts w:ascii="Arial" w:hAnsi="Arial"/>
          <w:spacing w:val="-1"/>
        </w:rPr>
        <w:t>ha</w:t>
      </w:r>
      <w:r>
        <w:rPr>
          <w:rFonts w:ascii="Arial" w:hAnsi="Arial"/>
        </w:rPr>
        <w:t>t</w:t>
      </w:r>
      <w:r>
        <w:rPr>
          <w:rFonts w:ascii="Arial" w:hAnsi="Arial"/>
        </w:rPr>
        <w:t xml:space="preserve"> </w:t>
      </w:r>
      <w:r>
        <w:rPr>
          <w:rFonts w:ascii="Arial" w:hAnsi="Arial"/>
          <w:spacing w:val="10"/>
        </w:rPr>
        <w:t xml:space="preserve"> </w:t>
      </w:r>
      <w:r>
        <w:rPr>
          <w:rFonts w:ascii="Arial" w:hAnsi="Arial"/>
        </w:rPr>
        <w:t>c</w:t>
      </w:r>
      <w:r>
        <w:rPr>
          <w:rFonts w:ascii="Arial" w:hAnsi="Arial"/>
          <w:spacing w:val="-1"/>
        </w:rPr>
        <w:t>o</w:t>
      </w:r>
      <w:r>
        <w:rPr>
          <w:rFonts w:ascii="Arial" w:hAnsi="Arial"/>
          <w:spacing w:val="-3"/>
        </w:rPr>
        <w:t>n</w:t>
      </w:r>
      <w:r>
        <w:rPr>
          <w:rFonts w:ascii="Arial" w:hAnsi="Arial"/>
        </w:rPr>
        <w:t>s</w:t>
      </w:r>
      <w:r>
        <w:rPr>
          <w:rFonts w:ascii="Arial" w:hAnsi="Arial"/>
          <w:spacing w:val="-2"/>
        </w:rPr>
        <w:t>t</w:t>
      </w:r>
      <w:r>
        <w:rPr>
          <w:rFonts w:ascii="Arial" w:hAnsi="Arial"/>
          <w:spacing w:val="-1"/>
        </w:rPr>
        <w:t>i</w:t>
      </w:r>
      <w:r>
        <w:rPr>
          <w:rFonts w:ascii="Arial" w:hAnsi="Arial"/>
        </w:rPr>
        <w:t>t</w:t>
      </w:r>
      <w:r>
        <w:rPr>
          <w:rFonts w:ascii="Arial" w:hAnsi="Arial"/>
          <w:spacing w:val="-3"/>
        </w:rPr>
        <w:t>u</w:t>
      </w:r>
      <w:r>
        <w:rPr>
          <w:rFonts w:ascii="Arial" w:hAnsi="Arial"/>
        </w:rPr>
        <w:t>t</w:t>
      </w:r>
      <w:r>
        <w:rPr>
          <w:rFonts w:ascii="Arial" w:hAnsi="Arial"/>
          <w:spacing w:val="-3"/>
        </w:rPr>
        <w:t>e</w:t>
      </w:r>
      <w:r>
        <w:rPr>
          <w:rFonts w:ascii="Arial" w:hAnsi="Arial"/>
        </w:rPr>
        <w:t>s</w:t>
      </w:r>
      <w:r>
        <w:rPr>
          <w:rFonts w:ascii="Arial" w:hAnsi="Arial"/>
        </w:rPr>
        <w:t xml:space="preserve"> </w:t>
      </w:r>
      <w:r>
        <w:rPr>
          <w:rFonts w:ascii="Arial" w:hAnsi="Arial"/>
          <w:spacing w:val="10"/>
        </w:rPr>
        <w:t xml:space="preserve"> </w:t>
      </w:r>
      <w:r>
        <w:rPr>
          <w:rFonts w:ascii="Arial" w:hAnsi="Arial"/>
          <w:w w:val="64"/>
        </w:rPr>
        <w:t>―r</w:t>
      </w:r>
      <w:r>
        <w:rPr>
          <w:rFonts w:ascii="Arial" w:hAnsi="Arial"/>
          <w:spacing w:val="-3"/>
          <w:w w:val="64"/>
        </w:rPr>
        <w:t>e</w:t>
      </w:r>
      <w:r>
        <w:rPr>
          <w:rFonts w:ascii="Arial" w:hAnsi="Arial"/>
          <w:spacing w:val="-1"/>
        </w:rPr>
        <w:t>ligio</w:t>
      </w:r>
      <w:r>
        <w:rPr>
          <w:rFonts w:ascii="Arial" w:hAnsi="Arial"/>
          <w:spacing w:val="4"/>
        </w:rPr>
        <w:t>n</w:t>
      </w:r>
      <w:r>
        <w:rPr>
          <w:rFonts w:ascii="Arial" w:hAnsi="Arial"/>
          <w:w w:val="80"/>
        </w:rPr>
        <w:t>‖</w:t>
      </w:r>
      <w:r>
        <w:rPr>
          <w:rFonts w:ascii="Arial" w:hAnsi="Arial"/>
        </w:rPr>
        <w:t>,</w:t>
      </w:r>
      <w:r>
        <w:rPr>
          <w:rFonts w:ascii="Arial" w:hAnsi="Arial"/>
        </w:rPr>
        <w:t xml:space="preserve"> </w:t>
      </w:r>
      <w:r>
        <w:rPr>
          <w:rFonts w:ascii="Arial" w:hAnsi="Arial"/>
          <w:spacing w:val="11"/>
        </w:rPr>
        <w:t xml:space="preserve"> </w:t>
      </w:r>
      <w:r>
        <w:rPr>
          <w:rFonts w:ascii="Arial" w:hAnsi="Arial"/>
          <w:w w:val="33"/>
        </w:rPr>
        <w:t>―</w:t>
      </w:r>
      <w:r>
        <w:rPr>
          <w:rFonts w:ascii="Arial" w:hAnsi="Arial"/>
        </w:rPr>
        <w:t>rel</w:t>
      </w:r>
      <w:r>
        <w:rPr>
          <w:rFonts w:ascii="Arial" w:hAnsi="Arial"/>
          <w:spacing w:val="-3"/>
        </w:rPr>
        <w:t>i</w:t>
      </w:r>
      <w:r>
        <w:rPr>
          <w:rFonts w:ascii="Arial" w:hAnsi="Arial"/>
        </w:rPr>
        <w:t>gious</w:t>
      </w:r>
      <w:r>
        <w:rPr>
          <w:rFonts w:ascii="Arial" w:hAnsi="Arial"/>
        </w:rPr>
        <w:t xml:space="preserve"> </w:t>
      </w:r>
      <w:r>
        <w:rPr>
          <w:rFonts w:ascii="Arial" w:hAnsi="Arial"/>
          <w:spacing w:val="10"/>
        </w:rPr>
        <w:t xml:space="preserve"> </w:t>
      </w:r>
      <w:r>
        <w:rPr>
          <w:rFonts w:ascii="Arial" w:hAnsi="Arial"/>
          <w:spacing w:val="-3"/>
        </w:rPr>
        <w:t>p</w:t>
      </w:r>
      <w:r>
        <w:rPr>
          <w:rFonts w:ascii="Arial" w:hAnsi="Arial"/>
        </w:rPr>
        <w:t>ra</w:t>
      </w:r>
      <w:r>
        <w:rPr>
          <w:rFonts w:ascii="Arial" w:hAnsi="Arial"/>
          <w:spacing w:val="-2"/>
        </w:rPr>
        <w:t>c</w:t>
      </w:r>
      <w:r>
        <w:rPr>
          <w:rFonts w:ascii="Arial" w:hAnsi="Arial"/>
        </w:rPr>
        <w:t>tic</w:t>
      </w:r>
      <w:r>
        <w:rPr>
          <w:rFonts w:ascii="Arial" w:hAnsi="Arial"/>
          <w:spacing w:val="1"/>
        </w:rPr>
        <w:t>e</w:t>
      </w:r>
      <w:r>
        <w:rPr>
          <w:rFonts w:ascii="Arial" w:hAnsi="Arial"/>
          <w:spacing w:val="-3"/>
          <w:w w:val="80"/>
        </w:rPr>
        <w:t>‖</w:t>
      </w:r>
      <w:r>
        <w:rPr>
          <w:rFonts w:ascii="Arial" w:hAnsi="Arial"/>
        </w:rPr>
        <w:t>,</w:t>
      </w:r>
      <w:r>
        <w:rPr>
          <w:rFonts w:ascii="Arial" w:hAnsi="Arial"/>
        </w:rPr>
        <w:t xml:space="preserve"> </w:t>
      </w:r>
      <w:r>
        <w:rPr>
          <w:rFonts w:ascii="Arial" w:hAnsi="Arial"/>
          <w:spacing w:val="11"/>
        </w:rPr>
        <w:t xml:space="preserve"> </w:t>
      </w:r>
      <w:r>
        <w:rPr>
          <w:rFonts w:ascii="Arial" w:hAnsi="Arial"/>
        </w:rPr>
        <w:t>and</w:t>
      </w:r>
    </w:p>
    <w:p w:rsidR="003B2FC0" w:rsidRDefault="003B2FC0">
      <w:pPr>
        <w:spacing w:before="2"/>
        <w:rPr>
          <w:sz w:val="28"/>
        </w:rPr>
      </w:pPr>
    </w:p>
    <w:p w:rsidR="003B2FC0" w:rsidRDefault="00052A49">
      <w:pPr>
        <w:pStyle w:val="BodyText"/>
        <w:spacing w:line="480" w:lineRule="auto"/>
        <w:ind w:left="383"/>
        <w:rPr>
          <w:rFonts w:ascii="Arial" w:hAnsi="Arial"/>
        </w:rPr>
      </w:pPr>
      <w:r>
        <w:rPr>
          <w:rFonts w:ascii="Arial" w:hAnsi="Arial"/>
          <w:w w:val="33"/>
        </w:rPr>
        <w:t>―</w:t>
      </w:r>
      <w:r>
        <w:rPr>
          <w:rFonts w:ascii="Arial" w:hAnsi="Arial"/>
        </w:rPr>
        <w:t>essential</w:t>
      </w:r>
      <w:r>
        <w:rPr>
          <w:rFonts w:ascii="Arial" w:hAnsi="Arial"/>
        </w:rPr>
        <w:t xml:space="preserve"> </w:t>
      </w:r>
      <w:r>
        <w:rPr>
          <w:rFonts w:ascii="Arial" w:hAnsi="Arial"/>
        </w:rPr>
        <w:t>religious</w:t>
      </w:r>
      <w:r>
        <w:rPr>
          <w:rFonts w:ascii="Arial" w:hAnsi="Arial"/>
        </w:rPr>
        <w:t xml:space="preserve"> </w:t>
      </w:r>
      <w:r>
        <w:rPr>
          <w:rFonts w:ascii="Arial" w:hAnsi="Arial"/>
        </w:rPr>
        <w:t>practices</w:t>
      </w:r>
      <w:r>
        <w:rPr>
          <w:rFonts w:ascii="Arial" w:hAnsi="Arial"/>
          <w:w w:val="88"/>
        </w:rPr>
        <w:t>‖,</w:t>
      </w:r>
      <w:r>
        <w:rPr>
          <w:rFonts w:ascii="Arial" w:hAnsi="Arial"/>
        </w:rPr>
        <w:t xml:space="preserve"> </w:t>
      </w:r>
      <w:r>
        <w:rPr>
          <w:rFonts w:ascii="Arial" w:hAnsi="Arial"/>
        </w:rPr>
        <w:t>as</w:t>
      </w:r>
      <w:r>
        <w:rPr>
          <w:rFonts w:ascii="Arial" w:hAnsi="Arial"/>
        </w:rPr>
        <w:t xml:space="preserve"> </w:t>
      </w:r>
      <w:r>
        <w:rPr>
          <w:rFonts w:ascii="Arial" w:hAnsi="Arial"/>
        </w:rPr>
        <w:t>opposed</w:t>
      </w:r>
      <w:r>
        <w:rPr>
          <w:rFonts w:ascii="Arial" w:hAnsi="Arial"/>
        </w:rPr>
        <w:t xml:space="preserve"> </w:t>
      </w:r>
      <w:r>
        <w:rPr>
          <w:rFonts w:ascii="Arial" w:hAnsi="Arial"/>
        </w:rPr>
        <w:t>to</w:t>
      </w:r>
      <w:r>
        <w:rPr>
          <w:rFonts w:ascii="Arial" w:hAnsi="Arial"/>
        </w:rPr>
        <w:t xml:space="preserve">  </w:t>
      </w:r>
      <w:r>
        <w:rPr>
          <w:rFonts w:ascii="Arial" w:hAnsi="Arial"/>
          <w:w w:val="33"/>
        </w:rPr>
        <w:t>―</w:t>
      </w:r>
      <w:r>
        <w:rPr>
          <w:rFonts w:ascii="Arial" w:hAnsi="Arial"/>
        </w:rPr>
        <w:t>secular</w:t>
      </w:r>
      <w:r>
        <w:rPr>
          <w:rFonts w:ascii="Arial" w:hAnsi="Arial"/>
        </w:rPr>
        <w:t xml:space="preserve"> </w:t>
      </w:r>
      <w:r>
        <w:rPr>
          <w:rFonts w:ascii="Arial" w:hAnsi="Arial"/>
        </w:rPr>
        <w:t>practices</w:t>
      </w:r>
      <w:r>
        <w:rPr>
          <w:rFonts w:ascii="Arial" w:hAnsi="Arial"/>
          <w:w w:val="80"/>
        </w:rPr>
        <w:t>‖</w:t>
      </w:r>
      <w:r>
        <w:rPr>
          <w:rFonts w:ascii="Arial" w:hAnsi="Arial"/>
        </w:rPr>
        <w:t>,</w:t>
      </w:r>
      <w:r>
        <w:rPr>
          <w:rFonts w:ascii="Arial" w:hAnsi="Arial"/>
        </w:rPr>
        <w:t xml:space="preserve"> </w:t>
      </w:r>
      <w:r>
        <w:rPr>
          <w:rFonts w:ascii="Arial" w:hAnsi="Arial"/>
        </w:rPr>
        <w:t xml:space="preserve">this </w:t>
      </w:r>
      <w:r>
        <w:rPr>
          <w:rFonts w:ascii="Arial" w:hAnsi="Arial"/>
        </w:rPr>
        <w:t>Court held:</w:t>
      </w:r>
    </w:p>
    <w:p w:rsidR="003B2FC0" w:rsidRDefault="00052A49">
      <w:pPr>
        <w:pStyle w:val="BodyText"/>
        <w:spacing w:before="200"/>
        <w:ind w:left="1518" w:right="1538"/>
        <w:jc w:val="both"/>
        <w:rPr>
          <w:rFonts w:ascii="Arial" w:hAnsi="Arial"/>
        </w:rPr>
      </w:pPr>
      <w:r>
        <w:rPr>
          <w:rFonts w:ascii="Arial" w:hAnsi="Arial"/>
          <w:w w:val="33"/>
        </w:rPr>
        <w:t>―</w:t>
      </w:r>
      <w:r>
        <w:rPr>
          <w:rFonts w:ascii="Arial" w:hAnsi="Arial"/>
        </w:rPr>
        <w:t>It</w:t>
      </w:r>
      <w:r>
        <w:rPr>
          <w:rFonts w:ascii="Arial" w:hAnsi="Arial"/>
          <w:spacing w:val="28"/>
        </w:rPr>
        <w:t xml:space="preserve"> </w:t>
      </w:r>
      <w:r>
        <w:rPr>
          <w:rFonts w:ascii="Arial" w:hAnsi="Arial"/>
          <w:spacing w:val="-4"/>
        </w:rPr>
        <w:t>w</w:t>
      </w:r>
      <w:r>
        <w:rPr>
          <w:rFonts w:ascii="Arial" w:hAnsi="Arial"/>
        </w:rPr>
        <w:t>ill</w:t>
      </w:r>
      <w:r>
        <w:rPr>
          <w:rFonts w:ascii="Arial" w:hAnsi="Arial"/>
          <w:spacing w:val="30"/>
        </w:rPr>
        <w:t xml:space="preserve"> </w:t>
      </w:r>
      <w:r>
        <w:rPr>
          <w:rFonts w:ascii="Arial" w:hAnsi="Arial"/>
        </w:rPr>
        <w:t>be</w:t>
      </w:r>
      <w:r>
        <w:rPr>
          <w:rFonts w:ascii="Arial" w:hAnsi="Arial"/>
          <w:spacing w:val="29"/>
        </w:rPr>
        <w:t xml:space="preserve"> </w:t>
      </w:r>
      <w:r>
        <w:rPr>
          <w:rFonts w:ascii="Arial" w:hAnsi="Arial"/>
        </w:rPr>
        <w:t>seen</w:t>
      </w:r>
      <w:r>
        <w:rPr>
          <w:rFonts w:ascii="Arial" w:hAnsi="Arial"/>
          <w:spacing w:val="27"/>
        </w:rPr>
        <w:t xml:space="preserve"> </w:t>
      </w:r>
      <w:r>
        <w:rPr>
          <w:rFonts w:ascii="Arial" w:hAnsi="Arial"/>
        </w:rPr>
        <w:t>t</w:t>
      </w:r>
      <w:r>
        <w:rPr>
          <w:rFonts w:ascii="Arial" w:hAnsi="Arial"/>
          <w:spacing w:val="-3"/>
        </w:rPr>
        <w:t>h</w:t>
      </w:r>
      <w:r>
        <w:rPr>
          <w:rFonts w:ascii="Arial" w:hAnsi="Arial"/>
        </w:rPr>
        <w:t>at</w:t>
      </w:r>
      <w:r>
        <w:rPr>
          <w:rFonts w:ascii="Arial" w:hAnsi="Arial"/>
          <w:spacing w:val="28"/>
        </w:rPr>
        <w:t xml:space="preserve"> </w:t>
      </w:r>
      <w:r>
        <w:rPr>
          <w:rFonts w:ascii="Arial" w:hAnsi="Arial"/>
        </w:rPr>
        <w:t>besid</w:t>
      </w:r>
      <w:r>
        <w:rPr>
          <w:rFonts w:ascii="Arial" w:hAnsi="Arial"/>
          <w:spacing w:val="-3"/>
        </w:rPr>
        <w:t>e</w:t>
      </w:r>
      <w:r>
        <w:rPr>
          <w:rFonts w:ascii="Arial" w:hAnsi="Arial"/>
        </w:rPr>
        <w:t>s</w:t>
      </w:r>
      <w:r>
        <w:rPr>
          <w:rFonts w:ascii="Arial" w:hAnsi="Arial"/>
          <w:spacing w:val="28"/>
        </w:rPr>
        <w:t xml:space="preserve"> </w:t>
      </w:r>
      <w:r>
        <w:rPr>
          <w:rFonts w:ascii="Arial" w:hAnsi="Arial"/>
        </w:rPr>
        <w:t>the</w:t>
      </w:r>
      <w:r>
        <w:rPr>
          <w:rFonts w:ascii="Arial" w:hAnsi="Arial"/>
          <w:spacing w:val="27"/>
        </w:rPr>
        <w:t xml:space="preserve"> </w:t>
      </w:r>
      <w:r>
        <w:rPr>
          <w:rFonts w:ascii="Arial" w:hAnsi="Arial"/>
        </w:rPr>
        <w:t>rig</w:t>
      </w:r>
      <w:r>
        <w:rPr>
          <w:rFonts w:ascii="Arial" w:hAnsi="Arial"/>
          <w:spacing w:val="-3"/>
        </w:rPr>
        <w:t>h</w:t>
      </w:r>
      <w:r>
        <w:rPr>
          <w:rFonts w:ascii="Arial" w:hAnsi="Arial"/>
        </w:rPr>
        <w:t>t</w:t>
      </w:r>
      <w:r>
        <w:rPr>
          <w:rFonts w:ascii="Arial" w:hAnsi="Arial"/>
          <w:spacing w:val="28"/>
        </w:rPr>
        <w:t xml:space="preserve"> </w:t>
      </w:r>
      <w:r>
        <w:rPr>
          <w:rFonts w:ascii="Arial" w:hAnsi="Arial"/>
          <w:spacing w:val="-2"/>
        </w:rPr>
        <w:t>t</w:t>
      </w:r>
      <w:r>
        <w:rPr>
          <w:rFonts w:ascii="Arial" w:hAnsi="Arial"/>
        </w:rPr>
        <w:t>o</w:t>
      </w:r>
      <w:r>
        <w:rPr>
          <w:rFonts w:ascii="Arial" w:hAnsi="Arial"/>
          <w:spacing w:val="29"/>
        </w:rPr>
        <w:t xml:space="preserve"> </w:t>
      </w:r>
      <w:r>
        <w:rPr>
          <w:rFonts w:ascii="Arial" w:hAnsi="Arial"/>
          <w:spacing w:val="-2"/>
        </w:rPr>
        <w:t>m</w:t>
      </w:r>
      <w:r>
        <w:rPr>
          <w:rFonts w:ascii="Arial" w:hAnsi="Arial"/>
        </w:rPr>
        <w:t>anage</w:t>
      </w:r>
      <w:r>
        <w:rPr>
          <w:rFonts w:ascii="Arial" w:hAnsi="Arial"/>
          <w:spacing w:val="29"/>
        </w:rPr>
        <w:t xml:space="preserve"> </w:t>
      </w:r>
      <w:r>
        <w:rPr>
          <w:rFonts w:ascii="Arial" w:hAnsi="Arial"/>
          <w:spacing w:val="-3"/>
        </w:rPr>
        <w:t>i</w:t>
      </w:r>
      <w:r>
        <w:rPr>
          <w:rFonts w:ascii="Arial" w:hAnsi="Arial"/>
          <w:spacing w:val="-2"/>
        </w:rPr>
        <w:t>t</w:t>
      </w:r>
      <w:r>
        <w:rPr>
          <w:rFonts w:ascii="Arial" w:hAnsi="Arial"/>
        </w:rPr>
        <w:t xml:space="preserve">s </w:t>
      </w:r>
      <w:r>
        <w:rPr>
          <w:rFonts w:ascii="Arial" w:hAnsi="Arial"/>
        </w:rPr>
        <w:t>own affairs in matters of religion, which is given by clause (b), the next two clauses of Article 26 guarantee to a religious denomination the right to acquire and own property and to administer such property in accordance with law. The administration o</w:t>
      </w:r>
      <w:r>
        <w:rPr>
          <w:rFonts w:ascii="Arial" w:hAnsi="Arial"/>
        </w:rPr>
        <w:t>f its property by a religious denomination has thus been placed on a different footing from the right to manage its own affairs in matters of religion. The latter is a fundamental right which no legislature can take away, whereas the former can be regulate</w:t>
      </w:r>
      <w:r>
        <w:rPr>
          <w:rFonts w:ascii="Arial" w:hAnsi="Arial"/>
        </w:rPr>
        <w:t>d by laws which the legislature can validly impose. It is clear, therefore, that questions merely relating to administration of properties belonging to a religious group or institution are not matters of religion to which clause (b) of the Article applies.</w:t>
      </w:r>
      <w:r>
        <w:rPr>
          <w:rFonts w:ascii="Arial" w:hAnsi="Arial"/>
        </w:rPr>
        <w:t xml:space="preserve"> What then are matters of religion? The word ―religion‖ has not been defined in the Constitution and it is a term which is hardly susceptible of any rigid definition. In an American case [</w:t>
      </w:r>
      <w:r>
        <w:rPr>
          <w:rFonts w:ascii="Arial" w:hAnsi="Arial"/>
          <w:i/>
        </w:rPr>
        <w:t xml:space="preserve">Vide Davis </w:t>
      </w:r>
      <w:r>
        <w:rPr>
          <w:rFonts w:ascii="Arial" w:hAnsi="Arial"/>
        </w:rPr>
        <w:t xml:space="preserve">v. </w:t>
      </w:r>
      <w:r>
        <w:rPr>
          <w:rFonts w:ascii="Arial" w:hAnsi="Arial"/>
          <w:i/>
        </w:rPr>
        <w:t>Benson</w:t>
      </w:r>
      <w:r>
        <w:rPr>
          <w:rFonts w:ascii="Arial" w:hAnsi="Arial"/>
        </w:rPr>
        <w:t xml:space="preserve">, 133 US </w:t>
      </w:r>
      <w:r>
        <w:rPr>
          <w:rFonts w:ascii="Arial" w:hAnsi="Arial"/>
        </w:rPr>
        <w:t>333</w:t>
      </w:r>
      <w:r>
        <w:rPr>
          <w:rFonts w:ascii="Arial" w:hAnsi="Arial"/>
          <w:spacing w:val="15"/>
        </w:rPr>
        <w:t xml:space="preserve"> </w:t>
      </w:r>
      <w:r>
        <w:rPr>
          <w:rFonts w:ascii="Arial" w:hAnsi="Arial"/>
        </w:rPr>
        <w:t>at</w:t>
      </w:r>
      <w:r>
        <w:rPr>
          <w:rFonts w:ascii="Arial" w:hAnsi="Arial"/>
          <w:spacing w:val="16"/>
        </w:rPr>
        <w:t xml:space="preserve"> </w:t>
      </w:r>
      <w:r>
        <w:rPr>
          <w:rFonts w:ascii="Arial" w:hAnsi="Arial"/>
          <w:spacing w:val="-3"/>
        </w:rPr>
        <w:t>3</w:t>
      </w:r>
      <w:r>
        <w:rPr>
          <w:rFonts w:ascii="Arial" w:hAnsi="Arial"/>
        </w:rPr>
        <w:t>42</w:t>
      </w:r>
      <w:r>
        <w:rPr>
          <w:rFonts w:ascii="Arial" w:hAnsi="Arial"/>
          <w:spacing w:val="-1"/>
        </w:rPr>
        <w:t>]</w:t>
      </w:r>
      <w:r>
        <w:rPr>
          <w:rFonts w:ascii="Arial" w:hAnsi="Arial"/>
        </w:rPr>
        <w:t>,</w:t>
      </w:r>
      <w:r>
        <w:rPr>
          <w:rFonts w:ascii="Arial" w:hAnsi="Arial"/>
          <w:spacing w:val="16"/>
        </w:rPr>
        <w:t xml:space="preserve"> </w:t>
      </w:r>
      <w:r>
        <w:rPr>
          <w:rFonts w:ascii="Arial" w:hAnsi="Arial"/>
          <w:spacing w:val="-3"/>
        </w:rPr>
        <w:t>i</w:t>
      </w:r>
      <w:r>
        <w:rPr>
          <w:rFonts w:ascii="Arial" w:hAnsi="Arial"/>
        </w:rPr>
        <w:t>t</w:t>
      </w:r>
      <w:r>
        <w:rPr>
          <w:rFonts w:ascii="Arial" w:hAnsi="Arial"/>
          <w:spacing w:val="16"/>
        </w:rPr>
        <w:t xml:space="preserve"> </w:t>
      </w:r>
      <w:r>
        <w:rPr>
          <w:rFonts w:ascii="Arial" w:hAnsi="Arial"/>
          <w:spacing w:val="-1"/>
        </w:rPr>
        <w:t>h</w:t>
      </w:r>
      <w:r>
        <w:rPr>
          <w:rFonts w:ascii="Arial" w:hAnsi="Arial"/>
          <w:spacing w:val="-3"/>
        </w:rPr>
        <w:t>a</w:t>
      </w:r>
      <w:r>
        <w:rPr>
          <w:rFonts w:ascii="Arial" w:hAnsi="Arial"/>
        </w:rPr>
        <w:t>s</w:t>
      </w:r>
      <w:r>
        <w:rPr>
          <w:rFonts w:ascii="Arial" w:hAnsi="Arial"/>
          <w:spacing w:val="14"/>
        </w:rPr>
        <w:t xml:space="preserve"> </w:t>
      </w:r>
      <w:r>
        <w:rPr>
          <w:rFonts w:ascii="Arial" w:hAnsi="Arial"/>
          <w:spacing w:val="-1"/>
        </w:rPr>
        <w:t>bee</w:t>
      </w:r>
      <w:r>
        <w:rPr>
          <w:rFonts w:ascii="Arial" w:hAnsi="Arial"/>
        </w:rPr>
        <w:t>n</w:t>
      </w:r>
      <w:r>
        <w:rPr>
          <w:rFonts w:ascii="Arial" w:hAnsi="Arial"/>
          <w:spacing w:val="15"/>
        </w:rPr>
        <w:t xml:space="preserve"> </w:t>
      </w:r>
      <w:r>
        <w:rPr>
          <w:rFonts w:ascii="Arial" w:hAnsi="Arial"/>
        </w:rPr>
        <w:t>s</w:t>
      </w:r>
      <w:r>
        <w:rPr>
          <w:rFonts w:ascii="Arial" w:hAnsi="Arial"/>
          <w:spacing w:val="-1"/>
        </w:rPr>
        <w:t>a</w:t>
      </w:r>
      <w:r>
        <w:rPr>
          <w:rFonts w:ascii="Arial" w:hAnsi="Arial"/>
          <w:spacing w:val="-3"/>
        </w:rPr>
        <w:t>i</w:t>
      </w:r>
      <w:r>
        <w:rPr>
          <w:rFonts w:ascii="Arial" w:hAnsi="Arial"/>
        </w:rPr>
        <w:t>d</w:t>
      </w:r>
      <w:r>
        <w:rPr>
          <w:rFonts w:ascii="Arial" w:hAnsi="Arial"/>
          <w:spacing w:val="15"/>
        </w:rPr>
        <w:t xml:space="preserve"> </w:t>
      </w:r>
      <w:r>
        <w:rPr>
          <w:rFonts w:ascii="Arial" w:hAnsi="Arial"/>
          <w:w w:val="47"/>
        </w:rPr>
        <w:t>―</w:t>
      </w:r>
      <w:r>
        <w:rPr>
          <w:rFonts w:ascii="Arial" w:hAnsi="Arial"/>
          <w:spacing w:val="-2"/>
          <w:w w:val="47"/>
        </w:rPr>
        <w:t>t</w:t>
      </w:r>
      <w:r>
        <w:rPr>
          <w:rFonts w:ascii="Arial" w:hAnsi="Arial"/>
          <w:spacing w:val="-1"/>
        </w:rPr>
        <w:t>ha</w:t>
      </w:r>
      <w:r>
        <w:rPr>
          <w:rFonts w:ascii="Arial" w:hAnsi="Arial"/>
        </w:rPr>
        <w:t>t</w:t>
      </w:r>
      <w:r>
        <w:rPr>
          <w:rFonts w:ascii="Arial" w:hAnsi="Arial"/>
          <w:spacing w:val="13"/>
        </w:rPr>
        <w:t xml:space="preserve"> </w:t>
      </w:r>
      <w:r>
        <w:rPr>
          <w:rFonts w:ascii="Arial" w:hAnsi="Arial"/>
        </w:rPr>
        <w:t>t</w:t>
      </w:r>
      <w:r>
        <w:rPr>
          <w:rFonts w:ascii="Arial" w:hAnsi="Arial"/>
          <w:spacing w:val="-1"/>
        </w:rPr>
        <w:t>h</w:t>
      </w:r>
      <w:r>
        <w:rPr>
          <w:rFonts w:ascii="Arial" w:hAnsi="Arial"/>
        </w:rPr>
        <w:t>e</w:t>
      </w:r>
      <w:r>
        <w:rPr>
          <w:rFonts w:ascii="Arial" w:hAnsi="Arial"/>
          <w:spacing w:val="12"/>
        </w:rPr>
        <w:t xml:space="preserve"> </w:t>
      </w:r>
      <w:r>
        <w:rPr>
          <w:rFonts w:ascii="Arial" w:hAnsi="Arial"/>
        </w:rPr>
        <w:t>t</w:t>
      </w:r>
      <w:r>
        <w:rPr>
          <w:rFonts w:ascii="Arial" w:hAnsi="Arial"/>
          <w:spacing w:val="-1"/>
        </w:rPr>
        <w:t>er</w:t>
      </w:r>
      <w:r>
        <w:rPr>
          <w:rFonts w:ascii="Arial" w:hAnsi="Arial"/>
        </w:rPr>
        <w:t>m</w:t>
      </w:r>
      <w:r>
        <w:rPr>
          <w:rFonts w:ascii="Arial" w:hAnsi="Arial"/>
          <w:spacing w:val="14"/>
        </w:rPr>
        <w:t xml:space="preserve"> </w:t>
      </w:r>
      <w:r>
        <w:rPr>
          <w:rFonts w:ascii="Arial" w:hAnsi="Arial"/>
          <w:spacing w:val="-1"/>
          <w:w w:val="82"/>
        </w:rPr>
        <w:t>‗</w:t>
      </w:r>
      <w:r>
        <w:rPr>
          <w:rFonts w:ascii="Arial" w:hAnsi="Arial"/>
          <w:spacing w:val="-1"/>
          <w:w w:val="82"/>
        </w:rPr>
        <w:t>rel</w:t>
      </w:r>
      <w:r>
        <w:rPr>
          <w:rFonts w:ascii="Arial" w:hAnsi="Arial"/>
          <w:spacing w:val="-3"/>
          <w:w w:val="82"/>
        </w:rPr>
        <w:t>i</w:t>
      </w:r>
      <w:r>
        <w:rPr>
          <w:rFonts w:ascii="Arial" w:hAnsi="Arial"/>
          <w:spacing w:val="-1"/>
        </w:rPr>
        <w:t>gio</w:t>
      </w:r>
      <w:r>
        <w:rPr>
          <w:rFonts w:ascii="Arial" w:hAnsi="Arial"/>
          <w:spacing w:val="-3"/>
        </w:rPr>
        <w:t>n</w:t>
      </w:r>
      <w:r>
        <w:rPr>
          <w:rFonts w:ascii="Arial" w:hAnsi="Arial"/>
        </w:rPr>
        <w:t xml:space="preserve">‘ </w:t>
      </w:r>
      <w:r>
        <w:rPr>
          <w:rFonts w:ascii="Arial" w:hAnsi="Arial"/>
        </w:rPr>
        <w:t xml:space="preserve">has reference to one‘s views of his relation to his Creator and to the obligations they impose of reverence for His Being and character and of obedience to His will. It is often confounded with </w:t>
      </w:r>
      <w:r>
        <w:rPr>
          <w:rFonts w:ascii="Arial" w:hAnsi="Arial"/>
          <w:i/>
        </w:rPr>
        <w:t xml:space="preserve">cultus </w:t>
      </w:r>
      <w:r>
        <w:rPr>
          <w:rFonts w:ascii="Arial" w:hAnsi="Arial"/>
        </w:rPr>
        <w:t>of form or worship of a particular sec</w:t>
      </w:r>
      <w:r>
        <w:rPr>
          <w:rFonts w:ascii="Arial" w:hAnsi="Arial"/>
        </w:rPr>
        <w:t>t, but is distinguishable from the latter.‖ We do not think that the above definition can be regarded as either precise or adequate. Articles 25 and 26 of our Constitution are based for the most part upon Article 44(2)</w:t>
      </w:r>
      <w:r>
        <w:rPr>
          <w:rFonts w:ascii="Arial" w:hAnsi="Arial"/>
          <w:spacing w:val="27"/>
        </w:rPr>
        <w:t xml:space="preserve"> </w:t>
      </w:r>
      <w:r>
        <w:rPr>
          <w:rFonts w:ascii="Arial" w:hAnsi="Arial"/>
        </w:rPr>
        <w:t>of</w:t>
      </w:r>
      <w:r>
        <w:rPr>
          <w:rFonts w:ascii="Arial" w:hAnsi="Arial"/>
          <w:spacing w:val="26"/>
        </w:rPr>
        <w:t xml:space="preserve"> </w:t>
      </w:r>
      <w:r>
        <w:rPr>
          <w:rFonts w:ascii="Arial" w:hAnsi="Arial"/>
        </w:rPr>
        <w:t>the</w:t>
      </w:r>
      <w:r>
        <w:rPr>
          <w:rFonts w:ascii="Arial" w:hAnsi="Arial"/>
          <w:spacing w:val="28"/>
        </w:rPr>
        <w:t xml:space="preserve"> </w:t>
      </w:r>
      <w:r>
        <w:rPr>
          <w:rFonts w:ascii="Arial" w:hAnsi="Arial"/>
        </w:rPr>
        <w:t>Constitution</w:t>
      </w:r>
      <w:r>
        <w:rPr>
          <w:rFonts w:ascii="Arial" w:hAnsi="Arial"/>
          <w:spacing w:val="27"/>
        </w:rPr>
        <w:t xml:space="preserve"> </w:t>
      </w:r>
      <w:r>
        <w:rPr>
          <w:rFonts w:ascii="Arial" w:hAnsi="Arial"/>
        </w:rPr>
        <w:t>of</w:t>
      </w:r>
      <w:r>
        <w:rPr>
          <w:rFonts w:ascii="Arial" w:hAnsi="Arial"/>
          <w:spacing w:val="29"/>
        </w:rPr>
        <w:t xml:space="preserve"> </w:t>
      </w:r>
      <w:r>
        <w:rPr>
          <w:rFonts w:ascii="Arial" w:hAnsi="Arial"/>
        </w:rPr>
        <w:t>Eire</w:t>
      </w:r>
      <w:r>
        <w:rPr>
          <w:rFonts w:ascii="Arial" w:hAnsi="Arial"/>
          <w:spacing w:val="27"/>
        </w:rPr>
        <w:t xml:space="preserve"> </w:t>
      </w:r>
      <w:r>
        <w:rPr>
          <w:rFonts w:ascii="Arial" w:hAnsi="Arial"/>
        </w:rPr>
        <w:t>and</w:t>
      </w:r>
      <w:r>
        <w:rPr>
          <w:rFonts w:ascii="Arial" w:hAnsi="Arial"/>
          <w:spacing w:val="23"/>
        </w:rPr>
        <w:t xml:space="preserve"> </w:t>
      </w:r>
      <w:r>
        <w:rPr>
          <w:rFonts w:ascii="Arial" w:hAnsi="Arial"/>
        </w:rPr>
        <w:t>we</w:t>
      </w:r>
      <w:r>
        <w:rPr>
          <w:rFonts w:ascii="Arial" w:hAnsi="Arial"/>
          <w:spacing w:val="27"/>
        </w:rPr>
        <w:t xml:space="preserve"> </w:t>
      </w:r>
      <w:r>
        <w:rPr>
          <w:rFonts w:ascii="Arial" w:hAnsi="Arial"/>
        </w:rPr>
        <w:t>ha</w:t>
      </w:r>
      <w:r>
        <w:rPr>
          <w:rFonts w:ascii="Arial" w:hAnsi="Arial"/>
        </w:rPr>
        <w:t>ve</w:t>
      </w:r>
      <w:r>
        <w:rPr>
          <w:rFonts w:ascii="Arial" w:hAnsi="Arial"/>
          <w:spacing w:val="28"/>
        </w:rPr>
        <w:t xml:space="preserve"> </w:t>
      </w:r>
      <w:r>
        <w:rPr>
          <w:rFonts w:ascii="Arial" w:hAnsi="Arial"/>
        </w:rPr>
        <w:t>great</w:t>
      </w:r>
    </w:p>
    <w:p w:rsidR="003B2FC0" w:rsidRDefault="003B2FC0">
      <w:pPr>
        <w:jc w:val="both"/>
        <w:sectPr w:rsidR="003B2FC0">
          <w:headerReference w:type="default" r:id="rId198"/>
          <w:footerReference w:type="default" r:id="rId199"/>
          <w:pgSz w:w="12240" w:h="15840"/>
          <w:pgMar w:top="1500" w:right="1320" w:bottom="1680" w:left="1340" w:header="0" w:footer="1487" w:gutter="0"/>
          <w:pgNumType w:start="8"/>
          <w:cols w:space="720"/>
        </w:sectPr>
      </w:pPr>
    </w:p>
    <w:p w:rsidR="003B2FC0" w:rsidRDefault="00052A49">
      <w:pPr>
        <w:pStyle w:val="BodyText"/>
        <w:spacing w:before="77"/>
        <w:ind w:left="1518" w:right="1536"/>
        <w:jc w:val="both"/>
        <w:rPr>
          <w:rFonts w:ascii="Arial" w:hAnsi="Arial"/>
        </w:rPr>
      </w:pPr>
      <w:r>
        <w:rPr>
          <w:rFonts w:ascii="Arial" w:hAnsi="Arial"/>
        </w:rPr>
        <w:t xml:space="preserve">doubt whether a definition of ―religion‖ as given above could have been in the minds of our Constitution-makers when they framed the Constitution. </w:t>
      </w:r>
      <w:r>
        <w:rPr>
          <w:rFonts w:ascii="Arial" w:hAnsi="Arial"/>
          <w:u w:val="thick"/>
        </w:rPr>
        <w:t>Religion is certainly a matter of faith</w:t>
      </w:r>
      <w:r>
        <w:rPr>
          <w:rFonts w:ascii="Arial" w:hAnsi="Arial"/>
        </w:rPr>
        <w:t xml:space="preserve"> </w:t>
      </w:r>
      <w:r>
        <w:rPr>
          <w:rFonts w:ascii="Arial" w:hAnsi="Arial"/>
          <w:u w:val="thick"/>
        </w:rPr>
        <w:t>with individuals or communities and it is not</w:t>
      </w:r>
      <w:r>
        <w:rPr>
          <w:rFonts w:ascii="Arial" w:hAnsi="Arial"/>
        </w:rPr>
        <w:t xml:space="preserve"> </w:t>
      </w:r>
      <w:r>
        <w:rPr>
          <w:rFonts w:ascii="Arial" w:hAnsi="Arial"/>
          <w:u w:val="thick"/>
        </w:rPr>
        <w:t>necessarily theistic.</w:t>
      </w:r>
      <w:r>
        <w:rPr>
          <w:rFonts w:ascii="Arial" w:hAnsi="Arial"/>
        </w:rPr>
        <w:t xml:space="preserve"> There are well known religions in India like Buddhism and Jainism which do not believe in God or in any Intelligent First Cause. </w:t>
      </w:r>
      <w:r>
        <w:rPr>
          <w:rFonts w:ascii="Arial" w:hAnsi="Arial"/>
          <w:u w:val="thick"/>
        </w:rPr>
        <w:t>A</w:t>
      </w:r>
      <w:r>
        <w:rPr>
          <w:rFonts w:ascii="Arial" w:hAnsi="Arial"/>
        </w:rPr>
        <w:t xml:space="preserve"> </w:t>
      </w:r>
      <w:r>
        <w:rPr>
          <w:rFonts w:ascii="Arial" w:hAnsi="Arial"/>
          <w:u w:val="thick"/>
        </w:rPr>
        <w:t>religion undoubtedly has its basis in a system of</w:t>
      </w:r>
      <w:r>
        <w:rPr>
          <w:rFonts w:ascii="Arial" w:hAnsi="Arial"/>
        </w:rPr>
        <w:t xml:space="preserve"> </w:t>
      </w:r>
      <w:r>
        <w:rPr>
          <w:rFonts w:ascii="Arial" w:hAnsi="Arial"/>
          <w:u w:val="thick"/>
        </w:rPr>
        <w:t>beliefs</w:t>
      </w:r>
      <w:r>
        <w:rPr>
          <w:rFonts w:ascii="Arial" w:hAnsi="Arial"/>
          <w:u w:val="thick"/>
        </w:rPr>
        <w:t xml:space="preserve"> or doctrines which are regarded by those</w:t>
      </w:r>
      <w:r>
        <w:rPr>
          <w:rFonts w:ascii="Arial" w:hAnsi="Arial"/>
        </w:rPr>
        <w:t xml:space="preserve"> </w:t>
      </w:r>
      <w:r>
        <w:rPr>
          <w:rFonts w:ascii="Arial" w:hAnsi="Arial"/>
          <w:u w:val="thick"/>
        </w:rPr>
        <w:t>who profess that religion as conducive to their</w:t>
      </w:r>
      <w:r>
        <w:rPr>
          <w:rFonts w:ascii="Arial" w:hAnsi="Arial"/>
        </w:rPr>
        <w:t xml:space="preserve"> </w:t>
      </w:r>
      <w:r>
        <w:rPr>
          <w:rFonts w:ascii="Arial" w:hAnsi="Arial"/>
          <w:u w:val="thick"/>
        </w:rPr>
        <w:t>spiritual well being</w:t>
      </w:r>
      <w:r>
        <w:rPr>
          <w:rFonts w:ascii="Arial" w:hAnsi="Arial"/>
        </w:rPr>
        <w:t>, but it would not be correct to say that religion is nothing else but a doctrine or belief. A religion may not only lay down a code of ethical ru</w:t>
      </w:r>
      <w:r>
        <w:rPr>
          <w:rFonts w:ascii="Arial" w:hAnsi="Arial"/>
        </w:rPr>
        <w:t>les for its followers to accept, it might prescribe rituals and observances, ceremonies and modes of worship which are regarded as integral parts of religion, and these forms and observances might extend even to matters of food and</w:t>
      </w:r>
      <w:r>
        <w:rPr>
          <w:rFonts w:ascii="Arial" w:hAnsi="Arial"/>
          <w:spacing w:val="-7"/>
        </w:rPr>
        <w:t xml:space="preserve"> </w:t>
      </w:r>
      <w:r>
        <w:rPr>
          <w:rFonts w:ascii="Arial" w:hAnsi="Arial"/>
        </w:rPr>
        <w:t>dress.</w:t>
      </w:r>
    </w:p>
    <w:p w:rsidR="003B2FC0" w:rsidRDefault="003B2FC0">
      <w:pPr>
        <w:rPr>
          <w:sz w:val="28"/>
        </w:rPr>
      </w:pPr>
    </w:p>
    <w:p w:rsidR="003B2FC0" w:rsidRDefault="00052A49">
      <w:pPr>
        <w:pStyle w:val="BodyText"/>
        <w:ind w:left="1518" w:right="1539"/>
        <w:jc w:val="both"/>
        <w:rPr>
          <w:rFonts w:ascii="Arial"/>
        </w:rPr>
      </w:pPr>
      <w:r>
        <w:rPr>
          <w:rFonts w:ascii="Arial"/>
          <w:u w:val="thick"/>
        </w:rPr>
        <w:t>The guarantee un</w:t>
      </w:r>
      <w:r>
        <w:rPr>
          <w:rFonts w:ascii="Arial"/>
          <w:u w:val="thick"/>
        </w:rPr>
        <w:t>der our Constitution not only</w:t>
      </w:r>
      <w:r>
        <w:rPr>
          <w:rFonts w:ascii="Arial"/>
        </w:rPr>
        <w:t xml:space="preserve"> </w:t>
      </w:r>
      <w:r>
        <w:rPr>
          <w:rFonts w:ascii="Arial"/>
          <w:u w:val="thick"/>
        </w:rPr>
        <w:t>protects the freedom of religious opinion but it</w:t>
      </w:r>
      <w:r>
        <w:rPr>
          <w:rFonts w:ascii="Arial"/>
        </w:rPr>
        <w:t xml:space="preserve"> </w:t>
      </w:r>
      <w:r>
        <w:rPr>
          <w:rFonts w:ascii="Arial"/>
          <w:u w:val="thick"/>
        </w:rPr>
        <w:t>protects also acts done in pursuance of a religion</w:t>
      </w:r>
      <w:r>
        <w:rPr>
          <w:rFonts w:ascii="Arial"/>
        </w:rPr>
        <w:t xml:space="preserve"> </w:t>
      </w:r>
      <w:r>
        <w:rPr>
          <w:rFonts w:ascii="Arial"/>
          <w:u w:val="thick"/>
        </w:rPr>
        <w:t>and</w:t>
      </w:r>
      <w:r>
        <w:rPr>
          <w:rFonts w:ascii="Arial"/>
          <w:spacing w:val="19"/>
          <w:u w:val="thick"/>
        </w:rPr>
        <w:t xml:space="preserve"> </w:t>
      </w:r>
      <w:r>
        <w:rPr>
          <w:rFonts w:ascii="Arial"/>
          <w:u w:val="thick"/>
        </w:rPr>
        <w:t>this</w:t>
      </w:r>
      <w:r>
        <w:rPr>
          <w:rFonts w:ascii="Arial"/>
          <w:spacing w:val="21"/>
          <w:u w:val="thick"/>
        </w:rPr>
        <w:t xml:space="preserve"> </w:t>
      </w:r>
      <w:r>
        <w:rPr>
          <w:rFonts w:ascii="Arial"/>
          <w:u w:val="thick"/>
        </w:rPr>
        <w:t>is</w:t>
      </w:r>
      <w:r>
        <w:rPr>
          <w:rFonts w:ascii="Arial"/>
          <w:spacing w:val="21"/>
          <w:u w:val="thick"/>
        </w:rPr>
        <w:t xml:space="preserve"> </w:t>
      </w:r>
      <w:r>
        <w:rPr>
          <w:rFonts w:ascii="Arial"/>
          <w:u w:val="thick"/>
        </w:rPr>
        <w:t>made</w:t>
      </w:r>
      <w:r>
        <w:rPr>
          <w:rFonts w:ascii="Arial"/>
          <w:spacing w:val="19"/>
          <w:u w:val="thick"/>
        </w:rPr>
        <w:t xml:space="preserve"> </w:t>
      </w:r>
      <w:r>
        <w:rPr>
          <w:rFonts w:ascii="Arial"/>
          <w:u w:val="thick"/>
        </w:rPr>
        <w:t>clear</w:t>
      </w:r>
      <w:r>
        <w:rPr>
          <w:rFonts w:ascii="Arial"/>
          <w:spacing w:val="20"/>
          <w:u w:val="thick"/>
        </w:rPr>
        <w:t xml:space="preserve"> </w:t>
      </w:r>
      <w:r>
        <w:rPr>
          <w:rFonts w:ascii="Arial"/>
          <w:u w:val="thick"/>
        </w:rPr>
        <w:t>by</w:t>
      </w:r>
      <w:r>
        <w:rPr>
          <w:rFonts w:ascii="Arial"/>
          <w:spacing w:val="18"/>
          <w:u w:val="thick"/>
        </w:rPr>
        <w:t xml:space="preserve"> </w:t>
      </w:r>
      <w:r>
        <w:rPr>
          <w:rFonts w:ascii="Arial"/>
          <w:u w:val="thick"/>
        </w:rPr>
        <w:t>the</w:t>
      </w:r>
      <w:r>
        <w:rPr>
          <w:rFonts w:ascii="Arial"/>
          <w:spacing w:val="20"/>
          <w:u w:val="thick"/>
        </w:rPr>
        <w:t xml:space="preserve"> </w:t>
      </w:r>
      <w:r>
        <w:rPr>
          <w:rFonts w:ascii="Arial"/>
          <w:u w:val="thick"/>
        </w:rPr>
        <w:t>use</w:t>
      </w:r>
      <w:r>
        <w:rPr>
          <w:rFonts w:ascii="Arial"/>
          <w:spacing w:val="20"/>
          <w:u w:val="thick"/>
        </w:rPr>
        <w:t xml:space="preserve"> </w:t>
      </w:r>
      <w:r>
        <w:rPr>
          <w:rFonts w:ascii="Arial"/>
          <w:u w:val="thick"/>
        </w:rPr>
        <w:t>of</w:t>
      </w:r>
      <w:r>
        <w:rPr>
          <w:rFonts w:ascii="Arial"/>
          <w:spacing w:val="21"/>
          <w:u w:val="thick"/>
        </w:rPr>
        <w:t xml:space="preserve"> </w:t>
      </w:r>
      <w:r>
        <w:rPr>
          <w:rFonts w:ascii="Arial"/>
          <w:u w:val="thick"/>
        </w:rPr>
        <w:t>the</w:t>
      </w:r>
      <w:r>
        <w:rPr>
          <w:rFonts w:ascii="Arial"/>
          <w:spacing w:val="20"/>
          <w:u w:val="thick"/>
        </w:rPr>
        <w:t xml:space="preserve"> </w:t>
      </w:r>
      <w:r>
        <w:rPr>
          <w:rFonts w:ascii="Arial"/>
          <w:u w:val="thick"/>
        </w:rPr>
        <w:t>expression</w:t>
      </w:r>
    </w:p>
    <w:p w:rsidR="003B2FC0" w:rsidRDefault="00052A49">
      <w:pPr>
        <w:pStyle w:val="BodyText"/>
        <w:spacing w:before="1"/>
        <w:ind w:left="1518" w:right="1538"/>
        <w:jc w:val="both"/>
        <w:rPr>
          <w:rFonts w:ascii="Arial" w:hAnsi="Arial"/>
        </w:rPr>
      </w:pPr>
      <w:r>
        <w:rPr>
          <w:rFonts w:ascii="Times New Roman" w:hAnsi="Times New Roman"/>
          <w:spacing w:val="-71"/>
          <w:u w:val="thick"/>
        </w:rPr>
        <w:t xml:space="preserve"> </w:t>
      </w:r>
      <w:r>
        <w:rPr>
          <w:rFonts w:ascii="Arial" w:hAnsi="Arial"/>
          <w:u w:val="thick"/>
        </w:rPr>
        <w:t>―practice of religion‖ in Article 25.</w:t>
      </w:r>
      <w:r>
        <w:rPr>
          <w:rFonts w:ascii="Arial" w:hAnsi="Arial"/>
        </w:rPr>
        <w:t xml:space="preserve"> Latham, C.J. of the High Court of Australia while dealing with the provision of section 116 of the Australian Constitution which </w:t>
      </w:r>
      <w:r>
        <w:rPr>
          <w:rFonts w:ascii="Arial" w:hAnsi="Arial"/>
          <w:i/>
        </w:rPr>
        <w:t xml:space="preserve">inter alia </w:t>
      </w:r>
      <w:r>
        <w:rPr>
          <w:rFonts w:ascii="Arial" w:hAnsi="Arial"/>
        </w:rPr>
        <w:t xml:space="preserve">forbids the </w:t>
      </w:r>
      <w:r>
        <w:rPr>
          <w:rFonts w:ascii="Arial" w:hAnsi="Arial"/>
          <w:spacing w:val="-2"/>
        </w:rPr>
        <w:t>C</w:t>
      </w:r>
      <w:r>
        <w:rPr>
          <w:rFonts w:ascii="Arial" w:hAnsi="Arial"/>
          <w:spacing w:val="-1"/>
        </w:rPr>
        <w:t>o</w:t>
      </w:r>
      <w:r>
        <w:rPr>
          <w:rFonts w:ascii="Arial" w:hAnsi="Arial"/>
          <w:spacing w:val="-2"/>
        </w:rPr>
        <w:t>mm</w:t>
      </w:r>
      <w:r>
        <w:rPr>
          <w:rFonts w:ascii="Arial" w:hAnsi="Arial"/>
          <w:spacing w:val="-1"/>
        </w:rPr>
        <w:t>o</w:t>
      </w:r>
      <w:r>
        <w:rPr>
          <w:rFonts w:ascii="Arial" w:hAnsi="Arial"/>
          <w:spacing w:val="1"/>
        </w:rPr>
        <w:t>n</w:t>
      </w:r>
      <w:r>
        <w:rPr>
          <w:rFonts w:ascii="Arial" w:hAnsi="Arial"/>
          <w:spacing w:val="-4"/>
        </w:rPr>
        <w:t>w</w:t>
      </w:r>
      <w:r>
        <w:rPr>
          <w:rFonts w:ascii="Arial" w:hAnsi="Arial"/>
          <w:spacing w:val="-1"/>
        </w:rPr>
        <w:t>eal</w:t>
      </w:r>
      <w:r>
        <w:rPr>
          <w:rFonts w:ascii="Arial" w:hAnsi="Arial"/>
        </w:rPr>
        <w:t>th</w:t>
      </w:r>
      <w:r>
        <w:rPr>
          <w:rFonts w:ascii="Arial" w:hAnsi="Arial"/>
          <w:spacing w:val="24"/>
        </w:rPr>
        <w:t xml:space="preserve"> </w:t>
      </w:r>
      <w:r>
        <w:rPr>
          <w:rFonts w:ascii="Arial" w:hAnsi="Arial"/>
        </w:rPr>
        <w:t>to</w:t>
      </w:r>
      <w:r>
        <w:rPr>
          <w:rFonts w:ascii="Arial" w:hAnsi="Arial"/>
          <w:spacing w:val="24"/>
        </w:rPr>
        <w:t xml:space="preserve"> </w:t>
      </w:r>
      <w:r>
        <w:rPr>
          <w:rFonts w:ascii="Arial" w:hAnsi="Arial"/>
          <w:spacing w:val="-1"/>
        </w:rPr>
        <w:t>prohibi</w:t>
      </w:r>
      <w:r>
        <w:rPr>
          <w:rFonts w:ascii="Arial" w:hAnsi="Arial"/>
        </w:rPr>
        <w:t>t</w:t>
      </w:r>
      <w:r>
        <w:rPr>
          <w:rFonts w:ascii="Arial" w:hAnsi="Arial"/>
          <w:spacing w:val="25"/>
        </w:rPr>
        <w:t xml:space="preserve"> </w:t>
      </w:r>
      <w:r>
        <w:rPr>
          <w:rFonts w:ascii="Arial" w:hAnsi="Arial"/>
          <w:spacing w:val="-2"/>
        </w:rPr>
        <w:t>t</w:t>
      </w:r>
      <w:r>
        <w:rPr>
          <w:rFonts w:ascii="Arial" w:hAnsi="Arial"/>
          <w:spacing w:val="-1"/>
        </w:rPr>
        <w:t>h</w:t>
      </w:r>
      <w:r>
        <w:rPr>
          <w:rFonts w:ascii="Arial" w:hAnsi="Arial"/>
        </w:rPr>
        <w:t>e</w:t>
      </w:r>
      <w:r>
        <w:rPr>
          <w:rFonts w:ascii="Arial" w:hAnsi="Arial"/>
          <w:spacing w:val="24"/>
        </w:rPr>
        <w:t xml:space="preserve"> </w:t>
      </w:r>
      <w:r>
        <w:rPr>
          <w:rFonts w:ascii="Arial" w:hAnsi="Arial"/>
          <w:w w:val="47"/>
        </w:rPr>
        <w:t>―f</w:t>
      </w:r>
      <w:r>
        <w:rPr>
          <w:rFonts w:ascii="Arial" w:hAnsi="Arial"/>
        </w:rPr>
        <w:t>ree</w:t>
      </w:r>
      <w:r>
        <w:rPr>
          <w:rFonts w:ascii="Arial" w:hAnsi="Arial"/>
          <w:spacing w:val="24"/>
        </w:rPr>
        <w:t xml:space="preserve"> </w:t>
      </w:r>
      <w:r>
        <w:rPr>
          <w:rFonts w:ascii="Arial" w:hAnsi="Arial"/>
          <w:spacing w:val="-3"/>
        </w:rPr>
        <w:t>e</w:t>
      </w:r>
      <w:r>
        <w:rPr>
          <w:rFonts w:ascii="Arial" w:hAnsi="Arial"/>
          <w:spacing w:val="-4"/>
        </w:rPr>
        <w:t>x</w:t>
      </w:r>
      <w:r>
        <w:rPr>
          <w:rFonts w:ascii="Arial" w:hAnsi="Arial"/>
          <w:spacing w:val="-1"/>
        </w:rPr>
        <w:t>er</w:t>
      </w:r>
      <w:r>
        <w:rPr>
          <w:rFonts w:ascii="Arial" w:hAnsi="Arial"/>
        </w:rPr>
        <w:t>c</w:t>
      </w:r>
      <w:r>
        <w:rPr>
          <w:rFonts w:ascii="Arial" w:hAnsi="Arial"/>
          <w:spacing w:val="-1"/>
        </w:rPr>
        <w:t>i</w:t>
      </w:r>
      <w:r>
        <w:rPr>
          <w:rFonts w:ascii="Arial" w:hAnsi="Arial"/>
        </w:rPr>
        <w:t>se</w:t>
      </w:r>
      <w:r>
        <w:rPr>
          <w:rFonts w:ascii="Arial" w:hAnsi="Arial"/>
          <w:spacing w:val="24"/>
        </w:rPr>
        <w:t xml:space="preserve"> </w:t>
      </w:r>
      <w:r>
        <w:rPr>
          <w:rFonts w:ascii="Arial" w:hAnsi="Arial"/>
          <w:spacing w:val="-1"/>
        </w:rPr>
        <w:t>o</w:t>
      </w:r>
      <w:r>
        <w:rPr>
          <w:rFonts w:ascii="Arial" w:hAnsi="Arial"/>
        </w:rPr>
        <w:t>f</w:t>
      </w:r>
      <w:r>
        <w:rPr>
          <w:rFonts w:ascii="Arial" w:hAnsi="Arial"/>
          <w:spacing w:val="26"/>
        </w:rPr>
        <w:t xml:space="preserve"> </w:t>
      </w:r>
      <w:r>
        <w:rPr>
          <w:rFonts w:ascii="Arial" w:hAnsi="Arial"/>
          <w:spacing w:val="-1"/>
        </w:rPr>
        <w:t xml:space="preserve">any </w:t>
      </w:r>
      <w:r>
        <w:rPr>
          <w:rFonts w:ascii="Arial" w:hAnsi="Arial"/>
        </w:rPr>
        <w:t>religion‖ made the following weighty observations [</w:t>
      </w:r>
      <w:r>
        <w:rPr>
          <w:rFonts w:ascii="Arial" w:hAnsi="Arial"/>
          <w:i/>
        </w:rPr>
        <w:t>V</w:t>
      </w:r>
      <w:r>
        <w:rPr>
          <w:rFonts w:ascii="Arial" w:hAnsi="Arial"/>
          <w:i/>
        </w:rPr>
        <w:t xml:space="preserve">ide   Adelaide   Company   </w:t>
      </w:r>
      <w:r>
        <w:rPr>
          <w:rFonts w:ascii="Arial" w:hAnsi="Arial"/>
        </w:rPr>
        <w:t xml:space="preserve">v.   </w:t>
      </w:r>
      <w:r>
        <w:rPr>
          <w:rFonts w:ascii="Arial" w:hAnsi="Arial"/>
          <w:i/>
        </w:rPr>
        <w:t>Commonwealth</w:t>
      </w:r>
      <w:r>
        <w:rPr>
          <w:rFonts w:ascii="Arial" w:hAnsi="Arial"/>
        </w:rPr>
        <w:t>,</w:t>
      </w:r>
      <w:r>
        <w:rPr>
          <w:rFonts w:ascii="Arial" w:hAnsi="Arial"/>
          <w:spacing w:val="23"/>
        </w:rPr>
        <w:t xml:space="preserve"> </w:t>
      </w:r>
      <w:r>
        <w:rPr>
          <w:rFonts w:ascii="Arial" w:hAnsi="Arial"/>
          <w:spacing w:val="-3"/>
        </w:rPr>
        <w:t>67</w:t>
      </w:r>
    </w:p>
    <w:p w:rsidR="003B2FC0" w:rsidRDefault="00052A49">
      <w:pPr>
        <w:pStyle w:val="BodyText"/>
        <w:spacing w:line="322" w:lineRule="exact"/>
        <w:ind w:left="1518"/>
        <w:jc w:val="both"/>
        <w:rPr>
          <w:rFonts w:ascii="Arial"/>
        </w:rPr>
      </w:pPr>
      <w:r>
        <w:rPr>
          <w:rFonts w:ascii="Arial"/>
        </w:rPr>
        <w:t>C.L.R. 116, 127]:</w:t>
      </w:r>
    </w:p>
    <w:p w:rsidR="003B2FC0" w:rsidRDefault="00052A49">
      <w:pPr>
        <w:pStyle w:val="BodyText"/>
        <w:spacing w:before="200"/>
        <w:ind w:left="2085" w:right="2107"/>
        <w:jc w:val="both"/>
        <w:rPr>
          <w:rFonts w:ascii="Arial" w:hAnsi="Arial"/>
        </w:rPr>
      </w:pPr>
      <w:r>
        <w:rPr>
          <w:rFonts w:ascii="Arial" w:hAnsi="Arial"/>
          <w:w w:val="47"/>
        </w:rPr>
        <w:t>―I</w:t>
      </w:r>
      <w:r>
        <w:rPr>
          <w:rFonts w:ascii="Arial" w:hAnsi="Arial"/>
        </w:rPr>
        <w:t>t</w:t>
      </w:r>
      <w:r>
        <w:rPr>
          <w:rFonts w:ascii="Arial" w:hAnsi="Arial"/>
        </w:rPr>
        <w:t xml:space="preserve"> </w:t>
      </w:r>
      <w:r>
        <w:rPr>
          <w:rFonts w:ascii="Arial" w:hAnsi="Arial"/>
          <w:spacing w:val="-31"/>
        </w:rPr>
        <w:t xml:space="preserve"> </w:t>
      </w:r>
      <w:r>
        <w:rPr>
          <w:rFonts w:ascii="Arial" w:hAnsi="Arial"/>
          <w:spacing w:val="-3"/>
        </w:rPr>
        <w:t>i</w:t>
      </w:r>
      <w:r>
        <w:rPr>
          <w:rFonts w:ascii="Arial" w:hAnsi="Arial"/>
        </w:rPr>
        <w:t>s</w:t>
      </w:r>
      <w:r>
        <w:rPr>
          <w:rFonts w:ascii="Arial" w:hAnsi="Arial"/>
        </w:rPr>
        <w:t xml:space="preserve"> </w:t>
      </w:r>
      <w:r>
        <w:rPr>
          <w:rFonts w:ascii="Arial" w:hAnsi="Arial"/>
          <w:spacing w:val="-33"/>
        </w:rPr>
        <w:t xml:space="preserve"> </w:t>
      </w:r>
      <w:r>
        <w:rPr>
          <w:rFonts w:ascii="Arial" w:hAnsi="Arial"/>
        </w:rPr>
        <w:t>s</w:t>
      </w:r>
      <w:r>
        <w:rPr>
          <w:rFonts w:ascii="Arial" w:hAnsi="Arial"/>
          <w:spacing w:val="-1"/>
        </w:rPr>
        <w:t>o</w:t>
      </w:r>
      <w:r>
        <w:rPr>
          <w:rFonts w:ascii="Arial" w:hAnsi="Arial"/>
          <w:spacing w:val="-2"/>
        </w:rPr>
        <w:t>m</w:t>
      </w:r>
      <w:r>
        <w:rPr>
          <w:rFonts w:ascii="Arial" w:hAnsi="Arial"/>
          <w:spacing w:val="-1"/>
        </w:rPr>
        <w:t>e</w:t>
      </w:r>
      <w:r>
        <w:rPr>
          <w:rFonts w:ascii="Arial" w:hAnsi="Arial"/>
        </w:rPr>
        <w:t>t</w:t>
      </w:r>
      <w:r>
        <w:rPr>
          <w:rFonts w:ascii="Arial" w:hAnsi="Arial"/>
          <w:spacing w:val="-1"/>
        </w:rPr>
        <w:t>i</w:t>
      </w:r>
      <w:r>
        <w:rPr>
          <w:rFonts w:ascii="Arial" w:hAnsi="Arial"/>
          <w:spacing w:val="-2"/>
        </w:rPr>
        <w:t>m</w:t>
      </w:r>
      <w:r>
        <w:rPr>
          <w:rFonts w:ascii="Arial" w:hAnsi="Arial"/>
          <w:spacing w:val="-3"/>
        </w:rPr>
        <w:t>e</w:t>
      </w:r>
      <w:r>
        <w:rPr>
          <w:rFonts w:ascii="Arial" w:hAnsi="Arial"/>
        </w:rPr>
        <w:t>s</w:t>
      </w:r>
      <w:r>
        <w:rPr>
          <w:rFonts w:ascii="Arial" w:hAnsi="Arial"/>
        </w:rPr>
        <w:t xml:space="preserve"> </w:t>
      </w:r>
      <w:r>
        <w:rPr>
          <w:rFonts w:ascii="Arial" w:hAnsi="Arial"/>
          <w:spacing w:val="-33"/>
        </w:rPr>
        <w:t xml:space="preserve"> </w:t>
      </w:r>
      <w:r>
        <w:rPr>
          <w:rFonts w:ascii="Arial" w:hAnsi="Arial"/>
          <w:spacing w:val="-2"/>
        </w:rPr>
        <w:t>s</w:t>
      </w:r>
      <w:r>
        <w:rPr>
          <w:rFonts w:ascii="Arial" w:hAnsi="Arial"/>
          <w:spacing w:val="-1"/>
        </w:rPr>
        <w:t>ugge</w:t>
      </w:r>
      <w:r>
        <w:rPr>
          <w:rFonts w:ascii="Arial" w:hAnsi="Arial"/>
          <w:spacing w:val="-2"/>
        </w:rPr>
        <w:t>s</w:t>
      </w:r>
      <w:r>
        <w:rPr>
          <w:rFonts w:ascii="Arial" w:hAnsi="Arial"/>
        </w:rPr>
        <w:t>t</w:t>
      </w:r>
      <w:r>
        <w:rPr>
          <w:rFonts w:ascii="Arial" w:hAnsi="Arial"/>
          <w:spacing w:val="-1"/>
        </w:rPr>
        <w:t>e</w:t>
      </w:r>
      <w:r>
        <w:rPr>
          <w:rFonts w:ascii="Arial" w:hAnsi="Arial"/>
        </w:rPr>
        <w:t>d</w:t>
      </w:r>
      <w:r>
        <w:rPr>
          <w:rFonts w:ascii="Arial" w:hAnsi="Arial"/>
        </w:rPr>
        <w:t xml:space="preserve"> </w:t>
      </w:r>
      <w:r>
        <w:rPr>
          <w:rFonts w:ascii="Arial" w:hAnsi="Arial"/>
          <w:spacing w:val="-32"/>
        </w:rPr>
        <w:t xml:space="preserve"> </w:t>
      </w:r>
      <w:r>
        <w:rPr>
          <w:rFonts w:ascii="Arial" w:hAnsi="Arial"/>
          <w:spacing w:val="-1"/>
        </w:rPr>
        <w:t>i</w:t>
      </w:r>
      <w:r>
        <w:rPr>
          <w:rFonts w:ascii="Arial" w:hAnsi="Arial"/>
        </w:rPr>
        <w:t>n</w:t>
      </w:r>
      <w:r>
        <w:rPr>
          <w:rFonts w:ascii="Arial" w:hAnsi="Arial"/>
        </w:rPr>
        <w:t xml:space="preserve"> </w:t>
      </w:r>
      <w:r>
        <w:rPr>
          <w:rFonts w:ascii="Arial" w:hAnsi="Arial"/>
          <w:spacing w:val="-32"/>
        </w:rPr>
        <w:t xml:space="preserve"> </w:t>
      </w:r>
      <w:r>
        <w:rPr>
          <w:rFonts w:ascii="Arial" w:hAnsi="Arial"/>
          <w:spacing w:val="-1"/>
        </w:rPr>
        <w:t>d</w:t>
      </w:r>
      <w:r>
        <w:rPr>
          <w:rFonts w:ascii="Arial" w:hAnsi="Arial"/>
          <w:spacing w:val="-3"/>
        </w:rPr>
        <w:t>i</w:t>
      </w:r>
      <w:r>
        <w:rPr>
          <w:rFonts w:ascii="Arial" w:hAnsi="Arial"/>
          <w:spacing w:val="-2"/>
        </w:rPr>
        <w:t>s</w:t>
      </w:r>
      <w:r>
        <w:rPr>
          <w:rFonts w:ascii="Arial" w:hAnsi="Arial"/>
        </w:rPr>
        <w:t>c</w:t>
      </w:r>
      <w:r>
        <w:rPr>
          <w:rFonts w:ascii="Arial" w:hAnsi="Arial"/>
          <w:spacing w:val="-1"/>
        </w:rPr>
        <w:t>u</w:t>
      </w:r>
      <w:r>
        <w:rPr>
          <w:rFonts w:ascii="Arial" w:hAnsi="Arial"/>
          <w:spacing w:val="-2"/>
        </w:rPr>
        <w:t>s</w:t>
      </w:r>
      <w:r>
        <w:rPr>
          <w:rFonts w:ascii="Arial" w:hAnsi="Arial"/>
        </w:rPr>
        <w:t>s</w:t>
      </w:r>
      <w:r>
        <w:rPr>
          <w:rFonts w:ascii="Arial" w:hAnsi="Arial"/>
          <w:spacing w:val="-1"/>
        </w:rPr>
        <w:t>io</w:t>
      </w:r>
      <w:r>
        <w:rPr>
          <w:rFonts w:ascii="Arial" w:hAnsi="Arial"/>
          <w:spacing w:val="-3"/>
        </w:rPr>
        <w:t>n</w:t>
      </w:r>
      <w:r>
        <w:rPr>
          <w:rFonts w:ascii="Arial" w:hAnsi="Arial"/>
        </w:rPr>
        <w:t xml:space="preserve">s </w:t>
      </w:r>
      <w:r>
        <w:rPr>
          <w:rFonts w:ascii="Arial" w:hAnsi="Arial"/>
        </w:rPr>
        <w:t xml:space="preserve">on the subject of freedom of religion that, though the civil Government should not interfere with religious opinions, it nevertheless may deal as it pleases </w:t>
      </w:r>
      <w:r>
        <w:rPr>
          <w:rFonts w:ascii="Arial" w:hAnsi="Arial"/>
          <w:spacing w:val="-5"/>
        </w:rPr>
        <w:t xml:space="preserve">with </w:t>
      </w:r>
      <w:r>
        <w:rPr>
          <w:rFonts w:ascii="Arial" w:hAnsi="Arial"/>
        </w:rPr>
        <w:t xml:space="preserve">any </w:t>
      </w:r>
      <w:r>
        <w:rPr>
          <w:rFonts w:ascii="Arial" w:hAnsi="Arial"/>
          <w:i/>
        </w:rPr>
        <w:t xml:space="preserve">acts </w:t>
      </w:r>
      <w:r>
        <w:rPr>
          <w:rFonts w:ascii="Arial" w:hAnsi="Arial"/>
        </w:rPr>
        <w:t>which are done in pursuance</w:t>
      </w:r>
      <w:r>
        <w:rPr>
          <w:rFonts w:ascii="Arial" w:hAnsi="Arial"/>
          <w:spacing w:val="54"/>
        </w:rPr>
        <w:t xml:space="preserve"> </w:t>
      </w:r>
      <w:r>
        <w:rPr>
          <w:rFonts w:ascii="Arial" w:hAnsi="Arial"/>
        </w:rPr>
        <w:t>of</w:t>
      </w:r>
    </w:p>
    <w:p w:rsidR="003B2FC0" w:rsidRDefault="003B2FC0">
      <w:pPr>
        <w:jc w:val="both"/>
        <w:sectPr w:rsidR="003B2FC0">
          <w:headerReference w:type="default" r:id="rId200"/>
          <w:footerReference w:type="default" r:id="rId201"/>
          <w:pgSz w:w="12240" w:h="15840"/>
          <w:pgMar w:top="1360" w:right="1320" w:bottom="1680" w:left="1340" w:header="0" w:footer="1492" w:gutter="0"/>
          <w:pgNumType w:start="9"/>
          <w:cols w:space="720"/>
        </w:sectPr>
      </w:pPr>
    </w:p>
    <w:p w:rsidR="003B2FC0" w:rsidRDefault="00052A49">
      <w:pPr>
        <w:pStyle w:val="BodyText"/>
        <w:spacing w:before="77"/>
        <w:ind w:left="2085" w:right="2104"/>
        <w:jc w:val="both"/>
        <w:rPr>
          <w:rFonts w:ascii="Arial" w:hAnsi="Arial"/>
        </w:rPr>
      </w:pPr>
      <w:r>
        <w:rPr>
          <w:rFonts w:ascii="Arial" w:hAnsi="Arial"/>
        </w:rPr>
        <w:t xml:space="preserve">religious belief without infringing the principle of freedom of religion. It appears to me to be difficult to maintain this distinction as relevant to the interpretation of section 116. The section refers in express terms to the </w:t>
      </w:r>
      <w:r>
        <w:rPr>
          <w:rFonts w:ascii="Arial" w:hAnsi="Arial"/>
          <w:i/>
        </w:rPr>
        <w:t xml:space="preserve">exercise </w:t>
      </w:r>
      <w:r>
        <w:rPr>
          <w:rFonts w:ascii="Arial" w:hAnsi="Arial"/>
        </w:rPr>
        <w:t>of religion, and t</w:t>
      </w:r>
      <w:r>
        <w:rPr>
          <w:rFonts w:ascii="Arial" w:hAnsi="Arial"/>
        </w:rPr>
        <w:t>herefore it is intended to protect from the operation of any Commonwealth laws acts which are done in the exercise of religion. Thus the section goes far beyond protecting liberty of opinion. It protects also acts done in pursuance of religious belief as p</w:t>
      </w:r>
      <w:r>
        <w:rPr>
          <w:rFonts w:ascii="Arial" w:hAnsi="Arial"/>
        </w:rPr>
        <w:t>art of</w:t>
      </w:r>
      <w:r>
        <w:rPr>
          <w:rFonts w:ascii="Arial" w:hAnsi="Arial"/>
          <w:spacing w:val="-1"/>
        </w:rPr>
        <w:t xml:space="preserve"> </w:t>
      </w:r>
      <w:r>
        <w:rPr>
          <w:rFonts w:ascii="Arial" w:hAnsi="Arial"/>
        </w:rPr>
        <w:t>religion.‖</w:t>
      </w:r>
    </w:p>
    <w:p w:rsidR="003B2FC0" w:rsidRDefault="003B2FC0">
      <w:pPr>
        <w:spacing w:before="4"/>
        <w:rPr>
          <w:sz w:val="36"/>
        </w:rPr>
      </w:pPr>
    </w:p>
    <w:p w:rsidR="003B2FC0" w:rsidRDefault="00052A49">
      <w:pPr>
        <w:pStyle w:val="BodyText"/>
        <w:ind w:left="1518" w:right="1536"/>
        <w:jc w:val="both"/>
        <w:rPr>
          <w:rFonts w:ascii="Arial"/>
        </w:rPr>
      </w:pPr>
      <w:r>
        <w:rPr>
          <w:rFonts w:ascii="Arial"/>
        </w:rPr>
        <w:t>These observations apply fully to the protection of religion as guaranteed by the Indian Constitution. Restrictions by the State upon free exercise of religion are permitted both under Articles 25 and 26 on grounds of public order, moral</w:t>
      </w:r>
      <w:r>
        <w:rPr>
          <w:rFonts w:ascii="Arial"/>
        </w:rPr>
        <w:t>ity and health. Clause (2)(a) of Article 25 reserves the right of the State to regulate or restrict any economic, financial, political and other secular activities which may be associated with religious practice and there is a further right given to the St</w:t>
      </w:r>
      <w:r>
        <w:rPr>
          <w:rFonts w:ascii="Arial"/>
        </w:rPr>
        <w:t>ate by sub-clause (b) under which the State can legislate for social  welfare and reform even though by so doing it might interfere with religious practices. The learned Attorney-General lays stress upon clause (2)(a) of the Article and his contention is t</w:t>
      </w:r>
      <w:r>
        <w:rPr>
          <w:rFonts w:ascii="Arial"/>
        </w:rPr>
        <w:t>hat all secular activities, which may be associated with religion but do not really constitute an essential part of it, are amenable to State</w:t>
      </w:r>
      <w:r>
        <w:rPr>
          <w:rFonts w:ascii="Arial"/>
          <w:spacing w:val="-7"/>
        </w:rPr>
        <w:t xml:space="preserve"> </w:t>
      </w:r>
      <w:r>
        <w:rPr>
          <w:rFonts w:ascii="Arial"/>
        </w:rPr>
        <w:t>regulation.</w:t>
      </w:r>
    </w:p>
    <w:p w:rsidR="003B2FC0" w:rsidRDefault="003B2FC0">
      <w:pPr>
        <w:spacing w:before="2"/>
        <w:rPr>
          <w:sz w:val="35"/>
        </w:rPr>
      </w:pPr>
    </w:p>
    <w:p w:rsidR="003B2FC0" w:rsidRDefault="00052A49">
      <w:pPr>
        <w:pStyle w:val="BodyText"/>
        <w:ind w:left="1518" w:right="1535"/>
        <w:jc w:val="both"/>
        <w:rPr>
          <w:rFonts w:ascii="Arial"/>
        </w:rPr>
      </w:pPr>
      <w:r>
        <w:rPr>
          <w:rFonts w:ascii="Arial"/>
        </w:rPr>
        <w:t xml:space="preserve">The contention formulated in such broad terms cannot, we think, be supported. </w:t>
      </w:r>
      <w:r>
        <w:rPr>
          <w:rFonts w:ascii="Arial"/>
          <w:u w:val="thick"/>
        </w:rPr>
        <w:t>In the first place,</w:t>
      </w:r>
      <w:r>
        <w:rPr>
          <w:rFonts w:ascii="Arial"/>
        </w:rPr>
        <w:t xml:space="preserve"> </w:t>
      </w:r>
      <w:r>
        <w:rPr>
          <w:rFonts w:ascii="Arial"/>
          <w:u w:val="thick"/>
        </w:rPr>
        <w:t>wha</w:t>
      </w:r>
      <w:r>
        <w:rPr>
          <w:rFonts w:ascii="Arial"/>
          <w:u w:val="thick"/>
        </w:rPr>
        <w:t>t constitutes the essential part of a religion is</w:t>
      </w:r>
      <w:r>
        <w:rPr>
          <w:rFonts w:ascii="Arial"/>
        </w:rPr>
        <w:t xml:space="preserve"> </w:t>
      </w:r>
      <w:r>
        <w:rPr>
          <w:rFonts w:ascii="Arial"/>
          <w:u w:val="thick"/>
        </w:rPr>
        <w:t>primarily to be ascertained with reference to the</w:t>
      </w:r>
      <w:r>
        <w:rPr>
          <w:rFonts w:ascii="Arial"/>
        </w:rPr>
        <w:t xml:space="preserve"> </w:t>
      </w:r>
      <w:r>
        <w:rPr>
          <w:rFonts w:ascii="Arial"/>
          <w:u w:val="thick"/>
        </w:rPr>
        <w:t>doctrines of that religion itself.</w:t>
      </w:r>
      <w:r>
        <w:rPr>
          <w:rFonts w:ascii="Arial"/>
          <w:spacing w:val="51"/>
        </w:rPr>
        <w:t xml:space="preserve"> </w:t>
      </w:r>
      <w:r>
        <w:rPr>
          <w:rFonts w:ascii="Arial"/>
        </w:rPr>
        <w:t>If the tenets of any</w:t>
      </w:r>
    </w:p>
    <w:p w:rsidR="003B2FC0" w:rsidRDefault="003B2FC0">
      <w:pPr>
        <w:jc w:val="both"/>
        <w:sectPr w:rsidR="003B2FC0">
          <w:headerReference w:type="default" r:id="rId202"/>
          <w:footerReference w:type="default" r:id="rId203"/>
          <w:pgSz w:w="12240" w:h="15840"/>
          <w:pgMar w:top="1360" w:right="1320" w:bottom="1680" w:left="1340" w:header="0" w:footer="1492" w:gutter="0"/>
          <w:pgNumType w:start="10"/>
          <w:cols w:space="720"/>
        </w:sectPr>
      </w:pPr>
    </w:p>
    <w:p w:rsidR="003B2FC0" w:rsidRDefault="00052A49">
      <w:pPr>
        <w:pStyle w:val="BodyText"/>
        <w:spacing w:before="77"/>
        <w:ind w:left="1518" w:right="1536"/>
        <w:jc w:val="both"/>
        <w:rPr>
          <w:rFonts w:ascii="Arial" w:hAnsi="Arial"/>
        </w:rPr>
      </w:pPr>
      <w:r>
        <w:rPr>
          <w:rFonts w:ascii="Arial" w:hAnsi="Arial"/>
        </w:rPr>
        <w:t>religious sect of the Hindus prescribe that offerings of food should be given to the idol at particular hours of the day, that periodical ceremonies should be performed in a certain way at certain periods of the year or that there should be daily recital o</w:t>
      </w:r>
      <w:r>
        <w:rPr>
          <w:rFonts w:ascii="Arial" w:hAnsi="Arial"/>
        </w:rPr>
        <w:t>f sacred texts or oblations to the sacred fire, all these would be regarded as parts of religion and the mere fact that they involve expenditure of money or employment of priests and servants or the use of marketable commodities would not make them secular</w:t>
      </w:r>
      <w:r>
        <w:rPr>
          <w:rFonts w:ascii="Arial" w:hAnsi="Arial"/>
        </w:rPr>
        <w:t xml:space="preserve"> activities partaking of a commercial or economic character; all of them are religious practices and should be regarded as matters of religion within the meaning of Article 26(b). What Article 25(2)(a) contemplates is not regulation by the State of religio</w:t>
      </w:r>
      <w:r>
        <w:rPr>
          <w:rFonts w:ascii="Arial" w:hAnsi="Arial"/>
        </w:rPr>
        <w:t>us practices as such, the freedom of which is guaranteed by the Constitution except when they run counter to public order, health and morality, but regulation of activities which are economic, commercial or political in their character though they are asso</w:t>
      </w:r>
      <w:r>
        <w:rPr>
          <w:rFonts w:ascii="Arial" w:hAnsi="Arial"/>
        </w:rPr>
        <w:t xml:space="preserve">ciated with religious practices. We may refer in this connection to a few American and Australian cases, all of which arose out of the activities of persons connected with the religious </w:t>
      </w:r>
      <w:r>
        <w:rPr>
          <w:rFonts w:ascii="Arial" w:hAnsi="Arial"/>
          <w:spacing w:val="-1"/>
        </w:rPr>
        <w:t>a</w:t>
      </w:r>
      <w:r>
        <w:rPr>
          <w:rFonts w:ascii="Arial" w:hAnsi="Arial"/>
        </w:rPr>
        <w:t>s</w:t>
      </w:r>
      <w:r>
        <w:rPr>
          <w:rFonts w:ascii="Arial" w:hAnsi="Arial"/>
          <w:spacing w:val="-2"/>
        </w:rPr>
        <w:t>s</w:t>
      </w:r>
      <w:r>
        <w:rPr>
          <w:rFonts w:ascii="Arial" w:hAnsi="Arial"/>
          <w:spacing w:val="-1"/>
        </w:rPr>
        <w:t>o</w:t>
      </w:r>
      <w:r>
        <w:rPr>
          <w:rFonts w:ascii="Arial" w:hAnsi="Arial"/>
        </w:rPr>
        <w:t>c</w:t>
      </w:r>
      <w:r>
        <w:rPr>
          <w:rFonts w:ascii="Arial" w:hAnsi="Arial"/>
          <w:spacing w:val="-1"/>
        </w:rPr>
        <w:t>i</w:t>
      </w:r>
      <w:r>
        <w:rPr>
          <w:rFonts w:ascii="Arial" w:hAnsi="Arial"/>
          <w:spacing w:val="-3"/>
        </w:rPr>
        <w:t>a</w:t>
      </w:r>
      <w:r>
        <w:rPr>
          <w:rFonts w:ascii="Arial" w:hAnsi="Arial"/>
        </w:rPr>
        <w:t>t</w:t>
      </w:r>
      <w:r>
        <w:rPr>
          <w:rFonts w:ascii="Arial" w:hAnsi="Arial"/>
          <w:spacing w:val="-1"/>
        </w:rPr>
        <w:t>io</w:t>
      </w:r>
      <w:r>
        <w:rPr>
          <w:rFonts w:ascii="Arial" w:hAnsi="Arial"/>
        </w:rPr>
        <w:t>n</w:t>
      </w:r>
      <w:r>
        <w:rPr>
          <w:rFonts w:ascii="Arial" w:hAnsi="Arial"/>
        </w:rPr>
        <w:t xml:space="preserve"> </w:t>
      </w:r>
      <w:r>
        <w:rPr>
          <w:rFonts w:ascii="Arial" w:hAnsi="Arial"/>
          <w:spacing w:val="-24"/>
        </w:rPr>
        <w:t xml:space="preserve"> </w:t>
      </w:r>
      <w:r>
        <w:rPr>
          <w:rFonts w:ascii="Arial" w:hAnsi="Arial"/>
        </w:rPr>
        <w:t>k</w:t>
      </w:r>
      <w:r>
        <w:rPr>
          <w:rFonts w:ascii="Arial" w:hAnsi="Arial"/>
          <w:spacing w:val="-1"/>
        </w:rPr>
        <w:t>no</w:t>
      </w:r>
      <w:r>
        <w:rPr>
          <w:rFonts w:ascii="Arial" w:hAnsi="Arial"/>
          <w:spacing w:val="-4"/>
        </w:rPr>
        <w:t>w</w:t>
      </w:r>
      <w:r>
        <w:rPr>
          <w:rFonts w:ascii="Arial" w:hAnsi="Arial"/>
        </w:rPr>
        <w:t>n</w:t>
      </w:r>
      <w:r>
        <w:rPr>
          <w:rFonts w:ascii="Arial" w:hAnsi="Arial"/>
        </w:rPr>
        <w:t xml:space="preserve"> </w:t>
      </w:r>
      <w:r>
        <w:rPr>
          <w:rFonts w:ascii="Arial" w:hAnsi="Arial"/>
          <w:spacing w:val="-22"/>
        </w:rPr>
        <w:t xml:space="preserve"> </w:t>
      </w:r>
      <w:r>
        <w:rPr>
          <w:rFonts w:ascii="Arial" w:hAnsi="Arial"/>
          <w:spacing w:val="-1"/>
        </w:rPr>
        <w:t>a</w:t>
      </w:r>
      <w:r>
        <w:rPr>
          <w:rFonts w:ascii="Arial" w:hAnsi="Arial"/>
        </w:rPr>
        <w:t>s</w:t>
      </w:r>
      <w:r>
        <w:rPr>
          <w:rFonts w:ascii="Arial" w:hAnsi="Arial"/>
        </w:rPr>
        <w:t xml:space="preserve"> </w:t>
      </w:r>
      <w:r>
        <w:rPr>
          <w:rFonts w:ascii="Arial" w:hAnsi="Arial"/>
          <w:spacing w:val="-21"/>
        </w:rPr>
        <w:t xml:space="preserve"> </w:t>
      </w:r>
      <w:r>
        <w:rPr>
          <w:rFonts w:ascii="Arial" w:hAnsi="Arial"/>
          <w:w w:val="33"/>
        </w:rPr>
        <w:t>―</w:t>
      </w:r>
      <w:r>
        <w:rPr>
          <w:rFonts w:ascii="Arial" w:hAnsi="Arial"/>
        </w:rPr>
        <w:t>Jeho</w:t>
      </w:r>
      <w:r>
        <w:rPr>
          <w:rFonts w:ascii="Arial" w:hAnsi="Arial"/>
          <w:spacing w:val="-4"/>
        </w:rPr>
        <w:t>v</w:t>
      </w:r>
      <w:r>
        <w:rPr>
          <w:rFonts w:ascii="Arial" w:hAnsi="Arial"/>
        </w:rPr>
        <w:t>ah‘s</w:t>
      </w:r>
      <w:r>
        <w:rPr>
          <w:rFonts w:ascii="Arial" w:hAnsi="Arial"/>
        </w:rPr>
        <w:t xml:space="preserve"> </w:t>
      </w:r>
      <w:r>
        <w:rPr>
          <w:rFonts w:ascii="Arial" w:hAnsi="Arial"/>
          <w:spacing w:val="-23"/>
        </w:rPr>
        <w:t xml:space="preserve"> </w:t>
      </w:r>
      <w:r>
        <w:rPr>
          <w:rFonts w:ascii="Arial" w:hAnsi="Arial"/>
          <w:spacing w:val="1"/>
        </w:rPr>
        <w:t>W</w:t>
      </w:r>
      <w:r>
        <w:rPr>
          <w:rFonts w:ascii="Arial" w:hAnsi="Arial"/>
          <w:spacing w:val="-3"/>
        </w:rPr>
        <w:t>i</w:t>
      </w:r>
      <w:r>
        <w:rPr>
          <w:rFonts w:ascii="Arial" w:hAnsi="Arial"/>
          <w:spacing w:val="-2"/>
        </w:rPr>
        <w:t>t</w:t>
      </w:r>
      <w:r>
        <w:rPr>
          <w:rFonts w:ascii="Arial" w:hAnsi="Arial"/>
        </w:rPr>
        <w:t>ne</w:t>
      </w:r>
      <w:r>
        <w:rPr>
          <w:rFonts w:ascii="Arial" w:hAnsi="Arial"/>
          <w:spacing w:val="-2"/>
        </w:rPr>
        <w:t>s</w:t>
      </w:r>
      <w:r>
        <w:rPr>
          <w:rFonts w:ascii="Arial" w:hAnsi="Arial"/>
        </w:rPr>
        <w:t>se</w:t>
      </w:r>
      <w:r>
        <w:rPr>
          <w:rFonts w:ascii="Arial" w:hAnsi="Arial"/>
          <w:spacing w:val="-1"/>
        </w:rPr>
        <w:t>s</w:t>
      </w:r>
      <w:r>
        <w:rPr>
          <w:rFonts w:ascii="Arial" w:hAnsi="Arial"/>
          <w:spacing w:val="1"/>
        </w:rPr>
        <w:t>.</w:t>
      </w:r>
      <w:r>
        <w:rPr>
          <w:rFonts w:ascii="Arial" w:hAnsi="Arial"/>
          <w:w w:val="80"/>
        </w:rPr>
        <w:t>‖</w:t>
      </w:r>
      <w:r>
        <w:rPr>
          <w:rFonts w:ascii="Arial" w:hAnsi="Arial"/>
        </w:rPr>
        <w:t xml:space="preserve"> </w:t>
      </w:r>
      <w:r>
        <w:rPr>
          <w:rFonts w:ascii="Arial" w:hAnsi="Arial"/>
          <w:spacing w:val="-22"/>
        </w:rPr>
        <w:t xml:space="preserve"> </w:t>
      </w:r>
      <w:r>
        <w:rPr>
          <w:rFonts w:ascii="Arial" w:hAnsi="Arial"/>
          <w:spacing w:val="-2"/>
        </w:rPr>
        <w:t>T</w:t>
      </w:r>
      <w:r>
        <w:rPr>
          <w:rFonts w:ascii="Arial" w:hAnsi="Arial"/>
          <w:spacing w:val="-3"/>
        </w:rPr>
        <w:t>hi</w:t>
      </w:r>
      <w:r>
        <w:rPr>
          <w:rFonts w:ascii="Arial" w:hAnsi="Arial"/>
        </w:rPr>
        <w:t xml:space="preserve">s </w:t>
      </w:r>
      <w:r>
        <w:rPr>
          <w:rFonts w:ascii="Arial" w:hAnsi="Arial"/>
        </w:rPr>
        <w:t>association of persons loosely organised throughout Australia, U.S.A. and other countries regard the literal interpretation of the Bible as fundamental to proper religious beliefs. This belief in the supreme authority of the Bible colours many of their pol</w:t>
      </w:r>
      <w:r>
        <w:rPr>
          <w:rFonts w:ascii="Arial" w:hAnsi="Arial"/>
        </w:rPr>
        <w:t xml:space="preserve">itical ideas. They refuse to take oath of allegiance to the king or other constituted human authority and even to show respect to the national flag, and they decry all wars between nations and all kinds of war </w:t>
      </w:r>
      <w:r>
        <w:rPr>
          <w:rFonts w:ascii="Arial" w:hAnsi="Arial"/>
        </w:rPr>
        <w:t>acti</w:t>
      </w:r>
      <w:r>
        <w:rPr>
          <w:rFonts w:ascii="Arial" w:hAnsi="Arial"/>
          <w:spacing w:val="-4"/>
        </w:rPr>
        <w:t>v</w:t>
      </w:r>
      <w:r>
        <w:rPr>
          <w:rFonts w:ascii="Arial" w:hAnsi="Arial"/>
        </w:rPr>
        <w:t>iti</w:t>
      </w:r>
      <w:r>
        <w:rPr>
          <w:rFonts w:ascii="Arial" w:hAnsi="Arial"/>
          <w:spacing w:val="-3"/>
        </w:rPr>
        <w:t>e</w:t>
      </w:r>
      <w:r>
        <w:rPr>
          <w:rFonts w:ascii="Arial" w:hAnsi="Arial"/>
          <w:spacing w:val="2"/>
        </w:rPr>
        <w:t>s</w:t>
      </w:r>
      <w:r>
        <w:rPr>
          <w:rFonts w:ascii="Arial" w:hAnsi="Arial"/>
        </w:rPr>
        <w:t>.</w:t>
      </w:r>
      <w:r>
        <w:rPr>
          <w:rFonts w:ascii="Arial" w:hAnsi="Arial"/>
        </w:rPr>
        <w:t xml:space="preserve">  </w:t>
      </w:r>
      <w:r>
        <w:rPr>
          <w:rFonts w:ascii="Arial" w:hAnsi="Arial"/>
          <w:spacing w:val="38"/>
        </w:rPr>
        <w:t xml:space="preserve"> </w:t>
      </w:r>
      <w:r>
        <w:rPr>
          <w:rFonts w:ascii="Arial" w:hAnsi="Arial"/>
        </w:rPr>
        <w:t>In</w:t>
      </w:r>
      <w:r>
        <w:rPr>
          <w:rFonts w:ascii="Arial" w:hAnsi="Arial"/>
        </w:rPr>
        <w:t xml:space="preserve">  </w:t>
      </w:r>
      <w:r>
        <w:rPr>
          <w:rFonts w:ascii="Arial" w:hAnsi="Arial"/>
          <w:spacing w:val="37"/>
        </w:rPr>
        <w:t xml:space="preserve"> </w:t>
      </w:r>
      <w:r>
        <w:rPr>
          <w:rFonts w:ascii="Arial" w:hAnsi="Arial"/>
          <w:spacing w:val="-1"/>
        </w:rPr>
        <w:t>19</w:t>
      </w:r>
      <w:r>
        <w:rPr>
          <w:rFonts w:ascii="Arial" w:hAnsi="Arial"/>
          <w:spacing w:val="-3"/>
        </w:rPr>
        <w:t>4</w:t>
      </w:r>
      <w:r>
        <w:rPr>
          <w:rFonts w:ascii="Arial" w:hAnsi="Arial"/>
        </w:rPr>
        <w:t>1</w:t>
      </w:r>
      <w:r>
        <w:rPr>
          <w:rFonts w:ascii="Arial" w:hAnsi="Arial"/>
        </w:rPr>
        <w:t xml:space="preserve">  </w:t>
      </w:r>
      <w:r>
        <w:rPr>
          <w:rFonts w:ascii="Arial" w:hAnsi="Arial"/>
          <w:spacing w:val="37"/>
        </w:rPr>
        <w:t xml:space="preserve"> </w:t>
      </w:r>
      <w:r>
        <w:rPr>
          <w:rFonts w:ascii="Arial" w:hAnsi="Arial"/>
        </w:rPr>
        <w:t>a</w:t>
      </w:r>
      <w:r>
        <w:rPr>
          <w:rFonts w:ascii="Arial" w:hAnsi="Arial"/>
        </w:rPr>
        <w:t xml:space="preserve">  </w:t>
      </w:r>
      <w:r>
        <w:rPr>
          <w:rFonts w:ascii="Arial" w:hAnsi="Arial"/>
          <w:spacing w:val="37"/>
        </w:rPr>
        <w:t xml:space="preserve"> </w:t>
      </w:r>
      <w:r>
        <w:rPr>
          <w:rFonts w:ascii="Arial" w:hAnsi="Arial"/>
        </w:rPr>
        <w:t>c</w:t>
      </w:r>
      <w:r>
        <w:rPr>
          <w:rFonts w:ascii="Arial" w:hAnsi="Arial"/>
          <w:spacing w:val="-1"/>
        </w:rPr>
        <w:t>o</w:t>
      </w:r>
      <w:r>
        <w:rPr>
          <w:rFonts w:ascii="Arial" w:hAnsi="Arial"/>
          <w:spacing w:val="-2"/>
        </w:rPr>
        <w:t>m</w:t>
      </w:r>
      <w:r>
        <w:rPr>
          <w:rFonts w:ascii="Arial" w:hAnsi="Arial"/>
          <w:spacing w:val="-1"/>
        </w:rPr>
        <w:t>pan</w:t>
      </w:r>
      <w:r>
        <w:rPr>
          <w:rFonts w:ascii="Arial" w:hAnsi="Arial"/>
        </w:rPr>
        <w:t>y</w:t>
      </w:r>
      <w:r>
        <w:rPr>
          <w:rFonts w:ascii="Arial" w:hAnsi="Arial"/>
        </w:rPr>
        <w:t xml:space="preserve">  </w:t>
      </w:r>
      <w:r>
        <w:rPr>
          <w:rFonts w:ascii="Arial" w:hAnsi="Arial"/>
          <w:spacing w:val="33"/>
        </w:rPr>
        <w:t xml:space="preserve"> </w:t>
      </w:r>
      <w:r>
        <w:rPr>
          <w:rFonts w:ascii="Arial" w:hAnsi="Arial"/>
          <w:spacing w:val="1"/>
        </w:rPr>
        <w:t>o</w:t>
      </w:r>
      <w:r>
        <w:rPr>
          <w:rFonts w:ascii="Arial" w:hAnsi="Arial"/>
        </w:rPr>
        <w:t>f</w:t>
      </w:r>
      <w:r>
        <w:rPr>
          <w:rFonts w:ascii="Arial" w:hAnsi="Arial"/>
        </w:rPr>
        <w:t xml:space="preserve">  </w:t>
      </w:r>
      <w:r>
        <w:rPr>
          <w:rFonts w:ascii="Arial" w:hAnsi="Arial"/>
          <w:spacing w:val="38"/>
        </w:rPr>
        <w:t xml:space="preserve"> </w:t>
      </w:r>
      <w:r>
        <w:rPr>
          <w:rFonts w:ascii="Arial" w:hAnsi="Arial"/>
          <w:spacing w:val="3"/>
          <w:w w:val="33"/>
        </w:rPr>
        <w:t>―</w:t>
      </w:r>
      <w:r>
        <w:rPr>
          <w:rFonts w:ascii="Arial" w:hAnsi="Arial"/>
        </w:rPr>
        <w:t>J</w:t>
      </w:r>
      <w:r>
        <w:rPr>
          <w:rFonts w:ascii="Arial" w:hAnsi="Arial"/>
          <w:spacing w:val="-1"/>
        </w:rPr>
        <w:t>eho</w:t>
      </w:r>
      <w:r>
        <w:rPr>
          <w:rFonts w:ascii="Arial" w:hAnsi="Arial"/>
          <w:spacing w:val="-4"/>
        </w:rPr>
        <w:t>v</w:t>
      </w:r>
      <w:r>
        <w:rPr>
          <w:rFonts w:ascii="Arial" w:hAnsi="Arial"/>
          <w:spacing w:val="-1"/>
        </w:rPr>
        <w:t>ah</w:t>
      </w:r>
      <w:r>
        <w:rPr>
          <w:rFonts w:ascii="Arial" w:hAnsi="Arial"/>
          <w:spacing w:val="-3"/>
        </w:rPr>
        <w:t>‘</w:t>
      </w:r>
      <w:r>
        <w:rPr>
          <w:rFonts w:ascii="Arial" w:hAnsi="Arial"/>
        </w:rPr>
        <w:t xml:space="preserve">s </w:t>
      </w:r>
      <w:r>
        <w:rPr>
          <w:rFonts w:ascii="Arial" w:hAnsi="Arial"/>
        </w:rPr>
        <w:t>Witnesses‖ incorporated in Australia commenced proclaiming and teaching matters which were prejudicial to war activities and the defence of the Commonwealth and steps were taken against</w:t>
      </w:r>
      <w:r>
        <w:rPr>
          <w:rFonts w:ascii="Arial" w:hAnsi="Arial"/>
          <w:spacing w:val="60"/>
        </w:rPr>
        <w:t xml:space="preserve"> </w:t>
      </w:r>
      <w:r>
        <w:rPr>
          <w:rFonts w:ascii="Arial" w:hAnsi="Arial"/>
        </w:rPr>
        <w:t>them</w:t>
      </w:r>
    </w:p>
    <w:p w:rsidR="003B2FC0" w:rsidRDefault="003B2FC0">
      <w:pPr>
        <w:jc w:val="both"/>
        <w:sectPr w:rsidR="003B2FC0">
          <w:headerReference w:type="default" r:id="rId204"/>
          <w:footerReference w:type="default" r:id="rId205"/>
          <w:pgSz w:w="12240" w:h="15840"/>
          <w:pgMar w:top="1360" w:right="1320" w:bottom="1680" w:left="1340" w:header="0" w:footer="1492" w:gutter="0"/>
          <w:pgNumType w:start="11"/>
          <w:cols w:space="720"/>
        </w:sectPr>
      </w:pPr>
    </w:p>
    <w:p w:rsidR="003B2FC0" w:rsidRDefault="00052A49">
      <w:pPr>
        <w:pStyle w:val="BodyText"/>
        <w:spacing w:before="77"/>
        <w:ind w:left="1518" w:right="1539"/>
        <w:jc w:val="both"/>
        <w:rPr>
          <w:rFonts w:ascii="Arial"/>
        </w:rPr>
      </w:pPr>
      <w:r>
        <w:rPr>
          <w:rFonts w:ascii="Arial"/>
        </w:rPr>
        <w:t>under the National Security Regulations of the  State. The legality of the action of the Government was questioned by means of a writ petition before the High Court and the High Court held that the action of the Government was justified and that section 11</w:t>
      </w:r>
      <w:r>
        <w:rPr>
          <w:rFonts w:ascii="Arial"/>
        </w:rPr>
        <w:t>6, which guaranteed freedom of religion under the Australian Constitution, was not in any way infringed by the National Security Regulations [</w:t>
      </w:r>
      <w:r>
        <w:rPr>
          <w:rFonts w:ascii="Arial"/>
          <w:i/>
        </w:rPr>
        <w:t xml:space="preserve">Vide Adelaide Company </w:t>
      </w:r>
      <w:r>
        <w:rPr>
          <w:rFonts w:ascii="Arial"/>
        </w:rPr>
        <w:t xml:space="preserve">v. </w:t>
      </w:r>
      <w:r>
        <w:rPr>
          <w:rFonts w:ascii="Arial"/>
          <w:i/>
        </w:rPr>
        <w:t>Commonwealth</w:t>
      </w:r>
      <w:r>
        <w:rPr>
          <w:rFonts w:ascii="Arial"/>
        </w:rPr>
        <w:t>,</w:t>
      </w:r>
      <w:r>
        <w:rPr>
          <w:rFonts w:ascii="Arial"/>
          <w:spacing w:val="23"/>
        </w:rPr>
        <w:t xml:space="preserve"> </w:t>
      </w:r>
      <w:r>
        <w:rPr>
          <w:rFonts w:ascii="Arial"/>
          <w:spacing w:val="-3"/>
        </w:rPr>
        <w:t>67</w:t>
      </w:r>
    </w:p>
    <w:p w:rsidR="003B2FC0" w:rsidRDefault="00052A49">
      <w:pPr>
        <w:pStyle w:val="BodyText"/>
        <w:ind w:left="1518" w:right="1537"/>
        <w:jc w:val="both"/>
        <w:rPr>
          <w:rFonts w:ascii="Arial" w:hAnsi="Arial"/>
        </w:rPr>
      </w:pPr>
      <w:r>
        <w:rPr>
          <w:rFonts w:ascii="Arial" w:hAnsi="Arial"/>
        </w:rPr>
        <w:t>C.L.R. 116, 127]. These were undoubtedly political activities though ari</w:t>
      </w:r>
      <w:r>
        <w:rPr>
          <w:rFonts w:ascii="Arial" w:hAnsi="Arial"/>
        </w:rPr>
        <w:t xml:space="preserve">sing out of religious belief entertained by a particular community. In such cases, as Chief Justice Latham pointed out, the provision for protection of religion was not an absolute protection to be interpreted and applied independently of other provisions </w:t>
      </w:r>
      <w:r>
        <w:rPr>
          <w:rFonts w:ascii="Arial" w:hAnsi="Arial"/>
        </w:rPr>
        <w:t>of  the Constitution. These privileges must be reconciled with the right of the State to employ the sovereign power to ensure peace, security and orderly living without which constitutional guarantee of civil liberty would be a mockery.‖</w:t>
      </w:r>
    </w:p>
    <w:p w:rsidR="003B2FC0" w:rsidRDefault="00052A49">
      <w:pPr>
        <w:pStyle w:val="BodyText"/>
        <w:spacing w:before="38" w:line="271" w:lineRule="auto"/>
        <w:ind w:left="5734" w:right="1522" w:hanging="202"/>
        <w:rPr>
          <w:rFonts w:ascii="Arial"/>
        </w:rPr>
      </w:pPr>
      <w:r>
        <w:rPr>
          <w:rFonts w:ascii="Arial"/>
        </w:rPr>
        <w:t>(emphasis supplied</w:t>
      </w:r>
      <w:r>
        <w:rPr>
          <w:rFonts w:ascii="Arial"/>
        </w:rPr>
        <w:t>) (at pp. 1023-1026)</w:t>
      </w:r>
    </w:p>
    <w:p w:rsidR="003B2FC0" w:rsidRDefault="003B2FC0">
      <w:pPr>
        <w:spacing w:before="8"/>
        <w:rPr>
          <w:sz w:val="41"/>
        </w:rPr>
      </w:pPr>
    </w:p>
    <w:p w:rsidR="003B2FC0" w:rsidRDefault="00052A49">
      <w:pPr>
        <w:pStyle w:val="BodyText"/>
        <w:tabs>
          <w:tab w:val="left" w:pos="944"/>
          <w:tab w:val="left" w:pos="1414"/>
          <w:tab w:val="left" w:pos="2239"/>
          <w:tab w:val="left" w:pos="3407"/>
          <w:tab w:val="left" w:pos="3796"/>
          <w:tab w:val="left" w:pos="5075"/>
          <w:tab w:val="left" w:pos="6989"/>
          <w:tab w:val="left" w:pos="8030"/>
        </w:tabs>
        <w:spacing w:before="1" w:line="482" w:lineRule="auto"/>
        <w:ind w:left="383" w:right="407"/>
        <w:rPr>
          <w:rFonts w:ascii="Arial"/>
        </w:rPr>
      </w:pPr>
      <w:r>
        <w:rPr>
          <w:rFonts w:ascii="Arial"/>
        </w:rPr>
        <w:t>As</w:t>
      </w:r>
      <w:r>
        <w:rPr>
          <w:rFonts w:ascii="Arial"/>
        </w:rPr>
        <w:tab/>
        <w:t>to</w:t>
      </w:r>
      <w:r>
        <w:rPr>
          <w:rFonts w:ascii="Arial"/>
        </w:rPr>
        <w:tab/>
        <w:t>what</w:t>
      </w:r>
      <w:r>
        <w:rPr>
          <w:rFonts w:ascii="Arial"/>
        </w:rPr>
        <w:tab/>
        <w:t>matters</w:t>
      </w:r>
      <w:r>
        <w:rPr>
          <w:rFonts w:ascii="Arial"/>
        </w:rPr>
        <w:tab/>
        <w:t>a</w:t>
      </w:r>
      <w:r>
        <w:rPr>
          <w:rFonts w:ascii="Arial"/>
        </w:rPr>
        <w:tab/>
        <w:t>religious</w:t>
      </w:r>
      <w:r>
        <w:rPr>
          <w:rFonts w:ascii="Arial"/>
        </w:rPr>
        <w:tab/>
        <w:t>denomination</w:t>
      </w:r>
      <w:r>
        <w:rPr>
          <w:rFonts w:ascii="Arial"/>
        </w:rPr>
        <w:tab/>
        <w:t>enjoys</w:t>
      </w:r>
      <w:r>
        <w:rPr>
          <w:rFonts w:ascii="Arial"/>
        </w:rPr>
        <w:tab/>
      </w:r>
      <w:r>
        <w:rPr>
          <w:rFonts w:ascii="Arial"/>
          <w:spacing w:val="-3"/>
        </w:rPr>
        <w:t xml:space="preserve">complete </w:t>
      </w:r>
      <w:r>
        <w:rPr>
          <w:rFonts w:ascii="Arial"/>
        </w:rPr>
        <w:t>autonomy over, this Court</w:t>
      </w:r>
      <w:r>
        <w:rPr>
          <w:rFonts w:ascii="Arial"/>
          <w:spacing w:val="-5"/>
        </w:rPr>
        <w:t xml:space="preserve"> </w:t>
      </w:r>
      <w:r>
        <w:rPr>
          <w:rFonts w:ascii="Arial"/>
        </w:rPr>
        <w:t>said:</w:t>
      </w:r>
    </w:p>
    <w:p w:rsidR="003B2FC0" w:rsidRDefault="00052A49">
      <w:pPr>
        <w:pStyle w:val="BodyText"/>
        <w:spacing w:before="193"/>
        <w:ind w:left="1518" w:right="1537"/>
        <w:jc w:val="both"/>
        <w:rPr>
          <w:rFonts w:ascii="Arial" w:hAnsi="Arial"/>
        </w:rPr>
      </w:pPr>
      <w:r>
        <w:rPr>
          <w:rFonts w:ascii="Arial" w:hAnsi="Arial"/>
          <w:w w:val="33"/>
        </w:rPr>
        <w:t>―</w:t>
      </w:r>
      <w:r>
        <w:rPr>
          <w:rFonts w:ascii="Arial" w:hAnsi="Arial"/>
        </w:rPr>
        <w:t>……</w:t>
      </w:r>
      <w:r>
        <w:rPr>
          <w:rFonts w:ascii="Arial" w:hAnsi="Arial"/>
        </w:rPr>
        <w:t xml:space="preserve"> </w:t>
      </w:r>
      <w:r>
        <w:rPr>
          <w:rFonts w:ascii="Arial" w:hAnsi="Arial"/>
          <w:spacing w:val="15"/>
        </w:rPr>
        <w:t xml:space="preserve"> </w:t>
      </w:r>
      <w:r>
        <w:rPr>
          <w:rFonts w:ascii="Arial" w:hAnsi="Arial"/>
        </w:rPr>
        <w:t>As</w:t>
      </w:r>
      <w:r>
        <w:rPr>
          <w:rFonts w:ascii="Arial" w:hAnsi="Arial"/>
        </w:rPr>
        <w:t xml:space="preserve"> </w:t>
      </w:r>
      <w:r>
        <w:rPr>
          <w:rFonts w:ascii="Arial" w:hAnsi="Arial"/>
          <w:spacing w:val="15"/>
        </w:rPr>
        <w:t xml:space="preserve"> </w:t>
      </w:r>
      <w:r>
        <w:rPr>
          <w:rFonts w:ascii="Arial" w:hAnsi="Arial"/>
          <w:spacing w:val="-4"/>
        </w:rPr>
        <w:t>w</w:t>
      </w:r>
      <w:r>
        <w:rPr>
          <w:rFonts w:ascii="Arial" w:hAnsi="Arial"/>
        </w:rPr>
        <w:t>e</w:t>
      </w:r>
      <w:r>
        <w:rPr>
          <w:rFonts w:ascii="Arial" w:hAnsi="Arial"/>
        </w:rPr>
        <w:t xml:space="preserve"> </w:t>
      </w:r>
      <w:r>
        <w:rPr>
          <w:rFonts w:ascii="Arial" w:hAnsi="Arial"/>
          <w:spacing w:val="14"/>
        </w:rPr>
        <w:t xml:space="preserve"> </w:t>
      </w:r>
      <w:r>
        <w:rPr>
          <w:rFonts w:ascii="Arial" w:hAnsi="Arial"/>
        </w:rPr>
        <w:t>ha</w:t>
      </w:r>
      <w:r>
        <w:rPr>
          <w:rFonts w:ascii="Arial" w:hAnsi="Arial"/>
          <w:spacing w:val="-2"/>
        </w:rPr>
        <w:t>v</w:t>
      </w:r>
      <w:r>
        <w:rPr>
          <w:rFonts w:ascii="Arial" w:hAnsi="Arial"/>
        </w:rPr>
        <w:t>e</w:t>
      </w:r>
      <w:r>
        <w:rPr>
          <w:rFonts w:ascii="Arial" w:hAnsi="Arial"/>
        </w:rPr>
        <w:t xml:space="preserve"> </w:t>
      </w:r>
      <w:r>
        <w:rPr>
          <w:rFonts w:ascii="Arial" w:hAnsi="Arial"/>
          <w:spacing w:val="14"/>
        </w:rPr>
        <w:t xml:space="preserve"> </w:t>
      </w:r>
      <w:r>
        <w:rPr>
          <w:rFonts w:ascii="Arial" w:hAnsi="Arial"/>
        </w:rPr>
        <w:t>already</w:t>
      </w:r>
      <w:r>
        <w:rPr>
          <w:rFonts w:ascii="Arial" w:hAnsi="Arial"/>
        </w:rPr>
        <w:t xml:space="preserve"> </w:t>
      </w:r>
      <w:r>
        <w:rPr>
          <w:rFonts w:ascii="Arial" w:hAnsi="Arial"/>
          <w:spacing w:val="10"/>
        </w:rPr>
        <w:t xml:space="preserve"> </w:t>
      </w:r>
      <w:r>
        <w:rPr>
          <w:rFonts w:ascii="Arial" w:hAnsi="Arial"/>
        </w:rPr>
        <w:t>indicat</w:t>
      </w:r>
      <w:r>
        <w:rPr>
          <w:rFonts w:ascii="Arial" w:hAnsi="Arial"/>
          <w:spacing w:val="-3"/>
        </w:rPr>
        <w:t>e</w:t>
      </w:r>
      <w:r>
        <w:rPr>
          <w:rFonts w:ascii="Arial" w:hAnsi="Arial"/>
        </w:rPr>
        <w:t>d,</w:t>
      </w:r>
      <w:r>
        <w:rPr>
          <w:rFonts w:ascii="Arial" w:hAnsi="Arial"/>
        </w:rPr>
        <w:t xml:space="preserve"> </w:t>
      </w:r>
      <w:r>
        <w:rPr>
          <w:rFonts w:ascii="Arial" w:hAnsi="Arial"/>
          <w:spacing w:val="15"/>
        </w:rPr>
        <w:t xml:space="preserve"> </w:t>
      </w:r>
      <w:r>
        <w:rPr>
          <w:rFonts w:ascii="Arial" w:hAnsi="Arial"/>
        </w:rPr>
        <w:t>free</w:t>
      </w:r>
      <w:r>
        <w:rPr>
          <w:rFonts w:ascii="Arial" w:hAnsi="Arial"/>
          <w:spacing w:val="-3"/>
        </w:rPr>
        <w:t>d</w:t>
      </w:r>
      <w:r>
        <w:rPr>
          <w:rFonts w:ascii="Arial" w:hAnsi="Arial"/>
        </w:rPr>
        <w:t>om</w:t>
      </w:r>
      <w:r>
        <w:rPr>
          <w:rFonts w:ascii="Arial" w:hAnsi="Arial"/>
        </w:rPr>
        <w:t xml:space="preserve"> </w:t>
      </w:r>
      <w:r>
        <w:rPr>
          <w:rFonts w:ascii="Arial" w:hAnsi="Arial"/>
          <w:spacing w:val="13"/>
        </w:rPr>
        <w:t xml:space="preserve"> </w:t>
      </w:r>
      <w:r>
        <w:rPr>
          <w:rFonts w:ascii="Arial" w:hAnsi="Arial"/>
        </w:rPr>
        <w:t xml:space="preserve">of </w:t>
      </w:r>
      <w:r>
        <w:rPr>
          <w:rFonts w:ascii="Arial" w:hAnsi="Arial"/>
        </w:rPr>
        <w:t>religion in our Constitution is not confined to religious beliefs only; it extends to religious practices as well subject to the restrictions which the Constitution itself has laid down. Under Article 26(b), therefore, a religious denomination or organizat</w:t>
      </w:r>
      <w:r>
        <w:rPr>
          <w:rFonts w:ascii="Arial" w:hAnsi="Arial"/>
        </w:rPr>
        <w:t>ion enjoys complete autonomy in the matter of deciding as to what rites and ceremonies are essential according</w:t>
      </w:r>
      <w:r>
        <w:rPr>
          <w:rFonts w:ascii="Arial" w:hAnsi="Arial"/>
          <w:spacing w:val="17"/>
        </w:rPr>
        <w:t xml:space="preserve"> </w:t>
      </w:r>
      <w:r>
        <w:rPr>
          <w:rFonts w:ascii="Arial" w:hAnsi="Arial"/>
        </w:rPr>
        <w:t>to</w:t>
      </w:r>
      <w:r>
        <w:rPr>
          <w:rFonts w:ascii="Arial" w:hAnsi="Arial"/>
          <w:spacing w:val="17"/>
        </w:rPr>
        <w:t xml:space="preserve"> </w:t>
      </w:r>
      <w:r>
        <w:rPr>
          <w:rFonts w:ascii="Arial" w:hAnsi="Arial"/>
        </w:rPr>
        <w:t>the</w:t>
      </w:r>
      <w:r>
        <w:rPr>
          <w:rFonts w:ascii="Arial" w:hAnsi="Arial"/>
          <w:spacing w:val="17"/>
        </w:rPr>
        <w:t xml:space="preserve"> </w:t>
      </w:r>
      <w:r>
        <w:rPr>
          <w:rFonts w:ascii="Arial" w:hAnsi="Arial"/>
        </w:rPr>
        <w:t>tenets</w:t>
      </w:r>
      <w:r>
        <w:rPr>
          <w:rFonts w:ascii="Arial" w:hAnsi="Arial"/>
          <w:spacing w:val="18"/>
        </w:rPr>
        <w:t xml:space="preserve"> </w:t>
      </w:r>
      <w:r>
        <w:rPr>
          <w:rFonts w:ascii="Arial" w:hAnsi="Arial"/>
        </w:rPr>
        <w:t>of</w:t>
      </w:r>
      <w:r>
        <w:rPr>
          <w:rFonts w:ascii="Arial" w:hAnsi="Arial"/>
          <w:spacing w:val="18"/>
        </w:rPr>
        <w:t xml:space="preserve"> </w:t>
      </w:r>
      <w:r>
        <w:rPr>
          <w:rFonts w:ascii="Arial" w:hAnsi="Arial"/>
        </w:rPr>
        <w:t>the</w:t>
      </w:r>
      <w:r>
        <w:rPr>
          <w:rFonts w:ascii="Arial" w:hAnsi="Arial"/>
          <w:spacing w:val="17"/>
        </w:rPr>
        <w:t xml:space="preserve"> </w:t>
      </w:r>
      <w:r>
        <w:rPr>
          <w:rFonts w:ascii="Arial" w:hAnsi="Arial"/>
        </w:rPr>
        <w:t>religion</w:t>
      </w:r>
      <w:r>
        <w:rPr>
          <w:rFonts w:ascii="Arial" w:hAnsi="Arial"/>
          <w:spacing w:val="15"/>
        </w:rPr>
        <w:t xml:space="preserve"> </w:t>
      </w:r>
      <w:r>
        <w:rPr>
          <w:rFonts w:ascii="Arial" w:hAnsi="Arial"/>
        </w:rPr>
        <w:t>they</w:t>
      </w:r>
      <w:r>
        <w:rPr>
          <w:rFonts w:ascii="Arial" w:hAnsi="Arial"/>
          <w:spacing w:val="14"/>
        </w:rPr>
        <w:t xml:space="preserve"> </w:t>
      </w:r>
      <w:r>
        <w:rPr>
          <w:rFonts w:ascii="Arial" w:hAnsi="Arial"/>
        </w:rPr>
        <w:t>hold</w:t>
      </w:r>
      <w:r>
        <w:rPr>
          <w:rFonts w:ascii="Arial" w:hAnsi="Arial"/>
          <w:spacing w:val="17"/>
        </w:rPr>
        <w:t xml:space="preserve"> </w:t>
      </w:r>
      <w:r>
        <w:rPr>
          <w:rFonts w:ascii="Arial" w:hAnsi="Arial"/>
        </w:rPr>
        <w:t>and</w:t>
      </w:r>
    </w:p>
    <w:p w:rsidR="003B2FC0" w:rsidRDefault="003B2FC0">
      <w:pPr>
        <w:jc w:val="both"/>
        <w:sectPr w:rsidR="003B2FC0">
          <w:headerReference w:type="default" r:id="rId206"/>
          <w:footerReference w:type="default" r:id="rId207"/>
          <w:pgSz w:w="12240" w:h="15840"/>
          <w:pgMar w:top="1360" w:right="1320" w:bottom="1680" w:left="1340" w:header="0" w:footer="1492" w:gutter="0"/>
          <w:pgNumType w:start="12"/>
          <w:cols w:space="720"/>
        </w:sectPr>
      </w:pPr>
    </w:p>
    <w:p w:rsidR="003B2FC0" w:rsidRDefault="00052A49">
      <w:pPr>
        <w:pStyle w:val="BodyText"/>
        <w:spacing w:before="77"/>
        <w:ind w:left="1518" w:right="1537"/>
        <w:jc w:val="both"/>
        <w:rPr>
          <w:rFonts w:ascii="Arial" w:hAnsi="Arial"/>
        </w:rPr>
      </w:pPr>
      <w:r>
        <w:rPr>
          <w:rFonts w:ascii="Arial" w:hAnsi="Arial"/>
        </w:rPr>
        <w:t>no outside authority has any jurisdiction to interfere with their decision in such matters. Of course, the scale of expenses to be incurred in connection with these religious observances would be a matter of administration of property belonging to the reli</w:t>
      </w:r>
      <w:r>
        <w:rPr>
          <w:rFonts w:ascii="Arial" w:hAnsi="Arial"/>
        </w:rPr>
        <w:t>gious denomination and can be controlled by secular authorities in accordance with any law laid down by a competent legislature; for it could not be the injunction of any religion to destroy the institution and its endowments by incurring wasteful expendit</w:t>
      </w:r>
      <w:r>
        <w:rPr>
          <w:rFonts w:ascii="Arial" w:hAnsi="Arial"/>
        </w:rPr>
        <w:t xml:space="preserve">ure on rites and ceremonies. It should be noticed, however, that under Article 26(d), it is the fundamental right of a religious denomination or its representative to administer its properties in accordance with law; and the law, therefore, </w:t>
      </w:r>
      <w:r>
        <w:rPr>
          <w:rFonts w:ascii="Arial" w:hAnsi="Arial"/>
          <w:spacing w:val="-3"/>
        </w:rPr>
        <w:t xml:space="preserve">must </w:t>
      </w:r>
      <w:r>
        <w:rPr>
          <w:rFonts w:ascii="Arial" w:hAnsi="Arial"/>
        </w:rPr>
        <w:t xml:space="preserve">leave the </w:t>
      </w:r>
      <w:r>
        <w:rPr>
          <w:rFonts w:ascii="Arial" w:hAnsi="Arial"/>
        </w:rPr>
        <w:t xml:space="preserve">right of administration to the religious denomination itself subject to such restrictions and regulations as it might choose to impose. A law which takes away the right of administration from  the hands of a religious denomination  altogether and vests it </w:t>
      </w:r>
      <w:r>
        <w:rPr>
          <w:rFonts w:ascii="Arial" w:hAnsi="Arial"/>
        </w:rPr>
        <w:t>in any other authority would amount to a violation of the right guaranteed under clause (d) of Article</w:t>
      </w:r>
      <w:r>
        <w:rPr>
          <w:rFonts w:ascii="Arial" w:hAnsi="Arial"/>
          <w:spacing w:val="-3"/>
        </w:rPr>
        <w:t xml:space="preserve"> </w:t>
      </w:r>
      <w:r>
        <w:rPr>
          <w:rFonts w:ascii="Arial" w:hAnsi="Arial"/>
        </w:rPr>
        <w:t>26.‖</w:t>
      </w:r>
    </w:p>
    <w:p w:rsidR="003B2FC0" w:rsidRDefault="00052A49">
      <w:pPr>
        <w:pStyle w:val="BodyText"/>
        <w:spacing w:before="2"/>
        <w:ind w:left="5734"/>
        <w:rPr>
          <w:rFonts w:ascii="Arial"/>
        </w:rPr>
      </w:pPr>
      <w:r>
        <w:rPr>
          <w:rFonts w:ascii="Arial"/>
        </w:rPr>
        <w:t>(at pp. 1028-1029)</w:t>
      </w:r>
    </w:p>
    <w:p w:rsidR="003B2FC0" w:rsidRDefault="003B2FC0">
      <w:pPr>
        <w:rPr>
          <w:sz w:val="30"/>
        </w:rPr>
      </w:pPr>
    </w:p>
    <w:p w:rsidR="003B2FC0" w:rsidRDefault="00052A49">
      <w:pPr>
        <w:pStyle w:val="ListParagraph"/>
        <w:numPr>
          <w:ilvl w:val="0"/>
          <w:numId w:val="51"/>
        </w:numPr>
        <w:tabs>
          <w:tab w:val="left" w:pos="1234"/>
        </w:tabs>
        <w:spacing w:before="175" w:line="480" w:lineRule="auto"/>
        <w:ind w:right="402" w:firstLine="0"/>
        <w:jc w:val="both"/>
        <w:rPr>
          <w:sz w:val="28"/>
        </w:rPr>
      </w:pPr>
      <w:r>
        <w:rPr>
          <w:sz w:val="28"/>
        </w:rPr>
        <w:t xml:space="preserve">Close on the heels of this judgment, followed the judgment in </w:t>
      </w:r>
      <w:r>
        <w:rPr>
          <w:b/>
          <w:sz w:val="28"/>
        </w:rPr>
        <w:t>Ratilal Panachand Gandhi v. State of Bombay and Ors.</w:t>
      </w:r>
      <w:r>
        <w:rPr>
          <w:sz w:val="28"/>
        </w:rPr>
        <w:t>, 1954 SCR 1055. In this case, two connected appeals – one by the manager of a Swetamber Jain public temple and one by the trustees of the Parsi Punchayet, assailed the constitutional validity of the Bombay Public Trusts Act, 1950. Dealing with the freedom</w:t>
      </w:r>
      <w:r>
        <w:rPr>
          <w:sz w:val="28"/>
        </w:rPr>
        <w:t>s contained in Articles 25 and 26, this Court</w:t>
      </w:r>
      <w:r>
        <w:rPr>
          <w:spacing w:val="-2"/>
          <w:sz w:val="28"/>
        </w:rPr>
        <w:t xml:space="preserve"> </w:t>
      </w:r>
      <w:r>
        <w:rPr>
          <w:sz w:val="28"/>
        </w:rPr>
        <w:t>held:</w:t>
      </w:r>
    </w:p>
    <w:p w:rsidR="003B2FC0" w:rsidRDefault="003B2FC0">
      <w:pPr>
        <w:spacing w:line="480" w:lineRule="auto"/>
        <w:jc w:val="both"/>
        <w:rPr>
          <w:sz w:val="28"/>
        </w:rPr>
        <w:sectPr w:rsidR="003B2FC0">
          <w:headerReference w:type="default" r:id="rId208"/>
          <w:footerReference w:type="default" r:id="rId209"/>
          <w:pgSz w:w="12240" w:h="15840"/>
          <w:pgMar w:top="1360" w:right="1320" w:bottom="1680" w:left="1340" w:header="0" w:footer="1492" w:gutter="0"/>
          <w:pgNumType w:start="13"/>
          <w:cols w:space="720"/>
        </w:sectPr>
      </w:pPr>
    </w:p>
    <w:p w:rsidR="003B2FC0" w:rsidRDefault="00052A49">
      <w:pPr>
        <w:pStyle w:val="BodyText"/>
        <w:spacing w:before="77"/>
        <w:ind w:left="1518" w:right="1534" w:firstLine="76"/>
        <w:jc w:val="both"/>
        <w:rPr>
          <w:rFonts w:ascii="Arial" w:hAnsi="Arial"/>
        </w:rPr>
      </w:pPr>
      <w:r>
        <w:rPr>
          <w:rFonts w:ascii="Arial" w:hAnsi="Arial"/>
          <w:w w:val="33"/>
        </w:rPr>
        <w:t>―</w:t>
      </w:r>
      <w:r>
        <w:rPr>
          <w:rFonts w:ascii="Arial" w:hAnsi="Arial"/>
        </w:rPr>
        <w:t>Artic</w:t>
      </w:r>
      <w:r>
        <w:rPr>
          <w:rFonts w:ascii="Arial" w:hAnsi="Arial"/>
          <w:spacing w:val="-3"/>
        </w:rPr>
        <w:t>l</w:t>
      </w:r>
      <w:r>
        <w:rPr>
          <w:rFonts w:ascii="Arial" w:hAnsi="Arial"/>
        </w:rPr>
        <w:t>e</w:t>
      </w:r>
      <w:r>
        <w:rPr>
          <w:rFonts w:ascii="Arial" w:hAnsi="Arial"/>
        </w:rPr>
        <w:t xml:space="preserve"> </w:t>
      </w:r>
      <w:r>
        <w:rPr>
          <w:rFonts w:ascii="Arial" w:hAnsi="Arial"/>
          <w:spacing w:val="-36"/>
        </w:rPr>
        <w:t xml:space="preserve"> </w:t>
      </w:r>
      <w:r>
        <w:rPr>
          <w:rFonts w:ascii="Arial" w:hAnsi="Arial"/>
        </w:rPr>
        <w:t>25</w:t>
      </w:r>
      <w:r>
        <w:rPr>
          <w:rFonts w:ascii="Arial" w:hAnsi="Arial"/>
        </w:rPr>
        <w:t xml:space="preserve"> </w:t>
      </w:r>
      <w:r>
        <w:rPr>
          <w:rFonts w:ascii="Arial" w:hAnsi="Arial"/>
          <w:spacing w:val="-37"/>
        </w:rPr>
        <w:t xml:space="preserve"> </w:t>
      </w:r>
      <w:r>
        <w:rPr>
          <w:rFonts w:ascii="Arial" w:hAnsi="Arial"/>
          <w:spacing w:val="-3"/>
        </w:rPr>
        <w:t>o</w:t>
      </w:r>
      <w:r>
        <w:rPr>
          <w:rFonts w:ascii="Arial" w:hAnsi="Arial"/>
        </w:rPr>
        <w:t>f</w:t>
      </w:r>
      <w:r>
        <w:rPr>
          <w:rFonts w:ascii="Arial" w:hAnsi="Arial"/>
        </w:rPr>
        <w:t xml:space="preserve"> </w:t>
      </w:r>
      <w:r>
        <w:rPr>
          <w:rFonts w:ascii="Arial" w:hAnsi="Arial"/>
          <w:spacing w:val="-36"/>
        </w:rPr>
        <w:t xml:space="preserve"> </w:t>
      </w:r>
      <w:r>
        <w:rPr>
          <w:rFonts w:ascii="Arial" w:hAnsi="Arial"/>
        </w:rPr>
        <w:t>the</w:t>
      </w:r>
      <w:r>
        <w:rPr>
          <w:rFonts w:ascii="Arial" w:hAnsi="Arial"/>
          <w:spacing w:val="37"/>
        </w:rPr>
        <w:t xml:space="preserve"> </w:t>
      </w:r>
      <w:r>
        <w:rPr>
          <w:rFonts w:ascii="Arial" w:hAnsi="Arial"/>
          <w:spacing w:val="-2"/>
        </w:rPr>
        <w:t>C</w:t>
      </w:r>
      <w:r>
        <w:rPr>
          <w:rFonts w:ascii="Arial" w:hAnsi="Arial"/>
        </w:rPr>
        <w:t>onst</w:t>
      </w:r>
      <w:r>
        <w:rPr>
          <w:rFonts w:ascii="Arial" w:hAnsi="Arial"/>
          <w:spacing w:val="-3"/>
        </w:rPr>
        <w:t>i</w:t>
      </w:r>
      <w:r>
        <w:rPr>
          <w:rFonts w:ascii="Arial" w:hAnsi="Arial"/>
        </w:rPr>
        <w:t>t</w:t>
      </w:r>
      <w:r>
        <w:rPr>
          <w:rFonts w:ascii="Arial" w:hAnsi="Arial"/>
          <w:spacing w:val="-3"/>
        </w:rPr>
        <w:t>u</w:t>
      </w:r>
      <w:r>
        <w:rPr>
          <w:rFonts w:ascii="Arial" w:hAnsi="Arial"/>
        </w:rPr>
        <w:t>tion</w:t>
      </w:r>
      <w:r>
        <w:rPr>
          <w:rFonts w:ascii="Arial" w:hAnsi="Arial"/>
        </w:rPr>
        <w:t xml:space="preserve"> </w:t>
      </w:r>
      <w:r>
        <w:rPr>
          <w:rFonts w:ascii="Arial" w:hAnsi="Arial"/>
          <w:spacing w:val="-36"/>
        </w:rPr>
        <w:t xml:space="preserve"> </w:t>
      </w:r>
      <w:r>
        <w:rPr>
          <w:rFonts w:ascii="Arial" w:hAnsi="Arial"/>
        </w:rPr>
        <w:t>gua</w:t>
      </w:r>
      <w:r>
        <w:rPr>
          <w:rFonts w:ascii="Arial" w:hAnsi="Arial"/>
          <w:spacing w:val="-3"/>
        </w:rPr>
        <w:t>ra</w:t>
      </w:r>
      <w:r>
        <w:rPr>
          <w:rFonts w:ascii="Arial" w:hAnsi="Arial"/>
        </w:rPr>
        <w:t>nte</w:t>
      </w:r>
      <w:r>
        <w:rPr>
          <w:rFonts w:ascii="Arial" w:hAnsi="Arial"/>
          <w:spacing w:val="-3"/>
        </w:rPr>
        <w:t>e</w:t>
      </w:r>
      <w:r>
        <w:rPr>
          <w:rFonts w:ascii="Arial" w:hAnsi="Arial"/>
        </w:rPr>
        <w:t>s</w:t>
      </w:r>
      <w:r>
        <w:rPr>
          <w:rFonts w:ascii="Arial" w:hAnsi="Arial"/>
        </w:rPr>
        <w:t xml:space="preserve"> </w:t>
      </w:r>
      <w:r>
        <w:rPr>
          <w:rFonts w:ascii="Arial" w:hAnsi="Arial"/>
          <w:spacing w:val="-36"/>
        </w:rPr>
        <w:t xml:space="preserve"> </w:t>
      </w:r>
      <w:r>
        <w:rPr>
          <w:rFonts w:ascii="Arial" w:hAnsi="Arial"/>
        </w:rPr>
        <w:t>to</w:t>
      </w:r>
      <w:r>
        <w:rPr>
          <w:rFonts w:ascii="Arial" w:hAnsi="Arial"/>
        </w:rPr>
        <w:t xml:space="preserve"> </w:t>
      </w:r>
      <w:r>
        <w:rPr>
          <w:rFonts w:ascii="Arial" w:hAnsi="Arial"/>
          <w:spacing w:val="-39"/>
        </w:rPr>
        <w:t xml:space="preserve"> </w:t>
      </w:r>
      <w:r>
        <w:rPr>
          <w:rFonts w:ascii="Arial" w:hAnsi="Arial"/>
        </w:rPr>
        <w:t>e</w:t>
      </w:r>
      <w:r>
        <w:rPr>
          <w:rFonts w:ascii="Arial" w:hAnsi="Arial"/>
          <w:spacing w:val="-4"/>
        </w:rPr>
        <w:t>v</w:t>
      </w:r>
      <w:r>
        <w:rPr>
          <w:rFonts w:ascii="Arial" w:hAnsi="Arial"/>
        </w:rPr>
        <w:t>e</w:t>
      </w:r>
      <w:r>
        <w:rPr>
          <w:rFonts w:ascii="Arial" w:hAnsi="Arial"/>
          <w:spacing w:val="1"/>
        </w:rPr>
        <w:t>r</w:t>
      </w:r>
      <w:r>
        <w:rPr>
          <w:rFonts w:ascii="Arial" w:hAnsi="Arial"/>
        </w:rPr>
        <w:t xml:space="preserve">y </w:t>
      </w:r>
      <w:r>
        <w:rPr>
          <w:rFonts w:ascii="Arial" w:hAnsi="Arial"/>
        </w:rPr>
        <w:t>person and not merely to the citizens of India the freedom of conscience and the right freely to profess, practise and propagate religion. This is subject, in every case, to public order, health and morality. Further exceptions are engrafted upon this righ</w:t>
      </w:r>
      <w:r>
        <w:rPr>
          <w:rFonts w:ascii="Arial" w:hAnsi="Arial"/>
        </w:rPr>
        <w:t>t by clause (2) of the Article. Sub-clause (a) of clause (2) saves the power of the State to make laws regulating or restricting any economic, financial, political or other secular activity which may be associated with religious practice; and sub- clause (</w:t>
      </w:r>
      <w:r>
        <w:rPr>
          <w:rFonts w:ascii="Arial" w:hAnsi="Arial"/>
        </w:rPr>
        <w:t>b) reserves the State‘s power to make laws providing for social reform and social welfare even though they might interfere with religious practices. Thus, subject to the restrictions which this Article imposes, every person has a fundamental right under ou</w:t>
      </w:r>
      <w:r>
        <w:rPr>
          <w:rFonts w:ascii="Arial" w:hAnsi="Arial"/>
        </w:rPr>
        <w:t>r Constitution not merely to entertain such religious belief as may be approved of by his judgment or conscience but to exhibit his belief and ideas in such overt acts as are enjoined or sanctioned by his religion and further to propagate his religious vie</w:t>
      </w:r>
      <w:r>
        <w:rPr>
          <w:rFonts w:ascii="Arial" w:hAnsi="Arial"/>
        </w:rPr>
        <w:t xml:space="preserve">ws for the edification of others. It is immaterial also whether the propagation is made by a person in his individual capacity or on behalf of any church or institution. </w:t>
      </w:r>
      <w:r>
        <w:rPr>
          <w:rFonts w:ascii="Arial" w:hAnsi="Arial"/>
          <w:u w:val="thick"/>
        </w:rPr>
        <w:t>The free exercise of</w:t>
      </w:r>
      <w:r>
        <w:rPr>
          <w:rFonts w:ascii="Arial" w:hAnsi="Arial"/>
        </w:rPr>
        <w:t xml:space="preserve"> </w:t>
      </w:r>
      <w:r>
        <w:rPr>
          <w:rFonts w:ascii="Arial" w:hAnsi="Arial"/>
          <w:u w:val="thick"/>
        </w:rPr>
        <w:t>religion by which is meant the performance of</w:t>
      </w:r>
      <w:r>
        <w:rPr>
          <w:rFonts w:ascii="Arial" w:hAnsi="Arial"/>
        </w:rPr>
        <w:t xml:space="preserve"> </w:t>
      </w:r>
      <w:r>
        <w:rPr>
          <w:rFonts w:ascii="Arial" w:hAnsi="Arial"/>
          <w:u w:val="thick"/>
        </w:rPr>
        <w:t>outward acts in pur</w:t>
      </w:r>
      <w:r>
        <w:rPr>
          <w:rFonts w:ascii="Arial" w:hAnsi="Arial"/>
          <w:u w:val="thick"/>
        </w:rPr>
        <w:t>suance of religious belief, is, as</w:t>
      </w:r>
      <w:r>
        <w:rPr>
          <w:rFonts w:ascii="Arial" w:hAnsi="Arial"/>
        </w:rPr>
        <w:t xml:space="preserve"> </w:t>
      </w:r>
      <w:r>
        <w:rPr>
          <w:rFonts w:ascii="Arial" w:hAnsi="Arial"/>
          <w:u w:val="thick"/>
        </w:rPr>
        <w:t>stated above, subject to State regulation imposed to</w:t>
      </w:r>
      <w:r>
        <w:rPr>
          <w:rFonts w:ascii="Arial" w:hAnsi="Arial"/>
        </w:rPr>
        <w:t xml:space="preserve"> </w:t>
      </w:r>
      <w:r>
        <w:rPr>
          <w:rFonts w:ascii="Arial" w:hAnsi="Arial"/>
          <w:u w:val="thick"/>
        </w:rPr>
        <w:t>secure order, public health and morals of the</w:t>
      </w:r>
      <w:r>
        <w:rPr>
          <w:rFonts w:ascii="Arial" w:hAnsi="Arial"/>
        </w:rPr>
        <w:t xml:space="preserve"> </w:t>
      </w:r>
      <w:r>
        <w:rPr>
          <w:rFonts w:ascii="Arial" w:hAnsi="Arial"/>
          <w:u w:val="thick"/>
        </w:rPr>
        <w:t>people.</w:t>
      </w:r>
      <w:r>
        <w:rPr>
          <w:rFonts w:ascii="Arial" w:hAnsi="Arial"/>
          <w:spacing w:val="25"/>
        </w:rPr>
        <w:t xml:space="preserve"> </w:t>
      </w:r>
      <w:r>
        <w:rPr>
          <w:rFonts w:ascii="Arial" w:hAnsi="Arial"/>
        </w:rPr>
        <w:t>What</w:t>
      </w:r>
      <w:r>
        <w:rPr>
          <w:rFonts w:ascii="Arial" w:hAnsi="Arial"/>
          <w:spacing w:val="26"/>
        </w:rPr>
        <w:t xml:space="preserve"> </w:t>
      </w:r>
      <w:r>
        <w:rPr>
          <w:rFonts w:ascii="Arial" w:hAnsi="Arial"/>
        </w:rPr>
        <w:t>sub-clause</w:t>
      </w:r>
      <w:r>
        <w:rPr>
          <w:rFonts w:ascii="Arial" w:hAnsi="Arial"/>
          <w:spacing w:val="27"/>
        </w:rPr>
        <w:t xml:space="preserve"> </w:t>
      </w:r>
      <w:r>
        <w:rPr>
          <w:rFonts w:ascii="Arial" w:hAnsi="Arial"/>
        </w:rPr>
        <w:t>(a)</w:t>
      </w:r>
      <w:r>
        <w:rPr>
          <w:rFonts w:ascii="Arial" w:hAnsi="Arial"/>
          <w:spacing w:val="28"/>
        </w:rPr>
        <w:t xml:space="preserve"> </w:t>
      </w:r>
      <w:r>
        <w:rPr>
          <w:rFonts w:ascii="Arial" w:hAnsi="Arial"/>
        </w:rPr>
        <w:t>of</w:t>
      </w:r>
      <w:r>
        <w:rPr>
          <w:rFonts w:ascii="Arial" w:hAnsi="Arial"/>
          <w:spacing w:val="27"/>
        </w:rPr>
        <w:t xml:space="preserve"> </w:t>
      </w:r>
      <w:r>
        <w:rPr>
          <w:rFonts w:ascii="Arial" w:hAnsi="Arial"/>
        </w:rPr>
        <w:t>clause</w:t>
      </w:r>
      <w:r>
        <w:rPr>
          <w:rFonts w:ascii="Arial" w:hAnsi="Arial"/>
          <w:spacing w:val="27"/>
        </w:rPr>
        <w:t xml:space="preserve"> </w:t>
      </w:r>
      <w:r>
        <w:rPr>
          <w:rFonts w:ascii="Arial" w:hAnsi="Arial"/>
        </w:rPr>
        <w:t>(2)</w:t>
      </w:r>
      <w:r>
        <w:rPr>
          <w:rFonts w:ascii="Arial" w:hAnsi="Arial"/>
          <w:spacing w:val="25"/>
        </w:rPr>
        <w:t xml:space="preserve"> </w:t>
      </w:r>
      <w:r>
        <w:rPr>
          <w:rFonts w:ascii="Arial" w:hAnsi="Arial"/>
        </w:rPr>
        <w:t>of</w:t>
      </w:r>
      <w:r>
        <w:rPr>
          <w:rFonts w:ascii="Arial" w:hAnsi="Arial"/>
          <w:spacing w:val="26"/>
        </w:rPr>
        <w:t xml:space="preserve"> </w:t>
      </w:r>
      <w:r>
        <w:rPr>
          <w:rFonts w:ascii="Arial" w:hAnsi="Arial"/>
        </w:rPr>
        <w:t>Article</w:t>
      </w:r>
    </w:p>
    <w:p w:rsidR="003B2FC0" w:rsidRDefault="00052A49">
      <w:pPr>
        <w:pStyle w:val="BodyText"/>
        <w:spacing w:before="1"/>
        <w:ind w:left="1518" w:right="1537"/>
        <w:jc w:val="both"/>
        <w:rPr>
          <w:rFonts w:ascii="Arial"/>
        </w:rPr>
      </w:pPr>
      <w:r>
        <w:rPr>
          <w:rFonts w:ascii="Arial"/>
        </w:rPr>
        <w:t>25 contemplates is not State regulation of the religious practices as such which are protected unless they run counter to public health or morality but of activities which are really of an economic, commercial or political character though they are associa</w:t>
      </w:r>
      <w:r>
        <w:rPr>
          <w:rFonts w:ascii="Arial"/>
        </w:rPr>
        <w:t>ted with religious practices.</w:t>
      </w:r>
    </w:p>
    <w:p w:rsidR="003B2FC0" w:rsidRDefault="003B2FC0">
      <w:pPr>
        <w:spacing w:before="1"/>
        <w:rPr>
          <w:sz w:val="28"/>
        </w:rPr>
      </w:pPr>
    </w:p>
    <w:p w:rsidR="003B2FC0" w:rsidRDefault="00052A49">
      <w:pPr>
        <w:pStyle w:val="BodyText"/>
        <w:ind w:left="1518" w:right="1543"/>
        <w:jc w:val="both"/>
        <w:rPr>
          <w:rFonts w:ascii="Arial"/>
        </w:rPr>
      </w:pPr>
      <w:r>
        <w:rPr>
          <w:rFonts w:ascii="Arial"/>
        </w:rPr>
        <w:t>So far as Article 26 is concerned, it deals with a particular aspect of the subject of religious freedom.</w:t>
      </w:r>
    </w:p>
    <w:p w:rsidR="003B2FC0" w:rsidRDefault="003B2FC0">
      <w:pPr>
        <w:jc w:val="both"/>
        <w:sectPr w:rsidR="003B2FC0">
          <w:headerReference w:type="default" r:id="rId210"/>
          <w:footerReference w:type="default" r:id="rId211"/>
          <w:pgSz w:w="12240" w:h="15840"/>
          <w:pgMar w:top="1360" w:right="1320" w:bottom="1680" w:left="1340" w:header="0" w:footer="1492" w:gutter="0"/>
          <w:pgNumType w:start="14"/>
          <w:cols w:space="720"/>
        </w:sectPr>
      </w:pPr>
    </w:p>
    <w:p w:rsidR="003B2FC0" w:rsidRDefault="00052A49">
      <w:pPr>
        <w:pStyle w:val="BodyText"/>
        <w:spacing w:before="77"/>
        <w:ind w:left="1518" w:right="1536"/>
        <w:jc w:val="both"/>
        <w:rPr>
          <w:rFonts w:ascii="Arial"/>
        </w:rPr>
      </w:pPr>
      <w:r>
        <w:rPr>
          <w:rFonts w:ascii="Arial"/>
        </w:rPr>
        <w:t>Under this article, any religious denomination or a section of it has the guaranteed right to establish and maintain institutions for religious and charitable purposes and to manage in its own way all affairs in matters of religion. Rights are also given t</w:t>
      </w:r>
      <w:r>
        <w:rPr>
          <w:rFonts w:ascii="Arial"/>
        </w:rPr>
        <w:t>o such denomination or a section of it to acquire and own movable and immovable properties and to administer such properties in accordance with law. The language of the two clauses (b) and (d) of Article 26 would at once bring out the</w:t>
      </w:r>
      <w:r>
        <w:rPr>
          <w:rFonts w:ascii="Arial"/>
          <w:spacing w:val="48"/>
        </w:rPr>
        <w:t xml:space="preserve"> </w:t>
      </w:r>
      <w:r>
        <w:rPr>
          <w:rFonts w:ascii="Arial"/>
        </w:rPr>
        <w:t>difference between th</w:t>
      </w:r>
      <w:r>
        <w:rPr>
          <w:rFonts w:ascii="Arial"/>
        </w:rPr>
        <w:t>e two. In regard to affairs in matters of religion, the right of management given to a religious body is a guaranteed fundamental right which no legislation can take away. On the other hand, as regards administration of property which a religious denominat</w:t>
      </w:r>
      <w:r>
        <w:rPr>
          <w:rFonts w:ascii="Arial"/>
        </w:rPr>
        <w:t xml:space="preserve">ion is entitled to own and acquire, it has undoubtedly the right to administer such property but only in accordance with law. This means that the State can regulate the administration of trust properties by means of laws validly enacted; but here again it </w:t>
      </w:r>
      <w:r>
        <w:rPr>
          <w:rFonts w:ascii="Arial"/>
        </w:rPr>
        <w:t>should be remembered that under Article 26(d), it is the religious denomination itself which has been given the right to administer its property in accordance with any law which the State may validly impose. A law, which takes away the right of administrat</w:t>
      </w:r>
      <w:r>
        <w:rPr>
          <w:rFonts w:ascii="Arial"/>
        </w:rPr>
        <w:t>ion altogether from the religious denomination and vests it in any other or secular authority, would amount to violation of the right which is guaranteed by Article 26(d) of the Constitution.</w:t>
      </w:r>
    </w:p>
    <w:p w:rsidR="003B2FC0" w:rsidRDefault="003B2FC0">
      <w:pPr>
        <w:spacing w:before="1"/>
        <w:rPr>
          <w:sz w:val="28"/>
        </w:rPr>
      </w:pPr>
    </w:p>
    <w:p w:rsidR="003B2FC0" w:rsidRDefault="00052A49">
      <w:pPr>
        <w:pStyle w:val="BodyText"/>
        <w:ind w:left="1518" w:right="1536"/>
        <w:jc w:val="both"/>
        <w:rPr>
          <w:rFonts w:ascii="Arial" w:hAnsi="Arial"/>
        </w:rPr>
      </w:pPr>
      <w:r>
        <w:rPr>
          <w:rFonts w:ascii="Arial" w:hAnsi="Arial"/>
        </w:rPr>
        <w:t>The moot point for consideration, therefore, is where is the li</w:t>
      </w:r>
      <w:r>
        <w:rPr>
          <w:rFonts w:ascii="Arial" w:hAnsi="Arial"/>
        </w:rPr>
        <w:t xml:space="preserve">ne to be drawn between what are matters of religion and what are not? Our Constitution-makers </w:t>
      </w:r>
      <w:r>
        <w:rPr>
          <w:rFonts w:ascii="Arial" w:hAnsi="Arial"/>
        </w:rPr>
        <w:t>ha</w:t>
      </w:r>
      <w:r>
        <w:rPr>
          <w:rFonts w:ascii="Arial" w:hAnsi="Arial"/>
          <w:spacing w:val="-4"/>
        </w:rPr>
        <w:t>v</w:t>
      </w:r>
      <w:r>
        <w:rPr>
          <w:rFonts w:ascii="Arial" w:hAnsi="Arial"/>
        </w:rPr>
        <w:t>e</w:t>
      </w:r>
      <w:r>
        <w:rPr>
          <w:rFonts w:ascii="Arial" w:hAnsi="Arial"/>
        </w:rPr>
        <w:t xml:space="preserve"> </w:t>
      </w:r>
      <w:r>
        <w:rPr>
          <w:rFonts w:ascii="Arial" w:hAnsi="Arial"/>
          <w:spacing w:val="-13"/>
        </w:rPr>
        <w:t xml:space="preserve"> </w:t>
      </w:r>
      <w:r>
        <w:rPr>
          <w:rFonts w:ascii="Arial" w:hAnsi="Arial"/>
          <w:spacing w:val="-2"/>
        </w:rPr>
        <w:t>m</w:t>
      </w:r>
      <w:r>
        <w:rPr>
          <w:rFonts w:ascii="Arial" w:hAnsi="Arial"/>
        </w:rPr>
        <w:t>ade</w:t>
      </w:r>
      <w:r>
        <w:rPr>
          <w:rFonts w:ascii="Arial" w:hAnsi="Arial"/>
        </w:rPr>
        <w:t xml:space="preserve"> </w:t>
      </w:r>
      <w:r>
        <w:rPr>
          <w:rFonts w:ascii="Arial" w:hAnsi="Arial"/>
          <w:spacing w:val="-13"/>
        </w:rPr>
        <w:t xml:space="preserve"> </w:t>
      </w:r>
      <w:r>
        <w:rPr>
          <w:rFonts w:ascii="Arial" w:hAnsi="Arial"/>
        </w:rPr>
        <w:t>no</w:t>
      </w:r>
      <w:r>
        <w:rPr>
          <w:rFonts w:ascii="Arial" w:hAnsi="Arial"/>
        </w:rPr>
        <w:t xml:space="preserve"> </w:t>
      </w:r>
      <w:r>
        <w:rPr>
          <w:rFonts w:ascii="Arial" w:hAnsi="Arial"/>
          <w:spacing w:val="-13"/>
        </w:rPr>
        <w:t xml:space="preserve"> </w:t>
      </w:r>
      <w:r>
        <w:rPr>
          <w:rFonts w:ascii="Arial" w:hAnsi="Arial"/>
        </w:rPr>
        <w:t>at</w:t>
      </w:r>
      <w:r>
        <w:rPr>
          <w:rFonts w:ascii="Arial" w:hAnsi="Arial"/>
          <w:spacing w:val="-2"/>
        </w:rPr>
        <w:t>t</w:t>
      </w:r>
      <w:r>
        <w:rPr>
          <w:rFonts w:ascii="Arial" w:hAnsi="Arial"/>
        </w:rPr>
        <w:t>e</w:t>
      </w:r>
      <w:r>
        <w:rPr>
          <w:rFonts w:ascii="Arial" w:hAnsi="Arial"/>
          <w:spacing w:val="-2"/>
        </w:rPr>
        <w:t>m</w:t>
      </w:r>
      <w:r>
        <w:rPr>
          <w:rFonts w:ascii="Arial" w:hAnsi="Arial"/>
        </w:rPr>
        <w:t>pt</w:t>
      </w:r>
      <w:r>
        <w:rPr>
          <w:rFonts w:ascii="Arial" w:hAnsi="Arial"/>
        </w:rPr>
        <w:t xml:space="preserve"> </w:t>
      </w:r>
      <w:r>
        <w:rPr>
          <w:rFonts w:ascii="Arial" w:hAnsi="Arial"/>
          <w:spacing w:val="-11"/>
        </w:rPr>
        <w:t xml:space="preserve"> </w:t>
      </w:r>
      <w:r>
        <w:rPr>
          <w:rFonts w:ascii="Arial" w:hAnsi="Arial"/>
        </w:rPr>
        <w:t>to</w:t>
      </w:r>
      <w:r>
        <w:rPr>
          <w:rFonts w:ascii="Arial" w:hAnsi="Arial"/>
        </w:rPr>
        <w:t xml:space="preserve"> </w:t>
      </w:r>
      <w:r>
        <w:rPr>
          <w:rFonts w:ascii="Arial" w:hAnsi="Arial"/>
          <w:spacing w:val="-15"/>
        </w:rPr>
        <w:t xml:space="preserve"> </w:t>
      </w:r>
      <w:r>
        <w:rPr>
          <w:rFonts w:ascii="Arial" w:hAnsi="Arial"/>
        </w:rPr>
        <w:t>def</w:t>
      </w:r>
      <w:r>
        <w:rPr>
          <w:rFonts w:ascii="Arial" w:hAnsi="Arial"/>
          <w:spacing w:val="-3"/>
        </w:rPr>
        <w:t>i</w:t>
      </w:r>
      <w:r>
        <w:rPr>
          <w:rFonts w:ascii="Arial" w:hAnsi="Arial"/>
        </w:rPr>
        <w:t>ne</w:t>
      </w:r>
      <w:r>
        <w:rPr>
          <w:rFonts w:ascii="Arial" w:hAnsi="Arial"/>
        </w:rPr>
        <w:t xml:space="preserve"> </w:t>
      </w:r>
      <w:r>
        <w:rPr>
          <w:rFonts w:ascii="Arial" w:hAnsi="Arial"/>
          <w:spacing w:val="-9"/>
        </w:rPr>
        <w:t xml:space="preserve"> </w:t>
      </w:r>
      <w:r>
        <w:rPr>
          <w:rFonts w:ascii="Arial" w:hAnsi="Arial"/>
          <w:spacing w:val="-4"/>
        </w:rPr>
        <w:t>w</w:t>
      </w:r>
      <w:r>
        <w:rPr>
          <w:rFonts w:ascii="Arial" w:hAnsi="Arial"/>
        </w:rPr>
        <w:t>hat</w:t>
      </w:r>
      <w:r>
        <w:rPr>
          <w:rFonts w:ascii="Arial" w:hAnsi="Arial"/>
        </w:rPr>
        <w:t xml:space="preserve"> </w:t>
      </w:r>
      <w:r>
        <w:rPr>
          <w:rFonts w:ascii="Arial" w:hAnsi="Arial"/>
          <w:spacing w:val="-11"/>
        </w:rPr>
        <w:t xml:space="preserve"> </w:t>
      </w:r>
      <w:r>
        <w:rPr>
          <w:rFonts w:ascii="Arial" w:hAnsi="Arial"/>
          <w:w w:val="40"/>
        </w:rPr>
        <w:t>‗</w:t>
      </w:r>
      <w:r>
        <w:rPr>
          <w:rFonts w:ascii="Arial" w:hAnsi="Arial"/>
        </w:rPr>
        <w:t>relig</w:t>
      </w:r>
      <w:r>
        <w:rPr>
          <w:rFonts w:ascii="Arial" w:hAnsi="Arial"/>
          <w:spacing w:val="-3"/>
        </w:rPr>
        <w:t>i</w:t>
      </w:r>
      <w:r>
        <w:rPr>
          <w:rFonts w:ascii="Arial" w:hAnsi="Arial"/>
        </w:rPr>
        <w:t>on‘</w:t>
      </w:r>
      <w:r>
        <w:rPr>
          <w:rFonts w:ascii="Arial" w:hAnsi="Arial"/>
        </w:rPr>
        <w:t xml:space="preserve"> </w:t>
      </w:r>
      <w:r>
        <w:rPr>
          <w:rFonts w:ascii="Arial" w:hAnsi="Arial"/>
          <w:spacing w:val="-12"/>
        </w:rPr>
        <w:t xml:space="preserve"> </w:t>
      </w:r>
      <w:r>
        <w:rPr>
          <w:rFonts w:ascii="Arial" w:hAnsi="Arial"/>
          <w:spacing w:val="-3"/>
        </w:rPr>
        <w:t>i</w:t>
      </w:r>
      <w:r>
        <w:rPr>
          <w:rFonts w:ascii="Arial" w:hAnsi="Arial"/>
        </w:rPr>
        <w:t xml:space="preserve">s </w:t>
      </w:r>
      <w:r>
        <w:rPr>
          <w:rFonts w:ascii="Arial" w:hAnsi="Arial"/>
        </w:rPr>
        <w:t xml:space="preserve">and it is certainly not possible to frame an </w:t>
      </w:r>
      <w:r>
        <w:rPr>
          <w:rFonts w:ascii="Arial" w:hAnsi="Arial"/>
        </w:rPr>
        <w:t>e</w:t>
      </w:r>
      <w:r>
        <w:rPr>
          <w:rFonts w:ascii="Arial" w:hAnsi="Arial"/>
          <w:spacing w:val="-4"/>
        </w:rPr>
        <w:t>x</w:t>
      </w:r>
      <w:r>
        <w:rPr>
          <w:rFonts w:ascii="Arial" w:hAnsi="Arial"/>
          <w:spacing w:val="-1"/>
        </w:rPr>
        <w:t>h</w:t>
      </w:r>
      <w:r>
        <w:rPr>
          <w:rFonts w:ascii="Arial" w:hAnsi="Arial"/>
        </w:rPr>
        <w:t>austi</w:t>
      </w:r>
      <w:r>
        <w:rPr>
          <w:rFonts w:ascii="Arial" w:hAnsi="Arial"/>
          <w:spacing w:val="-4"/>
        </w:rPr>
        <w:t>v</w:t>
      </w:r>
      <w:r>
        <w:rPr>
          <w:rFonts w:ascii="Arial" w:hAnsi="Arial"/>
        </w:rPr>
        <w:t>e</w:t>
      </w:r>
      <w:r>
        <w:rPr>
          <w:rFonts w:ascii="Arial" w:hAnsi="Arial"/>
        </w:rPr>
        <w:t xml:space="preserve"> </w:t>
      </w:r>
      <w:r>
        <w:rPr>
          <w:rFonts w:ascii="Arial" w:hAnsi="Arial"/>
          <w:spacing w:val="26"/>
        </w:rPr>
        <w:t xml:space="preserve"> </w:t>
      </w:r>
      <w:r>
        <w:rPr>
          <w:rFonts w:ascii="Arial" w:hAnsi="Arial"/>
        </w:rPr>
        <w:t>defini</w:t>
      </w:r>
      <w:r>
        <w:rPr>
          <w:rFonts w:ascii="Arial" w:hAnsi="Arial"/>
          <w:spacing w:val="3"/>
        </w:rPr>
        <w:t>t</w:t>
      </w:r>
      <w:r>
        <w:rPr>
          <w:rFonts w:ascii="Arial" w:hAnsi="Arial"/>
          <w:spacing w:val="-3"/>
        </w:rPr>
        <w:t>i</w:t>
      </w:r>
      <w:r>
        <w:rPr>
          <w:rFonts w:ascii="Arial" w:hAnsi="Arial"/>
          <w:spacing w:val="-1"/>
        </w:rPr>
        <w:t>o</w:t>
      </w:r>
      <w:r>
        <w:rPr>
          <w:rFonts w:ascii="Arial" w:hAnsi="Arial"/>
        </w:rPr>
        <w:t>n</w:t>
      </w:r>
      <w:r>
        <w:rPr>
          <w:rFonts w:ascii="Arial" w:hAnsi="Arial"/>
        </w:rPr>
        <w:t xml:space="preserve"> </w:t>
      </w:r>
      <w:r>
        <w:rPr>
          <w:rFonts w:ascii="Arial" w:hAnsi="Arial"/>
          <w:spacing w:val="26"/>
        </w:rPr>
        <w:t xml:space="preserve"> </w:t>
      </w:r>
      <w:r>
        <w:rPr>
          <w:rFonts w:ascii="Arial" w:hAnsi="Arial"/>
          <w:spacing w:val="-1"/>
        </w:rPr>
        <w:t>o</w:t>
      </w:r>
      <w:r>
        <w:rPr>
          <w:rFonts w:ascii="Arial" w:hAnsi="Arial"/>
        </w:rPr>
        <w:t>f</w:t>
      </w:r>
      <w:r>
        <w:rPr>
          <w:rFonts w:ascii="Arial" w:hAnsi="Arial"/>
        </w:rPr>
        <w:t xml:space="preserve"> </w:t>
      </w:r>
      <w:r>
        <w:rPr>
          <w:rFonts w:ascii="Arial" w:hAnsi="Arial"/>
          <w:spacing w:val="25"/>
        </w:rPr>
        <w:t xml:space="preserve"> </w:t>
      </w:r>
      <w:r>
        <w:rPr>
          <w:rFonts w:ascii="Arial" w:hAnsi="Arial"/>
          <w:spacing w:val="-2"/>
        </w:rPr>
        <w:t>t</w:t>
      </w:r>
      <w:r>
        <w:rPr>
          <w:rFonts w:ascii="Arial" w:hAnsi="Arial"/>
          <w:spacing w:val="-1"/>
        </w:rPr>
        <w:t>h</w:t>
      </w:r>
      <w:r>
        <w:rPr>
          <w:rFonts w:ascii="Arial" w:hAnsi="Arial"/>
        </w:rPr>
        <w:t>e</w:t>
      </w:r>
      <w:r>
        <w:rPr>
          <w:rFonts w:ascii="Arial" w:hAnsi="Arial"/>
        </w:rPr>
        <w:t xml:space="preserve"> </w:t>
      </w:r>
      <w:r>
        <w:rPr>
          <w:rFonts w:ascii="Arial" w:hAnsi="Arial"/>
          <w:spacing w:val="26"/>
        </w:rPr>
        <w:t xml:space="preserve"> </w:t>
      </w:r>
      <w:r>
        <w:rPr>
          <w:rFonts w:ascii="Arial" w:hAnsi="Arial"/>
          <w:spacing w:val="-4"/>
        </w:rPr>
        <w:t>w</w:t>
      </w:r>
      <w:r>
        <w:rPr>
          <w:rFonts w:ascii="Arial" w:hAnsi="Arial"/>
          <w:spacing w:val="-1"/>
        </w:rPr>
        <w:t>or</w:t>
      </w:r>
      <w:r>
        <w:rPr>
          <w:rFonts w:ascii="Arial" w:hAnsi="Arial"/>
        </w:rPr>
        <w:t>d</w:t>
      </w:r>
      <w:r>
        <w:rPr>
          <w:rFonts w:ascii="Arial" w:hAnsi="Arial"/>
        </w:rPr>
        <w:t xml:space="preserve"> </w:t>
      </w:r>
      <w:r>
        <w:rPr>
          <w:rFonts w:ascii="Arial" w:hAnsi="Arial"/>
          <w:spacing w:val="26"/>
        </w:rPr>
        <w:t xml:space="preserve"> </w:t>
      </w:r>
      <w:r>
        <w:rPr>
          <w:rFonts w:ascii="Arial" w:hAnsi="Arial"/>
          <w:spacing w:val="1"/>
          <w:w w:val="40"/>
        </w:rPr>
        <w:t>‗</w:t>
      </w:r>
      <w:r>
        <w:rPr>
          <w:rFonts w:ascii="Arial" w:hAnsi="Arial"/>
          <w:spacing w:val="-3"/>
        </w:rPr>
        <w:t>r</w:t>
      </w:r>
      <w:r>
        <w:rPr>
          <w:rFonts w:ascii="Arial" w:hAnsi="Arial"/>
        </w:rPr>
        <w:t>eligion‘</w:t>
      </w:r>
      <w:r>
        <w:rPr>
          <w:rFonts w:ascii="Arial" w:hAnsi="Arial"/>
        </w:rPr>
        <w:t xml:space="preserve"> </w:t>
      </w:r>
      <w:r>
        <w:rPr>
          <w:rFonts w:ascii="Arial" w:hAnsi="Arial"/>
          <w:spacing w:val="26"/>
        </w:rPr>
        <w:t xml:space="preserve"> </w:t>
      </w:r>
      <w:r>
        <w:rPr>
          <w:rFonts w:ascii="Arial" w:hAnsi="Arial"/>
          <w:spacing w:val="-4"/>
        </w:rPr>
        <w:t>w</w:t>
      </w:r>
      <w:r>
        <w:rPr>
          <w:rFonts w:ascii="Arial" w:hAnsi="Arial"/>
        </w:rPr>
        <w:t>hi</w:t>
      </w:r>
      <w:r>
        <w:rPr>
          <w:rFonts w:ascii="Arial" w:hAnsi="Arial"/>
          <w:spacing w:val="-2"/>
        </w:rPr>
        <w:t>c</w:t>
      </w:r>
      <w:r>
        <w:rPr>
          <w:rFonts w:ascii="Arial" w:hAnsi="Arial"/>
        </w:rPr>
        <w:t xml:space="preserve">h </w:t>
      </w:r>
      <w:r>
        <w:rPr>
          <w:rFonts w:ascii="Arial" w:hAnsi="Arial"/>
        </w:rPr>
        <w:t>would be applicable to all classes of persons. As has</w:t>
      </w:r>
      <w:r>
        <w:rPr>
          <w:rFonts w:ascii="Arial" w:hAnsi="Arial"/>
          <w:spacing w:val="45"/>
        </w:rPr>
        <w:t xml:space="preserve"> </w:t>
      </w:r>
      <w:r>
        <w:rPr>
          <w:rFonts w:ascii="Arial" w:hAnsi="Arial"/>
        </w:rPr>
        <w:t>been</w:t>
      </w:r>
      <w:r>
        <w:rPr>
          <w:rFonts w:ascii="Arial" w:hAnsi="Arial"/>
          <w:spacing w:val="44"/>
        </w:rPr>
        <w:t xml:space="preserve"> </w:t>
      </w:r>
      <w:r>
        <w:rPr>
          <w:rFonts w:ascii="Arial" w:hAnsi="Arial"/>
        </w:rPr>
        <w:t>indicated</w:t>
      </w:r>
      <w:r>
        <w:rPr>
          <w:rFonts w:ascii="Arial" w:hAnsi="Arial"/>
          <w:spacing w:val="42"/>
        </w:rPr>
        <w:t xml:space="preserve"> </w:t>
      </w:r>
      <w:r>
        <w:rPr>
          <w:rFonts w:ascii="Arial" w:hAnsi="Arial"/>
        </w:rPr>
        <w:t>in</w:t>
      </w:r>
      <w:r>
        <w:rPr>
          <w:rFonts w:ascii="Arial" w:hAnsi="Arial"/>
          <w:spacing w:val="44"/>
        </w:rPr>
        <w:t xml:space="preserve"> </w:t>
      </w:r>
      <w:r>
        <w:rPr>
          <w:rFonts w:ascii="Arial" w:hAnsi="Arial"/>
        </w:rPr>
        <w:t>the</w:t>
      </w:r>
      <w:r>
        <w:rPr>
          <w:rFonts w:ascii="Arial" w:hAnsi="Arial"/>
          <w:spacing w:val="44"/>
        </w:rPr>
        <w:t xml:space="preserve"> </w:t>
      </w:r>
      <w:r>
        <w:rPr>
          <w:rFonts w:ascii="Arial" w:hAnsi="Arial"/>
        </w:rPr>
        <w:t>Madras</w:t>
      </w:r>
      <w:r>
        <w:rPr>
          <w:rFonts w:ascii="Arial" w:hAnsi="Arial"/>
          <w:spacing w:val="42"/>
        </w:rPr>
        <w:t xml:space="preserve"> </w:t>
      </w:r>
      <w:r>
        <w:rPr>
          <w:rFonts w:ascii="Arial" w:hAnsi="Arial"/>
        </w:rPr>
        <w:t>case</w:t>
      </w:r>
      <w:r>
        <w:rPr>
          <w:rFonts w:ascii="Arial" w:hAnsi="Arial"/>
          <w:spacing w:val="45"/>
        </w:rPr>
        <w:t xml:space="preserve"> </w:t>
      </w:r>
      <w:r>
        <w:rPr>
          <w:rFonts w:ascii="Arial" w:hAnsi="Arial"/>
        </w:rPr>
        <w:t>referred</w:t>
      </w:r>
      <w:r>
        <w:rPr>
          <w:rFonts w:ascii="Arial" w:hAnsi="Arial"/>
          <w:spacing w:val="41"/>
        </w:rPr>
        <w:t xml:space="preserve"> </w:t>
      </w:r>
      <w:r>
        <w:rPr>
          <w:rFonts w:ascii="Arial" w:hAnsi="Arial"/>
        </w:rPr>
        <w:t>to</w:t>
      </w:r>
    </w:p>
    <w:p w:rsidR="003B2FC0" w:rsidRDefault="003B2FC0">
      <w:pPr>
        <w:jc w:val="both"/>
        <w:sectPr w:rsidR="003B2FC0">
          <w:headerReference w:type="default" r:id="rId212"/>
          <w:footerReference w:type="default" r:id="rId213"/>
          <w:pgSz w:w="12240" w:h="15840"/>
          <w:pgMar w:top="1360" w:right="1320" w:bottom="1680" w:left="1340" w:header="0" w:footer="1492" w:gutter="0"/>
          <w:pgNumType w:start="15"/>
          <w:cols w:space="720"/>
        </w:sectPr>
      </w:pPr>
    </w:p>
    <w:p w:rsidR="003B2FC0" w:rsidRDefault="00052A49">
      <w:pPr>
        <w:pStyle w:val="BodyText"/>
        <w:spacing w:before="77"/>
        <w:ind w:left="1518" w:right="1537"/>
        <w:jc w:val="both"/>
        <w:rPr>
          <w:rFonts w:ascii="Arial" w:hAnsi="Arial"/>
        </w:rPr>
      </w:pPr>
      <w:r>
        <w:rPr>
          <w:rFonts w:ascii="Arial" w:hAnsi="Arial"/>
        </w:rPr>
        <w:t xml:space="preserve">above, the definition of ‗religion‘ given by Fields, J. in the American case of </w:t>
      </w:r>
      <w:r>
        <w:rPr>
          <w:rFonts w:ascii="Arial" w:hAnsi="Arial"/>
          <w:i/>
        </w:rPr>
        <w:t xml:space="preserve">Davis </w:t>
      </w:r>
      <w:r>
        <w:rPr>
          <w:rFonts w:ascii="Arial" w:hAnsi="Arial"/>
        </w:rPr>
        <w:t xml:space="preserve">v. </w:t>
      </w:r>
      <w:r>
        <w:rPr>
          <w:rFonts w:ascii="Arial" w:hAnsi="Arial"/>
          <w:i/>
        </w:rPr>
        <w:t xml:space="preserve">Beason </w:t>
      </w:r>
      <w:r>
        <w:rPr>
          <w:rFonts w:ascii="Arial" w:hAnsi="Arial"/>
        </w:rPr>
        <w:t>[133 U.S. 333],</w:t>
      </w:r>
      <w:r>
        <w:rPr>
          <w:rFonts w:ascii="Arial" w:hAnsi="Arial"/>
          <w:spacing w:val="-22"/>
        </w:rPr>
        <w:t xml:space="preserve"> </w:t>
      </w:r>
      <w:r>
        <w:rPr>
          <w:rFonts w:ascii="Arial" w:hAnsi="Arial"/>
        </w:rPr>
        <w:t>does</w:t>
      </w:r>
      <w:r>
        <w:rPr>
          <w:rFonts w:ascii="Arial" w:hAnsi="Arial"/>
          <w:spacing w:val="-21"/>
        </w:rPr>
        <w:t xml:space="preserve"> </w:t>
      </w:r>
      <w:r>
        <w:rPr>
          <w:rFonts w:ascii="Arial" w:hAnsi="Arial"/>
        </w:rPr>
        <w:t>not</w:t>
      </w:r>
      <w:r>
        <w:rPr>
          <w:rFonts w:ascii="Arial" w:hAnsi="Arial"/>
          <w:spacing w:val="-22"/>
        </w:rPr>
        <w:t xml:space="preserve"> </w:t>
      </w:r>
      <w:r>
        <w:rPr>
          <w:rFonts w:ascii="Arial" w:hAnsi="Arial"/>
        </w:rPr>
        <w:t>seem</w:t>
      </w:r>
      <w:r>
        <w:rPr>
          <w:rFonts w:ascii="Arial" w:hAnsi="Arial"/>
          <w:spacing w:val="-23"/>
        </w:rPr>
        <w:t xml:space="preserve"> </w:t>
      </w:r>
      <w:r>
        <w:rPr>
          <w:rFonts w:ascii="Arial" w:hAnsi="Arial"/>
        </w:rPr>
        <w:t>to</w:t>
      </w:r>
      <w:r>
        <w:rPr>
          <w:rFonts w:ascii="Arial" w:hAnsi="Arial"/>
          <w:spacing w:val="-21"/>
        </w:rPr>
        <w:t xml:space="preserve"> </w:t>
      </w:r>
      <w:r>
        <w:rPr>
          <w:rFonts w:ascii="Arial" w:hAnsi="Arial"/>
        </w:rPr>
        <w:t>us</w:t>
      </w:r>
      <w:r>
        <w:rPr>
          <w:rFonts w:ascii="Arial" w:hAnsi="Arial"/>
          <w:spacing w:val="-21"/>
        </w:rPr>
        <w:t xml:space="preserve"> </w:t>
      </w:r>
      <w:r>
        <w:rPr>
          <w:rFonts w:ascii="Arial" w:hAnsi="Arial"/>
        </w:rPr>
        <w:t>adequate</w:t>
      </w:r>
      <w:r>
        <w:rPr>
          <w:rFonts w:ascii="Arial" w:hAnsi="Arial"/>
          <w:spacing w:val="-21"/>
        </w:rPr>
        <w:t xml:space="preserve"> </w:t>
      </w:r>
      <w:r>
        <w:rPr>
          <w:rFonts w:ascii="Arial" w:hAnsi="Arial"/>
        </w:rPr>
        <w:t>or</w:t>
      </w:r>
      <w:r>
        <w:rPr>
          <w:rFonts w:ascii="Arial" w:hAnsi="Arial"/>
          <w:spacing w:val="-21"/>
        </w:rPr>
        <w:t xml:space="preserve"> </w:t>
      </w:r>
      <w:r>
        <w:rPr>
          <w:rFonts w:ascii="Arial" w:hAnsi="Arial"/>
        </w:rPr>
        <w:t>precise.</w:t>
      </w:r>
      <w:r>
        <w:rPr>
          <w:rFonts w:ascii="Arial" w:hAnsi="Arial"/>
          <w:spacing w:val="-21"/>
        </w:rPr>
        <w:t xml:space="preserve"> </w:t>
      </w:r>
      <w:r>
        <w:rPr>
          <w:rFonts w:ascii="Arial" w:hAnsi="Arial"/>
        </w:rPr>
        <w:t xml:space="preserve">―The term ‗religion‘ ‖, thus observed the learned Judge in the case mentioned above, ―has reference to one‘s views of his relations to his Creator and to the obligations they impose of reverence for His Being and character and of obedience to His Will. It </w:t>
      </w:r>
      <w:r>
        <w:rPr>
          <w:rFonts w:ascii="Arial" w:hAnsi="Arial"/>
        </w:rPr>
        <w:t xml:space="preserve">is often confounded with </w:t>
      </w:r>
      <w:r>
        <w:rPr>
          <w:rFonts w:ascii="Arial" w:hAnsi="Arial"/>
          <w:i/>
        </w:rPr>
        <w:t xml:space="preserve">cultus </w:t>
      </w:r>
      <w:r>
        <w:rPr>
          <w:rFonts w:ascii="Arial" w:hAnsi="Arial"/>
        </w:rPr>
        <w:t>or form of worship of a particular sect, but is distinguishable from the latter‖. It may be noted that ‗religion‘ is not necessarily theistic and in fact there are well known religions in India like Buddhism and Jainism whic</w:t>
      </w:r>
      <w:r>
        <w:rPr>
          <w:rFonts w:ascii="Arial" w:hAnsi="Arial"/>
        </w:rPr>
        <w:t xml:space="preserve">h do not believe in the existence of God or of any Intelligent First Cause. A religion undoubtedly has its basis in a system of beliefs and doctrines which are regarded by those who profess that religion to be conducive  to their spiritual well being, but </w:t>
      </w:r>
      <w:r>
        <w:rPr>
          <w:rFonts w:ascii="Arial" w:hAnsi="Arial"/>
        </w:rPr>
        <w:t>it would not be correct to say, as seems to have been suggested by one of the learned Judges of the Bombay High Court, that matters of religion are nothing but matters of religious faith and religious belief. A religion is not merely an opinion, doctrine o</w:t>
      </w:r>
      <w:r>
        <w:rPr>
          <w:rFonts w:ascii="Arial" w:hAnsi="Arial"/>
        </w:rPr>
        <w:t>r belief. It has its outward expression in acts as well. We may quote in this connection the observations of</w:t>
      </w:r>
      <w:r>
        <w:rPr>
          <w:rFonts w:ascii="Arial" w:hAnsi="Arial"/>
          <w:spacing w:val="25"/>
        </w:rPr>
        <w:t xml:space="preserve"> </w:t>
      </w:r>
      <w:r>
        <w:rPr>
          <w:rFonts w:ascii="Arial" w:hAnsi="Arial"/>
        </w:rPr>
        <w:t>Latham,</w:t>
      </w:r>
    </w:p>
    <w:p w:rsidR="003B2FC0" w:rsidRDefault="00052A49">
      <w:pPr>
        <w:pStyle w:val="BodyText"/>
        <w:spacing w:before="1"/>
        <w:ind w:left="1518" w:right="1537"/>
        <w:jc w:val="both"/>
        <w:rPr>
          <w:rFonts w:ascii="Arial"/>
        </w:rPr>
      </w:pPr>
      <w:r>
        <w:rPr>
          <w:rFonts w:ascii="Arial"/>
        </w:rPr>
        <w:t xml:space="preserve">C.J. of the High Court of Australia in the case of </w:t>
      </w:r>
      <w:r>
        <w:rPr>
          <w:rFonts w:ascii="Arial"/>
          <w:i/>
        </w:rPr>
        <w:t xml:space="preserve">Adelaide Company </w:t>
      </w:r>
      <w:r>
        <w:rPr>
          <w:rFonts w:ascii="Arial"/>
        </w:rPr>
        <w:t xml:space="preserve">v. </w:t>
      </w:r>
      <w:r>
        <w:rPr>
          <w:rFonts w:ascii="Arial"/>
          <w:i/>
        </w:rPr>
        <w:t xml:space="preserve">Commonwealth </w:t>
      </w:r>
      <w:r>
        <w:rPr>
          <w:rFonts w:ascii="Arial"/>
        </w:rPr>
        <w:t>[67 C.L.R. 116, 124], where the extent of protection gi</w:t>
      </w:r>
      <w:r>
        <w:rPr>
          <w:rFonts w:ascii="Arial"/>
        </w:rPr>
        <w:t>ven to religious freedom by section 116 of the Australian Constitution came up for consideration.</w:t>
      </w:r>
    </w:p>
    <w:p w:rsidR="003B2FC0" w:rsidRDefault="003B2FC0">
      <w:pPr>
        <w:rPr>
          <w:sz w:val="28"/>
        </w:rPr>
      </w:pPr>
    </w:p>
    <w:p w:rsidR="003B2FC0" w:rsidRDefault="00052A49">
      <w:pPr>
        <w:pStyle w:val="BodyText"/>
        <w:ind w:left="2085" w:right="2104"/>
        <w:jc w:val="both"/>
        <w:rPr>
          <w:rFonts w:ascii="Arial" w:hAnsi="Arial"/>
        </w:rPr>
      </w:pPr>
      <w:r>
        <w:rPr>
          <w:rFonts w:ascii="Arial" w:hAnsi="Arial"/>
          <w:w w:val="47"/>
        </w:rPr>
        <w:t>―I</w:t>
      </w:r>
      <w:r>
        <w:rPr>
          <w:rFonts w:ascii="Arial" w:hAnsi="Arial"/>
        </w:rPr>
        <w:t>t</w:t>
      </w:r>
      <w:r>
        <w:rPr>
          <w:rFonts w:ascii="Arial" w:hAnsi="Arial"/>
        </w:rPr>
        <w:t xml:space="preserve"> </w:t>
      </w:r>
      <w:r>
        <w:rPr>
          <w:rFonts w:ascii="Arial" w:hAnsi="Arial"/>
          <w:spacing w:val="-31"/>
        </w:rPr>
        <w:t xml:space="preserve"> </w:t>
      </w:r>
      <w:r>
        <w:rPr>
          <w:rFonts w:ascii="Arial" w:hAnsi="Arial"/>
          <w:spacing w:val="-3"/>
        </w:rPr>
        <w:t>i</w:t>
      </w:r>
      <w:r>
        <w:rPr>
          <w:rFonts w:ascii="Arial" w:hAnsi="Arial"/>
        </w:rPr>
        <w:t>s</w:t>
      </w:r>
      <w:r>
        <w:rPr>
          <w:rFonts w:ascii="Arial" w:hAnsi="Arial"/>
        </w:rPr>
        <w:t xml:space="preserve"> </w:t>
      </w:r>
      <w:r>
        <w:rPr>
          <w:rFonts w:ascii="Arial" w:hAnsi="Arial"/>
          <w:spacing w:val="-33"/>
        </w:rPr>
        <w:t xml:space="preserve"> </w:t>
      </w:r>
      <w:r>
        <w:rPr>
          <w:rFonts w:ascii="Arial" w:hAnsi="Arial"/>
        </w:rPr>
        <w:t>s</w:t>
      </w:r>
      <w:r>
        <w:rPr>
          <w:rFonts w:ascii="Arial" w:hAnsi="Arial"/>
          <w:spacing w:val="-1"/>
        </w:rPr>
        <w:t>o</w:t>
      </w:r>
      <w:r>
        <w:rPr>
          <w:rFonts w:ascii="Arial" w:hAnsi="Arial"/>
          <w:spacing w:val="-2"/>
        </w:rPr>
        <w:t>m</w:t>
      </w:r>
      <w:r>
        <w:rPr>
          <w:rFonts w:ascii="Arial" w:hAnsi="Arial"/>
          <w:spacing w:val="-1"/>
        </w:rPr>
        <w:t>e</w:t>
      </w:r>
      <w:r>
        <w:rPr>
          <w:rFonts w:ascii="Arial" w:hAnsi="Arial"/>
        </w:rPr>
        <w:t>t</w:t>
      </w:r>
      <w:r>
        <w:rPr>
          <w:rFonts w:ascii="Arial" w:hAnsi="Arial"/>
          <w:spacing w:val="-1"/>
        </w:rPr>
        <w:t>i</w:t>
      </w:r>
      <w:r>
        <w:rPr>
          <w:rFonts w:ascii="Arial" w:hAnsi="Arial"/>
          <w:spacing w:val="-2"/>
        </w:rPr>
        <w:t>m</w:t>
      </w:r>
      <w:r>
        <w:rPr>
          <w:rFonts w:ascii="Arial" w:hAnsi="Arial"/>
          <w:spacing w:val="-3"/>
        </w:rPr>
        <w:t>e</w:t>
      </w:r>
      <w:r>
        <w:rPr>
          <w:rFonts w:ascii="Arial" w:hAnsi="Arial"/>
        </w:rPr>
        <w:t>s</w:t>
      </w:r>
      <w:r>
        <w:rPr>
          <w:rFonts w:ascii="Arial" w:hAnsi="Arial"/>
        </w:rPr>
        <w:t xml:space="preserve"> </w:t>
      </w:r>
      <w:r>
        <w:rPr>
          <w:rFonts w:ascii="Arial" w:hAnsi="Arial"/>
          <w:spacing w:val="-33"/>
        </w:rPr>
        <w:t xml:space="preserve"> </w:t>
      </w:r>
      <w:r>
        <w:rPr>
          <w:rFonts w:ascii="Arial" w:hAnsi="Arial"/>
          <w:spacing w:val="-2"/>
        </w:rPr>
        <w:t>s</w:t>
      </w:r>
      <w:r>
        <w:rPr>
          <w:rFonts w:ascii="Arial" w:hAnsi="Arial"/>
          <w:spacing w:val="-1"/>
        </w:rPr>
        <w:t>ugge</w:t>
      </w:r>
      <w:r>
        <w:rPr>
          <w:rFonts w:ascii="Arial" w:hAnsi="Arial"/>
          <w:spacing w:val="-2"/>
        </w:rPr>
        <w:t>s</w:t>
      </w:r>
      <w:r>
        <w:rPr>
          <w:rFonts w:ascii="Arial" w:hAnsi="Arial"/>
        </w:rPr>
        <w:t>t</w:t>
      </w:r>
      <w:r>
        <w:rPr>
          <w:rFonts w:ascii="Arial" w:hAnsi="Arial"/>
          <w:spacing w:val="-1"/>
        </w:rPr>
        <w:t>e</w:t>
      </w:r>
      <w:r>
        <w:rPr>
          <w:rFonts w:ascii="Arial" w:hAnsi="Arial"/>
        </w:rPr>
        <w:t>d</w:t>
      </w:r>
      <w:r>
        <w:rPr>
          <w:rFonts w:ascii="Arial" w:hAnsi="Arial"/>
        </w:rPr>
        <w:t xml:space="preserve"> </w:t>
      </w:r>
      <w:r>
        <w:rPr>
          <w:rFonts w:ascii="Arial" w:hAnsi="Arial"/>
          <w:spacing w:val="-32"/>
        </w:rPr>
        <w:t xml:space="preserve"> </w:t>
      </w:r>
      <w:r>
        <w:rPr>
          <w:rFonts w:ascii="Arial" w:hAnsi="Arial"/>
          <w:spacing w:val="-1"/>
        </w:rPr>
        <w:t>i</w:t>
      </w:r>
      <w:r>
        <w:rPr>
          <w:rFonts w:ascii="Arial" w:hAnsi="Arial"/>
        </w:rPr>
        <w:t>n</w:t>
      </w:r>
      <w:r>
        <w:rPr>
          <w:rFonts w:ascii="Arial" w:hAnsi="Arial"/>
        </w:rPr>
        <w:t xml:space="preserve"> </w:t>
      </w:r>
      <w:r>
        <w:rPr>
          <w:rFonts w:ascii="Arial" w:hAnsi="Arial"/>
          <w:spacing w:val="-32"/>
        </w:rPr>
        <w:t xml:space="preserve"> </w:t>
      </w:r>
      <w:r>
        <w:rPr>
          <w:rFonts w:ascii="Arial" w:hAnsi="Arial"/>
          <w:spacing w:val="-1"/>
        </w:rPr>
        <w:t>d</w:t>
      </w:r>
      <w:r>
        <w:rPr>
          <w:rFonts w:ascii="Arial" w:hAnsi="Arial"/>
          <w:spacing w:val="-3"/>
        </w:rPr>
        <w:t>i</w:t>
      </w:r>
      <w:r>
        <w:rPr>
          <w:rFonts w:ascii="Arial" w:hAnsi="Arial"/>
          <w:spacing w:val="-2"/>
        </w:rPr>
        <w:t>s</w:t>
      </w:r>
      <w:r>
        <w:rPr>
          <w:rFonts w:ascii="Arial" w:hAnsi="Arial"/>
        </w:rPr>
        <w:t>c</w:t>
      </w:r>
      <w:r>
        <w:rPr>
          <w:rFonts w:ascii="Arial" w:hAnsi="Arial"/>
          <w:spacing w:val="-1"/>
        </w:rPr>
        <w:t>u</w:t>
      </w:r>
      <w:r>
        <w:rPr>
          <w:rFonts w:ascii="Arial" w:hAnsi="Arial"/>
          <w:spacing w:val="-2"/>
        </w:rPr>
        <w:t>s</w:t>
      </w:r>
      <w:r>
        <w:rPr>
          <w:rFonts w:ascii="Arial" w:hAnsi="Arial"/>
        </w:rPr>
        <w:t>s</w:t>
      </w:r>
      <w:r>
        <w:rPr>
          <w:rFonts w:ascii="Arial" w:hAnsi="Arial"/>
          <w:spacing w:val="-1"/>
        </w:rPr>
        <w:t>io</w:t>
      </w:r>
      <w:r>
        <w:rPr>
          <w:rFonts w:ascii="Arial" w:hAnsi="Arial"/>
          <w:spacing w:val="-3"/>
        </w:rPr>
        <w:t>n</w:t>
      </w:r>
      <w:r>
        <w:rPr>
          <w:rFonts w:ascii="Arial" w:hAnsi="Arial"/>
        </w:rPr>
        <w:t xml:space="preserve">s </w:t>
      </w:r>
      <w:r>
        <w:rPr>
          <w:rFonts w:ascii="Arial" w:hAnsi="Arial"/>
        </w:rPr>
        <w:t xml:space="preserve">on the subject of freedom of religion that, though the civil Government should not interfere with religious </w:t>
      </w:r>
      <w:r>
        <w:rPr>
          <w:rFonts w:ascii="Arial" w:hAnsi="Arial"/>
          <w:i/>
        </w:rPr>
        <w:t>op</w:t>
      </w:r>
      <w:r>
        <w:rPr>
          <w:rFonts w:ascii="Arial" w:hAnsi="Arial"/>
          <w:i/>
        </w:rPr>
        <w:t>inions</w:t>
      </w:r>
      <w:r>
        <w:rPr>
          <w:rFonts w:ascii="Arial" w:hAnsi="Arial"/>
        </w:rPr>
        <w:t xml:space="preserve">, </w:t>
      </w:r>
      <w:r>
        <w:rPr>
          <w:rFonts w:ascii="Arial" w:hAnsi="Arial"/>
          <w:spacing w:val="-11"/>
        </w:rPr>
        <w:t xml:space="preserve">it </w:t>
      </w:r>
      <w:r>
        <w:rPr>
          <w:rFonts w:ascii="Arial" w:hAnsi="Arial"/>
        </w:rPr>
        <w:t xml:space="preserve">nevertheless may deal as it pleases with any </w:t>
      </w:r>
      <w:r>
        <w:rPr>
          <w:rFonts w:ascii="Arial" w:hAnsi="Arial"/>
          <w:i/>
        </w:rPr>
        <w:t xml:space="preserve">acts </w:t>
      </w:r>
      <w:r>
        <w:rPr>
          <w:rFonts w:ascii="Arial" w:hAnsi="Arial"/>
        </w:rPr>
        <w:t>which are done in pursuance of religious belief without infringing the principle</w:t>
      </w:r>
      <w:r>
        <w:rPr>
          <w:rFonts w:ascii="Arial" w:hAnsi="Arial"/>
          <w:spacing w:val="35"/>
        </w:rPr>
        <w:t xml:space="preserve"> </w:t>
      </w:r>
      <w:r>
        <w:rPr>
          <w:rFonts w:ascii="Arial" w:hAnsi="Arial"/>
        </w:rPr>
        <w:t>of</w:t>
      </w:r>
      <w:r>
        <w:rPr>
          <w:rFonts w:ascii="Arial" w:hAnsi="Arial"/>
          <w:spacing w:val="37"/>
        </w:rPr>
        <w:t xml:space="preserve"> </w:t>
      </w:r>
      <w:r>
        <w:rPr>
          <w:rFonts w:ascii="Arial" w:hAnsi="Arial"/>
        </w:rPr>
        <w:t>freedom</w:t>
      </w:r>
      <w:r>
        <w:rPr>
          <w:rFonts w:ascii="Arial" w:hAnsi="Arial"/>
          <w:spacing w:val="37"/>
        </w:rPr>
        <w:t xml:space="preserve"> </w:t>
      </w:r>
      <w:r>
        <w:rPr>
          <w:rFonts w:ascii="Arial" w:hAnsi="Arial"/>
        </w:rPr>
        <w:t>of</w:t>
      </w:r>
      <w:r>
        <w:rPr>
          <w:rFonts w:ascii="Arial" w:hAnsi="Arial"/>
          <w:spacing w:val="39"/>
        </w:rPr>
        <w:t xml:space="preserve"> </w:t>
      </w:r>
      <w:r>
        <w:rPr>
          <w:rFonts w:ascii="Arial" w:hAnsi="Arial"/>
        </w:rPr>
        <w:t>religion.</w:t>
      </w:r>
      <w:r>
        <w:rPr>
          <w:rFonts w:ascii="Arial" w:hAnsi="Arial"/>
          <w:spacing w:val="39"/>
        </w:rPr>
        <w:t xml:space="preserve"> </w:t>
      </w:r>
      <w:r>
        <w:rPr>
          <w:rFonts w:ascii="Arial" w:hAnsi="Arial"/>
        </w:rPr>
        <w:t>It</w:t>
      </w:r>
      <w:r>
        <w:rPr>
          <w:rFonts w:ascii="Arial" w:hAnsi="Arial"/>
          <w:spacing w:val="39"/>
        </w:rPr>
        <w:t xml:space="preserve"> </w:t>
      </w:r>
      <w:r>
        <w:rPr>
          <w:rFonts w:ascii="Arial" w:hAnsi="Arial"/>
        </w:rPr>
        <w:t>appears</w:t>
      </w:r>
    </w:p>
    <w:p w:rsidR="003B2FC0" w:rsidRDefault="003B2FC0">
      <w:pPr>
        <w:jc w:val="both"/>
        <w:sectPr w:rsidR="003B2FC0">
          <w:headerReference w:type="default" r:id="rId214"/>
          <w:footerReference w:type="default" r:id="rId215"/>
          <w:pgSz w:w="12240" w:h="15840"/>
          <w:pgMar w:top="1360" w:right="1320" w:bottom="1680" w:left="1340" w:header="0" w:footer="1492" w:gutter="0"/>
          <w:pgNumType w:start="16"/>
          <w:cols w:space="720"/>
        </w:sectPr>
      </w:pPr>
    </w:p>
    <w:p w:rsidR="003B2FC0" w:rsidRDefault="00052A49">
      <w:pPr>
        <w:pStyle w:val="BodyText"/>
        <w:spacing w:before="77"/>
        <w:ind w:left="2085" w:right="2105"/>
        <w:jc w:val="both"/>
        <w:rPr>
          <w:rFonts w:ascii="Arial" w:hAnsi="Arial"/>
        </w:rPr>
      </w:pPr>
      <w:r>
        <w:rPr>
          <w:rFonts w:ascii="Arial" w:hAnsi="Arial"/>
        </w:rPr>
        <w:t xml:space="preserve">to me to be difficult to maintain this distinction as relevant to the interpretation of section 116. The section refers in express terms to the </w:t>
      </w:r>
      <w:r>
        <w:rPr>
          <w:rFonts w:ascii="Arial" w:hAnsi="Arial"/>
          <w:i/>
        </w:rPr>
        <w:t xml:space="preserve">exercise </w:t>
      </w:r>
      <w:r>
        <w:rPr>
          <w:rFonts w:ascii="Arial" w:hAnsi="Arial"/>
        </w:rPr>
        <w:t>of religion, and therefore it is intended to protect from the operation of any Commonwealth laws acts w</w:t>
      </w:r>
      <w:r>
        <w:rPr>
          <w:rFonts w:ascii="Arial" w:hAnsi="Arial"/>
        </w:rPr>
        <w:t>hich are done in the exercise of religion. Thus the section goes far beyond protecting liberty of opinion. It protects also acts done in pursuance of religious belief as part of</w:t>
      </w:r>
      <w:r>
        <w:rPr>
          <w:rFonts w:ascii="Arial" w:hAnsi="Arial"/>
          <w:spacing w:val="-1"/>
        </w:rPr>
        <w:t xml:space="preserve"> </w:t>
      </w:r>
      <w:r>
        <w:rPr>
          <w:rFonts w:ascii="Arial" w:hAnsi="Arial"/>
        </w:rPr>
        <w:t>religion.‖</w:t>
      </w:r>
    </w:p>
    <w:p w:rsidR="003B2FC0" w:rsidRDefault="003B2FC0">
      <w:pPr>
        <w:spacing w:before="4"/>
        <w:rPr>
          <w:sz w:val="31"/>
        </w:rPr>
      </w:pPr>
    </w:p>
    <w:p w:rsidR="003B2FC0" w:rsidRDefault="00052A49">
      <w:pPr>
        <w:pStyle w:val="BodyText"/>
        <w:ind w:left="1518" w:right="1540"/>
        <w:jc w:val="both"/>
        <w:rPr>
          <w:rFonts w:ascii="Arial"/>
        </w:rPr>
      </w:pPr>
      <w:r>
        <w:rPr>
          <w:rFonts w:ascii="Arial"/>
        </w:rPr>
        <w:t xml:space="preserve">In our opinion, as we have already said in the Madras case, these </w:t>
      </w:r>
      <w:r>
        <w:rPr>
          <w:rFonts w:ascii="Arial"/>
        </w:rPr>
        <w:t>observations apply fully to the provision regarding religious freedom that is embodied in our Constitution.</w:t>
      </w:r>
    </w:p>
    <w:p w:rsidR="003B2FC0" w:rsidRDefault="003B2FC0">
      <w:pPr>
        <w:spacing w:before="5"/>
        <w:rPr>
          <w:sz w:val="31"/>
        </w:rPr>
      </w:pPr>
    </w:p>
    <w:p w:rsidR="003B2FC0" w:rsidRDefault="00052A49">
      <w:pPr>
        <w:pStyle w:val="BodyText"/>
        <w:ind w:left="1518" w:right="1537"/>
        <w:jc w:val="both"/>
        <w:rPr>
          <w:rFonts w:ascii="Arial"/>
        </w:rPr>
      </w:pPr>
      <w:r>
        <w:rPr>
          <w:rFonts w:ascii="Arial"/>
        </w:rPr>
        <w:t>Religious practices or performances of acts in pursuance of religious belief are as much a part of religion as faith or belief in particular doctri</w:t>
      </w:r>
      <w:r>
        <w:rPr>
          <w:rFonts w:ascii="Arial"/>
        </w:rPr>
        <w:t>nes. Thus if the tenets of the Jain or the Parsi religion lay down that certain rites and ceremonies are to be performed at certain times and in a particular manner, it cannot be said that these are secular activities partaking of commercial or economic ch</w:t>
      </w:r>
      <w:r>
        <w:rPr>
          <w:rFonts w:ascii="Arial"/>
        </w:rPr>
        <w:t xml:space="preserve">aracter simply because they involve expenditure of money or employment of priests or the use of marketable commodities. No outside authority has any right to say that these are not essential parts of religion and it is not open to the secular authority of </w:t>
      </w:r>
      <w:r>
        <w:rPr>
          <w:rFonts w:ascii="Arial"/>
        </w:rPr>
        <w:t>the State to restrict or prohibit them in any manner they like under the guise of administering the trust estate. Of course, the scale of expenses to be incurred in connection with these religious observances may be and is a matter of administration of pro</w:t>
      </w:r>
      <w:r>
        <w:rPr>
          <w:rFonts w:ascii="Arial"/>
        </w:rPr>
        <w:t>perty belonging to religious institutions; and if the expenses on these heads are likely to deplete the endowed properties or affect the stability of the institution, proper control can</w:t>
      </w:r>
      <w:r>
        <w:rPr>
          <w:rFonts w:ascii="Arial"/>
          <w:spacing w:val="-1"/>
        </w:rPr>
        <w:t xml:space="preserve"> </w:t>
      </w:r>
      <w:r>
        <w:rPr>
          <w:rFonts w:ascii="Arial"/>
        </w:rPr>
        <w:t>certainly</w:t>
      </w:r>
    </w:p>
    <w:p w:rsidR="003B2FC0" w:rsidRDefault="003B2FC0">
      <w:pPr>
        <w:jc w:val="both"/>
        <w:sectPr w:rsidR="003B2FC0">
          <w:headerReference w:type="default" r:id="rId216"/>
          <w:footerReference w:type="default" r:id="rId217"/>
          <w:pgSz w:w="12240" w:h="15840"/>
          <w:pgMar w:top="1360" w:right="1320" w:bottom="1680" w:left="1340" w:header="0" w:footer="1485" w:gutter="0"/>
          <w:pgNumType w:start="17"/>
          <w:cols w:space="720"/>
        </w:sectPr>
      </w:pPr>
    </w:p>
    <w:p w:rsidR="003B2FC0" w:rsidRDefault="00052A49">
      <w:pPr>
        <w:pStyle w:val="BodyText"/>
        <w:spacing w:before="77"/>
        <w:ind w:left="1518" w:right="1537"/>
        <w:jc w:val="both"/>
        <w:rPr>
          <w:rFonts w:ascii="Arial" w:hAnsi="Arial"/>
        </w:rPr>
      </w:pPr>
      <w:r>
        <w:rPr>
          <w:rFonts w:ascii="Arial" w:hAnsi="Arial"/>
        </w:rPr>
        <w:t xml:space="preserve">be exercised by State agencies as the law provides. We may refer in this connection to the observation of Davar, J. in the case of </w:t>
      </w:r>
      <w:r>
        <w:rPr>
          <w:rFonts w:ascii="Arial" w:hAnsi="Arial"/>
          <w:i/>
        </w:rPr>
        <w:t xml:space="preserve">Jamshed ji </w:t>
      </w:r>
      <w:r>
        <w:rPr>
          <w:rFonts w:ascii="Arial" w:hAnsi="Arial"/>
        </w:rPr>
        <w:t xml:space="preserve">v. </w:t>
      </w:r>
      <w:r>
        <w:rPr>
          <w:rFonts w:ascii="Arial" w:hAnsi="Arial"/>
          <w:i/>
        </w:rPr>
        <w:t xml:space="preserve">Soonabai </w:t>
      </w:r>
      <w:r>
        <w:rPr>
          <w:rFonts w:ascii="Arial" w:hAnsi="Arial"/>
        </w:rPr>
        <w:t>[33 Bom. 122], and although they were made in a case where the question was whether the bequest of pro</w:t>
      </w:r>
      <w:r>
        <w:rPr>
          <w:rFonts w:ascii="Arial" w:hAnsi="Arial"/>
        </w:rPr>
        <w:t xml:space="preserve">perty by a Parsi testator for the purpose of perpetual celebration of ceremonies like Muktad baj, Vyezashni, etc., which are sanctioned by the Zoroastrian religion were valid charitable gifts, the observations, we think, are quite appropriate for our </w:t>
      </w:r>
      <w:r>
        <w:rPr>
          <w:rFonts w:ascii="Arial" w:hAnsi="Arial"/>
        </w:rPr>
        <w:t>prese</w:t>
      </w:r>
      <w:r>
        <w:rPr>
          <w:rFonts w:ascii="Arial" w:hAnsi="Arial"/>
          <w:spacing w:val="-3"/>
        </w:rPr>
        <w:t>n</w:t>
      </w:r>
      <w:r>
        <w:rPr>
          <w:rFonts w:ascii="Arial" w:hAnsi="Arial"/>
        </w:rPr>
        <w:t>t</w:t>
      </w:r>
      <w:r>
        <w:rPr>
          <w:rFonts w:ascii="Arial" w:hAnsi="Arial"/>
        </w:rPr>
        <w:t xml:space="preserve">  </w:t>
      </w:r>
      <w:r>
        <w:rPr>
          <w:rFonts w:ascii="Arial" w:hAnsi="Arial"/>
          <w:spacing w:val="7"/>
        </w:rPr>
        <w:t xml:space="preserve"> </w:t>
      </w:r>
      <w:r>
        <w:rPr>
          <w:rFonts w:ascii="Arial" w:hAnsi="Arial"/>
        </w:rPr>
        <w:t>purp</w:t>
      </w:r>
      <w:r>
        <w:rPr>
          <w:rFonts w:ascii="Arial" w:hAnsi="Arial"/>
          <w:spacing w:val="-3"/>
        </w:rPr>
        <w:t>o</w:t>
      </w:r>
      <w:r>
        <w:rPr>
          <w:rFonts w:ascii="Arial" w:hAnsi="Arial"/>
        </w:rPr>
        <w:t>se.</w:t>
      </w:r>
      <w:r>
        <w:rPr>
          <w:rFonts w:ascii="Arial" w:hAnsi="Arial"/>
        </w:rPr>
        <w:t xml:space="preserve">  </w:t>
      </w:r>
      <w:r>
        <w:rPr>
          <w:rFonts w:ascii="Arial" w:hAnsi="Arial"/>
          <w:spacing w:val="6"/>
        </w:rPr>
        <w:t xml:space="preserve"> </w:t>
      </w:r>
      <w:r>
        <w:rPr>
          <w:rFonts w:ascii="Arial" w:hAnsi="Arial"/>
          <w:w w:val="47"/>
        </w:rPr>
        <w:t>―I</w:t>
      </w:r>
      <w:r>
        <w:rPr>
          <w:rFonts w:ascii="Arial" w:hAnsi="Arial"/>
        </w:rPr>
        <w:t>f</w:t>
      </w:r>
      <w:r>
        <w:rPr>
          <w:rFonts w:ascii="Arial" w:hAnsi="Arial"/>
        </w:rPr>
        <w:t xml:space="preserve">  </w:t>
      </w:r>
      <w:r>
        <w:rPr>
          <w:rFonts w:ascii="Arial" w:hAnsi="Arial"/>
          <w:spacing w:val="7"/>
        </w:rPr>
        <w:t xml:space="preserve"> </w:t>
      </w:r>
      <w:r>
        <w:rPr>
          <w:rFonts w:ascii="Arial" w:hAnsi="Arial"/>
        </w:rPr>
        <w:t>t</w:t>
      </w:r>
      <w:r>
        <w:rPr>
          <w:rFonts w:ascii="Arial" w:hAnsi="Arial"/>
          <w:spacing w:val="-1"/>
        </w:rPr>
        <w:t>h</w:t>
      </w:r>
      <w:r>
        <w:rPr>
          <w:rFonts w:ascii="Arial" w:hAnsi="Arial"/>
          <w:spacing w:val="-3"/>
        </w:rPr>
        <w:t>i</w:t>
      </w:r>
      <w:r>
        <w:rPr>
          <w:rFonts w:ascii="Arial" w:hAnsi="Arial"/>
        </w:rPr>
        <w:t>s</w:t>
      </w:r>
      <w:r>
        <w:rPr>
          <w:rFonts w:ascii="Arial" w:hAnsi="Arial"/>
        </w:rPr>
        <w:t xml:space="preserve">  </w:t>
      </w:r>
      <w:r>
        <w:rPr>
          <w:rFonts w:ascii="Arial" w:hAnsi="Arial"/>
          <w:spacing w:val="7"/>
        </w:rPr>
        <w:t xml:space="preserve"> </w:t>
      </w:r>
      <w:r>
        <w:rPr>
          <w:rFonts w:ascii="Arial" w:hAnsi="Arial"/>
          <w:spacing w:val="-1"/>
        </w:rPr>
        <w:t>i</w:t>
      </w:r>
      <w:r>
        <w:rPr>
          <w:rFonts w:ascii="Arial" w:hAnsi="Arial"/>
        </w:rPr>
        <w:t>s</w:t>
      </w:r>
      <w:r>
        <w:rPr>
          <w:rFonts w:ascii="Arial" w:hAnsi="Arial"/>
        </w:rPr>
        <w:t xml:space="preserve">  </w:t>
      </w:r>
      <w:r>
        <w:rPr>
          <w:rFonts w:ascii="Arial" w:hAnsi="Arial"/>
          <w:spacing w:val="7"/>
        </w:rPr>
        <w:t xml:space="preserve"> </w:t>
      </w:r>
      <w:r>
        <w:rPr>
          <w:rFonts w:ascii="Arial" w:hAnsi="Arial"/>
        </w:rPr>
        <w:t>t</w:t>
      </w:r>
      <w:r>
        <w:rPr>
          <w:rFonts w:ascii="Arial" w:hAnsi="Arial"/>
          <w:spacing w:val="-3"/>
        </w:rPr>
        <w:t>h</w:t>
      </w:r>
      <w:r>
        <w:rPr>
          <w:rFonts w:ascii="Arial" w:hAnsi="Arial"/>
        </w:rPr>
        <w:t>e</w:t>
      </w:r>
      <w:r>
        <w:rPr>
          <w:rFonts w:ascii="Arial" w:hAnsi="Arial"/>
        </w:rPr>
        <w:t xml:space="preserve">  </w:t>
      </w:r>
      <w:r>
        <w:rPr>
          <w:rFonts w:ascii="Arial" w:hAnsi="Arial"/>
          <w:spacing w:val="3"/>
        </w:rPr>
        <w:t xml:space="preserve"> </w:t>
      </w:r>
      <w:r>
        <w:rPr>
          <w:rFonts w:ascii="Arial" w:hAnsi="Arial"/>
          <w:spacing w:val="-1"/>
        </w:rPr>
        <w:t>belie</w:t>
      </w:r>
      <w:r>
        <w:rPr>
          <w:rFonts w:ascii="Arial" w:hAnsi="Arial"/>
        </w:rPr>
        <w:t>f</w:t>
      </w:r>
      <w:r>
        <w:rPr>
          <w:rFonts w:ascii="Arial" w:hAnsi="Arial"/>
        </w:rPr>
        <w:t xml:space="preserve">  </w:t>
      </w:r>
      <w:r>
        <w:rPr>
          <w:rFonts w:ascii="Arial" w:hAnsi="Arial"/>
          <w:spacing w:val="6"/>
        </w:rPr>
        <w:t xml:space="preserve"> </w:t>
      </w:r>
      <w:r>
        <w:rPr>
          <w:rFonts w:ascii="Arial" w:hAnsi="Arial"/>
          <w:spacing w:val="-1"/>
        </w:rPr>
        <w:t>o</w:t>
      </w:r>
      <w:r>
        <w:rPr>
          <w:rFonts w:ascii="Arial" w:hAnsi="Arial"/>
        </w:rPr>
        <w:t>f</w:t>
      </w:r>
      <w:r>
        <w:rPr>
          <w:rFonts w:ascii="Arial" w:hAnsi="Arial"/>
        </w:rPr>
        <w:t xml:space="preserve">  </w:t>
      </w:r>
      <w:r>
        <w:rPr>
          <w:rFonts w:ascii="Arial" w:hAnsi="Arial"/>
          <w:spacing w:val="7"/>
        </w:rPr>
        <w:t xml:space="preserve"> </w:t>
      </w:r>
      <w:r>
        <w:rPr>
          <w:rFonts w:ascii="Arial" w:hAnsi="Arial"/>
        </w:rPr>
        <w:t>t</w:t>
      </w:r>
      <w:r>
        <w:rPr>
          <w:rFonts w:ascii="Arial" w:hAnsi="Arial"/>
          <w:spacing w:val="-3"/>
        </w:rPr>
        <w:t>h</w:t>
      </w:r>
      <w:r>
        <w:rPr>
          <w:rFonts w:ascii="Arial" w:hAnsi="Arial"/>
        </w:rPr>
        <w:t xml:space="preserve">e </w:t>
      </w:r>
      <w:r>
        <w:rPr>
          <w:rFonts w:ascii="Arial" w:hAnsi="Arial"/>
        </w:rPr>
        <w:t>community‖ thus observed the learned Judge,</w:t>
      </w:r>
      <w:r>
        <w:rPr>
          <w:rFonts w:ascii="Arial" w:hAnsi="Arial"/>
          <w:spacing w:val="-30"/>
        </w:rPr>
        <w:t xml:space="preserve"> </w:t>
      </w:r>
      <w:r>
        <w:rPr>
          <w:rFonts w:ascii="Arial" w:hAnsi="Arial"/>
        </w:rPr>
        <w:t>―and it is proved undoubtedly to be the belief of the Zoroastrian community,—a secular Judge is bound to accept that belief—it is not for him to sit in judgment on that belief, he has no right to interfere with the conscience of a donor who makes a gift in</w:t>
      </w:r>
      <w:r>
        <w:rPr>
          <w:rFonts w:ascii="Arial" w:hAnsi="Arial"/>
        </w:rPr>
        <w:t xml:space="preserve"> favour of what he believes to be the advancement of his religion and the welfare of his community or mankind‖. These observations do, in our opinion, afford an indication of the measure of protection that is given by Article 26(b) of our</w:t>
      </w:r>
      <w:r>
        <w:rPr>
          <w:rFonts w:ascii="Arial" w:hAnsi="Arial"/>
          <w:spacing w:val="-5"/>
        </w:rPr>
        <w:t xml:space="preserve"> </w:t>
      </w:r>
      <w:r>
        <w:rPr>
          <w:rFonts w:ascii="Arial" w:hAnsi="Arial"/>
        </w:rPr>
        <w:t>Constitution.</w:t>
      </w:r>
    </w:p>
    <w:p w:rsidR="003B2FC0" w:rsidRDefault="003B2FC0">
      <w:pPr>
        <w:spacing w:before="5"/>
        <w:rPr>
          <w:sz w:val="31"/>
        </w:rPr>
      </w:pPr>
    </w:p>
    <w:p w:rsidR="003B2FC0" w:rsidRDefault="00052A49">
      <w:pPr>
        <w:pStyle w:val="BodyText"/>
        <w:spacing w:before="1"/>
        <w:ind w:left="1518" w:right="1535"/>
        <w:jc w:val="both"/>
        <w:rPr>
          <w:rFonts w:ascii="Arial" w:hAnsi="Arial"/>
        </w:rPr>
      </w:pPr>
      <w:r>
        <w:rPr>
          <w:rFonts w:ascii="Arial" w:hAnsi="Arial"/>
        </w:rPr>
        <w:t>Th</w:t>
      </w:r>
      <w:r>
        <w:rPr>
          <w:rFonts w:ascii="Arial" w:hAnsi="Arial"/>
        </w:rPr>
        <w:t>e distinction between matters of religion and those of secular administration of religious properties may, at times, appear to be a thin one. But in cases of doubt, as Chief Justice Latham pointed out in the case [</w:t>
      </w:r>
      <w:r>
        <w:rPr>
          <w:rFonts w:ascii="Arial" w:hAnsi="Arial"/>
          <w:i/>
        </w:rPr>
        <w:t xml:space="preserve">Vide Adelaide Company </w:t>
      </w:r>
      <w:r>
        <w:rPr>
          <w:rFonts w:ascii="Arial" w:hAnsi="Arial"/>
          <w:spacing w:val="-4"/>
        </w:rPr>
        <w:t xml:space="preserve">v. </w:t>
      </w:r>
      <w:r>
        <w:rPr>
          <w:rFonts w:ascii="Arial" w:hAnsi="Arial"/>
          <w:i/>
        </w:rPr>
        <w:t>The Commonwealth</w:t>
      </w:r>
      <w:r>
        <w:rPr>
          <w:rFonts w:ascii="Arial" w:hAnsi="Arial"/>
        </w:rPr>
        <w:t>,</w:t>
      </w:r>
      <w:r>
        <w:rPr>
          <w:rFonts w:ascii="Arial" w:hAnsi="Arial"/>
        </w:rPr>
        <w:t xml:space="preserve"> 67 C.L.R. 116, 129] referred to above, the court should take a common sense view and be actuated by considerations of practical necessity. It is in the light of these principles that we will proceed to examine the different provisions of the Bombay Public</w:t>
      </w:r>
      <w:r>
        <w:rPr>
          <w:rFonts w:ascii="Arial" w:hAnsi="Arial"/>
        </w:rPr>
        <w:t xml:space="preserve"> Trusts Act, the validity of which has been challenged on behalf of the</w:t>
      </w:r>
      <w:r>
        <w:rPr>
          <w:rFonts w:ascii="Arial" w:hAnsi="Arial"/>
          <w:spacing w:val="-19"/>
        </w:rPr>
        <w:t xml:space="preserve"> </w:t>
      </w:r>
      <w:r>
        <w:rPr>
          <w:rFonts w:ascii="Arial" w:hAnsi="Arial"/>
        </w:rPr>
        <w:t>appellants.‖</w:t>
      </w:r>
    </w:p>
    <w:p w:rsidR="003B2FC0" w:rsidRDefault="00052A49">
      <w:pPr>
        <w:pStyle w:val="BodyText"/>
        <w:spacing w:before="200"/>
        <w:ind w:left="5734"/>
        <w:rPr>
          <w:rFonts w:ascii="Arial"/>
        </w:rPr>
      </w:pPr>
      <w:r>
        <w:rPr>
          <w:rFonts w:ascii="Arial"/>
        </w:rPr>
        <w:t>(at pp. 1062-1066)</w:t>
      </w:r>
    </w:p>
    <w:p w:rsidR="003B2FC0" w:rsidRDefault="003B2FC0">
      <w:pPr>
        <w:sectPr w:rsidR="003B2FC0">
          <w:headerReference w:type="default" r:id="rId218"/>
          <w:footerReference w:type="default" r:id="rId219"/>
          <w:pgSz w:w="12240" w:h="15840"/>
          <w:pgMar w:top="1360" w:right="1320" w:bottom="1680" w:left="1340" w:header="0" w:footer="1492" w:gutter="0"/>
          <w:pgNumType w:start="18"/>
          <w:cols w:space="720"/>
        </w:sectPr>
      </w:pPr>
    </w:p>
    <w:p w:rsidR="003B2FC0" w:rsidRDefault="00052A49">
      <w:pPr>
        <w:pStyle w:val="ListParagraph"/>
        <w:numPr>
          <w:ilvl w:val="0"/>
          <w:numId w:val="51"/>
        </w:numPr>
        <w:tabs>
          <w:tab w:val="left" w:pos="1234"/>
        </w:tabs>
        <w:spacing w:before="77" w:line="480" w:lineRule="auto"/>
        <w:ind w:right="401" w:firstLine="0"/>
        <w:jc w:val="both"/>
        <w:rPr>
          <w:sz w:val="28"/>
        </w:rPr>
      </w:pPr>
      <w:r>
        <w:rPr>
          <w:sz w:val="28"/>
        </w:rPr>
        <w:t xml:space="preserve">We now come to the famous </w:t>
      </w:r>
      <w:r>
        <w:rPr>
          <w:b/>
          <w:sz w:val="28"/>
        </w:rPr>
        <w:t xml:space="preserve">Mulki Temple </w:t>
      </w:r>
      <w:r>
        <w:rPr>
          <w:sz w:val="28"/>
        </w:rPr>
        <w:t xml:space="preserve">case. In this judgment, namely, </w:t>
      </w:r>
      <w:r>
        <w:rPr>
          <w:b/>
          <w:sz w:val="28"/>
        </w:rPr>
        <w:t>Sri Venkataramana Devaru and Ors. v. State</w:t>
      </w:r>
      <w:r>
        <w:rPr>
          <w:b/>
          <w:sz w:val="28"/>
        </w:rPr>
        <w:t xml:space="preserve"> of </w:t>
      </w:r>
      <w:r>
        <w:rPr>
          <w:b/>
          <w:spacing w:val="5"/>
          <w:sz w:val="28"/>
        </w:rPr>
        <w:t>M</w:t>
      </w:r>
      <w:r>
        <w:rPr>
          <w:b/>
          <w:spacing w:val="-10"/>
          <w:sz w:val="28"/>
        </w:rPr>
        <w:t>y</w:t>
      </w:r>
      <w:r>
        <w:rPr>
          <w:b/>
          <w:sz w:val="28"/>
        </w:rPr>
        <w:t>s</w:t>
      </w:r>
      <w:r>
        <w:rPr>
          <w:b/>
          <w:spacing w:val="-2"/>
          <w:sz w:val="28"/>
        </w:rPr>
        <w:t>o</w:t>
      </w:r>
      <w:r>
        <w:rPr>
          <w:b/>
          <w:sz w:val="28"/>
        </w:rPr>
        <w:t>re</w:t>
      </w:r>
      <w:r>
        <w:rPr>
          <w:b/>
          <w:spacing w:val="5"/>
          <w:sz w:val="28"/>
        </w:rPr>
        <w:t xml:space="preserve"> </w:t>
      </w:r>
      <w:r>
        <w:rPr>
          <w:b/>
          <w:sz w:val="28"/>
        </w:rPr>
        <w:t>a</w:t>
      </w:r>
      <w:r>
        <w:rPr>
          <w:b/>
          <w:spacing w:val="-2"/>
          <w:sz w:val="28"/>
        </w:rPr>
        <w:t>n</w:t>
      </w:r>
      <w:r>
        <w:rPr>
          <w:b/>
          <w:sz w:val="28"/>
        </w:rPr>
        <w:t>d</w:t>
      </w:r>
      <w:r>
        <w:rPr>
          <w:b/>
          <w:spacing w:val="6"/>
          <w:sz w:val="28"/>
        </w:rPr>
        <w:t xml:space="preserve"> </w:t>
      </w:r>
      <w:r>
        <w:rPr>
          <w:b/>
          <w:sz w:val="28"/>
        </w:rPr>
        <w:t>Ors</w:t>
      </w:r>
      <w:r>
        <w:rPr>
          <w:b/>
          <w:spacing w:val="1"/>
          <w:sz w:val="28"/>
        </w:rPr>
        <w:t>.</w:t>
      </w:r>
      <w:r>
        <w:rPr>
          <w:sz w:val="28"/>
        </w:rPr>
        <w:t>,</w:t>
      </w:r>
      <w:r>
        <w:rPr>
          <w:spacing w:val="4"/>
          <w:sz w:val="28"/>
        </w:rPr>
        <w:t xml:space="preserve"> </w:t>
      </w:r>
      <w:r>
        <w:rPr>
          <w:sz w:val="28"/>
        </w:rPr>
        <w:t>1958</w:t>
      </w:r>
      <w:r>
        <w:rPr>
          <w:spacing w:val="5"/>
          <w:sz w:val="28"/>
        </w:rPr>
        <w:t xml:space="preserve"> </w:t>
      </w:r>
      <w:r>
        <w:rPr>
          <w:sz w:val="28"/>
        </w:rPr>
        <w:t>S</w:t>
      </w:r>
      <w:r>
        <w:rPr>
          <w:spacing w:val="-2"/>
          <w:sz w:val="28"/>
        </w:rPr>
        <w:t>C</w:t>
      </w:r>
      <w:r>
        <w:rPr>
          <w:sz w:val="28"/>
        </w:rPr>
        <w:t>R</w:t>
      </w:r>
      <w:r>
        <w:rPr>
          <w:spacing w:val="4"/>
          <w:sz w:val="28"/>
        </w:rPr>
        <w:t xml:space="preserve"> </w:t>
      </w:r>
      <w:r>
        <w:rPr>
          <w:sz w:val="28"/>
        </w:rPr>
        <w:t>895,</w:t>
      </w:r>
      <w:r>
        <w:rPr>
          <w:spacing w:val="8"/>
          <w:sz w:val="28"/>
        </w:rPr>
        <w:t xml:space="preserve"> </w:t>
      </w:r>
      <w:r>
        <w:rPr>
          <w:w w:val="50"/>
          <w:sz w:val="28"/>
        </w:rPr>
        <w:t>(―</w:t>
      </w:r>
      <w:r>
        <w:rPr>
          <w:b/>
          <w:spacing w:val="-3"/>
          <w:sz w:val="28"/>
        </w:rPr>
        <w:t>S</w:t>
      </w:r>
      <w:r>
        <w:rPr>
          <w:b/>
          <w:sz w:val="28"/>
        </w:rPr>
        <w:t>ri</w:t>
      </w:r>
      <w:r>
        <w:rPr>
          <w:b/>
          <w:spacing w:val="6"/>
          <w:sz w:val="28"/>
        </w:rPr>
        <w:t xml:space="preserve"> </w:t>
      </w:r>
      <w:r>
        <w:rPr>
          <w:b/>
          <w:sz w:val="28"/>
        </w:rPr>
        <w:t>Ve</w:t>
      </w:r>
      <w:r>
        <w:rPr>
          <w:b/>
          <w:spacing w:val="-2"/>
          <w:sz w:val="28"/>
        </w:rPr>
        <w:t>n</w:t>
      </w:r>
      <w:r>
        <w:rPr>
          <w:b/>
          <w:sz w:val="28"/>
        </w:rPr>
        <w:t>ka</w:t>
      </w:r>
      <w:r>
        <w:rPr>
          <w:b/>
          <w:spacing w:val="-3"/>
          <w:sz w:val="28"/>
        </w:rPr>
        <w:t>t</w:t>
      </w:r>
      <w:r>
        <w:rPr>
          <w:b/>
          <w:sz w:val="28"/>
        </w:rPr>
        <w:t>ar</w:t>
      </w:r>
      <w:r>
        <w:rPr>
          <w:b/>
          <w:spacing w:val="-3"/>
          <w:sz w:val="28"/>
        </w:rPr>
        <w:t>a</w:t>
      </w:r>
      <w:r>
        <w:rPr>
          <w:b/>
          <w:sz w:val="28"/>
        </w:rPr>
        <w:t>ma</w:t>
      </w:r>
      <w:r>
        <w:rPr>
          <w:b/>
          <w:spacing w:val="-2"/>
          <w:sz w:val="28"/>
        </w:rPr>
        <w:t>n</w:t>
      </w:r>
      <w:r>
        <w:rPr>
          <w:b/>
          <w:sz w:val="28"/>
        </w:rPr>
        <w:t>a</w:t>
      </w:r>
      <w:r>
        <w:rPr>
          <w:b/>
          <w:spacing w:val="8"/>
          <w:sz w:val="28"/>
        </w:rPr>
        <w:t xml:space="preserve"> </w:t>
      </w:r>
      <w:r>
        <w:rPr>
          <w:b/>
          <w:spacing w:val="-2"/>
          <w:sz w:val="28"/>
        </w:rPr>
        <w:t>D</w:t>
      </w:r>
      <w:r>
        <w:rPr>
          <w:b/>
          <w:sz w:val="28"/>
        </w:rPr>
        <w:t>e</w:t>
      </w:r>
      <w:r>
        <w:rPr>
          <w:b/>
          <w:spacing w:val="-3"/>
          <w:sz w:val="28"/>
        </w:rPr>
        <w:t>v</w:t>
      </w:r>
      <w:r>
        <w:rPr>
          <w:b/>
          <w:sz w:val="28"/>
        </w:rPr>
        <w:t>ar</w:t>
      </w:r>
      <w:r>
        <w:rPr>
          <w:b/>
          <w:spacing w:val="-2"/>
          <w:sz w:val="28"/>
        </w:rPr>
        <w:t>u</w:t>
      </w:r>
      <w:r>
        <w:rPr>
          <w:w w:val="92"/>
          <w:sz w:val="28"/>
        </w:rPr>
        <w:t>‖),</w:t>
      </w:r>
      <w:r>
        <w:rPr>
          <w:spacing w:val="7"/>
          <w:sz w:val="28"/>
        </w:rPr>
        <w:t xml:space="preserve"> </w:t>
      </w:r>
      <w:r>
        <w:rPr>
          <w:spacing w:val="-1"/>
          <w:sz w:val="28"/>
        </w:rPr>
        <w:t xml:space="preserve">an </w:t>
      </w:r>
      <w:r>
        <w:rPr>
          <w:sz w:val="28"/>
        </w:rPr>
        <w:t xml:space="preserve">ancient temple dedicated to Sri Venkataramana, renowned for its sanctity, was before the Court in a challenge to the Madras Temple Entry Authorisation Act (V of 1947). It was noticed that the trustees of this temple were all members of a sect known as </w:t>
      </w:r>
      <w:r>
        <w:rPr>
          <w:spacing w:val="2"/>
          <w:sz w:val="28"/>
        </w:rPr>
        <w:t xml:space="preserve">the </w:t>
      </w:r>
      <w:r>
        <w:rPr>
          <w:sz w:val="28"/>
        </w:rPr>
        <w:t>Gowda Saraswath Brahmins. Even though the temple had originally been founded for the benefit of certain immigrant families of the Gowda Saraswath Brahmins, in the course of time, however, worshippers consisted of all classes of Hindus. Finding that the sai</w:t>
      </w:r>
      <w:r>
        <w:rPr>
          <w:sz w:val="28"/>
        </w:rPr>
        <w:t xml:space="preserve">d temple is a public temple, it was further held that during certain religious ceremonies, persons other than Gowda Saraswath Brahmins had been wholly excluded, as a result of which, the temple was held to be a religious denomination within the meaning of </w:t>
      </w:r>
      <w:r>
        <w:rPr>
          <w:sz w:val="28"/>
        </w:rPr>
        <w:t>Article 26. The Court then found that if an image becomes defiled or if there is any departure or violation of any of the rules relating to worship, as a result of entry of certain persons into the temple, an essential religious practice can be said to hav</w:t>
      </w:r>
      <w:r>
        <w:rPr>
          <w:sz w:val="28"/>
        </w:rPr>
        <w:t>e been affected. The Court</w:t>
      </w:r>
      <w:r>
        <w:rPr>
          <w:spacing w:val="-8"/>
          <w:sz w:val="28"/>
        </w:rPr>
        <w:t xml:space="preserve"> </w:t>
      </w:r>
      <w:r>
        <w:rPr>
          <w:sz w:val="28"/>
        </w:rPr>
        <w:t>held:</w:t>
      </w:r>
    </w:p>
    <w:p w:rsidR="003B2FC0" w:rsidRDefault="003B2FC0">
      <w:pPr>
        <w:spacing w:line="480" w:lineRule="auto"/>
        <w:jc w:val="both"/>
        <w:rPr>
          <w:sz w:val="28"/>
        </w:rPr>
        <w:sectPr w:rsidR="003B2FC0">
          <w:headerReference w:type="default" r:id="rId220"/>
          <w:footerReference w:type="default" r:id="rId221"/>
          <w:pgSz w:w="12240" w:h="15840"/>
          <w:pgMar w:top="1360" w:right="1320" w:bottom="1680" w:left="1340" w:header="0" w:footer="1492" w:gutter="0"/>
          <w:pgNumType w:start="19"/>
          <w:cols w:space="720"/>
        </w:sectPr>
      </w:pPr>
    </w:p>
    <w:p w:rsidR="003B2FC0" w:rsidRDefault="00052A49">
      <w:pPr>
        <w:pStyle w:val="BodyText"/>
        <w:spacing w:before="77"/>
        <w:ind w:left="1518" w:right="1536"/>
        <w:jc w:val="both"/>
        <w:rPr>
          <w:rFonts w:ascii="Arial" w:hAnsi="Arial"/>
        </w:rPr>
      </w:pPr>
      <w:r>
        <w:rPr>
          <w:rFonts w:ascii="Arial" w:hAnsi="Arial"/>
          <w:w w:val="33"/>
        </w:rPr>
        <w:t>―</w:t>
      </w:r>
      <w:r>
        <w:rPr>
          <w:rFonts w:ascii="Arial" w:hAnsi="Arial"/>
        </w:rPr>
        <w:t>A</w:t>
      </w:r>
      <w:r>
        <w:rPr>
          <w:rFonts w:ascii="Arial" w:hAnsi="Arial"/>
          <w:spacing w:val="-2"/>
        </w:rPr>
        <w:t>c</w:t>
      </w:r>
      <w:r>
        <w:rPr>
          <w:rFonts w:ascii="Arial" w:hAnsi="Arial"/>
        </w:rPr>
        <w:t>cording</w:t>
      </w:r>
      <w:r>
        <w:rPr>
          <w:rFonts w:ascii="Arial" w:hAnsi="Arial"/>
        </w:rPr>
        <w:t xml:space="preserve">  </w:t>
      </w:r>
      <w:r>
        <w:rPr>
          <w:rFonts w:ascii="Arial" w:hAnsi="Arial"/>
          <w:spacing w:val="-31"/>
        </w:rPr>
        <w:t xml:space="preserve"> </w:t>
      </w:r>
      <w:r>
        <w:rPr>
          <w:rFonts w:ascii="Arial" w:hAnsi="Arial"/>
        </w:rPr>
        <w:t>to</w:t>
      </w:r>
      <w:r>
        <w:rPr>
          <w:rFonts w:ascii="Arial" w:hAnsi="Arial"/>
        </w:rPr>
        <w:t xml:space="preserve">  </w:t>
      </w:r>
      <w:r>
        <w:rPr>
          <w:rFonts w:ascii="Arial" w:hAnsi="Arial"/>
          <w:spacing w:val="-28"/>
        </w:rPr>
        <w:t xml:space="preserve"> </w:t>
      </w:r>
      <w:r>
        <w:rPr>
          <w:rFonts w:ascii="Arial" w:hAnsi="Arial"/>
        </w:rPr>
        <w:t>the</w:t>
      </w:r>
      <w:r>
        <w:rPr>
          <w:rFonts w:ascii="Arial" w:hAnsi="Arial"/>
        </w:rPr>
        <w:t xml:space="preserve">  </w:t>
      </w:r>
      <w:r>
        <w:rPr>
          <w:rFonts w:ascii="Arial" w:hAnsi="Arial"/>
          <w:spacing w:val="-30"/>
        </w:rPr>
        <w:t xml:space="preserve"> </w:t>
      </w:r>
      <w:r>
        <w:rPr>
          <w:rFonts w:ascii="Arial" w:hAnsi="Arial"/>
        </w:rPr>
        <w:t>Aga</w:t>
      </w:r>
      <w:r>
        <w:rPr>
          <w:rFonts w:ascii="Arial" w:hAnsi="Arial"/>
          <w:spacing w:val="-2"/>
        </w:rPr>
        <w:t>m</w:t>
      </w:r>
      <w:r>
        <w:rPr>
          <w:rFonts w:ascii="Arial" w:hAnsi="Arial"/>
        </w:rPr>
        <w:t>as,</w:t>
      </w:r>
      <w:r>
        <w:rPr>
          <w:rFonts w:ascii="Arial" w:hAnsi="Arial"/>
        </w:rPr>
        <w:t xml:space="preserve">  </w:t>
      </w:r>
      <w:r>
        <w:rPr>
          <w:rFonts w:ascii="Arial" w:hAnsi="Arial"/>
          <w:spacing w:val="-27"/>
        </w:rPr>
        <w:t xml:space="preserve"> </w:t>
      </w:r>
      <w:r>
        <w:rPr>
          <w:rFonts w:ascii="Arial" w:hAnsi="Arial"/>
        </w:rPr>
        <w:t>an</w:t>
      </w:r>
      <w:r>
        <w:rPr>
          <w:rFonts w:ascii="Arial" w:hAnsi="Arial"/>
        </w:rPr>
        <w:t xml:space="preserve">  </w:t>
      </w:r>
      <w:r>
        <w:rPr>
          <w:rFonts w:ascii="Arial" w:hAnsi="Arial"/>
          <w:spacing w:val="-28"/>
        </w:rPr>
        <w:t xml:space="preserve"> </w:t>
      </w:r>
      <w:r>
        <w:rPr>
          <w:rFonts w:ascii="Arial" w:hAnsi="Arial"/>
        </w:rPr>
        <w:t>i</w:t>
      </w:r>
      <w:r>
        <w:rPr>
          <w:rFonts w:ascii="Arial" w:hAnsi="Arial"/>
          <w:spacing w:val="-4"/>
        </w:rPr>
        <w:t>m</w:t>
      </w:r>
      <w:r>
        <w:rPr>
          <w:rFonts w:ascii="Arial" w:hAnsi="Arial"/>
        </w:rPr>
        <w:t>age</w:t>
      </w:r>
      <w:r>
        <w:rPr>
          <w:rFonts w:ascii="Arial" w:hAnsi="Arial"/>
        </w:rPr>
        <w:t xml:space="preserve">  </w:t>
      </w:r>
      <w:r>
        <w:rPr>
          <w:rFonts w:ascii="Arial" w:hAnsi="Arial"/>
          <w:spacing w:val="-28"/>
        </w:rPr>
        <w:t xml:space="preserve"> </w:t>
      </w:r>
      <w:r>
        <w:rPr>
          <w:rFonts w:ascii="Arial" w:hAnsi="Arial"/>
        </w:rPr>
        <w:t>beco</w:t>
      </w:r>
      <w:r>
        <w:rPr>
          <w:rFonts w:ascii="Arial" w:hAnsi="Arial"/>
          <w:spacing w:val="-2"/>
        </w:rPr>
        <w:t>m</w:t>
      </w:r>
      <w:r>
        <w:rPr>
          <w:rFonts w:ascii="Arial" w:hAnsi="Arial"/>
          <w:spacing w:val="-3"/>
        </w:rPr>
        <w:t>e</w:t>
      </w:r>
      <w:r>
        <w:rPr>
          <w:rFonts w:ascii="Arial" w:hAnsi="Arial"/>
        </w:rPr>
        <w:t xml:space="preserve">s </w:t>
      </w:r>
      <w:r>
        <w:rPr>
          <w:rFonts w:ascii="Arial" w:hAnsi="Arial"/>
        </w:rPr>
        <w:t xml:space="preserve">defiled if there is any departure or violation of any of the rules relating to worship, and purificatory ceremonies (known as </w:t>
      </w:r>
      <w:r>
        <w:rPr>
          <w:rFonts w:ascii="Arial" w:hAnsi="Arial"/>
          <w:i/>
        </w:rPr>
        <w:t>Samprokshana</w:t>
      </w:r>
      <w:r>
        <w:rPr>
          <w:rFonts w:ascii="Arial" w:hAnsi="Arial"/>
        </w:rPr>
        <w:t xml:space="preserve">) have to be performed for restoring the sanctity of the shrine. </w:t>
      </w:r>
      <w:r>
        <w:rPr>
          <w:rFonts w:ascii="Arial" w:hAnsi="Arial"/>
          <w:i/>
        </w:rPr>
        <w:t xml:space="preserve">Vide </w:t>
      </w:r>
      <w:r>
        <w:rPr>
          <w:rFonts w:ascii="Arial" w:hAnsi="Arial"/>
        </w:rPr>
        <w:t xml:space="preserve">judgment of Sadasiva Aiyar, J., in </w:t>
      </w:r>
      <w:r>
        <w:rPr>
          <w:rFonts w:ascii="Arial" w:hAnsi="Arial"/>
          <w:i/>
        </w:rPr>
        <w:t xml:space="preserve">Gopala Muppanar </w:t>
      </w:r>
      <w:r>
        <w:rPr>
          <w:rFonts w:ascii="Arial" w:hAnsi="Arial"/>
        </w:rPr>
        <w:t xml:space="preserve">v. </w:t>
      </w:r>
      <w:r>
        <w:rPr>
          <w:rFonts w:ascii="Arial" w:hAnsi="Arial"/>
          <w:i/>
        </w:rPr>
        <w:t xml:space="preserve">Subramania Aiyar </w:t>
      </w:r>
      <w:r>
        <w:rPr>
          <w:rFonts w:ascii="Arial" w:hAnsi="Arial"/>
        </w:rPr>
        <w:t xml:space="preserve">[(1914) 27 MLJ  253]. In </w:t>
      </w:r>
      <w:r>
        <w:rPr>
          <w:rFonts w:ascii="Arial" w:hAnsi="Arial"/>
          <w:i/>
        </w:rPr>
        <w:t xml:space="preserve">Sankaralinga Nadan </w:t>
      </w:r>
      <w:r>
        <w:rPr>
          <w:rFonts w:ascii="Arial" w:hAnsi="Arial"/>
        </w:rPr>
        <w:t xml:space="preserve">v. </w:t>
      </w:r>
      <w:r>
        <w:rPr>
          <w:rFonts w:ascii="Arial" w:hAnsi="Arial"/>
          <w:i/>
        </w:rPr>
        <w:t xml:space="preserve">Raja Rajeswara Dorai </w:t>
      </w:r>
      <w:r>
        <w:rPr>
          <w:rFonts w:ascii="Arial" w:hAnsi="Arial"/>
        </w:rPr>
        <w:t>[(1908) L.R. 35 I.A. 176], it was h</w:t>
      </w:r>
      <w:r>
        <w:rPr>
          <w:rFonts w:ascii="Arial" w:hAnsi="Arial"/>
        </w:rPr>
        <w:t>eld by the Privy Council affirming the judgment of the Madras High Court that a trustee who agreed to admit into the temple persons who were not entitled to worship therein, according to the Agamas and the custom of the temple was guilty of breach of trust</w:t>
      </w:r>
      <w:r>
        <w:rPr>
          <w:rFonts w:ascii="Arial" w:hAnsi="Arial"/>
        </w:rPr>
        <w:t xml:space="preserve">. </w:t>
      </w:r>
      <w:r>
        <w:rPr>
          <w:rFonts w:ascii="Arial" w:hAnsi="Arial"/>
          <w:u w:val="thick"/>
        </w:rPr>
        <w:t>Thus, under</w:t>
      </w:r>
      <w:r>
        <w:rPr>
          <w:rFonts w:ascii="Arial" w:hAnsi="Arial"/>
        </w:rPr>
        <w:t xml:space="preserve"> </w:t>
      </w:r>
      <w:r>
        <w:rPr>
          <w:rFonts w:ascii="Arial" w:hAnsi="Arial"/>
          <w:u w:val="thick"/>
        </w:rPr>
        <w:t>the ceremonial law pertaining to temples, who are</w:t>
      </w:r>
      <w:r>
        <w:rPr>
          <w:rFonts w:ascii="Arial" w:hAnsi="Arial"/>
        </w:rPr>
        <w:t xml:space="preserve"> </w:t>
      </w:r>
      <w:r>
        <w:rPr>
          <w:rFonts w:ascii="Arial" w:hAnsi="Arial"/>
          <w:u w:val="thick"/>
        </w:rPr>
        <w:t>entitled to enter into them for worship and where</w:t>
      </w:r>
      <w:r>
        <w:rPr>
          <w:rFonts w:ascii="Arial" w:hAnsi="Arial"/>
        </w:rPr>
        <w:t xml:space="preserve"> </w:t>
      </w:r>
      <w:r>
        <w:rPr>
          <w:rFonts w:ascii="Arial" w:hAnsi="Arial"/>
          <w:u w:val="thick"/>
        </w:rPr>
        <w:t>they are entitled to stand and worship and how the</w:t>
      </w:r>
      <w:r>
        <w:rPr>
          <w:rFonts w:ascii="Arial" w:hAnsi="Arial"/>
        </w:rPr>
        <w:t xml:space="preserve"> </w:t>
      </w:r>
      <w:r>
        <w:rPr>
          <w:rFonts w:ascii="Arial" w:hAnsi="Arial"/>
          <w:u w:val="thick"/>
        </w:rPr>
        <w:t>worship is to be conducted are all matters of</w:t>
      </w:r>
      <w:r>
        <w:rPr>
          <w:rFonts w:ascii="Arial" w:hAnsi="Arial"/>
        </w:rPr>
        <w:t xml:space="preserve"> </w:t>
      </w:r>
      <w:r>
        <w:rPr>
          <w:rFonts w:ascii="Arial" w:hAnsi="Arial"/>
          <w:u w:val="thick"/>
        </w:rPr>
        <w:t>religion.</w:t>
      </w:r>
      <w:r>
        <w:rPr>
          <w:rFonts w:ascii="Arial" w:hAnsi="Arial"/>
        </w:rPr>
        <w:t xml:space="preserve"> The conclusion is also implicit in </w:t>
      </w:r>
      <w:r>
        <w:rPr>
          <w:rFonts w:ascii="Arial" w:hAnsi="Arial"/>
        </w:rPr>
        <w:t xml:space="preserve">Art. </w:t>
      </w:r>
      <w:r>
        <w:rPr>
          <w:rFonts w:ascii="Arial" w:hAnsi="Arial"/>
          <w:spacing w:val="-3"/>
        </w:rPr>
        <w:t xml:space="preserve">25 </w:t>
      </w:r>
      <w:r>
        <w:rPr>
          <w:rFonts w:ascii="Arial" w:hAnsi="Arial"/>
        </w:rPr>
        <w:t xml:space="preserve">which after declaring that all persons are entitled freely to profess, practice and propagate religion, enacts that this should not affect the operation of any law throwing open Hindu religious institutions of a public character to all classes and </w:t>
      </w:r>
      <w:r>
        <w:rPr>
          <w:rFonts w:ascii="Arial" w:hAnsi="Arial"/>
        </w:rPr>
        <w:t>sections of Hindus. We have dealt with this question at some length in view of the argument of the learned Solicitor-General that exclusion of persons from temple has not been shown to be a matter of  religion with reference to the tenets of Hinduism. We m</w:t>
      </w:r>
      <w:r>
        <w:rPr>
          <w:rFonts w:ascii="Arial" w:hAnsi="Arial"/>
        </w:rPr>
        <w:t>ust, accordingly hold that if the rights of the appellants have to be determined solely with reference to Art 26(b), then section 3 of Act V of 1947, should be held to be bad as infringing</w:t>
      </w:r>
      <w:r>
        <w:rPr>
          <w:rFonts w:ascii="Arial" w:hAnsi="Arial"/>
          <w:spacing w:val="-27"/>
        </w:rPr>
        <w:t xml:space="preserve"> </w:t>
      </w:r>
      <w:r>
        <w:rPr>
          <w:rFonts w:ascii="Arial" w:hAnsi="Arial"/>
        </w:rPr>
        <w:t>it.‖</w:t>
      </w:r>
    </w:p>
    <w:p w:rsidR="003B2FC0" w:rsidRDefault="00052A49">
      <w:pPr>
        <w:pStyle w:val="BodyText"/>
        <w:spacing w:before="200" w:line="242" w:lineRule="auto"/>
        <w:ind w:left="6046" w:right="1521" w:hanging="514"/>
        <w:rPr>
          <w:rFonts w:ascii="Arial"/>
        </w:rPr>
      </w:pPr>
      <w:r>
        <w:rPr>
          <w:rFonts w:ascii="Arial"/>
        </w:rPr>
        <w:t>(emphasis supplied) (at pp. 910-911)</w:t>
      </w:r>
    </w:p>
    <w:p w:rsidR="003B2FC0" w:rsidRDefault="003B2FC0">
      <w:pPr>
        <w:spacing w:line="242" w:lineRule="auto"/>
        <w:sectPr w:rsidR="003B2FC0">
          <w:headerReference w:type="default" r:id="rId222"/>
          <w:footerReference w:type="default" r:id="rId223"/>
          <w:pgSz w:w="12240" w:h="15840"/>
          <w:pgMar w:top="1360" w:right="1320" w:bottom="1680" w:left="1340" w:header="0" w:footer="1492" w:gutter="0"/>
          <w:pgNumType w:start="20"/>
          <w:cols w:space="720"/>
        </w:sectPr>
      </w:pPr>
    </w:p>
    <w:p w:rsidR="003B2FC0" w:rsidRDefault="00052A49">
      <w:pPr>
        <w:pStyle w:val="BodyText"/>
        <w:spacing w:before="77" w:line="480" w:lineRule="auto"/>
        <w:ind w:left="383" w:right="401"/>
        <w:jc w:val="both"/>
        <w:rPr>
          <w:rFonts w:ascii="Arial"/>
        </w:rPr>
      </w:pPr>
      <w:r>
        <w:rPr>
          <w:rFonts w:ascii="Arial"/>
        </w:rPr>
        <w:t>The important question that then had to be decided was whether denominational institutions were within the reach of Article 25(2)(b). This was answered in the affirmative. It was then stated:</w:t>
      </w:r>
    </w:p>
    <w:p w:rsidR="003B2FC0" w:rsidRDefault="00052A49">
      <w:pPr>
        <w:pStyle w:val="BodyText"/>
        <w:spacing w:before="199"/>
        <w:ind w:left="1518" w:right="1536"/>
        <w:jc w:val="both"/>
        <w:rPr>
          <w:rFonts w:ascii="Arial" w:hAnsi="Arial"/>
        </w:rPr>
      </w:pPr>
      <w:r>
        <w:rPr>
          <w:rFonts w:ascii="Arial" w:hAnsi="Arial"/>
        </w:rPr>
        <w:t>―…… The fact is that though Art. 25(1) dea</w:t>
      </w:r>
      <w:r>
        <w:rPr>
          <w:rFonts w:ascii="Arial" w:hAnsi="Arial"/>
        </w:rPr>
        <w:t>ls with rights of individuals, Art. 25(2) is much wider in its contents and has reference to the rights of communities, and controls both Art. 25(1) and Art. 26(b).</w:t>
      </w:r>
    </w:p>
    <w:p w:rsidR="003B2FC0" w:rsidRDefault="003B2FC0">
      <w:pPr>
        <w:spacing w:before="11"/>
        <w:rPr>
          <w:sz w:val="34"/>
        </w:rPr>
      </w:pPr>
    </w:p>
    <w:p w:rsidR="003B2FC0" w:rsidRDefault="00052A49">
      <w:pPr>
        <w:pStyle w:val="BodyText"/>
        <w:ind w:left="1518" w:right="1538"/>
        <w:jc w:val="both"/>
        <w:rPr>
          <w:rFonts w:ascii="Arial" w:hAnsi="Arial"/>
        </w:rPr>
      </w:pPr>
      <w:r>
        <w:rPr>
          <w:rFonts w:ascii="Arial" w:hAnsi="Arial"/>
        </w:rPr>
        <w:t>The result then is that there are two provisions of equal authority, neither of them being subject to the other. The question is how the apparent conflict between them is to be resolved. The rule of construction is well settled that when there are in an en</w:t>
      </w:r>
      <w:r>
        <w:rPr>
          <w:rFonts w:ascii="Arial" w:hAnsi="Arial"/>
        </w:rPr>
        <w:t>actment two provisions which cannot be reconciled with each other, they should be so interpreted that, if possible, effect could be given to both. This is what is known as the rule of harmonious construction. Applying this rule, if the contention of the ap</w:t>
      </w:r>
      <w:r>
        <w:rPr>
          <w:rFonts w:ascii="Arial" w:hAnsi="Arial"/>
        </w:rPr>
        <w:t>pellants is to be accepted, then Art. 25(2)(b) will become wholly nugatory in its application to denominational temples, though, as stated above, the language of that Article includes them. On the other hand, if the contention of the respondents is accepte</w:t>
      </w:r>
      <w:r>
        <w:rPr>
          <w:rFonts w:ascii="Arial" w:hAnsi="Arial"/>
        </w:rPr>
        <w:t>d, then full effect can be given to Art. 26(b) in all matters of religion, subject only to this that as regards one aspect of  them, entry into a temple for worship, the rights declared under Art. 25(2)(b) will prevail. While, in the former case, Art. 25(2</w:t>
      </w:r>
      <w:r>
        <w:rPr>
          <w:rFonts w:ascii="Arial" w:hAnsi="Arial"/>
        </w:rPr>
        <w:t>)(b) will be put wholly out of operation, in the latter, effect can be given to both that provision and Art. 26(b). We must accordingly hold that Art. 26(b) must be read subject to Art. 25(2)(b).‖</w:t>
      </w:r>
    </w:p>
    <w:p w:rsidR="003B2FC0" w:rsidRDefault="00052A49">
      <w:pPr>
        <w:pStyle w:val="BodyText"/>
        <w:spacing w:before="40"/>
        <w:ind w:left="6046"/>
        <w:rPr>
          <w:rFonts w:ascii="Arial"/>
        </w:rPr>
      </w:pPr>
      <w:r>
        <w:rPr>
          <w:rFonts w:ascii="Arial"/>
        </w:rPr>
        <w:t>(at pp. 917-918)</w:t>
      </w:r>
    </w:p>
    <w:p w:rsidR="003B2FC0" w:rsidRDefault="003B2FC0">
      <w:pPr>
        <w:sectPr w:rsidR="003B2FC0">
          <w:headerReference w:type="default" r:id="rId224"/>
          <w:footerReference w:type="default" r:id="rId225"/>
          <w:pgSz w:w="12240" w:h="15840"/>
          <w:pgMar w:top="1360" w:right="1320" w:bottom="1680" w:left="1340" w:header="0" w:footer="1492" w:gutter="0"/>
          <w:pgNumType w:start="21"/>
          <w:cols w:space="720"/>
        </w:sectPr>
      </w:pPr>
    </w:p>
    <w:p w:rsidR="003B2FC0" w:rsidRDefault="003B2FC0">
      <w:pPr>
        <w:rPr>
          <w:sz w:val="20"/>
        </w:rPr>
      </w:pPr>
    </w:p>
    <w:p w:rsidR="003B2FC0" w:rsidRDefault="00052A49">
      <w:pPr>
        <w:pStyle w:val="BodyText"/>
        <w:spacing w:before="227" w:line="480" w:lineRule="auto"/>
        <w:ind w:left="383" w:right="403"/>
        <w:jc w:val="both"/>
        <w:rPr>
          <w:rFonts w:ascii="Arial"/>
        </w:rPr>
      </w:pPr>
      <w:r>
        <w:rPr>
          <w:rFonts w:ascii="Arial"/>
        </w:rPr>
        <w:t>When there is no general or total exclusion of members of the public from worship in the temple, but exclusion from only certain religious services, it was held:</w:t>
      </w:r>
    </w:p>
    <w:p w:rsidR="003B2FC0" w:rsidRDefault="00052A49">
      <w:pPr>
        <w:pStyle w:val="BodyText"/>
        <w:spacing w:before="202"/>
        <w:ind w:left="1518" w:right="1536"/>
        <w:jc w:val="both"/>
        <w:rPr>
          <w:rFonts w:ascii="Arial" w:hAnsi="Arial"/>
        </w:rPr>
      </w:pPr>
      <w:r>
        <w:rPr>
          <w:rFonts w:ascii="Arial" w:hAnsi="Arial"/>
          <w:spacing w:val="-3"/>
          <w:w w:val="33"/>
        </w:rPr>
        <w:t>―</w:t>
      </w:r>
      <w:r>
        <w:rPr>
          <w:rFonts w:ascii="Arial" w:hAnsi="Arial"/>
          <w:spacing w:val="3"/>
        </w:rPr>
        <w:t>W</w:t>
      </w:r>
      <w:r>
        <w:rPr>
          <w:rFonts w:ascii="Arial" w:hAnsi="Arial"/>
        </w:rPr>
        <w:t>e</w:t>
      </w:r>
      <w:r>
        <w:rPr>
          <w:rFonts w:ascii="Arial" w:hAnsi="Arial"/>
        </w:rPr>
        <w:t xml:space="preserve"> </w:t>
      </w:r>
      <w:r>
        <w:rPr>
          <w:rFonts w:ascii="Arial" w:hAnsi="Arial"/>
          <w:spacing w:val="-27"/>
        </w:rPr>
        <w:t xml:space="preserve"> </w:t>
      </w:r>
      <w:r>
        <w:rPr>
          <w:rFonts w:ascii="Arial" w:hAnsi="Arial"/>
          <w:spacing w:val="-1"/>
        </w:rPr>
        <w:t>ha</w:t>
      </w:r>
      <w:r>
        <w:rPr>
          <w:rFonts w:ascii="Arial" w:hAnsi="Arial"/>
          <w:spacing w:val="-4"/>
        </w:rPr>
        <w:t>v</w:t>
      </w:r>
      <w:r>
        <w:rPr>
          <w:rFonts w:ascii="Arial" w:hAnsi="Arial"/>
        </w:rPr>
        <w:t>e</w:t>
      </w:r>
      <w:r>
        <w:rPr>
          <w:rFonts w:ascii="Arial" w:hAnsi="Arial"/>
        </w:rPr>
        <w:t xml:space="preserve"> </w:t>
      </w:r>
      <w:r>
        <w:rPr>
          <w:rFonts w:ascii="Arial" w:hAnsi="Arial"/>
          <w:spacing w:val="-27"/>
        </w:rPr>
        <w:t xml:space="preserve"> </w:t>
      </w:r>
      <w:r>
        <w:rPr>
          <w:rFonts w:ascii="Arial" w:hAnsi="Arial"/>
          <w:spacing w:val="-1"/>
        </w:rPr>
        <w:t>hel</w:t>
      </w:r>
      <w:r>
        <w:rPr>
          <w:rFonts w:ascii="Arial" w:hAnsi="Arial"/>
        </w:rPr>
        <w:t>d</w:t>
      </w:r>
      <w:r>
        <w:rPr>
          <w:rFonts w:ascii="Arial" w:hAnsi="Arial"/>
        </w:rPr>
        <w:t xml:space="preserve"> </w:t>
      </w:r>
      <w:r>
        <w:rPr>
          <w:rFonts w:ascii="Arial" w:hAnsi="Arial"/>
          <w:spacing w:val="-27"/>
        </w:rPr>
        <w:t xml:space="preserve"> </w:t>
      </w:r>
      <w:r>
        <w:rPr>
          <w:rFonts w:ascii="Arial" w:hAnsi="Arial"/>
        </w:rPr>
        <w:t>t</w:t>
      </w:r>
      <w:r>
        <w:rPr>
          <w:rFonts w:ascii="Arial" w:hAnsi="Arial"/>
          <w:spacing w:val="-1"/>
        </w:rPr>
        <w:t>h</w:t>
      </w:r>
      <w:r>
        <w:rPr>
          <w:rFonts w:ascii="Arial" w:hAnsi="Arial"/>
          <w:spacing w:val="-3"/>
        </w:rPr>
        <w:t>a</w:t>
      </w:r>
      <w:r>
        <w:rPr>
          <w:rFonts w:ascii="Arial" w:hAnsi="Arial"/>
        </w:rPr>
        <w:t>t</w:t>
      </w:r>
      <w:r>
        <w:rPr>
          <w:rFonts w:ascii="Arial" w:hAnsi="Arial"/>
        </w:rPr>
        <w:t xml:space="preserve"> </w:t>
      </w:r>
      <w:r>
        <w:rPr>
          <w:rFonts w:ascii="Arial" w:hAnsi="Arial"/>
          <w:spacing w:val="-26"/>
        </w:rPr>
        <w:t xml:space="preserve"> </w:t>
      </w:r>
      <w:r>
        <w:rPr>
          <w:rFonts w:ascii="Arial" w:hAnsi="Arial"/>
        </w:rPr>
        <w:t>t</w:t>
      </w:r>
      <w:r>
        <w:rPr>
          <w:rFonts w:ascii="Arial" w:hAnsi="Arial"/>
          <w:spacing w:val="-1"/>
        </w:rPr>
        <w:t>h</w:t>
      </w:r>
      <w:r>
        <w:rPr>
          <w:rFonts w:ascii="Arial" w:hAnsi="Arial"/>
        </w:rPr>
        <w:t>e</w:t>
      </w:r>
      <w:r>
        <w:rPr>
          <w:rFonts w:ascii="Arial" w:hAnsi="Arial"/>
        </w:rPr>
        <w:t xml:space="preserve"> </w:t>
      </w:r>
      <w:r>
        <w:rPr>
          <w:rFonts w:ascii="Arial" w:hAnsi="Arial"/>
          <w:spacing w:val="-30"/>
        </w:rPr>
        <w:t xml:space="preserve"> </w:t>
      </w:r>
      <w:r>
        <w:rPr>
          <w:rFonts w:ascii="Arial" w:hAnsi="Arial"/>
        </w:rPr>
        <w:t>rig</w:t>
      </w:r>
      <w:r>
        <w:rPr>
          <w:rFonts w:ascii="Arial" w:hAnsi="Arial"/>
          <w:spacing w:val="-3"/>
        </w:rPr>
        <w:t>h</w:t>
      </w:r>
      <w:r>
        <w:rPr>
          <w:rFonts w:ascii="Arial" w:hAnsi="Arial"/>
        </w:rPr>
        <w:t>t</w:t>
      </w:r>
      <w:r>
        <w:rPr>
          <w:rFonts w:ascii="Arial" w:hAnsi="Arial"/>
        </w:rPr>
        <w:t xml:space="preserve"> </w:t>
      </w:r>
      <w:r>
        <w:rPr>
          <w:rFonts w:ascii="Arial" w:hAnsi="Arial"/>
          <w:spacing w:val="-26"/>
        </w:rPr>
        <w:t xml:space="preserve"> </w:t>
      </w:r>
      <w:r>
        <w:rPr>
          <w:rFonts w:ascii="Arial" w:hAnsi="Arial"/>
          <w:spacing w:val="-1"/>
        </w:rPr>
        <w:t>o</w:t>
      </w:r>
      <w:r>
        <w:rPr>
          <w:rFonts w:ascii="Arial" w:hAnsi="Arial"/>
        </w:rPr>
        <w:t>f</w:t>
      </w:r>
      <w:r>
        <w:rPr>
          <w:rFonts w:ascii="Arial" w:hAnsi="Arial"/>
        </w:rPr>
        <w:t xml:space="preserve"> </w:t>
      </w:r>
      <w:r>
        <w:rPr>
          <w:rFonts w:ascii="Arial" w:hAnsi="Arial"/>
          <w:spacing w:val="-26"/>
        </w:rPr>
        <w:t xml:space="preserve"> </w:t>
      </w:r>
      <w:r>
        <w:rPr>
          <w:rFonts w:ascii="Arial" w:hAnsi="Arial"/>
        </w:rPr>
        <w:t>a</w:t>
      </w:r>
      <w:r>
        <w:rPr>
          <w:rFonts w:ascii="Arial" w:hAnsi="Arial"/>
        </w:rPr>
        <w:t xml:space="preserve"> </w:t>
      </w:r>
      <w:r>
        <w:rPr>
          <w:rFonts w:ascii="Arial" w:hAnsi="Arial"/>
          <w:spacing w:val="-29"/>
        </w:rPr>
        <w:t xml:space="preserve"> </w:t>
      </w:r>
      <w:r>
        <w:rPr>
          <w:rFonts w:ascii="Arial" w:hAnsi="Arial"/>
          <w:spacing w:val="-1"/>
        </w:rPr>
        <w:t>d</w:t>
      </w:r>
      <w:r>
        <w:rPr>
          <w:rFonts w:ascii="Arial" w:hAnsi="Arial"/>
          <w:spacing w:val="-3"/>
        </w:rPr>
        <w:t>e</w:t>
      </w:r>
      <w:r>
        <w:rPr>
          <w:rFonts w:ascii="Arial" w:hAnsi="Arial"/>
          <w:spacing w:val="-1"/>
        </w:rPr>
        <w:t>no</w:t>
      </w:r>
      <w:r>
        <w:rPr>
          <w:rFonts w:ascii="Arial" w:hAnsi="Arial"/>
          <w:spacing w:val="-2"/>
        </w:rPr>
        <w:t>m</w:t>
      </w:r>
      <w:r>
        <w:rPr>
          <w:rFonts w:ascii="Arial" w:hAnsi="Arial"/>
          <w:spacing w:val="-1"/>
        </w:rPr>
        <w:t>ina</w:t>
      </w:r>
      <w:r>
        <w:rPr>
          <w:rFonts w:ascii="Arial" w:hAnsi="Arial"/>
        </w:rPr>
        <w:t>t</w:t>
      </w:r>
      <w:r>
        <w:rPr>
          <w:rFonts w:ascii="Arial" w:hAnsi="Arial"/>
          <w:spacing w:val="-1"/>
        </w:rPr>
        <w:t>io</w:t>
      </w:r>
      <w:r>
        <w:rPr>
          <w:rFonts w:ascii="Arial" w:hAnsi="Arial"/>
        </w:rPr>
        <w:t>n</w:t>
      </w:r>
      <w:r>
        <w:rPr>
          <w:rFonts w:ascii="Arial" w:hAnsi="Arial"/>
        </w:rPr>
        <w:t xml:space="preserve"> </w:t>
      </w:r>
      <w:r>
        <w:rPr>
          <w:rFonts w:ascii="Arial" w:hAnsi="Arial"/>
          <w:spacing w:val="-30"/>
        </w:rPr>
        <w:t xml:space="preserve"> </w:t>
      </w:r>
      <w:r>
        <w:rPr>
          <w:rFonts w:ascii="Arial" w:hAnsi="Arial"/>
          <w:spacing w:val="-2"/>
        </w:rPr>
        <w:t>t</w:t>
      </w:r>
      <w:r>
        <w:rPr>
          <w:rFonts w:ascii="Arial" w:hAnsi="Arial"/>
        </w:rPr>
        <w:t xml:space="preserve">o </w:t>
      </w:r>
      <w:r>
        <w:rPr>
          <w:rFonts w:ascii="Arial" w:hAnsi="Arial"/>
        </w:rPr>
        <w:t>wholly exclude members of the public from worshipping in the temple, though comprised in Art. 26(b), must yield to the overriding right declared by Art. 25(2)(b) in favour of the public to enter into a temple for worship. But where the right claimed is not</w:t>
      </w:r>
      <w:r>
        <w:rPr>
          <w:rFonts w:ascii="Arial" w:hAnsi="Arial"/>
        </w:rPr>
        <w:t xml:space="preserve"> one of general and total exclusion of the public from worship in the temple at all times but of exclusion from certain religious services, they being limited by the rules of the foundation to  the members of the denomination, then the question is not whet</w:t>
      </w:r>
      <w:r>
        <w:rPr>
          <w:rFonts w:ascii="Arial" w:hAnsi="Arial"/>
        </w:rPr>
        <w:t xml:space="preserve">her Art. 25(2)(b) overrides that right so as extinguish it, but whether it is possible — so to regulate the rights of the persons protected by Art. 25(2)(b) as to give effect to both the rights. If the denominational rights are such that to give effect to </w:t>
      </w:r>
      <w:r>
        <w:rPr>
          <w:rFonts w:ascii="Arial" w:hAnsi="Arial"/>
        </w:rPr>
        <w:t>them would substantially reduce the right conferred by Art. 25(2)(b), then of course, on our conclusion that Art. 25(2)(b) prevails as against Art. 26(b), the denominational rights must vanish. But where that is not the position, and after giving effect to</w:t>
      </w:r>
      <w:r>
        <w:rPr>
          <w:rFonts w:ascii="Arial" w:hAnsi="Arial"/>
        </w:rPr>
        <w:t xml:space="preserve"> the rights of the denomination what is left to the public of the right of worship is something substantial and not merely the husk of it, there is no reason why we should not so construe Art. 25(2)(b) as to give effect to Art. 26(b) and recognise the righ</w:t>
      </w:r>
      <w:r>
        <w:rPr>
          <w:rFonts w:ascii="Arial" w:hAnsi="Arial"/>
        </w:rPr>
        <w:t>ts of the denomination in respect of matters which are strictly denominational, leaving the rights of the public in other respects</w:t>
      </w:r>
      <w:r>
        <w:rPr>
          <w:rFonts w:ascii="Arial" w:hAnsi="Arial"/>
          <w:spacing w:val="-3"/>
        </w:rPr>
        <w:t xml:space="preserve"> </w:t>
      </w:r>
      <w:r>
        <w:rPr>
          <w:rFonts w:ascii="Arial" w:hAnsi="Arial"/>
        </w:rPr>
        <w:t>unaffected.‖</w:t>
      </w:r>
    </w:p>
    <w:p w:rsidR="003B2FC0" w:rsidRDefault="003B2FC0">
      <w:pPr>
        <w:spacing w:before="7"/>
        <w:rPr>
          <w:sz w:val="9"/>
        </w:rPr>
      </w:pPr>
    </w:p>
    <w:p w:rsidR="003B2FC0" w:rsidRDefault="00052A49">
      <w:pPr>
        <w:pStyle w:val="BodyText"/>
        <w:spacing w:before="92"/>
        <w:ind w:left="6046"/>
        <w:rPr>
          <w:rFonts w:ascii="Arial"/>
        </w:rPr>
      </w:pPr>
      <w:r>
        <w:rPr>
          <w:rFonts w:ascii="Arial"/>
        </w:rPr>
        <w:t>(at pp. 919-920)</w:t>
      </w:r>
    </w:p>
    <w:p w:rsidR="003B2FC0" w:rsidRDefault="003B2FC0">
      <w:pPr>
        <w:sectPr w:rsidR="003B2FC0">
          <w:headerReference w:type="default" r:id="rId226"/>
          <w:footerReference w:type="default" r:id="rId227"/>
          <w:pgSz w:w="12240" w:h="15840"/>
          <w:pgMar w:top="1500" w:right="1320" w:bottom="1680" w:left="1340" w:header="0" w:footer="1492" w:gutter="0"/>
          <w:pgNumType w:start="22"/>
          <w:cols w:space="720"/>
        </w:sectPr>
      </w:pPr>
    </w:p>
    <w:p w:rsidR="003B2FC0" w:rsidRDefault="003B2FC0">
      <w:pPr>
        <w:rPr>
          <w:sz w:val="20"/>
        </w:rPr>
      </w:pPr>
    </w:p>
    <w:p w:rsidR="003B2FC0" w:rsidRDefault="00052A49">
      <w:pPr>
        <w:pStyle w:val="ListParagraph"/>
        <w:numPr>
          <w:ilvl w:val="0"/>
          <w:numId w:val="51"/>
        </w:numPr>
        <w:tabs>
          <w:tab w:val="left" w:pos="1234"/>
        </w:tabs>
        <w:spacing w:before="211" w:line="480" w:lineRule="auto"/>
        <w:ind w:right="402" w:firstLine="0"/>
        <w:jc w:val="both"/>
        <w:rPr>
          <w:sz w:val="28"/>
        </w:rPr>
      </w:pPr>
      <w:r>
        <w:rPr>
          <w:sz w:val="28"/>
        </w:rPr>
        <w:t xml:space="preserve">In </w:t>
      </w:r>
      <w:r>
        <w:rPr>
          <w:b/>
          <w:sz w:val="28"/>
        </w:rPr>
        <w:t xml:space="preserve">Durgah Committee, Ajmer and Anr. v. Syed Hussain Ali </w:t>
      </w:r>
      <w:r>
        <w:rPr>
          <w:b/>
          <w:sz w:val="28"/>
        </w:rPr>
        <w:t>a</w:t>
      </w:r>
      <w:r>
        <w:rPr>
          <w:b/>
          <w:spacing w:val="-2"/>
          <w:sz w:val="28"/>
        </w:rPr>
        <w:t>n</w:t>
      </w:r>
      <w:r>
        <w:rPr>
          <w:b/>
          <w:sz w:val="28"/>
        </w:rPr>
        <w:t>d</w:t>
      </w:r>
      <w:r>
        <w:rPr>
          <w:b/>
          <w:spacing w:val="26"/>
          <w:sz w:val="28"/>
        </w:rPr>
        <w:t xml:space="preserve"> </w:t>
      </w:r>
      <w:r>
        <w:rPr>
          <w:b/>
          <w:sz w:val="28"/>
        </w:rPr>
        <w:t>Ors</w:t>
      </w:r>
      <w:r>
        <w:rPr>
          <w:b/>
          <w:spacing w:val="-2"/>
          <w:sz w:val="28"/>
        </w:rPr>
        <w:t>.</w:t>
      </w:r>
      <w:r>
        <w:rPr>
          <w:sz w:val="28"/>
        </w:rPr>
        <w:t>,</w:t>
      </w:r>
      <w:r>
        <w:rPr>
          <w:spacing w:val="28"/>
          <w:sz w:val="28"/>
        </w:rPr>
        <w:t xml:space="preserve"> </w:t>
      </w:r>
      <w:r>
        <w:rPr>
          <w:sz w:val="28"/>
        </w:rPr>
        <w:t>(</w:t>
      </w:r>
      <w:r>
        <w:rPr>
          <w:spacing w:val="-1"/>
          <w:sz w:val="28"/>
        </w:rPr>
        <w:t>196</w:t>
      </w:r>
      <w:r>
        <w:rPr>
          <w:spacing w:val="-2"/>
          <w:sz w:val="28"/>
        </w:rPr>
        <w:t>2</w:t>
      </w:r>
      <w:r>
        <w:rPr>
          <w:sz w:val="28"/>
        </w:rPr>
        <w:t>)</w:t>
      </w:r>
      <w:r>
        <w:rPr>
          <w:spacing w:val="27"/>
          <w:sz w:val="28"/>
        </w:rPr>
        <w:t xml:space="preserve"> </w:t>
      </w:r>
      <w:r>
        <w:rPr>
          <w:sz w:val="28"/>
        </w:rPr>
        <w:t>1</w:t>
      </w:r>
      <w:r>
        <w:rPr>
          <w:spacing w:val="24"/>
          <w:sz w:val="28"/>
        </w:rPr>
        <w:t xml:space="preserve"> </w:t>
      </w:r>
      <w:r>
        <w:rPr>
          <w:sz w:val="28"/>
        </w:rPr>
        <w:t>S</w:t>
      </w:r>
      <w:r>
        <w:rPr>
          <w:spacing w:val="-2"/>
          <w:sz w:val="28"/>
        </w:rPr>
        <w:t>C</w:t>
      </w:r>
      <w:r>
        <w:rPr>
          <w:sz w:val="28"/>
        </w:rPr>
        <w:t>R</w:t>
      </w:r>
      <w:r>
        <w:rPr>
          <w:spacing w:val="26"/>
          <w:sz w:val="28"/>
        </w:rPr>
        <w:t xml:space="preserve"> </w:t>
      </w:r>
      <w:r>
        <w:rPr>
          <w:sz w:val="28"/>
        </w:rPr>
        <w:t>383,</w:t>
      </w:r>
      <w:r>
        <w:rPr>
          <w:spacing w:val="29"/>
          <w:sz w:val="28"/>
        </w:rPr>
        <w:t xml:space="preserve"> </w:t>
      </w:r>
      <w:r>
        <w:rPr>
          <w:w w:val="50"/>
          <w:sz w:val="28"/>
        </w:rPr>
        <w:t>(―</w:t>
      </w:r>
      <w:r>
        <w:rPr>
          <w:b/>
          <w:spacing w:val="-2"/>
          <w:sz w:val="28"/>
        </w:rPr>
        <w:t>Du</w:t>
      </w:r>
      <w:r>
        <w:rPr>
          <w:b/>
          <w:sz w:val="28"/>
        </w:rPr>
        <w:t>r</w:t>
      </w:r>
      <w:r>
        <w:rPr>
          <w:b/>
          <w:spacing w:val="-2"/>
          <w:sz w:val="28"/>
        </w:rPr>
        <w:t>g</w:t>
      </w:r>
      <w:r>
        <w:rPr>
          <w:b/>
          <w:spacing w:val="-3"/>
          <w:sz w:val="28"/>
        </w:rPr>
        <w:t>a</w:t>
      </w:r>
      <w:r>
        <w:rPr>
          <w:b/>
          <w:sz w:val="28"/>
        </w:rPr>
        <w:t>h</w:t>
      </w:r>
      <w:r>
        <w:rPr>
          <w:b/>
          <w:spacing w:val="26"/>
          <w:sz w:val="28"/>
        </w:rPr>
        <w:t xml:space="preserve"> </w:t>
      </w:r>
      <w:r>
        <w:rPr>
          <w:b/>
          <w:spacing w:val="-2"/>
          <w:sz w:val="28"/>
        </w:rPr>
        <w:t>Co</w:t>
      </w:r>
      <w:r>
        <w:rPr>
          <w:b/>
          <w:sz w:val="28"/>
        </w:rPr>
        <w:t>mmitte</w:t>
      </w:r>
      <w:r>
        <w:rPr>
          <w:b/>
          <w:spacing w:val="1"/>
          <w:sz w:val="28"/>
        </w:rPr>
        <w:t>e</w:t>
      </w:r>
      <w:r>
        <w:rPr>
          <w:w w:val="89"/>
          <w:sz w:val="28"/>
        </w:rPr>
        <w:t>‖</w:t>
      </w:r>
      <w:r>
        <w:rPr>
          <w:spacing w:val="-3"/>
          <w:w w:val="89"/>
          <w:sz w:val="28"/>
        </w:rPr>
        <w:t>)</w:t>
      </w:r>
      <w:r>
        <w:rPr>
          <w:sz w:val="28"/>
        </w:rPr>
        <w:t>,</w:t>
      </w:r>
      <w:r>
        <w:rPr>
          <w:spacing w:val="29"/>
          <w:sz w:val="28"/>
        </w:rPr>
        <w:t xml:space="preserve"> </w:t>
      </w:r>
      <w:r>
        <w:rPr>
          <w:sz w:val="28"/>
        </w:rPr>
        <w:t>t</w:t>
      </w:r>
      <w:r>
        <w:rPr>
          <w:spacing w:val="-3"/>
          <w:sz w:val="28"/>
        </w:rPr>
        <w:t>hi</w:t>
      </w:r>
      <w:r>
        <w:rPr>
          <w:sz w:val="28"/>
        </w:rPr>
        <w:t>s</w:t>
      </w:r>
      <w:r>
        <w:rPr>
          <w:spacing w:val="29"/>
          <w:sz w:val="28"/>
        </w:rPr>
        <w:t xml:space="preserve"> </w:t>
      </w:r>
      <w:r>
        <w:rPr>
          <w:spacing w:val="-2"/>
          <w:sz w:val="28"/>
        </w:rPr>
        <w:t>C</w:t>
      </w:r>
      <w:r>
        <w:rPr>
          <w:sz w:val="28"/>
        </w:rPr>
        <w:t>ourt</w:t>
      </w:r>
      <w:r>
        <w:rPr>
          <w:spacing w:val="28"/>
          <w:sz w:val="28"/>
        </w:rPr>
        <w:t xml:space="preserve"> </w:t>
      </w:r>
      <w:r>
        <w:rPr>
          <w:spacing w:val="-4"/>
          <w:sz w:val="28"/>
        </w:rPr>
        <w:t>w</w:t>
      </w:r>
      <w:r>
        <w:rPr>
          <w:sz w:val="28"/>
        </w:rPr>
        <w:t xml:space="preserve">as </w:t>
      </w:r>
      <w:r>
        <w:rPr>
          <w:sz w:val="28"/>
        </w:rPr>
        <w:t xml:space="preserve">faced with a challenge to the vires of the Durgah Khwaja Saheb Act, 1955. The famous tomb of Khwaja Moin-ud-din Chishti of Ajmer was managed by a group of persons who belonged to the Chishti Order of Soofies. The argument that as people from all religious </w:t>
      </w:r>
      <w:r>
        <w:rPr>
          <w:sz w:val="28"/>
        </w:rPr>
        <w:t>faiths came to worship at this shrine, and that, therefore, it could not be said to be a shrine belonging to any particular religious denomination, was negated as</w:t>
      </w:r>
      <w:r>
        <w:rPr>
          <w:spacing w:val="-1"/>
          <w:sz w:val="28"/>
        </w:rPr>
        <w:t xml:space="preserve"> </w:t>
      </w:r>
      <w:r>
        <w:rPr>
          <w:sz w:val="28"/>
        </w:rPr>
        <w:t>follows:</w:t>
      </w:r>
    </w:p>
    <w:p w:rsidR="003B2FC0" w:rsidRDefault="00052A49">
      <w:pPr>
        <w:pStyle w:val="BodyText"/>
        <w:spacing w:before="202"/>
        <w:ind w:left="1518" w:right="1536"/>
        <w:jc w:val="both"/>
        <w:rPr>
          <w:rFonts w:ascii="Arial" w:hAnsi="Arial"/>
        </w:rPr>
      </w:pPr>
      <w:r>
        <w:rPr>
          <w:rFonts w:ascii="Arial" w:hAnsi="Arial"/>
          <w:w w:val="33"/>
        </w:rPr>
        <w:t>―</w:t>
      </w:r>
      <w:r>
        <w:rPr>
          <w:rFonts w:ascii="Arial" w:hAnsi="Arial"/>
        </w:rPr>
        <w:t>……</w:t>
      </w:r>
      <w:r>
        <w:rPr>
          <w:rFonts w:ascii="Arial" w:hAnsi="Arial"/>
          <w:spacing w:val="33"/>
        </w:rPr>
        <w:t xml:space="preserve"> </w:t>
      </w:r>
      <w:r>
        <w:rPr>
          <w:rFonts w:ascii="Arial" w:hAnsi="Arial"/>
          <w:spacing w:val="-2"/>
          <w:u w:val="thick"/>
        </w:rPr>
        <w:t>T</w:t>
      </w:r>
      <w:r>
        <w:rPr>
          <w:rFonts w:ascii="Arial" w:hAnsi="Arial"/>
          <w:u w:val="thick"/>
        </w:rPr>
        <w:t>hus</w:t>
      </w:r>
      <w:r>
        <w:rPr>
          <w:rFonts w:ascii="Arial" w:hAnsi="Arial"/>
          <w:spacing w:val="32"/>
          <w:u w:val="thick"/>
        </w:rPr>
        <w:t xml:space="preserve"> </w:t>
      </w:r>
      <w:r>
        <w:rPr>
          <w:rFonts w:ascii="Arial" w:hAnsi="Arial"/>
          <w:u w:val="thick"/>
        </w:rPr>
        <w:t>on</w:t>
      </w:r>
      <w:r>
        <w:rPr>
          <w:rFonts w:ascii="Arial" w:hAnsi="Arial"/>
          <w:spacing w:val="32"/>
          <w:u w:val="thick"/>
        </w:rPr>
        <w:t xml:space="preserve"> </w:t>
      </w:r>
      <w:r>
        <w:rPr>
          <w:rFonts w:ascii="Arial" w:hAnsi="Arial"/>
          <w:spacing w:val="-2"/>
          <w:u w:val="thick"/>
        </w:rPr>
        <w:t>t</w:t>
      </w:r>
      <w:r>
        <w:rPr>
          <w:rFonts w:ascii="Arial" w:hAnsi="Arial"/>
          <w:u w:val="thick"/>
        </w:rPr>
        <w:t>h</w:t>
      </w:r>
      <w:r>
        <w:rPr>
          <w:rFonts w:ascii="Arial" w:hAnsi="Arial"/>
          <w:spacing w:val="-3"/>
          <w:u w:val="thick"/>
        </w:rPr>
        <w:t>e</w:t>
      </w:r>
      <w:r>
        <w:rPr>
          <w:rFonts w:ascii="Arial" w:hAnsi="Arial"/>
          <w:u w:val="thick"/>
        </w:rPr>
        <w:t>oret</w:t>
      </w:r>
      <w:r>
        <w:rPr>
          <w:rFonts w:ascii="Arial" w:hAnsi="Arial"/>
          <w:spacing w:val="-3"/>
          <w:u w:val="thick"/>
        </w:rPr>
        <w:t>i</w:t>
      </w:r>
      <w:r>
        <w:rPr>
          <w:rFonts w:ascii="Arial" w:hAnsi="Arial"/>
          <w:u w:val="thick"/>
        </w:rPr>
        <w:t>cal</w:t>
      </w:r>
      <w:r>
        <w:rPr>
          <w:rFonts w:ascii="Arial" w:hAnsi="Arial"/>
          <w:spacing w:val="32"/>
          <w:u w:val="thick"/>
        </w:rPr>
        <w:t xml:space="preserve"> </w:t>
      </w:r>
      <w:r>
        <w:rPr>
          <w:rFonts w:ascii="Arial" w:hAnsi="Arial"/>
          <w:u w:val="thick"/>
        </w:rPr>
        <w:t>co</w:t>
      </w:r>
      <w:r>
        <w:rPr>
          <w:rFonts w:ascii="Arial" w:hAnsi="Arial"/>
          <w:spacing w:val="-3"/>
          <w:u w:val="thick"/>
        </w:rPr>
        <w:t>n</w:t>
      </w:r>
      <w:r>
        <w:rPr>
          <w:rFonts w:ascii="Arial" w:hAnsi="Arial"/>
          <w:u w:val="thick"/>
        </w:rPr>
        <w:t>sid</w:t>
      </w:r>
      <w:r>
        <w:rPr>
          <w:rFonts w:ascii="Arial" w:hAnsi="Arial"/>
          <w:spacing w:val="-3"/>
          <w:u w:val="thick"/>
        </w:rPr>
        <w:t>e</w:t>
      </w:r>
      <w:r>
        <w:rPr>
          <w:rFonts w:ascii="Arial" w:hAnsi="Arial"/>
          <w:u w:val="thick"/>
        </w:rPr>
        <w:t>rat</w:t>
      </w:r>
      <w:r>
        <w:rPr>
          <w:rFonts w:ascii="Arial" w:hAnsi="Arial"/>
          <w:spacing w:val="-3"/>
          <w:u w:val="thick"/>
        </w:rPr>
        <w:t>i</w:t>
      </w:r>
      <w:r>
        <w:rPr>
          <w:rFonts w:ascii="Arial" w:hAnsi="Arial"/>
          <w:u w:val="thick"/>
        </w:rPr>
        <w:t>ons</w:t>
      </w:r>
      <w:r>
        <w:rPr>
          <w:rFonts w:ascii="Arial" w:hAnsi="Arial"/>
          <w:spacing w:val="32"/>
          <w:u w:val="thick"/>
        </w:rPr>
        <w:t xml:space="preserve"> </w:t>
      </w:r>
      <w:r>
        <w:rPr>
          <w:rFonts w:ascii="Arial" w:hAnsi="Arial"/>
          <w:u w:val="thick"/>
        </w:rPr>
        <w:t>it</w:t>
      </w:r>
      <w:r>
        <w:rPr>
          <w:rFonts w:ascii="Arial" w:hAnsi="Arial"/>
          <w:spacing w:val="33"/>
          <w:u w:val="thick"/>
        </w:rPr>
        <w:t xml:space="preserve"> </w:t>
      </w:r>
      <w:r>
        <w:rPr>
          <w:rFonts w:ascii="Arial" w:hAnsi="Arial"/>
          <w:spacing w:val="-2"/>
          <w:u w:val="thick"/>
        </w:rPr>
        <w:t>m</w:t>
      </w:r>
      <w:r>
        <w:rPr>
          <w:rFonts w:ascii="Arial" w:hAnsi="Arial"/>
          <w:u w:val="thick"/>
        </w:rPr>
        <w:t>ay</w:t>
      </w:r>
      <w:r>
        <w:rPr>
          <w:rFonts w:ascii="Arial" w:hAnsi="Arial"/>
          <w:spacing w:val="28"/>
          <w:u w:val="thick"/>
        </w:rPr>
        <w:t xml:space="preserve"> </w:t>
      </w:r>
      <w:r>
        <w:rPr>
          <w:rFonts w:ascii="Arial" w:hAnsi="Arial"/>
          <w:u w:val="thick"/>
        </w:rPr>
        <w:t>not</w:t>
      </w:r>
      <w:r>
        <w:rPr>
          <w:rFonts w:ascii="Arial" w:hAnsi="Arial"/>
        </w:rPr>
        <w:t xml:space="preserve"> </w:t>
      </w:r>
      <w:r>
        <w:rPr>
          <w:rFonts w:ascii="Arial" w:hAnsi="Arial"/>
          <w:u w:val="thick"/>
        </w:rPr>
        <w:t>be easy to hold that the followers</w:t>
      </w:r>
      <w:r>
        <w:rPr>
          <w:rFonts w:ascii="Arial" w:hAnsi="Arial"/>
          <w:u w:val="thick"/>
        </w:rPr>
        <w:t xml:space="preserve"> and devotees of</w:t>
      </w:r>
      <w:r>
        <w:rPr>
          <w:rFonts w:ascii="Arial" w:hAnsi="Arial"/>
        </w:rPr>
        <w:t xml:space="preserve"> </w:t>
      </w:r>
      <w:r>
        <w:rPr>
          <w:rFonts w:ascii="Arial" w:hAnsi="Arial"/>
          <w:u w:val="thick"/>
        </w:rPr>
        <w:t>the saint who visit the Durgah and treat it as a place</w:t>
      </w:r>
      <w:r>
        <w:rPr>
          <w:rFonts w:ascii="Arial" w:hAnsi="Arial"/>
        </w:rPr>
        <w:t xml:space="preserve"> </w:t>
      </w:r>
      <w:r>
        <w:rPr>
          <w:rFonts w:ascii="Arial" w:hAnsi="Arial"/>
          <w:u w:val="thick"/>
        </w:rPr>
        <w:t>of pilgrimage can be regarded as constituting a</w:t>
      </w:r>
      <w:r>
        <w:rPr>
          <w:rFonts w:ascii="Arial" w:hAnsi="Arial"/>
        </w:rPr>
        <w:t xml:space="preserve"> </w:t>
      </w:r>
      <w:r>
        <w:rPr>
          <w:rFonts w:ascii="Arial" w:hAnsi="Arial"/>
          <w:u w:val="thick"/>
        </w:rPr>
        <w:t>religious denomination or any section thereof.</w:t>
      </w:r>
      <w:r>
        <w:rPr>
          <w:rFonts w:ascii="Arial" w:hAnsi="Arial"/>
        </w:rPr>
        <w:t xml:space="preserve"> However, for the purpose of the present appeal we propose to deal with the dispute betwee</w:t>
      </w:r>
      <w:r>
        <w:rPr>
          <w:rFonts w:ascii="Arial" w:hAnsi="Arial"/>
        </w:rPr>
        <w:t xml:space="preserve">n the parties on the basis that the Chishtia sect whom the respondents purport to represent and on whose behalf — (as well as their own) — they seek to challenge the </w:t>
      </w:r>
      <w:r>
        <w:rPr>
          <w:rFonts w:ascii="Arial" w:hAnsi="Arial"/>
          <w:i/>
        </w:rPr>
        <w:t xml:space="preserve">vires </w:t>
      </w:r>
      <w:r>
        <w:rPr>
          <w:rFonts w:ascii="Arial" w:hAnsi="Arial"/>
        </w:rPr>
        <w:t>of the Act is a section or a religious denomination. This position appears to have been assumed in the High Court and we do not propose to make any departure in that behalf in dealing with the present</w:t>
      </w:r>
      <w:r>
        <w:rPr>
          <w:rFonts w:ascii="Arial" w:hAnsi="Arial"/>
          <w:spacing w:val="-9"/>
        </w:rPr>
        <w:t xml:space="preserve"> </w:t>
      </w:r>
      <w:r>
        <w:rPr>
          <w:rFonts w:ascii="Arial" w:hAnsi="Arial"/>
        </w:rPr>
        <w:t>appeal.‖</w:t>
      </w:r>
    </w:p>
    <w:p w:rsidR="003B2FC0" w:rsidRDefault="00052A49">
      <w:pPr>
        <w:pStyle w:val="BodyText"/>
        <w:spacing w:before="1" w:line="322" w:lineRule="exact"/>
        <w:ind w:right="1540"/>
        <w:jc w:val="right"/>
        <w:rPr>
          <w:rFonts w:ascii="Arial"/>
        </w:rPr>
      </w:pPr>
      <w:r>
        <w:rPr>
          <w:rFonts w:ascii="Arial"/>
        </w:rPr>
        <w:t>(emphasis</w:t>
      </w:r>
      <w:r>
        <w:rPr>
          <w:rFonts w:ascii="Arial"/>
          <w:spacing w:val="-5"/>
        </w:rPr>
        <w:t xml:space="preserve"> </w:t>
      </w:r>
      <w:r>
        <w:rPr>
          <w:rFonts w:ascii="Arial"/>
        </w:rPr>
        <w:t>supplied)</w:t>
      </w:r>
    </w:p>
    <w:p w:rsidR="003B2FC0" w:rsidRDefault="00052A49">
      <w:pPr>
        <w:pStyle w:val="BodyText"/>
        <w:ind w:right="1537"/>
        <w:jc w:val="right"/>
        <w:rPr>
          <w:rFonts w:ascii="Arial"/>
        </w:rPr>
      </w:pPr>
      <w:r>
        <w:rPr>
          <w:rFonts w:ascii="Arial"/>
        </w:rPr>
        <w:t>(at p.</w:t>
      </w:r>
      <w:r>
        <w:rPr>
          <w:rFonts w:ascii="Arial"/>
          <w:spacing w:val="1"/>
        </w:rPr>
        <w:t xml:space="preserve"> </w:t>
      </w:r>
      <w:r>
        <w:rPr>
          <w:rFonts w:ascii="Arial"/>
        </w:rPr>
        <w:t>401)</w:t>
      </w:r>
    </w:p>
    <w:p w:rsidR="003B2FC0" w:rsidRDefault="003B2FC0">
      <w:pPr>
        <w:jc w:val="right"/>
        <w:sectPr w:rsidR="003B2FC0">
          <w:headerReference w:type="default" r:id="rId228"/>
          <w:footerReference w:type="default" r:id="rId229"/>
          <w:pgSz w:w="12240" w:h="15840"/>
          <w:pgMar w:top="1500" w:right="1320" w:bottom="1680" w:left="1340" w:header="0" w:footer="1492" w:gutter="0"/>
          <w:pgNumType w:start="23"/>
          <w:cols w:space="720"/>
        </w:sectPr>
      </w:pPr>
    </w:p>
    <w:p w:rsidR="003B2FC0" w:rsidRDefault="00052A49">
      <w:pPr>
        <w:pStyle w:val="ListParagraph"/>
        <w:numPr>
          <w:ilvl w:val="0"/>
          <w:numId w:val="51"/>
        </w:numPr>
        <w:tabs>
          <w:tab w:val="left" w:pos="1234"/>
        </w:tabs>
        <w:spacing w:before="77" w:line="480" w:lineRule="auto"/>
        <w:ind w:right="402" w:firstLine="0"/>
        <w:jc w:val="both"/>
        <w:rPr>
          <w:sz w:val="28"/>
        </w:rPr>
      </w:pPr>
      <w:r>
        <w:rPr>
          <w:sz w:val="28"/>
        </w:rPr>
        <w:t xml:space="preserve">The judgment in </w:t>
      </w:r>
      <w:r>
        <w:rPr>
          <w:b/>
          <w:sz w:val="28"/>
        </w:rPr>
        <w:t xml:space="preserve">Shirur Math </w:t>
      </w:r>
      <w:r>
        <w:rPr>
          <w:sz w:val="28"/>
        </w:rPr>
        <w:t xml:space="preserve">(supra) was followed, as was </w:t>
      </w:r>
      <w:r>
        <w:rPr>
          <w:b/>
          <w:sz w:val="28"/>
        </w:rPr>
        <w:t xml:space="preserve">Sri Venkataramana Devaru </w:t>
      </w:r>
      <w:r>
        <w:rPr>
          <w:sz w:val="28"/>
        </w:rPr>
        <w:t>(supra), for the determining tests of what would constitute a ―religious denomination‖ and what could be said to be essential and integral parts of r</w:t>
      </w:r>
      <w:r>
        <w:rPr>
          <w:sz w:val="28"/>
        </w:rPr>
        <w:t xml:space="preserve">eligion as opposed to purely secular practices. An important sentence was added to what has already been laid down in these </w:t>
      </w:r>
      <w:r>
        <w:rPr>
          <w:spacing w:val="-2"/>
          <w:sz w:val="28"/>
        </w:rPr>
        <w:t xml:space="preserve">two </w:t>
      </w:r>
      <w:r>
        <w:rPr>
          <w:sz w:val="28"/>
        </w:rPr>
        <w:t>judgments:</w:t>
      </w:r>
    </w:p>
    <w:p w:rsidR="003B2FC0" w:rsidRDefault="00052A49">
      <w:pPr>
        <w:pStyle w:val="BodyText"/>
        <w:spacing w:before="200"/>
        <w:ind w:left="1518" w:right="1537"/>
        <w:jc w:val="both"/>
        <w:rPr>
          <w:rFonts w:ascii="Arial" w:hAnsi="Arial"/>
        </w:rPr>
      </w:pPr>
      <w:r>
        <w:rPr>
          <w:rFonts w:ascii="Arial" w:hAnsi="Arial"/>
        </w:rPr>
        <w:t>―…… Similarly, even practices, though</w:t>
      </w:r>
      <w:r>
        <w:rPr>
          <w:rFonts w:ascii="Arial" w:hAnsi="Arial"/>
          <w:spacing w:val="55"/>
        </w:rPr>
        <w:t xml:space="preserve"> </w:t>
      </w:r>
      <w:r>
        <w:rPr>
          <w:rFonts w:ascii="Arial" w:hAnsi="Arial"/>
        </w:rPr>
        <w:t>religious, may have sprung from merely superstitious beliefs and may in that se</w:t>
      </w:r>
      <w:r>
        <w:rPr>
          <w:rFonts w:ascii="Arial" w:hAnsi="Arial"/>
        </w:rPr>
        <w:t>nse be extraneous and unessential accretions to religion itself. ……‖</w:t>
      </w:r>
    </w:p>
    <w:p w:rsidR="003B2FC0" w:rsidRDefault="00052A49">
      <w:pPr>
        <w:pStyle w:val="BodyText"/>
        <w:spacing w:before="200"/>
        <w:ind w:left="6761"/>
        <w:rPr>
          <w:rFonts w:ascii="Arial"/>
        </w:rPr>
      </w:pPr>
      <w:r>
        <w:rPr>
          <w:rFonts w:ascii="Arial"/>
        </w:rPr>
        <w:t>(at p. 412)</w:t>
      </w:r>
    </w:p>
    <w:p w:rsidR="003B2FC0" w:rsidRDefault="003B2FC0">
      <w:pPr>
        <w:rPr>
          <w:sz w:val="44"/>
        </w:rPr>
      </w:pPr>
    </w:p>
    <w:p w:rsidR="003B2FC0" w:rsidRDefault="00052A49">
      <w:pPr>
        <w:pStyle w:val="ListParagraph"/>
        <w:numPr>
          <w:ilvl w:val="0"/>
          <w:numId w:val="51"/>
        </w:numPr>
        <w:tabs>
          <w:tab w:val="left" w:pos="1234"/>
        </w:tabs>
        <w:spacing w:line="480" w:lineRule="auto"/>
        <w:ind w:right="402" w:firstLine="0"/>
        <w:jc w:val="both"/>
        <w:rPr>
          <w:sz w:val="28"/>
        </w:rPr>
      </w:pPr>
      <w:r>
        <w:rPr>
          <w:sz w:val="28"/>
        </w:rPr>
        <w:t xml:space="preserve">In </w:t>
      </w:r>
      <w:r>
        <w:rPr>
          <w:b/>
          <w:sz w:val="28"/>
        </w:rPr>
        <w:t>Sardar Syedna Taher Saifuddin Saheb v. State of Bombay</w:t>
      </w:r>
      <w:r>
        <w:rPr>
          <w:sz w:val="28"/>
        </w:rPr>
        <w:t xml:space="preserve">, 1962 Supp. (2) SCR 496, this Court struck down the Bombay Prevention of Excommunication Act, 1949, with Chief Justice Sinha dissenting. Though the learned Chief Justice‘s judgment is a dissenting judgment, some of the principles laid down by the learned </w:t>
      </w:r>
      <w:r>
        <w:rPr>
          <w:sz w:val="28"/>
        </w:rPr>
        <w:t>Chief Justice, not dissented from by the majority judgment, are apposite and are, therefore, set out</w:t>
      </w:r>
      <w:r>
        <w:rPr>
          <w:spacing w:val="-7"/>
          <w:sz w:val="28"/>
        </w:rPr>
        <w:t xml:space="preserve"> </w:t>
      </w:r>
      <w:r>
        <w:rPr>
          <w:sz w:val="28"/>
        </w:rPr>
        <w:t>hereunder:-</w:t>
      </w:r>
    </w:p>
    <w:p w:rsidR="003B2FC0" w:rsidRDefault="00052A49">
      <w:pPr>
        <w:pStyle w:val="BodyText"/>
        <w:spacing w:before="200"/>
        <w:ind w:left="1518" w:right="1537"/>
        <w:jc w:val="both"/>
        <w:rPr>
          <w:rFonts w:ascii="Arial" w:hAnsi="Arial"/>
        </w:rPr>
      </w:pPr>
      <w:r>
        <w:rPr>
          <w:rFonts w:ascii="Arial" w:hAnsi="Arial"/>
        </w:rPr>
        <w:t>―…… It is noteworthy that the right guaranteed by Art. 25 is an individual right as distinguished from the right of an organised body like a religious denomination</w:t>
      </w:r>
      <w:r>
        <w:rPr>
          <w:rFonts w:ascii="Arial" w:hAnsi="Arial"/>
          <w:spacing w:val="49"/>
        </w:rPr>
        <w:t xml:space="preserve"> </w:t>
      </w:r>
      <w:r>
        <w:rPr>
          <w:rFonts w:ascii="Arial" w:hAnsi="Arial"/>
        </w:rPr>
        <w:t>or</w:t>
      </w:r>
      <w:r>
        <w:rPr>
          <w:rFonts w:ascii="Arial" w:hAnsi="Arial"/>
          <w:spacing w:val="49"/>
        </w:rPr>
        <w:t xml:space="preserve"> </w:t>
      </w:r>
      <w:r>
        <w:rPr>
          <w:rFonts w:ascii="Arial" w:hAnsi="Arial"/>
        </w:rPr>
        <w:t>any</w:t>
      </w:r>
      <w:r>
        <w:rPr>
          <w:rFonts w:ascii="Arial" w:hAnsi="Arial"/>
          <w:spacing w:val="48"/>
        </w:rPr>
        <w:t xml:space="preserve"> </w:t>
      </w:r>
      <w:r>
        <w:rPr>
          <w:rFonts w:ascii="Arial" w:hAnsi="Arial"/>
        </w:rPr>
        <w:t>section</w:t>
      </w:r>
      <w:r>
        <w:rPr>
          <w:rFonts w:ascii="Arial" w:hAnsi="Arial"/>
          <w:spacing w:val="49"/>
        </w:rPr>
        <w:t xml:space="preserve"> </w:t>
      </w:r>
      <w:r>
        <w:rPr>
          <w:rFonts w:ascii="Arial" w:hAnsi="Arial"/>
        </w:rPr>
        <w:t>thereof,</w:t>
      </w:r>
      <w:r>
        <w:rPr>
          <w:rFonts w:ascii="Arial" w:hAnsi="Arial"/>
          <w:spacing w:val="51"/>
        </w:rPr>
        <w:t xml:space="preserve"> </w:t>
      </w:r>
      <w:r>
        <w:rPr>
          <w:rFonts w:ascii="Arial" w:hAnsi="Arial"/>
        </w:rPr>
        <w:t>dealt</w:t>
      </w:r>
      <w:r>
        <w:rPr>
          <w:rFonts w:ascii="Arial" w:hAnsi="Arial"/>
          <w:spacing w:val="50"/>
        </w:rPr>
        <w:t xml:space="preserve"> </w:t>
      </w:r>
      <w:r>
        <w:rPr>
          <w:rFonts w:ascii="Arial" w:hAnsi="Arial"/>
        </w:rPr>
        <w:t>with</w:t>
      </w:r>
      <w:r>
        <w:rPr>
          <w:rFonts w:ascii="Arial" w:hAnsi="Arial"/>
          <w:spacing w:val="51"/>
        </w:rPr>
        <w:t xml:space="preserve"> </w:t>
      </w:r>
      <w:r>
        <w:rPr>
          <w:rFonts w:ascii="Arial" w:hAnsi="Arial"/>
        </w:rPr>
        <w:t>by</w:t>
      </w:r>
    </w:p>
    <w:p w:rsidR="003B2FC0" w:rsidRDefault="003B2FC0">
      <w:pPr>
        <w:jc w:val="both"/>
        <w:sectPr w:rsidR="003B2FC0">
          <w:headerReference w:type="default" r:id="rId230"/>
          <w:footerReference w:type="default" r:id="rId231"/>
          <w:pgSz w:w="12240" w:h="15840"/>
          <w:pgMar w:top="1360" w:right="1320" w:bottom="1680" w:left="1340" w:header="0" w:footer="1492" w:gutter="0"/>
          <w:pgNumType w:start="24"/>
          <w:cols w:space="720"/>
        </w:sectPr>
      </w:pPr>
    </w:p>
    <w:p w:rsidR="003B2FC0" w:rsidRDefault="00052A49">
      <w:pPr>
        <w:pStyle w:val="BodyText"/>
        <w:tabs>
          <w:tab w:val="left" w:leader="dot" w:pos="7556"/>
        </w:tabs>
        <w:spacing w:before="77"/>
        <w:ind w:left="1518" w:right="1540"/>
        <w:jc w:val="both"/>
        <w:rPr>
          <w:rFonts w:ascii="Arial"/>
        </w:rPr>
      </w:pPr>
      <w:r>
        <w:rPr>
          <w:rFonts w:ascii="Arial"/>
        </w:rPr>
        <w:t xml:space="preserve">Art. 26. </w:t>
      </w:r>
      <w:r>
        <w:rPr>
          <w:rFonts w:ascii="Arial"/>
          <w:u w:val="thick"/>
        </w:rPr>
        <w:t>Hence,</w:t>
      </w:r>
      <w:r>
        <w:rPr>
          <w:rFonts w:ascii="Arial"/>
          <w:u w:val="thick"/>
        </w:rPr>
        <w:t xml:space="preserve"> every member of the community has</w:t>
      </w:r>
      <w:r>
        <w:rPr>
          <w:rFonts w:ascii="Arial"/>
        </w:rPr>
        <w:t xml:space="preserve"> </w:t>
      </w:r>
      <w:r>
        <w:rPr>
          <w:rFonts w:ascii="Arial"/>
          <w:u w:val="thick"/>
        </w:rPr>
        <w:t>the right, so long as he does not in any way interfere</w:t>
      </w:r>
      <w:r>
        <w:rPr>
          <w:rFonts w:ascii="Arial"/>
        </w:rPr>
        <w:t xml:space="preserve"> </w:t>
      </w:r>
      <w:r>
        <w:rPr>
          <w:rFonts w:ascii="Arial"/>
          <w:u w:val="thick"/>
        </w:rPr>
        <w:t>with the corresponding rights of others, to profess,</w:t>
      </w:r>
      <w:r>
        <w:rPr>
          <w:rFonts w:ascii="Arial"/>
        </w:rPr>
        <w:t xml:space="preserve"> </w:t>
      </w:r>
      <w:r>
        <w:rPr>
          <w:rFonts w:ascii="Arial"/>
          <w:u w:val="thick"/>
        </w:rPr>
        <w:t>practice and propagate his religion</w:t>
      </w:r>
      <w:r>
        <w:rPr>
          <w:rFonts w:ascii="Arial"/>
        </w:rPr>
        <w:t xml:space="preserve">, and everyone is guaranteed his freedom </w:t>
      </w:r>
      <w:r>
        <w:rPr>
          <w:rFonts w:ascii="Arial"/>
          <w:spacing w:val="13"/>
        </w:rPr>
        <w:t xml:space="preserve"> </w:t>
      </w:r>
      <w:r>
        <w:rPr>
          <w:rFonts w:ascii="Arial"/>
        </w:rPr>
        <w:t>of</w:t>
      </w:r>
      <w:r>
        <w:rPr>
          <w:rFonts w:ascii="Arial"/>
          <w:spacing w:val="32"/>
        </w:rPr>
        <w:t xml:space="preserve"> </w:t>
      </w:r>
      <w:r>
        <w:rPr>
          <w:rFonts w:ascii="Arial"/>
        </w:rPr>
        <w:t>conscience.</w:t>
      </w:r>
      <w:r>
        <w:rPr>
          <w:rFonts w:ascii="Arial"/>
        </w:rPr>
        <w:tab/>
      </w:r>
      <w:r>
        <w:rPr>
          <w:rFonts w:ascii="Arial"/>
          <w:spacing w:val="-9"/>
        </w:rPr>
        <w:t>The</w:t>
      </w:r>
    </w:p>
    <w:p w:rsidR="003B2FC0" w:rsidRDefault="00052A49">
      <w:pPr>
        <w:pStyle w:val="BodyText"/>
        <w:ind w:left="1518" w:right="1536"/>
        <w:jc w:val="both"/>
        <w:rPr>
          <w:rFonts w:ascii="Arial"/>
        </w:rPr>
      </w:pPr>
      <w:r>
        <w:rPr>
          <w:rFonts w:ascii="Arial"/>
        </w:rPr>
        <w:t xml:space="preserve">Constitution has left every person free in the matter of his relation to his Creator, if he believes in one. It is, thus, clear that a person is left completely free to worship God according to the dictates of his conscience, and that his right to worship </w:t>
      </w:r>
      <w:r>
        <w:rPr>
          <w:rFonts w:ascii="Arial"/>
        </w:rPr>
        <w:t>as he pleased is unfettered so long as it does not come into conflict with any restraints, as aforesaid, imposed by the State in the interest of public order, etc. A person is not liable to answer for the verity of his religious views, and he cannot be que</w:t>
      </w:r>
      <w:r>
        <w:rPr>
          <w:rFonts w:ascii="Arial"/>
        </w:rPr>
        <w:t>stioned as to his religious beliefs, by the State or by any other person. Thus, though his religious beliefs are entirely his own and his freedom to hold those beliefs is absolute, he has not the absolute right to act in any way he pleased in exercise of h</w:t>
      </w:r>
      <w:r>
        <w:rPr>
          <w:rFonts w:ascii="Arial"/>
        </w:rPr>
        <w:t xml:space="preserve">is religious beliefs. He has been guaranteed the right to practice and propagate his religion, subject to the limitations aforesaid. His right to practice his religion must also be subject to the criminal laws of the country, validly passed with reference </w:t>
      </w:r>
      <w:r>
        <w:rPr>
          <w:rFonts w:ascii="Arial"/>
        </w:rPr>
        <w:t xml:space="preserve">to actions which the legislature has declared to be of a penal character. Laws made by a competent legislature in the interest of public order and the like, restricting religious practices, would come within the regulating power of the State. For example, </w:t>
      </w:r>
      <w:r>
        <w:rPr>
          <w:rFonts w:ascii="Arial"/>
        </w:rPr>
        <w:t>there may be religious practices of sacrifice of human beings, or sacrifice of animals in a way deleterious to the well- being of the community at large. It is open to the State to intervene, by legislation, to restrict or to regulate to the extent of comp</w:t>
      </w:r>
      <w:r>
        <w:rPr>
          <w:rFonts w:ascii="Arial"/>
        </w:rPr>
        <w:t>letely stopping such deleterious practices. It must, therefore, be held that though the freedom of conscience is guaranteed to every individual so that he may hold any beliefs he likes,</w:t>
      </w:r>
      <w:r>
        <w:rPr>
          <w:rFonts w:ascii="Arial"/>
          <w:spacing w:val="26"/>
        </w:rPr>
        <w:t xml:space="preserve"> </w:t>
      </w:r>
      <w:r>
        <w:rPr>
          <w:rFonts w:ascii="Arial"/>
        </w:rPr>
        <w:t>his</w:t>
      </w:r>
      <w:r>
        <w:rPr>
          <w:rFonts w:ascii="Arial"/>
          <w:spacing w:val="28"/>
        </w:rPr>
        <w:t xml:space="preserve"> </w:t>
      </w:r>
      <w:r>
        <w:rPr>
          <w:rFonts w:ascii="Arial"/>
        </w:rPr>
        <w:t>actions</w:t>
      </w:r>
      <w:r>
        <w:rPr>
          <w:rFonts w:ascii="Arial"/>
          <w:spacing w:val="26"/>
        </w:rPr>
        <w:t xml:space="preserve"> </w:t>
      </w:r>
      <w:r>
        <w:rPr>
          <w:rFonts w:ascii="Arial"/>
        </w:rPr>
        <w:t>in</w:t>
      </w:r>
      <w:r>
        <w:rPr>
          <w:rFonts w:ascii="Arial"/>
          <w:spacing w:val="25"/>
        </w:rPr>
        <w:t xml:space="preserve"> </w:t>
      </w:r>
      <w:r>
        <w:rPr>
          <w:rFonts w:ascii="Arial"/>
        </w:rPr>
        <w:t>pursuance</w:t>
      </w:r>
      <w:r>
        <w:rPr>
          <w:rFonts w:ascii="Arial"/>
          <w:spacing w:val="27"/>
        </w:rPr>
        <w:t xml:space="preserve"> </w:t>
      </w:r>
      <w:r>
        <w:rPr>
          <w:rFonts w:ascii="Arial"/>
        </w:rPr>
        <w:t>of</w:t>
      </w:r>
      <w:r>
        <w:rPr>
          <w:rFonts w:ascii="Arial"/>
          <w:spacing w:val="26"/>
        </w:rPr>
        <w:t xml:space="preserve"> </w:t>
      </w:r>
      <w:r>
        <w:rPr>
          <w:rFonts w:ascii="Arial"/>
        </w:rPr>
        <w:t>those</w:t>
      </w:r>
      <w:r>
        <w:rPr>
          <w:rFonts w:ascii="Arial"/>
          <w:spacing w:val="28"/>
        </w:rPr>
        <w:t xml:space="preserve"> </w:t>
      </w:r>
      <w:r>
        <w:rPr>
          <w:rFonts w:ascii="Arial"/>
        </w:rPr>
        <w:t>beliefs</w:t>
      </w:r>
      <w:r>
        <w:rPr>
          <w:rFonts w:ascii="Arial"/>
          <w:spacing w:val="26"/>
        </w:rPr>
        <w:t xml:space="preserve"> </w:t>
      </w:r>
      <w:r>
        <w:rPr>
          <w:rFonts w:ascii="Arial"/>
        </w:rPr>
        <w:t>may</w:t>
      </w:r>
    </w:p>
    <w:p w:rsidR="003B2FC0" w:rsidRDefault="003B2FC0">
      <w:pPr>
        <w:jc w:val="both"/>
        <w:sectPr w:rsidR="003B2FC0">
          <w:headerReference w:type="default" r:id="rId232"/>
          <w:footerReference w:type="default" r:id="rId233"/>
          <w:pgSz w:w="12240" w:h="15840"/>
          <w:pgMar w:top="1360" w:right="1320" w:bottom="1680" w:left="1340" w:header="0" w:footer="1492" w:gutter="0"/>
          <w:pgNumType w:start="25"/>
          <w:cols w:space="720"/>
        </w:sectPr>
      </w:pPr>
    </w:p>
    <w:p w:rsidR="003B2FC0" w:rsidRDefault="00052A49">
      <w:pPr>
        <w:pStyle w:val="BodyText"/>
        <w:spacing w:before="77"/>
        <w:ind w:left="1518" w:right="1537"/>
        <w:jc w:val="both"/>
        <w:rPr>
          <w:rFonts w:ascii="Arial" w:hAnsi="Arial"/>
        </w:rPr>
      </w:pPr>
      <w:r>
        <w:rPr>
          <w:rFonts w:ascii="Arial" w:hAnsi="Arial"/>
        </w:rPr>
        <w:t>be liable to restrictions in the interest of the community at large, as may be determined by common consent, that is to say, by a competent legislature. It was on such humanitarian grounds, and for the purpose of social reform, that s</w:t>
      </w:r>
      <w:r>
        <w:rPr>
          <w:rFonts w:ascii="Arial" w:hAnsi="Arial"/>
        </w:rPr>
        <w:t xml:space="preserve">o called religious practices like immolating a widow at the pyre of her deceased husband, or of dedicating a virgin girl of tender years  to a God to function as     a </w:t>
      </w:r>
      <w:r>
        <w:rPr>
          <w:rFonts w:ascii="Arial" w:hAnsi="Arial"/>
          <w:i/>
        </w:rPr>
        <w:t>devadasi</w:t>
      </w:r>
      <w:r>
        <w:rPr>
          <w:rFonts w:ascii="Arial" w:hAnsi="Arial"/>
        </w:rPr>
        <w:t>, or of ostracizing a person from all social contacts and religious communion on</w:t>
      </w:r>
      <w:r>
        <w:rPr>
          <w:rFonts w:ascii="Arial" w:hAnsi="Arial"/>
        </w:rPr>
        <w:t xml:space="preserve"> account of his having eaten forbidden food or taboo, were stopped by</w:t>
      </w:r>
      <w:r>
        <w:rPr>
          <w:rFonts w:ascii="Arial" w:hAnsi="Arial"/>
          <w:spacing w:val="-4"/>
        </w:rPr>
        <w:t xml:space="preserve"> </w:t>
      </w:r>
      <w:r>
        <w:rPr>
          <w:rFonts w:ascii="Arial" w:hAnsi="Arial"/>
        </w:rPr>
        <w:t>legislation.‖</w:t>
      </w:r>
    </w:p>
    <w:p w:rsidR="003B2FC0" w:rsidRDefault="00052A49">
      <w:pPr>
        <w:pStyle w:val="BodyText"/>
        <w:spacing w:before="1"/>
        <w:ind w:left="6046" w:right="1521" w:hanging="514"/>
        <w:rPr>
          <w:rFonts w:ascii="Arial"/>
        </w:rPr>
      </w:pPr>
      <w:r>
        <w:rPr>
          <w:rFonts w:ascii="Arial"/>
        </w:rPr>
        <w:t>(emphasis supplied) (at pp. 518-520)</w:t>
      </w:r>
    </w:p>
    <w:p w:rsidR="003B2FC0" w:rsidRDefault="003B2FC0">
      <w:pPr>
        <w:rPr>
          <w:sz w:val="30"/>
        </w:rPr>
      </w:pPr>
    </w:p>
    <w:p w:rsidR="003B2FC0" w:rsidRDefault="00052A49">
      <w:pPr>
        <w:pStyle w:val="BodyText"/>
        <w:spacing w:before="177" w:line="480" w:lineRule="auto"/>
        <w:ind w:left="383" w:right="403"/>
        <w:jc w:val="both"/>
        <w:rPr>
          <w:rFonts w:ascii="Arial"/>
        </w:rPr>
      </w:pPr>
      <w:r>
        <w:rPr>
          <w:rFonts w:ascii="Arial"/>
        </w:rPr>
        <w:t>The learned Chief Justice upheld the said Act, stating that the Act is aimed at fulfillment of the individual liberty of conscience guaranteed by Article 25(1) of the Constitution, and not in derogation of it. Also, the learned Chief Justice stated that th</w:t>
      </w:r>
      <w:r>
        <w:rPr>
          <w:rFonts w:ascii="Arial"/>
        </w:rPr>
        <w:t xml:space="preserve">e Act really carried out the strict injunction of Article 17 of the Constitution of India </w:t>
      </w:r>
      <w:r>
        <w:rPr>
          <w:rFonts w:ascii="Arial"/>
          <w:spacing w:val="3"/>
        </w:rPr>
        <w:t xml:space="preserve">by </w:t>
      </w:r>
      <w:r>
        <w:rPr>
          <w:rFonts w:ascii="Arial"/>
        </w:rPr>
        <w:t>which untouchability has been abolished, and held that, as excommunication is a form of untouchability, the Act is protected by Article 17 and must therefore be</w:t>
      </w:r>
      <w:r>
        <w:rPr>
          <w:rFonts w:ascii="Arial"/>
          <w:spacing w:val="-5"/>
        </w:rPr>
        <w:t xml:space="preserve"> </w:t>
      </w:r>
      <w:r>
        <w:rPr>
          <w:rFonts w:ascii="Arial"/>
        </w:rPr>
        <w:t>up</w:t>
      </w:r>
      <w:r>
        <w:rPr>
          <w:rFonts w:ascii="Arial"/>
        </w:rPr>
        <w:t>held.</w:t>
      </w:r>
    </w:p>
    <w:p w:rsidR="003B2FC0" w:rsidRDefault="00052A49">
      <w:pPr>
        <w:pStyle w:val="BodyText"/>
        <w:spacing w:before="199" w:line="482" w:lineRule="auto"/>
        <w:ind w:left="383" w:right="403"/>
        <w:jc w:val="both"/>
        <w:rPr>
          <w:rFonts w:ascii="Arial"/>
        </w:rPr>
      </w:pPr>
      <w:r>
        <w:rPr>
          <w:rFonts w:ascii="Arial"/>
        </w:rPr>
        <w:t>The majority judgment, however, by K.C. Das Gupta, J. held the Act to be constitutionally infirm as it was violative of Article 26(b) as follows:</w:t>
      </w:r>
    </w:p>
    <w:p w:rsidR="003B2FC0" w:rsidRDefault="00052A49">
      <w:pPr>
        <w:pStyle w:val="BodyText"/>
        <w:tabs>
          <w:tab w:val="left" w:pos="3270"/>
          <w:tab w:val="left" w:pos="3886"/>
          <w:tab w:val="left" w:pos="5373"/>
          <w:tab w:val="left" w:pos="5834"/>
          <w:tab w:val="left" w:pos="6497"/>
          <w:tab w:val="left" w:pos="7457"/>
          <w:tab w:val="left" w:pos="7837"/>
        </w:tabs>
        <w:spacing w:before="194"/>
        <w:ind w:left="1518" w:right="1539"/>
        <w:rPr>
          <w:rFonts w:ascii="Arial" w:hAnsi="Arial"/>
        </w:rPr>
      </w:pPr>
      <w:r>
        <w:rPr>
          <w:rFonts w:ascii="Arial" w:hAnsi="Arial"/>
          <w:w w:val="33"/>
        </w:rPr>
        <w:t>―</w:t>
      </w:r>
      <w:r>
        <w:rPr>
          <w:rFonts w:ascii="Arial" w:hAnsi="Arial"/>
        </w:rPr>
        <w:t>Let</w:t>
      </w:r>
      <w:r>
        <w:rPr>
          <w:rFonts w:ascii="Arial" w:hAnsi="Arial"/>
        </w:rPr>
        <w:t xml:space="preserve"> </w:t>
      </w:r>
      <w:r>
        <w:rPr>
          <w:rFonts w:ascii="Arial" w:hAnsi="Arial"/>
          <w:spacing w:val="17"/>
        </w:rPr>
        <w:t xml:space="preserve"> </w:t>
      </w:r>
      <w:r>
        <w:rPr>
          <w:rFonts w:ascii="Arial" w:hAnsi="Arial"/>
          <w:spacing w:val="-3"/>
        </w:rPr>
        <w:t>u</w:t>
      </w:r>
      <w:r>
        <w:rPr>
          <w:rFonts w:ascii="Arial" w:hAnsi="Arial"/>
        </w:rPr>
        <w:t>s</w:t>
      </w:r>
      <w:r>
        <w:rPr>
          <w:rFonts w:ascii="Arial" w:hAnsi="Arial"/>
        </w:rPr>
        <w:t xml:space="preserve"> </w:t>
      </w:r>
      <w:r>
        <w:rPr>
          <w:rFonts w:ascii="Arial" w:hAnsi="Arial"/>
          <w:spacing w:val="17"/>
        </w:rPr>
        <w:t xml:space="preserve"> </w:t>
      </w:r>
      <w:r>
        <w:rPr>
          <w:rFonts w:ascii="Arial" w:hAnsi="Arial"/>
        </w:rPr>
        <w:t>co</w:t>
      </w:r>
      <w:r>
        <w:rPr>
          <w:rFonts w:ascii="Arial" w:hAnsi="Arial"/>
          <w:spacing w:val="-3"/>
        </w:rPr>
        <w:t>n</w:t>
      </w:r>
      <w:r>
        <w:rPr>
          <w:rFonts w:ascii="Arial" w:hAnsi="Arial"/>
        </w:rPr>
        <w:t>sider</w:t>
      </w:r>
      <w:r>
        <w:rPr>
          <w:rFonts w:ascii="Arial" w:hAnsi="Arial"/>
        </w:rPr>
        <w:t xml:space="preserve"> </w:t>
      </w:r>
      <w:r>
        <w:rPr>
          <w:rFonts w:ascii="Arial" w:hAnsi="Arial"/>
          <w:spacing w:val="14"/>
        </w:rPr>
        <w:t xml:space="preserve"> </w:t>
      </w:r>
      <w:r>
        <w:rPr>
          <w:rFonts w:ascii="Arial" w:hAnsi="Arial"/>
          <w:spacing w:val="-2"/>
        </w:rPr>
        <w:t>f</w:t>
      </w:r>
      <w:r>
        <w:rPr>
          <w:rFonts w:ascii="Arial" w:hAnsi="Arial"/>
        </w:rPr>
        <w:t>ir</w:t>
      </w:r>
      <w:r>
        <w:rPr>
          <w:rFonts w:ascii="Arial" w:hAnsi="Arial"/>
          <w:spacing w:val="1"/>
        </w:rPr>
        <w:t>s</w:t>
      </w:r>
      <w:r>
        <w:rPr>
          <w:rFonts w:ascii="Arial" w:hAnsi="Arial"/>
        </w:rPr>
        <w:t>t</w:t>
      </w:r>
      <w:r>
        <w:rPr>
          <w:rFonts w:ascii="Arial" w:hAnsi="Arial"/>
        </w:rPr>
        <w:t xml:space="preserve"> </w:t>
      </w:r>
      <w:r>
        <w:rPr>
          <w:rFonts w:ascii="Arial" w:hAnsi="Arial"/>
          <w:spacing w:val="17"/>
        </w:rPr>
        <w:t xml:space="preserve"> </w:t>
      </w:r>
      <w:r>
        <w:rPr>
          <w:rFonts w:ascii="Arial" w:hAnsi="Arial"/>
          <w:spacing w:val="-4"/>
        </w:rPr>
        <w:t>w</w:t>
      </w:r>
      <w:r>
        <w:rPr>
          <w:rFonts w:ascii="Arial" w:hAnsi="Arial"/>
        </w:rPr>
        <w:t>hether</w:t>
      </w:r>
      <w:r>
        <w:rPr>
          <w:rFonts w:ascii="Arial" w:hAnsi="Arial"/>
        </w:rPr>
        <w:t xml:space="preserve"> </w:t>
      </w:r>
      <w:r>
        <w:rPr>
          <w:rFonts w:ascii="Arial" w:hAnsi="Arial"/>
          <w:spacing w:val="14"/>
        </w:rPr>
        <w:t xml:space="preserve"> </w:t>
      </w:r>
      <w:r>
        <w:rPr>
          <w:rFonts w:ascii="Arial" w:hAnsi="Arial"/>
        </w:rPr>
        <w:t>the</w:t>
      </w:r>
      <w:r>
        <w:rPr>
          <w:rFonts w:ascii="Arial" w:hAnsi="Arial"/>
        </w:rPr>
        <w:t xml:space="preserve"> </w:t>
      </w:r>
      <w:r>
        <w:rPr>
          <w:rFonts w:ascii="Arial" w:hAnsi="Arial"/>
          <w:spacing w:val="16"/>
        </w:rPr>
        <w:t xml:space="preserve"> </w:t>
      </w:r>
      <w:r>
        <w:rPr>
          <w:rFonts w:ascii="Arial" w:hAnsi="Arial"/>
          <w:spacing w:val="-3"/>
        </w:rPr>
        <w:t>i</w:t>
      </w:r>
      <w:r>
        <w:rPr>
          <w:rFonts w:ascii="Arial" w:hAnsi="Arial"/>
          <w:spacing w:val="-2"/>
        </w:rPr>
        <w:t>m</w:t>
      </w:r>
      <w:r>
        <w:rPr>
          <w:rFonts w:ascii="Arial" w:hAnsi="Arial"/>
        </w:rPr>
        <w:t>pugned</w:t>
      </w:r>
      <w:r>
        <w:rPr>
          <w:rFonts w:ascii="Arial" w:hAnsi="Arial"/>
        </w:rPr>
        <w:t xml:space="preserve"> </w:t>
      </w:r>
      <w:r>
        <w:rPr>
          <w:rFonts w:ascii="Arial" w:hAnsi="Arial"/>
          <w:spacing w:val="16"/>
        </w:rPr>
        <w:t xml:space="preserve"> </w:t>
      </w:r>
      <w:r>
        <w:rPr>
          <w:rFonts w:ascii="Arial" w:hAnsi="Arial"/>
        </w:rPr>
        <w:t>A</w:t>
      </w:r>
      <w:r>
        <w:rPr>
          <w:rFonts w:ascii="Arial" w:hAnsi="Arial"/>
          <w:spacing w:val="-2"/>
        </w:rPr>
        <w:t>c</w:t>
      </w:r>
      <w:r>
        <w:rPr>
          <w:rFonts w:ascii="Arial" w:hAnsi="Arial"/>
        </w:rPr>
        <w:t xml:space="preserve">t </w:t>
      </w:r>
      <w:r>
        <w:rPr>
          <w:rFonts w:ascii="Arial" w:hAnsi="Arial"/>
        </w:rPr>
        <w:t>contravenes</w:t>
      </w:r>
      <w:r>
        <w:rPr>
          <w:rFonts w:ascii="Arial" w:hAnsi="Arial"/>
        </w:rPr>
        <w:tab/>
        <w:t>the</w:t>
      </w:r>
      <w:r>
        <w:rPr>
          <w:rFonts w:ascii="Arial" w:hAnsi="Arial"/>
        </w:rPr>
        <w:tab/>
        <w:t>provisions</w:t>
      </w:r>
      <w:r>
        <w:rPr>
          <w:rFonts w:ascii="Arial" w:hAnsi="Arial"/>
        </w:rPr>
        <w:tab/>
        <w:t>of</w:t>
      </w:r>
      <w:r>
        <w:rPr>
          <w:rFonts w:ascii="Arial" w:hAnsi="Arial"/>
        </w:rPr>
        <w:tab/>
        <w:t>Art.</w:t>
      </w:r>
      <w:r>
        <w:rPr>
          <w:rFonts w:ascii="Arial" w:hAnsi="Arial"/>
        </w:rPr>
        <w:tab/>
        <w:t>26(b).</w:t>
      </w:r>
      <w:r>
        <w:rPr>
          <w:rFonts w:ascii="Arial" w:hAnsi="Arial"/>
        </w:rPr>
        <w:tab/>
        <w:t>It</w:t>
      </w:r>
      <w:r>
        <w:rPr>
          <w:rFonts w:ascii="Arial" w:hAnsi="Arial"/>
        </w:rPr>
        <w:tab/>
      </w:r>
      <w:r>
        <w:rPr>
          <w:rFonts w:ascii="Arial" w:hAnsi="Arial"/>
          <w:spacing w:val="-14"/>
        </w:rPr>
        <w:t>is</w:t>
      </w:r>
    </w:p>
    <w:p w:rsidR="003B2FC0" w:rsidRDefault="003B2FC0">
      <w:pPr>
        <w:sectPr w:rsidR="003B2FC0">
          <w:headerReference w:type="default" r:id="rId234"/>
          <w:footerReference w:type="default" r:id="rId235"/>
          <w:pgSz w:w="12240" w:h="15840"/>
          <w:pgMar w:top="1360" w:right="1320" w:bottom="1680" w:left="1340" w:header="0" w:footer="1492" w:gutter="0"/>
          <w:pgNumType w:start="26"/>
          <w:cols w:space="720"/>
        </w:sectPr>
      </w:pPr>
    </w:p>
    <w:p w:rsidR="003B2FC0" w:rsidRDefault="00052A49">
      <w:pPr>
        <w:pStyle w:val="BodyText"/>
        <w:spacing w:before="77"/>
        <w:ind w:left="1518" w:right="1537"/>
        <w:jc w:val="both"/>
        <w:rPr>
          <w:rFonts w:ascii="Arial" w:hAnsi="Arial"/>
        </w:rPr>
      </w:pPr>
      <w:r>
        <w:rPr>
          <w:rFonts w:ascii="Arial" w:hAnsi="Arial"/>
        </w:rPr>
        <w:t xml:space="preserve">unnecessary for the purpose of the present case to enter into the difficult question whether every case of excommunication by the Dai on  whatever grounds inflicted is a matter of religion. What appears however to be clear is that where an excommunication </w:t>
      </w:r>
      <w:r>
        <w:rPr>
          <w:rFonts w:ascii="Arial" w:hAnsi="Arial"/>
        </w:rPr>
        <w:t>is itself based on religious grounds such as lapse from the orthodox religious creed or doctrine (similar to what is considered heresy, apostasy or schism under the Canon Law) or breach of some practice considered as an essential part of the religion by th</w:t>
      </w:r>
      <w:r>
        <w:rPr>
          <w:rFonts w:ascii="Arial" w:hAnsi="Arial"/>
        </w:rPr>
        <w:t>e Dawoodi Bohras in general, excommunication cannot but be held to be for the purpose of maintaining the strength of the religion. It necessarily follows that the exercise of this power of excommunication on religious grounds forms part of the management b</w:t>
      </w:r>
      <w:r>
        <w:rPr>
          <w:rFonts w:ascii="Arial" w:hAnsi="Arial"/>
        </w:rPr>
        <w:t>y the community, through its religious head, ―of its own affairs in matters of religion.‖ The impugned Act makes even such excommunications invalid and takes away the power of the Dai as the head of the community to excommunicate even on religious grounds.</w:t>
      </w:r>
      <w:r>
        <w:rPr>
          <w:rFonts w:ascii="Arial" w:hAnsi="Arial"/>
        </w:rPr>
        <w:t xml:space="preserve"> It therefore, clearly interferes with the right of the Dawoodi Bohra community under clause (b) of Art. 26 of the</w:t>
      </w:r>
      <w:r>
        <w:rPr>
          <w:rFonts w:ascii="Arial" w:hAnsi="Arial"/>
          <w:spacing w:val="-6"/>
        </w:rPr>
        <w:t xml:space="preserve"> </w:t>
      </w:r>
      <w:r>
        <w:rPr>
          <w:rFonts w:ascii="Arial" w:hAnsi="Arial"/>
        </w:rPr>
        <w:t>Constitution.‖</w:t>
      </w:r>
    </w:p>
    <w:p w:rsidR="003B2FC0" w:rsidRDefault="00052A49">
      <w:pPr>
        <w:pStyle w:val="BodyText"/>
        <w:spacing w:before="1"/>
        <w:ind w:left="6761"/>
        <w:rPr>
          <w:rFonts w:ascii="Arial"/>
        </w:rPr>
      </w:pPr>
      <w:r>
        <w:rPr>
          <w:rFonts w:ascii="Arial"/>
        </w:rPr>
        <w:t>(at p. 535)</w:t>
      </w:r>
    </w:p>
    <w:p w:rsidR="003B2FC0" w:rsidRDefault="003B2FC0">
      <w:pPr>
        <w:spacing w:before="9"/>
        <w:rPr>
          <w:sz w:val="42"/>
        </w:rPr>
      </w:pPr>
    </w:p>
    <w:p w:rsidR="003B2FC0" w:rsidRDefault="00052A49">
      <w:pPr>
        <w:pStyle w:val="BodyText"/>
        <w:spacing w:line="482" w:lineRule="auto"/>
        <w:ind w:left="383" w:right="343"/>
        <w:rPr>
          <w:rFonts w:ascii="Arial"/>
        </w:rPr>
      </w:pPr>
      <w:r>
        <w:rPr>
          <w:rFonts w:ascii="Arial"/>
        </w:rPr>
        <w:t>Holding that the said law is not referable to Article 25(2)(b), the Court then held:</w:t>
      </w:r>
    </w:p>
    <w:p w:rsidR="003B2FC0" w:rsidRDefault="00052A49">
      <w:pPr>
        <w:pStyle w:val="BodyText"/>
        <w:spacing w:before="194"/>
        <w:ind w:left="1518" w:right="1542"/>
        <w:jc w:val="both"/>
        <w:rPr>
          <w:rFonts w:ascii="Arial" w:hAnsi="Arial"/>
        </w:rPr>
      </w:pPr>
      <w:r>
        <w:rPr>
          <w:rFonts w:ascii="Arial" w:hAnsi="Arial"/>
          <w:w w:val="33"/>
        </w:rPr>
        <w:t>―</w:t>
      </w:r>
      <w:r>
        <w:rPr>
          <w:rFonts w:ascii="Arial" w:hAnsi="Arial"/>
        </w:rPr>
        <w:t>It</w:t>
      </w:r>
      <w:r>
        <w:rPr>
          <w:rFonts w:ascii="Arial" w:hAnsi="Arial"/>
        </w:rPr>
        <w:t xml:space="preserve"> </w:t>
      </w:r>
      <w:r>
        <w:rPr>
          <w:rFonts w:ascii="Arial" w:hAnsi="Arial"/>
          <w:spacing w:val="-19"/>
        </w:rPr>
        <w:t xml:space="preserve"> </w:t>
      </w:r>
      <w:r>
        <w:rPr>
          <w:rFonts w:ascii="Arial" w:hAnsi="Arial"/>
        </w:rPr>
        <w:t>re</w:t>
      </w:r>
      <w:r>
        <w:rPr>
          <w:rFonts w:ascii="Arial" w:hAnsi="Arial"/>
          <w:spacing w:val="-2"/>
        </w:rPr>
        <w:t>m</w:t>
      </w:r>
      <w:r>
        <w:rPr>
          <w:rFonts w:ascii="Arial" w:hAnsi="Arial"/>
        </w:rPr>
        <w:t>ai</w:t>
      </w:r>
      <w:r>
        <w:rPr>
          <w:rFonts w:ascii="Arial" w:hAnsi="Arial"/>
          <w:spacing w:val="-3"/>
        </w:rPr>
        <w:t>n</w:t>
      </w:r>
      <w:r>
        <w:rPr>
          <w:rFonts w:ascii="Arial" w:hAnsi="Arial"/>
        </w:rPr>
        <w:t>s</w:t>
      </w:r>
      <w:r>
        <w:rPr>
          <w:rFonts w:ascii="Arial" w:hAnsi="Arial"/>
        </w:rPr>
        <w:t xml:space="preserve"> </w:t>
      </w:r>
      <w:r>
        <w:rPr>
          <w:rFonts w:ascii="Arial" w:hAnsi="Arial"/>
          <w:spacing w:val="-19"/>
        </w:rPr>
        <w:t xml:space="preserve"> </w:t>
      </w:r>
      <w:r>
        <w:rPr>
          <w:rFonts w:ascii="Arial" w:hAnsi="Arial"/>
        </w:rPr>
        <w:t>to</w:t>
      </w:r>
      <w:r>
        <w:rPr>
          <w:rFonts w:ascii="Arial" w:hAnsi="Arial"/>
        </w:rPr>
        <w:t xml:space="preserve"> </w:t>
      </w:r>
      <w:r>
        <w:rPr>
          <w:rFonts w:ascii="Arial" w:hAnsi="Arial"/>
          <w:spacing w:val="-22"/>
        </w:rPr>
        <w:t xml:space="preserve"> </w:t>
      </w:r>
      <w:r>
        <w:rPr>
          <w:rFonts w:ascii="Arial" w:hAnsi="Arial"/>
        </w:rPr>
        <w:t>co</w:t>
      </w:r>
      <w:r>
        <w:rPr>
          <w:rFonts w:ascii="Arial" w:hAnsi="Arial"/>
          <w:spacing w:val="-3"/>
        </w:rPr>
        <w:t>n</w:t>
      </w:r>
      <w:r>
        <w:rPr>
          <w:rFonts w:ascii="Arial" w:hAnsi="Arial"/>
        </w:rPr>
        <w:t>sider</w:t>
      </w:r>
      <w:r>
        <w:rPr>
          <w:rFonts w:ascii="Arial" w:hAnsi="Arial"/>
        </w:rPr>
        <w:t xml:space="preserve"> </w:t>
      </w:r>
      <w:r>
        <w:rPr>
          <w:rFonts w:ascii="Arial" w:hAnsi="Arial"/>
          <w:spacing w:val="-20"/>
        </w:rPr>
        <w:t xml:space="preserve"> </w:t>
      </w:r>
      <w:r>
        <w:rPr>
          <w:rFonts w:ascii="Arial" w:hAnsi="Arial"/>
          <w:spacing w:val="-4"/>
        </w:rPr>
        <w:t>w</w:t>
      </w:r>
      <w:r>
        <w:rPr>
          <w:rFonts w:ascii="Arial" w:hAnsi="Arial"/>
        </w:rPr>
        <w:t>hether</w:t>
      </w:r>
      <w:r>
        <w:rPr>
          <w:rFonts w:ascii="Arial" w:hAnsi="Arial"/>
        </w:rPr>
        <w:t xml:space="preserve"> </w:t>
      </w:r>
      <w:r>
        <w:rPr>
          <w:rFonts w:ascii="Arial" w:hAnsi="Arial"/>
          <w:spacing w:val="-20"/>
        </w:rPr>
        <w:t xml:space="preserve"> </w:t>
      </w:r>
      <w:r>
        <w:rPr>
          <w:rFonts w:ascii="Arial" w:hAnsi="Arial"/>
        </w:rPr>
        <w:t>the</w:t>
      </w:r>
      <w:r>
        <w:rPr>
          <w:rFonts w:ascii="Arial" w:hAnsi="Arial"/>
        </w:rPr>
        <w:t xml:space="preserve"> </w:t>
      </w:r>
      <w:r>
        <w:rPr>
          <w:rFonts w:ascii="Arial" w:hAnsi="Arial"/>
          <w:spacing w:val="-22"/>
        </w:rPr>
        <w:t xml:space="preserve"> </w:t>
      </w:r>
      <w:r>
        <w:rPr>
          <w:rFonts w:ascii="Arial" w:hAnsi="Arial"/>
        </w:rPr>
        <w:t>i</w:t>
      </w:r>
      <w:r>
        <w:rPr>
          <w:rFonts w:ascii="Arial" w:hAnsi="Arial"/>
          <w:spacing w:val="-2"/>
        </w:rPr>
        <w:t>m</w:t>
      </w:r>
      <w:r>
        <w:rPr>
          <w:rFonts w:ascii="Arial" w:hAnsi="Arial"/>
        </w:rPr>
        <w:t>pugned</w:t>
      </w:r>
      <w:r>
        <w:rPr>
          <w:rFonts w:ascii="Arial" w:hAnsi="Arial"/>
        </w:rPr>
        <w:t xml:space="preserve"> </w:t>
      </w:r>
      <w:r>
        <w:rPr>
          <w:rFonts w:ascii="Arial" w:hAnsi="Arial"/>
          <w:spacing w:val="-20"/>
        </w:rPr>
        <w:t xml:space="preserve"> </w:t>
      </w:r>
      <w:r>
        <w:rPr>
          <w:rFonts w:ascii="Arial" w:hAnsi="Arial"/>
        </w:rPr>
        <w:t>A</w:t>
      </w:r>
      <w:r>
        <w:rPr>
          <w:rFonts w:ascii="Arial" w:hAnsi="Arial"/>
          <w:spacing w:val="-2"/>
        </w:rPr>
        <w:t>c</w:t>
      </w:r>
      <w:r>
        <w:rPr>
          <w:rFonts w:ascii="Arial" w:hAnsi="Arial"/>
        </w:rPr>
        <w:t xml:space="preserve">t </w:t>
      </w:r>
      <w:r>
        <w:rPr>
          <w:rFonts w:ascii="Arial" w:hAnsi="Arial"/>
        </w:rPr>
        <w:t>comes within the saving provisions embodied in clause 2 of Art. 25. The clause is in these</w:t>
      </w:r>
      <w:r>
        <w:rPr>
          <w:rFonts w:ascii="Arial" w:hAnsi="Arial"/>
          <w:spacing w:val="-13"/>
        </w:rPr>
        <w:t xml:space="preserve"> </w:t>
      </w:r>
      <w:r>
        <w:rPr>
          <w:rFonts w:ascii="Arial" w:hAnsi="Arial"/>
        </w:rPr>
        <w:t>words:—</w:t>
      </w:r>
    </w:p>
    <w:p w:rsidR="003B2FC0" w:rsidRDefault="003B2FC0">
      <w:pPr>
        <w:spacing w:before="5"/>
        <w:rPr>
          <w:sz w:val="31"/>
        </w:rPr>
      </w:pPr>
    </w:p>
    <w:p w:rsidR="003B2FC0" w:rsidRDefault="00052A49">
      <w:pPr>
        <w:pStyle w:val="BodyText"/>
        <w:ind w:left="1518" w:right="1542"/>
        <w:jc w:val="both"/>
        <w:rPr>
          <w:rFonts w:ascii="Arial" w:hAnsi="Arial"/>
        </w:rPr>
      </w:pPr>
      <w:r>
        <w:rPr>
          <w:rFonts w:ascii="Arial" w:hAnsi="Arial"/>
        </w:rPr>
        <w:t>―Nothing in this Article shall affect the operation of any existing law or prevent the State from making any law—</w:t>
      </w:r>
    </w:p>
    <w:p w:rsidR="003B2FC0" w:rsidRDefault="003B2FC0">
      <w:pPr>
        <w:jc w:val="both"/>
        <w:sectPr w:rsidR="003B2FC0">
          <w:headerReference w:type="default" r:id="rId236"/>
          <w:footerReference w:type="default" r:id="rId237"/>
          <w:pgSz w:w="12240" w:h="15840"/>
          <w:pgMar w:top="1360" w:right="1320" w:bottom="1680" w:left="1340" w:header="0" w:footer="1492" w:gutter="0"/>
          <w:pgNumType w:start="27"/>
          <w:cols w:space="720"/>
        </w:sectPr>
      </w:pPr>
    </w:p>
    <w:p w:rsidR="003B2FC0" w:rsidRDefault="00052A49">
      <w:pPr>
        <w:pStyle w:val="ListParagraph"/>
        <w:numPr>
          <w:ilvl w:val="1"/>
          <w:numId w:val="51"/>
        </w:numPr>
        <w:tabs>
          <w:tab w:val="left" w:pos="1970"/>
        </w:tabs>
        <w:spacing w:before="74"/>
        <w:ind w:right="1542" w:firstLine="0"/>
        <w:jc w:val="both"/>
        <w:rPr>
          <w:sz w:val="28"/>
        </w:rPr>
      </w:pPr>
      <w:r>
        <w:rPr>
          <w:sz w:val="28"/>
        </w:rPr>
        <w:t>regulating or restricting any economic, financial, political or other secular activity which may be associated with religious</w:t>
      </w:r>
      <w:r>
        <w:rPr>
          <w:spacing w:val="-1"/>
          <w:sz w:val="28"/>
        </w:rPr>
        <w:t xml:space="preserve"> </w:t>
      </w:r>
      <w:r>
        <w:rPr>
          <w:sz w:val="28"/>
        </w:rPr>
        <w:t>practice;</w:t>
      </w:r>
    </w:p>
    <w:p w:rsidR="003B2FC0" w:rsidRDefault="00052A49">
      <w:pPr>
        <w:pStyle w:val="ListParagraph"/>
        <w:numPr>
          <w:ilvl w:val="1"/>
          <w:numId w:val="51"/>
        </w:numPr>
        <w:tabs>
          <w:tab w:val="left" w:pos="2011"/>
        </w:tabs>
        <w:spacing w:before="40"/>
        <w:ind w:right="1541" w:firstLine="0"/>
        <w:jc w:val="both"/>
        <w:rPr>
          <w:sz w:val="28"/>
        </w:rPr>
      </w:pPr>
      <w:r>
        <w:rPr>
          <w:sz w:val="28"/>
        </w:rPr>
        <w:t xml:space="preserve">providing for social welfare and reform or the throwing open of Hindu religious institution of </w:t>
      </w:r>
      <w:r>
        <w:rPr>
          <w:sz w:val="28"/>
        </w:rPr>
        <w:t>a public character to all classes and section of Hindus.‖</w:t>
      </w:r>
    </w:p>
    <w:p w:rsidR="003B2FC0" w:rsidRDefault="003B2FC0">
      <w:pPr>
        <w:spacing w:before="7"/>
        <w:rPr>
          <w:sz w:val="31"/>
        </w:rPr>
      </w:pPr>
    </w:p>
    <w:p w:rsidR="003B2FC0" w:rsidRDefault="00052A49">
      <w:pPr>
        <w:pStyle w:val="BodyText"/>
        <w:ind w:left="1518" w:right="1539"/>
        <w:jc w:val="both"/>
        <w:rPr>
          <w:rFonts w:ascii="Arial"/>
        </w:rPr>
      </w:pPr>
      <w:r>
        <w:rPr>
          <w:rFonts w:ascii="Arial"/>
        </w:rPr>
        <w:t xml:space="preserve">Quite clearly, the impugned Act cannot be regarded as a law regulating or restricting any economic, financial, political or other secular activity. Indeed, that was not even suggested on behalf of </w:t>
      </w:r>
      <w:r>
        <w:rPr>
          <w:rFonts w:ascii="Arial"/>
        </w:rPr>
        <w:t xml:space="preserve">the respondent State. It was faintly suggested however that </w:t>
      </w:r>
      <w:r>
        <w:rPr>
          <w:rFonts w:ascii="Arial"/>
          <w:spacing w:val="24"/>
        </w:rPr>
        <w:t xml:space="preserve"> </w:t>
      </w:r>
      <w:r>
        <w:rPr>
          <w:rFonts w:ascii="Arial"/>
        </w:rPr>
        <w:t xml:space="preserve">the </w:t>
      </w:r>
      <w:r>
        <w:rPr>
          <w:rFonts w:ascii="Arial"/>
          <w:spacing w:val="26"/>
        </w:rPr>
        <w:t xml:space="preserve"> </w:t>
      </w:r>
      <w:r>
        <w:rPr>
          <w:rFonts w:ascii="Arial"/>
        </w:rPr>
        <w:t xml:space="preserve">Act </w:t>
      </w:r>
      <w:r>
        <w:rPr>
          <w:rFonts w:ascii="Arial"/>
          <w:spacing w:val="23"/>
        </w:rPr>
        <w:t xml:space="preserve"> </w:t>
      </w:r>
      <w:r>
        <w:rPr>
          <w:rFonts w:ascii="Arial"/>
        </w:rPr>
        <w:t xml:space="preserve">should </w:t>
      </w:r>
      <w:r>
        <w:rPr>
          <w:rFonts w:ascii="Arial"/>
          <w:spacing w:val="26"/>
        </w:rPr>
        <w:t xml:space="preserve"> </w:t>
      </w:r>
      <w:r>
        <w:rPr>
          <w:rFonts w:ascii="Arial"/>
        </w:rPr>
        <w:t xml:space="preserve">be </w:t>
      </w:r>
      <w:r>
        <w:rPr>
          <w:rFonts w:ascii="Arial"/>
          <w:spacing w:val="23"/>
        </w:rPr>
        <w:t xml:space="preserve"> </w:t>
      </w:r>
      <w:r>
        <w:rPr>
          <w:rFonts w:ascii="Arial"/>
        </w:rPr>
        <w:t xml:space="preserve">considered </w:t>
      </w:r>
      <w:r>
        <w:rPr>
          <w:rFonts w:ascii="Arial"/>
          <w:spacing w:val="21"/>
        </w:rPr>
        <w:t xml:space="preserve"> </w:t>
      </w:r>
      <w:r>
        <w:rPr>
          <w:rFonts w:ascii="Arial"/>
        </w:rPr>
        <w:t xml:space="preserve">to </w:t>
      </w:r>
      <w:r>
        <w:rPr>
          <w:rFonts w:ascii="Arial"/>
          <w:spacing w:val="26"/>
        </w:rPr>
        <w:t xml:space="preserve"> </w:t>
      </w:r>
      <w:r>
        <w:rPr>
          <w:rFonts w:ascii="Arial"/>
        </w:rPr>
        <w:t xml:space="preserve">be </w:t>
      </w:r>
      <w:r>
        <w:rPr>
          <w:rFonts w:ascii="Arial"/>
          <w:spacing w:val="24"/>
        </w:rPr>
        <w:t xml:space="preserve"> </w:t>
      </w:r>
      <w:r>
        <w:rPr>
          <w:rFonts w:ascii="Arial"/>
        </w:rPr>
        <w:t xml:space="preserve">a </w:t>
      </w:r>
      <w:r>
        <w:rPr>
          <w:rFonts w:ascii="Arial"/>
          <w:spacing w:val="26"/>
        </w:rPr>
        <w:t xml:space="preserve"> </w:t>
      </w:r>
      <w:r>
        <w:rPr>
          <w:rFonts w:ascii="Arial"/>
        </w:rPr>
        <w:t>law</w:t>
      </w:r>
    </w:p>
    <w:p w:rsidR="003B2FC0" w:rsidRDefault="00052A49">
      <w:pPr>
        <w:pStyle w:val="BodyText"/>
        <w:spacing w:before="3"/>
        <w:ind w:left="1518" w:right="1534"/>
        <w:jc w:val="both"/>
        <w:rPr>
          <w:rFonts w:ascii="Arial" w:hAnsi="Arial"/>
        </w:rPr>
      </w:pPr>
      <w:r>
        <w:rPr>
          <w:rFonts w:ascii="Arial" w:hAnsi="Arial"/>
        </w:rPr>
        <w:t xml:space="preserve">―providing for social welfare and reform.‖ The mere fact that certain civil rights which might be lost by members of the Dawoodi Bohra community as a result of excommunication even though made on religious grounds and that the Act prevents such loss, does </w:t>
      </w:r>
      <w:r>
        <w:rPr>
          <w:rFonts w:ascii="Arial" w:hAnsi="Arial"/>
        </w:rPr>
        <w:t xml:space="preserve">not offer sufficient basis for a conclusion </w:t>
      </w:r>
      <w:r>
        <w:rPr>
          <w:rFonts w:ascii="Arial" w:hAnsi="Arial"/>
        </w:rPr>
        <w:t>t</w:t>
      </w:r>
      <w:r>
        <w:rPr>
          <w:rFonts w:ascii="Arial" w:hAnsi="Arial"/>
          <w:spacing w:val="-1"/>
        </w:rPr>
        <w:t>ha</w:t>
      </w:r>
      <w:r>
        <w:rPr>
          <w:rFonts w:ascii="Arial" w:hAnsi="Arial"/>
        </w:rPr>
        <w:t>t</w:t>
      </w:r>
      <w:r>
        <w:rPr>
          <w:rFonts w:ascii="Arial" w:hAnsi="Arial"/>
        </w:rPr>
        <w:t xml:space="preserve"> </w:t>
      </w:r>
      <w:r>
        <w:rPr>
          <w:rFonts w:ascii="Arial" w:hAnsi="Arial"/>
          <w:spacing w:val="10"/>
        </w:rPr>
        <w:t xml:space="preserve"> </w:t>
      </w:r>
      <w:r>
        <w:rPr>
          <w:rFonts w:ascii="Arial" w:hAnsi="Arial"/>
          <w:spacing w:val="-3"/>
        </w:rPr>
        <w:t>i</w:t>
      </w:r>
      <w:r>
        <w:rPr>
          <w:rFonts w:ascii="Arial" w:hAnsi="Arial"/>
        </w:rPr>
        <w:t>t</w:t>
      </w:r>
      <w:r>
        <w:rPr>
          <w:rFonts w:ascii="Arial" w:hAnsi="Arial"/>
        </w:rPr>
        <w:t xml:space="preserve"> </w:t>
      </w:r>
      <w:r>
        <w:rPr>
          <w:rFonts w:ascii="Arial" w:hAnsi="Arial"/>
          <w:spacing w:val="10"/>
        </w:rPr>
        <w:t xml:space="preserve"> </w:t>
      </w:r>
      <w:r>
        <w:rPr>
          <w:rFonts w:ascii="Arial" w:hAnsi="Arial"/>
          <w:spacing w:val="-3"/>
        </w:rPr>
        <w:t>i</w:t>
      </w:r>
      <w:r>
        <w:rPr>
          <w:rFonts w:ascii="Arial" w:hAnsi="Arial"/>
        </w:rPr>
        <w:t>s</w:t>
      </w:r>
      <w:r>
        <w:rPr>
          <w:rFonts w:ascii="Arial" w:hAnsi="Arial"/>
        </w:rPr>
        <w:t xml:space="preserve"> </w:t>
      </w:r>
      <w:r>
        <w:rPr>
          <w:rFonts w:ascii="Arial" w:hAnsi="Arial"/>
          <w:spacing w:val="10"/>
        </w:rPr>
        <w:t xml:space="preserve"> </w:t>
      </w:r>
      <w:r>
        <w:rPr>
          <w:rFonts w:ascii="Arial" w:hAnsi="Arial"/>
        </w:rPr>
        <w:t>a</w:t>
      </w:r>
      <w:r>
        <w:rPr>
          <w:rFonts w:ascii="Arial" w:hAnsi="Arial"/>
        </w:rPr>
        <w:t xml:space="preserve"> </w:t>
      </w:r>
      <w:r>
        <w:rPr>
          <w:rFonts w:ascii="Arial" w:hAnsi="Arial"/>
          <w:spacing w:val="9"/>
        </w:rPr>
        <w:t xml:space="preserve"> </w:t>
      </w:r>
      <w:r>
        <w:rPr>
          <w:rFonts w:ascii="Arial" w:hAnsi="Arial"/>
          <w:spacing w:val="-1"/>
        </w:rPr>
        <w:t>la</w:t>
      </w:r>
      <w:r>
        <w:rPr>
          <w:rFonts w:ascii="Arial" w:hAnsi="Arial"/>
        </w:rPr>
        <w:t>w</w:t>
      </w:r>
      <w:r>
        <w:rPr>
          <w:rFonts w:ascii="Arial" w:hAnsi="Arial"/>
        </w:rPr>
        <w:t xml:space="preserve"> </w:t>
      </w:r>
      <w:r>
        <w:rPr>
          <w:rFonts w:ascii="Arial" w:hAnsi="Arial"/>
          <w:spacing w:val="6"/>
        </w:rPr>
        <w:t xml:space="preserve"> </w:t>
      </w:r>
      <w:r>
        <w:rPr>
          <w:rFonts w:ascii="Arial" w:hAnsi="Arial"/>
          <w:spacing w:val="2"/>
          <w:w w:val="33"/>
        </w:rPr>
        <w:t>―</w:t>
      </w:r>
      <w:r>
        <w:rPr>
          <w:rFonts w:ascii="Arial" w:hAnsi="Arial"/>
          <w:spacing w:val="-1"/>
        </w:rPr>
        <w:t>pro</w:t>
      </w:r>
      <w:r>
        <w:rPr>
          <w:rFonts w:ascii="Arial" w:hAnsi="Arial"/>
          <w:spacing w:val="-4"/>
        </w:rPr>
        <w:t>v</w:t>
      </w:r>
      <w:r>
        <w:rPr>
          <w:rFonts w:ascii="Arial" w:hAnsi="Arial"/>
          <w:spacing w:val="-1"/>
        </w:rPr>
        <w:t>idin</w:t>
      </w:r>
      <w:r>
        <w:rPr>
          <w:rFonts w:ascii="Arial" w:hAnsi="Arial"/>
        </w:rPr>
        <w:t>g</w:t>
      </w:r>
      <w:r>
        <w:rPr>
          <w:rFonts w:ascii="Arial" w:hAnsi="Arial"/>
        </w:rPr>
        <w:t xml:space="preserve"> </w:t>
      </w:r>
      <w:r>
        <w:rPr>
          <w:rFonts w:ascii="Arial" w:hAnsi="Arial"/>
          <w:spacing w:val="9"/>
        </w:rPr>
        <w:t xml:space="preserve"> </w:t>
      </w:r>
      <w:r>
        <w:rPr>
          <w:rFonts w:ascii="Arial" w:hAnsi="Arial"/>
        </w:rPr>
        <w:t>f</w:t>
      </w:r>
      <w:r>
        <w:rPr>
          <w:rFonts w:ascii="Arial" w:hAnsi="Arial"/>
          <w:spacing w:val="-1"/>
        </w:rPr>
        <w:t>o</w:t>
      </w:r>
      <w:r>
        <w:rPr>
          <w:rFonts w:ascii="Arial" w:hAnsi="Arial"/>
        </w:rPr>
        <w:t>r</w:t>
      </w:r>
      <w:r>
        <w:rPr>
          <w:rFonts w:ascii="Arial" w:hAnsi="Arial"/>
        </w:rPr>
        <w:t xml:space="preserve"> </w:t>
      </w:r>
      <w:r>
        <w:rPr>
          <w:rFonts w:ascii="Arial" w:hAnsi="Arial"/>
          <w:spacing w:val="9"/>
        </w:rPr>
        <w:t xml:space="preserve"> </w:t>
      </w:r>
      <w:r>
        <w:rPr>
          <w:rFonts w:ascii="Arial" w:hAnsi="Arial"/>
        </w:rPr>
        <w:t>s</w:t>
      </w:r>
      <w:r>
        <w:rPr>
          <w:rFonts w:ascii="Arial" w:hAnsi="Arial"/>
          <w:spacing w:val="-3"/>
        </w:rPr>
        <w:t>o</w:t>
      </w:r>
      <w:r>
        <w:rPr>
          <w:rFonts w:ascii="Arial" w:hAnsi="Arial"/>
        </w:rPr>
        <w:t>c</w:t>
      </w:r>
      <w:r>
        <w:rPr>
          <w:rFonts w:ascii="Arial" w:hAnsi="Arial"/>
          <w:spacing w:val="-1"/>
        </w:rPr>
        <w:t>i</w:t>
      </w:r>
      <w:r>
        <w:rPr>
          <w:rFonts w:ascii="Arial" w:hAnsi="Arial"/>
          <w:spacing w:val="-3"/>
        </w:rPr>
        <w:t>a</w:t>
      </w:r>
      <w:r>
        <w:rPr>
          <w:rFonts w:ascii="Arial" w:hAnsi="Arial"/>
        </w:rPr>
        <w:t>l</w:t>
      </w:r>
      <w:r>
        <w:rPr>
          <w:rFonts w:ascii="Arial" w:hAnsi="Arial"/>
        </w:rPr>
        <w:t xml:space="preserve"> </w:t>
      </w:r>
      <w:r>
        <w:rPr>
          <w:rFonts w:ascii="Arial" w:hAnsi="Arial"/>
          <w:spacing w:val="9"/>
        </w:rPr>
        <w:t xml:space="preserve"> </w:t>
      </w:r>
      <w:r>
        <w:rPr>
          <w:rFonts w:ascii="Arial" w:hAnsi="Arial"/>
          <w:spacing w:val="-4"/>
        </w:rPr>
        <w:t>w</w:t>
      </w:r>
      <w:r>
        <w:rPr>
          <w:rFonts w:ascii="Arial" w:hAnsi="Arial"/>
          <w:spacing w:val="-1"/>
        </w:rPr>
        <w:t>el</w:t>
      </w:r>
      <w:r>
        <w:rPr>
          <w:rFonts w:ascii="Arial" w:hAnsi="Arial"/>
        </w:rPr>
        <w:t>f</w:t>
      </w:r>
      <w:r>
        <w:rPr>
          <w:rFonts w:ascii="Arial" w:hAnsi="Arial"/>
          <w:spacing w:val="-1"/>
        </w:rPr>
        <w:t>ar</w:t>
      </w:r>
      <w:r>
        <w:rPr>
          <w:rFonts w:ascii="Arial" w:hAnsi="Arial"/>
        </w:rPr>
        <w:t>e</w:t>
      </w:r>
      <w:r>
        <w:rPr>
          <w:rFonts w:ascii="Arial" w:hAnsi="Arial"/>
        </w:rPr>
        <w:t xml:space="preserve"> </w:t>
      </w:r>
      <w:r>
        <w:rPr>
          <w:rFonts w:ascii="Arial" w:hAnsi="Arial"/>
          <w:spacing w:val="9"/>
        </w:rPr>
        <w:t xml:space="preserve"> </w:t>
      </w:r>
      <w:r>
        <w:rPr>
          <w:rFonts w:ascii="Arial" w:hAnsi="Arial"/>
          <w:spacing w:val="-1"/>
        </w:rPr>
        <w:t xml:space="preserve">and </w:t>
      </w:r>
      <w:r>
        <w:rPr>
          <w:rFonts w:ascii="Arial" w:hAnsi="Arial"/>
        </w:rPr>
        <w:t>reform.‖ The barring of excommunication on grounds other than religious grounds, say, on the breach of some obnoxious social rule or practice might be a measure of social reform and a law which bars such excommunication merely might conceivably come within</w:t>
      </w:r>
      <w:r>
        <w:rPr>
          <w:rFonts w:ascii="Arial" w:hAnsi="Arial"/>
        </w:rPr>
        <w:t xml:space="preserve"> the saving provisions of clause 2(b) of Art. 25. But barring of excommunication on religious grounds pure and simple, cannot however be considered to promote social welfare and reform and consequently the law insofar as it invalidates excommunication on r</w:t>
      </w:r>
      <w:r>
        <w:rPr>
          <w:rFonts w:ascii="Arial" w:hAnsi="Arial"/>
        </w:rPr>
        <w:t>eligious grounds and takes away the Dai's power to impose such excommunication cannot reasonably be considered to be a measure of social welfare and reform. As the Act invalidates excommunication on any ground whatsoever, including religious grounds, it</w:t>
      </w:r>
      <w:r>
        <w:rPr>
          <w:rFonts w:ascii="Arial" w:hAnsi="Arial"/>
          <w:spacing w:val="16"/>
        </w:rPr>
        <w:t xml:space="preserve"> </w:t>
      </w:r>
      <w:r>
        <w:rPr>
          <w:rFonts w:ascii="Arial" w:hAnsi="Arial"/>
        </w:rPr>
        <w:t>mu</w:t>
      </w:r>
      <w:r>
        <w:rPr>
          <w:rFonts w:ascii="Arial" w:hAnsi="Arial"/>
        </w:rPr>
        <w:t>st</w:t>
      </w:r>
      <w:r>
        <w:rPr>
          <w:rFonts w:ascii="Arial" w:hAnsi="Arial"/>
          <w:spacing w:val="16"/>
        </w:rPr>
        <w:t xml:space="preserve"> </w:t>
      </w:r>
      <w:r>
        <w:rPr>
          <w:rFonts w:ascii="Arial" w:hAnsi="Arial"/>
        </w:rPr>
        <w:t>be</w:t>
      </w:r>
      <w:r>
        <w:rPr>
          <w:rFonts w:ascii="Arial" w:hAnsi="Arial"/>
          <w:spacing w:val="15"/>
        </w:rPr>
        <w:t xml:space="preserve"> </w:t>
      </w:r>
      <w:r>
        <w:rPr>
          <w:rFonts w:ascii="Arial" w:hAnsi="Arial"/>
        </w:rPr>
        <w:t>held</w:t>
      </w:r>
      <w:r>
        <w:rPr>
          <w:rFonts w:ascii="Arial" w:hAnsi="Arial"/>
          <w:spacing w:val="15"/>
        </w:rPr>
        <w:t xml:space="preserve"> </w:t>
      </w:r>
      <w:r>
        <w:rPr>
          <w:rFonts w:ascii="Arial" w:hAnsi="Arial"/>
        </w:rPr>
        <w:t>to</w:t>
      </w:r>
      <w:r>
        <w:rPr>
          <w:rFonts w:ascii="Arial" w:hAnsi="Arial"/>
          <w:spacing w:val="15"/>
        </w:rPr>
        <w:t xml:space="preserve"> </w:t>
      </w:r>
      <w:r>
        <w:rPr>
          <w:rFonts w:ascii="Arial" w:hAnsi="Arial"/>
        </w:rPr>
        <w:t>be</w:t>
      </w:r>
      <w:r>
        <w:rPr>
          <w:rFonts w:ascii="Arial" w:hAnsi="Arial"/>
          <w:spacing w:val="15"/>
        </w:rPr>
        <w:t xml:space="preserve"> </w:t>
      </w:r>
      <w:r>
        <w:rPr>
          <w:rFonts w:ascii="Arial" w:hAnsi="Arial"/>
        </w:rPr>
        <w:t>in</w:t>
      </w:r>
      <w:r>
        <w:rPr>
          <w:rFonts w:ascii="Arial" w:hAnsi="Arial"/>
          <w:spacing w:val="15"/>
        </w:rPr>
        <w:t xml:space="preserve"> </w:t>
      </w:r>
      <w:r>
        <w:rPr>
          <w:rFonts w:ascii="Arial" w:hAnsi="Arial"/>
        </w:rPr>
        <w:t>clear</w:t>
      </w:r>
      <w:r>
        <w:rPr>
          <w:rFonts w:ascii="Arial" w:hAnsi="Arial"/>
          <w:spacing w:val="15"/>
        </w:rPr>
        <w:t xml:space="preserve"> </w:t>
      </w:r>
      <w:r>
        <w:rPr>
          <w:rFonts w:ascii="Arial" w:hAnsi="Arial"/>
        </w:rPr>
        <w:t>violation</w:t>
      </w:r>
      <w:r>
        <w:rPr>
          <w:rFonts w:ascii="Arial" w:hAnsi="Arial"/>
          <w:spacing w:val="15"/>
        </w:rPr>
        <w:t xml:space="preserve"> </w:t>
      </w:r>
      <w:r>
        <w:rPr>
          <w:rFonts w:ascii="Arial" w:hAnsi="Arial"/>
        </w:rPr>
        <w:t>of</w:t>
      </w:r>
      <w:r>
        <w:rPr>
          <w:rFonts w:ascii="Arial" w:hAnsi="Arial"/>
          <w:spacing w:val="16"/>
        </w:rPr>
        <w:t xml:space="preserve"> </w:t>
      </w:r>
      <w:r>
        <w:rPr>
          <w:rFonts w:ascii="Arial" w:hAnsi="Arial"/>
        </w:rPr>
        <w:t>the</w:t>
      </w:r>
      <w:r>
        <w:rPr>
          <w:rFonts w:ascii="Arial" w:hAnsi="Arial"/>
          <w:spacing w:val="15"/>
        </w:rPr>
        <w:t xml:space="preserve"> </w:t>
      </w:r>
      <w:r>
        <w:rPr>
          <w:rFonts w:ascii="Arial" w:hAnsi="Arial"/>
        </w:rPr>
        <w:t>right</w:t>
      </w:r>
      <w:r>
        <w:rPr>
          <w:rFonts w:ascii="Arial" w:hAnsi="Arial"/>
          <w:spacing w:val="16"/>
        </w:rPr>
        <w:t xml:space="preserve"> </w:t>
      </w:r>
      <w:r>
        <w:rPr>
          <w:rFonts w:ascii="Arial" w:hAnsi="Arial"/>
        </w:rPr>
        <w:t>of</w:t>
      </w:r>
    </w:p>
    <w:p w:rsidR="003B2FC0" w:rsidRDefault="003B2FC0">
      <w:pPr>
        <w:jc w:val="both"/>
        <w:sectPr w:rsidR="003B2FC0">
          <w:headerReference w:type="default" r:id="rId238"/>
          <w:footerReference w:type="default" r:id="rId239"/>
          <w:pgSz w:w="12240" w:h="15840"/>
          <w:pgMar w:top="1360" w:right="1320" w:bottom="1680" w:left="1340" w:header="0" w:footer="1492" w:gutter="0"/>
          <w:pgNumType w:start="28"/>
          <w:cols w:space="720"/>
        </w:sectPr>
      </w:pPr>
    </w:p>
    <w:p w:rsidR="003B2FC0" w:rsidRDefault="00052A49">
      <w:pPr>
        <w:pStyle w:val="BodyText"/>
        <w:spacing w:before="77"/>
        <w:ind w:left="1518" w:right="1539"/>
        <w:rPr>
          <w:rFonts w:ascii="Arial" w:hAnsi="Arial"/>
        </w:rPr>
      </w:pPr>
      <w:r>
        <w:rPr>
          <w:rFonts w:ascii="Arial" w:hAnsi="Arial"/>
        </w:rPr>
        <w:t>the Dawoodi Bohra community under Art. 26(b) of the Constitution.‖</w:t>
      </w:r>
    </w:p>
    <w:p w:rsidR="003B2FC0" w:rsidRDefault="00052A49">
      <w:pPr>
        <w:pStyle w:val="BodyText"/>
        <w:spacing w:before="37"/>
        <w:ind w:left="6046"/>
        <w:rPr>
          <w:rFonts w:ascii="Arial"/>
        </w:rPr>
      </w:pPr>
      <w:r>
        <w:rPr>
          <w:rFonts w:ascii="Arial"/>
        </w:rPr>
        <w:t>(at pp. 536-537)</w:t>
      </w:r>
    </w:p>
    <w:p w:rsidR="003B2FC0" w:rsidRDefault="003B2FC0">
      <w:pPr>
        <w:rPr>
          <w:sz w:val="30"/>
        </w:rPr>
      </w:pPr>
    </w:p>
    <w:p w:rsidR="003B2FC0" w:rsidRDefault="00052A49">
      <w:pPr>
        <w:pStyle w:val="BodyText"/>
        <w:spacing w:before="181" w:line="480" w:lineRule="auto"/>
        <w:ind w:left="383" w:right="401"/>
        <w:jc w:val="both"/>
        <w:rPr>
          <w:rFonts w:ascii="Arial" w:hAnsi="Arial"/>
        </w:rPr>
      </w:pPr>
      <w:r>
        <w:rPr>
          <w:rFonts w:ascii="Arial" w:hAnsi="Arial"/>
        </w:rPr>
        <w:t>In an illuminating concurring judgment, N. Rajagopala Ayyangar, J. upheld the Act on the ground that excommunication is not so much a punishment but is really used as a measure of discipline for the maintenance of the integrity of the Dawoodi Bohra communi</w:t>
      </w:r>
      <w:r>
        <w:rPr>
          <w:rFonts w:ascii="Arial" w:hAnsi="Arial"/>
        </w:rPr>
        <w:t xml:space="preserve">ty. It therefore violates the right to practice religion guaranteed by Articles 25(1) and 26 in that it interferes with the right of the religious head – the Dai – to administer, as trustee, the property of the denomination so as to exclude excommunicated </w:t>
      </w:r>
      <w:r>
        <w:rPr>
          <w:rFonts w:ascii="Arial" w:hAnsi="Arial"/>
        </w:rPr>
        <w:t xml:space="preserve">persons. The learned Judge, however, drew a distinction between the two parts of Article 25(2)(b), stating that </w:t>
      </w:r>
      <w:r>
        <w:rPr>
          <w:rFonts w:ascii="Arial" w:hAnsi="Arial"/>
        </w:rPr>
        <w:t>the</w:t>
      </w:r>
      <w:r>
        <w:rPr>
          <w:rFonts w:ascii="Arial" w:hAnsi="Arial"/>
        </w:rPr>
        <w:t xml:space="preserve"> </w:t>
      </w:r>
      <w:r>
        <w:rPr>
          <w:rFonts w:ascii="Arial" w:hAnsi="Arial"/>
          <w:spacing w:val="-32"/>
        </w:rPr>
        <w:t xml:space="preserve"> </w:t>
      </w:r>
      <w:r>
        <w:rPr>
          <w:rFonts w:ascii="Arial" w:hAnsi="Arial"/>
        </w:rPr>
        <w:t>e</w:t>
      </w:r>
      <w:r>
        <w:rPr>
          <w:rFonts w:ascii="Arial" w:hAnsi="Arial"/>
          <w:spacing w:val="-4"/>
        </w:rPr>
        <w:t>x</w:t>
      </w:r>
      <w:r>
        <w:rPr>
          <w:rFonts w:ascii="Arial" w:hAnsi="Arial"/>
        </w:rPr>
        <w:t>pre</w:t>
      </w:r>
      <w:r>
        <w:rPr>
          <w:rFonts w:ascii="Arial" w:hAnsi="Arial"/>
          <w:spacing w:val="-2"/>
        </w:rPr>
        <w:t>s</w:t>
      </w:r>
      <w:r>
        <w:rPr>
          <w:rFonts w:ascii="Arial" w:hAnsi="Arial"/>
          <w:spacing w:val="1"/>
        </w:rPr>
        <w:t>s</w:t>
      </w:r>
      <w:r>
        <w:rPr>
          <w:rFonts w:ascii="Arial" w:hAnsi="Arial"/>
        </w:rPr>
        <w:t>ion</w:t>
      </w:r>
      <w:r>
        <w:rPr>
          <w:rFonts w:ascii="Arial" w:hAnsi="Arial"/>
        </w:rPr>
        <w:t xml:space="preserve"> </w:t>
      </w:r>
      <w:r>
        <w:rPr>
          <w:rFonts w:ascii="Arial" w:hAnsi="Arial"/>
          <w:spacing w:val="-31"/>
        </w:rPr>
        <w:t xml:space="preserve"> </w:t>
      </w:r>
      <w:r>
        <w:rPr>
          <w:rFonts w:ascii="Arial" w:hAnsi="Arial"/>
          <w:spacing w:val="-3"/>
          <w:w w:val="33"/>
        </w:rPr>
        <w:t>―</w:t>
      </w:r>
      <w:r>
        <w:rPr>
          <w:rFonts w:ascii="Arial" w:hAnsi="Arial"/>
        </w:rPr>
        <w:t>s</w:t>
      </w:r>
      <w:r>
        <w:rPr>
          <w:rFonts w:ascii="Arial" w:hAnsi="Arial"/>
          <w:spacing w:val="-3"/>
        </w:rPr>
        <w:t>o</w:t>
      </w:r>
      <w:r>
        <w:rPr>
          <w:rFonts w:ascii="Arial" w:hAnsi="Arial"/>
        </w:rPr>
        <w:t>cial</w:t>
      </w:r>
      <w:r>
        <w:rPr>
          <w:rFonts w:ascii="Arial" w:hAnsi="Arial"/>
        </w:rPr>
        <w:t xml:space="preserve"> </w:t>
      </w:r>
      <w:r>
        <w:rPr>
          <w:rFonts w:ascii="Arial" w:hAnsi="Arial"/>
          <w:spacing w:val="-32"/>
        </w:rPr>
        <w:t xml:space="preserve"> </w:t>
      </w:r>
      <w:r>
        <w:rPr>
          <w:rFonts w:ascii="Arial" w:hAnsi="Arial"/>
          <w:spacing w:val="-4"/>
        </w:rPr>
        <w:t>w</w:t>
      </w:r>
      <w:r>
        <w:rPr>
          <w:rFonts w:ascii="Arial" w:hAnsi="Arial"/>
        </w:rPr>
        <w:t>elfare</w:t>
      </w:r>
      <w:r>
        <w:rPr>
          <w:rFonts w:ascii="Arial" w:hAnsi="Arial"/>
        </w:rPr>
        <w:t xml:space="preserve"> </w:t>
      </w:r>
      <w:r>
        <w:rPr>
          <w:rFonts w:ascii="Arial" w:hAnsi="Arial"/>
          <w:spacing w:val="-34"/>
        </w:rPr>
        <w:t xml:space="preserve"> </w:t>
      </w:r>
      <w:r>
        <w:rPr>
          <w:rFonts w:ascii="Arial" w:hAnsi="Arial"/>
        </w:rPr>
        <w:t>and</w:t>
      </w:r>
      <w:r>
        <w:rPr>
          <w:rFonts w:ascii="Arial" w:hAnsi="Arial"/>
        </w:rPr>
        <w:t xml:space="preserve"> </w:t>
      </w:r>
      <w:r>
        <w:rPr>
          <w:rFonts w:ascii="Arial" w:hAnsi="Arial"/>
          <w:spacing w:val="-32"/>
        </w:rPr>
        <w:t xml:space="preserve"> </w:t>
      </w:r>
      <w:r>
        <w:rPr>
          <w:rFonts w:ascii="Arial" w:hAnsi="Arial"/>
          <w:spacing w:val="-3"/>
        </w:rPr>
        <w:t>re</w:t>
      </w:r>
      <w:r>
        <w:rPr>
          <w:rFonts w:ascii="Arial" w:hAnsi="Arial"/>
        </w:rPr>
        <w:t>for</w:t>
      </w:r>
      <w:r>
        <w:rPr>
          <w:rFonts w:ascii="Arial" w:hAnsi="Arial"/>
          <w:spacing w:val="1"/>
        </w:rPr>
        <w:t>m</w:t>
      </w:r>
      <w:r>
        <w:rPr>
          <w:rFonts w:ascii="Arial" w:hAnsi="Arial"/>
          <w:w w:val="80"/>
        </w:rPr>
        <w:t>‖</w:t>
      </w:r>
      <w:r>
        <w:rPr>
          <w:rFonts w:ascii="Arial" w:hAnsi="Arial"/>
        </w:rPr>
        <w:t xml:space="preserve"> </w:t>
      </w:r>
      <w:r>
        <w:rPr>
          <w:rFonts w:ascii="Arial" w:hAnsi="Arial"/>
          <w:spacing w:val="-34"/>
        </w:rPr>
        <w:t xml:space="preserve"> </w:t>
      </w:r>
      <w:r>
        <w:rPr>
          <w:rFonts w:ascii="Arial" w:hAnsi="Arial"/>
        </w:rPr>
        <w:t>could</w:t>
      </w:r>
      <w:r>
        <w:rPr>
          <w:rFonts w:ascii="Arial" w:hAnsi="Arial"/>
        </w:rPr>
        <w:t xml:space="preserve"> </w:t>
      </w:r>
      <w:r>
        <w:rPr>
          <w:rFonts w:ascii="Arial" w:hAnsi="Arial"/>
          <w:spacing w:val="-34"/>
        </w:rPr>
        <w:t xml:space="preserve"> </w:t>
      </w:r>
      <w:r>
        <w:rPr>
          <w:rFonts w:ascii="Arial" w:hAnsi="Arial"/>
        </w:rPr>
        <w:t>not</w:t>
      </w:r>
      <w:r>
        <w:rPr>
          <w:rFonts w:ascii="Arial" w:hAnsi="Arial"/>
        </w:rPr>
        <w:t xml:space="preserve"> </w:t>
      </w:r>
      <w:r>
        <w:rPr>
          <w:rFonts w:ascii="Arial" w:hAnsi="Arial"/>
          <w:spacing w:val="-33"/>
        </w:rPr>
        <w:t xml:space="preserve"> </w:t>
      </w:r>
      <w:r>
        <w:rPr>
          <w:rFonts w:ascii="Arial" w:hAnsi="Arial"/>
        </w:rPr>
        <w:t>a</w:t>
      </w:r>
      <w:r>
        <w:rPr>
          <w:rFonts w:ascii="Arial" w:hAnsi="Arial"/>
          <w:spacing w:val="-2"/>
        </w:rPr>
        <w:t>ff</w:t>
      </w:r>
      <w:r>
        <w:rPr>
          <w:rFonts w:ascii="Arial" w:hAnsi="Arial"/>
        </w:rPr>
        <w:t>ect</w:t>
      </w:r>
      <w:r>
        <w:rPr>
          <w:rFonts w:ascii="Arial" w:hAnsi="Arial"/>
        </w:rPr>
        <w:t xml:space="preserve"> </w:t>
      </w:r>
      <w:r>
        <w:rPr>
          <w:rFonts w:ascii="Arial" w:hAnsi="Arial"/>
          <w:spacing w:val="-33"/>
        </w:rPr>
        <w:t xml:space="preserve"> </w:t>
      </w:r>
      <w:r>
        <w:rPr>
          <w:rFonts w:ascii="Arial" w:hAnsi="Arial"/>
          <w:spacing w:val="-3"/>
        </w:rPr>
        <w:t>e</w:t>
      </w:r>
      <w:r>
        <w:rPr>
          <w:rFonts w:ascii="Arial" w:hAnsi="Arial"/>
        </w:rPr>
        <w:t>sse</w:t>
      </w:r>
      <w:r>
        <w:rPr>
          <w:rFonts w:ascii="Arial" w:hAnsi="Arial"/>
          <w:spacing w:val="-3"/>
        </w:rPr>
        <w:t>n</w:t>
      </w:r>
      <w:r>
        <w:rPr>
          <w:rFonts w:ascii="Arial" w:hAnsi="Arial"/>
        </w:rPr>
        <w:t xml:space="preserve">tial </w:t>
      </w:r>
      <w:r>
        <w:rPr>
          <w:rFonts w:ascii="Arial" w:hAnsi="Arial"/>
        </w:rPr>
        <w:t>parts of religious practice as</w:t>
      </w:r>
      <w:r>
        <w:rPr>
          <w:rFonts w:ascii="Arial" w:hAnsi="Arial"/>
          <w:spacing w:val="-5"/>
        </w:rPr>
        <w:t xml:space="preserve"> </w:t>
      </w:r>
      <w:r>
        <w:rPr>
          <w:rFonts w:ascii="Arial" w:hAnsi="Arial"/>
        </w:rPr>
        <w:t>follows:</w:t>
      </w:r>
    </w:p>
    <w:p w:rsidR="003B2FC0" w:rsidRDefault="00052A49">
      <w:pPr>
        <w:pStyle w:val="BodyText"/>
        <w:spacing w:before="199"/>
        <w:ind w:left="1518" w:right="1537"/>
        <w:jc w:val="both"/>
        <w:rPr>
          <w:rFonts w:ascii="Arial" w:hAnsi="Arial"/>
        </w:rPr>
      </w:pPr>
      <w:r>
        <w:rPr>
          <w:rFonts w:ascii="Arial" w:hAnsi="Arial"/>
        </w:rPr>
        <w:t>―But very different considerations arise when one has to deal with legislation which is claimed to be merely a measure ―providing for social welfare and reform.‖ To start with, it has to be admitted that this phrase is, as contrasted with the second portio</w:t>
      </w:r>
      <w:r>
        <w:rPr>
          <w:rFonts w:ascii="Arial" w:hAnsi="Arial"/>
        </w:rPr>
        <w:t>n of Art. 25(2)(b), far from precise and is flexible in its content. In this connection it has to be borne in mind that limitations imposed on religious practices on the ground of public order, morality or health have already been saved by the opening word</w:t>
      </w:r>
      <w:r>
        <w:rPr>
          <w:rFonts w:ascii="Arial" w:hAnsi="Arial"/>
        </w:rPr>
        <w:t>s of Art. 25(1) and the saving would cover beliefs and</w:t>
      </w:r>
    </w:p>
    <w:p w:rsidR="003B2FC0" w:rsidRDefault="003B2FC0">
      <w:pPr>
        <w:jc w:val="both"/>
        <w:sectPr w:rsidR="003B2FC0">
          <w:headerReference w:type="default" r:id="rId240"/>
          <w:footerReference w:type="default" r:id="rId241"/>
          <w:pgSz w:w="12240" w:h="15840"/>
          <w:pgMar w:top="1360" w:right="1320" w:bottom="1680" w:left="1340" w:header="0" w:footer="1492" w:gutter="0"/>
          <w:pgNumType w:start="29"/>
          <w:cols w:space="720"/>
        </w:sectPr>
      </w:pPr>
    </w:p>
    <w:p w:rsidR="003B2FC0" w:rsidRDefault="00052A49">
      <w:pPr>
        <w:pStyle w:val="BodyText"/>
        <w:spacing w:before="77"/>
        <w:ind w:left="1518" w:right="1536"/>
        <w:jc w:val="both"/>
        <w:rPr>
          <w:rFonts w:ascii="Arial" w:hAnsi="Arial"/>
        </w:rPr>
      </w:pPr>
      <w:r>
        <w:rPr>
          <w:rFonts w:ascii="Arial" w:hAnsi="Arial"/>
        </w:rPr>
        <w:t>practices even though considered essential or vital by those professing the religion. I consider that in the context in which the phrase occurs, it is intended to save the validity only of those laws which do not invade the basic and essential practices of</w:t>
      </w:r>
      <w:r>
        <w:rPr>
          <w:rFonts w:ascii="Arial" w:hAnsi="Arial"/>
        </w:rPr>
        <w:t xml:space="preserve"> religion which are guaranteed by the operative portion of  Art. 25(1) for two reasons: (1) To read the saving as covering even the basic essential practices of religion, would in effect nullify and render meaningless the entire guarantee of religious free</w:t>
      </w:r>
      <w:r>
        <w:rPr>
          <w:rFonts w:ascii="Arial" w:hAnsi="Arial"/>
        </w:rPr>
        <w:t xml:space="preserve">dom — a freedom not merely to profess, but to practice religion, for very few pieces of legislation for abrogating religious practices could fail to be </w:t>
      </w:r>
      <w:r>
        <w:rPr>
          <w:rFonts w:ascii="Arial" w:hAnsi="Arial"/>
        </w:rPr>
        <w:t>s</w:t>
      </w:r>
      <w:r>
        <w:rPr>
          <w:rFonts w:ascii="Arial" w:hAnsi="Arial"/>
          <w:spacing w:val="-1"/>
        </w:rPr>
        <w:t>u</w:t>
      </w:r>
      <w:r>
        <w:rPr>
          <w:rFonts w:ascii="Arial" w:hAnsi="Arial"/>
          <w:spacing w:val="-3"/>
        </w:rPr>
        <w:t>b</w:t>
      </w:r>
      <w:r>
        <w:rPr>
          <w:rFonts w:ascii="Arial" w:hAnsi="Arial"/>
        </w:rPr>
        <w:t>s</w:t>
      </w:r>
      <w:r>
        <w:rPr>
          <w:rFonts w:ascii="Arial" w:hAnsi="Arial"/>
          <w:spacing w:val="-1"/>
        </w:rPr>
        <w:t>u</w:t>
      </w:r>
      <w:r>
        <w:rPr>
          <w:rFonts w:ascii="Arial" w:hAnsi="Arial"/>
          <w:spacing w:val="-2"/>
        </w:rPr>
        <w:t>m</w:t>
      </w:r>
      <w:r>
        <w:rPr>
          <w:rFonts w:ascii="Arial" w:hAnsi="Arial"/>
          <w:spacing w:val="-1"/>
        </w:rPr>
        <w:t>e</w:t>
      </w:r>
      <w:r>
        <w:rPr>
          <w:rFonts w:ascii="Arial" w:hAnsi="Arial"/>
        </w:rPr>
        <w:t>d</w:t>
      </w:r>
      <w:r>
        <w:rPr>
          <w:rFonts w:ascii="Arial" w:hAnsi="Arial"/>
        </w:rPr>
        <w:t xml:space="preserve"> </w:t>
      </w:r>
      <w:r>
        <w:rPr>
          <w:rFonts w:ascii="Arial" w:hAnsi="Arial"/>
          <w:spacing w:val="28"/>
        </w:rPr>
        <w:t xml:space="preserve"> </w:t>
      </w:r>
      <w:r>
        <w:rPr>
          <w:rFonts w:ascii="Arial" w:hAnsi="Arial"/>
          <w:spacing w:val="-1"/>
        </w:rPr>
        <w:t>unde</w:t>
      </w:r>
      <w:r>
        <w:rPr>
          <w:rFonts w:ascii="Arial" w:hAnsi="Arial"/>
        </w:rPr>
        <w:t>r</w:t>
      </w:r>
      <w:r>
        <w:rPr>
          <w:rFonts w:ascii="Arial" w:hAnsi="Arial"/>
        </w:rPr>
        <w:t xml:space="preserve"> </w:t>
      </w:r>
      <w:r>
        <w:rPr>
          <w:rFonts w:ascii="Arial" w:hAnsi="Arial"/>
          <w:spacing w:val="26"/>
        </w:rPr>
        <w:t xml:space="preserve"> </w:t>
      </w:r>
      <w:r>
        <w:rPr>
          <w:rFonts w:ascii="Arial" w:hAnsi="Arial"/>
          <w:spacing w:val="-2"/>
        </w:rPr>
        <w:t>t</w:t>
      </w:r>
      <w:r>
        <w:rPr>
          <w:rFonts w:ascii="Arial" w:hAnsi="Arial"/>
          <w:spacing w:val="-1"/>
        </w:rPr>
        <w:t>h</w:t>
      </w:r>
      <w:r>
        <w:rPr>
          <w:rFonts w:ascii="Arial" w:hAnsi="Arial"/>
        </w:rPr>
        <w:t>e</w:t>
      </w:r>
      <w:r>
        <w:rPr>
          <w:rFonts w:ascii="Arial" w:hAnsi="Arial"/>
        </w:rPr>
        <w:t xml:space="preserve"> </w:t>
      </w:r>
      <w:r>
        <w:rPr>
          <w:rFonts w:ascii="Arial" w:hAnsi="Arial"/>
          <w:spacing w:val="28"/>
        </w:rPr>
        <w:t xml:space="preserve"> </w:t>
      </w:r>
      <w:r>
        <w:rPr>
          <w:rFonts w:ascii="Arial" w:hAnsi="Arial"/>
        </w:rPr>
        <w:t>c</w:t>
      </w:r>
      <w:r>
        <w:rPr>
          <w:rFonts w:ascii="Arial" w:hAnsi="Arial"/>
          <w:spacing w:val="-1"/>
        </w:rPr>
        <w:t>a</w:t>
      </w:r>
      <w:r>
        <w:rPr>
          <w:rFonts w:ascii="Arial" w:hAnsi="Arial"/>
          <w:spacing w:val="-3"/>
        </w:rPr>
        <w:t>p</w:t>
      </w:r>
      <w:r>
        <w:rPr>
          <w:rFonts w:ascii="Arial" w:hAnsi="Arial"/>
        </w:rPr>
        <w:t>t</w:t>
      </w:r>
      <w:r>
        <w:rPr>
          <w:rFonts w:ascii="Arial" w:hAnsi="Arial"/>
          <w:spacing w:val="-1"/>
        </w:rPr>
        <w:t>io</w:t>
      </w:r>
      <w:r>
        <w:rPr>
          <w:rFonts w:ascii="Arial" w:hAnsi="Arial"/>
        </w:rPr>
        <w:t>n</w:t>
      </w:r>
      <w:r>
        <w:rPr>
          <w:rFonts w:ascii="Arial" w:hAnsi="Arial"/>
        </w:rPr>
        <w:t xml:space="preserve"> </w:t>
      </w:r>
      <w:r>
        <w:rPr>
          <w:rFonts w:ascii="Arial" w:hAnsi="Arial"/>
          <w:spacing w:val="26"/>
        </w:rPr>
        <w:t xml:space="preserve"> </w:t>
      </w:r>
      <w:r>
        <w:rPr>
          <w:rFonts w:ascii="Arial" w:hAnsi="Arial"/>
          <w:spacing w:val="-1"/>
        </w:rPr>
        <w:t>o</w:t>
      </w:r>
      <w:r>
        <w:rPr>
          <w:rFonts w:ascii="Arial" w:hAnsi="Arial"/>
        </w:rPr>
        <w:t>f</w:t>
      </w:r>
      <w:r>
        <w:rPr>
          <w:rFonts w:ascii="Arial" w:hAnsi="Arial"/>
        </w:rPr>
        <w:t xml:space="preserve"> </w:t>
      </w:r>
      <w:r>
        <w:rPr>
          <w:rFonts w:ascii="Arial" w:hAnsi="Arial"/>
          <w:spacing w:val="29"/>
        </w:rPr>
        <w:t xml:space="preserve"> </w:t>
      </w:r>
      <w:r>
        <w:rPr>
          <w:rFonts w:ascii="Arial" w:hAnsi="Arial"/>
          <w:spacing w:val="-3"/>
          <w:w w:val="33"/>
        </w:rPr>
        <w:t>―</w:t>
      </w:r>
      <w:r>
        <w:rPr>
          <w:rFonts w:ascii="Arial" w:hAnsi="Arial"/>
        </w:rPr>
        <w:t>a</w:t>
      </w:r>
      <w:r>
        <w:rPr>
          <w:rFonts w:ascii="Arial" w:hAnsi="Arial"/>
        </w:rPr>
        <w:t xml:space="preserve"> </w:t>
      </w:r>
      <w:r>
        <w:rPr>
          <w:rFonts w:ascii="Arial" w:hAnsi="Arial"/>
          <w:spacing w:val="26"/>
        </w:rPr>
        <w:t xml:space="preserve"> </w:t>
      </w:r>
      <w:r>
        <w:rPr>
          <w:rFonts w:ascii="Arial" w:hAnsi="Arial"/>
          <w:spacing w:val="-1"/>
        </w:rPr>
        <w:t>pro</w:t>
      </w:r>
      <w:r>
        <w:rPr>
          <w:rFonts w:ascii="Arial" w:hAnsi="Arial"/>
          <w:spacing w:val="-4"/>
        </w:rPr>
        <w:t>v</w:t>
      </w:r>
      <w:r>
        <w:rPr>
          <w:rFonts w:ascii="Arial" w:hAnsi="Arial"/>
          <w:spacing w:val="-1"/>
        </w:rPr>
        <w:t>i</w:t>
      </w:r>
      <w:r>
        <w:rPr>
          <w:rFonts w:ascii="Arial" w:hAnsi="Arial"/>
        </w:rPr>
        <w:t>s</w:t>
      </w:r>
      <w:r>
        <w:rPr>
          <w:rFonts w:ascii="Arial" w:hAnsi="Arial"/>
          <w:spacing w:val="-1"/>
        </w:rPr>
        <w:t>io</w:t>
      </w:r>
      <w:r>
        <w:rPr>
          <w:rFonts w:ascii="Arial" w:hAnsi="Arial"/>
        </w:rPr>
        <w:t>n</w:t>
      </w:r>
      <w:r>
        <w:rPr>
          <w:rFonts w:ascii="Arial" w:hAnsi="Arial"/>
        </w:rPr>
        <w:t xml:space="preserve"> </w:t>
      </w:r>
      <w:r>
        <w:rPr>
          <w:rFonts w:ascii="Arial" w:hAnsi="Arial"/>
          <w:spacing w:val="28"/>
        </w:rPr>
        <w:t xml:space="preserve"> </w:t>
      </w:r>
      <w:r>
        <w:rPr>
          <w:rFonts w:ascii="Arial" w:hAnsi="Arial"/>
        </w:rPr>
        <w:t>f</w:t>
      </w:r>
      <w:r>
        <w:rPr>
          <w:rFonts w:ascii="Arial" w:hAnsi="Arial"/>
          <w:spacing w:val="-3"/>
        </w:rPr>
        <w:t>o</w:t>
      </w:r>
      <w:r>
        <w:rPr>
          <w:rFonts w:ascii="Arial" w:hAnsi="Arial"/>
        </w:rPr>
        <w:t xml:space="preserve">r </w:t>
      </w:r>
      <w:r>
        <w:rPr>
          <w:rFonts w:ascii="Arial" w:hAnsi="Arial"/>
        </w:rPr>
        <w:t xml:space="preserve">social welfare or reform.‖ (2) If the phrase just </w:t>
      </w:r>
      <w:r>
        <w:rPr>
          <w:rFonts w:ascii="Arial" w:hAnsi="Arial"/>
        </w:rPr>
        <w:t xml:space="preserve">quoted was intended to have such a wide operation as cutting at even the essentials guaranteed by Art. 25(1), there would have been no need for the </w:t>
      </w:r>
      <w:r>
        <w:rPr>
          <w:rFonts w:ascii="Arial" w:hAnsi="Arial"/>
        </w:rPr>
        <w:t>s</w:t>
      </w:r>
      <w:r>
        <w:rPr>
          <w:rFonts w:ascii="Arial" w:hAnsi="Arial"/>
          <w:spacing w:val="-1"/>
        </w:rPr>
        <w:t>p</w:t>
      </w:r>
      <w:r>
        <w:rPr>
          <w:rFonts w:ascii="Arial" w:hAnsi="Arial"/>
          <w:spacing w:val="-3"/>
        </w:rPr>
        <w:t>e</w:t>
      </w:r>
      <w:r>
        <w:rPr>
          <w:rFonts w:ascii="Arial" w:hAnsi="Arial"/>
        </w:rPr>
        <w:t>c</w:t>
      </w:r>
      <w:r>
        <w:rPr>
          <w:rFonts w:ascii="Arial" w:hAnsi="Arial"/>
          <w:spacing w:val="-1"/>
        </w:rPr>
        <w:t>ia</w:t>
      </w:r>
      <w:r>
        <w:rPr>
          <w:rFonts w:ascii="Arial" w:hAnsi="Arial"/>
        </w:rPr>
        <w:t>l</w:t>
      </w:r>
      <w:r>
        <w:rPr>
          <w:rFonts w:ascii="Arial" w:hAnsi="Arial"/>
        </w:rPr>
        <w:t xml:space="preserve"> </w:t>
      </w:r>
      <w:r>
        <w:rPr>
          <w:rFonts w:ascii="Arial" w:hAnsi="Arial"/>
          <w:spacing w:val="24"/>
        </w:rPr>
        <w:t xml:space="preserve"> </w:t>
      </w:r>
      <w:r>
        <w:rPr>
          <w:rFonts w:ascii="Arial" w:hAnsi="Arial"/>
          <w:spacing w:val="-1"/>
        </w:rPr>
        <w:t>pro</w:t>
      </w:r>
      <w:r>
        <w:rPr>
          <w:rFonts w:ascii="Arial" w:hAnsi="Arial"/>
          <w:spacing w:val="-4"/>
        </w:rPr>
        <w:t>v</w:t>
      </w:r>
      <w:r>
        <w:rPr>
          <w:rFonts w:ascii="Arial" w:hAnsi="Arial"/>
          <w:spacing w:val="-1"/>
        </w:rPr>
        <w:t>i</w:t>
      </w:r>
      <w:r>
        <w:rPr>
          <w:rFonts w:ascii="Arial" w:hAnsi="Arial"/>
        </w:rPr>
        <w:t>s</w:t>
      </w:r>
      <w:r>
        <w:rPr>
          <w:rFonts w:ascii="Arial" w:hAnsi="Arial"/>
          <w:spacing w:val="-1"/>
        </w:rPr>
        <w:t>io</w:t>
      </w:r>
      <w:r>
        <w:rPr>
          <w:rFonts w:ascii="Arial" w:hAnsi="Arial"/>
        </w:rPr>
        <w:t>n</w:t>
      </w:r>
      <w:r>
        <w:rPr>
          <w:rFonts w:ascii="Arial" w:hAnsi="Arial"/>
        </w:rPr>
        <w:t xml:space="preserve"> </w:t>
      </w:r>
      <w:r>
        <w:rPr>
          <w:rFonts w:ascii="Arial" w:hAnsi="Arial"/>
          <w:spacing w:val="21"/>
        </w:rPr>
        <w:t xml:space="preserve"> </w:t>
      </w:r>
      <w:r>
        <w:rPr>
          <w:rFonts w:ascii="Arial" w:hAnsi="Arial"/>
          <w:spacing w:val="-1"/>
        </w:rPr>
        <w:t>a</w:t>
      </w:r>
      <w:r>
        <w:rPr>
          <w:rFonts w:ascii="Arial" w:hAnsi="Arial"/>
        </w:rPr>
        <w:t>s</w:t>
      </w:r>
      <w:r>
        <w:rPr>
          <w:rFonts w:ascii="Arial" w:hAnsi="Arial"/>
        </w:rPr>
        <w:t xml:space="preserve"> </w:t>
      </w:r>
      <w:r>
        <w:rPr>
          <w:rFonts w:ascii="Arial" w:hAnsi="Arial"/>
          <w:spacing w:val="24"/>
        </w:rPr>
        <w:t xml:space="preserve"> </w:t>
      </w:r>
      <w:r>
        <w:rPr>
          <w:rFonts w:ascii="Arial" w:hAnsi="Arial"/>
          <w:spacing w:val="-2"/>
        </w:rPr>
        <w:t>t</w:t>
      </w:r>
      <w:r>
        <w:rPr>
          <w:rFonts w:ascii="Arial" w:hAnsi="Arial"/>
        </w:rPr>
        <w:t>o</w:t>
      </w:r>
      <w:r>
        <w:rPr>
          <w:rFonts w:ascii="Arial" w:hAnsi="Arial"/>
        </w:rPr>
        <w:t xml:space="preserve"> </w:t>
      </w:r>
      <w:r>
        <w:rPr>
          <w:rFonts w:ascii="Arial" w:hAnsi="Arial"/>
          <w:spacing w:val="24"/>
        </w:rPr>
        <w:t xml:space="preserve"> </w:t>
      </w:r>
      <w:r>
        <w:rPr>
          <w:rFonts w:ascii="Arial" w:hAnsi="Arial"/>
          <w:w w:val="47"/>
        </w:rPr>
        <w:t>―t</w:t>
      </w:r>
      <w:r>
        <w:rPr>
          <w:rFonts w:ascii="Arial" w:hAnsi="Arial"/>
          <w:spacing w:val="-3"/>
        </w:rPr>
        <w:t>h</w:t>
      </w:r>
      <w:r>
        <w:rPr>
          <w:rFonts w:ascii="Arial" w:hAnsi="Arial"/>
        </w:rPr>
        <w:t>ro</w:t>
      </w:r>
      <w:r>
        <w:rPr>
          <w:rFonts w:ascii="Arial" w:hAnsi="Arial"/>
          <w:spacing w:val="-4"/>
        </w:rPr>
        <w:t>w</w:t>
      </w:r>
      <w:r>
        <w:rPr>
          <w:rFonts w:ascii="Arial" w:hAnsi="Arial"/>
          <w:spacing w:val="-1"/>
        </w:rPr>
        <w:t>in</w:t>
      </w:r>
      <w:r>
        <w:rPr>
          <w:rFonts w:ascii="Arial" w:hAnsi="Arial"/>
        </w:rPr>
        <w:t>g</w:t>
      </w:r>
      <w:r>
        <w:rPr>
          <w:rFonts w:ascii="Arial" w:hAnsi="Arial"/>
        </w:rPr>
        <w:t xml:space="preserve"> </w:t>
      </w:r>
      <w:r>
        <w:rPr>
          <w:rFonts w:ascii="Arial" w:hAnsi="Arial"/>
          <w:spacing w:val="23"/>
        </w:rPr>
        <w:t xml:space="preserve"> </w:t>
      </w:r>
      <w:r>
        <w:rPr>
          <w:rFonts w:ascii="Arial" w:hAnsi="Arial"/>
          <w:spacing w:val="-1"/>
        </w:rPr>
        <w:t>ope</w:t>
      </w:r>
      <w:r>
        <w:rPr>
          <w:rFonts w:ascii="Arial" w:hAnsi="Arial"/>
        </w:rPr>
        <w:t>n</w:t>
      </w:r>
      <w:r>
        <w:rPr>
          <w:rFonts w:ascii="Arial" w:hAnsi="Arial"/>
        </w:rPr>
        <w:t xml:space="preserve"> </w:t>
      </w:r>
      <w:r>
        <w:rPr>
          <w:rFonts w:ascii="Arial" w:hAnsi="Arial"/>
          <w:spacing w:val="23"/>
        </w:rPr>
        <w:t xml:space="preserve"> </w:t>
      </w:r>
      <w:r>
        <w:rPr>
          <w:rFonts w:ascii="Arial" w:hAnsi="Arial"/>
          <w:spacing w:val="-1"/>
        </w:rPr>
        <w:t>o</w:t>
      </w:r>
      <w:r>
        <w:rPr>
          <w:rFonts w:ascii="Arial" w:hAnsi="Arial"/>
        </w:rPr>
        <w:t>f</w:t>
      </w:r>
      <w:r>
        <w:rPr>
          <w:rFonts w:ascii="Arial" w:hAnsi="Arial"/>
        </w:rPr>
        <w:t xml:space="preserve"> </w:t>
      </w:r>
      <w:r>
        <w:rPr>
          <w:rFonts w:ascii="Arial" w:hAnsi="Arial"/>
          <w:spacing w:val="24"/>
        </w:rPr>
        <w:t xml:space="preserve"> </w:t>
      </w:r>
      <w:r>
        <w:rPr>
          <w:rFonts w:ascii="Arial" w:hAnsi="Arial"/>
          <w:spacing w:val="-2"/>
        </w:rPr>
        <w:t>H</w:t>
      </w:r>
      <w:r>
        <w:rPr>
          <w:rFonts w:ascii="Arial" w:hAnsi="Arial"/>
          <w:spacing w:val="-1"/>
        </w:rPr>
        <w:t>in</w:t>
      </w:r>
      <w:r>
        <w:rPr>
          <w:rFonts w:ascii="Arial" w:hAnsi="Arial"/>
          <w:spacing w:val="-3"/>
        </w:rPr>
        <w:t>d</w:t>
      </w:r>
      <w:r>
        <w:rPr>
          <w:rFonts w:ascii="Arial" w:hAnsi="Arial"/>
        </w:rPr>
        <w:t xml:space="preserve">u </w:t>
      </w:r>
      <w:r>
        <w:rPr>
          <w:rFonts w:ascii="Arial" w:hAnsi="Arial"/>
        </w:rPr>
        <w:t>religious institutions‖ to all classes and sections of Hindus since the legislation contemplated by this provision would be par excellence one of social reform.</w:t>
      </w:r>
    </w:p>
    <w:p w:rsidR="003B2FC0" w:rsidRDefault="003B2FC0">
      <w:pPr>
        <w:spacing w:before="9"/>
        <w:rPr>
          <w:sz w:val="34"/>
        </w:rPr>
      </w:pPr>
    </w:p>
    <w:p w:rsidR="003B2FC0" w:rsidRDefault="00052A49">
      <w:pPr>
        <w:pStyle w:val="BodyText"/>
        <w:ind w:left="1518" w:right="1536"/>
        <w:jc w:val="both"/>
        <w:rPr>
          <w:rFonts w:ascii="Arial" w:hAnsi="Arial"/>
        </w:rPr>
      </w:pPr>
      <w:r>
        <w:rPr>
          <w:rFonts w:ascii="Arial" w:hAnsi="Arial"/>
        </w:rPr>
        <w:t>In my view by the phrase ―laws providing for social welfare and reform‖ it was not intended to</w:t>
      </w:r>
      <w:r>
        <w:rPr>
          <w:rFonts w:ascii="Arial" w:hAnsi="Arial"/>
        </w:rPr>
        <w:t xml:space="preserve"> enable </w:t>
      </w:r>
      <w:r>
        <w:rPr>
          <w:rFonts w:ascii="Arial" w:hAnsi="Arial"/>
        </w:rPr>
        <w:t>t</w:t>
      </w:r>
      <w:r>
        <w:rPr>
          <w:rFonts w:ascii="Arial" w:hAnsi="Arial"/>
          <w:spacing w:val="-1"/>
        </w:rPr>
        <w:t>h</w:t>
      </w:r>
      <w:r>
        <w:rPr>
          <w:rFonts w:ascii="Arial" w:hAnsi="Arial"/>
        </w:rPr>
        <w:t>e</w:t>
      </w:r>
      <w:r>
        <w:rPr>
          <w:rFonts w:ascii="Arial" w:hAnsi="Arial"/>
          <w:spacing w:val="17"/>
        </w:rPr>
        <w:t xml:space="preserve"> </w:t>
      </w:r>
      <w:r>
        <w:rPr>
          <w:rFonts w:ascii="Arial" w:hAnsi="Arial"/>
          <w:spacing w:val="-1"/>
        </w:rPr>
        <w:t>le</w:t>
      </w:r>
      <w:r>
        <w:rPr>
          <w:rFonts w:ascii="Arial" w:hAnsi="Arial"/>
          <w:spacing w:val="-3"/>
        </w:rPr>
        <w:t>g</w:t>
      </w:r>
      <w:r>
        <w:rPr>
          <w:rFonts w:ascii="Arial" w:hAnsi="Arial"/>
          <w:spacing w:val="-1"/>
        </w:rPr>
        <w:t>i</w:t>
      </w:r>
      <w:r>
        <w:rPr>
          <w:rFonts w:ascii="Arial" w:hAnsi="Arial"/>
        </w:rPr>
        <w:t>s</w:t>
      </w:r>
      <w:r>
        <w:rPr>
          <w:rFonts w:ascii="Arial" w:hAnsi="Arial"/>
          <w:spacing w:val="-1"/>
        </w:rPr>
        <w:t>l</w:t>
      </w:r>
      <w:r>
        <w:rPr>
          <w:rFonts w:ascii="Arial" w:hAnsi="Arial"/>
          <w:spacing w:val="-3"/>
        </w:rPr>
        <w:t>a</w:t>
      </w:r>
      <w:r>
        <w:rPr>
          <w:rFonts w:ascii="Arial" w:hAnsi="Arial"/>
        </w:rPr>
        <w:t>t</w:t>
      </w:r>
      <w:r>
        <w:rPr>
          <w:rFonts w:ascii="Arial" w:hAnsi="Arial"/>
          <w:spacing w:val="-1"/>
        </w:rPr>
        <w:t>ur</w:t>
      </w:r>
      <w:r>
        <w:rPr>
          <w:rFonts w:ascii="Arial" w:hAnsi="Arial"/>
        </w:rPr>
        <w:t>e</w:t>
      </w:r>
      <w:r>
        <w:rPr>
          <w:rFonts w:ascii="Arial" w:hAnsi="Arial"/>
          <w:spacing w:val="15"/>
        </w:rPr>
        <w:t xml:space="preserve"> </w:t>
      </w:r>
      <w:r>
        <w:rPr>
          <w:rFonts w:ascii="Arial" w:hAnsi="Arial"/>
        </w:rPr>
        <w:t>to</w:t>
      </w:r>
      <w:r>
        <w:rPr>
          <w:rFonts w:ascii="Arial" w:hAnsi="Arial"/>
          <w:spacing w:val="15"/>
        </w:rPr>
        <w:t xml:space="preserve"> </w:t>
      </w:r>
      <w:r>
        <w:rPr>
          <w:rFonts w:ascii="Arial" w:hAnsi="Arial"/>
          <w:w w:val="50"/>
        </w:rPr>
        <w:t>―</w:t>
      </w:r>
      <w:r>
        <w:rPr>
          <w:rFonts w:ascii="Arial" w:hAnsi="Arial"/>
          <w:spacing w:val="-3"/>
          <w:w w:val="50"/>
        </w:rPr>
        <w:t>r</w:t>
      </w:r>
      <w:r>
        <w:rPr>
          <w:rFonts w:ascii="Arial" w:hAnsi="Arial"/>
          <w:spacing w:val="-1"/>
        </w:rPr>
        <w:t>e</w:t>
      </w:r>
      <w:r>
        <w:rPr>
          <w:rFonts w:ascii="Arial" w:hAnsi="Arial"/>
        </w:rPr>
        <w:t>f</w:t>
      </w:r>
      <w:r>
        <w:rPr>
          <w:rFonts w:ascii="Arial" w:hAnsi="Arial"/>
          <w:spacing w:val="-1"/>
        </w:rPr>
        <w:t>or</w:t>
      </w:r>
      <w:r>
        <w:rPr>
          <w:rFonts w:ascii="Arial" w:hAnsi="Arial"/>
          <w:spacing w:val="-2"/>
        </w:rPr>
        <w:t>m</w:t>
      </w:r>
      <w:r>
        <w:rPr>
          <w:rFonts w:ascii="Arial" w:hAnsi="Arial"/>
          <w:w w:val="80"/>
        </w:rPr>
        <w:t>‖</w:t>
      </w:r>
      <w:r>
        <w:rPr>
          <w:rFonts w:ascii="Arial" w:hAnsi="Arial"/>
          <w:spacing w:val="17"/>
        </w:rPr>
        <w:t xml:space="preserve"> </w:t>
      </w:r>
      <w:r>
        <w:rPr>
          <w:rFonts w:ascii="Arial" w:hAnsi="Arial"/>
        </w:rPr>
        <w:t>a</w:t>
      </w:r>
      <w:r>
        <w:rPr>
          <w:rFonts w:ascii="Arial" w:hAnsi="Arial"/>
          <w:spacing w:val="15"/>
        </w:rPr>
        <w:t xml:space="preserve"> </w:t>
      </w:r>
      <w:r>
        <w:rPr>
          <w:rFonts w:ascii="Arial" w:hAnsi="Arial"/>
        </w:rPr>
        <w:t>religi</w:t>
      </w:r>
      <w:r>
        <w:rPr>
          <w:rFonts w:ascii="Arial" w:hAnsi="Arial"/>
          <w:spacing w:val="-3"/>
        </w:rPr>
        <w:t>o</w:t>
      </w:r>
      <w:r>
        <w:rPr>
          <w:rFonts w:ascii="Arial" w:hAnsi="Arial"/>
        </w:rPr>
        <w:t>n</w:t>
      </w:r>
      <w:r>
        <w:rPr>
          <w:rFonts w:ascii="Arial" w:hAnsi="Arial"/>
          <w:spacing w:val="17"/>
        </w:rPr>
        <w:t xml:space="preserve"> </w:t>
      </w:r>
      <w:r>
        <w:rPr>
          <w:rFonts w:ascii="Arial" w:hAnsi="Arial"/>
          <w:spacing w:val="-3"/>
        </w:rPr>
        <w:t>o</w:t>
      </w:r>
      <w:r>
        <w:rPr>
          <w:rFonts w:ascii="Arial" w:hAnsi="Arial"/>
          <w:spacing w:val="-1"/>
        </w:rPr>
        <w:t>u</w:t>
      </w:r>
      <w:r>
        <w:rPr>
          <w:rFonts w:ascii="Arial" w:hAnsi="Arial"/>
        </w:rPr>
        <w:t>t</w:t>
      </w:r>
      <w:r>
        <w:rPr>
          <w:rFonts w:ascii="Arial" w:hAnsi="Arial"/>
          <w:spacing w:val="18"/>
        </w:rPr>
        <w:t xml:space="preserve"> </w:t>
      </w:r>
      <w:r>
        <w:rPr>
          <w:rFonts w:ascii="Arial" w:hAnsi="Arial"/>
          <w:spacing w:val="2"/>
        </w:rPr>
        <w:t>o</w:t>
      </w:r>
      <w:r>
        <w:rPr>
          <w:rFonts w:ascii="Arial" w:hAnsi="Arial"/>
        </w:rPr>
        <w:t>f</w:t>
      </w:r>
      <w:r>
        <w:rPr>
          <w:rFonts w:ascii="Arial" w:hAnsi="Arial"/>
          <w:spacing w:val="18"/>
        </w:rPr>
        <w:t xml:space="preserve"> </w:t>
      </w:r>
      <w:r>
        <w:rPr>
          <w:rFonts w:ascii="Arial" w:hAnsi="Arial"/>
        </w:rPr>
        <w:t>e</w:t>
      </w:r>
      <w:r>
        <w:rPr>
          <w:rFonts w:ascii="Arial" w:hAnsi="Arial"/>
          <w:spacing w:val="-4"/>
        </w:rPr>
        <w:t>x</w:t>
      </w:r>
      <w:r>
        <w:rPr>
          <w:rFonts w:ascii="Arial" w:hAnsi="Arial"/>
        </w:rPr>
        <w:t>iste</w:t>
      </w:r>
      <w:r>
        <w:rPr>
          <w:rFonts w:ascii="Arial" w:hAnsi="Arial"/>
          <w:spacing w:val="-3"/>
        </w:rPr>
        <w:t>n</w:t>
      </w:r>
      <w:r>
        <w:rPr>
          <w:rFonts w:ascii="Arial" w:hAnsi="Arial"/>
          <w:spacing w:val="-2"/>
        </w:rPr>
        <w:t>c</w:t>
      </w:r>
      <w:r>
        <w:rPr>
          <w:rFonts w:ascii="Arial" w:hAnsi="Arial"/>
        </w:rPr>
        <w:t xml:space="preserve">e </w:t>
      </w:r>
      <w:r>
        <w:rPr>
          <w:rFonts w:ascii="Arial" w:hAnsi="Arial"/>
        </w:rPr>
        <w:t>or identity. Art. 25(2)(a) having provided for legislation</w:t>
      </w:r>
      <w:r>
        <w:rPr>
          <w:rFonts w:ascii="Arial" w:hAnsi="Arial"/>
          <w:spacing w:val="-26"/>
        </w:rPr>
        <w:t xml:space="preserve"> </w:t>
      </w:r>
      <w:r>
        <w:rPr>
          <w:rFonts w:ascii="Arial" w:hAnsi="Arial"/>
        </w:rPr>
        <w:t>dealing</w:t>
      </w:r>
      <w:r>
        <w:rPr>
          <w:rFonts w:ascii="Arial" w:hAnsi="Arial"/>
          <w:spacing w:val="-28"/>
        </w:rPr>
        <w:t xml:space="preserve"> </w:t>
      </w:r>
      <w:r>
        <w:rPr>
          <w:rFonts w:ascii="Arial" w:hAnsi="Arial"/>
        </w:rPr>
        <w:t>with</w:t>
      </w:r>
      <w:r>
        <w:rPr>
          <w:rFonts w:ascii="Arial" w:hAnsi="Arial"/>
          <w:spacing w:val="-26"/>
        </w:rPr>
        <w:t xml:space="preserve"> </w:t>
      </w:r>
      <w:r>
        <w:rPr>
          <w:rFonts w:ascii="Arial" w:hAnsi="Arial"/>
        </w:rPr>
        <w:t>―economic,</w:t>
      </w:r>
      <w:r>
        <w:rPr>
          <w:rFonts w:ascii="Arial" w:hAnsi="Arial"/>
          <w:spacing w:val="-26"/>
        </w:rPr>
        <w:t xml:space="preserve"> </w:t>
      </w:r>
      <w:r>
        <w:rPr>
          <w:rFonts w:ascii="Arial" w:hAnsi="Arial"/>
        </w:rPr>
        <w:t>financial,</w:t>
      </w:r>
      <w:r>
        <w:rPr>
          <w:rFonts w:ascii="Arial" w:hAnsi="Arial"/>
          <w:spacing w:val="-25"/>
        </w:rPr>
        <w:t xml:space="preserve"> </w:t>
      </w:r>
      <w:r>
        <w:rPr>
          <w:rFonts w:ascii="Arial" w:hAnsi="Arial"/>
        </w:rPr>
        <w:t xml:space="preserve">political or secular activity which may be </w:t>
      </w:r>
      <w:r>
        <w:rPr>
          <w:rFonts w:ascii="Arial" w:hAnsi="Arial"/>
          <w:i/>
        </w:rPr>
        <w:t xml:space="preserve">associated </w:t>
      </w:r>
      <w:r>
        <w:rPr>
          <w:rFonts w:ascii="Arial" w:hAnsi="Arial"/>
        </w:rPr>
        <w:t xml:space="preserve">with religious practices‖, the succeeding clause proceeds to deal with other activities of religious groups and these also must be those which are </w:t>
      </w:r>
      <w:r>
        <w:rPr>
          <w:rFonts w:ascii="Arial" w:hAnsi="Arial"/>
          <w:i/>
        </w:rPr>
        <w:t xml:space="preserve">associated </w:t>
      </w:r>
      <w:r>
        <w:rPr>
          <w:rFonts w:ascii="Arial" w:hAnsi="Arial"/>
        </w:rPr>
        <w:t>with religion. Just as the activities referred to in Art. 25(2)(a) are obviously not of the essenc</w:t>
      </w:r>
      <w:r>
        <w:rPr>
          <w:rFonts w:ascii="Arial" w:hAnsi="Arial"/>
        </w:rPr>
        <w:t>e of the religion, similarly the saving in Art. 25(2)(b) is not intended to cover the basic essentials of the creed of a religion which is protected by Art.</w:t>
      </w:r>
      <w:r>
        <w:rPr>
          <w:rFonts w:ascii="Arial" w:hAnsi="Arial"/>
          <w:spacing w:val="-18"/>
        </w:rPr>
        <w:t xml:space="preserve"> </w:t>
      </w:r>
      <w:r>
        <w:rPr>
          <w:rFonts w:ascii="Arial" w:hAnsi="Arial"/>
        </w:rPr>
        <w:t>25(1).‖</w:t>
      </w:r>
    </w:p>
    <w:p w:rsidR="003B2FC0" w:rsidRDefault="003B2FC0">
      <w:pPr>
        <w:jc w:val="both"/>
        <w:sectPr w:rsidR="003B2FC0">
          <w:headerReference w:type="default" r:id="rId242"/>
          <w:footerReference w:type="default" r:id="rId243"/>
          <w:pgSz w:w="12240" w:h="15840"/>
          <w:pgMar w:top="1360" w:right="1320" w:bottom="1680" w:left="1340" w:header="0" w:footer="1492" w:gutter="0"/>
          <w:pgNumType w:start="30"/>
          <w:cols w:space="720"/>
        </w:sectPr>
      </w:pPr>
    </w:p>
    <w:p w:rsidR="003B2FC0" w:rsidRDefault="00052A49">
      <w:pPr>
        <w:pStyle w:val="BodyText"/>
        <w:spacing w:before="77"/>
        <w:ind w:left="6046"/>
        <w:rPr>
          <w:rFonts w:ascii="Arial"/>
        </w:rPr>
      </w:pPr>
      <w:r>
        <w:rPr>
          <w:rFonts w:ascii="Arial"/>
        </w:rPr>
        <w:t>(at pp. 552-553)</w:t>
      </w:r>
    </w:p>
    <w:p w:rsidR="003B2FC0" w:rsidRDefault="003B2FC0">
      <w:pPr>
        <w:spacing w:before="3"/>
        <w:rPr>
          <w:sz w:val="42"/>
        </w:rPr>
      </w:pPr>
    </w:p>
    <w:p w:rsidR="003B2FC0" w:rsidRDefault="00052A49">
      <w:pPr>
        <w:pStyle w:val="ListParagraph"/>
        <w:numPr>
          <w:ilvl w:val="0"/>
          <w:numId w:val="51"/>
        </w:numPr>
        <w:tabs>
          <w:tab w:val="left" w:pos="1234"/>
        </w:tabs>
        <w:spacing w:before="1" w:line="480" w:lineRule="auto"/>
        <w:ind w:right="403" w:firstLine="0"/>
        <w:jc w:val="both"/>
        <w:rPr>
          <w:sz w:val="28"/>
        </w:rPr>
      </w:pPr>
      <w:r>
        <w:rPr>
          <w:sz w:val="28"/>
        </w:rPr>
        <w:t xml:space="preserve">As this view is the view of only one learned Judge, and as it does not arise for decision in the present case, suffice it to say that this view will need to be tested in some future case for its validity. It is instructive to remember that </w:t>
      </w:r>
      <w:r>
        <w:rPr>
          <w:b/>
          <w:sz w:val="28"/>
        </w:rPr>
        <w:t xml:space="preserve">Shirur Math </w:t>
      </w:r>
      <w:r>
        <w:rPr>
          <w:sz w:val="28"/>
        </w:rPr>
        <w:t>(sup</w:t>
      </w:r>
      <w:r>
        <w:rPr>
          <w:sz w:val="28"/>
        </w:rPr>
        <w:t>ra) specifically  contained a sentence which stated that there is a further right given to the State by Article 25(2)(b) under which, the State can legislate for social welfare and reform ―even though by so doing it might interfere with religious practices</w:t>
      </w:r>
      <w:r>
        <w:rPr>
          <w:sz w:val="28"/>
        </w:rPr>
        <w:t>‖. We, therefore, leave this part of Article 25(2)(b) to be focused and deliberated upon in some future</w:t>
      </w:r>
      <w:r>
        <w:rPr>
          <w:spacing w:val="-17"/>
          <w:sz w:val="28"/>
        </w:rPr>
        <w:t xml:space="preserve"> </w:t>
      </w:r>
      <w:r>
        <w:rPr>
          <w:sz w:val="28"/>
        </w:rPr>
        <w:t>case.</w:t>
      </w:r>
    </w:p>
    <w:p w:rsidR="003B2FC0" w:rsidRDefault="003B2FC0">
      <w:pPr>
        <w:rPr>
          <w:sz w:val="28"/>
        </w:rPr>
      </w:pPr>
    </w:p>
    <w:p w:rsidR="003B2FC0" w:rsidRDefault="00052A49">
      <w:pPr>
        <w:pStyle w:val="ListParagraph"/>
        <w:numPr>
          <w:ilvl w:val="0"/>
          <w:numId w:val="51"/>
        </w:numPr>
        <w:tabs>
          <w:tab w:val="left" w:pos="1234"/>
        </w:tabs>
        <w:spacing w:before="1" w:line="480" w:lineRule="auto"/>
        <w:ind w:right="402" w:firstLine="0"/>
        <w:jc w:val="both"/>
        <w:rPr>
          <w:sz w:val="28"/>
        </w:rPr>
      </w:pPr>
      <w:r>
        <w:rPr>
          <w:sz w:val="28"/>
        </w:rPr>
        <w:t xml:space="preserve">In </w:t>
      </w:r>
      <w:r>
        <w:rPr>
          <w:b/>
          <w:sz w:val="28"/>
        </w:rPr>
        <w:t>Tilkayat Shri Govindlalji Maharaj v. State of Rajasthan and Ors.</w:t>
      </w:r>
      <w:r>
        <w:rPr>
          <w:sz w:val="28"/>
        </w:rPr>
        <w:t xml:space="preserve">, (1964) 1 SCR 561, otherwise referred to as the </w:t>
      </w:r>
      <w:r>
        <w:rPr>
          <w:b/>
          <w:sz w:val="28"/>
        </w:rPr>
        <w:t xml:space="preserve">Nathdwara Temple </w:t>
      </w:r>
      <w:r>
        <w:rPr>
          <w:sz w:val="28"/>
        </w:rPr>
        <w:t>case, this C</w:t>
      </w:r>
      <w:r>
        <w:rPr>
          <w:sz w:val="28"/>
        </w:rPr>
        <w:t xml:space="preserve">ourt was concerned with the validity of the Nathdwara Temple Act, 1959. Referring to and following some of the judgments that </w:t>
      </w:r>
      <w:r>
        <w:rPr>
          <w:spacing w:val="-3"/>
          <w:sz w:val="28"/>
        </w:rPr>
        <w:t xml:space="preserve">have </w:t>
      </w:r>
      <w:r>
        <w:rPr>
          <w:sz w:val="28"/>
        </w:rPr>
        <w:t>already been referred, this Court held that the Nathdwara temple was a public temple and that as the Act extinguished the sec</w:t>
      </w:r>
      <w:r>
        <w:rPr>
          <w:sz w:val="28"/>
        </w:rPr>
        <w:t>ular office of the Tilkayat by which he was managing the properties of the Temple, no right under Article 26 could be</w:t>
      </w:r>
      <w:r>
        <w:rPr>
          <w:spacing w:val="43"/>
          <w:sz w:val="28"/>
        </w:rPr>
        <w:t xml:space="preserve"> </w:t>
      </w:r>
      <w:r>
        <w:rPr>
          <w:sz w:val="28"/>
        </w:rPr>
        <w:t>said</w:t>
      </w:r>
      <w:r>
        <w:rPr>
          <w:spacing w:val="44"/>
          <w:sz w:val="28"/>
        </w:rPr>
        <w:t xml:space="preserve"> </w:t>
      </w:r>
      <w:r>
        <w:rPr>
          <w:sz w:val="28"/>
        </w:rPr>
        <w:t>to</w:t>
      </w:r>
      <w:r>
        <w:rPr>
          <w:spacing w:val="44"/>
          <w:sz w:val="28"/>
        </w:rPr>
        <w:t xml:space="preserve"> </w:t>
      </w:r>
      <w:r>
        <w:rPr>
          <w:sz w:val="28"/>
        </w:rPr>
        <w:t>have</w:t>
      </w:r>
      <w:r>
        <w:rPr>
          <w:spacing w:val="43"/>
          <w:sz w:val="28"/>
        </w:rPr>
        <w:t xml:space="preserve"> </w:t>
      </w:r>
      <w:r>
        <w:rPr>
          <w:sz w:val="28"/>
        </w:rPr>
        <w:t>been</w:t>
      </w:r>
      <w:r>
        <w:rPr>
          <w:spacing w:val="46"/>
          <w:sz w:val="28"/>
        </w:rPr>
        <w:t xml:space="preserve"> </w:t>
      </w:r>
      <w:r>
        <w:rPr>
          <w:sz w:val="28"/>
        </w:rPr>
        <w:t>effected.</w:t>
      </w:r>
      <w:r>
        <w:rPr>
          <w:spacing w:val="43"/>
          <w:sz w:val="28"/>
        </w:rPr>
        <w:t xml:space="preserve"> </w:t>
      </w:r>
      <w:r>
        <w:rPr>
          <w:sz w:val="28"/>
        </w:rPr>
        <w:t>In</w:t>
      </w:r>
      <w:r>
        <w:rPr>
          <w:spacing w:val="41"/>
          <w:sz w:val="28"/>
        </w:rPr>
        <w:t xml:space="preserve"> </w:t>
      </w:r>
      <w:r>
        <w:rPr>
          <w:sz w:val="28"/>
        </w:rPr>
        <w:t>an</w:t>
      </w:r>
      <w:r>
        <w:rPr>
          <w:spacing w:val="44"/>
          <w:sz w:val="28"/>
        </w:rPr>
        <w:t xml:space="preserve"> </w:t>
      </w:r>
      <w:r>
        <w:rPr>
          <w:sz w:val="28"/>
        </w:rPr>
        <w:t>instructive</w:t>
      </w:r>
      <w:r>
        <w:rPr>
          <w:spacing w:val="44"/>
          <w:sz w:val="28"/>
        </w:rPr>
        <w:t xml:space="preserve"> </w:t>
      </w:r>
      <w:r>
        <w:rPr>
          <w:sz w:val="28"/>
        </w:rPr>
        <w:t>passage,</w:t>
      </w:r>
      <w:r>
        <w:rPr>
          <w:spacing w:val="42"/>
          <w:sz w:val="28"/>
        </w:rPr>
        <w:t xml:space="preserve"> </w:t>
      </w:r>
      <w:r>
        <w:rPr>
          <w:sz w:val="28"/>
        </w:rPr>
        <w:t>this</w:t>
      </w:r>
      <w:r>
        <w:rPr>
          <w:spacing w:val="45"/>
          <w:sz w:val="28"/>
        </w:rPr>
        <w:t xml:space="preserve"> </w:t>
      </w:r>
      <w:r>
        <w:rPr>
          <w:sz w:val="28"/>
        </w:rPr>
        <w:t>Court</w:t>
      </w:r>
    </w:p>
    <w:p w:rsidR="003B2FC0" w:rsidRDefault="003B2FC0">
      <w:pPr>
        <w:spacing w:line="480" w:lineRule="auto"/>
        <w:jc w:val="both"/>
        <w:rPr>
          <w:sz w:val="28"/>
        </w:rPr>
        <w:sectPr w:rsidR="003B2FC0">
          <w:headerReference w:type="default" r:id="rId244"/>
          <w:footerReference w:type="default" r:id="rId245"/>
          <w:pgSz w:w="12240" w:h="15840"/>
          <w:pgMar w:top="1360" w:right="1320" w:bottom="1680" w:left="1340" w:header="0" w:footer="1492" w:gutter="0"/>
          <w:pgNumType w:start="31"/>
          <w:cols w:space="720"/>
        </w:sectPr>
      </w:pPr>
    </w:p>
    <w:p w:rsidR="003B2FC0" w:rsidRDefault="00052A49">
      <w:pPr>
        <w:pStyle w:val="BodyText"/>
        <w:spacing w:before="77" w:line="480" w:lineRule="auto"/>
        <w:ind w:left="383" w:right="404"/>
        <w:jc w:val="both"/>
        <w:rPr>
          <w:rFonts w:ascii="Arial"/>
        </w:rPr>
      </w:pPr>
      <w:r>
        <w:rPr>
          <w:rFonts w:ascii="Arial"/>
        </w:rPr>
        <w:t>laid down certain tests as to what could be said to be an essential or integral part of religion as opposed to purely secular practice, and laid down what is to be done to separate what may not always be oil from water. The Court held as follows:</w:t>
      </w:r>
    </w:p>
    <w:p w:rsidR="003B2FC0" w:rsidRDefault="00052A49">
      <w:pPr>
        <w:pStyle w:val="BodyText"/>
        <w:spacing w:before="201"/>
        <w:ind w:left="1518" w:right="1533"/>
        <w:jc w:val="both"/>
        <w:rPr>
          <w:rFonts w:ascii="Arial" w:hAnsi="Arial"/>
        </w:rPr>
      </w:pPr>
      <w:r>
        <w:rPr>
          <w:rFonts w:ascii="Arial" w:hAnsi="Arial"/>
          <w:w w:val="33"/>
        </w:rPr>
        <w:t>―</w:t>
      </w:r>
      <w:r>
        <w:rPr>
          <w:rFonts w:ascii="Arial" w:hAnsi="Arial"/>
        </w:rPr>
        <w:t>In</w:t>
      </w:r>
      <w:r>
        <w:rPr>
          <w:rFonts w:ascii="Arial" w:hAnsi="Arial"/>
        </w:rPr>
        <w:t xml:space="preserve"> </w:t>
      </w:r>
      <w:r>
        <w:rPr>
          <w:rFonts w:ascii="Arial" w:hAnsi="Arial"/>
          <w:spacing w:val="12"/>
        </w:rPr>
        <w:t xml:space="preserve"> </w:t>
      </w:r>
      <w:r>
        <w:rPr>
          <w:rFonts w:ascii="Arial" w:hAnsi="Arial"/>
        </w:rPr>
        <w:t>deci</w:t>
      </w:r>
      <w:r>
        <w:rPr>
          <w:rFonts w:ascii="Arial" w:hAnsi="Arial"/>
          <w:spacing w:val="-3"/>
        </w:rPr>
        <w:t>d</w:t>
      </w:r>
      <w:r>
        <w:rPr>
          <w:rFonts w:ascii="Arial" w:hAnsi="Arial"/>
        </w:rPr>
        <w:t>ing</w:t>
      </w:r>
      <w:r>
        <w:rPr>
          <w:rFonts w:ascii="Arial" w:hAnsi="Arial"/>
        </w:rPr>
        <w:t xml:space="preserve"> </w:t>
      </w:r>
      <w:r>
        <w:rPr>
          <w:rFonts w:ascii="Arial" w:hAnsi="Arial"/>
          <w:spacing w:val="12"/>
        </w:rPr>
        <w:t xml:space="preserve"> </w:t>
      </w:r>
      <w:r>
        <w:rPr>
          <w:rFonts w:ascii="Arial" w:hAnsi="Arial"/>
        </w:rPr>
        <w:t>the</w:t>
      </w:r>
      <w:r>
        <w:rPr>
          <w:rFonts w:ascii="Arial" w:hAnsi="Arial"/>
        </w:rPr>
        <w:t xml:space="preserve"> </w:t>
      </w:r>
      <w:r>
        <w:rPr>
          <w:rFonts w:ascii="Arial" w:hAnsi="Arial"/>
          <w:spacing w:val="11"/>
        </w:rPr>
        <w:t xml:space="preserve"> </w:t>
      </w:r>
      <w:r>
        <w:rPr>
          <w:rFonts w:ascii="Arial" w:hAnsi="Arial"/>
          <w:spacing w:val="-3"/>
        </w:rPr>
        <w:t>q</w:t>
      </w:r>
      <w:r>
        <w:rPr>
          <w:rFonts w:ascii="Arial" w:hAnsi="Arial"/>
        </w:rPr>
        <w:t>ues</w:t>
      </w:r>
      <w:r>
        <w:rPr>
          <w:rFonts w:ascii="Arial" w:hAnsi="Arial"/>
          <w:spacing w:val="-2"/>
        </w:rPr>
        <w:t>t</w:t>
      </w:r>
      <w:r>
        <w:rPr>
          <w:rFonts w:ascii="Arial" w:hAnsi="Arial"/>
        </w:rPr>
        <w:t>ion</w:t>
      </w:r>
      <w:r>
        <w:rPr>
          <w:rFonts w:ascii="Arial" w:hAnsi="Arial"/>
        </w:rPr>
        <w:t xml:space="preserve"> </w:t>
      </w:r>
      <w:r>
        <w:rPr>
          <w:rFonts w:ascii="Arial" w:hAnsi="Arial"/>
          <w:spacing w:val="12"/>
        </w:rPr>
        <w:t xml:space="preserve"> </w:t>
      </w:r>
      <w:r>
        <w:rPr>
          <w:rFonts w:ascii="Arial" w:hAnsi="Arial"/>
        </w:rPr>
        <w:t>as</w:t>
      </w:r>
      <w:r>
        <w:rPr>
          <w:rFonts w:ascii="Arial" w:hAnsi="Arial"/>
        </w:rPr>
        <w:t xml:space="preserve"> </w:t>
      </w:r>
      <w:r>
        <w:rPr>
          <w:rFonts w:ascii="Arial" w:hAnsi="Arial"/>
          <w:spacing w:val="12"/>
        </w:rPr>
        <w:t xml:space="preserve"> </w:t>
      </w:r>
      <w:r>
        <w:rPr>
          <w:rFonts w:ascii="Arial" w:hAnsi="Arial"/>
        </w:rPr>
        <w:t>to</w:t>
      </w:r>
      <w:r>
        <w:rPr>
          <w:rFonts w:ascii="Arial" w:hAnsi="Arial"/>
        </w:rPr>
        <w:t xml:space="preserve"> </w:t>
      </w:r>
      <w:r>
        <w:rPr>
          <w:rFonts w:ascii="Arial" w:hAnsi="Arial"/>
          <w:spacing w:val="12"/>
        </w:rPr>
        <w:t xml:space="preserve"> </w:t>
      </w:r>
      <w:r>
        <w:rPr>
          <w:rFonts w:ascii="Arial" w:hAnsi="Arial"/>
          <w:spacing w:val="-4"/>
        </w:rPr>
        <w:t>w</w:t>
      </w:r>
      <w:r>
        <w:rPr>
          <w:rFonts w:ascii="Arial" w:hAnsi="Arial"/>
        </w:rPr>
        <w:t>hether</w:t>
      </w:r>
      <w:r>
        <w:rPr>
          <w:rFonts w:ascii="Arial" w:hAnsi="Arial"/>
        </w:rPr>
        <w:t xml:space="preserve"> </w:t>
      </w:r>
      <w:r>
        <w:rPr>
          <w:rFonts w:ascii="Arial" w:hAnsi="Arial"/>
          <w:spacing w:val="12"/>
        </w:rPr>
        <w:t xml:space="preserve"> </w:t>
      </w:r>
      <w:r>
        <w:rPr>
          <w:rFonts w:ascii="Arial" w:hAnsi="Arial"/>
        </w:rPr>
        <w:t>a</w:t>
      </w:r>
      <w:r>
        <w:rPr>
          <w:rFonts w:ascii="Arial" w:hAnsi="Arial"/>
        </w:rPr>
        <w:t xml:space="preserve"> </w:t>
      </w:r>
      <w:r>
        <w:rPr>
          <w:rFonts w:ascii="Arial" w:hAnsi="Arial"/>
          <w:spacing w:val="17"/>
        </w:rPr>
        <w:t xml:space="preserve"> </w:t>
      </w:r>
      <w:r>
        <w:rPr>
          <w:rFonts w:ascii="Arial" w:hAnsi="Arial"/>
        </w:rPr>
        <w:t>gi</w:t>
      </w:r>
      <w:r>
        <w:rPr>
          <w:rFonts w:ascii="Arial" w:hAnsi="Arial"/>
          <w:spacing w:val="-4"/>
        </w:rPr>
        <w:t>v</w:t>
      </w:r>
      <w:r>
        <w:rPr>
          <w:rFonts w:ascii="Arial" w:hAnsi="Arial"/>
        </w:rPr>
        <w:t xml:space="preserve">en </w:t>
      </w:r>
      <w:r>
        <w:rPr>
          <w:rFonts w:ascii="Arial" w:hAnsi="Arial"/>
        </w:rPr>
        <w:t xml:space="preserve">religious practice is an integral part of the religion or not, the test always would be whether it is regarded as such by the community following the religion or not. This formula may in some cases present difficulties in its operation. Take the case of a </w:t>
      </w:r>
      <w:r>
        <w:rPr>
          <w:rFonts w:ascii="Arial" w:hAnsi="Arial"/>
        </w:rPr>
        <w:t xml:space="preserve">practice in relation to food or dress. If in a given proceeding, one section of the community claims that while performing certain rites white dress is an integral part of the religion itself, whereas another section contends that yellow dress and not the </w:t>
      </w:r>
      <w:r>
        <w:rPr>
          <w:rFonts w:ascii="Arial" w:hAnsi="Arial"/>
        </w:rPr>
        <w:t>white dress is the essential part of the religion, how is the Court going to decide the question? Similar disputes may arise in regard to food. In cases where conflicting evidence is produced in respect of rival contentions as to competing religious practi</w:t>
      </w:r>
      <w:r>
        <w:rPr>
          <w:rFonts w:ascii="Arial" w:hAnsi="Arial"/>
        </w:rPr>
        <w:t>ces the Court may not be able to resolve the dispute by a blind application of the formula that the community decides which practice is an integral part of its religion, because the community may speak with more than one voice and the formula would, theref</w:t>
      </w:r>
      <w:r>
        <w:rPr>
          <w:rFonts w:ascii="Arial" w:hAnsi="Arial"/>
        </w:rPr>
        <w:t>ore, break down. This question will always have to be decided by the Court and in doing so, the Court may have to enquire whether the practice in question is religious in character and if it is, whether it can be regarded as an integral or essential part o</w:t>
      </w:r>
      <w:r>
        <w:rPr>
          <w:rFonts w:ascii="Arial" w:hAnsi="Arial"/>
        </w:rPr>
        <w:t>f the religion, and the finding of the Court on such an issue will always depend upon the evidence adduced before it as to the conscience of the community</w:t>
      </w:r>
      <w:r>
        <w:rPr>
          <w:rFonts w:ascii="Arial" w:hAnsi="Arial"/>
          <w:spacing w:val="25"/>
        </w:rPr>
        <w:t xml:space="preserve"> </w:t>
      </w:r>
      <w:r>
        <w:rPr>
          <w:rFonts w:ascii="Arial" w:hAnsi="Arial"/>
        </w:rPr>
        <w:t>and</w:t>
      </w:r>
      <w:r>
        <w:rPr>
          <w:rFonts w:ascii="Arial" w:hAnsi="Arial"/>
          <w:spacing w:val="29"/>
        </w:rPr>
        <w:t xml:space="preserve"> </w:t>
      </w:r>
      <w:r>
        <w:rPr>
          <w:rFonts w:ascii="Arial" w:hAnsi="Arial"/>
        </w:rPr>
        <w:t>the</w:t>
      </w:r>
      <w:r>
        <w:rPr>
          <w:rFonts w:ascii="Arial" w:hAnsi="Arial"/>
          <w:spacing w:val="29"/>
        </w:rPr>
        <w:t xml:space="preserve"> </w:t>
      </w:r>
      <w:r>
        <w:rPr>
          <w:rFonts w:ascii="Arial" w:hAnsi="Arial"/>
        </w:rPr>
        <w:t>tenets</w:t>
      </w:r>
      <w:r>
        <w:rPr>
          <w:rFonts w:ascii="Arial" w:hAnsi="Arial"/>
          <w:spacing w:val="29"/>
        </w:rPr>
        <w:t xml:space="preserve"> </w:t>
      </w:r>
      <w:r>
        <w:rPr>
          <w:rFonts w:ascii="Arial" w:hAnsi="Arial"/>
        </w:rPr>
        <w:t>of</w:t>
      </w:r>
      <w:r>
        <w:rPr>
          <w:rFonts w:ascii="Arial" w:hAnsi="Arial"/>
          <w:spacing w:val="30"/>
        </w:rPr>
        <w:t xml:space="preserve"> </w:t>
      </w:r>
      <w:r>
        <w:rPr>
          <w:rFonts w:ascii="Arial" w:hAnsi="Arial"/>
        </w:rPr>
        <w:t>its</w:t>
      </w:r>
      <w:r>
        <w:rPr>
          <w:rFonts w:ascii="Arial" w:hAnsi="Arial"/>
          <w:spacing w:val="30"/>
        </w:rPr>
        <w:t xml:space="preserve"> </w:t>
      </w:r>
      <w:r>
        <w:rPr>
          <w:rFonts w:ascii="Arial" w:hAnsi="Arial"/>
        </w:rPr>
        <w:t>religion.</w:t>
      </w:r>
      <w:r>
        <w:rPr>
          <w:rFonts w:ascii="Arial" w:hAnsi="Arial"/>
          <w:spacing w:val="29"/>
        </w:rPr>
        <w:t xml:space="preserve"> </w:t>
      </w:r>
      <w:r>
        <w:rPr>
          <w:rFonts w:ascii="Arial" w:hAnsi="Arial"/>
        </w:rPr>
        <w:t>It</w:t>
      </w:r>
      <w:r>
        <w:rPr>
          <w:rFonts w:ascii="Arial" w:hAnsi="Arial"/>
          <w:spacing w:val="30"/>
        </w:rPr>
        <w:t xml:space="preserve"> </w:t>
      </w:r>
      <w:r>
        <w:rPr>
          <w:rFonts w:ascii="Arial" w:hAnsi="Arial"/>
        </w:rPr>
        <w:t>is</w:t>
      </w:r>
      <w:r>
        <w:rPr>
          <w:rFonts w:ascii="Arial" w:hAnsi="Arial"/>
          <w:spacing w:val="30"/>
        </w:rPr>
        <w:t xml:space="preserve"> </w:t>
      </w:r>
      <w:r>
        <w:rPr>
          <w:rFonts w:ascii="Arial" w:hAnsi="Arial"/>
        </w:rPr>
        <w:t>in</w:t>
      </w:r>
      <w:r>
        <w:rPr>
          <w:rFonts w:ascii="Arial" w:hAnsi="Arial"/>
          <w:spacing w:val="28"/>
        </w:rPr>
        <w:t xml:space="preserve"> </w:t>
      </w:r>
      <w:r>
        <w:rPr>
          <w:rFonts w:ascii="Arial" w:hAnsi="Arial"/>
        </w:rPr>
        <w:t>the</w:t>
      </w:r>
    </w:p>
    <w:p w:rsidR="003B2FC0" w:rsidRDefault="003B2FC0">
      <w:pPr>
        <w:jc w:val="both"/>
        <w:sectPr w:rsidR="003B2FC0">
          <w:headerReference w:type="default" r:id="rId246"/>
          <w:footerReference w:type="default" r:id="rId247"/>
          <w:pgSz w:w="12240" w:h="15840"/>
          <w:pgMar w:top="1360" w:right="1320" w:bottom="1680" w:left="1340" w:header="0" w:footer="1492" w:gutter="0"/>
          <w:pgNumType w:start="32"/>
          <w:cols w:space="720"/>
        </w:sectPr>
      </w:pPr>
    </w:p>
    <w:p w:rsidR="003B2FC0" w:rsidRDefault="00052A49">
      <w:pPr>
        <w:pStyle w:val="BodyText"/>
        <w:spacing w:before="77"/>
        <w:ind w:left="1518" w:right="1536"/>
        <w:jc w:val="both"/>
        <w:rPr>
          <w:rFonts w:ascii="Arial"/>
        </w:rPr>
      </w:pPr>
      <w:r>
        <w:rPr>
          <w:rFonts w:ascii="Arial"/>
        </w:rPr>
        <w:t>light of this pos</w:t>
      </w:r>
      <w:r>
        <w:rPr>
          <w:rFonts w:ascii="Arial"/>
        </w:rPr>
        <w:t xml:space="preserve">sible complication which may arise in some cases that this Court struck a note of caution in the case of </w:t>
      </w:r>
      <w:r>
        <w:rPr>
          <w:rFonts w:ascii="Arial"/>
          <w:i/>
        </w:rPr>
        <w:t xml:space="preserve">The Durgah Committee Ajmer </w:t>
      </w:r>
      <w:r>
        <w:rPr>
          <w:rFonts w:ascii="Arial"/>
        </w:rPr>
        <w:t xml:space="preserve">v. </w:t>
      </w:r>
      <w:r>
        <w:rPr>
          <w:rFonts w:ascii="Arial"/>
          <w:i/>
        </w:rPr>
        <w:t xml:space="preserve">Syed Hussain Ali </w:t>
      </w:r>
      <w:r>
        <w:rPr>
          <w:rFonts w:ascii="Arial"/>
        </w:rPr>
        <w:t xml:space="preserve">[(1962) 1 SCR 383, 411], and observed that in order that the practices in question should be treated as a part of religion they must be regarded by the said religion as its essential and integral part; otherwise even purely secular practices which are not </w:t>
      </w:r>
      <w:r>
        <w:rPr>
          <w:rFonts w:ascii="Arial"/>
        </w:rPr>
        <w:t>an essential or an integral part of religion are apt to be clothed with a religious form and may make a claim for being treated as religious practices within the meaning of Art.</w:t>
      </w:r>
      <w:r>
        <w:rPr>
          <w:rFonts w:ascii="Arial"/>
          <w:spacing w:val="-4"/>
        </w:rPr>
        <w:t xml:space="preserve"> </w:t>
      </w:r>
      <w:r>
        <w:rPr>
          <w:rFonts w:ascii="Arial"/>
        </w:rPr>
        <w:t>25(1).</w:t>
      </w:r>
    </w:p>
    <w:p w:rsidR="003B2FC0" w:rsidRDefault="003B2FC0">
      <w:pPr>
        <w:rPr>
          <w:sz w:val="28"/>
        </w:rPr>
      </w:pPr>
    </w:p>
    <w:p w:rsidR="003B2FC0" w:rsidRDefault="00052A49">
      <w:pPr>
        <w:pStyle w:val="BodyText"/>
        <w:ind w:left="1518" w:right="1537"/>
        <w:jc w:val="both"/>
        <w:rPr>
          <w:rFonts w:ascii="Arial" w:hAnsi="Arial"/>
        </w:rPr>
      </w:pPr>
      <w:r>
        <w:rPr>
          <w:rFonts w:ascii="Arial" w:hAnsi="Arial"/>
        </w:rPr>
        <w:t xml:space="preserve">In this connection, it cannot be ignored that what is protected under </w:t>
      </w:r>
      <w:r>
        <w:rPr>
          <w:rFonts w:ascii="Arial" w:hAnsi="Arial"/>
        </w:rPr>
        <w:t xml:space="preserve">Arts. 25(1) and 26(b) respectively are the religious practices and the right to manage affairs in matters of religion. If the practice in question is purely secular or the affair which is controlled by the statute is essentially and  absolutely secular in </w:t>
      </w:r>
      <w:r>
        <w:rPr>
          <w:rFonts w:ascii="Arial" w:hAnsi="Arial"/>
        </w:rPr>
        <w:t>character, it cannot be urged that Art. 25(1) or Art. 26(b) has been contravened. The protection is given to the practice of religion and to the denomination‘s right to manage its own affairs in matters of religion. Therefore, whenever a claim is made on b</w:t>
      </w:r>
      <w:r>
        <w:rPr>
          <w:rFonts w:ascii="Arial" w:hAnsi="Arial"/>
        </w:rPr>
        <w:t>ehalf of an individual citizen that the impugned statute contravenes his fundamental right to practise religion or a claim is made on behalf of the denomination that the fundamental right guaranteed to it to manage its own affairs in matters of religion is</w:t>
      </w:r>
      <w:r>
        <w:rPr>
          <w:rFonts w:ascii="Arial" w:hAnsi="Arial"/>
        </w:rPr>
        <w:t xml:space="preserve"> contravened, it is necessary to consider whether the practice in question is religious or the affairs in respect of which the right of management is alleged to have been contravened are affairs in matters of religion. If the practice is a religious practi</w:t>
      </w:r>
      <w:r>
        <w:rPr>
          <w:rFonts w:ascii="Arial" w:hAnsi="Arial"/>
        </w:rPr>
        <w:t>ce or the affairs are the affairs in matter of religion, then, of course, the rights guaranteed by Art. 25(1) and Art. 26(b) cannot be</w:t>
      </w:r>
      <w:r>
        <w:rPr>
          <w:rFonts w:ascii="Arial" w:hAnsi="Arial"/>
          <w:spacing w:val="-8"/>
        </w:rPr>
        <w:t xml:space="preserve"> </w:t>
      </w:r>
      <w:r>
        <w:rPr>
          <w:rFonts w:ascii="Arial" w:hAnsi="Arial"/>
        </w:rPr>
        <w:t>contravened.</w:t>
      </w:r>
    </w:p>
    <w:p w:rsidR="003B2FC0" w:rsidRDefault="003B2FC0">
      <w:pPr>
        <w:jc w:val="both"/>
        <w:sectPr w:rsidR="003B2FC0">
          <w:headerReference w:type="default" r:id="rId248"/>
          <w:footerReference w:type="default" r:id="rId249"/>
          <w:pgSz w:w="12240" w:h="15840"/>
          <w:pgMar w:top="1360" w:right="1320" w:bottom="1680" w:left="1340" w:header="0" w:footer="1492" w:gutter="0"/>
          <w:pgNumType w:start="33"/>
          <w:cols w:space="720"/>
        </w:sectPr>
      </w:pPr>
    </w:p>
    <w:p w:rsidR="003B2FC0" w:rsidRDefault="00052A49">
      <w:pPr>
        <w:pStyle w:val="BodyText"/>
        <w:spacing w:before="77"/>
        <w:ind w:left="1518" w:right="1535"/>
        <w:jc w:val="both"/>
        <w:rPr>
          <w:rFonts w:ascii="Arial" w:hAnsi="Arial"/>
        </w:rPr>
      </w:pPr>
      <w:r>
        <w:rPr>
          <w:rFonts w:ascii="Arial" w:hAnsi="Arial"/>
        </w:rPr>
        <w:t>It is true that the decision of the question as to whether a certain practice is a religious practice or not, as well as the question as to whether an affair  in question is an affair in matters of religion or not, may present difficulties because sometime</w:t>
      </w:r>
      <w:r>
        <w:rPr>
          <w:rFonts w:ascii="Arial" w:hAnsi="Arial"/>
        </w:rPr>
        <w:t>s practices, religious and secular, are inextricably mixed up. This is more particularly so in regard to Hindu religion because as is well known, under the provisions of ancient Smritis, all human actions from birth to death and most of the individual acti</w:t>
      </w:r>
      <w:r>
        <w:rPr>
          <w:rFonts w:ascii="Arial" w:hAnsi="Arial"/>
        </w:rPr>
        <w:t xml:space="preserve">ons from day-to-day are regarded as religious in character.  As an illustration, we may refer to the fact that the Smritis regard marriage as a sacrament and not a contract. Though the task of disengaging the secular from the religious may not be easy, it </w:t>
      </w:r>
      <w:r>
        <w:rPr>
          <w:rFonts w:ascii="Arial" w:hAnsi="Arial"/>
        </w:rPr>
        <w:t>must nevertheless be attempted in dealing with the claims for protection under Arts 25(1) and 26(b). If the practice which is protected under the former is a religious practice, and if the right which is protected under the latter is the right to manage af</w:t>
      </w:r>
      <w:r>
        <w:rPr>
          <w:rFonts w:ascii="Arial" w:hAnsi="Arial"/>
        </w:rPr>
        <w:t>fairs in matters of religion, it is necessary that in judging about the merits of the claim made in that behalf the Court must be satisfied that the practice is religious and the affair is in regard to a matter of religion. In dealing with this problem und</w:t>
      </w:r>
      <w:r>
        <w:rPr>
          <w:rFonts w:ascii="Arial" w:hAnsi="Arial"/>
        </w:rPr>
        <w:t xml:space="preserve">er Arts. 25(1) and 26(b), Latham C.J.‘s observation in </w:t>
      </w:r>
      <w:r>
        <w:rPr>
          <w:rFonts w:ascii="Arial" w:hAnsi="Arial"/>
          <w:i/>
        </w:rPr>
        <w:t xml:space="preserve">Adelaide Company of Jehovah's Witnesses Incorporated </w:t>
      </w:r>
      <w:r>
        <w:rPr>
          <w:rFonts w:ascii="Arial" w:hAnsi="Arial"/>
          <w:spacing w:val="-4"/>
        </w:rPr>
        <w:t>v.</w:t>
      </w:r>
      <w:r>
        <w:rPr>
          <w:rFonts w:ascii="Arial" w:hAnsi="Arial"/>
          <w:spacing w:val="69"/>
        </w:rPr>
        <w:t xml:space="preserve"> </w:t>
      </w:r>
      <w:r>
        <w:rPr>
          <w:rFonts w:ascii="Arial" w:hAnsi="Arial"/>
          <w:i/>
        </w:rPr>
        <w:t xml:space="preserve">The Commonwealth </w:t>
      </w:r>
      <w:r>
        <w:rPr>
          <w:rFonts w:ascii="Arial" w:hAnsi="Arial"/>
        </w:rPr>
        <w:t>[67 CLR 116, 123], that ―what is religion to one is superstition to another‖, on which Mr. Pathak relies, is of no relevance. If</w:t>
      </w:r>
      <w:r>
        <w:rPr>
          <w:rFonts w:ascii="Arial" w:hAnsi="Arial"/>
        </w:rPr>
        <w:t xml:space="preserve"> an obviously secular matter is claimed to be matter of religion, or if an obviously secular practice is alleged to be a religious practice, the Court would be justified in rejecting the claim because the protection guaranteed by Art. 25(1) and Art. 26(b) </w:t>
      </w:r>
      <w:r>
        <w:rPr>
          <w:rFonts w:ascii="Arial" w:hAnsi="Arial"/>
        </w:rPr>
        <w:t>cannot be extended to secular practices and affairs in regard  to denominational matters which are not matters of religion, and so, a claim made by a citizen that a purely secular matter amounts to a</w:t>
      </w:r>
      <w:r>
        <w:rPr>
          <w:rFonts w:ascii="Arial" w:hAnsi="Arial"/>
          <w:spacing w:val="64"/>
        </w:rPr>
        <w:t xml:space="preserve"> </w:t>
      </w:r>
      <w:r>
        <w:rPr>
          <w:rFonts w:ascii="Arial" w:hAnsi="Arial"/>
        </w:rPr>
        <w:t>religious</w:t>
      </w:r>
    </w:p>
    <w:p w:rsidR="003B2FC0" w:rsidRDefault="003B2FC0">
      <w:pPr>
        <w:jc w:val="both"/>
        <w:sectPr w:rsidR="003B2FC0">
          <w:headerReference w:type="default" r:id="rId250"/>
          <w:footerReference w:type="default" r:id="rId251"/>
          <w:pgSz w:w="12240" w:h="15840"/>
          <w:pgMar w:top="1360" w:right="1320" w:bottom="1680" w:left="1340" w:header="0" w:footer="1492" w:gutter="0"/>
          <w:pgNumType w:start="34"/>
          <w:cols w:space="720"/>
        </w:sectPr>
      </w:pPr>
    </w:p>
    <w:p w:rsidR="003B2FC0" w:rsidRDefault="00052A49">
      <w:pPr>
        <w:pStyle w:val="BodyText"/>
        <w:spacing w:before="77"/>
        <w:ind w:left="1518" w:right="1537"/>
        <w:jc w:val="both"/>
        <w:rPr>
          <w:rFonts w:ascii="Arial" w:hAnsi="Arial"/>
        </w:rPr>
      </w:pPr>
      <w:r>
        <w:rPr>
          <w:rFonts w:ascii="Arial" w:hAnsi="Arial"/>
        </w:rPr>
        <w:t>practic</w:t>
      </w:r>
      <w:r>
        <w:rPr>
          <w:rFonts w:ascii="Arial" w:hAnsi="Arial"/>
        </w:rPr>
        <w:t xml:space="preserve">e, or a similar claim made on behalf of the denomination that a purely secular matter is an  affair in matters of religion, may have to be rejected on the ground that it is based on irrational considerations and cannot attract the provisions of Art. 25(1) </w:t>
      </w:r>
      <w:r>
        <w:rPr>
          <w:rFonts w:ascii="Arial" w:hAnsi="Arial"/>
        </w:rPr>
        <w:t>or Art 26(b). This aspect of the matter must be borne in mind in dealing with the true scope and effect of Art. 25(1) and Art.</w:t>
      </w:r>
      <w:r>
        <w:rPr>
          <w:rFonts w:ascii="Arial" w:hAnsi="Arial"/>
          <w:spacing w:val="-8"/>
        </w:rPr>
        <w:t xml:space="preserve"> </w:t>
      </w:r>
      <w:r>
        <w:rPr>
          <w:rFonts w:ascii="Arial" w:hAnsi="Arial"/>
        </w:rPr>
        <w:t>26(b).‖</w:t>
      </w:r>
    </w:p>
    <w:p w:rsidR="003B2FC0" w:rsidRDefault="00052A49">
      <w:pPr>
        <w:pStyle w:val="BodyText"/>
        <w:spacing w:before="239"/>
        <w:ind w:left="6046"/>
        <w:rPr>
          <w:rFonts w:ascii="Arial"/>
        </w:rPr>
      </w:pPr>
      <w:r>
        <w:rPr>
          <w:rFonts w:ascii="Arial"/>
        </w:rPr>
        <w:t>(at pp. 620-623)</w:t>
      </w:r>
    </w:p>
    <w:p w:rsidR="003B2FC0" w:rsidRDefault="003B2FC0">
      <w:pPr>
        <w:rPr>
          <w:sz w:val="30"/>
        </w:rPr>
      </w:pPr>
    </w:p>
    <w:p w:rsidR="003B2FC0" w:rsidRDefault="00052A49">
      <w:pPr>
        <w:pStyle w:val="ListParagraph"/>
        <w:numPr>
          <w:ilvl w:val="0"/>
          <w:numId w:val="51"/>
        </w:numPr>
        <w:tabs>
          <w:tab w:val="left" w:pos="1234"/>
        </w:tabs>
        <w:spacing w:before="219" w:line="480" w:lineRule="auto"/>
        <w:ind w:right="402" w:firstLine="0"/>
        <w:jc w:val="both"/>
        <w:rPr>
          <w:sz w:val="28"/>
        </w:rPr>
      </w:pPr>
      <w:r>
        <w:rPr>
          <w:sz w:val="28"/>
        </w:rPr>
        <w:t xml:space="preserve">In </w:t>
      </w:r>
      <w:r>
        <w:rPr>
          <w:b/>
          <w:sz w:val="28"/>
        </w:rPr>
        <w:t>Seshammal and Ors. v. State of Tamil Nadu</w:t>
      </w:r>
      <w:r>
        <w:rPr>
          <w:sz w:val="28"/>
        </w:rPr>
        <w:t>, (1972) 2 SCC 11, the validity of the Tamil Nadu Hindu Religious and Charitable Endowments (Amendment) Act, 1970 was questioned by hereditary Archakas and Mathadhipatis of some ancient temples of Tamil Nadu, as the Amendment Act did away with the heredita</w:t>
      </w:r>
      <w:r>
        <w:rPr>
          <w:sz w:val="28"/>
        </w:rPr>
        <w:t>ry right of succession to the office of Archaka even if the Archaka was otherwise qualified. This Court repelled such challenge but in doing so, spoke of the importance of the consecration of an idol in a Hindu temple and the rituals connected therewith, a</w:t>
      </w:r>
      <w:r>
        <w:rPr>
          <w:sz w:val="28"/>
        </w:rPr>
        <w:t>s</w:t>
      </w:r>
      <w:r>
        <w:rPr>
          <w:spacing w:val="-4"/>
          <w:sz w:val="28"/>
        </w:rPr>
        <w:t xml:space="preserve"> </w:t>
      </w:r>
      <w:r>
        <w:rPr>
          <w:sz w:val="28"/>
        </w:rPr>
        <w:t>follows:</w:t>
      </w:r>
    </w:p>
    <w:p w:rsidR="003B2FC0" w:rsidRDefault="00052A49">
      <w:pPr>
        <w:pStyle w:val="BodyText"/>
        <w:spacing w:before="200"/>
        <w:ind w:left="1518" w:right="1538"/>
        <w:jc w:val="both"/>
        <w:rPr>
          <w:rFonts w:ascii="Arial" w:hAnsi="Arial"/>
        </w:rPr>
      </w:pPr>
      <w:r>
        <w:rPr>
          <w:rFonts w:ascii="Arial" w:hAnsi="Arial"/>
          <w:w w:val="33"/>
        </w:rPr>
        <w:t>―</w:t>
      </w:r>
      <w:r>
        <w:rPr>
          <w:rFonts w:ascii="Arial" w:hAnsi="Arial"/>
          <w:b/>
          <w:spacing w:val="-1"/>
        </w:rPr>
        <w:t>11</w:t>
      </w:r>
      <w:r>
        <w:rPr>
          <w:rFonts w:ascii="Arial" w:hAnsi="Arial"/>
          <w:b/>
        </w:rPr>
        <w:t>.</w:t>
      </w:r>
      <w:r>
        <w:rPr>
          <w:rFonts w:ascii="Arial" w:hAnsi="Arial"/>
          <w:b/>
          <w:spacing w:val="17"/>
        </w:rPr>
        <w:t xml:space="preserve"> </w:t>
      </w:r>
      <w:r>
        <w:rPr>
          <w:rFonts w:ascii="Arial" w:hAnsi="Arial"/>
        </w:rPr>
        <w:t>………</w:t>
      </w:r>
      <w:r>
        <w:rPr>
          <w:rFonts w:ascii="Arial" w:hAnsi="Arial"/>
          <w:spacing w:val="15"/>
        </w:rPr>
        <w:t xml:space="preserve"> </w:t>
      </w:r>
      <w:r>
        <w:rPr>
          <w:rFonts w:ascii="Arial" w:hAnsi="Arial"/>
        </w:rPr>
        <w:t>On</w:t>
      </w:r>
      <w:r>
        <w:rPr>
          <w:rFonts w:ascii="Arial" w:hAnsi="Arial"/>
          <w:spacing w:val="15"/>
        </w:rPr>
        <w:t xml:space="preserve"> </w:t>
      </w:r>
      <w:r>
        <w:rPr>
          <w:rFonts w:ascii="Arial" w:hAnsi="Arial"/>
        </w:rPr>
        <w:t>t</w:t>
      </w:r>
      <w:r>
        <w:rPr>
          <w:rFonts w:ascii="Arial" w:hAnsi="Arial"/>
          <w:spacing w:val="-1"/>
        </w:rPr>
        <w:t>h</w:t>
      </w:r>
      <w:r>
        <w:rPr>
          <w:rFonts w:ascii="Arial" w:hAnsi="Arial"/>
        </w:rPr>
        <w:t>e</w:t>
      </w:r>
      <w:r>
        <w:rPr>
          <w:rFonts w:ascii="Arial" w:hAnsi="Arial"/>
          <w:spacing w:val="15"/>
        </w:rPr>
        <w:t xml:space="preserve"> </w:t>
      </w:r>
      <w:r>
        <w:rPr>
          <w:rFonts w:ascii="Arial" w:hAnsi="Arial"/>
        </w:rPr>
        <w:t>c</w:t>
      </w:r>
      <w:r>
        <w:rPr>
          <w:rFonts w:ascii="Arial" w:hAnsi="Arial"/>
          <w:spacing w:val="-1"/>
        </w:rPr>
        <w:t>o</w:t>
      </w:r>
      <w:r>
        <w:rPr>
          <w:rFonts w:ascii="Arial" w:hAnsi="Arial"/>
          <w:spacing w:val="-3"/>
        </w:rPr>
        <w:t>n</w:t>
      </w:r>
      <w:r>
        <w:rPr>
          <w:rFonts w:ascii="Arial" w:hAnsi="Arial"/>
        </w:rPr>
        <w:t>s</w:t>
      </w:r>
      <w:r>
        <w:rPr>
          <w:rFonts w:ascii="Arial" w:hAnsi="Arial"/>
          <w:spacing w:val="-3"/>
        </w:rPr>
        <w:t>e</w:t>
      </w:r>
      <w:r>
        <w:rPr>
          <w:rFonts w:ascii="Arial" w:hAnsi="Arial"/>
        </w:rPr>
        <w:t>cr</w:t>
      </w:r>
      <w:r>
        <w:rPr>
          <w:rFonts w:ascii="Arial" w:hAnsi="Arial"/>
          <w:spacing w:val="-3"/>
        </w:rPr>
        <w:t>a</w:t>
      </w:r>
      <w:r>
        <w:rPr>
          <w:rFonts w:ascii="Arial" w:hAnsi="Arial"/>
        </w:rPr>
        <w:t>t</w:t>
      </w:r>
      <w:r>
        <w:rPr>
          <w:rFonts w:ascii="Arial" w:hAnsi="Arial"/>
          <w:spacing w:val="-1"/>
        </w:rPr>
        <w:t>io</w:t>
      </w:r>
      <w:r>
        <w:rPr>
          <w:rFonts w:ascii="Arial" w:hAnsi="Arial"/>
        </w:rPr>
        <w:t>n</w:t>
      </w:r>
      <w:r>
        <w:rPr>
          <w:rFonts w:ascii="Arial" w:hAnsi="Arial"/>
          <w:spacing w:val="17"/>
        </w:rPr>
        <w:t xml:space="preserve"> </w:t>
      </w:r>
      <w:r>
        <w:rPr>
          <w:rFonts w:ascii="Arial" w:hAnsi="Arial"/>
          <w:spacing w:val="-3"/>
        </w:rPr>
        <w:t>o</w:t>
      </w:r>
      <w:r>
        <w:rPr>
          <w:rFonts w:ascii="Arial" w:hAnsi="Arial"/>
        </w:rPr>
        <w:t>f</w:t>
      </w:r>
      <w:r>
        <w:rPr>
          <w:rFonts w:ascii="Arial" w:hAnsi="Arial"/>
          <w:spacing w:val="16"/>
        </w:rPr>
        <w:t xml:space="preserve"> </w:t>
      </w:r>
      <w:r>
        <w:rPr>
          <w:rFonts w:ascii="Arial" w:hAnsi="Arial"/>
        </w:rPr>
        <w:t>t</w:t>
      </w:r>
      <w:r>
        <w:rPr>
          <w:rFonts w:ascii="Arial" w:hAnsi="Arial"/>
          <w:spacing w:val="-3"/>
        </w:rPr>
        <w:t>h</w:t>
      </w:r>
      <w:r>
        <w:rPr>
          <w:rFonts w:ascii="Arial" w:hAnsi="Arial"/>
        </w:rPr>
        <w:t>e</w:t>
      </w:r>
      <w:r>
        <w:rPr>
          <w:rFonts w:ascii="Arial" w:hAnsi="Arial"/>
          <w:spacing w:val="17"/>
        </w:rPr>
        <w:t xml:space="preserve"> </w:t>
      </w:r>
      <w:r>
        <w:rPr>
          <w:rFonts w:ascii="Arial" w:hAnsi="Arial"/>
          <w:spacing w:val="-1"/>
        </w:rPr>
        <w:t>i</w:t>
      </w:r>
      <w:r>
        <w:rPr>
          <w:rFonts w:ascii="Arial" w:hAnsi="Arial"/>
          <w:spacing w:val="-2"/>
        </w:rPr>
        <w:t>m</w:t>
      </w:r>
      <w:r>
        <w:rPr>
          <w:rFonts w:ascii="Arial" w:hAnsi="Arial"/>
          <w:spacing w:val="-1"/>
        </w:rPr>
        <w:t>ag</w:t>
      </w:r>
      <w:r>
        <w:rPr>
          <w:rFonts w:ascii="Arial" w:hAnsi="Arial"/>
        </w:rPr>
        <w:t>e</w:t>
      </w:r>
      <w:r>
        <w:rPr>
          <w:rFonts w:ascii="Arial" w:hAnsi="Arial"/>
          <w:spacing w:val="17"/>
        </w:rPr>
        <w:t xml:space="preserve"> </w:t>
      </w:r>
      <w:r>
        <w:rPr>
          <w:rFonts w:ascii="Arial" w:hAnsi="Arial"/>
          <w:spacing w:val="-1"/>
        </w:rPr>
        <w:t>i</w:t>
      </w:r>
      <w:r>
        <w:rPr>
          <w:rFonts w:ascii="Arial" w:hAnsi="Arial"/>
        </w:rPr>
        <w:t>n</w:t>
      </w:r>
      <w:r>
        <w:rPr>
          <w:rFonts w:ascii="Arial" w:hAnsi="Arial"/>
          <w:spacing w:val="15"/>
        </w:rPr>
        <w:t xml:space="preserve"> </w:t>
      </w:r>
      <w:r>
        <w:rPr>
          <w:rFonts w:ascii="Arial" w:hAnsi="Arial"/>
          <w:spacing w:val="-2"/>
        </w:rPr>
        <w:t>t</w:t>
      </w:r>
      <w:r>
        <w:rPr>
          <w:rFonts w:ascii="Arial" w:hAnsi="Arial"/>
          <w:spacing w:val="-3"/>
        </w:rPr>
        <w:t>h</w:t>
      </w:r>
      <w:r>
        <w:rPr>
          <w:rFonts w:ascii="Arial" w:hAnsi="Arial"/>
        </w:rPr>
        <w:t xml:space="preserve">e </w:t>
      </w:r>
      <w:r>
        <w:rPr>
          <w:rFonts w:ascii="Arial" w:hAnsi="Arial"/>
        </w:rPr>
        <w:t xml:space="preserve">temple the Hindu worshippers believe that the Divine Spirit has descended into the image and from then on the image of the deity is fit to be worshipped. Rules with regard to daily and periodical </w:t>
      </w:r>
      <w:r>
        <w:rPr>
          <w:rFonts w:ascii="Arial" w:hAnsi="Arial"/>
        </w:rPr>
        <w:t>worship have been laid down for securing the continuance of the Divine Spirit. The rituals have a two-fold object. One is to attract the lay  worshipper to participate in the worship carried</w:t>
      </w:r>
      <w:r>
        <w:rPr>
          <w:rFonts w:ascii="Arial" w:hAnsi="Arial"/>
          <w:spacing w:val="14"/>
        </w:rPr>
        <w:t xml:space="preserve"> </w:t>
      </w:r>
      <w:r>
        <w:rPr>
          <w:rFonts w:ascii="Arial" w:hAnsi="Arial"/>
        </w:rPr>
        <w:t>on</w:t>
      </w:r>
    </w:p>
    <w:p w:rsidR="003B2FC0" w:rsidRDefault="003B2FC0">
      <w:pPr>
        <w:jc w:val="both"/>
        <w:sectPr w:rsidR="003B2FC0">
          <w:headerReference w:type="default" r:id="rId252"/>
          <w:footerReference w:type="default" r:id="rId253"/>
          <w:pgSz w:w="12240" w:h="15840"/>
          <w:pgMar w:top="1360" w:right="1320" w:bottom="1680" w:left="1340" w:header="0" w:footer="1492" w:gutter="0"/>
          <w:pgNumType w:start="35"/>
          <w:cols w:space="720"/>
        </w:sectPr>
      </w:pPr>
    </w:p>
    <w:p w:rsidR="003B2FC0" w:rsidRDefault="00052A49">
      <w:pPr>
        <w:pStyle w:val="BodyText"/>
        <w:spacing w:before="77"/>
        <w:ind w:left="1518" w:right="1537"/>
        <w:jc w:val="both"/>
        <w:rPr>
          <w:rFonts w:ascii="Arial" w:hAnsi="Arial"/>
        </w:rPr>
      </w:pPr>
      <w:r>
        <w:rPr>
          <w:rFonts w:ascii="Arial" w:hAnsi="Arial"/>
        </w:rPr>
        <w:t xml:space="preserve">by the priest or Archaka. It is believed that when a congregation of worshippers participates in the worship a particular attitude of aspiration and devotion is developed and confers great spiritual benefit. The second object is to preserve the image from </w:t>
      </w:r>
      <w:r>
        <w:rPr>
          <w:rFonts w:ascii="Arial" w:hAnsi="Arial"/>
        </w:rPr>
        <w:t>pollution, defilement or desecration. It is part of the religious belief of a Hindu worshipper that when the image is polluted or defiled the Divine Spirit in the image diminishes or even vanishes. That is a situation which every devotee or worshipper look</w:t>
      </w:r>
      <w:r>
        <w:rPr>
          <w:rFonts w:ascii="Arial" w:hAnsi="Arial"/>
        </w:rPr>
        <w:t>s upon with horror. Pollution or defilement may take place in a variety of ways. According to the Agamas, an image becomes defiled if there is any departure or violation of any of the rules relating to worship. In fact, purificatory ceremonies have to be p</w:t>
      </w:r>
      <w:r>
        <w:rPr>
          <w:rFonts w:ascii="Arial" w:hAnsi="Arial"/>
        </w:rPr>
        <w:t xml:space="preserve">erformed for restoring the sanctity of the shrine [1958 SCR 895 (910)]. Worshippers lay great store by the  rituals and whatever other people, not of the faith, may think about these rituals and ceremonies, they are a part of the Hindu religious faith and </w:t>
      </w:r>
      <w:r>
        <w:rPr>
          <w:rFonts w:ascii="Arial" w:hAnsi="Arial"/>
        </w:rPr>
        <w:t>cannot be dismissed as either irrational or</w:t>
      </w:r>
      <w:r>
        <w:rPr>
          <w:rFonts w:ascii="Arial" w:hAnsi="Arial"/>
          <w:spacing w:val="-23"/>
        </w:rPr>
        <w:t xml:space="preserve"> </w:t>
      </w:r>
      <w:r>
        <w:rPr>
          <w:rFonts w:ascii="Arial" w:hAnsi="Arial"/>
        </w:rPr>
        <w:t>superstitious.‖</w:t>
      </w:r>
    </w:p>
    <w:p w:rsidR="003B2FC0" w:rsidRDefault="003B2FC0">
      <w:pPr>
        <w:rPr>
          <w:sz w:val="30"/>
        </w:rPr>
      </w:pPr>
    </w:p>
    <w:p w:rsidR="003B2FC0" w:rsidRDefault="00052A49">
      <w:pPr>
        <w:pStyle w:val="BodyText"/>
        <w:spacing w:before="178" w:line="480" w:lineRule="auto"/>
        <w:ind w:left="383" w:right="410"/>
        <w:jc w:val="both"/>
        <w:rPr>
          <w:rFonts w:ascii="Arial"/>
        </w:rPr>
      </w:pPr>
      <w:r>
        <w:rPr>
          <w:rFonts w:ascii="Arial"/>
        </w:rPr>
        <w:t>Ultimately, it was held that since the appointment of an Archaka is a secular act, the Amendment Act must be regarded as valid.</w:t>
      </w:r>
    </w:p>
    <w:p w:rsidR="003B2FC0" w:rsidRDefault="003B2FC0">
      <w:pPr>
        <w:spacing w:before="1"/>
        <w:rPr>
          <w:sz w:val="28"/>
        </w:rPr>
      </w:pPr>
    </w:p>
    <w:p w:rsidR="003B2FC0" w:rsidRDefault="00052A49">
      <w:pPr>
        <w:pStyle w:val="ListParagraph"/>
        <w:numPr>
          <w:ilvl w:val="0"/>
          <w:numId w:val="51"/>
        </w:numPr>
        <w:tabs>
          <w:tab w:val="left" w:pos="1233"/>
          <w:tab w:val="left" w:pos="1234"/>
        </w:tabs>
        <w:ind w:left="1233"/>
        <w:rPr>
          <w:b/>
          <w:sz w:val="28"/>
        </w:rPr>
      </w:pPr>
      <w:r>
        <w:rPr>
          <w:sz w:val="28"/>
        </w:rPr>
        <w:t>We</w:t>
      </w:r>
      <w:r>
        <w:rPr>
          <w:spacing w:val="26"/>
          <w:sz w:val="28"/>
        </w:rPr>
        <w:t xml:space="preserve"> </w:t>
      </w:r>
      <w:r>
        <w:rPr>
          <w:sz w:val="28"/>
        </w:rPr>
        <w:t>now</w:t>
      </w:r>
      <w:r>
        <w:rPr>
          <w:spacing w:val="23"/>
          <w:sz w:val="28"/>
        </w:rPr>
        <w:t xml:space="preserve"> </w:t>
      </w:r>
      <w:r>
        <w:rPr>
          <w:sz w:val="28"/>
        </w:rPr>
        <w:t>come</w:t>
      </w:r>
      <w:r>
        <w:rPr>
          <w:spacing w:val="27"/>
          <w:sz w:val="28"/>
        </w:rPr>
        <w:t xml:space="preserve"> </w:t>
      </w:r>
      <w:r>
        <w:rPr>
          <w:sz w:val="28"/>
        </w:rPr>
        <w:t>to</w:t>
      </w:r>
      <w:r>
        <w:rPr>
          <w:spacing w:val="27"/>
          <w:sz w:val="28"/>
        </w:rPr>
        <w:t xml:space="preserve"> </w:t>
      </w:r>
      <w:r>
        <w:rPr>
          <w:sz w:val="28"/>
        </w:rPr>
        <w:t>a</w:t>
      </w:r>
      <w:r>
        <w:rPr>
          <w:spacing w:val="23"/>
          <w:sz w:val="28"/>
        </w:rPr>
        <w:t xml:space="preserve"> </w:t>
      </w:r>
      <w:r>
        <w:rPr>
          <w:sz w:val="28"/>
        </w:rPr>
        <w:t>very</w:t>
      </w:r>
      <w:r>
        <w:rPr>
          <w:spacing w:val="26"/>
          <w:sz w:val="28"/>
        </w:rPr>
        <w:t xml:space="preserve"> </w:t>
      </w:r>
      <w:r>
        <w:rPr>
          <w:sz w:val="28"/>
        </w:rPr>
        <w:t>important</w:t>
      </w:r>
      <w:r>
        <w:rPr>
          <w:spacing w:val="28"/>
          <w:sz w:val="28"/>
        </w:rPr>
        <w:t xml:space="preserve"> </w:t>
      </w:r>
      <w:r>
        <w:rPr>
          <w:sz w:val="28"/>
        </w:rPr>
        <w:t>judgment</w:t>
      </w:r>
      <w:r>
        <w:rPr>
          <w:spacing w:val="28"/>
          <w:sz w:val="28"/>
        </w:rPr>
        <w:t xml:space="preserve"> </w:t>
      </w:r>
      <w:r>
        <w:rPr>
          <w:sz w:val="28"/>
        </w:rPr>
        <w:t>contained</w:t>
      </w:r>
      <w:r>
        <w:rPr>
          <w:spacing w:val="26"/>
          <w:sz w:val="28"/>
        </w:rPr>
        <w:t xml:space="preserve"> </w:t>
      </w:r>
      <w:r>
        <w:rPr>
          <w:sz w:val="28"/>
        </w:rPr>
        <w:t>in</w:t>
      </w:r>
      <w:r>
        <w:rPr>
          <w:spacing w:val="31"/>
          <w:sz w:val="28"/>
        </w:rPr>
        <w:t xml:space="preserve"> </w:t>
      </w:r>
      <w:r>
        <w:rPr>
          <w:b/>
          <w:sz w:val="28"/>
        </w:rPr>
        <w:t>Rev.</w:t>
      </w:r>
    </w:p>
    <w:p w:rsidR="003B2FC0" w:rsidRDefault="003B2FC0">
      <w:pPr>
        <w:spacing w:before="10"/>
        <w:rPr>
          <w:b/>
          <w:sz w:val="27"/>
        </w:rPr>
      </w:pPr>
    </w:p>
    <w:p w:rsidR="003B2FC0" w:rsidRDefault="00052A49">
      <w:pPr>
        <w:pStyle w:val="BodyText"/>
        <w:spacing w:before="1" w:line="480" w:lineRule="auto"/>
        <w:ind w:left="383" w:right="403"/>
        <w:jc w:val="both"/>
        <w:rPr>
          <w:rFonts w:ascii="Arial" w:hAnsi="Arial"/>
        </w:rPr>
      </w:pPr>
      <w:r>
        <w:rPr>
          <w:rFonts w:ascii="Arial" w:hAnsi="Arial"/>
          <w:b/>
        </w:rPr>
        <w:t>Stainislaus v. State of Madhya Pradesh and Ors.</w:t>
      </w:r>
      <w:r>
        <w:rPr>
          <w:rFonts w:ascii="Arial" w:hAnsi="Arial"/>
        </w:rPr>
        <w:t>, (1977) 2 SCR 611. This judgment dealt with the constitutional validity of the Madhya Pradesh Dharma Swatantraya Adhiniyam, 1968 and the Orissa Freedom of Religion Act, 1967, both of which statutes were uphel</w:t>
      </w:r>
      <w:r>
        <w:rPr>
          <w:rFonts w:ascii="Arial" w:hAnsi="Arial"/>
        </w:rPr>
        <w:t>d by the Court stating that they fall within the exception of ―public order‖</w:t>
      </w:r>
      <w:r>
        <w:rPr>
          <w:rFonts w:ascii="Arial" w:hAnsi="Arial"/>
          <w:spacing w:val="-52"/>
        </w:rPr>
        <w:t xml:space="preserve"> </w:t>
      </w:r>
      <w:r>
        <w:rPr>
          <w:rFonts w:ascii="Arial" w:hAnsi="Arial"/>
        </w:rPr>
        <w:t>as</w:t>
      </w:r>
    </w:p>
    <w:p w:rsidR="003B2FC0" w:rsidRDefault="003B2FC0">
      <w:pPr>
        <w:spacing w:line="480" w:lineRule="auto"/>
        <w:jc w:val="both"/>
        <w:sectPr w:rsidR="003B2FC0">
          <w:headerReference w:type="default" r:id="rId254"/>
          <w:footerReference w:type="default" r:id="rId255"/>
          <w:pgSz w:w="12240" w:h="15840"/>
          <w:pgMar w:top="1360" w:right="1320" w:bottom="1680" w:left="1340" w:header="0" w:footer="1492" w:gutter="0"/>
          <w:pgNumType w:start="36"/>
          <w:cols w:space="720"/>
        </w:sectPr>
      </w:pPr>
    </w:p>
    <w:p w:rsidR="003B2FC0" w:rsidRDefault="00052A49">
      <w:pPr>
        <w:pStyle w:val="BodyText"/>
        <w:spacing w:before="77" w:line="480" w:lineRule="auto"/>
        <w:ind w:left="383" w:right="403"/>
        <w:jc w:val="both"/>
        <w:rPr>
          <w:rFonts w:ascii="Arial" w:hAnsi="Arial"/>
        </w:rPr>
      </w:pPr>
      <w:r>
        <w:rPr>
          <w:rFonts w:ascii="Arial" w:hAnsi="Arial"/>
        </w:rPr>
        <w:t>both of them prohibit conversion from one religion to another by use of force, allurement, or other fraudulent means. In an instructive passage, this Court turned down the argument on behalf of the appellants that the word ―propagate‖ in Article 25(1) woul</w:t>
      </w:r>
      <w:r>
        <w:rPr>
          <w:rFonts w:ascii="Arial" w:hAnsi="Arial"/>
        </w:rPr>
        <w:t>d include conversion. The Court held:</w:t>
      </w:r>
    </w:p>
    <w:p w:rsidR="003B2FC0" w:rsidRDefault="00052A49">
      <w:pPr>
        <w:pStyle w:val="BodyText"/>
        <w:spacing w:before="201"/>
        <w:ind w:left="1518" w:right="1534"/>
        <w:jc w:val="both"/>
        <w:rPr>
          <w:rFonts w:ascii="Arial" w:hAnsi="Arial"/>
        </w:rPr>
      </w:pPr>
      <w:r>
        <w:rPr>
          <w:rFonts w:ascii="Arial" w:hAnsi="Arial"/>
          <w:spacing w:val="-3"/>
          <w:w w:val="33"/>
        </w:rPr>
        <w:t>―</w:t>
      </w:r>
      <w:r>
        <w:rPr>
          <w:rFonts w:ascii="Arial" w:hAnsi="Arial"/>
          <w:spacing w:val="3"/>
        </w:rPr>
        <w:t>W</w:t>
      </w:r>
      <w:r>
        <w:rPr>
          <w:rFonts w:ascii="Arial" w:hAnsi="Arial"/>
        </w:rPr>
        <w:t>e</w:t>
      </w:r>
      <w:r>
        <w:rPr>
          <w:rFonts w:ascii="Arial" w:hAnsi="Arial"/>
        </w:rPr>
        <w:t xml:space="preserve"> </w:t>
      </w:r>
      <w:r>
        <w:rPr>
          <w:rFonts w:ascii="Arial" w:hAnsi="Arial"/>
          <w:spacing w:val="-36"/>
        </w:rPr>
        <w:t xml:space="preserve"> </w:t>
      </w:r>
      <w:r>
        <w:rPr>
          <w:rFonts w:ascii="Arial" w:hAnsi="Arial"/>
        </w:rPr>
        <w:t>ha</w:t>
      </w:r>
      <w:r>
        <w:rPr>
          <w:rFonts w:ascii="Arial" w:hAnsi="Arial"/>
          <w:spacing w:val="-4"/>
        </w:rPr>
        <w:t>v</w:t>
      </w:r>
      <w:r>
        <w:rPr>
          <w:rFonts w:ascii="Arial" w:hAnsi="Arial"/>
        </w:rPr>
        <w:t>e</w:t>
      </w:r>
      <w:r>
        <w:rPr>
          <w:rFonts w:ascii="Arial" w:hAnsi="Arial"/>
        </w:rPr>
        <w:t xml:space="preserve"> </w:t>
      </w:r>
      <w:r>
        <w:rPr>
          <w:rFonts w:ascii="Arial" w:hAnsi="Arial"/>
          <w:spacing w:val="-36"/>
        </w:rPr>
        <w:t xml:space="preserve"> </w:t>
      </w:r>
      <w:r>
        <w:rPr>
          <w:rFonts w:ascii="Arial" w:hAnsi="Arial"/>
        </w:rPr>
        <w:t>no</w:t>
      </w:r>
      <w:r>
        <w:rPr>
          <w:rFonts w:ascii="Arial" w:hAnsi="Arial"/>
        </w:rPr>
        <w:t xml:space="preserve"> </w:t>
      </w:r>
      <w:r>
        <w:rPr>
          <w:rFonts w:ascii="Arial" w:hAnsi="Arial"/>
          <w:spacing w:val="-37"/>
        </w:rPr>
        <w:t xml:space="preserve"> </w:t>
      </w:r>
      <w:r>
        <w:rPr>
          <w:rFonts w:ascii="Arial" w:hAnsi="Arial"/>
        </w:rPr>
        <w:t>dou</w:t>
      </w:r>
      <w:r>
        <w:rPr>
          <w:rFonts w:ascii="Arial" w:hAnsi="Arial"/>
          <w:spacing w:val="-3"/>
        </w:rPr>
        <w:t>b</w:t>
      </w:r>
      <w:r>
        <w:rPr>
          <w:rFonts w:ascii="Arial" w:hAnsi="Arial"/>
        </w:rPr>
        <w:t>t</w:t>
      </w:r>
      <w:r>
        <w:rPr>
          <w:rFonts w:ascii="Arial" w:hAnsi="Arial"/>
        </w:rPr>
        <w:t xml:space="preserve"> </w:t>
      </w:r>
      <w:r>
        <w:rPr>
          <w:rFonts w:ascii="Arial" w:hAnsi="Arial"/>
          <w:spacing w:val="-36"/>
        </w:rPr>
        <w:t xml:space="preserve"> </w:t>
      </w:r>
      <w:r>
        <w:rPr>
          <w:rFonts w:ascii="Arial" w:hAnsi="Arial"/>
        </w:rPr>
        <w:t>th</w:t>
      </w:r>
      <w:r>
        <w:rPr>
          <w:rFonts w:ascii="Arial" w:hAnsi="Arial"/>
          <w:spacing w:val="-3"/>
        </w:rPr>
        <w:t>a</w:t>
      </w:r>
      <w:r>
        <w:rPr>
          <w:rFonts w:ascii="Arial" w:hAnsi="Arial"/>
        </w:rPr>
        <w:t>t</w:t>
      </w:r>
      <w:r>
        <w:rPr>
          <w:rFonts w:ascii="Arial" w:hAnsi="Arial"/>
        </w:rPr>
        <w:t xml:space="preserve"> </w:t>
      </w:r>
      <w:r>
        <w:rPr>
          <w:rFonts w:ascii="Arial" w:hAnsi="Arial"/>
          <w:spacing w:val="-36"/>
        </w:rPr>
        <w:t xml:space="preserve"> </w:t>
      </w:r>
      <w:r>
        <w:rPr>
          <w:rFonts w:ascii="Arial" w:hAnsi="Arial"/>
          <w:spacing w:val="-3"/>
        </w:rPr>
        <w:t>i</w:t>
      </w:r>
      <w:r>
        <w:rPr>
          <w:rFonts w:ascii="Arial" w:hAnsi="Arial"/>
        </w:rPr>
        <w:t>t</w:t>
      </w:r>
      <w:r>
        <w:rPr>
          <w:rFonts w:ascii="Arial" w:hAnsi="Arial"/>
        </w:rPr>
        <w:t xml:space="preserve"> </w:t>
      </w:r>
      <w:r>
        <w:rPr>
          <w:rFonts w:ascii="Arial" w:hAnsi="Arial"/>
          <w:spacing w:val="-36"/>
        </w:rPr>
        <w:t xml:space="preserve"> </w:t>
      </w:r>
      <w:r>
        <w:rPr>
          <w:rFonts w:ascii="Arial" w:hAnsi="Arial"/>
        </w:rPr>
        <w:t>is</w:t>
      </w:r>
      <w:r>
        <w:rPr>
          <w:rFonts w:ascii="Arial" w:hAnsi="Arial"/>
        </w:rPr>
        <w:t xml:space="preserve"> </w:t>
      </w:r>
      <w:r>
        <w:rPr>
          <w:rFonts w:ascii="Arial" w:hAnsi="Arial"/>
          <w:spacing w:val="-36"/>
        </w:rPr>
        <w:t xml:space="preserve"> </w:t>
      </w:r>
      <w:r>
        <w:rPr>
          <w:rFonts w:ascii="Arial" w:hAnsi="Arial"/>
        </w:rPr>
        <w:t>in</w:t>
      </w:r>
      <w:r>
        <w:rPr>
          <w:rFonts w:ascii="Arial" w:hAnsi="Arial"/>
        </w:rPr>
        <w:t xml:space="preserve"> </w:t>
      </w:r>
      <w:r>
        <w:rPr>
          <w:rFonts w:ascii="Arial" w:hAnsi="Arial"/>
          <w:spacing w:val="-39"/>
        </w:rPr>
        <w:t xml:space="preserve"> </w:t>
      </w:r>
      <w:r>
        <w:rPr>
          <w:rFonts w:ascii="Arial" w:hAnsi="Arial"/>
        </w:rPr>
        <w:t>th</w:t>
      </w:r>
      <w:r>
        <w:rPr>
          <w:rFonts w:ascii="Arial" w:hAnsi="Arial"/>
          <w:spacing w:val="-3"/>
        </w:rPr>
        <w:t>i</w:t>
      </w:r>
      <w:r>
        <w:rPr>
          <w:rFonts w:ascii="Arial" w:hAnsi="Arial"/>
        </w:rPr>
        <w:t>s</w:t>
      </w:r>
      <w:r>
        <w:rPr>
          <w:rFonts w:ascii="Arial" w:hAnsi="Arial"/>
        </w:rPr>
        <w:t xml:space="preserve"> </w:t>
      </w:r>
      <w:r>
        <w:rPr>
          <w:rFonts w:ascii="Arial" w:hAnsi="Arial"/>
          <w:spacing w:val="-29"/>
        </w:rPr>
        <w:t xml:space="preserve"> </w:t>
      </w:r>
      <w:r>
        <w:rPr>
          <w:rFonts w:ascii="Arial" w:hAnsi="Arial"/>
          <w:spacing w:val="-2"/>
        </w:rPr>
        <w:t>s</w:t>
      </w:r>
      <w:r>
        <w:rPr>
          <w:rFonts w:ascii="Arial" w:hAnsi="Arial"/>
        </w:rPr>
        <w:t>ense</w:t>
      </w:r>
      <w:r>
        <w:rPr>
          <w:rFonts w:ascii="Arial" w:hAnsi="Arial"/>
        </w:rPr>
        <w:t xml:space="preserve"> </w:t>
      </w:r>
      <w:r>
        <w:rPr>
          <w:rFonts w:ascii="Arial" w:hAnsi="Arial"/>
          <w:spacing w:val="-39"/>
        </w:rPr>
        <w:t xml:space="preserve"> </w:t>
      </w:r>
      <w:r>
        <w:rPr>
          <w:rFonts w:ascii="Arial" w:hAnsi="Arial"/>
        </w:rPr>
        <w:t>that</w:t>
      </w:r>
      <w:r>
        <w:rPr>
          <w:rFonts w:ascii="Arial" w:hAnsi="Arial"/>
        </w:rPr>
        <w:t xml:space="preserve"> </w:t>
      </w:r>
      <w:r>
        <w:rPr>
          <w:rFonts w:ascii="Arial" w:hAnsi="Arial"/>
          <w:spacing w:val="-38"/>
        </w:rPr>
        <w:t xml:space="preserve"> </w:t>
      </w:r>
      <w:r>
        <w:rPr>
          <w:rFonts w:ascii="Arial" w:hAnsi="Arial"/>
        </w:rPr>
        <w:t>t</w:t>
      </w:r>
      <w:r>
        <w:rPr>
          <w:rFonts w:ascii="Arial" w:hAnsi="Arial"/>
          <w:spacing w:val="-3"/>
        </w:rPr>
        <w:t>h</w:t>
      </w:r>
      <w:r>
        <w:rPr>
          <w:rFonts w:ascii="Arial" w:hAnsi="Arial"/>
        </w:rPr>
        <w:t xml:space="preserve">e </w:t>
      </w:r>
      <w:r>
        <w:rPr>
          <w:rFonts w:ascii="Arial" w:hAnsi="Arial"/>
        </w:rPr>
        <w:t>word ‗propagate‘ has been used in Article 25(1), for what the Article grants is not the right to convert another person to one'</w:t>
      </w:r>
      <w:r>
        <w:rPr>
          <w:rFonts w:ascii="Arial" w:hAnsi="Arial"/>
        </w:rPr>
        <w:t xml:space="preserve">s own religion, but to transmit or spread one's religion by an exposition of its tenets. It has to be remembered that Article 25(1) </w:t>
      </w:r>
      <w:r>
        <w:rPr>
          <w:rFonts w:ascii="Arial" w:hAnsi="Arial"/>
          <w:spacing w:val="-1"/>
        </w:rPr>
        <w:t>guarant</w:t>
      </w:r>
      <w:r>
        <w:rPr>
          <w:rFonts w:ascii="Arial" w:hAnsi="Arial"/>
          <w:spacing w:val="-2"/>
        </w:rPr>
        <w:t>e</w:t>
      </w:r>
      <w:r>
        <w:rPr>
          <w:rFonts w:ascii="Arial" w:hAnsi="Arial"/>
          <w:spacing w:val="-1"/>
        </w:rPr>
        <w:t>e</w:t>
      </w:r>
      <w:r>
        <w:rPr>
          <w:rFonts w:ascii="Arial" w:hAnsi="Arial"/>
        </w:rPr>
        <w:t>s</w:t>
      </w:r>
      <w:r>
        <w:rPr>
          <w:rFonts w:ascii="Arial" w:hAnsi="Arial"/>
          <w:spacing w:val="1"/>
        </w:rPr>
        <w:t xml:space="preserve"> </w:t>
      </w:r>
      <w:r>
        <w:rPr>
          <w:rFonts w:ascii="Arial" w:hAnsi="Arial"/>
          <w:w w:val="47"/>
        </w:rPr>
        <w:t>―</w:t>
      </w:r>
      <w:r>
        <w:rPr>
          <w:rFonts w:ascii="Arial" w:hAnsi="Arial"/>
          <w:spacing w:val="-2"/>
          <w:w w:val="47"/>
        </w:rPr>
        <w:t>f</w:t>
      </w:r>
      <w:r>
        <w:rPr>
          <w:rFonts w:ascii="Arial" w:hAnsi="Arial"/>
        </w:rPr>
        <w:t>reed</w:t>
      </w:r>
      <w:r>
        <w:rPr>
          <w:rFonts w:ascii="Arial" w:hAnsi="Arial"/>
          <w:spacing w:val="-3"/>
        </w:rPr>
        <w:t>o</w:t>
      </w:r>
      <w:r>
        <w:rPr>
          <w:rFonts w:ascii="Arial" w:hAnsi="Arial"/>
        </w:rPr>
        <w:t>m</w:t>
      </w:r>
      <w:r>
        <w:rPr>
          <w:rFonts w:ascii="Arial" w:hAnsi="Arial"/>
          <w:spacing w:val="-1"/>
        </w:rPr>
        <w:t xml:space="preserve"> </w:t>
      </w:r>
      <w:r>
        <w:rPr>
          <w:rFonts w:ascii="Arial" w:hAnsi="Arial"/>
          <w:spacing w:val="-1"/>
        </w:rPr>
        <w:t>o</w:t>
      </w:r>
      <w:r>
        <w:rPr>
          <w:rFonts w:ascii="Arial" w:hAnsi="Arial"/>
        </w:rPr>
        <w:t>f</w:t>
      </w:r>
      <w:r>
        <w:rPr>
          <w:rFonts w:ascii="Arial" w:hAnsi="Arial"/>
          <w:spacing w:val="1"/>
        </w:rPr>
        <w:t xml:space="preserve"> </w:t>
      </w:r>
      <w:r>
        <w:rPr>
          <w:rFonts w:ascii="Arial" w:hAnsi="Arial"/>
        </w:rPr>
        <w:t>c</w:t>
      </w:r>
      <w:r>
        <w:rPr>
          <w:rFonts w:ascii="Arial" w:hAnsi="Arial"/>
          <w:spacing w:val="-1"/>
        </w:rPr>
        <w:t>on</w:t>
      </w:r>
      <w:r>
        <w:rPr>
          <w:rFonts w:ascii="Arial" w:hAnsi="Arial"/>
          <w:spacing w:val="-2"/>
        </w:rPr>
        <w:t>s</w:t>
      </w:r>
      <w:r>
        <w:rPr>
          <w:rFonts w:ascii="Arial" w:hAnsi="Arial"/>
        </w:rPr>
        <w:t>c</w:t>
      </w:r>
      <w:r>
        <w:rPr>
          <w:rFonts w:ascii="Arial" w:hAnsi="Arial"/>
          <w:spacing w:val="-1"/>
        </w:rPr>
        <w:t>ie</w:t>
      </w:r>
      <w:r>
        <w:rPr>
          <w:rFonts w:ascii="Arial" w:hAnsi="Arial"/>
          <w:spacing w:val="-3"/>
        </w:rPr>
        <w:t>n</w:t>
      </w:r>
      <w:r>
        <w:rPr>
          <w:rFonts w:ascii="Arial" w:hAnsi="Arial"/>
        </w:rPr>
        <w:t>c</w:t>
      </w:r>
      <w:r>
        <w:rPr>
          <w:rFonts w:ascii="Arial" w:hAnsi="Arial"/>
          <w:spacing w:val="-1"/>
          <w:w w:val="92"/>
        </w:rPr>
        <w:t>e</w:t>
      </w:r>
      <w:r>
        <w:rPr>
          <w:rFonts w:ascii="Arial" w:hAnsi="Arial"/>
          <w:w w:val="92"/>
        </w:rPr>
        <w:t>‖</w:t>
      </w:r>
      <w:r>
        <w:rPr>
          <w:rFonts w:ascii="Arial" w:hAnsi="Arial"/>
          <w:spacing w:val="1"/>
        </w:rPr>
        <w:t xml:space="preserve"> </w:t>
      </w:r>
      <w:r>
        <w:rPr>
          <w:rFonts w:ascii="Arial" w:hAnsi="Arial"/>
        </w:rPr>
        <w:t>to</w:t>
      </w:r>
      <w:r>
        <w:rPr>
          <w:rFonts w:ascii="Arial" w:hAnsi="Arial"/>
          <w:spacing w:val="-2"/>
        </w:rPr>
        <w:t xml:space="preserve"> </w:t>
      </w:r>
      <w:r>
        <w:rPr>
          <w:rFonts w:ascii="Arial" w:hAnsi="Arial"/>
          <w:spacing w:val="1"/>
        </w:rPr>
        <w:t>e</w:t>
      </w:r>
      <w:r>
        <w:rPr>
          <w:rFonts w:ascii="Arial" w:hAnsi="Arial"/>
          <w:spacing w:val="-4"/>
        </w:rPr>
        <w:t>v</w:t>
      </w:r>
      <w:r>
        <w:rPr>
          <w:rFonts w:ascii="Arial" w:hAnsi="Arial"/>
          <w:spacing w:val="-1"/>
        </w:rPr>
        <w:t>e</w:t>
      </w:r>
      <w:r>
        <w:rPr>
          <w:rFonts w:ascii="Arial" w:hAnsi="Arial"/>
          <w:spacing w:val="1"/>
        </w:rPr>
        <w:t>r</w:t>
      </w:r>
      <w:r>
        <w:rPr>
          <w:rFonts w:ascii="Arial" w:hAnsi="Arial"/>
        </w:rPr>
        <w:t>y</w:t>
      </w:r>
      <w:r>
        <w:rPr>
          <w:rFonts w:ascii="Arial" w:hAnsi="Arial"/>
          <w:spacing w:val="-3"/>
        </w:rPr>
        <w:t xml:space="preserve"> </w:t>
      </w:r>
      <w:r>
        <w:rPr>
          <w:rFonts w:ascii="Arial" w:hAnsi="Arial"/>
        </w:rPr>
        <w:t>c</w:t>
      </w:r>
      <w:r>
        <w:rPr>
          <w:rFonts w:ascii="Arial" w:hAnsi="Arial"/>
          <w:spacing w:val="-1"/>
        </w:rPr>
        <w:t>i</w:t>
      </w:r>
      <w:r>
        <w:rPr>
          <w:rFonts w:ascii="Arial" w:hAnsi="Arial"/>
        </w:rPr>
        <w:t>t</w:t>
      </w:r>
      <w:r>
        <w:rPr>
          <w:rFonts w:ascii="Arial" w:hAnsi="Arial"/>
          <w:spacing w:val="-1"/>
        </w:rPr>
        <w:t>i</w:t>
      </w:r>
      <w:r>
        <w:rPr>
          <w:rFonts w:ascii="Arial" w:hAnsi="Arial"/>
        </w:rPr>
        <w:t>z</w:t>
      </w:r>
      <w:r>
        <w:rPr>
          <w:rFonts w:ascii="Arial" w:hAnsi="Arial"/>
          <w:spacing w:val="-3"/>
        </w:rPr>
        <w:t>en</w:t>
      </w:r>
      <w:r>
        <w:rPr>
          <w:rFonts w:ascii="Arial" w:hAnsi="Arial"/>
        </w:rPr>
        <w:t xml:space="preserve">, </w:t>
      </w:r>
      <w:r>
        <w:rPr>
          <w:rFonts w:ascii="Arial" w:hAnsi="Arial"/>
        </w:rPr>
        <w:t>and not merely to the followers of one particular religion, and that, in turn, postulates that there is no fundamental right to convert another person to one‘s own religion because if a person purposely undertakes the conversion of another person to his re</w:t>
      </w:r>
      <w:r>
        <w:rPr>
          <w:rFonts w:ascii="Arial" w:hAnsi="Arial"/>
        </w:rPr>
        <w:t xml:space="preserve">ligion, as distinguished from his effort to transmit or spread the tenets of his religion, that would </w:t>
      </w:r>
      <w:r>
        <w:rPr>
          <w:rFonts w:ascii="Arial" w:hAnsi="Arial"/>
          <w:spacing w:val="-1"/>
        </w:rPr>
        <w:t>i</w:t>
      </w:r>
      <w:r>
        <w:rPr>
          <w:rFonts w:ascii="Arial" w:hAnsi="Arial"/>
          <w:spacing w:val="-2"/>
        </w:rPr>
        <w:t>m</w:t>
      </w:r>
      <w:r>
        <w:rPr>
          <w:rFonts w:ascii="Arial" w:hAnsi="Arial"/>
          <w:spacing w:val="-1"/>
        </w:rPr>
        <w:t>ping</w:t>
      </w:r>
      <w:r>
        <w:rPr>
          <w:rFonts w:ascii="Arial" w:hAnsi="Arial"/>
        </w:rPr>
        <w:t>e</w:t>
      </w:r>
      <w:r>
        <w:rPr>
          <w:rFonts w:ascii="Arial" w:hAnsi="Arial"/>
          <w:spacing w:val="17"/>
        </w:rPr>
        <w:t xml:space="preserve"> </w:t>
      </w:r>
      <w:r>
        <w:rPr>
          <w:rFonts w:ascii="Arial" w:hAnsi="Arial"/>
          <w:spacing w:val="-1"/>
        </w:rPr>
        <w:t>o</w:t>
      </w:r>
      <w:r>
        <w:rPr>
          <w:rFonts w:ascii="Arial" w:hAnsi="Arial"/>
        </w:rPr>
        <w:t>n</w:t>
      </w:r>
      <w:r>
        <w:rPr>
          <w:rFonts w:ascii="Arial" w:hAnsi="Arial"/>
          <w:spacing w:val="17"/>
        </w:rPr>
        <w:t xml:space="preserve"> </w:t>
      </w:r>
      <w:r>
        <w:rPr>
          <w:rFonts w:ascii="Arial" w:hAnsi="Arial"/>
          <w:spacing w:val="-2"/>
        </w:rPr>
        <w:t>t</w:t>
      </w:r>
      <w:r>
        <w:rPr>
          <w:rFonts w:ascii="Arial" w:hAnsi="Arial"/>
          <w:spacing w:val="-1"/>
        </w:rPr>
        <w:t>h</w:t>
      </w:r>
      <w:r>
        <w:rPr>
          <w:rFonts w:ascii="Arial" w:hAnsi="Arial"/>
        </w:rPr>
        <w:t>e</w:t>
      </w:r>
      <w:r>
        <w:rPr>
          <w:rFonts w:ascii="Arial" w:hAnsi="Arial"/>
          <w:spacing w:val="17"/>
        </w:rPr>
        <w:t xml:space="preserve"> </w:t>
      </w:r>
      <w:r>
        <w:rPr>
          <w:rFonts w:ascii="Arial" w:hAnsi="Arial"/>
          <w:spacing w:val="-3"/>
          <w:w w:val="33"/>
        </w:rPr>
        <w:t>―</w:t>
      </w:r>
      <w:r>
        <w:rPr>
          <w:rFonts w:ascii="Arial" w:hAnsi="Arial"/>
        </w:rPr>
        <w:t>fr</w:t>
      </w:r>
      <w:r>
        <w:rPr>
          <w:rFonts w:ascii="Arial" w:hAnsi="Arial"/>
          <w:spacing w:val="-3"/>
        </w:rPr>
        <w:t>e</w:t>
      </w:r>
      <w:r>
        <w:rPr>
          <w:rFonts w:ascii="Arial" w:hAnsi="Arial"/>
          <w:spacing w:val="-1"/>
        </w:rPr>
        <w:t>edo</w:t>
      </w:r>
      <w:r>
        <w:rPr>
          <w:rFonts w:ascii="Arial" w:hAnsi="Arial"/>
        </w:rPr>
        <w:t>m</w:t>
      </w:r>
      <w:r>
        <w:rPr>
          <w:rFonts w:ascii="Arial" w:hAnsi="Arial"/>
          <w:spacing w:val="16"/>
        </w:rPr>
        <w:t xml:space="preserve"> </w:t>
      </w:r>
      <w:r>
        <w:rPr>
          <w:rFonts w:ascii="Arial" w:hAnsi="Arial"/>
          <w:spacing w:val="-1"/>
        </w:rPr>
        <w:t>o</w:t>
      </w:r>
      <w:r>
        <w:rPr>
          <w:rFonts w:ascii="Arial" w:hAnsi="Arial"/>
        </w:rPr>
        <w:t>f</w:t>
      </w:r>
      <w:r>
        <w:rPr>
          <w:rFonts w:ascii="Arial" w:hAnsi="Arial"/>
          <w:spacing w:val="16"/>
        </w:rPr>
        <w:t xml:space="preserve"> </w:t>
      </w:r>
      <w:r>
        <w:rPr>
          <w:rFonts w:ascii="Arial" w:hAnsi="Arial"/>
        </w:rPr>
        <w:t>c</w:t>
      </w:r>
      <w:r>
        <w:rPr>
          <w:rFonts w:ascii="Arial" w:hAnsi="Arial"/>
          <w:spacing w:val="-1"/>
        </w:rPr>
        <w:t>o</w:t>
      </w:r>
      <w:r>
        <w:rPr>
          <w:rFonts w:ascii="Arial" w:hAnsi="Arial"/>
          <w:spacing w:val="-3"/>
        </w:rPr>
        <w:t>n</w:t>
      </w:r>
      <w:r>
        <w:rPr>
          <w:rFonts w:ascii="Arial" w:hAnsi="Arial"/>
        </w:rPr>
        <w:t>sc</w:t>
      </w:r>
      <w:r>
        <w:rPr>
          <w:rFonts w:ascii="Arial" w:hAnsi="Arial"/>
          <w:spacing w:val="-3"/>
        </w:rPr>
        <w:t>i</w:t>
      </w:r>
      <w:r>
        <w:rPr>
          <w:rFonts w:ascii="Arial" w:hAnsi="Arial"/>
          <w:spacing w:val="-1"/>
        </w:rPr>
        <w:t>en</w:t>
      </w:r>
      <w:r>
        <w:rPr>
          <w:rFonts w:ascii="Arial" w:hAnsi="Arial"/>
          <w:spacing w:val="-2"/>
        </w:rPr>
        <w:t>c</w:t>
      </w:r>
      <w:r>
        <w:rPr>
          <w:rFonts w:ascii="Arial" w:hAnsi="Arial"/>
          <w:spacing w:val="-1"/>
          <w:w w:val="92"/>
        </w:rPr>
        <w:t>e</w:t>
      </w:r>
      <w:r>
        <w:rPr>
          <w:rFonts w:ascii="Arial" w:hAnsi="Arial"/>
          <w:w w:val="92"/>
        </w:rPr>
        <w:t>‖</w:t>
      </w:r>
      <w:r>
        <w:rPr>
          <w:rFonts w:ascii="Arial" w:hAnsi="Arial"/>
          <w:spacing w:val="17"/>
        </w:rPr>
        <w:t xml:space="preserve"> </w:t>
      </w:r>
      <w:r>
        <w:rPr>
          <w:rFonts w:ascii="Arial" w:hAnsi="Arial"/>
          <w:spacing w:val="-1"/>
        </w:rPr>
        <w:t>guara</w:t>
      </w:r>
      <w:r>
        <w:rPr>
          <w:rFonts w:ascii="Arial" w:hAnsi="Arial"/>
          <w:spacing w:val="-3"/>
        </w:rPr>
        <w:t>n</w:t>
      </w:r>
      <w:r>
        <w:rPr>
          <w:rFonts w:ascii="Arial" w:hAnsi="Arial"/>
        </w:rPr>
        <w:t>t</w:t>
      </w:r>
      <w:r>
        <w:rPr>
          <w:rFonts w:ascii="Arial" w:hAnsi="Arial"/>
          <w:spacing w:val="-1"/>
        </w:rPr>
        <w:t>e</w:t>
      </w:r>
      <w:r>
        <w:rPr>
          <w:rFonts w:ascii="Arial" w:hAnsi="Arial"/>
          <w:spacing w:val="-3"/>
        </w:rPr>
        <w:t>e</w:t>
      </w:r>
      <w:r>
        <w:rPr>
          <w:rFonts w:ascii="Arial" w:hAnsi="Arial"/>
        </w:rPr>
        <w:t xml:space="preserve">d </w:t>
      </w:r>
      <w:r>
        <w:rPr>
          <w:rFonts w:ascii="Arial" w:hAnsi="Arial"/>
        </w:rPr>
        <w:t>to all the citizens of the country</w:t>
      </w:r>
      <w:r>
        <w:rPr>
          <w:rFonts w:ascii="Arial" w:hAnsi="Arial"/>
          <w:spacing w:val="-12"/>
        </w:rPr>
        <w:t xml:space="preserve"> </w:t>
      </w:r>
      <w:r>
        <w:rPr>
          <w:rFonts w:ascii="Arial" w:hAnsi="Arial"/>
        </w:rPr>
        <w:t>alike.</w:t>
      </w:r>
    </w:p>
    <w:p w:rsidR="003B2FC0" w:rsidRDefault="003B2FC0">
      <w:pPr>
        <w:spacing w:before="1"/>
        <w:rPr>
          <w:sz w:val="28"/>
        </w:rPr>
      </w:pPr>
    </w:p>
    <w:p w:rsidR="003B2FC0" w:rsidRDefault="00052A49">
      <w:pPr>
        <w:ind w:left="1518" w:right="1539"/>
        <w:jc w:val="both"/>
        <w:rPr>
          <w:sz w:val="28"/>
        </w:rPr>
      </w:pPr>
      <w:r>
        <w:rPr>
          <w:sz w:val="28"/>
        </w:rPr>
        <w:t xml:space="preserve">The meaning of guarantee under Article 25 of the Constitution came up for consideration in this Court in </w:t>
      </w:r>
      <w:r>
        <w:rPr>
          <w:i/>
          <w:sz w:val="28"/>
        </w:rPr>
        <w:t xml:space="preserve">Ratilal Panachand Gandhi </w:t>
      </w:r>
      <w:r>
        <w:rPr>
          <w:sz w:val="28"/>
        </w:rPr>
        <w:t xml:space="preserve">v. </w:t>
      </w:r>
      <w:r>
        <w:rPr>
          <w:i/>
          <w:sz w:val="28"/>
        </w:rPr>
        <w:t>The State</w:t>
      </w:r>
      <w:r>
        <w:rPr>
          <w:i/>
          <w:spacing w:val="49"/>
          <w:sz w:val="28"/>
        </w:rPr>
        <w:t xml:space="preserve"> </w:t>
      </w:r>
      <w:r>
        <w:rPr>
          <w:i/>
          <w:spacing w:val="-3"/>
          <w:sz w:val="28"/>
        </w:rPr>
        <w:t xml:space="preserve">of </w:t>
      </w:r>
      <w:r>
        <w:rPr>
          <w:i/>
          <w:sz w:val="28"/>
        </w:rPr>
        <w:t xml:space="preserve">Bombay </w:t>
      </w:r>
      <w:r>
        <w:rPr>
          <w:sz w:val="28"/>
        </w:rPr>
        <w:t xml:space="preserve">&amp; </w:t>
      </w:r>
      <w:r>
        <w:rPr>
          <w:i/>
          <w:sz w:val="28"/>
        </w:rPr>
        <w:t xml:space="preserve">Ors. </w:t>
      </w:r>
      <w:r>
        <w:rPr>
          <w:sz w:val="28"/>
        </w:rPr>
        <w:t>[1954 SCR 1055, 1062-63] and it was held as</w:t>
      </w:r>
      <w:r>
        <w:rPr>
          <w:spacing w:val="-1"/>
          <w:sz w:val="28"/>
        </w:rPr>
        <w:t xml:space="preserve"> </w:t>
      </w:r>
      <w:r>
        <w:rPr>
          <w:sz w:val="28"/>
        </w:rPr>
        <w:t>follows:</w:t>
      </w:r>
    </w:p>
    <w:p w:rsidR="003B2FC0" w:rsidRDefault="003B2FC0">
      <w:pPr>
        <w:spacing w:before="8"/>
        <w:rPr>
          <w:sz w:val="34"/>
        </w:rPr>
      </w:pPr>
    </w:p>
    <w:p w:rsidR="003B2FC0" w:rsidRDefault="00052A49">
      <w:pPr>
        <w:pStyle w:val="BodyText"/>
        <w:ind w:left="2085" w:right="2106"/>
        <w:jc w:val="both"/>
        <w:rPr>
          <w:rFonts w:ascii="Arial" w:hAnsi="Arial"/>
        </w:rPr>
      </w:pPr>
      <w:r>
        <w:rPr>
          <w:rFonts w:ascii="Arial" w:hAnsi="Arial"/>
        </w:rPr>
        <w:t>―Thus,</w:t>
      </w:r>
      <w:r>
        <w:rPr>
          <w:rFonts w:ascii="Arial" w:hAnsi="Arial"/>
          <w:spacing w:val="-16"/>
        </w:rPr>
        <w:t xml:space="preserve"> </w:t>
      </w:r>
      <w:r>
        <w:rPr>
          <w:rFonts w:ascii="Arial" w:hAnsi="Arial"/>
        </w:rPr>
        <w:t>subject</w:t>
      </w:r>
      <w:r>
        <w:rPr>
          <w:rFonts w:ascii="Arial" w:hAnsi="Arial"/>
          <w:spacing w:val="-12"/>
        </w:rPr>
        <w:t xml:space="preserve"> </w:t>
      </w:r>
      <w:r>
        <w:rPr>
          <w:rFonts w:ascii="Arial" w:hAnsi="Arial"/>
        </w:rPr>
        <w:t>to</w:t>
      </w:r>
      <w:r>
        <w:rPr>
          <w:rFonts w:ascii="Arial" w:hAnsi="Arial"/>
          <w:spacing w:val="-16"/>
        </w:rPr>
        <w:t xml:space="preserve"> </w:t>
      </w:r>
      <w:r>
        <w:rPr>
          <w:rFonts w:ascii="Arial" w:hAnsi="Arial"/>
        </w:rPr>
        <w:t>the</w:t>
      </w:r>
      <w:r>
        <w:rPr>
          <w:rFonts w:ascii="Arial" w:hAnsi="Arial"/>
          <w:spacing w:val="-14"/>
        </w:rPr>
        <w:t xml:space="preserve"> </w:t>
      </w:r>
      <w:r>
        <w:rPr>
          <w:rFonts w:ascii="Arial" w:hAnsi="Arial"/>
        </w:rPr>
        <w:t>restrictions</w:t>
      </w:r>
      <w:r>
        <w:rPr>
          <w:rFonts w:ascii="Arial" w:hAnsi="Arial"/>
          <w:spacing w:val="-14"/>
        </w:rPr>
        <w:t xml:space="preserve"> </w:t>
      </w:r>
      <w:r>
        <w:rPr>
          <w:rFonts w:ascii="Arial" w:hAnsi="Arial"/>
        </w:rPr>
        <w:t>which</w:t>
      </w:r>
      <w:r>
        <w:rPr>
          <w:rFonts w:ascii="Arial" w:hAnsi="Arial"/>
          <w:spacing w:val="-16"/>
        </w:rPr>
        <w:t xml:space="preserve"> </w:t>
      </w:r>
      <w:r>
        <w:rPr>
          <w:rFonts w:ascii="Arial" w:hAnsi="Arial"/>
        </w:rPr>
        <w:t>t</w:t>
      </w:r>
      <w:r>
        <w:rPr>
          <w:rFonts w:ascii="Arial" w:hAnsi="Arial"/>
        </w:rPr>
        <w:t>his Article imposes, every person has a fundamental right under our Constitution not merely to entertain such religious belief as</w:t>
      </w:r>
      <w:r>
        <w:rPr>
          <w:rFonts w:ascii="Arial" w:hAnsi="Arial"/>
          <w:spacing w:val="21"/>
        </w:rPr>
        <w:t xml:space="preserve"> </w:t>
      </w:r>
      <w:r>
        <w:rPr>
          <w:rFonts w:ascii="Arial" w:hAnsi="Arial"/>
        </w:rPr>
        <w:t>may</w:t>
      </w:r>
      <w:r>
        <w:rPr>
          <w:rFonts w:ascii="Arial" w:hAnsi="Arial"/>
          <w:spacing w:val="17"/>
        </w:rPr>
        <w:t xml:space="preserve"> </w:t>
      </w:r>
      <w:r>
        <w:rPr>
          <w:rFonts w:ascii="Arial" w:hAnsi="Arial"/>
        </w:rPr>
        <w:t>be</w:t>
      </w:r>
      <w:r>
        <w:rPr>
          <w:rFonts w:ascii="Arial" w:hAnsi="Arial"/>
          <w:spacing w:val="22"/>
        </w:rPr>
        <w:t xml:space="preserve"> </w:t>
      </w:r>
      <w:r>
        <w:rPr>
          <w:rFonts w:ascii="Arial" w:hAnsi="Arial"/>
        </w:rPr>
        <w:t>approved</w:t>
      </w:r>
      <w:r>
        <w:rPr>
          <w:rFonts w:ascii="Arial" w:hAnsi="Arial"/>
          <w:spacing w:val="21"/>
        </w:rPr>
        <w:t xml:space="preserve"> </w:t>
      </w:r>
      <w:r>
        <w:rPr>
          <w:rFonts w:ascii="Arial" w:hAnsi="Arial"/>
        </w:rPr>
        <w:t>of</w:t>
      </w:r>
      <w:r>
        <w:rPr>
          <w:rFonts w:ascii="Arial" w:hAnsi="Arial"/>
          <w:spacing w:val="22"/>
        </w:rPr>
        <w:t xml:space="preserve"> </w:t>
      </w:r>
      <w:r>
        <w:rPr>
          <w:rFonts w:ascii="Arial" w:hAnsi="Arial"/>
        </w:rPr>
        <w:t>by</w:t>
      </w:r>
      <w:r>
        <w:rPr>
          <w:rFonts w:ascii="Arial" w:hAnsi="Arial"/>
          <w:spacing w:val="18"/>
        </w:rPr>
        <w:t xml:space="preserve"> </w:t>
      </w:r>
      <w:r>
        <w:rPr>
          <w:rFonts w:ascii="Arial" w:hAnsi="Arial"/>
        </w:rPr>
        <w:t>his</w:t>
      </w:r>
      <w:r>
        <w:rPr>
          <w:rFonts w:ascii="Arial" w:hAnsi="Arial"/>
          <w:spacing w:val="22"/>
        </w:rPr>
        <w:t xml:space="preserve"> </w:t>
      </w:r>
      <w:r>
        <w:rPr>
          <w:rFonts w:ascii="Arial" w:hAnsi="Arial"/>
        </w:rPr>
        <w:t>judgment</w:t>
      </w:r>
      <w:r>
        <w:rPr>
          <w:rFonts w:ascii="Arial" w:hAnsi="Arial"/>
          <w:spacing w:val="21"/>
        </w:rPr>
        <w:t xml:space="preserve"> </w:t>
      </w:r>
      <w:r>
        <w:rPr>
          <w:rFonts w:ascii="Arial" w:hAnsi="Arial"/>
        </w:rPr>
        <w:t>or</w:t>
      </w:r>
    </w:p>
    <w:p w:rsidR="003B2FC0" w:rsidRDefault="003B2FC0">
      <w:pPr>
        <w:jc w:val="both"/>
        <w:sectPr w:rsidR="003B2FC0">
          <w:headerReference w:type="default" r:id="rId256"/>
          <w:footerReference w:type="default" r:id="rId257"/>
          <w:pgSz w:w="12240" w:h="15840"/>
          <w:pgMar w:top="1360" w:right="1320" w:bottom="1680" w:left="1340" w:header="0" w:footer="1492" w:gutter="0"/>
          <w:pgNumType w:start="37"/>
          <w:cols w:space="720"/>
        </w:sectPr>
      </w:pPr>
    </w:p>
    <w:p w:rsidR="003B2FC0" w:rsidRDefault="00052A49">
      <w:pPr>
        <w:pStyle w:val="BodyText"/>
        <w:spacing w:before="77"/>
        <w:ind w:left="2085" w:right="2103"/>
        <w:jc w:val="both"/>
        <w:rPr>
          <w:rFonts w:ascii="Arial" w:hAnsi="Arial"/>
        </w:rPr>
      </w:pPr>
      <w:r>
        <w:rPr>
          <w:rFonts w:ascii="Arial" w:hAnsi="Arial"/>
        </w:rPr>
        <w:t>conscience but to exhibit his belief and ideas in such overt acts as are enjoined or sanctioned by his religion and further to propagate his religious views for the edification of others.‖</w:t>
      </w:r>
    </w:p>
    <w:p w:rsidR="003B2FC0" w:rsidRDefault="003B2FC0">
      <w:pPr>
        <w:spacing w:before="10"/>
        <w:rPr>
          <w:sz w:val="34"/>
        </w:rPr>
      </w:pPr>
    </w:p>
    <w:p w:rsidR="003B2FC0" w:rsidRDefault="00052A49">
      <w:pPr>
        <w:pStyle w:val="BodyText"/>
        <w:ind w:left="1518" w:right="1537"/>
        <w:jc w:val="both"/>
        <w:rPr>
          <w:rFonts w:ascii="Arial" w:hAnsi="Arial"/>
        </w:rPr>
      </w:pPr>
      <w:r>
        <w:rPr>
          <w:rFonts w:ascii="Arial" w:hAnsi="Arial"/>
        </w:rPr>
        <w:t>This Court has given the correct meaning of the Article, and we fi</w:t>
      </w:r>
      <w:r>
        <w:rPr>
          <w:rFonts w:ascii="Arial" w:hAnsi="Arial"/>
        </w:rPr>
        <w:t>nd no justification for the view that it grants a fundamental right to convert persons to one's own religion. It has to be appreciated that the freedom of religion enshrined in the Article is not guaranteed in respect of one religion only, but covers all r</w:t>
      </w:r>
      <w:r>
        <w:rPr>
          <w:rFonts w:ascii="Arial" w:hAnsi="Arial"/>
        </w:rPr>
        <w:t>eligions alike, and it can be properly enjoyed by a person if he exercises his right in a manner commensurate with the like freedom of persons following the other religions. What is freedom for one, is freedom for the other, in equal measure, and there can</w:t>
      </w:r>
      <w:r>
        <w:rPr>
          <w:rFonts w:ascii="Arial" w:hAnsi="Arial"/>
        </w:rPr>
        <w:t xml:space="preserve"> therefore be no such thing as a fundamental right to convert any person to one's own religion.‖</w:t>
      </w:r>
    </w:p>
    <w:p w:rsidR="003B2FC0" w:rsidRDefault="00052A49">
      <w:pPr>
        <w:pStyle w:val="BodyText"/>
        <w:spacing w:before="39"/>
        <w:ind w:left="6046"/>
        <w:rPr>
          <w:rFonts w:ascii="Arial"/>
        </w:rPr>
      </w:pPr>
      <w:r>
        <w:rPr>
          <w:rFonts w:ascii="Arial"/>
        </w:rPr>
        <w:t>(at pp. 616-617)</w:t>
      </w:r>
    </w:p>
    <w:p w:rsidR="003B2FC0" w:rsidRDefault="003B2FC0">
      <w:pPr>
        <w:rPr>
          <w:sz w:val="30"/>
        </w:rPr>
      </w:pPr>
    </w:p>
    <w:p w:rsidR="003B2FC0" w:rsidRDefault="00052A49">
      <w:pPr>
        <w:pStyle w:val="ListParagraph"/>
        <w:numPr>
          <w:ilvl w:val="0"/>
          <w:numId w:val="51"/>
        </w:numPr>
        <w:tabs>
          <w:tab w:val="left" w:pos="1234"/>
        </w:tabs>
        <w:spacing w:before="257" w:line="480" w:lineRule="auto"/>
        <w:ind w:right="402" w:firstLine="0"/>
        <w:jc w:val="both"/>
        <w:rPr>
          <w:sz w:val="28"/>
        </w:rPr>
      </w:pPr>
      <w:r>
        <w:rPr>
          <w:sz w:val="28"/>
        </w:rPr>
        <w:t xml:space="preserve">In </w:t>
      </w:r>
      <w:r>
        <w:rPr>
          <w:b/>
          <w:sz w:val="28"/>
        </w:rPr>
        <w:t>S.P. Mittal v. Union of India and Ors.</w:t>
      </w:r>
      <w:r>
        <w:rPr>
          <w:sz w:val="28"/>
        </w:rPr>
        <w:t xml:space="preserve">, (1983) 1 SCC 51, </w:t>
      </w:r>
      <w:r>
        <w:rPr>
          <w:w w:val="50"/>
          <w:sz w:val="28"/>
        </w:rPr>
        <w:t>(―</w:t>
      </w:r>
      <w:r>
        <w:rPr>
          <w:b/>
          <w:sz w:val="28"/>
        </w:rPr>
        <w:t>S.</w:t>
      </w:r>
      <w:r>
        <w:rPr>
          <w:b/>
          <w:spacing w:val="-3"/>
          <w:sz w:val="28"/>
        </w:rPr>
        <w:t>P</w:t>
      </w:r>
      <w:r>
        <w:rPr>
          <w:b/>
          <w:sz w:val="28"/>
        </w:rPr>
        <w:t>.</w:t>
      </w:r>
      <w:r>
        <w:rPr>
          <w:b/>
          <w:sz w:val="28"/>
        </w:rPr>
        <w:t xml:space="preserve"> </w:t>
      </w:r>
      <w:r>
        <w:rPr>
          <w:b/>
          <w:spacing w:val="22"/>
          <w:sz w:val="28"/>
        </w:rPr>
        <w:t xml:space="preserve"> </w:t>
      </w:r>
      <w:r>
        <w:rPr>
          <w:b/>
          <w:spacing w:val="1"/>
          <w:sz w:val="28"/>
        </w:rPr>
        <w:t>M</w:t>
      </w:r>
      <w:r>
        <w:rPr>
          <w:b/>
          <w:spacing w:val="-2"/>
          <w:sz w:val="28"/>
        </w:rPr>
        <w:t>i</w:t>
      </w:r>
      <w:r>
        <w:rPr>
          <w:b/>
          <w:sz w:val="28"/>
        </w:rPr>
        <w:t>tta</w:t>
      </w:r>
      <w:r>
        <w:rPr>
          <w:b/>
          <w:spacing w:val="-1"/>
          <w:sz w:val="28"/>
        </w:rPr>
        <w:t>l</w:t>
      </w:r>
      <w:r>
        <w:rPr>
          <w:w w:val="92"/>
          <w:sz w:val="28"/>
        </w:rPr>
        <w:t>‖),</w:t>
      </w:r>
      <w:r>
        <w:rPr>
          <w:sz w:val="28"/>
        </w:rPr>
        <w:t xml:space="preserve"> </w:t>
      </w:r>
      <w:r>
        <w:rPr>
          <w:spacing w:val="23"/>
          <w:sz w:val="28"/>
        </w:rPr>
        <w:t xml:space="preserve"> </w:t>
      </w:r>
      <w:r>
        <w:rPr>
          <w:sz w:val="28"/>
        </w:rPr>
        <w:t>th</w:t>
      </w:r>
      <w:r>
        <w:rPr>
          <w:spacing w:val="-3"/>
          <w:sz w:val="28"/>
        </w:rPr>
        <w:t>i</w:t>
      </w:r>
      <w:r>
        <w:rPr>
          <w:sz w:val="28"/>
        </w:rPr>
        <w:t>s</w:t>
      </w:r>
      <w:r>
        <w:rPr>
          <w:sz w:val="28"/>
        </w:rPr>
        <w:t xml:space="preserve"> </w:t>
      </w:r>
      <w:r>
        <w:rPr>
          <w:spacing w:val="24"/>
          <w:sz w:val="28"/>
        </w:rPr>
        <w:t xml:space="preserve"> </w:t>
      </w:r>
      <w:r>
        <w:rPr>
          <w:spacing w:val="-2"/>
          <w:sz w:val="28"/>
        </w:rPr>
        <w:t>C</w:t>
      </w:r>
      <w:r>
        <w:rPr>
          <w:sz w:val="28"/>
        </w:rPr>
        <w:t>ou</w:t>
      </w:r>
      <w:r>
        <w:rPr>
          <w:spacing w:val="-3"/>
          <w:sz w:val="28"/>
        </w:rPr>
        <w:t>r</w:t>
      </w:r>
      <w:r>
        <w:rPr>
          <w:sz w:val="28"/>
        </w:rPr>
        <w:t>t</w:t>
      </w:r>
      <w:r>
        <w:rPr>
          <w:sz w:val="28"/>
        </w:rPr>
        <w:t xml:space="preserve"> </w:t>
      </w:r>
      <w:r>
        <w:rPr>
          <w:spacing w:val="24"/>
          <w:sz w:val="28"/>
        </w:rPr>
        <w:t xml:space="preserve"> </w:t>
      </w:r>
      <w:r>
        <w:rPr>
          <w:sz w:val="28"/>
        </w:rPr>
        <w:t>uphe</w:t>
      </w:r>
      <w:r>
        <w:rPr>
          <w:spacing w:val="-3"/>
          <w:sz w:val="28"/>
        </w:rPr>
        <w:t>l</w:t>
      </w:r>
      <w:r>
        <w:rPr>
          <w:sz w:val="28"/>
        </w:rPr>
        <w:t>d</w:t>
      </w:r>
      <w:r>
        <w:rPr>
          <w:sz w:val="28"/>
        </w:rPr>
        <w:t xml:space="preserve"> </w:t>
      </w:r>
      <w:r>
        <w:rPr>
          <w:spacing w:val="24"/>
          <w:sz w:val="28"/>
        </w:rPr>
        <w:t xml:space="preserve"> </w:t>
      </w:r>
      <w:r>
        <w:rPr>
          <w:spacing w:val="-2"/>
          <w:sz w:val="28"/>
        </w:rPr>
        <w:t>t</w:t>
      </w:r>
      <w:r>
        <w:rPr>
          <w:spacing w:val="-3"/>
          <w:sz w:val="28"/>
        </w:rPr>
        <w:t>h</w:t>
      </w:r>
      <w:r>
        <w:rPr>
          <w:sz w:val="28"/>
        </w:rPr>
        <w:t>e</w:t>
      </w:r>
      <w:r>
        <w:rPr>
          <w:sz w:val="28"/>
        </w:rPr>
        <w:t xml:space="preserve"> </w:t>
      </w:r>
      <w:r>
        <w:rPr>
          <w:spacing w:val="24"/>
          <w:sz w:val="28"/>
        </w:rPr>
        <w:t xml:space="preserve"> </w:t>
      </w:r>
      <w:r>
        <w:rPr>
          <w:sz w:val="28"/>
        </w:rPr>
        <w:t>co</w:t>
      </w:r>
      <w:r>
        <w:rPr>
          <w:spacing w:val="-3"/>
          <w:sz w:val="28"/>
        </w:rPr>
        <w:t>n</w:t>
      </w:r>
      <w:r>
        <w:rPr>
          <w:spacing w:val="-2"/>
          <w:sz w:val="28"/>
        </w:rPr>
        <w:t>s</w:t>
      </w:r>
      <w:r>
        <w:rPr>
          <w:sz w:val="28"/>
        </w:rPr>
        <w:t>tit</w:t>
      </w:r>
      <w:r>
        <w:rPr>
          <w:spacing w:val="-3"/>
          <w:sz w:val="28"/>
        </w:rPr>
        <w:t>u</w:t>
      </w:r>
      <w:r>
        <w:rPr>
          <w:sz w:val="28"/>
        </w:rPr>
        <w:t>tional</w:t>
      </w:r>
      <w:r>
        <w:rPr>
          <w:sz w:val="28"/>
        </w:rPr>
        <w:t xml:space="preserve"> </w:t>
      </w:r>
      <w:r>
        <w:rPr>
          <w:spacing w:val="21"/>
          <w:sz w:val="28"/>
        </w:rPr>
        <w:t xml:space="preserve"> </w:t>
      </w:r>
      <w:r>
        <w:rPr>
          <w:spacing w:val="-4"/>
          <w:sz w:val="28"/>
        </w:rPr>
        <w:t>v</w:t>
      </w:r>
      <w:r>
        <w:rPr>
          <w:spacing w:val="1"/>
          <w:sz w:val="28"/>
        </w:rPr>
        <w:t>a</w:t>
      </w:r>
      <w:r>
        <w:rPr>
          <w:sz w:val="28"/>
        </w:rPr>
        <w:t>lidity</w:t>
      </w:r>
      <w:r>
        <w:rPr>
          <w:sz w:val="28"/>
        </w:rPr>
        <w:t xml:space="preserve"> </w:t>
      </w:r>
      <w:r>
        <w:rPr>
          <w:spacing w:val="20"/>
          <w:sz w:val="28"/>
        </w:rPr>
        <w:t xml:space="preserve"> </w:t>
      </w:r>
      <w:r>
        <w:rPr>
          <w:sz w:val="28"/>
        </w:rPr>
        <w:t>of</w:t>
      </w:r>
      <w:r>
        <w:rPr>
          <w:sz w:val="28"/>
        </w:rPr>
        <w:t xml:space="preserve"> </w:t>
      </w:r>
      <w:r>
        <w:rPr>
          <w:spacing w:val="24"/>
          <w:sz w:val="28"/>
        </w:rPr>
        <w:t xml:space="preserve"> </w:t>
      </w:r>
      <w:r>
        <w:rPr>
          <w:spacing w:val="-2"/>
          <w:sz w:val="28"/>
        </w:rPr>
        <w:t>t</w:t>
      </w:r>
      <w:r>
        <w:rPr>
          <w:sz w:val="28"/>
        </w:rPr>
        <w:t xml:space="preserve">he </w:t>
      </w:r>
      <w:r>
        <w:rPr>
          <w:sz w:val="28"/>
        </w:rPr>
        <w:t xml:space="preserve">Auroville (Emergency Provisions) Act, 1980. After referring to </w:t>
      </w:r>
      <w:r>
        <w:rPr>
          <w:b/>
          <w:sz w:val="28"/>
        </w:rPr>
        <w:t xml:space="preserve">Shirur Math </w:t>
      </w:r>
      <w:r>
        <w:rPr>
          <w:sz w:val="28"/>
        </w:rPr>
        <w:t xml:space="preserve">(supra) and </w:t>
      </w:r>
      <w:r>
        <w:rPr>
          <w:b/>
          <w:sz w:val="28"/>
        </w:rPr>
        <w:t xml:space="preserve">Durgah Committee </w:t>
      </w:r>
      <w:r>
        <w:rPr>
          <w:sz w:val="28"/>
        </w:rPr>
        <w:t>(supra), the Court laid down three tests for determining whether a temple could be considered to be a religious denomination as</w:t>
      </w:r>
      <w:r>
        <w:rPr>
          <w:spacing w:val="-6"/>
          <w:sz w:val="28"/>
        </w:rPr>
        <w:t xml:space="preserve"> </w:t>
      </w:r>
      <w:r>
        <w:rPr>
          <w:sz w:val="28"/>
        </w:rPr>
        <w:t>follows:</w:t>
      </w:r>
    </w:p>
    <w:p w:rsidR="003B2FC0" w:rsidRDefault="00052A49">
      <w:pPr>
        <w:pStyle w:val="BodyText"/>
        <w:spacing w:before="203"/>
        <w:ind w:left="1518" w:right="1537"/>
        <w:jc w:val="both"/>
        <w:rPr>
          <w:rFonts w:ascii="Arial" w:hAnsi="Arial"/>
        </w:rPr>
      </w:pPr>
      <w:r>
        <w:rPr>
          <w:rFonts w:ascii="Arial" w:hAnsi="Arial"/>
          <w:w w:val="33"/>
        </w:rPr>
        <w:t>―</w:t>
      </w:r>
      <w:r>
        <w:rPr>
          <w:rFonts w:ascii="Arial" w:hAnsi="Arial"/>
          <w:b/>
          <w:spacing w:val="-1"/>
        </w:rPr>
        <w:t>80</w:t>
      </w:r>
      <w:r>
        <w:rPr>
          <w:rFonts w:ascii="Arial" w:hAnsi="Arial"/>
          <w:b/>
        </w:rPr>
        <w:t>.</w:t>
      </w:r>
      <w:r>
        <w:rPr>
          <w:rFonts w:ascii="Arial" w:hAnsi="Arial"/>
          <w:b/>
        </w:rPr>
        <w:t xml:space="preserve"> </w:t>
      </w:r>
      <w:r>
        <w:rPr>
          <w:rFonts w:ascii="Arial" w:hAnsi="Arial"/>
          <w:spacing w:val="-2"/>
        </w:rPr>
        <w:t>T</w:t>
      </w:r>
      <w:r>
        <w:rPr>
          <w:rFonts w:ascii="Arial" w:hAnsi="Arial"/>
        </w:rPr>
        <w:t>he</w:t>
      </w:r>
      <w:r>
        <w:rPr>
          <w:rFonts w:ascii="Arial" w:hAnsi="Arial"/>
        </w:rPr>
        <w:t xml:space="preserve"> </w:t>
      </w:r>
      <w:r>
        <w:rPr>
          <w:rFonts w:ascii="Arial" w:hAnsi="Arial"/>
          <w:spacing w:val="-4"/>
        </w:rPr>
        <w:t>w</w:t>
      </w:r>
      <w:r>
        <w:rPr>
          <w:rFonts w:ascii="Arial" w:hAnsi="Arial"/>
          <w:spacing w:val="-1"/>
        </w:rPr>
        <w:t>ord</w:t>
      </w:r>
      <w:r>
        <w:rPr>
          <w:rFonts w:ascii="Arial" w:hAnsi="Arial"/>
        </w:rPr>
        <w:t>s</w:t>
      </w:r>
      <w:r>
        <w:rPr>
          <w:rFonts w:ascii="Arial" w:hAnsi="Arial"/>
        </w:rPr>
        <w:t xml:space="preserve"> </w:t>
      </w:r>
      <w:r>
        <w:rPr>
          <w:rFonts w:ascii="Arial" w:hAnsi="Arial"/>
          <w:spacing w:val="-1"/>
          <w:w w:val="82"/>
        </w:rPr>
        <w:t>‗</w:t>
      </w:r>
      <w:r>
        <w:rPr>
          <w:rFonts w:ascii="Arial" w:hAnsi="Arial"/>
          <w:spacing w:val="-1"/>
          <w:w w:val="82"/>
        </w:rPr>
        <w:t>rel</w:t>
      </w:r>
      <w:r>
        <w:rPr>
          <w:rFonts w:ascii="Arial" w:hAnsi="Arial"/>
          <w:spacing w:val="-3"/>
          <w:w w:val="82"/>
        </w:rPr>
        <w:t>i</w:t>
      </w:r>
      <w:r>
        <w:rPr>
          <w:rFonts w:ascii="Arial" w:hAnsi="Arial"/>
          <w:spacing w:val="-1"/>
        </w:rPr>
        <w:t>giou</w:t>
      </w:r>
      <w:r>
        <w:rPr>
          <w:rFonts w:ascii="Arial" w:hAnsi="Arial"/>
        </w:rPr>
        <w:t>s</w:t>
      </w:r>
      <w:r>
        <w:rPr>
          <w:rFonts w:ascii="Arial" w:hAnsi="Arial"/>
        </w:rPr>
        <w:t xml:space="preserve"> </w:t>
      </w:r>
      <w:r>
        <w:rPr>
          <w:rFonts w:ascii="Arial" w:hAnsi="Arial"/>
          <w:spacing w:val="-1"/>
        </w:rPr>
        <w:t>de</w:t>
      </w:r>
      <w:r>
        <w:rPr>
          <w:rFonts w:ascii="Arial" w:hAnsi="Arial"/>
          <w:spacing w:val="-3"/>
        </w:rPr>
        <w:t>n</w:t>
      </w:r>
      <w:r>
        <w:rPr>
          <w:rFonts w:ascii="Arial" w:hAnsi="Arial"/>
          <w:spacing w:val="-1"/>
        </w:rPr>
        <w:t>o</w:t>
      </w:r>
      <w:r>
        <w:rPr>
          <w:rFonts w:ascii="Arial" w:hAnsi="Arial"/>
          <w:spacing w:val="-2"/>
        </w:rPr>
        <w:t>m</w:t>
      </w:r>
      <w:r>
        <w:rPr>
          <w:rFonts w:ascii="Arial" w:hAnsi="Arial"/>
          <w:spacing w:val="-1"/>
        </w:rPr>
        <w:t>ina</w:t>
      </w:r>
      <w:r>
        <w:rPr>
          <w:rFonts w:ascii="Arial" w:hAnsi="Arial"/>
        </w:rPr>
        <w:t>t</w:t>
      </w:r>
      <w:r>
        <w:rPr>
          <w:rFonts w:ascii="Arial" w:hAnsi="Arial"/>
          <w:spacing w:val="-1"/>
        </w:rPr>
        <w:t>i</w:t>
      </w:r>
      <w:r>
        <w:rPr>
          <w:rFonts w:ascii="Arial" w:hAnsi="Arial"/>
          <w:spacing w:val="-3"/>
        </w:rPr>
        <w:t>on</w:t>
      </w:r>
      <w:r>
        <w:rPr>
          <w:rFonts w:ascii="Arial" w:hAnsi="Arial"/>
        </w:rPr>
        <w:t>‘</w:t>
      </w:r>
      <w:r>
        <w:rPr>
          <w:rFonts w:ascii="Arial" w:hAnsi="Arial"/>
        </w:rPr>
        <w:t xml:space="preserve"> </w:t>
      </w:r>
      <w:r>
        <w:rPr>
          <w:rFonts w:ascii="Arial" w:hAnsi="Arial"/>
        </w:rPr>
        <w:t>in</w:t>
      </w:r>
      <w:r>
        <w:rPr>
          <w:rFonts w:ascii="Arial" w:hAnsi="Arial"/>
        </w:rPr>
        <w:t xml:space="preserve"> </w:t>
      </w:r>
      <w:r>
        <w:rPr>
          <w:rFonts w:ascii="Arial" w:hAnsi="Arial"/>
        </w:rPr>
        <w:t>Art</w:t>
      </w:r>
      <w:r>
        <w:rPr>
          <w:rFonts w:ascii="Arial" w:hAnsi="Arial"/>
          <w:spacing w:val="-3"/>
        </w:rPr>
        <w:t>i</w:t>
      </w:r>
      <w:r>
        <w:rPr>
          <w:rFonts w:ascii="Arial" w:hAnsi="Arial"/>
        </w:rPr>
        <w:t>cle</w:t>
      </w:r>
      <w:r>
        <w:rPr>
          <w:rFonts w:ascii="Arial" w:hAnsi="Arial"/>
        </w:rPr>
        <w:t xml:space="preserve"> </w:t>
      </w:r>
      <w:r>
        <w:rPr>
          <w:rFonts w:ascii="Arial" w:hAnsi="Arial"/>
          <w:spacing w:val="-3"/>
        </w:rPr>
        <w:t>2</w:t>
      </w:r>
      <w:r>
        <w:rPr>
          <w:rFonts w:ascii="Arial" w:hAnsi="Arial"/>
        </w:rPr>
        <w:t xml:space="preserve">6 </w:t>
      </w:r>
      <w:r>
        <w:rPr>
          <w:rFonts w:ascii="Arial" w:hAnsi="Arial"/>
        </w:rPr>
        <w:t>of the Constitution must take their colour from the word ‗religion‘ and if this be so, the</w:t>
      </w:r>
      <w:r>
        <w:rPr>
          <w:rFonts w:ascii="Arial" w:hAnsi="Arial"/>
          <w:spacing w:val="55"/>
        </w:rPr>
        <w:t xml:space="preserve"> </w:t>
      </w:r>
      <w:r>
        <w:rPr>
          <w:rFonts w:ascii="Arial" w:hAnsi="Arial"/>
        </w:rPr>
        <w:t>expression</w:t>
      </w:r>
    </w:p>
    <w:p w:rsidR="003B2FC0" w:rsidRDefault="003B2FC0">
      <w:pPr>
        <w:jc w:val="both"/>
        <w:sectPr w:rsidR="003B2FC0">
          <w:headerReference w:type="default" r:id="rId258"/>
          <w:footerReference w:type="default" r:id="rId259"/>
          <w:pgSz w:w="12240" w:h="15840"/>
          <w:pgMar w:top="1360" w:right="1320" w:bottom="1680" w:left="1340" w:header="0" w:footer="1492" w:gutter="0"/>
          <w:pgNumType w:start="38"/>
          <w:cols w:space="720"/>
        </w:sectPr>
      </w:pPr>
    </w:p>
    <w:p w:rsidR="003B2FC0" w:rsidRDefault="00052A49">
      <w:pPr>
        <w:pStyle w:val="BodyText"/>
        <w:spacing w:before="77"/>
        <w:ind w:left="1518" w:right="1539"/>
        <w:jc w:val="both"/>
        <w:rPr>
          <w:rFonts w:ascii="Arial" w:hAnsi="Arial"/>
        </w:rPr>
      </w:pPr>
      <w:r>
        <w:rPr>
          <w:rFonts w:ascii="Arial" w:hAnsi="Arial"/>
        </w:rPr>
        <w:t>‗</w:t>
      </w:r>
      <w:r>
        <w:rPr>
          <w:rFonts w:ascii="Arial" w:hAnsi="Arial"/>
        </w:rPr>
        <w:t>religious denomination‘ must also satisfy three conditions:</w:t>
      </w:r>
    </w:p>
    <w:p w:rsidR="003B2FC0" w:rsidRDefault="00052A49">
      <w:pPr>
        <w:pStyle w:val="BodyText"/>
        <w:spacing w:before="37"/>
        <w:ind w:left="2085" w:right="1537"/>
        <w:jc w:val="both"/>
        <w:rPr>
          <w:rFonts w:ascii="Arial" w:hAnsi="Arial"/>
        </w:rPr>
      </w:pPr>
      <w:r>
        <w:rPr>
          <w:rFonts w:ascii="Arial" w:hAnsi="Arial"/>
          <w:w w:val="33"/>
        </w:rPr>
        <w:t>―</w:t>
      </w:r>
      <w:r>
        <w:rPr>
          <w:rFonts w:ascii="Arial" w:hAnsi="Arial"/>
        </w:rPr>
        <w:t>(1)</w:t>
      </w:r>
      <w:r>
        <w:rPr>
          <w:rFonts w:ascii="Arial" w:hAnsi="Arial"/>
        </w:rPr>
        <w:t xml:space="preserve"> </w:t>
      </w:r>
      <w:r>
        <w:rPr>
          <w:rFonts w:ascii="Arial" w:hAnsi="Arial"/>
          <w:spacing w:val="-24"/>
        </w:rPr>
        <w:t xml:space="preserve"> </w:t>
      </w:r>
      <w:r>
        <w:rPr>
          <w:rFonts w:ascii="Arial" w:hAnsi="Arial"/>
        </w:rPr>
        <w:t>It</w:t>
      </w:r>
      <w:r>
        <w:rPr>
          <w:rFonts w:ascii="Arial" w:hAnsi="Arial"/>
        </w:rPr>
        <w:t xml:space="preserve"> </w:t>
      </w:r>
      <w:r>
        <w:rPr>
          <w:rFonts w:ascii="Arial" w:hAnsi="Arial"/>
          <w:spacing w:val="-23"/>
        </w:rPr>
        <w:t xml:space="preserve"> </w:t>
      </w:r>
      <w:r>
        <w:rPr>
          <w:rFonts w:ascii="Arial" w:hAnsi="Arial"/>
          <w:spacing w:val="-2"/>
        </w:rPr>
        <w:t>m</w:t>
      </w:r>
      <w:r>
        <w:rPr>
          <w:rFonts w:ascii="Arial" w:hAnsi="Arial"/>
        </w:rPr>
        <w:t>u</w:t>
      </w:r>
      <w:r>
        <w:rPr>
          <w:rFonts w:ascii="Arial" w:hAnsi="Arial"/>
          <w:spacing w:val="-2"/>
        </w:rPr>
        <w:t>s</w:t>
      </w:r>
      <w:r>
        <w:rPr>
          <w:rFonts w:ascii="Arial" w:hAnsi="Arial"/>
        </w:rPr>
        <w:t>t</w:t>
      </w:r>
      <w:r>
        <w:rPr>
          <w:rFonts w:ascii="Arial" w:hAnsi="Arial"/>
        </w:rPr>
        <w:t xml:space="preserve"> </w:t>
      </w:r>
      <w:r>
        <w:rPr>
          <w:rFonts w:ascii="Arial" w:hAnsi="Arial"/>
          <w:spacing w:val="-21"/>
        </w:rPr>
        <w:t xml:space="preserve"> </w:t>
      </w:r>
      <w:r>
        <w:rPr>
          <w:rFonts w:ascii="Arial" w:hAnsi="Arial"/>
          <w:spacing w:val="-3"/>
        </w:rPr>
        <w:t>b</w:t>
      </w:r>
      <w:r>
        <w:rPr>
          <w:rFonts w:ascii="Arial" w:hAnsi="Arial"/>
        </w:rPr>
        <w:t>e</w:t>
      </w:r>
      <w:r>
        <w:rPr>
          <w:rFonts w:ascii="Arial" w:hAnsi="Arial"/>
        </w:rPr>
        <w:t xml:space="preserve"> </w:t>
      </w:r>
      <w:r>
        <w:rPr>
          <w:rFonts w:ascii="Arial" w:hAnsi="Arial"/>
          <w:spacing w:val="-22"/>
        </w:rPr>
        <w:t xml:space="preserve"> </w:t>
      </w:r>
      <w:r>
        <w:rPr>
          <w:rFonts w:ascii="Arial" w:hAnsi="Arial"/>
        </w:rPr>
        <w:t>a</w:t>
      </w:r>
      <w:r>
        <w:rPr>
          <w:rFonts w:ascii="Arial" w:hAnsi="Arial"/>
        </w:rPr>
        <w:t xml:space="preserve"> </w:t>
      </w:r>
      <w:r>
        <w:rPr>
          <w:rFonts w:ascii="Arial" w:hAnsi="Arial"/>
          <w:spacing w:val="-27"/>
        </w:rPr>
        <w:t xml:space="preserve"> </w:t>
      </w:r>
      <w:r>
        <w:rPr>
          <w:rFonts w:ascii="Arial" w:hAnsi="Arial"/>
        </w:rPr>
        <w:t>coll</w:t>
      </w:r>
      <w:r>
        <w:rPr>
          <w:rFonts w:ascii="Arial" w:hAnsi="Arial"/>
          <w:spacing w:val="-3"/>
        </w:rPr>
        <w:t>e</w:t>
      </w:r>
      <w:r>
        <w:rPr>
          <w:rFonts w:ascii="Arial" w:hAnsi="Arial"/>
        </w:rPr>
        <w:t>cti</w:t>
      </w:r>
      <w:r>
        <w:rPr>
          <w:rFonts w:ascii="Arial" w:hAnsi="Arial"/>
          <w:spacing w:val="-3"/>
        </w:rPr>
        <w:t>o</w:t>
      </w:r>
      <w:r>
        <w:rPr>
          <w:rFonts w:ascii="Arial" w:hAnsi="Arial"/>
        </w:rPr>
        <w:t>n</w:t>
      </w:r>
      <w:r>
        <w:rPr>
          <w:rFonts w:ascii="Arial" w:hAnsi="Arial"/>
        </w:rPr>
        <w:t xml:space="preserve"> </w:t>
      </w:r>
      <w:r>
        <w:rPr>
          <w:rFonts w:ascii="Arial" w:hAnsi="Arial"/>
          <w:spacing w:val="-22"/>
        </w:rPr>
        <w:t xml:space="preserve"> </w:t>
      </w:r>
      <w:r>
        <w:rPr>
          <w:rFonts w:ascii="Arial" w:hAnsi="Arial"/>
          <w:spacing w:val="-3"/>
        </w:rPr>
        <w:t>o</w:t>
      </w:r>
      <w:r>
        <w:rPr>
          <w:rFonts w:ascii="Arial" w:hAnsi="Arial"/>
        </w:rPr>
        <w:t>f</w:t>
      </w:r>
      <w:r>
        <w:rPr>
          <w:rFonts w:ascii="Arial" w:hAnsi="Arial"/>
        </w:rPr>
        <w:t xml:space="preserve"> </w:t>
      </w:r>
      <w:r>
        <w:rPr>
          <w:rFonts w:ascii="Arial" w:hAnsi="Arial"/>
          <w:spacing w:val="-21"/>
        </w:rPr>
        <w:t xml:space="preserve"> </w:t>
      </w:r>
      <w:r>
        <w:rPr>
          <w:rFonts w:ascii="Arial" w:hAnsi="Arial"/>
        </w:rPr>
        <w:t>i</w:t>
      </w:r>
      <w:r>
        <w:rPr>
          <w:rFonts w:ascii="Arial" w:hAnsi="Arial"/>
          <w:spacing w:val="-3"/>
        </w:rPr>
        <w:t>n</w:t>
      </w:r>
      <w:r>
        <w:rPr>
          <w:rFonts w:ascii="Arial" w:hAnsi="Arial"/>
        </w:rPr>
        <w:t>di</w:t>
      </w:r>
      <w:r>
        <w:rPr>
          <w:rFonts w:ascii="Arial" w:hAnsi="Arial"/>
          <w:spacing w:val="-4"/>
        </w:rPr>
        <w:t>v</w:t>
      </w:r>
      <w:r>
        <w:rPr>
          <w:rFonts w:ascii="Arial" w:hAnsi="Arial"/>
          <w:spacing w:val="2"/>
        </w:rPr>
        <w:t>i</w:t>
      </w:r>
      <w:r>
        <w:rPr>
          <w:rFonts w:ascii="Arial" w:hAnsi="Arial"/>
        </w:rPr>
        <w:t>duals</w:t>
      </w:r>
      <w:r>
        <w:rPr>
          <w:rFonts w:ascii="Arial" w:hAnsi="Arial"/>
        </w:rPr>
        <w:t xml:space="preserve"> </w:t>
      </w:r>
      <w:r>
        <w:rPr>
          <w:rFonts w:ascii="Arial" w:hAnsi="Arial"/>
          <w:spacing w:val="-23"/>
        </w:rPr>
        <w:t xml:space="preserve"> </w:t>
      </w:r>
      <w:r>
        <w:rPr>
          <w:rFonts w:ascii="Arial" w:hAnsi="Arial"/>
          <w:spacing w:val="-4"/>
        </w:rPr>
        <w:t>w</w:t>
      </w:r>
      <w:r>
        <w:rPr>
          <w:rFonts w:ascii="Arial" w:hAnsi="Arial"/>
        </w:rPr>
        <w:t xml:space="preserve">ho </w:t>
      </w:r>
      <w:r>
        <w:rPr>
          <w:rFonts w:ascii="Arial" w:hAnsi="Arial"/>
        </w:rPr>
        <w:t>have a system of beliefs or doctrines which they regard as conducive to their spiritual well-being, that is, a common</w:t>
      </w:r>
      <w:r>
        <w:rPr>
          <w:rFonts w:ascii="Arial" w:hAnsi="Arial"/>
          <w:spacing w:val="-7"/>
        </w:rPr>
        <w:t xml:space="preserve"> </w:t>
      </w:r>
      <w:r>
        <w:rPr>
          <w:rFonts w:ascii="Arial" w:hAnsi="Arial"/>
        </w:rPr>
        <w:t>faith;</w:t>
      </w:r>
    </w:p>
    <w:p w:rsidR="003B2FC0" w:rsidRDefault="00052A49">
      <w:pPr>
        <w:pStyle w:val="ListParagraph"/>
        <w:numPr>
          <w:ilvl w:val="1"/>
          <w:numId w:val="54"/>
        </w:numPr>
        <w:tabs>
          <w:tab w:val="left" w:pos="2506"/>
        </w:tabs>
        <w:spacing w:before="42"/>
        <w:ind w:hanging="420"/>
        <w:rPr>
          <w:sz w:val="28"/>
        </w:rPr>
      </w:pPr>
      <w:r>
        <w:rPr>
          <w:sz w:val="28"/>
        </w:rPr>
        <w:t>common organization;</w:t>
      </w:r>
      <w:r>
        <w:rPr>
          <w:spacing w:val="-2"/>
          <w:sz w:val="28"/>
        </w:rPr>
        <w:t xml:space="preserve"> </w:t>
      </w:r>
      <w:r>
        <w:rPr>
          <w:sz w:val="28"/>
        </w:rPr>
        <w:t>and</w:t>
      </w:r>
    </w:p>
    <w:p w:rsidR="003B2FC0" w:rsidRDefault="00052A49">
      <w:pPr>
        <w:pStyle w:val="ListParagraph"/>
        <w:numPr>
          <w:ilvl w:val="1"/>
          <w:numId w:val="54"/>
        </w:numPr>
        <w:tabs>
          <w:tab w:val="left" w:pos="2508"/>
        </w:tabs>
        <w:spacing w:before="38"/>
        <w:ind w:left="2507" w:hanging="422"/>
        <w:rPr>
          <w:sz w:val="28"/>
        </w:rPr>
      </w:pPr>
      <w:r>
        <w:rPr>
          <w:sz w:val="28"/>
        </w:rPr>
        <w:t>designation by a distinctive</w:t>
      </w:r>
      <w:r>
        <w:rPr>
          <w:spacing w:val="-8"/>
          <w:sz w:val="28"/>
        </w:rPr>
        <w:t xml:space="preserve"> </w:t>
      </w:r>
      <w:r>
        <w:rPr>
          <w:sz w:val="28"/>
        </w:rPr>
        <w:t>name.‖</w:t>
      </w:r>
    </w:p>
    <w:p w:rsidR="003B2FC0" w:rsidRDefault="003B2FC0">
      <w:pPr>
        <w:rPr>
          <w:sz w:val="30"/>
        </w:rPr>
      </w:pPr>
    </w:p>
    <w:p w:rsidR="003B2FC0" w:rsidRDefault="00052A49">
      <w:pPr>
        <w:pStyle w:val="BodyText"/>
        <w:spacing w:before="180" w:line="480" w:lineRule="auto"/>
        <w:ind w:left="383" w:right="402"/>
        <w:jc w:val="both"/>
        <w:rPr>
          <w:rFonts w:ascii="Arial"/>
        </w:rPr>
      </w:pPr>
      <w:r>
        <w:rPr>
          <w:rFonts w:ascii="Arial"/>
        </w:rPr>
        <w:t xml:space="preserve">A reference was made to Rule 9 of the Rules and Regulations of the Sri Aurobindo Society, and to an important argument made, that to be a religious denomination, the person who is a member of the denomination should belong to the religion professed by the </w:t>
      </w:r>
      <w:r>
        <w:rPr>
          <w:rFonts w:ascii="Arial"/>
        </w:rPr>
        <w:t>denomination and should give up his previous religion. The argument was referred to in paragraph 106 as</w:t>
      </w:r>
      <w:r>
        <w:rPr>
          <w:rFonts w:ascii="Arial"/>
          <w:spacing w:val="-8"/>
        </w:rPr>
        <w:t xml:space="preserve"> </w:t>
      </w:r>
      <w:r>
        <w:rPr>
          <w:rFonts w:ascii="Arial"/>
        </w:rPr>
        <w:t>follows:</w:t>
      </w:r>
    </w:p>
    <w:p w:rsidR="003B2FC0" w:rsidRDefault="00052A49">
      <w:pPr>
        <w:pStyle w:val="BodyText"/>
        <w:spacing w:before="201"/>
        <w:ind w:left="1518" w:right="1539"/>
        <w:jc w:val="both"/>
        <w:rPr>
          <w:rFonts w:ascii="Arial" w:hAnsi="Arial"/>
        </w:rPr>
      </w:pPr>
      <w:r>
        <w:rPr>
          <w:rFonts w:ascii="Arial" w:hAnsi="Arial"/>
          <w:w w:val="33"/>
        </w:rPr>
        <w:t>―</w:t>
      </w:r>
      <w:r>
        <w:rPr>
          <w:rFonts w:ascii="Arial" w:hAnsi="Arial"/>
          <w:b/>
          <w:spacing w:val="-1"/>
        </w:rPr>
        <w:t>106</w:t>
      </w:r>
      <w:r>
        <w:rPr>
          <w:rFonts w:ascii="Arial" w:hAnsi="Arial"/>
          <w:b/>
        </w:rPr>
        <w:t>.</w:t>
      </w:r>
      <w:r>
        <w:rPr>
          <w:rFonts w:ascii="Arial" w:hAnsi="Arial"/>
          <w:b/>
        </w:rPr>
        <w:t xml:space="preserve"> </w:t>
      </w:r>
      <w:r>
        <w:rPr>
          <w:rFonts w:ascii="Arial" w:hAnsi="Arial"/>
          <w:spacing w:val="-2"/>
        </w:rPr>
        <w:t>R</w:t>
      </w:r>
      <w:r>
        <w:rPr>
          <w:rFonts w:ascii="Arial" w:hAnsi="Arial"/>
        </w:rPr>
        <w:t>efer</w:t>
      </w:r>
      <w:r>
        <w:rPr>
          <w:rFonts w:ascii="Arial" w:hAnsi="Arial"/>
          <w:spacing w:val="-3"/>
        </w:rPr>
        <w:t>e</w:t>
      </w:r>
      <w:r>
        <w:rPr>
          <w:rFonts w:ascii="Arial" w:hAnsi="Arial"/>
        </w:rPr>
        <w:t>nce</w:t>
      </w:r>
      <w:r>
        <w:rPr>
          <w:rFonts w:ascii="Arial" w:hAnsi="Arial"/>
        </w:rPr>
        <w:t xml:space="preserve"> </w:t>
      </w:r>
      <w:r>
        <w:rPr>
          <w:rFonts w:ascii="Arial" w:hAnsi="Arial"/>
          <w:spacing w:val="-32"/>
        </w:rPr>
        <w:t xml:space="preserve"> </w:t>
      </w:r>
      <w:r>
        <w:rPr>
          <w:rFonts w:ascii="Arial" w:hAnsi="Arial"/>
          <w:spacing w:val="-2"/>
        </w:rPr>
        <w:t>w</w:t>
      </w:r>
      <w:r>
        <w:rPr>
          <w:rFonts w:ascii="Arial" w:hAnsi="Arial"/>
        </w:rPr>
        <w:t>as</w:t>
      </w:r>
      <w:r>
        <w:rPr>
          <w:rFonts w:ascii="Arial" w:hAnsi="Arial"/>
        </w:rPr>
        <w:t xml:space="preserve"> </w:t>
      </w:r>
      <w:r>
        <w:rPr>
          <w:rFonts w:ascii="Arial" w:hAnsi="Arial"/>
          <w:spacing w:val="-28"/>
        </w:rPr>
        <w:t xml:space="preserve"> </w:t>
      </w:r>
      <w:r>
        <w:rPr>
          <w:rFonts w:ascii="Arial" w:hAnsi="Arial"/>
          <w:spacing w:val="-2"/>
        </w:rPr>
        <w:t>m</w:t>
      </w:r>
      <w:r>
        <w:rPr>
          <w:rFonts w:ascii="Arial" w:hAnsi="Arial"/>
        </w:rPr>
        <w:t>ade</w:t>
      </w:r>
      <w:r>
        <w:rPr>
          <w:rFonts w:ascii="Arial" w:hAnsi="Arial"/>
        </w:rPr>
        <w:t xml:space="preserve"> </w:t>
      </w:r>
      <w:r>
        <w:rPr>
          <w:rFonts w:ascii="Arial" w:hAnsi="Arial"/>
          <w:spacing w:val="-32"/>
        </w:rPr>
        <w:t xml:space="preserve"> </w:t>
      </w:r>
      <w:r>
        <w:rPr>
          <w:rFonts w:ascii="Arial" w:hAnsi="Arial"/>
        </w:rPr>
        <w:t>to</w:t>
      </w:r>
      <w:r>
        <w:rPr>
          <w:rFonts w:ascii="Arial" w:hAnsi="Arial"/>
        </w:rPr>
        <w:t xml:space="preserve"> </w:t>
      </w:r>
      <w:r>
        <w:rPr>
          <w:rFonts w:ascii="Arial" w:hAnsi="Arial"/>
          <w:spacing w:val="-32"/>
        </w:rPr>
        <w:t xml:space="preserve"> </w:t>
      </w:r>
      <w:r>
        <w:rPr>
          <w:rFonts w:ascii="Arial" w:hAnsi="Arial"/>
          <w:spacing w:val="-2"/>
        </w:rPr>
        <w:t>R</w:t>
      </w:r>
      <w:r>
        <w:rPr>
          <w:rFonts w:ascii="Arial" w:hAnsi="Arial"/>
        </w:rPr>
        <w:t>ule</w:t>
      </w:r>
      <w:r>
        <w:rPr>
          <w:rFonts w:ascii="Arial" w:hAnsi="Arial"/>
        </w:rPr>
        <w:t xml:space="preserve"> </w:t>
      </w:r>
      <w:r>
        <w:rPr>
          <w:rFonts w:ascii="Arial" w:hAnsi="Arial"/>
          <w:spacing w:val="-32"/>
        </w:rPr>
        <w:t xml:space="preserve"> </w:t>
      </w:r>
      <w:r>
        <w:rPr>
          <w:rFonts w:ascii="Arial" w:hAnsi="Arial"/>
        </w:rPr>
        <w:t>9</w:t>
      </w:r>
      <w:r>
        <w:rPr>
          <w:rFonts w:ascii="Arial" w:hAnsi="Arial"/>
        </w:rPr>
        <w:t xml:space="preserve"> </w:t>
      </w:r>
      <w:r>
        <w:rPr>
          <w:rFonts w:ascii="Arial" w:hAnsi="Arial"/>
          <w:spacing w:val="-29"/>
        </w:rPr>
        <w:t xml:space="preserve"> </w:t>
      </w:r>
      <w:r>
        <w:rPr>
          <w:rFonts w:ascii="Arial" w:hAnsi="Arial"/>
        </w:rPr>
        <w:t>of</w:t>
      </w:r>
      <w:r>
        <w:rPr>
          <w:rFonts w:ascii="Arial" w:hAnsi="Arial"/>
        </w:rPr>
        <w:t xml:space="preserve"> </w:t>
      </w:r>
      <w:r>
        <w:rPr>
          <w:rFonts w:ascii="Arial" w:hAnsi="Arial"/>
          <w:spacing w:val="-27"/>
        </w:rPr>
        <w:t xml:space="preserve"> </w:t>
      </w:r>
      <w:r>
        <w:rPr>
          <w:rFonts w:ascii="Arial" w:hAnsi="Arial"/>
        </w:rPr>
        <w:t>the</w:t>
      </w:r>
      <w:r>
        <w:rPr>
          <w:rFonts w:ascii="Arial" w:hAnsi="Arial"/>
        </w:rPr>
        <w:t xml:space="preserve"> </w:t>
      </w:r>
      <w:r>
        <w:rPr>
          <w:rFonts w:ascii="Arial" w:hAnsi="Arial"/>
          <w:spacing w:val="-32"/>
        </w:rPr>
        <w:t xml:space="preserve"> </w:t>
      </w:r>
      <w:r>
        <w:rPr>
          <w:rFonts w:ascii="Arial" w:hAnsi="Arial"/>
          <w:spacing w:val="-2"/>
        </w:rPr>
        <w:t>R</w:t>
      </w:r>
      <w:r>
        <w:rPr>
          <w:rFonts w:ascii="Arial" w:hAnsi="Arial"/>
        </w:rPr>
        <w:t>u</w:t>
      </w:r>
      <w:r>
        <w:rPr>
          <w:rFonts w:ascii="Arial" w:hAnsi="Arial"/>
          <w:spacing w:val="-3"/>
        </w:rPr>
        <w:t>le</w:t>
      </w:r>
      <w:r>
        <w:rPr>
          <w:rFonts w:ascii="Arial" w:hAnsi="Arial"/>
        </w:rPr>
        <w:t xml:space="preserve">s </w:t>
      </w:r>
      <w:r>
        <w:rPr>
          <w:rFonts w:ascii="Arial" w:hAnsi="Arial"/>
        </w:rPr>
        <w:t>and Regulations of Sri Aurobindo Society, which deals with membership of the Society an</w:t>
      </w:r>
      <w:r>
        <w:rPr>
          <w:rFonts w:ascii="Arial" w:hAnsi="Arial"/>
        </w:rPr>
        <w:t>d</w:t>
      </w:r>
      <w:r>
        <w:rPr>
          <w:rFonts w:ascii="Arial" w:hAnsi="Arial"/>
          <w:spacing w:val="-12"/>
        </w:rPr>
        <w:t xml:space="preserve"> </w:t>
      </w:r>
      <w:r>
        <w:rPr>
          <w:rFonts w:ascii="Arial" w:hAnsi="Arial"/>
        </w:rPr>
        <w:t>provides:</w:t>
      </w:r>
    </w:p>
    <w:p w:rsidR="003B2FC0" w:rsidRDefault="003B2FC0">
      <w:pPr>
        <w:spacing w:before="4"/>
        <w:rPr>
          <w:sz w:val="31"/>
        </w:rPr>
      </w:pPr>
    </w:p>
    <w:p w:rsidR="003B2FC0" w:rsidRDefault="00052A49">
      <w:pPr>
        <w:pStyle w:val="BodyText"/>
        <w:spacing w:before="1"/>
        <w:ind w:left="2085" w:right="1541"/>
        <w:jc w:val="both"/>
        <w:rPr>
          <w:rFonts w:ascii="Arial" w:hAnsi="Arial"/>
        </w:rPr>
      </w:pPr>
      <w:r>
        <w:rPr>
          <w:rFonts w:ascii="Arial" w:hAnsi="Arial"/>
        </w:rPr>
        <w:t>―9. Any person or institution or organisation either in India or abroad who subscribes to the aims and objects of the Society, and whose application for membership is approved by the Executive Committee, will be member of the Society. The membership is ope</w:t>
      </w:r>
      <w:r>
        <w:rPr>
          <w:rFonts w:ascii="Arial" w:hAnsi="Arial"/>
        </w:rPr>
        <w:t>n to people everywhere without any distinction of nationality, religion, caste, creed or</w:t>
      </w:r>
      <w:r>
        <w:rPr>
          <w:rFonts w:ascii="Arial" w:hAnsi="Arial"/>
          <w:spacing w:val="-18"/>
        </w:rPr>
        <w:t xml:space="preserve"> </w:t>
      </w:r>
      <w:r>
        <w:rPr>
          <w:rFonts w:ascii="Arial" w:hAnsi="Arial"/>
        </w:rPr>
        <w:t>sex.‖</w:t>
      </w:r>
    </w:p>
    <w:p w:rsidR="003B2FC0" w:rsidRDefault="003B2FC0">
      <w:pPr>
        <w:spacing w:before="5"/>
        <w:rPr>
          <w:sz w:val="31"/>
        </w:rPr>
      </w:pPr>
    </w:p>
    <w:p w:rsidR="003B2FC0" w:rsidRDefault="00052A49">
      <w:pPr>
        <w:pStyle w:val="BodyText"/>
        <w:spacing w:before="1"/>
        <w:ind w:left="1518" w:right="1542"/>
        <w:jc w:val="both"/>
        <w:rPr>
          <w:rFonts w:ascii="Arial"/>
        </w:rPr>
      </w:pPr>
      <w:r>
        <w:rPr>
          <w:rFonts w:ascii="Arial"/>
        </w:rPr>
        <w:t>The only condition for membership is that the person seeking the membership of the Society must subscribe to the aims and objects of the Society.</w:t>
      </w:r>
      <w:r>
        <w:rPr>
          <w:rFonts w:ascii="Arial"/>
          <w:spacing w:val="21"/>
        </w:rPr>
        <w:t xml:space="preserve"> </w:t>
      </w:r>
      <w:r>
        <w:rPr>
          <w:rFonts w:ascii="Arial"/>
        </w:rPr>
        <w:t>It</w:t>
      </w:r>
    </w:p>
    <w:p w:rsidR="003B2FC0" w:rsidRDefault="003B2FC0">
      <w:pPr>
        <w:jc w:val="both"/>
        <w:sectPr w:rsidR="003B2FC0">
          <w:headerReference w:type="default" r:id="rId260"/>
          <w:footerReference w:type="default" r:id="rId261"/>
          <w:pgSz w:w="12240" w:h="15840"/>
          <w:pgMar w:top="1360" w:right="1320" w:bottom="1680" w:left="1340" w:header="0" w:footer="1492" w:gutter="0"/>
          <w:pgNumType w:start="39"/>
          <w:cols w:space="720"/>
        </w:sectPr>
      </w:pPr>
    </w:p>
    <w:p w:rsidR="003B2FC0" w:rsidRDefault="00052A49">
      <w:pPr>
        <w:pStyle w:val="BodyText"/>
        <w:spacing w:before="77"/>
        <w:ind w:left="1518" w:right="1537"/>
        <w:jc w:val="both"/>
        <w:rPr>
          <w:rFonts w:ascii="Arial" w:hAnsi="Arial"/>
        </w:rPr>
      </w:pPr>
      <w:r>
        <w:rPr>
          <w:rFonts w:ascii="Arial" w:hAnsi="Arial"/>
        </w:rPr>
        <w:t>was further urged that what is universal cannot be a religious denomination. In order to constitute a separate denomination, there must be something distinct from another. A denomination argues the counsel, is one which is diffe</w:t>
      </w:r>
      <w:r>
        <w:rPr>
          <w:rFonts w:ascii="Arial" w:hAnsi="Arial"/>
        </w:rPr>
        <w:t>rent from the other and if the Society was a religious denomination, then the person seeking admission to the institution would lose his previous religion. He cannot be a member of two religions at one and the same time. But this is not the position in bec</w:t>
      </w:r>
      <w:r>
        <w:rPr>
          <w:rFonts w:ascii="Arial" w:hAnsi="Arial"/>
        </w:rPr>
        <w:t>oming a member of the Society and Auroville. A religious denomination  must necessarily be a new one and new methodology must be provided for a religion. Substantially, the view taken by Sri Aurobindo remains a part of the Hindu philosophy. There may be ce</w:t>
      </w:r>
      <w:r>
        <w:rPr>
          <w:rFonts w:ascii="Arial" w:hAnsi="Arial"/>
        </w:rPr>
        <w:t>rtain innovations in his philosophy but that would not make it a religion on that</w:t>
      </w:r>
      <w:r>
        <w:rPr>
          <w:rFonts w:ascii="Arial" w:hAnsi="Arial"/>
          <w:spacing w:val="-20"/>
        </w:rPr>
        <w:t xml:space="preserve"> </w:t>
      </w:r>
      <w:r>
        <w:rPr>
          <w:rFonts w:ascii="Arial" w:hAnsi="Arial"/>
        </w:rPr>
        <w:t>account.‖</w:t>
      </w:r>
    </w:p>
    <w:p w:rsidR="003B2FC0" w:rsidRDefault="003B2FC0">
      <w:pPr>
        <w:rPr>
          <w:sz w:val="30"/>
        </w:rPr>
      </w:pPr>
    </w:p>
    <w:p w:rsidR="003B2FC0" w:rsidRDefault="00052A49">
      <w:pPr>
        <w:pStyle w:val="BodyText"/>
        <w:spacing w:before="177" w:line="480" w:lineRule="auto"/>
        <w:ind w:left="383" w:right="401"/>
        <w:jc w:val="both"/>
        <w:rPr>
          <w:rFonts w:ascii="Arial"/>
        </w:rPr>
      </w:pPr>
      <w:r>
        <w:rPr>
          <w:rFonts w:ascii="Arial"/>
        </w:rPr>
        <w:t>After referring to the arguments of both sides, the Court did not answer the question as to whether the Sri Aurobindo Society was a religious denomination, but proceeded on the assumption that it was, and then held that the Act did not violate either Artic</w:t>
      </w:r>
      <w:r>
        <w:rPr>
          <w:rFonts w:ascii="Arial"/>
        </w:rPr>
        <w:t>le 25 or Article 26.</w:t>
      </w:r>
    </w:p>
    <w:p w:rsidR="003B2FC0" w:rsidRDefault="003B2FC0">
      <w:pPr>
        <w:spacing w:before="2"/>
        <w:rPr>
          <w:sz w:val="28"/>
        </w:rPr>
      </w:pPr>
    </w:p>
    <w:p w:rsidR="003B2FC0" w:rsidRDefault="00052A49">
      <w:pPr>
        <w:pStyle w:val="BodyText"/>
        <w:spacing w:line="480" w:lineRule="auto"/>
        <w:ind w:left="383" w:right="401"/>
        <w:jc w:val="both"/>
        <w:rPr>
          <w:rFonts w:ascii="Arial" w:hAnsi="Arial"/>
        </w:rPr>
      </w:pPr>
      <w:r>
        <w:rPr>
          <w:rFonts w:ascii="Arial" w:hAnsi="Arial"/>
        </w:rPr>
        <w:t xml:space="preserve">In a separate opinion by Chinnappa Reddy, J., without adverting to the argument contained in paragraph 106 of Misra, J.‘s judgment, the </w:t>
      </w:r>
      <w:r>
        <w:rPr>
          <w:rFonts w:ascii="Arial" w:hAnsi="Arial"/>
        </w:rPr>
        <w:t>learned</w:t>
      </w:r>
      <w:r>
        <w:rPr>
          <w:rFonts w:ascii="Arial" w:hAnsi="Arial"/>
        </w:rPr>
        <w:t xml:space="preserve"> </w:t>
      </w:r>
      <w:r>
        <w:rPr>
          <w:rFonts w:ascii="Arial" w:hAnsi="Arial"/>
        </w:rPr>
        <w:t>Judge</w:t>
      </w:r>
      <w:r>
        <w:rPr>
          <w:rFonts w:ascii="Arial" w:hAnsi="Arial"/>
        </w:rPr>
        <w:t xml:space="preserve"> </w:t>
      </w:r>
      <w:r>
        <w:rPr>
          <w:rFonts w:ascii="Arial" w:hAnsi="Arial"/>
        </w:rPr>
        <w:t>concluded</w:t>
      </w:r>
      <w:r>
        <w:rPr>
          <w:rFonts w:ascii="Arial" w:hAnsi="Arial"/>
        </w:rPr>
        <w:t xml:space="preserve"> </w:t>
      </w:r>
      <w:r>
        <w:rPr>
          <w:rFonts w:ascii="Arial" w:hAnsi="Arial"/>
        </w:rPr>
        <w:t>that</w:t>
      </w:r>
      <w:r>
        <w:rPr>
          <w:rFonts w:ascii="Arial" w:hAnsi="Arial"/>
        </w:rPr>
        <w:t xml:space="preserve"> </w:t>
      </w:r>
      <w:r>
        <w:rPr>
          <w:rFonts w:ascii="Arial" w:hAnsi="Arial"/>
          <w:w w:val="33"/>
        </w:rPr>
        <w:t>―</w:t>
      </w:r>
      <w:r>
        <w:rPr>
          <w:rFonts w:ascii="Arial" w:hAnsi="Arial"/>
        </w:rPr>
        <w:t>Aurobindoism</w:t>
      </w:r>
      <w:r>
        <w:rPr>
          <w:rFonts w:ascii="Arial" w:hAnsi="Arial"/>
          <w:w w:val="80"/>
        </w:rPr>
        <w:t>‖</w:t>
      </w:r>
      <w:r>
        <w:rPr>
          <w:rFonts w:ascii="Arial" w:hAnsi="Arial"/>
        </w:rPr>
        <w:t xml:space="preserve"> </w:t>
      </w:r>
      <w:r>
        <w:rPr>
          <w:rFonts w:ascii="Arial" w:hAnsi="Arial"/>
        </w:rPr>
        <w:t>could</w:t>
      </w:r>
      <w:r>
        <w:rPr>
          <w:rFonts w:ascii="Arial" w:hAnsi="Arial"/>
        </w:rPr>
        <w:t xml:space="preserve"> </w:t>
      </w:r>
      <w:r>
        <w:rPr>
          <w:rFonts w:ascii="Arial" w:hAnsi="Arial"/>
        </w:rPr>
        <w:t>be</w:t>
      </w:r>
      <w:r>
        <w:rPr>
          <w:rFonts w:ascii="Arial" w:hAnsi="Arial"/>
        </w:rPr>
        <w:t xml:space="preserve"> </w:t>
      </w:r>
      <w:r>
        <w:rPr>
          <w:rFonts w:ascii="Arial" w:hAnsi="Arial"/>
        </w:rPr>
        <w:t>classified</w:t>
      </w:r>
      <w:r>
        <w:rPr>
          <w:rFonts w:ascii="Arial" w:hAnsi="Arial"/>
        </w:rPr>
        <w:t xml:space="preserve"> </w:t>
      </w:r>
      <w:r>
        <w:rPr>
          <w:rFonts w:ascii="Arial" w:hAnsi="Arial"/>
        </w:rPr>
        <w:t>as</w:t>
      </w:r>
      <w:r>
        <w:rPr>
          <w:rFonts w:ascii="Arial" w:hAnsi="Arial"/>
        </w:rPr>
        <w:t xml:space="preserve"> </w:t>
      </w:r>
      <w:r>
        <w:rPr>
          <w:rFonts w:ascii="Arial" w:hAnsi="Arial"/>
        </w:rPr>
        <w:t xml:space="preserve">a </w:t>
      </w:r>
      <w:r>
        <w:rPr>
          <w:rFonts w:ascii="Arial" w:hAnsi="Arial"/>
        </w:rPr>
        <w:t>new sect of Hinduism and the followers of Sri Aurobindo could, therefore, be termed as a religious denomination. This was done despite the fact that Sri Aurobindo himself disclaimed that he was</w:t>
      </w:r>
    </w:p>
    <w:p w:rsidR="003B2FC0" w:rsidRDefault="003B2FC0">
      <w:pPr>
        <w:spacing w:line="480" w:lineRule="auto"/>
        <w:jc w:val="both"/>
        <w:sectPr w:rsidR="003B2FC0">
          <w:headerReference w:type="default" r:id="rId262"/>
          <w:footerReference w:type="default" r:id="rId263"/>
          <w:pgSz w:w="12240" w:h="15840"/>
          <w:pgMar w:top="1360" w:right="1320" w:bottom="1680" w:left="1340" w:header="0" w:footer="1492" w:gutter="0"/>
          <w:pgNumType w:start="40"/>
          <w:cols w:space="720"/>
        </w:sectPr>
      </w:pPr>
    </w:p>
    <w:p w:rsidR="003B2FC0" w:rsidRDefault="00052A49">
      <w:pPr>
        <w:pStyle w:val="BodyText"/>
        <w:spacing w:before="77" w:line="480" w:lineRule="auto"/>
        <w:ind w:left="383" w:right="404"/>
        <w:jc w:val="both"/>
        <w:rPr>
          <w:rFonts w:ascii="Arial" w:hAnsi="Arial"/>
        </w:rPr>
      </w:pPr>
      <w:r>
        <w:rPr>
          <w:rFonts w:ascii="Arial" w:hAnsi="Arial"/>
        </w:rPr>
        <w:t>founding a new religion</w:t>
      </w:r>
      <w:r>
        <w:rPr>
          <w:rFonts w:ascii="Arial" w:hAnsi="Arial"/>
        </w:rPr>
        <w:t xml:space="preserve"> and that the Society had represented itself as a ―non-political, non-religious organization‖ and claimed exemption from income tax on the ground that it was engaged in educational, cultural, and scientific</w:t>
      </w:r>
      <w:r>
        <w:rPr>
          <w:rFonts w:ascii="Arial" w:hAnsi="Arial"/>
          <w:spacing w:val="-6"/>
        </w:rPr>
        <w:t xml:space="preserve"> </w:t>
      </w:r>
      <w:r>
        <w:rPr>
          <w:rFonts w:ascii="Arial" w:hAnsi="Arial"/>
        </w:rPr>
        <w:t>research.</w:t>
      </w:r>
    </w:p>
    <w:p w:rsidR="003B2FC0" w:rsidRDefault="003B2FC0">
      <w:pPr>
        <w:spacing w:before="10"/>
        <w:rPr>
          <w:sz w:val="27"/>
        </w:rPr>
      </w:pPr>
    </w:p>
    <w:p w:rsidR="003B2FC0" w:rsidRDefault="00052A49">
      <w:pPr>
        <w:pStyle w:val="ListParagraph"/>
        <w:numPr>
          <w:ilvl w:val="0"/>
          <w:numId w:val="51"/>
        </w:numPr>
        <w:tabs>
          <w:tab w:val="left" w:pos="1234"/>
        </w:tabs>
        <w:spacing w:line="482" w:lineRule="auto"/>
        <w:ind w:right="403" w:firstLine="0"/>
        <w:jc w:val="both"/>
        <w:rPr>
          <w:sz w:val="28"/>
        </w:rPr>
      </w:pPr>
      <w:r>
        <w:rPr>
          <w:sz w:val="28"/>
        </w:rPr>
        <w:t xml:space="preserve">We then come to </w:t>
      </w:r>
      <w:r>
        <w:rPr>
          <w:b/>
          <w:sz w:val="28"/>
        </w:rPr>
        <w:t>Acharya Jagdishwaranan</w:t>
      </w:r>
      <w:r>
        <w:rPr>
          <w:b/>
          <w:sz w:val="28"/>
        </w:rPr>
        <w:t>d Avadhuta and Ors. v. Commissioner of Police, Calcutta and Anr.</w:t>
      </w:r>
      <w:r>
        <w:rPr>
          <w:sz w:val="28"/>
        </w:rPr>
        <w:t>, (1983) 4</w:t>
      </w:r>
      <w:r>
        <w:rPr>
          <w:spacing w:val="54"/>
          <w:sz w:val="28"/>
        </w:rPr>
        <w:t xml:space="preserve"> </w:t>
      </w:r>
      <w:r>
        <w:rPr>
          <w:sz w:val="28"/>
        </w:rPr>
        <w:t>SCC</w:t>
      </w:r>
    </w:p>
    <w:p w:rsidR="003B2FC0" w:rsidRDefault="00052A49">
      <w:pPr>
        <w:pStyle w:val="BodyText"/>
        <w:spacing w:line="480" w:lineRule="auto"/>
        <w:ind w:left="383" w:right="401"/>
        <w:jc w:val="both"/>
        <w:rPr>
          <w:rFonts w:ascii="Arial" w:hAnsi="Arial"/>
        </w:rPr>
      </w:pPr>
      <w:r>
        <w:rPr>
          <w:rFonts w:ascii="Arial" w:hAnsi="Arial"/>
        </w:rPr>
        <w:t>522.</w:t>
      </w:r>
      <w:r>
        <w:rPr>
          <w:rFonts w:ascii="Arial" w:hAnsi="Arial"/>
          <w:spacing w:val="-13"/>
        </w:rPr>
        <w:t xml:space="preserve"> </w:t>
      </w:r>
      <w:r>
        <w:rPr>
          <w:rFonts w:ascii="Arial" w:hAnsi="Arial"/>
        </w:rPr>
        <w:t>This</w:t>
      </w:r>
      <w:r>
        <w:rPr>
          <w:rFonts w:ascii="Arial" w:hAnsi="Arial"/>
          <w:spacing w:val="-13"/>
        </w:rPr>
        <w:t xml:space="preserve"> </w:t>
      </w:r>
      <w:r>
        <w:rPr>
          <w:rFonts w:ascii="Arial" w:hAnsi="Arial"/>
        </w:rPr>
        <w:t>judgment</w:t>
      </w:r>
      <w:r>
        <w:rPr>
          <w:rFonts w:ascii="Arial" w:hAnsi="Arial"/>
          <w:spacing w:val="-14"/>
        </w:rPr>
        <w:t xml:space="preserve"> </w:t>
      </w:r>
      <w:r>
        <w:rPr>
          <w:rFonts w:ascii="Arial" w:hAnsi="Arial"/>
        </w:rPr>
        <w:t>concerned</w:t>
      </w:r>
      <w:r>
        <w:rPr>
          <w:rFonts w:ascii="Arial" w:hAnsi="Arial"/>
          <w:spacing w:val="-16"/>
        </w:rPr>
        <w:t xml:space="preserve"> </w:t>
      </w:r>
      <w:r>
        <w:rPr>
          <w:rFonts w:ascii="Arial" w:hAnsi="Arial"/>
        </w:rPr>
        <w:t>itself</w:t>
      </w:r>
      <w:r>
        <w:rPr>
          <w:rFonts w:ascii="Arial" w:hAnsi="Arial"/>
          <w:spacing w:val="-13"/>
        </w:rPr>
        <w:t xml:space="preserve"> </w:t>
      </w:r>
      <w:r>
        <w:rPr>
          <w:rFonts w:ascii="Arial" w:hAnsi="Arial"/>
        </w:rPr>
        <w:t>with</w:t>
      </w:r>
      <w:r>
        <w:rPr>
          <w:rFonts w:ascii="Arial" w:hAnsi="Arial"/>
          <w:spacing w:val="-13"/>
        </w:rPr>
        <w:t xml:space="preserve"> </w:t>
      </w:r>
      <w:r>
        <w:rPr>
          <w:rFonts w:ascii="Arial" w:hAnsi="Arial"/>
        </w:rPr>
        <w:t>whether</w:t>
      </w:r>
      <w:r>
        <w:rPr>
          <w:rFonts w:ascii="Arial" w:hAnsi="Arial"/>
          <w:spacing w:val="-14"/>
        </w:rPr>
        <w:t xml:space="preserve"> </w:t>
      </w:r>
      <w:r>
        <w:rPr>
          <w:rFonts w:ascii="Arial" w:hAnsi="Arial"/>
        </w:rPr>
        <w:t>―Ananda</w:t>
      </w:r>
      <w:r>
        <w:rPr>
          <w:rFonts w:ascii="Arial" w:hAnsi="Arial"/>
          <w:spacing w:val="-13"/>
        </w:rPr>
        <w:t xml:space="preserve"> </w:t>
      </w:r>
      <w:r>
        <w:rPr>
          <w:rFonts w:ascii="Arial" w:hAnsi="Arial"/>
        </w:rPr>
        <w:t>Marga‖</w:t>
      </w:r>
      <w:r>
        <w:rPr>
          <w:rFonts w:ascii="Arial" w:hAnsi="Arial"/>
          <w:spacing w:val="-14"/>
        </w:rPr>
        <w:t xml:space="preserve"> </w:t>
      </w:r>
      <w:r>
        <w:rPr>
          <w:rFonts w:ascii="Arial" w:hAnsi="Arial"/>
        </w:rPr>
        <w:t>is</w:t>
      </w:r>
      <w:r>
        <w:rPr>
          <w:rFonts w:ascii="Arial" w:hAnsi="Arial"/>
          <w:spacing w:val="-12"/>
        </w:rPr>
        <w:t xml:space="preserve"> </w:t>
      </w:r>
      <w:r>
        <w:rPr>
          <w:rFonts w:ascii="Arial" w:hAnsi="Arial"/>
        </w:rPr>
        <w:t xml:space="preserve">a separate religious denomination. After referring to the tests laid down in </w:t>
      </w:r>
      <w:r>
        <w:rPr>
          <w:rFonts w:ascii="Arial" w:hAnsi="Arial"/>
          <w:b/>
        </w:rPr>
        <w:t xml:space="preserve">Shirur Math </w:t>
      </w:r>
      <w:r>
        <w:rPr>
          <w:rFonts w:ascii="Arial" w:hAnsi="Arial"/>
        </w:rPr>
        <w:t xml:space="preserve">(supra), </w:t>
      </w:r>
      <w:r>
        <w:rPr>
          <w:rFonts w:ascii="Arial" w:hAnsi="Arial"/>
          <w:b/>
        </w:rPr>
        <w:t xml:space="preserve">Durgah Committee </w:t>
      </w:r>
      <w:r>
        <w:rPr>
          <w:rFonts w:ascii="Arial" w:hAnsi="Arial"/>
        </w:rPr>
        <w:t xml:space="preserve">(supra), and </w:t>
      </w:r>
      <w:r>
        <w:rPr>
          <w:rFonts w:ascii="Arial" w:hAnsi="Arial"/>
          <w:b/>
        </w:rPr>
        <w:t xml:space="preserve">S.P. Mittal </w:t>
      </w:r>
      <w:r>
        <w:rPr>
          <w:rFonts w:ascii="Arial" w:hAnsi="Arial"/>
        </w:rPr>
        <w:t>(supra), this Court held that Ananda Margis belong to the Hindu religion, more specifically, being Shaivites, and therefore, could be held to be persons who satisfy all three tests – namely, that they are a collect</w:t>
      </w:r>
      <w:r>
        <w:rPr>
          <w:rFonts w:ascii="Arial" w:hAnsi="Arial"/>
        </w:rPr>
        <w:t>ion of individuals who have a system of beliefs which they regard as conducive to their spiritual well-being; they have a common organization; and a distinctive name. In holding that the Tandava dance cannot be taken to be an essential religious right of t</w:t>
      </w:r>
      <w:r>
        <w:rPr>
          <w:rFonts w:ascii="Arial" w:hAnsi="Arial"/>
        </w:rPr>
        <w:t>he Anand Margis, this Court in paragraph 14</w:t>
      </w:r>
      <w:r>
        <w:rPr>
          <w:rFonts w:ascii="Arial" w:hAnsi="Arial"/>
          <w:spacing w:val="4"/>
        </w:rPr>
        <w:t xml:space="preserve"> </w:t>
      </w:r>
      <w:r>
        <w:rPr>
          <w:rFonts w:ascii="Arial" w:hAnsi="Arial"/>
        </w:rPr>
        <w:t>held:</w:t>
      </w:r>
    </w:p>
    <w:p w:rsidR="003B2FC0" w:rsidRDefault="00052A49">
      <w:pPr>
        <w:pStyle w:val="BodyText"/>
        <w:spacing w:before="197"/>
        <w:ind w:left="1518" w:right="1542"/>
        <w:jc w:val="both"/>
        <w:rPr>
          <w:rFonts w:ascii="Arial" w:hAnsi="Arial"/>
        </w:rPr>
      </w:pPr>
      <w:r>
        <w:rPr>
          <w:rFonts w:ascii="Arial" w:hAnsi="Arial"/>
          <w:w w:val="33"/>
        </w:rPr>
        <w:t>―</w:t>
      </w:r>
      <w:r>
        <w:rPr>
          <w:rFonts w:ascii="Arial" w:hAnsi="Arial"/>
          <w:b/>
          <w:spacing w:val="-1"/>
        </w:rPr>
        <w:t>14</w:t>
      </w:r>
      <w:r>
        <w:rPr>
          <w:rFonts w:ascii="Arial" w:hAnsi="Arial"/>
          <w:b/>
        </w:rPr>
        <w:t>.</w:t>
      </w:r>
      <w:r>
        <w:rPr>
          <w:rFonts w:ascii="Arial" w:hAnsi="Arial"/>
          <w:b/>
        </w:rPr>
        <w:t xml:space="preserve"> </w:t>
      </w:r>
      <w:r>
        <w:rPr>
          <w:rFonts w:ascii="Arial" w:hAnsi="Arial"/>
          <w:spacing w:val="-2"/>
        </w:rPr>
        <w:t>T</w:t>
      </w:r>
      <w:r>
        <w:rPr>
          <w:rFonts w:ascii="Arial" w:hAnsi="Arial"/>
        </w:rPr>
        <w:t>he</w:t>
      </w:r>
      <w:r>
        <w:rPr>
          <w:rFonts w:ascii="Arial" w:hAnsi="Arial"/>
        </w:rPr>
        <w:t xml:space="preserve"> </w:t>
      </w:r>
      <w:r>
        <w:rPr>
          <w:rFonts w:ascii="Arial" w:hAnsi="Arial"/>
          <w:spacing w:val="-29"/>
        </w:rPr>
        <w:t xml:space="preserve"> </w:t>
      </w:r>
      <w:r>
        <w:rPr>
          <w:rFonts w:ascii="Arial" w:hAnsi="Arial"/>
        </w:rPr>
        <w:t>que</w:t>
      </w:r>
      <w:r>
        <w:rPr>
          <w:rFonts w:ascii="Arial" w:hAnsi="Arial"/>
          <w:spacing w:val="-2"/>
        </w:rPr>
        <w:t>s</w:t>
      </w:r>
      <w:r>
        <w:rPr>
          <w:rFonts w:ascii="Arial" w:hAnsi="Arial"/>
        </w:rPr>
        <w:t>tion</w:t>
      </w:r>
      <w:r>
        <w:rPr>
          <w:rFonts w:ascii="Arial" w:hAnsi="Arial"/>
        </w:rPr>
        <w:t xml:space="preserve"> </w:t>
      </w:r>
      <w:r>
        <w:rPr>
          <w:rFonts w:ascii="Arial" w:hAnsi="Arial"/>
          <w:spacing w:val="-32"/>
        </w:rPr>
        <w:t xml:space="preserve"> </w:t>
      </w:r>
      <w:r>
        <w:rPr>
          <w:rFonts w:ascii="Arial" w:hAnsi="Arial"/>
          <w:spacing w:val="-2"/>
        </w:rPr>
        <w:t>f</w:t>
      </w:r>
      <w:r>
        <w:rPr>
          <w:rFonts w:ascii="Arial" w:hAnsi="Arial"/>
        </w:rPr>
        <w:t>or</w:t>
      </w:r>
      <w:r>
        <w:rPr>
          <w:rFonts w:ascii="Arial" w:hAnsi="Arial"/>
        </w:rPr>
        <w:t xml:space="preserve"> </w:t>
      </w:r>
      <w:r>
        <w:rPr>
          <w:rFonts w:ascii="Arial" w:hAnsi="Arial"/>
          <w:spacing w:val="-29"/>
        </w:rPr>
        <w:t xml:space="preserve"> </w:t>
      </w:r>
      <w:r>
        <w:rPr>
          <w:rFonts w:ascii="Arial" w:hAnsi="Arial"/>
        </w:rPr>
        <w:t>co</w:t>
      </w:r>
      <w:r>
        <w:rPr>
          <w:rFonts w:ascii="Arial" w:hAnsi="Arial"/>
          <w:spacing w:val="-3"/>
        </w:rPr>
        <w:t>n</w:t>
      </w:r>
      <w:r>
        <w:rPr>
          <w:rFonts w:ascii="Arial" w:hAnsi="Arial"/>
        </w:rPr>
        <w:t>sider</w:t>
      </w:r>
      <w:r>
        <w:rPr>
          <w:rFonts w:ascii="Arial" w:hAnsi="Arial"/>
          <w:spacing w:val="-3"/>
        </w:rPr>
        <w:t>a</w:t>
      </w:r>
      <w:r>
        <w:rPr>
          <w:rFonts w:ascii="Arial" w:hAnsi="Arial"/>
        </w:rPr>
        <w:t>tion</w:t>
      </w:r>
      <w:r>
        <w:rPr>
          <w:rFonts w:ascii="Arial" w:hAnsi="Arial"/>
        </w:rPr>
        <w:t xml:space="preserve"> </w:t>
      </w:r>
      <w:r>
        <w:rPr>
          <w:rFonts w:ascii="Arial" w:hAnsi="Arial"/>
          <w:spacing w:val="-29"/>
        </w:rPr>
        <w:t xml:space="preserve"> </w:t>
      </w:r>
      <w:r>
        <w:rPr>
          <w:rFonts w:ascii="Arial" w:hAnsi="Arial"/>
          <w:spacing w:val="-3"/>
        </w:rPr>
        <w:t>n</w:t>
      </w:r>
      <w:r>
        <w:rPr>
          <w:rFonts w:ascii="Arial" w:hAnsi="Arial"/>
        </w:rPr>
        <w:t>o</w:t>
      </w:r>
      <w:r>
        <w:rPr>
          <w:rFonts w:ascii="Arial" w:hAnsi="Arial"/>
          <w:spacing w:val="-4"/>
        </w:rPr>
        <w:t>w</w:t>
      </w:r>
      <w:r>
        <w:rPr>
          <w:rFonts w:ascii="Arial" w:hAnsi="Arial"/>
        </w:rPr>
        <w:t>,</w:t>
      </w:r>
      <w:r>
        <w:rPr>
          <w:rFonts w:ascii="Arial" w:hAnsi="Arial"/>
        </w:rPr>
        <w:t xml:space="preserve"> </w:t>
      </w:r>
      <w:r>
        <w:rPr>
          <w:rFonts w:ascii="Arial" w:hAnsi="Arial"/>
          <w:spacing w:val="-28"/>
        </w:rPr>
        <w:t xml:space="preserve"> </w:t>
      </w:r>
      <w:r>
        <w:rPr>
          <w:rFonts w:ascii="Arial" w:hAnsi="Arial"/>
        </w:rPr>
        <w:t>therefo</w:t>
      </w:r>
      <w:r>
        <w:rPr>
          <w:rFonts w:ascii="Arial" w:hAnsi="Arial"/>
          <w:spacing w:val="-3"/>
        </w:rPr>
        <w:t>re</w:t>
      </w:r>
      <w:r>
        <w:rPr>
          <w:rFonts w:ascii="Arial" w:hAnsi="Arial"/>
        </w:rPr>
        <w:t xml:space="preserve">, </w:t>
      </w:r>
      <w:r>
        <w:rPr>
          <w:rFonts w:ascii="Arial" w:hAnsi="Arial"/>
        </w:rPr>
        <w:t>is whether performance of Tandava dance is a religious rite or practice essential to the tenets of</w:t>
      </w:r>
      <w:r>
        <w:rPr>
          <w:rFonts w:ascii="Arial" w:hAnsi="Arial"/>
          <w:spacing w:val="22"/>
        </w:rPr>
        <w:t xml:space="preserve"> </w:t>
      </w:r>
      <w:r>
        <w:rPr>
          <w:rFonts w:ascii="Arial" w:hAnsi="Arial"/>
        </w:rPr>
        <w:t>the</w:t>
      </w:r>
    </w:p>
    <w:p w:rsidR="003B2FC0" w:rsidRDefault="003B2FC0">
      <w:pPr>
        <w:jc w:val="both"/>
        <w:sectPr w:rsidR="003B2FC0">
          <w:headerReference w:type="default" r:id="rId264"/>
          <w:footerReference w:type="default" r:id="rId265"/>
          <w:pgSz w:w="12240" w:h="15840"/>
          <w:pgMar w:top="1360" w:right="1320" w:bottom="1680" w:left="1340" w:header="0" w:footer="1492" w:gutter="0"/>
          <w:pgNumType w:start="41"/>
          <w:cols w:space="720"/>
        </w:sectPr>
      </w:pPr>
    </w:p>
    <w:p w:rsidR="003B2FC0" w:rsidRDefault="00052A49">
      <w:pPr>
        <w:pStyle w:val="BodyText"/>
        <w:spacing w:before="77"/>
        <w:ind w:left="1518" w:right="1536"/>
        <w:jc w:val="both"/>
        <w:rPr>
          <w:rFonts w:ascii="Arial" w:hAnsi="Arial"/>
        </w:rPr>
      </w:pPr>
      <w:r>
        <w:rPr>
          <w:rFonts w:ascii="Arial" w:hAnsi="Arial"/>
        </w:rPr>
        <w:t>religious faith of the Ananda Margis. We have already indicated that Tandava dance was not accepted as an essential religious rite of Ananda Margis when in 1955 the Ananda Marga order was first established. It is the specific case of the petitioner that Sh</w:t>
      </w:r>
      <w:r>
        <w:rPr>
          <w:rFonts w:ascii="Arial" w:hAnsi="Arial"/>
        </w:rPr>
        <w:t>ri Ananda Murti introduced Tandava as a part of religious rites of Ananda Margis later in 1966. Ananda Marga as a religious order is of recent origin and Tandava dance as a part of religious rites of that order is still more  recent. It is doubtful as to w</w:t>
      </w:r>
      <w:r>
        <w:rPr>
          <w:rFonts w:ascii="Arial" w:hAnsi="Arial"/>
        </w:rPr>
        <w:t>hether in such circumstances Tandava dance can be taken as an essential religious rite of the Ananda Margis. Even conceding that it is so, it is difficult to accept Mr. Tarkunde‘s argument that taking out religious processions with Tandava dance is an esse</w:t>
      </w:r>
      <w:r>
        <w:rPr>
          <w:rFonts w:ascii="Arial" w:hAnsi="Arial"/>
        </w:rPr>
        <w:t>ntial religious rite of Ananda Margis. In paragraph 17 of the</w:t>
      </w:r>
      <w:r>
        <w:rPr>
          <w:rFonts w:ascii="Arial" w:hAnsi="Arial"/>
          <w:spacing w:val="-21"/>
        </w:rPr>
        <w:t xml:space="preserve"> </w:t>
      </w:r>
      <w:r>
        <w:rPr>
          <w:rFonts w:ascii="Arial" w:hAnsi="Arial"/>
        </w:rPr>
        <w:t>writ</w:t>
      </w:r>
      <w:r>
        <w:rPr>
          <w:rFonts w:ascii="Arial" w:hAnsi="Arial"/>
          <w:spacing w:val="-20"/>
        </w:rPr>
        <w:t xml:space="preserve"> </w:t>
      </w:r>
      <w:r>
        <w:rPr>
          <w:rFonts w:ascii="Arial" w:hAnsi="Arial"/>
        </w:rPr>
        <w:t>petition</w:t>
      </w:r>
      <w:r>
        <w:rPr>
          <w:rFonts w:ascii="Arial" w:hAnsi="Arial"/>
          <w:spacing w:val="-23"/>
        </w:rPr>
        <w:t xml:space="preserve"> </w:t>
      </w:r>
      <w:r>
        <w:rPr>
          <w:rFonts w:ascii="Arial" w:hAnsi="Arial"/>
        </w:rPr>
        <w:t>the</w:t>
      </w:r>
      <w:r>
        <w:rPr>
          <w:rFonts w:ascii="Arial" w:hAnsi="Arial"/>
          <w:spacing w:val="-22"/>
        </w:rPr>
        <w:t xml:space="preserve"> </w:t>
      </w:r>
      <w:r>
        <w:rPr>
          <w:rFonts w:ascii="Arial" w:hAnsi="Arial"/>
        </w:rPr>
        <w:t>petitioner</w:t>
      </w:r>
      <w:r>
        <w:rPr>
          <w:rFonts w:ascii="Arial" w:hAnsi="Arial"/>
          <w:spacing w:val="-21"/>
        </w:rPr>
        <w:t xml:space="preserve"> </w:t>
      </w:r>
      <w:r>
        <w:rPr>
          <w:rFonts w:ascii="Arial" w:hAnsi="Arial"/>
        </w:rPr>
        <w:t>pleaded</w:t>
      </w:r>
      <w:r>
        <w:rPr>
          <w:rFonts w:ascii="Arial" w:hAnsi="Arial"/>
          <w:spacing w:val="-23"/>
        </w:rPr>
        <w:t xml:space="preserve"> </w:t>
      </w:r>
      <w:r>
        <w:rPr>
          <w:rFonts w:ascii="Arial" w:hAnsi="Arial"/>
        </w:rPr>
        <w:t>that</w:t>
      </w:r>
      <w:r>
        <w:rPr>
          <w:rFonts w:ascii="Arial" w:hAnsi="Arial"/>
          <w:spacing w:val="-22"/>
        </w:rPr>
        <w:t xml:space="preserve"> </w:t>
      </w:r>
      <w:r>
        <w:rPr>
          <w:rFonts w:ascii="Arial" w:hAnsi="Arial"/>
        </w:rPr>
        <w:t>―Tandava dance lasts for a few minutes where two or three persons dance by lifting one leg to the level of the chest, bringing it down and lifting the o</w:t>
      </w:r>
      <w:r>
        <w:rPr>
          <w:rFonts w:ascii="Arial" w:hAnsi="Arial"/>
        </w:rPr>
        <w:t>ther‖. In paragraph 18 it has been pleaded that ―when the Ananda Margis greet their spiritual preceptor at the airport, etc., they arrange for a brief welcome dance of Tandava wherein one or two persons use the skull and symbolic knife and dance for two or</w:t>
      </w:r>
      <w:r>
        <w:rPr>
          <w:rFonts w:ascii="Arial" w:hAnsi="Arial"/>
        </w:rPr>
        <w:t xml:space="preserve"> three minutes‖.</w:t>
      </w:r>
      <w:r>
        <w:rPr>
          <w:rFonts w:ascii="Arial" w:hAnsi="Arial"/>
          <w:spacing w:val="24"/>
        </w:rPr>
        <w:t xml:space="preserve"> </w:t>
      </w:r>
      <w:r>
        <w:rPr>
          <w:rFonts w:ascii="Arial" w:hAnsi="Arial"/>
        </w:rPr>
        <w:t>In</w:t>
      </w:r>
      <w:r>
        <w:rPr>
          <w:rFonts w:ascii="Arial" w:hAnsi="Arial"/>
          <w:spacing w:val="26"/>
        </w:rPr>
        <w:t xml:space="preserve"> </w:t>
      </w:r>
      <w:r>
        <w:rPr>
          <w:rFonts w:ascii="Arial" w:hAnsi="Arial"/>
        </w:rPr>
        <w:t>paragraph</w:t>
      </w:r>
      <w:r>
        <w:rPr>
          <w:rFonts w:ascii="Arial" w:hAnsi="Arial"/>
          <w:spacing w:val="26"/>
        </w:rPr>
        <w:t xml:space="preserve"> </w:t>
      </w:r>
      <w:r>
        <w:rPr>
          <w:rFonts w:ascii="Arial" w:hAnsi="Arial"/>
        </w:rPr>
        <w:t>26</w:t>
      </w:r>
      <w:r>
        <w:rPr>
          <w:rFonts w:ascii="Arial" w:hAnsi="Arial"/>
          <w:spacing w:val="26"/>
        </w:rPr>
        <w:t xml:space="preserve"> </w:t>
      </w:r>
      <w:r>
        <w:rPr>
          <w:rFonts w:ascii="Arial" w:hAnsi="Arial"/>
        </w:rPr>
        <w:t>it</w:t>
      </w:r>
      <w:r>
        <w:rPr>
          <w:rFonts w:ascii="Arial" w:hAnsi="Arial"/>
          <w:spacing w:val="27"/>
        </w:rPr>
        <w:t xml:space="preserve"> </w:t>
      </w:r>
      <w:r>
        <w:rPr>
          <w:rFonts w:ascii="Arial" w:hAnsi="Arial"/>
        </w:rPr>
        <w:t>has</w:t>
      </w:r>
      <w:r>
        <w:rPr>
          <w:rFonts w:ascii="Arial" w:hAnsi="Arial"/>
          <w:spacing w:val="27"/>
        </w:rPr>
        <w:t xml:space="preserve"> </w:t>
      </w:r>
      <w:r>
        <w:rPr>
          <w:rFonts w:ascii="Arial" w:hAnsi="Arial"/>
        </w:rPr>
        <w:t>been</w:t>
      </w:r>
      <w:r>
        <w:rPr>
          <w:rFonts w:ascii="Arial" w:hAnsi="Arial"/>
          <w:spacing w:val="24"/>
        </w:rPr>
        <w:t xml:space="preserve"> </w:t>
      </w:r>
      <w:r>
        <w:rPr>
          <w:rFonts w:ascii="Arial" w:hAnsi="Arial"/>
        </w:rPr>
        <w:t>pleaded</w:t>
      </w:r>
      <w:r>
        <w:rPr>
          <w:rFonts w:ascii="Arial" w:hAnsi="Arial"/>
          <w:spacing w:val="25"/>
        </w:rPr>
        <w:t xml:space="preserve"> </w:t>
      </w:r>
      <w:r>
        <w:rPr>
          <w:rFonts w:ascii="Arial" w:hAnsi="Arial"/>
        </w:rPr>
        <w:t>that</w:t>
      </w:r>
    </w:p>
    <w:p w:rsidR="003B2FC0" w:rsidRDefault="00052A49">
      <w:pPr>
        <w:pStyle w:val="BodyText"/>
        <w:ind w:left="1518" w:right="1539"/>
        <w:jc w:val="both"/>
        <w:rPr>
          <w:rFonts w:ascii="Arial" w:hAnsi="Arial"/>
        </w:rPr>
      </w:pPr>
      <w:r>
        <w:rPr>
          <w:rFonts w:ascii="Arial" w:hAnsi="Arial"/>
        </w:rPr>
        <w:t>―Tandava</w:t>
      </w:r>
      <w:r>
        <w:rPr>
          <w:rFonts w:ascii="Arial" w:hAnsi="Arial"/>
          <w:spacing w:val="-18"/>
        </w:rPr>
        <w:t xml:space="preserve"> </w:t>
      </w:r>
      <w:r>
        <w:rPr>
          <w:rFonts w:ascii="Arial" w:hAnsi="Arial"/>
        </w:rPr>
        <w:t>is</w:t>
      </w:r>
      <w:r>
        <w:rPr>
          <w:rFonts w:ascii="Arial" w:hAnsi="Arial"/>
          <w:spacing w:val="-16"/>
        </w:rPr>
        <w:t xml:space="preserve"> </w:t>
      </w:r>
      <w:r>
        <w:rPr>
          <w:rFonts w:ascii="Arial" w:hAnsi="Arial"/>
        </w:rPr>
        <w:t>a</w:t>
      </w:r>
      <w:r>
        <w:rPr>
          <w:rFonts w:ascii="Arial" w:hAnsi="Arial"/>
          <w:spacing w:val="-20"/>
        </w:rPr>
        <w:t xml:space="preserve"> </w:t>
      </w:r>
      <w:r>
        <w:rPr>
          <w:rFonts w:ascii="Arial" w:hAnsi="Arial"/>
        </w:rPr>
        <w:t>custom</w:t>
      </w:r>
      <w:r>
        <w:rPr>
          <w:rFonts w:ascii="Arial" w:hAnsi="Arial"/>
          <w:spacing w:val="-18"/>
        </w:rPr>
        <w:t xml:space="preserve"> </w:t>
      </w:r>
      <w:r>
        <w:rPr>
          <w:rFonts w:ascii="Arial" w:hAnsi="Arial"/>
        </w:rPr>
        <w:t>among</w:t>
      </w:r>
      <w:r>
        <w:rPr>
          <w:rFonts w:ascii="Arial" w:hAnsi="Arial"/>
          <w:spacing w:val="-19"/>
        </w:rPr>
        <w:t xml:space="preserve"> </w:t>
      </w:r>
      <w:r>
        <w:rPr>
          <w:rFonts w:ascii="Arial" w:hAnsi="Arial"/>
        </w:rPr>
        <w:t>the</w:t>
      </w:r>
      <w:r>
        <w:rPr>
          <w:rFonts w:ascii="Arial" w:hAnsi="Arial"/>
          <w:spacing w:val="-20"/>
        </w:rPr>
        <w:t xml:space="preserve"> </w:t>
      </w:r>
      <w:r>
        <w:rPr>
          <w:rFonts w:ascii="Arial" w:hAnsi="Arial"/>
        </w:rPr>
        <w:t>sect</w:t>
      </w:r>
      <w:r>
        <w:rPr>
          <w:rFonts w:ascii="Arial" w:hAnsi="Arial"/>
          <w:spacing w:val="-18"/>
        </w:rPr>
        <w:t xml:space="preserve"> </w:t>
      </w:r>
      <w:r>
        <w:rPr>
          <w:rFonts w:ascii="Arial" w:hAnsi="Arial"/>
        </w:rPr>
        <w:t>members</w:t>
      </w:r>
      <w:r>
        <w:rPr>
          <w:rFonts w:ascii="Arial" w:hAnsi="Arial"/>
          <w:spacing w:val="-18"/>
        </w:rPr>
        <w:t xml:space="preserve"> </w:t>
      </w:r>
      <w:r>
        <w:rPr>
          <w:rFonts w:ascii="Arial" w:hAnsi="Arial"/>
        </w:rPr>
        <w:t>and it is a customary performance and its origin is over four thousand years old, hence it is not a new invention of Ananda Margis‖. On the basis of the literature of the Ananda Marga denomination it has been contended that there is prescription of the per</w:t>
      </w:r>
      <w:r>
        <w:rPr>
          <w:rFonts w:ascii="Arial" w:hAnsi="Arial"/>
        </w:rPr>
        <w:t>formance of Tandava dance by every follower of Ananda Marga. Even conceding that Tandava dance has been prescribed as a religious rite for every follower of the Ananda Marga it does not follow as a necessary corollary that Tandava dance to</w:t>
      </w:r>
      <w:r>
        <w:rPr>
          <w:rFonts w:ascii="Arial" w:hAnsi="Arial"/>
          <w:spacing w:val="13"/>
        </w:rPr>
        <w:t xml:space="preserve"> </w:t>
      </w:r>
      <w:r>
        <w:rPr>
          <w:rFonts w:ascii="Arial" w:hAnsi="Arial"/>
        </w:rPr>
        <w:t>be</w:t>
      </w:r>
      <w:r>
        <w:rPr>
          <w:rFonts w:ascii="Arial" w:hAnsi="Arial"/>
          <w:spacing w:val="14"/>
        </w:rPr>
        <w:t xml:space="preserve"> </w:t>
      </w:r>
      <w:r>
        <w:rPr>
          <w:rFonts w:ascii="Arial" w:hAnsi="Arial"/>
        </w:rPr>
        <w:t>performed</w:t>
      </w:r>
      <w:r>
        <w:rPr>
          <w:rFonts w:ascii="Arial" w:hAnsi="Arial"/>
          <w:spacing w:val="11"/>
        </w:rPr>
        <w:t xml:space="preserve"> </w:t>
      </w:r>
      <w:r>
        <w:rPr>
          <w:rFonts w:ascii="Arial" w:hAnsi="Arial"/>
        </w:rPr>
        <w:t>in</w:t>
      </w:r>
      <w:r>
        <w:rPr>
          <w:rFonts w:ascii="Arial" w:hAnsi="Arial"/>
          <w:spacing w:val="12"/>
        </w:rPr>
        <w:t xml:space="preserve"> </w:t>
      </w:r>
      <w:r>
        <w:rPr>
          <w:rFonts w:ascii="Arial" w:hAnsi="Arial"/>
        </w:rPr>
        <w:t>the</w:t>
      </w:r>
      <w:r>
        <w:rPr>
          <w:rFonts w:ascii="Arial" w:hAnsi="Arial"/>
          <w:spacing w:val="14"/>
        </w:rPr>
        <w:t xml:space="preserve"> </w:t>
      </w:r>
      <w:r>
        <w:rPr>
          <w:rFonts w:ascii="Arial" w:hAnsi="Arial"/>
        </w:rPr>
        <w:t>public</w:t>
      </w:r>
      <w:r>
        <w:rPr>
          <w:rFonts w:ascii="Arial" w:hAnsi="Arial"/>
          <w:spacing w:val="14"/>
        </w:rPr>
        <w:t xml:space="preserve"> </w:t>
      </w:r>
      <w:r>
        <w:rPr>
          <w:rFonts w:ascii="Arial" w:hAnsi="Arial"/>
        </w:rPr>
        <w:t>is</w:t>
      </w:r>
      <w:r>
        <w:rPr>
          <w:rFonts w:ascii="Arial" w:hAnsi="Arial"/>
          <w:spacing w:val="15"/>
        </w:rPr>
        <w:t xml:space="preserve"> </w:t>
      </w:r>
      <w:r>
        <w:rPr>
          <w:rFonts w:ascii="Arial" w:hAnsi="Arial"/>
        </w:rPr>
        <w:t>a</w:t>
      </w:r>
      <w:r>
        <w:rPr>
          <w:rFonts w:ascii="Arial" w:hAnsi="Arial"/>
          <w:spacing w:val="14"/>
        </w:rPr>
        <w:t xml:space="preserve"> </w:t>
      </w:r>
      <w:r>
        <w:rPr>
          <w:rFonts w:ascii="Arial" w:hAnsi="Arial"/>
        </w:rPr>
        <w:t>matter</w:t>
      </w:r>
      <w:r>
        <w:rPr>
          <w:rFonts w:ascii="Arial" w:hAnsi="Arial"/>
          <w:spacing w:val="14"/>
        </w:rPr>
        <w:t xml:space="preserve"> </w:t>
      </w:r>
      <w:r>
        <w:rPr>
          <w:rFonts w:ascii="Arial" w:hAnsi="Arial"/>
        </w:rPr>
        <w:t>of</w:t>
      </w:r>
      <w:r>
        <w:rPr>
          <w:rFonts w:ascii="Arial" w:hAnsi="Arial"/>
          <w:spacing w:val="14"/>
        </w:rPr>
        <w:t xml:space="preserve"> </w:t>
      </w:r>
      <w:r>
        <w:rPr>
          <w:rFonts w:ascii="Arial" w:hAnsi="Arial"/>
        </w:rPr>
        <w:t>religious</w:t>
      </w:r>
    </w:p>
    <w:p w:rsidR="003B2FC0" w:rsidRDefault="003B2FC0">
      <w:pPr>
        <w:jc w:val="both"/>
        <w:sectPr w:rsidR="003B2FC0">
          <w:headerReference w:type="default" r:id="rId266"/>
          <w:footerReference w:type="default" r:id="rId267"/>
          <w:pgSz w:w="12240" w:h="15840"/>
          <w:pgMar w:top="1360" w:right="1320" w:bottom="1680" w:left="1340" w:header="0" w:footer="1492" w:gutter="0"/>
          <w:pgNumType w:start="42"/>
          <w:cols w:space="720"/>
        </w:sectPr>
      </w:pPr>
    </w:p>
    <w:p w:rsidR="003B2FC0" w:rsidRDefault="00052A49">
      <w:pPr>
        <w:pStyle w:val="BodyText"/>
        <w:spacing w:before="77"/>
        <w:ind w:left="1518" w:right="1538"/>
        <w:jc w:val="both"/>
        <w:rPr>
          <w:rFonts w:ascii="Arial" w:hAnsi="Arial"/>
        </w:rPr>
      </w:pPr>
      <w:r>
        <w:rPr>
          <w:rFonts w:ascii="Arial" w:hAnsi="Arial"/>
        </w:rPr>
        <w:t xml:space="preserve">rite. In fact, there is no justification in any of the writings of Sri Ananda Murti that Tandava dance must be performed </w:t>
      </w:r>
      <w:r>
        <w:rPr>
          <w:rFonts w:ascii="Arial" w:hAnsi="Arial"/>
          <w:i/>
        </w:rPr>
        <w:t>in public</w:t>
      </w:r>
      <w:r>
        <w:rPr>
          <w:rFonts w:ascii="Arial" w:hAnsi="Arial"/>
        </w:rPr>
        <w:t>. At least none could be shown to us by Mr. Tarkunde despite an enquiry by us in that behalf. We are, therefore, not in a position to accept the contention of Mr. Tarkunde that performance of Tandava dance in a procession or at public places is an essentia</w:t>
      </w:r>
      <w:r>
        <w:rPr>
          <w:rFonts w:ascii="Arial" w:hAnsi="Arial"/>
        </w:rPr>
        <w:t>l religious rite to be performed by every Ananda Margi.‖</w:t>
      </w:r>
    </w:p>
    <w:p w:rsidR="003B2FC0" w:rsidRDefault="003B2FC0">
      <w:pPr>
        <w:rPr>
          <w:sz w:val="30"/>
        </w:rPr>
      </w:pPr>
    </w:p>
    <w:p w:rsidR="003B2FC0" w:rsidRDefault="00052A49">
      <w:pPr>
        <w:pStyle w:val="ListParagraph"/>
        <w:numPr>
          <w:ilvl w:val="0"/>
          <w:numId w:val="50"/>
        </w:numPr>
        <w:tabs>
          <w:tab w:val="left" w:pos="1234"/>
        </w:tabs>
        <w:spacing w:before="178" w:line="480" w:lineRule="auto"/>
        <w:ind w:right="403" w:firstLine="0"/>
        <w:jc w:val="both"/>
        <w:rPr>
          <w:sz w:val="28"/>
        </w:rPr>
      </w:pPr>
      <w:r>
        <w:rPr>
          <w:sz w:val="28"/>
        </w:rPr>
        <w:t xml:space="preserve">In </w:t>
      </w:r>
      <w:r>
        <w:rPr>
          <w:b/>
          <w:sz w:val="28"/>
        </w:rPr>
        <w:t xml:space="preserve">Sri </w:t>
      </w:r>
      <w:r>
        <w:rPr>
          <w:b/>
          <w:spacing w:val="-4"/>
          <w:sz w:val="28"/>
        </w:rPr>
        <w:t>Adi</w:t>
      </w:r>
      <w:r>
        <w:rPr>
          <w:b/>
          <w:spacing w:val="69"/>
          <w:sz w:val="28"/>
        </w:rPr>
        <w:t xml:space="preserve"> </w:t>
      </w:r>
      <w:r>
        <w:rPr>
          <w:b/>
          <w:sz w:val="28"/>
        </w:rPr>
        <w:t xml:space="preserve">Visheshwara of Kashi Vishwanath Temple, </w:t>
      </w:r>
      <w:r>
        <w:rPr>
          <w:b/>
          <w:sz w:val="28"/>
        </w:rPr>
        <w:t>Vara</w:t>
      </w:r>
      <w:r>
        <w:rPr>
          <w:b/>
          <w:spacing w:val="-2"/>
          <w:sz w:val="28"/>
        </w:rPr>
        <w:t>n</w:t>
      </w:r>
      <w:r>
        <w:rPr>
          <w:b/>
          <w:sz w:val="28"/>
        </w:rPr>
        <w:t>a</w:t>
      </w:r>
      <w:r>
        <w:rPr>
          <w:b/>
          <w:spacing w:val="-3"/>
          <w:sz w:val="28"/>
        </w:rPr>
        <w:t>s</w:t>
      </w:r>
      <w:r>
        <w:rPr>
          <w:b/>
          <w:sz w:val="28"/>
        </w:rPr>
        <w:t>i</w:t>
      </w:r>
      <w:r>
        <w:rPr>
          <w:b/>
          <w:spacing w:val="1"/>
          <w:sz w:val="28"/>
        </w:rPr>
        <w:t xml:space="preserve"> </w:t>
      </w:r>
      <w:r>
        <w:rPr>
          <w:b/>
          <w:sz w:val="28"/>
        </w:rPr>
        <w:t>a</w:t>
      </w:r>
      <w:r>
        <w:rPr>
          <w:b/>
          <w:spacing w:val="-2"/>
          <w:sz w:val="28"/>
        </w:rPr>
        <w:t>n</w:t>
      </w:r>
      <w:r>
        <w:rPr>
          <w:b/>
          <w:sz w:val="28"/>
        </w:rPr>
        <w:t>d</w:t>
      </w:r>
      <w:r>
        <w:rPr>
          <w:b/>
          <w:spacing w:val="2"/>
          <w:sz w:val="28"/>
        </w:rPr>
        <w:t xml:space="preserve"> </w:t>
      </w:r>
      <w:r>
        <w:rPr>
          <w:b/>
          <w:sz w:val="28"/>
        </w:rPr>
        <w:t>Ors.</w:t>
      </w:r>
      <w:r>
        <w:rPr>
          <w:b/>
          <w:spacing w:val="-1"/>
          <w:sz w:val="28"/>
        </w:rPr>
        <w:t xml:space="preserve"> </w:t>
      </w:r>
      <w:r>
        <w:rPr>
          <w:b/>
          <w:spacing w:val="-3"/>
          <w:sz w:val="28"/>
        </w:rPr>
        <w:t>v</w:t>
      </w:r>
      <w:r>
        <w:rPr>
          <w:b/>
          <w:sz w:val="28"/>
        </w:rPr>
        <w:t>.</w:t>
      </w:r>
      <w:r>
        <w:rPr>
          <w:b/>
          <w:spacing w:val="1"/>
          <w:sz w:val="28"/>
        </w:rPr>
        <w:t xml:space="preserve"> </w:t>
      </w:r>
      <w:r>
        <w:rPr>
          <w:b/>
          <w:sz w:val="28"/>
        </w:rPr>
        <w:t>State</w:t>
      </w:r>
      <w:r>
        <w:rPr>
          <w:b/>
          <w:sz w:val="28"/>
        </w:rPr>
        <w:t xml:space="preserve"> </w:t>
      </w:r>
      <w:r>
        <w:rPr>
          <w:b/>
          <w:spacing w:val="-2"/>
          <w:sz w:val="28"/>
        </w:rPr>
        <w:t>o</w:t>
      </w:r>
      <w:r>
        <w:rPr>
          <w:b/>
          <w:sz w:val="28"/>
        </w:rPr>
        <w:t>f</w:t>
      </w:r>
      <w:r>
        <w:rPr>
          <w:b/>
          <w:spacing w:val="1"/>
          <w:sz w:val="28"/>
        </w:rPr>
        <w:t xml:space="preserve"> </w:t>
      </w:r>
      <w:r>
        <w:rPr>
          <w:b/>
          <w:spacing w:val="-2"/>
          <w:sz w:val="28"/>
        </w:rPr>
        <w:t>U</w:t>
      </w:r>
      <w:r>
        <w:rPr>
          <w:b/>
          <w:sz w:val="28"/>
        </w:rPr>
        <w:t>.P.</w:t>
      </w:r>
      <w:r>
        <w:rPr>
          <w:b/>
          <w:spacing w:val="1"/>
          <w:sz w:val="28"/>
        </w:rPr>
        <w:t xml:space="preserve"> </w:t>
      </w:r>
      <w:r>
        <w:rPr>
          <w:b/>
          <w:sz w:val="28"/>
        </w:rPr>
        <w:t>a</w:t>
      </w:r>
      <w:r>
        <w:rPr>
          <w:b/>
          <w:spacing w:val="-2"/>
          <w:sz w:val="28"/>
        </w:rPr>
        <w:t>n</w:t>
      </w:r>
      <w:r>
        <w:rPr>
          <w:b/>
          <w:sz w:val="28"/>
        </w:rPr>
        <w:t>d</w:t>
      </w:r>
      <w:r>
        <w:rPr>
          <w:b/>
          <w:sz w:val="28"/>
        </w:rPr>
        <w:t xml:space="preserve"> </w:t>
      </w:r>
      <w:r>
        <w:rPr>
          <w:b/>
          <w:spacing w:val="3"/>
          <w:sz w:val="28"/>
        </w:rPr>
        <w:t>O</w:t>
      </w:r>
      <w:r>
        <w:rPr>
          <w:b/>
          <w:spacing w:val="1"/>
          <w:sz w:val="28"/>
        </w:rPr>
        <w:t>r</w:t>
      </w:r>
      <w:r>
        <w:rPr>
          <w:b/>
          <w:spacing w:val="-1"/>
          <w:sz w:val="28"/>
        </w:rPr>
        <w:t>s</w:t>
      </w:r>
      <w:r>
        <w:rPr>
          <w:b/>
          <w:spacing w:val="-2"/>
          <w:sz w:val="28"/>
        </w:rPr>
        <w:t>.</w:t>
      </w:r>
      <w:r>
        <w:rPr>
          <w:sz w:val="28"/>
        </w:rPr>
        <w:t>,</w:t>
      </w:r>
      <w:r>
        <w:rPr>
          <w:spacing w:val="1"/>
          <w:sz w:val="28"/>
        </w:rPr>
        <w:t xml:space="preserve"> </w:t>
      </w:r>
      <w:r>
        <w:rPr>
          <w:sz w:val="28"/>
        </w:rPr>
        <w:t>(1997)</w:t>
      </w:r>
      <w:r>
        <w:rPr>
          <w:sz w:val="28"/>
        </w:rPr>
        <w:t xml:space="preserve"> </w:t>
      </w:r>
      <w:r>
        <w:rPr>
          <w:sz w:val="28"/>
        </w:rPr>
        <w:t>4</w:t>
      </w:r>
      <w:r>
        <w:rPr>
          <w:spacing w:val="1"/>
          <w:sz w:val="28"/>
        </w:rPr>
        <w:t xml:space="preserve"> </w:t>
      </w:r>
      <w:r>
        <w:rPr>
          <w:spacing w:val="-3"/>
          <w:sz w:val="28"/>
        </w:rPr>
        <w:t>S</w:t>
      </w:r>
      <w:r>
        <w:rPr>
          <w:spacing w:val="-2"/>
          <w:sz w:val="28"/>
        </w:rPr>
        <w:t>C</w:t>
      </w:r>
      <w:r>
        <w:rPr>
          <w:sz w:val="28"/>
        </w:rPr>
        <w:t>C</w:t>
      </w:r>
      <w:r>
        <w:rPr>
          <w:spacing w:val="-1"/>
          <w:sz w:val="28"/>
        </w:rPr>
        <w:t xml:space="preserve"> </w:t>
      </w:r>
      <w:r>
        <w:rPr>
          <w:sz w:val="28"/>
        </w:rPr>
        <w:t>606,</w:t>
      </w:r>
      <w:r>
        <w:rPr>
          <w:spacing w:val="3"/>
          <w:sz w:val="28"/>
        </w:rPr>
        <w:t xml:space="preserve"> </w:t>
      </w:r>
      <w:r>
        <w:rPr>
          <w:w w:val="50"/>
          <w:sz w:val="28"/>
        </w:rPr>
        <w:t>(―</w:t>
      </w:r>
      <w:r>
        <w:rPr>
          <w:b/>
          <w:sz w:val="28"/>
        </w:rPr>
        <w:t xml:space="preserve">Sri </w:t>
      </w:r>
      <w:r>
        <w:rPr>
          <w:b/>
          <w:spacing w:val="-2"/>
          <w:sz w:val="28"/>
        </w:rPr>
        <w:t xml:space="preserve">Adi </w:t>
      </w:r>
      <w:r>
        <w:rPr>
          <w:b/>
          <w:sz w:val="28"/>
        </w:rPr>
        <w:t>Visheshwara</w:t>
      </w:r>
      <w:r>
        <w:rPr>
          <w:sz w:val="28"/>
        </w:rPr>
        <w:t>‖), this Court upheld the constitutional validity of the Uttar Pradesh Sri Kashi Vishwanath Temple Act, 1983. In so doing, they referred to the tests of a religious denomination laid down in the previous judgments of this Court, and then</w:t>
      </w:r>
      <w:r>
        <w:rPr>
          <w:spacing w:val="-5"/>
          <w:sz w:val="28"/>
        </w:rPr>
        <w:t xml:space="preserve"> </w:t>
      </w:r>
      <w:r>
        <w:rPr>
          <w:sz w:val="28"/>
        </w:rPr>
        <w:t>held:</w:t>
      </w:r>
    </w:p>
    <w:p w:rsidR="003B2FC0" w:rsidRDefault="00052A49">
      <w:pPr>
        <w:pStyle w:val="BodyText"/>
        <w:spacing w:before="199"/>
        <w:ind w:left="1518" w:right="1538"/>
        <w:jc w:val="both"/>
        <w:rPr>
          <w:rFonts w:ascii="Arial" w:hAnsi="Arial"/>
        </w:rPr>
      </w:pPr>
      <w:r>
        <w:rPr>
          <w:rFonts w:ascii="Arial" w:hAnsi="Arial"/>
          <w:w w:val="33"/>
        </w:rPr>
        <w:t>―</w:t>
      </w:r>
      <w:r>
        <w:rPr>
          <w:rFonts w:ascii="Arial" w:hAnsi="Arial"/>
          <w:b/>
          <w:spacing w:val="-1"/>
        </w:rPr>
        <w:t>33</w:t>
      </w:r>
      <w:r>
        <w:rPr>
          <w:rFonts w:ascii="Arial" w:hAnsi="Arial"/>
          <w:b/>
        </w:rPr>
        <w:t>.</w:t>
      </w:r>
      <w:r>
        <w:rPr>
          <w:rFonts w:ascii="Arial" w:hAnsi="Arial"/>
          <w:b/>
        </w:rPr>
        <w:t xml:space="preserve"> </w:t>
      </w:r>
      <w:r>
        <w:rPr>
          <w:rFonts w:ascii="Arial" w:hAnsi="Arial"/>
          <w:spacing w:val="-2"/>
        </w:rPr>
        <w:t>T</w:t>
      </w:r>
      <w:r>
        <w:rPr>
          <w:rFonts w:ascii="Arial" w:hAnsi="Arial"/>
        </w:rPr>
        <w:t>hu</w:t>
      </w:r>
      <w:r>
        <w:rPr>
          <w:rFonts w:ascii="Arial" w:hAnsi="Arial"/>
          <w:spacing w:val="-2"/>
        </w:rPr>
        <w:t>s</w:t>
      </w:r>
      <w:r>
        <w:rPr>
          <w:rFonts w:ascii="Arial" w:hAnsi="Arial"/>
        </w:rPr>
        <w:t>,</w:t>
      </w:r>
      <w:r>
        <w:rPr>
          <w:rFonts w:ascii="Arial" w:hAnsi="Arial"/>
          <w:spacing w:val="4"/>
        </w:rPr>
        <w:t xml:space="preserve"> </w:t>
      </w:r>
      <w:r>
        <w:rPr>
          <w:rFonts w:ascii="Arial" w:hAnsi="Arial"/>
        </w:rPr>
        <w:t>i</w:t>
      </w:r>
      <w:r>
        <w:rPr>
          <w:rFonts w:ascii="Arial" w:hAnsi="Arial"/>
        </w:rPr>
        <w:t>t</w:t>
      </w:r>
      <w:r>
        <w:rPr>
          <w:rFonts w:ascii="Arial" w:hAnsi="Arial"/>
          <w:spacing w:val="1"/>
        </w:rPr>
        <w:t xml:space="preserve"> </w:t>
      </w:r>
      <w:r>
        <w:rPr>
          <w:rFonts w:ascii="Arial" w:hAnsi="Arial"/>
        </w:rPr>
        <w:t>cou</w:t>
      </w:r>
      <w:r>
        <w:rPr>
          <w:rFonts w:ascii="Arial" w:hAnsi="Arial"/>
          <w:spacing w:val="-3"/>
        </w:rPr>
        <w:t>l</w:t>
      </w:r>
      <w:r>
        <w:rPr>
          <w:rFonts w:ascii="Arial" w:hAnsi="Arial"/>
        </w:rPr>
        <w:t>d</w:t>
      </w:r>
      <w:r>
        <w:rPr>
          <w:rFonts w:ascii="Arial" w:hAnsi="Arial"/>
          <w:spacing w:val="1"/>
        </w:rPr>
        <w:t xml:space="preserve"> </w:t>
      </w:r>
      <w:r>
        <w:rPr>
          <w:rFonts w:ascii="Arial" w:hAnsi="Arial"/>
          <w:spacing w:val="1"/>
        </w:rPr>
        <w:t>b</w:t>
      </w:r>
      <w:r>
        <w:rPr>
          <w:rFonts w:ascii="Arial" w:hAnsi="Arial"/>
        </w:rPr>
        <w:t>e</w:t>
      </w:r>
      <w:r>
        <w:rPr>
          <w:rFonts w:ascii="Arial" w:hAnsi="Arial"/>
          <w:spacing w:val="3"/>
        </w:rPr>
        <w:t xml:space="preserve"> </w:t>
      </w:r>
      <w:r>
        <w:rPr>
          <w:rFonts w:ascii="Arial" w:hAnsi="Arial"/>
        </w:rPr>
        <w:t>seen</w:t>
      </w:r>
      <w:r>
        <w:rPr>
          <w:rFonts w:ascii="Arial" w:hAnsi="Arial"/>
        </w:rPr>
        <w:t xml:space="preserve"> </w:t>
      </w:r>
      <w:r>
        <w:rPr>
          <w:rFonts w:ascii="Arial" w:hAnsi="Arial"/>
          <w:spacing w:val="1"/>
        </w:rPr>
        <w:t>t</w:t>
      </w:r>
      <w:r>
        <w:rPr>
          <w:rFonts w:ascii="Arial" w:hAnsi="Arial"/>
        </w:rPr>
        <w:t>h</w:t>
      </w:r>
      <w:r>
        <w:rPr>
          <w:rFonts w:ascii="Arial" w:hAnsi="Arial"/>
          <w:spacing w:val="-3"/>
        </w:rPr>
        <w:t>a</w:t>
      </w:r>
      <w:r>
        <w:rPr>
          <w:rFonts w:ascii="Arial" w:hAnsi="Arial"/>
        </w:rPr>
        <w:t>t</w:t>
      </w:r>
      <w:r>
        <w:rPr>
          <w:rFonts w:ascii="Arial" w:hAnsi="Arial"/>
          <w:spacing w:val="4"/>
        </w:rPr>
        <w:t xml:space="preserve"> </w:t>
      </w:r>
      <w:r>
        <w:rPr>
          <w:rFonts w:ascii="Arial" w:hAnsi="Arial"/>
        </w:rPr>
        <w:t>e</w:t>
      </w:r>
      <w:r>
        <w:rPr>
          <w:rFonts w:ascii="Arial" w:hAnsi="Arial"/>
          <w:spacing w:val="-4"/>
        </w:rPr>
        <w:t>v</w:t>
      </w:r>
      <w:r>
        <w:rPr>
          <w:rFonts w:ascii="Arial" w:hAnsi="Arial"/>
        </w:rPr>
        <w:t>e</w:t>
      </w:r>
      <w:r>
        <w:rPr>
          <w:rFonts w:ascii="Arial" w:hAnsi="Arial"/>
          <w:spacing w:val="1"/>
        </w:rPr>
        <w:t>r</w:t>
      </w:r>
      <w:r>
        <w:rPr>
          <w:rFonts w:ascii="Arial" w:hAnsi="Arial"/>
        </w:rPr>
        <w:t>y</w:t>
      </w:r>
      <w:r>
        <w:rPr>
          <w:rFonts w:ascii="Arial" w:hAnsi="Arial"/>
          <w:spacing w:val="2"/>
        </w:rPr>
        <w:t xml:space="preserve"> </w:t>
      </w:r>
      <w:r>
        <w:rPr>
          <w:rFonts w:ascii="Arial" w:hAnsi="Arial"/>
          <w:spacing w:val="-2"/>
        </w:rPr>
        <w:t>H</w:t>
      </w:r>
      <w:r>
        <w:rPr>
          <w:rFonts w:ascii="Arial" w:hAnsi="Arial"/>
        </w:rPr>
        <w:t>indu</w:t>
      </w:r>
      <w:r>
        <w:rPr>
          <w:rFonts w:ascii="Arial" w:hAnsi="Arial"/>
          <w:spacing w:val="3"/>
        </w:rPr>
        <w:t xml:space="preserve"> </w:t>
      </w:r>
      <w:r>
        <w:rPr>
          <w:rFonts w:ascii="Arial" w:hAnsi="Arial"/>
          <w:spacing w:val="-4"/>
        </w:rPr>
        <w:t>w</w:t>
      </w:r>
      <w:r>
        <w:rPr>
          <w:rFonts w:ascii="Arial" w:hAnsi="Arial"/>
        </w:rPr>
        <w:t xml:space="preserve">hether </w:t>
      </w:r>
      <w:r>
        <w:rPr>
          <w:rFonts w:ascii="Arial" w:hAnsi="Arial"/>
        </w:rPr>
        <w:t xml:space="preserve">a believer of Shaiva form of worship or of panchratna form of worship, has a right of entry into the Hindu Temple and worship the deity. </w:t>
      </w:r>
      <w:r>
        <w:rPr>
          <w:rFonts w:ascii="Arial" w:hAnsi="Arial"/>
          <w:u w:val="thick"/>
        </w:rPr>
        <w:t>Therefore,</w:t>
      </w:r>
      <w:r>
        <w:rPr>
          <w:rFonts w:ascii="Arial" w:hAnsi="Arial"/>
        </w:rPr>
        <w:t xml:space="preserve"> </w:t>
      </w:r>
      <w:r>
        <w:rPr>
          <w:rFonts w:ascii="Arial" w:hAnsi="Arial"/>
          <w:u w:val="thick"/>
        </w:rPr>
        <w:t>the Hindu believers of Shaiva form of worship are</w:t>
      </w:r>
      <w:r>
        <w:rPr>
          <w:rFonts w:ascii="Arial" w:hAnsi="Arial"/>
        </w:rPr>
        <w:t xml:space="preserve"> </w:t>
      </w:r>
      <w:r>
        <w:rPr>
          <w:rFonts w:ascii="Arial" w:hAnsi="Arial"/>
          <w:u w:val="thick"/>
        </w:rPr>
        <w:t>not denominational worshippers. They are part of</w:t>
      </w:r>
      <w:r>
        <w:rPr>
          <w:rFonts w:ascii="Arial" w:hAnsi="Arial"/>
        </w:rPr>
        <w:t xml:space="preserve"> </w:t>
      </w:r>
      <w:r>
        <w:rPr>
          <w:rFonts w:ascii="Arial" w:hAnsi="Arial"/>
          <w:u w:val="thick"/>
        </w:rPr>
        <w:t>the Hindu religious form of worship.</w:t>
      </w:r>
      <w:r>
        <w:rPr>
          <w:rFonts w:ascii="Arial" w:hAnsi="Arial"/>
        </w:rPr>
        <w:t xml:space="preserve"> The Act protects the right to perform worship, rituals or ceremonies in accordance with established customs and practices. Every Hindu has right to enter the Temple, touc</w:t>
      </w:r>
      <w:r>
        <w:rPr>
          <w:rFonts w:ascii="Arial" w:hAnsi="Arial"/>
        </w:rPr>
        <w:t>h the Linga of Lord Sri Vishwanath and himself perform the pooja. The State is required under the Act to protect the religious practices of the Hindu form of worship of Lord Vishwanath, be it in any form, in accordance with Hindu Shastras, the customs or u</w:t>
      </w:r>
      <w:r>
        <w:rPr>
          <w:rFonts w:ascii="Arial" w:hAnsi="Arial"/>
        </w:rPr>
        <w:t>sages obtained in the Temple. It is not restricted</w:t>
      </w:r>
      <w:r>
        <w:rPr>
          <w:rFonts w:ascii="Arial" w:hAnsi="Arial"/>
          <w:spacing w:val="74"/>
        </w:rPr>
        <w:t xml:space="preserve"> </w:t>
      </w:r>
      <w:r>
        <w:rPr>
          <w:rFonts w:ascii="Arial" w:hAnsi="Arial"/>
        </w:rPr>
        <w:t>to</w:t>
      </w:r>
    </w:p>
    <w:p w:rsidR="003B2FC0" w:rsidRDefault="003B2FC0">
      <w:pPr>
        <w:jc w:val="both"/>
        <w:sectPr w:rsidR="003B2FC0">
          <w:headerReference w:type="default" r:id="rId268"/>
          <w:footerReference w:type="default" r:id="rId269"/>
          <w:pgSz w:w="12240" w:h="15840"/>
          <w:pgMar w:top="1360" w:right="1320" w:bottom="1680" w:left="1340" w:header="0" w:footer="1487" w:gutter="0"/>
          <w:pgNumType w:start="43"/>
          <w:cols w:space="720"/>
        </w:sectPr>
      </w:pPr>
    </w:p>
    <w:p w:rsidR="003B2FC0" w:rsidRDefault="00052A49">
      <w:pPr>
        <w:pStyle w:val="BodyText"/>
        <w:spacing w:before="77"/>
        <w:ind w:left="1518" w:right="1540"/>
        <w:jc w:val="both"/>
        <w:rPr>
          <w:rFonts w:ascii="Arial" w:hAnsi="Arial"/>
        </w:rPr>
      </w:pPr>
      <w:r>
        <w:rPr>
          <w:rFonts w:ascii="Arial" w:hAnsi="Arial"/>
        </w:rPr>
        <w:t xml:space="preserve">any particular denomination or sect. Believers of Shaiva form of worship are not a denominational sect or a section of Hindus but they are Hindus as such. They are entitled to the protection under Articles 25 and 26 of the Constitution.  However, they are </w:t>
      </w:r>
      <w:r>
        <w:rPr>
          <w:rFonts w:ascii="Arial" w:hAnsi="Arial"/>
        </w:rPr>
        <w:t xml:space="preserve">not entitled to the protection, in particular, of clauses (b) and (d) of Article 26 as a religious denomination in the matter of management, administration and governance of the temples under the Act. The Act, therefore, is not ultra vires Articles 25 and </w:t>
      </w:r>
      <w:r>
        <w:rPr>
          <w:rFonts w:ascii="Arial" w:hAnsi="Arial"/>
        </w:rPr>
        <w:t>26 of the</w:t>
      </w:r>
      <w:r>
        <w:rPr>
          <w:rFonts w:ascii="Arial" w:hAnsi="Arial"/>
          <w:spacing w:val="-9"/>
        </w:rPr>
        <w:t xml:space="preserve"> </w:t>
      </w:r>
      <w:r>
        <w:rPr>
          <w:rFonts w:ascii="Arial" w:hAnsi="Arial"/>
        </w:rPr>
        <w:t>Constitution.‖</w:t>
      </w:r>
    </w:p>
    <w:p w:rsidR="003B2FC0" w:rsidRDefault="00052A49">
      <w:pPr>
        <w:pStyle w:val="BodyText"/>
        <w:spacing w:before="1"/>
        <w:ind w:left="5532"/>
        <w:rPr>
          <w:rFonts w:ascii="Arial"/>
        </w:rPr>
      </w:pPr>
      <w:r>
        <w:rPr>
          <w:rFonts w:ascii="Arial"/>
        </w:rPr>
        <w:t>(emphasis supplied)</w:t>
      </w:r>
    </w:p>
    <w:p w:rsidR="003B2FC0" w:rsidRDefault="003B2FC0">
      <w:pPr>
        <w:rPr>
          <w:sz w:val="30"/>
        </w:rPr>
      </w:pPr>
    </w:p>
    <w:p w:rsidR="003B2FC0" w:rsidRDefault="00052A49">
      <w:pPr>
        <w:pStyle w:val="ListParagraph"/>
        <w:numPr>
          <w:ilvl w:val="0"/>
          <w:numId w:val="50"/>
        </w:numPr>
        <w:tabs>
          <w:tab w:val="left" w:pos="1234"/>
        </w:tabs>
        <w:spacing w:before="175" w:line="480" w:lineRule="auto"/>
        <w:ind w:right="402" w:firstLine="0"/>
        <w:jc w:val="both"/>
        <w:rPr>
          <w:sz w:val="28"/>
        </w:rPr>
      </w:pPr>
      <w:r>
        <w:rPr>
          <w:sz w:val="28"/>
        </w:rPr>
        <w:t xml:space="preserve">In </w:t>
      </w:r>
      <w:r>
        <w:rPr>
          <w:b/>
          <w:sz w:val="28"/>
        </w:rPr>
        <w:t>N. Adithayan v. Travancore Devaswom Board and Ors.</w:t>
      </w:r>
      <w:r>
        <w:rPr>
          <w:sz w:val="28"/>
        </w:rPr>
        <w:t>, (2002) 8 SCC 106, this Court held the appointment of a person who is not a Malayala Brahmin as a Pujari or priest of a temple in Kerala as constitutionally</w:t>
      </w:r>
      <w:r>
        <w:rPr>
          <w:sz w:val="28"/>
        </w:rPr>
        <w:t xml:space="preserve"> valid. After referring to various authorities of this Court, this Court</w:t>
      </w:r>
      <w:r>
        <w:rPr>
          <w:spacing w:val="-1"/>
          <w:sz w:val="28"/>
        </w:rPr>
        <w:t xml:space="preserve"> </w:t>
      </w:r>
      <w:r>
        <w:rPr>
          <w:sz w:val="28"/>
        </w:rPr>
        <w:t>held:</w:t>
      </w:r>
    </w:p>
    <w:p w:rsidR="003B2FC0" w:rsidRDefault="00052A49">
      <w:pPr>
        <w:pStyle w:val="BodyText"/>
        <w:spacing w:before="201"/>
        <w:ind w:left="1518" w:right="1539"/>
        <w:jc w:val="both"/>
        <w:rPr>
          <w:rFonts w:ascii="Arial" w:hAnsi="Arial"/>
        </w:rPr>
      </w:pPr>
      <w:r>
        <w:rPr>
          <w:rFonts w:ascii="Arial" w:hAnsi="Arial"/>
          <w:w w:val="33"/>
        </w:rPr>
        <w:t>―</w:t>
      </w:r>
      <w:r>
        <w:rPr>
          <w:rFonts w:ascii="Arial" w:hAnsi="Arial"/>
          <w:b/>
          <w:spacing w:val="-1"/>
        </w:rPr>
        <w:t>16</w:t>
      </w:r>
      <w:r>
        <w:rPr>
          <w:rFonts w:ascii="Arial" w:hAnsi="Arial"/>
          <w:b/>
        </w:rPr>
        <w:t>.</w:t>
      </w:r>
      <w:r>
        <w:rPr>
          <w:rFonts w:ascii="Arial" w:hAnsi="Arial"/>
          <w:b/>
        </w:rPr>
        <w:t xml:space="preserve"> </w:t>
      </w:r>
      <w:r>
        <w:rPr>
          <w:rFonts w:ascii="Arial" w:hAnsi="Arial"/>
          <w:spacing w:val="-2"/>
        </w:rPr>
        <w:t>I</w:t>
      </w:r>
      <w:r>
        <w:rPr>
          <w:rFonts w:ascii="Arial" w:hAnsi="Arial"/>
        </w:rPr>
        <w:t>t</w:t>
      </w:r>
      <w:r>
        <w:rPr>
          <w:rFonts w:ascii="Arial" w:hAnsi="Arial"/>
          <w:spacing w:val="35"/>
        </w:rPr>
        <w:t xml:space="preserve"> </w:t>
      </w:r>
      <w:r>
        <w:rPr>
          <w:rFonts w:ascii="Arial" w:hAnsi="Arial"/>
          <w:spacing w:val="-3"/>
        </w:rPr>
        <w:t>i</w:t>
      </w:r>
      <w:r>
        <w:rPr>
          <w:rFonts w:ascii="Arial" w:hAnsi="Arial"/>
        </w:rPr>
        <w:t>s</w:t>
      </w:r>
      <w:r>
        <w:rPr>
          <w:rFonts w:ascii="Arial" w:hAnsi="Arial"/>
          <w:spacing w:val="35"/>
        </w:rPr>
        <w:t xml:space="preserve"> </w:t>
      </w:r>
      <w:r>
        <w:rPr>
          <w:rFonts w:ascii="Arial" w:hAnsi="Arial"/>
        </w:rPr>
        <w:t>now</w:t>
      </w:r>
      <w:r>
        <w:rPr>
          <w:rFonts w:ascii="Arial" w:hAnsi="Arial"/>
          <w:spacing w:val="31"/>
        </w:rPr>
        <w:t xml:space="preserve"> </w:t>
      </w:r>
      <w:r>
        <w:rPr>
          <w:rFonts w:ascii="Arial" w:hAnsi="Arial"/>
          <w:spacing w:val="-4"/>
        </w:rPr>
        <w:t>w</w:t>
      </w:r>
      <w:r>
        <w:rPr>
          <w:rFonts w:ascii="Arial" w:hAnsi="Arial"/>
        </w:rPr>
        <w:t>ell</w:t>
      </w:r>
      <w:r>
        <w:rPr>
          <w:rFonts w:ascii="Arial" w:hAnsi="Arial"/>
          <w:spacing w:val="37"/>
        </w:rPr>
        <w:t xml:space="preserve"> </w:t>
      </w:r>
      <w:r>
        <w:rPr>
          <w:rFonts w:ascii="Arial" w:hAnsi="Arial"/>
        </w:rPr>
        <w:t>se</w:t>
      </w:r>
      <w:r>
        <w:rPr>
          <w:rFonts w:ascii="Arial" w:hAnsi="Arial"/>
          <w:spacing w:val="-2"/>
        </w:rPr>
        <w:t>t</w:t>
      </w:r>
      <w:r>
        <w:rPr>
          <w:rFonts w:ascii="Arial" w:hAnsi="Arial"/>
        </w:rPr>
        <w:t>tled</w:t>
      </w:r>
      <w:r>
        <w:rPr>
          <w:rFonts w:ascii="Arial" w:hAnsi="Arial"/>
          <w:spacing w:val="32"/>
        </w:rPr>
        <w:t xml:space="preserve"> </w:t>
      </w:r>
      <w:r>
        <w:rPr>
          <w:rFonts w:ascii="Arial" w:hAnsi="Arial"/>
        </w:rPr>
        <w:t>th</w:t>
      </w:r>
      <w:r>
        <w:rPr>
          <w:rFonts w:ascii="Arial" w:hAnsi="Arial"/>
          <w:spacing w:val="-3"/>
        </w:rPr>
        <w:t>a</w:t>
      </w:r>
      <w:r>
        <w:rPr>
          <w:rFonts w:ascii="Arial" w:hAnsi="Arial"/>
        </w:rPr>
        <w:t>t</w:t>
      </w:r>
      <w:r>
        <w:rPr>
          <w:rFonts w:ascii="Arial" w:hAnsi="Arial"/>
          <w:spacing w:val="35"/>
        </w:rPr>
        <w:t xml:space="preserve"> </w:t>
      </w:r>
      <w:r>
        <w:rPr>
          <w:rFonts w:ascii="Arial" w:hAnsi="Arial"/>
        </w:rPr>
        <w:t>A</w:t>
      </w:r>
      <w:r>
        <w:rPr>
          <w:rFonts w:ascii="Arial" w:hAnsi="Arial"/>
          <w:spacing w:val="-3"/>
        </w:rPr>
        <w:t>r</w:t>
      </w:r>
      <w:r>
        <w:rPr>
          <w:rFonts w:ascii="Arial" w:hAnsi="Arial"/>
        </w:rPr>
        <w:t>t</w:t>
      </w:r>
      <w:r>
        <w:rPr>
          <w:rFonts w:ascii="Arial" w:hAnsi="Arial"/>
          <w:spacing w:val="-3"/>
        </w:rPr>
        <w:t>i</w:t>
      </w:r>
      <w:r>
        <w:rPr>
          <w:rFonts w:ascii="Arial" w:hAnsi="Arial"/>
        </w:rPr>
        <w:t>cle</w:t>
      </w:r>
      <w:r>
        <w:rPr>
          <w:rFonts w:ascii="Arial" w:hAnsi="Arial"/>
          <w:spacing w:val="32"/>
        </w:rPr>
        <w:t xml:space="preserve"> </w:t>
      </w:r>
      <w:r>
        <w:rPr>
          <w:rFonts w:ascii="Arial" w:hAnsi="Arial"/>
        </w:rPr>
        <w:t>25</w:t>
      </w:r>
      <w:r>
        <w:rPr>
          <w:rFonts w:ascii="Arial" w:hAnsi="Arial"/>
          <w:spacing w:val="34"/>
        </w:rPr>
        <w:t xml:space="preserve"> </w:t>
      </w:r>
      <w:r>
        <w:rPr>
          <w:rFonts w:ascii="Arial" w:hAnsi="Arial"/>
        </w:rPr>
        <w:t>s</w:t>
      </w:r>
      <w:r>
        <w:rPr>
          <w:rFonts w:ascii="Arial" w:hAnsi="Arial"/>
          <w:spacing w:val="-3"/>
        </w:rPr>
        <w:t>e</w:t>
      </w:r>
      <w:r>
        <w:rPr>
          <w:rFonts w:ascii="Arial" w:hAnsi="Arial"/>
        </w:rPr>
        <w:t>cur</w:t>
      </w:r>
      <w:r>
        <w:rPr>
          <w:rFonts w:ascii="Arial" w:hAnsi="Arial"/>
          <w:spacing w:val="-3"/>
        </w:rPr>
        <w:t>e</w:t>
      </w:r>
      <w:r>
        <w:rPr>
          <w:rFonts w:ascii="Arial" w:hAnsi="Arial"/>
        </w:rPr>
        <w:t>s</w:t>
      </w:r>
      <w:r>
        <w:rPr>
          <w:rFonts w:ascii="Arial" w:hAnsi="Arial"/>
          <w:spacing w:val="33"/>
        </w:rPr>
        <w:t xml:space="preserve"> </w:t>
      </w:r>
      <w:r>
        <w:rPr>
          <w:rFonts w:ascii="Arial" w:hAnsi="Arial"/>
          <w:spacing w:val="-2"/>
        </w:rPr>
        <w:t>t</w:t>
      </w:r>
      <w:r>
        <w:rPr>
          <w:rFonts w:ascii="Arial" w:hAnsi="Arial"/>
        </w:rPr>
        <w:t xml:space="preserve">o </w:t>
      </w:r>
      <w:r>
        <w:rPr>
          <w:rFonts w:ascii="Arial" w:hAnsi="Arial"/>
        </w:rPr>
        <w:t>every person, subject of course to public order, health and morality and other provisions of Part III, including Article 17 freedom to entertain and exhibit by outward acts as well as propagate and disseminate such religious belief according to his judgmen</w:t>
      </w:r>
      <w:r>
        <w:rPr>
          <w:rFonts w:ascii="Arial" w:hAnsi="Arial"/>
        </w:rPr>
        <w:t>t and conscience for the edification of others. The right of the State to impose such restrictions as are desired or found necessary on grounds of public order, health and morality is inbuilt in Articles 25 and 26 itself. Article 25(2)(b) ensures the right</w:t>
      </w:r>
      <w:r>
        <w:rPr>
          <w:rFonts w:ascii="Arial" w:hAnsi="Arial"/>
        </w:rPr>
        <w:t xml:space="preserve"> of the State to make a law providing for social welfare and reform besides throwing open of Hindu religious institutions of a public character to  all classes and sections of Hindus and any</w:t>
      </w:r>
      <w:r>
        <w:rPr>
          <w:rFonts w:ascii="Arial" w:hAnsi="Arial"/>
          <w:spacing w:val="10"/>
        </w:rPr>
        <w:t xml:space="preserve"> </w:t>
      </w:r>
      <w:r>
        <w:rPr>
          <w:rFonts w:ascii="Arial" w:hAnsi="Arial"/>
        </w:rPr>
        <w:t>such</w:t>
      </w:r>
    </w:p>
    <w:p w:rsidR="003B2FC0" w:rsidRDefault="003B2FC0">
      <w:pPr>
        <w:jc w:val="both"/>
        <w:sectPr w:rsidR="003B2FC0">
          <w:headerReference w:type="default" r:id="rId270"/>
          <w:footerReference w:type="default" r:id="rId271"/>
          <w:pgSz w:w="12240" w:h="15840"/>
          <w:pgMar w:top="1360" w:right="1320" w:bottom="1680" w:left="1340" w:header="0" w:footer="1487" w:gutter="0"/>
          <w:pgNumType w:start="44"/>
          <w:cols w:space="720"/>
        </w:sectPr>
      </w:pPr>
    </w:p>
    <w:p w:rsidR="003B2FC0" w:rsidRDefault="00052A49">
      <w:pPr>
        <w:pStyle w:val="BodyText"/>
        <w:spacing w:before="77"/>
        <w:ind w:left="1518" w:right="1540"/>
        <w:jc w:val="both"/>
        <w:rPr>
          <w:rFonts w:ascii="Arial"/>
        </w:rPr>
      </w:pPr>
      <w:r>
        <w:rPr>
          <w:rFonts w:ascii="Arial"/>
        </w:rPr>
        <w:t>rights of the State o</w:t>
      </w:r>
      <w:r>
        <w:rPr>
          <w:rFonts w:ascii="Arial"/>
        </w:rPr>
        <w:t xml:space="preserve">r of the communities or classes of society were also considered to need due regulation in the process of harmonizing the various rights. The vision of the founding fathers of the Constitution to liberate the society from blind and ritualistic adherence to </w:t>
      </w:r>
      <w:r>
        <w:rPr>
          <w:rFonts w:ascii="Arial"/>
        </w:rPr>
        <w:t>mere traditional superstitious beliefs sans reason or rational basis has found expression in the form of Article 17. The legal position that the protection under Articles 25 and 26 extends a guarantee for rituals and observances, ceremonies and modes of wo</w:t>
      </w:r>
      <w:r>
        <w:rPr>
          <w:rFonts w:ascii="Arial"/>
        </w:rPr>
        <w:t>rship which are integral parts of religion and as to what really constitutes an essential part of religion or religious practice has to be decided by the courts with reference to the doctrine of a particular religion or practices regarded as parts of relig</w:t>
      </w:r>
      <w:r>
        <w:rPr>
          <w:rFonts w:ascii="Arial"/>
        </w:rPr>
        <w:t>ion, came to be equally firmly laid</w:t>
      </w:r>
      <w:r>
        <w:rPr>
          <w:rFonts w:ascii="Arial"/>
          <w:spacing w:val="-6"/>
        </w:rPr>
        <w:t xml:space="preserve"> </w:t>
      </w:r>
      <w:r>
        <w:rPr>
          <w:rFonts w:ascii="Arial"/>
        </w:rPr>
        <w:t>down.</w:t>
      </w:r>
    </w:p>
    <w:p w:rsidR="003B2FC0" w:rsidRDefault="003B2FC0">
      <w:pPr>
        <w:spacing w:before="8"/>
        <w:rPr>
          <w:sz w:val="34"/>
        </w:rPr>
      </w:pPr>
    </w:p>
    <w:p w:rsidR="003B2FC0" w:rsidRDefault="00052A49">
      <w:pPr>
        <w:pStyle w:val="ListParagraph"/>
        <w:numPr>
          <w:ilvl w:val="1"/>
          <w:numId w:val="50"/>
        </w:numPr>
        <w:tabs>
          <w:tab w:val="left" w:pos="1987"/>
        </w:tabs>
        <w:spacing w:before="1"/>
        <w:ind w:right="1536" w:firstLine="0"/>
        <w:jc w:val="both"/>
        <w:rPr>
          <w:sz w:val="28"/>
        </w:rPr>
      </w:pPr>
      <w:r>
        <w:rPr>
          <w:sz w:val="28"/>
        </w:rPr>
        <w:t>Where a temple has been constructed and consecrated as per Agamas, it is considered necessary to perform the daily rituals, poojas and recitations as required to maintain the sanctity of the idol and it is not that in respect of any and every temple any su</w:t>
      </w:r>
      <w:r>
        <w:rPr>
          <w:sz w:val="28"/>
        </w:rPr>
        <w:t>ch uniform rigour of rituals can be sought to be enforced, dehors its origin, the manner of construction or method of consecration. No doubt only a qualified person well versed and properly trained for the purpose alone can perform poojas in the temple sin</w:t>
      </w:r>
      <w:r>
        <w:rPr>
          <w:sz w:val="28"/>
        </w:rPr>
        <w:t>ce he has not only to enter into the sanctum sanctorum but also touch the idol installed therein. It therefore goes without saying that what is required and expected of one to perform the rituals and conduct poojas is to know the rituals to be performed an</w:t>
      </w:r>
      <w:r>
        <w:rPr>
          <w:sz w:val="28"/>
        </w:rPr>
        <w:t>d mantras, as necessary, to be recited for the particular deity and the method of worship ordained or fixed therefor. For example, in Saivite temples or Vaishnavite temples, only a person who learnt the necessary rites and mantras conducive to be</w:t>
      </w:r>
      <w:r>
        <w:rPr>
          <w:spacing w:val="28"/>
          <w:sz w:val="28"/>
        </w:rPr>
        <w:t xml:space="preserve"> </w:t>
      </w:r>
      <w:r>
        <w:rPr>
          <w:sz w:val="28"/>
        </w:rPr>
        <w:t>performed</w:t>
      </w:r>
      <w:r>
        <w:rPr>
          <w:spacing w:val="28"/>
          <w:sz w:val="28"/>
        </w:rPr>
        <w:t xml:space="preserve"> </w:t>
      </w:r>
      <w:r>
        <w:rPr>
          <w:sz w:val="28"/>
        </w:rPr>
        <w:t>and</w:t>
      </w:r>
      <w:r>
        <w:rPr>
          <w:spacing w:val="27"/>
          <w:sz w:val="28"/>
        </w:rPr>
        <w:t xml:space="preserve"> </w:t>
      </w:r>
      <w:r>
        <w:rPr>
          <w:sz w:val="28"/>
        </w:rPr>
        <w:t>recited</w:t>
      </w:r>
      <w:r>
        <w:rPr>
          <w:spacing w:val="28"/>
          <w:sz w:val="28"/>
        </w:rPr>
        <w:t xml:space="preserve"> </w:t>
      </w:r>
      <w:r>
        <w:rPr>
          <w:sz w:val="28"/>
        </w:rPr>
        <w:t>in</w:t>
      </w:r>
      <w:r>
        <w:rPr>
          <w:spacing w:val="28"/>
          <w:sz w:val="28"/>
        </w:rPr>
        <w:t xml:space="preserve"> </w:t>
      </w:r>
      <w:r>
        <w:rPr>
          <w:sz w:val="28"/>
        </w:rPr>
        <w:t>the</w:t>
      </w:r>
      <w:r>
        <w:rPr>
          <w:spacing w:val="29"/>
          <w:sz w:val="28"/>
        </w:rPr>
        <w:t xml:space="preserve"> </w:t>
      </w:r>
      <w:r>
        <w:rPr>
          <w:sz w:val="28"/>
        </w:rPr>
        <w:t>respective</w:t>
      </w:r>
      <w:r>
        <w:rPr>
          <w:spacing w:val="28"/>
          <w:sz w:val="28"/>
        </w:rPr>
        <w:t xml:space="preserve"> </w:t>
      </w:r>
      <w:r>
        <w:rPr>
          <w:sz w:val="28"/>
        </w:rPr>
        <w:t>temples</w:t>
      </w:r>
    </w:p>
    <w:p w:rsidR="003B2FC0" w:rsidRDefault="003B2FC0">
      <w:pPr>
        <w:jc w:val="both"/>
        <w:rPr>
          <w:sz w:val="28"/>
        </w:rPr>
        <w:sectPr w:rsidR="003B2FC0">
          <w:headerReference w:type="default" r:id="rId272"/>
          <w:footerReference w:type="default" r:id="rId273"/>
          <w:pgSz w:w="12240" w:h="15840"/>
          <w:pgMar w:top="1360" w:right="1320" w:bottom="1680" w:left="1340" w:header="0" w:footer="1485" w:gutter="0"/>
          <w:pgNumType w:start="45"/>
          <w:cols w:space="720"/>
        </w:sectPr>
      </w:pPr>
    </w:p>
    <w:p w:rsidR="003B2FC0" w:rsidRDefault="00052A49">
      <w:pPr>
        <w:pStyle w:val="BodyText"/>
        <w:spacing w:before="77"/>
        <w:ind w:left="1518" w:right="1537"/>
        <w:jc w:val="both"/>
        <w:rPr>
          <w:rFonts w:ascii="Arial" w:hAnsi="Arial"/>
        </w:rPr>
      </w:pPr>
      <w:r>
        <w:rPr>
          <w:rFonts w:ascii="Arial" w:hAnsi="Arial"/>
        </w:rPr>
        <w:t>and appropriate to the worship of the particular deity could be engaged as an Archaka. If traditionally or conventionally, in any temple, all along a Brahmin alone was conducting poojas or performing the job of Santhikaran, it may not be because a person o</w:t>
      </w:r>
      <w:r>
        <w:rPr>
          <w:rFonts w:ascii="Arial" w:hAnsi="Arial"/>
        </w:rPr>
        <w:t>ther than the Brahmin is prohibited from doing so because he is not a Brahmin, but those others were not in a position and, as a matter of fact, were prohibited from learning, reciting or mastering Vedic literature, rites or performance of rituals and wear</w:t>
      </w:r>
      <w:r>
        <w:rPr>
          <w:rFonts w:ascii="Arial" w:hAnsi="Arial"/>
        </w:rPr>
        <w:t xml:space="preserve">ing sacred thread by getting initiated into the order and thereby acquire the right to perform homa and ritualistic forms of worship in public or private temples. Consequently, there is no justification to insist that a Brahmin or Malayala Brahmin in this </w:t>
      </w:r>
      <w:r>
        <w:rPr>
          <w:rFonts w:ascii="Arial" w:hAnsi="Arial"/>
        </w:rPr>
        <w:t xml:space="preserve">case, alone can perform the rites and rituals in the temple, as part of the rights and freedom guaranteed under Article 25 of the Constitution and further claim that any deviation would tantamount to violation of any such guarantee under the Constitution. </w:t>
      </w:r>
      <w:r>
        <w:rPr>
          <w:rFonts w:ascii="Arial" w:hAnsi="Arial"/>
        </w:rPr>
        <w:t>There can be no claim based upon Article 26 so far as the Temple under our consideration is concerned. Apart from this principle enunciated above, as long as anyone well versed and properly trained and qualified to perform the pooja in a manner conducive a</w:t>
      </w:r>
      <w:r>
        <w:rPr>
          <w:rFonts w:ascii="Arial" w:hAnsi="Arial"/>
        </w:rPr>
        <w:t>nd appropriate to the worship of the particular deity, is appointed as Santhikaran dehors his pedigree based on caste, no valid or legally justifiable grievance can be made in a court of law. There has been no proper plea or sufficient proof also in this c</w:t>
      </w:r>
      <w:r>
        <w:rPr>
          <w:rFonts w:ascii="Arial" w:hAnsi="Arial"/>
        </w:rPr>
        <w:t>ase of any specific custom or usage specially created by the founder of the Temple or those who have the exclusive right to administer the affairs — religious or secular of the Temple in question, leave alone the legality, propriety and validity of the sam</w:t>
      </w:r>
      <w:r>
        <w:rPr>
          <w:rFonts w:ascii="Arial" w:hAnsi="Arial"/>
        </w:rPr>
        <w:t>e in the changed legal position brought about by the Constitution and the law enacted by Parliament. The Temple also does not belong to any denominational</w:t>
      </w:r>
      <w:r>
        <w:rPr>
          <w:rFonts w:ascii="Arial" w:hAnsi="Arial"/>
          <w:spacing w:val="5"/>
        </w:rPr>
        <w:t xml:space="preserve"> </w:t>
      </w:r>
      <w:r>
        <w:rPr>
          <w:rFonts w:ascii="Arial" w:hAnsi="Arial"/>
        </w:rPr>
        <w:t>category</w:t>
      </w:r>
    </w:p>
    <w:p w:rsidR="003B2FC0" w:rsidRDefault="003B2FC0">
      <w:pPr>
        <w:jc w:val="both"/>
        <w:sectPr w:rsidR="003B2FC0">
          <w:headerReference w:type="default" r:id="rId274"/>
          <w:footerReference w:type="default" r:id="rId275"/>
          <w:pgSz w:w="12240" w:h="15840"/>
          <w:pgMar w:top="1360" w:right="1320" w:bottom="1680" w:left="1340" w:header="0" w:footer="1492" w:gutter="0"/>
          <w:pgNumType w:start="46"/>
          <w:cols w:space="720"/>
        </w:sectPr>
      </w:pPr>
    </w:p>
    <w:p w:rsidR="003B2FC0" w:rsidRDefault="00052A49">
      <w:pPr>
        <w:pStyle w:val="BodyText"/>
        <w:spacing w:before="77"/>
        <w:ind w:left="1518" w:right="1533"/>
        <w:jc w:val="both"/>
        <w:rPr>
          <w:rFonts w:ascii="Arial" w:hAnsi="Arial"/>
        </w:rPr>
      </w:pPr>
      <w:r>
        <w:rPr>
          <w:rFonts w:ascii="Arial" w:hAnsi="Arial"/>
        </w:rPr>
        <w:t>with any specialized form of worship peculiar to  suc</w:t>
      </w:r>
      <w:r>
        <w:rPr>
          <w:rFonts w:ascii="Arial" w:hAnsi="Arial"/>
        </w:rPr>
        <w:t>h denomination or to its credit. For the said reason, it becomes, in a sense, even unnecessary to pronounce upon the invalidity of any such  practice being violative of the constitutional mandate contained in Articles 14 to 17 and 21 of the Constitution of</w:t>
      </w:r>
      <w:r>
        <w:rPr>
          <w:rFonts w:ascii="Arial" w:hAnsi="Arial"/>
          <w:spacing w:val="-5"/>
        </w:rPr>
        <w:t xml:space="preserve"> </w:t>
      </w:r>
      <w:r>
        <w:rPr>
          <w:rFonts w:ascii="Arial" w:hAnsi="Arial"/>
        </w:rPr>
        <w:t>India.‖</w:t>
      </w:r>
    </w:p>
    <w:p w:rsidR="003B2FC0" w:rsidRDefault="003B2FC0">
      <w:pPr>
        <w:spacing w:before="6"/>
        <w:rPr>
          <w:sz w:val="27"/>
        </w:rPr>
      </w:pPr>
    </w:p>
    <w:p w:rsidR="003B2FC0" w:rsidRDefault="00052A49">
      <w:pPr>
        <w:pStyle w:val="BodyText"/>
        <w:ind w:left="383"/>
        <w:rPr>
          <w:rFonts w:ascii="Arial"/>
        </w:rPr>
      </w:pPr>
      <w:r>
        <w:rPr>
          <w:rFonts w:ascii="Arial"/>
        </w:rPr>
        <w:t>Finally, this Court held:</w:t>
      </w:r>
    </w:p>
    <w:p w:rsidR="003B2FC0" w:rsidRDefault="003B2FC0">
      <w:pPr>
        <w:rPr>
          <w:sz w:val="30"/>
        </w:rPr>
      </w:pPr>
    </w:p>
    <w:p w:rsidR="003B2FC0" w:rsidRDefault="00052A49">
      <w:pPr>
        <w:pStyle w:val="BodyText"/>
        <w:spacing w:before="176"/>
        <w:ind w:left="1518" w:right="1534"/>
        <w:jc w:val="both"/>
        <w:rPr>
          <w:rFonts w:ascii="Arial" w:hAnsi="Arial"/>
        </w:rPr>
      </w:pPr>
      <w:r>
        <w:rPr>
          <w:rFonts w:ascii="Arial" w:hAnsi="Arial"/>
          <w:w w:val="33"/>
        </w:rPr>
        <w:t>―</w:t>
      </w:r>
      <w:r>
        <w:rPr>
          <w:rFonts w:ascii="Arial" w:hAnsi="Arial"/>
          <w:b/>
        </w:rPr>
        <w:t>18.</w:t>
      </w:r>
      <w:r>
        <w:rPr>
          <w:rFonts w:ascii="Arial" w:hAnsi="Arial"/>
          <w:b/>
        </w:rPr>
        <w:t xml:space="preserve">  </w:t>
      </w:r>
      <w:r>
        <w:rPr>
          <w:rFonts w:ascii="Arial" w:hAnsi="Arial"/>
        </w:rPr>
        <w:t>………</w:t>
      </w:r>
      <w:r>
        <w:rPr>
          <w:rFonts w:ascii="Arial" w:hAnsi="Arial"/>
        </w:rPr>
        <w:t xml:space="preserve">  </w:t>
      </w:r>
      <w:r>
        <w:rPr>
          <w:rFonts w:ascii="Arial" w:hAnsi="Arial"/>
        </w:rPr>
        <w:t>Any</w:t>
      </w:r>
      <w:r>
        <w:rPr>
          <w:rFonts w:ascii="Arial" w:hAnsi="Arial"/>
        </w:rPr>
        <w:t xml:space="preserve">  </w:t>
      </w:r>
      <w:r>
        <w:rPr>
          <w:rFonts w:ascii="Arial" w:hAnsi="Arial"/>
        </w:rPr>
        <w:t>custom</w:t>
      </w:r>
      <w:r>
        <w:rPr>
          <w:rFonts w:ascii="Arial" w:hAnsi="Arial"/>
        </w:rPr>
        <w:t xml:space="preserve">  </w:t>
      </w:r>
      <w:r>
        <w:rPr>
          <w:rFonts w:ascii="Arial" w:hAnsi="Arial"/>
        </w:rPr>
        <w:t>or</w:t>
      </w:r>
      <w:r>
        <w:rPr>
          <w:rFonts w:ascii="Arial" w:hAnsi="Arial"/>
        </w:rPr>
        <w:t xml:space="preserve">  </w:t>
      </w:r>
      <w:r>
        <w:rPr>
          <w:rFonts w:ascii="Arial" w:hAnsi="Arial"/>
        </w:rPr>
        <w:t>usage</w:t>
      </w:r>
      <w:r>
        <w:rPr>
          <w:rFonts w:ascii="Arial" w:hAnsi="Arial"/>
        </w:rPr>
        <w:t xml:space="preserve">  </w:t>
      </w:r>
      <w:r>
        <w:rPr>
          <w:rFonts w:ascii="Arial" w:hAnsi="Arial"/>
        </w:rPr>
        <w:t>irrespective</w:t>
      </w:r>
      <w:r>
        <w:rPr>
          <w:rFonts w:ascii="Arial" w:hAnsi="Arial"/>
        </w:rPr>
        <w:t xml:space="preserve">  </w:t>
      </w:r>
      <w:r>
        <w:rPr>
          <w:rFonts w:ascii="Arial" w:hAnsi="Arial"/>
        </w:rPr>
        <w:t xml:space="preserve">of </w:t>
      </w:r>
      <w:r>
        <w:rPr>
          <w:rFonts w:ascii="Arial" w:hAnsi="Arial"/>
        </w:rPr>
        <w:t>even any proof of their existence in pre- constitutional days cannot be countenanced as a source of law to claim any rights when it is found to violate human rights, dignity, social equality and the specific mandate of the Constitution and law made by Parl</w:t>
      </w:r>
      <w:r>
        <w:rPr>
          <w:rFonts w:ascii="Arial" w:hAnsi="Arial"/>
        </w:rPr>
        <w:t>iament. No usage which is found to be pernicious and considered to be in derogation of the law of the land or opposed to public policy or social decency can be accepted or upheld by courts in the country.‖</w:t>
      </w:r>
    </w:p>
    <w:p w:rsidR="003B2FC0" w:rsidRDefault="003B2FC0">
      <w:pPr>
        <w:rPr>
          <w:sz w:val="30"/>
        </w:rPr>
      </w:pPr>
    </w:p>
    <w:p w:rsidR="003B2FC0" w:rsidRDefault="00052A49">
      <w:pPr>
        <w:pStyle w:val="ListParagraph"/>
        <w:numPr>
          <w:ilvl w:val="1"/>
          <w:numId w:val="50"/>
        </w:numPr>
        <w:tabs>
          <w:tab w:val="left" w:pos="1234"/>
        </w:tabs>
        <w:spacing w:before="179" w:line="480" w:lineRule="auto"/>
        <w:ind w:left="383" w:right="401" w:firstLine="0"/>
        <w:jc w:val="both"/>
        <w:rPr>
          <w:sz w:val="28"/>
        </w:rPr>
      </w:pPr>
      <w:r>
        <w:rPr>
          <w:sz w:val="28"/>
        </w:rPr>
        <w:t xml:space="preserve">In </w:t>
      </w:r>
      <w:r>
        <w:rPr>
          <w:b/>
          <w:sz w:val="28"/>
        </w:rPr>
        <w:t>Dr. Subramanian Swamy v. State of Tamil Nadu a</w:t>
      </w:r>
      <w:r>
        <w:rPr>
          <w:b/>
          <w:sz w:val="28"/>
        </w:rPr>
        <w:t>nd Ors.</w:t>
      </w:r>
      <w:r>
        <w:rPr>
          <w:sz w:val="28"/>
        </w:rPr>
        <w:t xml:space="preserve">, (2014) 5 SCC 75, this Court dealt with the claim by Podhu Dikshitars (Smarthi Brahmins) to administer the properties of a temple dedicated to Lord Natraja at the Sri Sabanayagar Temple at Chidambaram. This Court noticed, in paragraph 24, that the </w:t>
      </w:r>
      <w:r>
        <w:rPr>
          <w:sz w:val="28"/>
        </w:rPr>
        <w:t>rights conferred under Article 26 are not subject to other provisions of Part III of the Constitution. It then went on to extract a portion of the Division Bench judgment of the Madras High Court, which held that the Podhu Dikshitars constitute</w:t>
      </w:r>
      <w:r>
        <w:rPr>
          <w:spacing w:val="62"/>
          <w:sz w:val="28"/>
        </w:rPr>
        <w:t xml:space="preserve"> </w:t>
      </w:r>
      <w:r>
        <w:rPr>
          <w:sz w:val="28"/>
        </w:rPr>
        <w:t>a</w:t>
      </w:r>
    </w:p>
    <w:p w:rsidR="003B2FC0" w:rsidRDefault="003B2FC0">
      <w:pPr>
        <w:spacing w:line="480" w:lineRule="auto"/>
        <w:jc w:val="both"/>
        <w:rPr>
          <w:sz w:val="28"/>
        </w:rPr>
        <w:sectPr w:rsidR="003B2FC0">
          <w:headerReference w:type="default" r:id="rId276"/>
          <w:footerReference w:type="default" r:id="rId277"/>
          <w:pgSz w:w="12240" w:h="15840"/>
          <w:pgMar w:top="1360" w:right="1320" w:bottom="1680" w:left="1340" w:header="0" w:footer="1492" w:gutter="0"/>
          <w:pgNumType w:start="47"/>
          <w:cols w:space="720"/>
        </w:sectPr>
      </w:pPr>
    </w:p>
    <w:p w:rsidR="003B2FC0" w:rsidRDefault="00052A49">
      <w:pPr>
        <w:pStyle w:val="BodyText"/>
        <w:spacing w:before="77" w:line="480" w:lineRule="auto"/>
        <w:ind w:left="383" w:right="401"/>
        <w:jc w:val="both"/>
        <w:rPr>
          <w:rFonts w:ascii="Arial"/>
        </w:rPr>
      </w:pPr>
      <w:r>
        <w:rPr>
          <w:rFonts w:ascii="Arial"/>
        </w:rPr>
        <w:t xml:space="preserve">religious denomination, or in any event, a section thereof, because they are a closed body, and because no other Smartha Brahmin who is not a Dikshitar is entitled to participate in either the administration or in the worship </w:t>
      </w:r>
      <w:r>
        <w:rPr>
          <w:rFonts w:ascii="Arial"/>
        </w:rPr>
        <w:t>of God. This is their exclusive and sole privilege which has been recognized and established for several centuries. Another interesting observation of this Court was that fundamental rights protected under Article 26 cannot be waived. Thus, the power to su</w:t>
      </w:r>
      <w:r>
        <w:rPr>
          <w:rFonts w:ascii="Arial"/>
        </w:rPr>
        <w:t>persede the administration of a religious denomination, if only for a certain purpose and for a limited duration, will have to be read as regulatory, otherwise, it will violate the fundamental right contained in Article</w:t>
      </w:r>
      <w:r>
        <w:rPr>
          <w:rFonts w:ascii="Arial"/>
          <w:spacing w:val="-2"/>
        </w:rPr>
        <w:t xml:space="preserve"> </w:t>
      </w:r>
      <w:r>
        <w:rPr>
          <w:rFonts w:ascii="Arial"/>
        </w:rPr>
        <w:t>26.</w:t>
      </w:r>
    </w:p>
    <w:p w:rsidR="003B2FC0" w:rsidRDefault="003B2FC0">
      <w:pPr>
        <w:spacing w:before="2"/>
        <w:rPr>
          <w:sz w:val="28"/>
        </w:rPr>
      </w:pPr>
    </w:p>
    <w:p w:rsidR="003B2FC0" w:rsidRDefault="00052A49">
      <w:pPr>
        <w:pStyle w:val="ListParagraph"/>
        <w:numPr>
          <w:ilvl w:val="1"/>
          <w:numId w:val="50"/>
        </w:numPr>
        <w:tabs>
          <w:tab w:val="left" w:pos="1234"/>
        </w:tabs>
        <w:spacing w:line="480" w:lineRule="auto"/>
        <w:ind w:left="383" w:right="401" w:firstLine="0"/>
        <w:jc w:val="both"/>
        <w:rPr>
          <w:sz w:val="28"/>
        </w:rPr>
      </w:pPr>
      <w:r>
        <w:rPr>
          <w:sz w:val="28"/>
        </w:rPr>
        <w:t xml:space="preserve">In </w:t>
      </w:r>
      <w:r>
        <w:rPr>
          <w:b/>
          <w:sz w:val="28"/>
        </w:rPr>
        <w:t>Riju Prasad Sarma and Ors. v</w:t>
      </w:r>
      <w:r>
        <w:rPr>
          <w:b/>
          <w:sz w:val="28"/>
        </w:rPr>
        <w:t>. State of Assam and Ors.</w:t>
      </w:r>
      <w:r>
        <w:rPr>
          <w:sz w:val="28"/>
        </w:rPr>
        <w:t>, (2015) 9 SCC 461, this Court dealt with customs based on religious faith which dealt with families of priests of a temple called the Maa Kamakhya Temple. After discussing some of the judgments of this Court, a Division Bench of t</w:t>
      </w:r>
      <w:r>
        <w:rPr>
          <w:sz w:val="28"/>
        </w:rPr>
        <w:t>his Court</w:t>
      </w:r>
      <w:r>
        <w:rPr>
          <w:spacing w:val="-7"/>
          <w:sz w:val="28"/>
        </w:rPr>
        <w:t xml:space="preserve"> </w:t>
      </w:r>
      <w:r>
        <w:rPr>
          <w:sz w:val="28"/>
        </w:rPr>
        <w:t>held:</w:t>
      </w:r>
    </w:p>
    <w:p w:rsidR="003B2FC0" w:rsidRDefault="003B2FC0">
      <w:pPr>
        <w:spacing w:before="10"/>
        <w:rPr>
          <w:sz w:val="27"/>
        </w:rPr>
      </w:pPr>
    </w:p>
    <w:p w:rsidR="003B2FC0" w:rsidRDefault="00052A49">
      <w:pPr>
        <w:pStyle w:val="BodyText"/>
        <w:ind w:left="1518" w:right="1536"/>
        <w:jc w:val="both"/>
        <w:rPr>
          <w:rFonts w:ascii="Arial" w:hAnsi="Arial"/>
        </w:rPr>
      </w:pPr>
      <w:r>
        <w:rPr>
          <w:rFonts w:ascii="Arial" w:hAnsi="Arial"/>
          <w:w w:val="33"/>
        </w:rPr>
        <w:t>―</w:t>
      </w:r>
      <w:r>
        <w:rPr>
          <w:rFonts w:ascii="Arial" w:hAnsi="Arial"/>
          <w:b/>
        </w:rPr>
        <w:t>61.</w:t>
      </w:r>
      <w:r>
        <w:rPr>
          <w:rFonts w:ascii="Arial" w:hAnsi="Arial"/>
          <w:b/>
        </w:rPr>
        <w:t xml:space="preserve"> </w:t>
      </w:r>
      <w:r>
        <w:rPr>
          <w:rFonts w:ascii="Arial" w:hAnsi="Arial"/>
        </w:rPr>
        <w:t>There</w:t>
      </w:r>
      <w:r>
        <w:rPr>
          <w:rFonts w:ascii="Arial" w:hAnsi="Arial"/>
        </w:rPr>
        <w:t xml:space="preserve"> </w:t>
      </w:r>
      <w:r>
        <w:rPr>
          <w:rFonts w:ascii="Arial" w:hAnsi="Arial"/>
        </w:rPr>
        <w:t>is</w:t>
      </w:r>
      <w:r>
        <w:rPr>
          <w:rFonts w:ascii="Arial" w:hAnsi="Arial"/>
        </w:rPr>
        <w:t xml:space="preserve"> </w:t>
      </w:r>
      <w:r>
        <w:rPr>
          <w:rFonts w:ascii="Arial" w:hAnsi="Arial"/>
        </w:rPr>
        <w:t>no</w:t>
      </w:r>
      <w:r>
        <w:rPr>
          <w:rFonts w:ascii="Arial" w:hAnsi="Arial"/>
        </w:rPr>
        <w:t xml:space="preserve"> </w:t>
      </w:r>
      <w:r>
        <w:rPr>
          <w:rFonts w:ascii="Arial" w:hAnsi="Arial"/>
        </w:rPr>
        <w:t>need</w:t>
      </w:r>
      <w:r>
        <w:rPr>
          <w:rFonts w:ascii="Arial" w:hAnsi="Arial"/>
        </w:rPr>
        <w:t xml:space="preserve"> </w:t>
      </w:r>
      <w:r>
        <w:rPr>
          <w:rFonts w:ascii="Arial" w:hAnsi="Arial"/>
        </w:rPr>
        <w:t>to</w:t>
      </w:r>
      <w:r>
        <w:rPr>
          <w:rFonts w:ascii="Arial" w:hAnsi="Arial"/>
        </w:rPr>
        <w:t xml:space="preserve"> </w:t>
      </w:r>
      <w:r>
        <w:rPr>
          <w:rFonts w:ascii="Arial" w:hAnsi="Arial"/>
        </w:rPr>
        <w:t>go</w:t>
      </w:r>
      <w:r>
        <w:rPr>
          <w:rFonts w:ascii="Arial" w:hAnsi="Arial"/>
        </w:rPr>
        <w:t xml:space="preserve"> </w:t>
      </w:r>
      <w:r>
        <w:rPr>
          <w:rFonts w:ascii="Arial" w:hAnsi="Arial"/>
        </w:rPr>
        <w:t>into</w:t>
      </w:r>
      <w:r>
        <w:rPr>
          <w:rFonts w:ascii="Arial" w:hAnsi="Arial"/>
        </w:rPr>
        <w:t xml:space="preserve"> </w:t>
      </w:r>
      <w:r>
        <w:rPr>
          <w:rFonts w:ascii="Arial" w:hAnsi="Arial"/>
        </w:rPr>
        <w:t>all</w:t>
      </w:r>
      <w:r>
        <w:rPr>
          <w:rFonts w:ascii="Arial" w:hAnsi="Arial"/>
        </w:rPr>
        <w:t xml:space="preserve"> </w:t>
      </w:r>
      <w:r>
        <w:rPr>
          <w:rFonts w:ascii="Arial" w:hAnsi="Arial"/>
        </w:rPr>
        <w:t>the</w:t>
      </w:r>
      <w:r>
        <w:rPr>
          <w:rFonts w:ascii="Arial" w:hAnsi="Arial"/>
        </w:rPr>
        <w:t xml:space="preserve"> </w:t>
      </w:r>
      <w:r>
        <w:rPr>
          <w:rFonts w:ascii="Arial" w:hAnsi="Arial"/>
        </w:rPr>
        <w:t>case</w:t>
      </w:r>
      <w:r>
        <w:rPr>
          <w:rFonts w:ascii="Arial" w:hAnsi="Arial"/>
        </w:rPr>
        <w:t xml:space="preserve"> </w:t>
      </w:r>
      <w:r>
        <w:rPr>
          <w:rFonts w:ascii="Arial" w:hAnsi="Arial"/>
        </w:rPr>
        <w:t>laws</w:t>
      </w:r>
      <w:r>
        <w:rPr>
          <w:rFonts w:ascii="Arial" w:hAnsi="Arial"/>
        </w:rPr>
        <w:t xml:space="preserve"> </w:t>
      </w:r>
      <w:r>
        <w:rPr>
          <w:rFonts w:ascii="Arial" w:hAnsi="Arial"/>
        </w:rPr>
        <w:t xml:space="preserve">in </w:t>
      </w:r>
      <w:r>
        <w:rPr>
          <w:rFonts w:ascii="Arial" w:hAnsi="Arial"/>
        </w:rPr>
        <w:t>respect of Articles 25 and 26 because by now it is well settled that Article 25(2)(a) and Article 26(b) guaranteeing the right to every religious denomination to manage its own affairs in matters of</w:t>
      </w:r>
    </w:p>
    <w:p w:rsidR="003B2FC0" w:rsidRDefault="003B2FC0">
      <w:pPr>
        <w:jc w:val="both"/>
        <w:sectPr w:rsidR="003B2FC0">
          <w:headerReference w:type="default" r:id="rId278"/>
          <w:footerReference w:type="default" r:id="rId279"/>
          <w:pgSz w:w="12240" w:h="15840"/>
          <w:pgMar w:top="1360" w:right="1320" w:bottom="1680" w:left="1340" w:header="0" w:footer="1492" w:gutter="0"/>
          <w:pgNumType w:start="48"/>
          <w:cols w:space="720"/>
        </w:sectPr>
      </w:pPr>
    </w:p>
    <w:p w:rsidR="003B2FC0" w:rsidRDefault="00052A49">
      <w:pPr>
        <w:pStyle w:val="BodyText"/>
        <w:spacing w:before="77"/>
        <w:ind w:left="1518" w:right="1538"/>
        <w:jc w:val="both"/>
        <w:rPr>
          <w:rFonts w:ascii="Arial"/>
        </w:rPr>
      </w:pPr>
      <w:r>
        <w:rPr>
          <w:rFonts w:ascii="Arial"/>
        </w:rPr>
        <w:t>religion are subject to and can be controlled by a  law contemplated under Article 25(2)(b) as both the Articles are required to be read harmoniously. It is also well established that social reforms or the need for regulations contemplated by Article 25(2)</w:t>
      </w:r>
      <w:r>
        <w:rPr>
          <w:rFonts w:ascii="Arial"/>
        </w:rPr>
        <w:t xml:space="preserve"> cannot obliterate essential religious practices or their performances and what would constitute the essential part of a religion can be ascertained with reference to the doctrine of that religion itself. In support of the aforesaid established proposition</w:t>
      </w:r>
      <w:r>
        <w:rPr>
          <w:rFonts w:ascii="Arial"/>
        </w:rPr>
        <w:t xml:space="preserve">s, the respondents have referred to and relied upon the judgment in </w:t>
      </w:r>
      <w:r>
        <w:rPr>
          <w:rFonts w:ascii="Arial"/>
          <w:i/>
        </w:rPr>
        <w:t xml:space="preserve">Commr., Hindu Religious Endowments </w:t>
      </w:r>
      <w:r>
        <w:rPr>
          <w:rFonts w:ascii="Arial"/>
        </w:rPr>
        <w:t xml:space="preserve">v. </w:t>
      </w:r>
      <w:r>
        <w:rPr>
          <w:rFonts w:ascii="Arial"/>
          <w:i/>
        </w:rPr>
        <w:t xml:space="preserve">Sri Lakshmindra Thirtha Swamiar of Sri Shirur Mutt </w:t>
      </w:r>
      <w:r>
        <w:rPr>
          <w:rFonts w:ascii="Arial"/>
        </w:rPr>
        <w:t>[AIR 1954 SC 282 : 1954 SCR</w:t>
      </w:r>
      <w:r>
        <w:rPr>
          <w:rFonts w:ascii="Arial"/>
          <w:spacing w:val="2"/>
        </w:rPr>
        <w:t xml:space="preserve"> </w:t>
      </w:r>
      <w:r>
        <w:rPr>
          <w:rFonts w:ascii="Arial"/>
        </w:rPr>
        <w:t>1005]</w:t>
      </w:r>
    </w:p>
    <w:p w:rsidR="003B2FC0" w:rsidRDefault="00052A49">
      <w:pPr>
        <w:ind w:left="1518" w:right="1536"/>
        <w:jc w:val="both"/>
        <w:rPr>
          <w:sz w:val="28"/>
        </w:rPr>
      </w:pPr>
      <w:r>
        <w:rPr>
          <w:sz w:val="28"/>
        </w:rPr>
        <w:t xml:space="preserve">and also upon </w:t>
      </w:r>
      <w:r>
        <w:rPr>
          <w:i/>
          <w:sz w:val="28"/>
        </w:rPr>
        <w:t xml:space="preserve">Sri Venkataramana Devaru </w:t>
      </w:r>
      <w:r>
        <w:rPr>
          <w:sz w:val="28"/>
        </w:rPr>
        <w:t xml:space="preserve">v. </w:t>
      </w:r>
      <w:r>
        <w:rPr>
          <w:i/>
          <w:sz w:val="28"/>
        </w:rPr>
        <w:t xml:space="preserve">State of Mysore </w:t>
      </w:r>
      <w:r>
        <w:rPr>
          <w:sz w:val="28"/>
        </w:rPr>
        <w:t>[AIR 1958 SC 255 : 1958 SCR</w:t>
      </w:r>
      <w:r>
        <w:rPr>
          <w:spacing w:val="-19"/>
          <w:sz w:val="28"/>
        </w:rPr>
        <w:t xml:space="preserve"> </w:t>
      </w:r>
      <w:r>
        <w:rPr>
          <w:sz w:val="28"/>
        </w:rPr>
        <w:t>895].‖</w:t>
      </w:r>
    </w:p>
    <w:p w:rsidR="003B2FC0" w:rsidRDefault="003B2FC0">
      <w:pPr>
        <w:rPr>
          <w:sz w:val="30"/>
        </w:rPr>
      </w:pPr>
    </w:p>
    <w:p w:rsidR="003B2FC0" w:rsidRDefault="00052A49">
      <w:pPr>
        <w:pStyle w:val="BodyText"/>
        <w:spacing w:before="177" w:line="480" w:lineRule="auto"/>
        <w:ind w:left="383" w:right="402"/>
        <w:jc w:val="both"/>
        <w:rPr>
          <w:rFonts w:ascii="Arial"/>
        </w:rPr>
      </w:pPr>
      <w:r>
        <w:rPr>
          <w:rFonts w:ascii="Arial"/>
        </w:rPr>
        <w:t>The observation that regulations contemplated by Article 25 cannot obliterate essential religious practices is understandable as regulations are not restrictions. However, social reform legislation, as has been seen abov</w:t>
      </w:r>
      <w:r>
        <w:rPr>
          <w:rFonts w:ascii="Arial"/>
        </w:rPr>
        <w:t>e, may go to the extent of trumping religious practice, if so found on the facts of a given case. Equally, the task of carrying out reform affecting religious belief is left by Article 25(2) in the hands of the State (</w:t>
      </w:r>
      <w:r>
        <w:rPr>
          <w:rFonts w:ascii="Arial"/>
          <w:i/>
        </w:rPr>
        <w:t xml:space="preserve">See </w:t>
      </w:r>
      <w:r>
        <w:rPr>
          <w:rFonts w:ascii="Arial"/>
        </w:rPr>
        <w:t>paragraph 66).</w:t>
      </w:r>
    </w:p>
    <w:p w:rsidR="003B2FC0" w:rsidRDefault="003B2FC0">
      <w:pPr>
        <w:rPr>
          <w:sz w:val="28"/>
        </w:rPr>
      </w:pPr>
    </w:p>
    <w:p w:rsidR="003B2FC0" w:rsidRDefault="00052A49">
      <w:pPr>
        <w:pStyle w:val="Heading1"/>
        <w:numPr>
          <w:ilvl w:val="1"/>
          <w:numId w:val="50"/>
        </w:numPr>
        <w:tabs>
          <w:tab w:val="left" w:pos="1233"/>
          <w:tab w:val="left" w:pos="1234"/>
        </w:tabs>
        <w:spacing w:before="1"/>
        <w:ind w:left="1233" w:hanging="850"/>
        <w:jc w:val="left"/>
      </w:pPr>
      <w:r>
        <w:rPr>
          <w:b w:val="0"/>
        </w:rPr>
        <w:t xml:space="preserve">In </w:t>
      </w:r>
      <w:r>
        <w:rPr>
          <w:spacing w:val="-3"/>
        </w:rPr>
        <w:t xml:space="preserve">Adi </w:t>
      </w:r>
      <w:r>
        <w:t>Saiva Sivac</w:t>
      </w:r>
      <w:r>
        <w:t>hariyargal Nala Sangam and Ors.</w:t>
      </w:r>
      <w:r>
        <w:rPr>
          <w:spacing w:val="2"/>
        </w:rPr>
        <w:t xml:space="preserve"> </w:t>
      </w:r>
      <w:r>
        <w:t>v.</w:t>
      </w:r>
    </w:p>
    <w:p w:rsidR="003B2FC0" w:rsidRDefault="003B2FC0">
      <w:pPr>
        <w:spacing w:before="1"/>
        <w:rPr>
          <w:b/>
          <w:sz w:val="28"/>
        </w:rPr>
      </w:pPr>
    </w:p>
    <w:p w:rsidR="003B2FC0" w:rsidRDefault="00052A49">
      <w:pPr>
        <w:spacing w:line="480" w:lineRule="auto"/>
        <w:ind w:left="383" w:right="407"/>
        <w:jc w:val="both"/>
        <w:rPr>
          <w:sz w:val="28"/>
        </w:rPr>
      </w:pPr>
      <w:r>
        <w:rPr>
          <w:b/>
          <w:sz w:val="28"/>
        </w:rPr>
        <w:t>G</w:t>
      </w:r>
      <w:r>
        <w:rPr>
          <w:b/>
          <w:spacing w:val="-2"/>
          <w:sz w:val="28"/>
        </w:rPr>
        <w:t>o</w:t>
      </w:r>
      <w:r>
        <w:rPr>
          <w:b/>
          <w:spacing w:val="-3"/>
          <w:sz w:val="28"/>
        </w:rPr>
        <w:t>v</w:t>
      </w:r>
      <w:r>
        <w:rPr>
          <w:b/>
          <w:sz w:val="28"/>
        </w:rPr>
        <w:t>er</w:t>
      </w:r>
      <w:r>
        <w:rPr>
          <w:b/>
          <w:spacing w:val="-2"/>
          <w:sz w:val="28"/>
        </w:rPr>
        <w:t>n</w:t>
      </w:r>
      <w:r>
        <w:rPr>
          <w:b/>
          <w:sz w:val="28"/>
        </w:rPr>
        <w:t>me</w:t>
      </w:r>
      <w:r>
        <w:rPr>
          <w:b/>
          <w:spacing w:val="-2"/>
          <w:sz w:val="28"/>
        </w:rPr>
        <w:t>n</w:t>
      </w:r>
      <w:r>
        <w:rPr>
          <w:b/>
          <w:sz w:val="28"/>
        </w:rPr>
        <w:t>t</w:t>
      </w:r>
      <w:r>
        <w:rPr>
          <w:b/>
          <w:sz w:val="28"/>
        </w:rPr>
        <w:t xml:space="preserve">  </w:t>
      </w:r>
      <w:r>
        <w:rPr>
          <w:b/>
          <w:spacing w:val="-2"/>
          <w:sz w:val="28"/>
        </w:rPr>
        <w:t>o</w:t>
      </w:r>
      <w:r>
        <w:rPr>
          <w:b/>
          <w:sz w:val="28"/>
        </w:rPr>
        <w:t>f</w:t>
      </w:r>
      <w:r>
        <w:rPr>
          <w:b/>
          <w:sz w:val="28"/>
        </w:rPr>
        <w:t xml:space="preserve">  </w:t>
      </w:r>
      <w:r>
        <w:rPr>
          <w:b/>
          <w:sz w:val="28"/>
        </w:rPr>
        <w:t>Tam</w:t>
      </w:r>
      <w:r>
        <w:rPr>
          <w:b/>
          <w:spacing w:val="-2"/>
          <w:sz w:val="28"/>
        </w:rPr>
        <w:t>i</w:t>
      </w:r>
      <w:r>
        <w:rPr>
          <w:b/>
          <w:sz w:val="28"/>
        </w:rPr>
        <w:t>l</w:t>
      </w:r>
      <w:r>
        <w:rPr>
          <w:b/>
          <w:sz w:val="28"/>
        </w:rPr>
        <w:t xml:space="preserve">  </w:t>
      </w:r>
      <w:r>
        <w:rPr>
          <w:b/>
          <w:spacing w:val="-2"/>
          <w:sz w:val="28"/>
        </w:rPr>
        <w:t>N</w:t>
      </w:r>
      <w:r>
        <w:rPr>
          <w:b/>
          <w:sz w:val="28"/>
        </w:rPr>
        <w:t>a</w:t>
      </w:r>
      <w:r>
        <w:rPr>
          <w:b/>
          <w:spacing w:val="-2"/>
          <w:sz w:val="28"/>
        </w:rPr>
        <w:t>d</w:t>
      </w:r>
      <w:r>
        <w:rPr>
          <w:b/>
          <w:sz w:val="28"/>
        </w:rPr>
        <w:t>u</w:t>
      </w:r>
      <w:r>
        <w:rPr>
          <w:b/>
          <w:sz w:val="28"/>
        </w:rPr>
        <w:t xml:space="preserve">  </w:t>
      </w:r>
      <w:r>
        <w:rPr>
          <w:b/>
          <w:sz w:val="28"/>
        </w:rPr>
        <w:t>a</w:t>
      </w:r>
      <w:r>
        <w:rPr>
          <w:b/>
          <w:spacing w:val="-2"/>
          <w:sz w:val="28"/>
        </w:rPr>
        <w:t>n</w:t>
      </w:r>
      <w:r>
        <w:rPr>
          <w:b/>
          <w:sz w:val="28"/>
        </w:rPr>
        <w:t>d</w:t>
      </w:r>
      <w:r>
        <w:rPr>
          <w:b/>
          <w:sz w:val="28"/>
        </w:rPr>
        <w:t xml:space="preserve">  </w:t>
      </w:r>
      <w:r>
        <w:rPr>
          <w:b/>
          <w:spacing w:val="-4"/>
          <w:sz w:val="28"/>
        </w:rPr>
        <w:t>A</w:t>
      </w:r>
      <w:r>
        <w:rPr>
          <w:b/>
          <w:spacing w:val="-2"/>
          <w:sz w:val="28"/>
        </w:rPr>
        <w:t>n</w:t>
      </w:r>
      <w:r>
        <w:rPr>
          <w:b/>
          <w:sz w:val="28"/>
        </w:rPr>
        <w:t>r</w:t>
      </w:r>
      <w:r>
        <w:rPr>
          <w:b/>
          <w:spacing w:val="1"/>
          <w:sz w:val="28"/>
        </w:rPr>
        <w:t>.</w:t>
      </w:r>
      <w:r>
        <w:rPr>
          <w:sz w:val="28"/>
        </w:rPr>
        <w:t>,</w:t>
      </w:r>
      <w:r>
        <w:rPr>
          <w:sz w:val="28"/>
        </w:rPr>
        <w:t xml:space="preserve">  </w:t>
      </w:r>
      <w:r>
        <w:rPr>
          <w:sz w:val="28"/>
        </w:rPr>
        <w:t>(2</w:t>
      </w:r>
      <w:r>
        <w:rPr>
          <w:spacing w:val="-3"/>
          <w:sz w:val="28"/>
        </w:rPr>
        <w:t>0</w:t>
      </w:r>
      <w:r>
        <w:rPr>
          <w:sz w:val="28"/>
        </w:rPr>
        <w:t>16)</w:t>
      </w:r>
      <w:r>
        <w:rPr>
          <w:sz w:val="28"/>
        </w:rPr>
        <w:t xml:space="preserve">  </w:t>
      </w:r>
      <w:r>
        <w:rPr>
          <w:sz w:val="28"/>
        </w:rPr>
        <w:t>2</w:t>
      </w:r>
      <w:r>
        <w:rPr>
          <w:sz w:val="28"/>
        </w:rPr>
        <w:t xml:space="preserve">  </w:t>
      </w:r>
      <w:r>
        <w:rPr>
          <w:sz w:val="28"/>
        </w:rPr>
        <w:t>S</w:t>
      </w:r>
      <w:r>
        <w:rPr>
          <w:spacing w:val="-2"/>
          <w:sz w:val="28"/>
        </w:rPr>
        <w:t>C</w:t>
      </w:r>
      <w:r>
        <w:rPr>
          <w:sz w:val="28"/>
        </w:rPr>
        <w:t>C</w:t>
      </w:r>
      <w:r>
        <w:rPr>
          <w:sz w:val="28"/>
        </w:rPr>
        <w:t xml:space="preserve">  </w:t>
      </w:r>
      <w:r>
        <w:rPr>
          <w:sz w:val="28"/>
        </w:rPr>
        <w:t>725,</w:t>
      </w:r>
      <w:r>
        <w:rPr>
          <w:sz w:val="28"/>
        </w:rPr>
        <w:t xml:space="preserve">  </w:t>
      </w:r>
      <w:r>
        <w:rPr>
          <w:w w:val="50"/>
          <w:sz w:val="28"/>
        </w:rPr>
        <w:t>(</w:t>
      </w:r>
      <w:r>
        <w:rPr>
          <w:spacing w:val="2"/>
          <w:w w:val="50"/>
          <w:sz w:val="28"/>
        </w:rPr>
        <w:t>―</w:t>
      </w:r>
      <w:r>
        <w:rPr>
          <w:b/>
          <w:spacing w:val="-6"/>
          <w:sz w:val="28"/>
        </w:rPr>
        <w:t>A</w:t>
      </w:r>
      <w:r>
        <w:rPr>
          <w:b/>
          <w:spacing w:val="-2"/>
          <w:sz w:val="28"/>
        </w:rPr>
        <w:t>d</w:t>
      </w:r>
      <w:r>
        <w:rPr>
          <w:b/>
          <w:sz w:val="28"/>
        </w:rPr>
        <w:t xml:space="preserve">i </w:t>
      </w:r>
      <w:r>
        <w:rPr>
          <w:b/>
          <w:sz w:val="28"/>
        </w:rPr>
        <w:t>Saiva Sivachariyargal Nala Sangam</w:t>
      </w:r>
      <w:r>
        <w:rPr>
          <w:sz w:val="28"/>
        </w:rPr>
        <w:t>‖), this Court was</w:t>
      </w:r>
      <w:r>
        <w:rPr>
          <w:spacing w:val="62"/>
          <w:sz w:val="28"/>
        </w:rPr>
        <w:t xml:space="preserve"> </w:t>
      </w:r>
      <w:r>
        <w:rPr>
          <w:sz w:val="28"/>
        </w:rPr>
        <w:t>concerned</w:t>
      </w:r>
    </w:p>
    <w:p w:rsidR="003B2FC0" w:rsidRDefault="003B2FC0">
      <w:pPr>
        <w:spacing w:line="480" w:lineRule="auto"/>
        <w:jc w:val="both"/>
        <w:rPr>
          <w:sz w:val="28"/>
        </w:rPr>
        <w:sectPr w:rsidR="003B2FC0">
          <w:headerReference w:type="default" r:id="rId280"/>
          <w:footerReference w:type="default" r:id="rId281"/>
          <w:pgSz w:w="12240" w:h="15840"/>
          <w:pgMar w:top="1360" w:right="1320" w:bottom="1680" w:left="1340" w:header="0" w:footer="1492" w:gutter="0"/>
          <w:pgNumType w:start="49"/>
          <w:cols w:space="720"/>
        </w:sectPr>
      </w:pPr>
    </w:p>
    <w:p w:rsidR="003B2FC0" w:rsidRDefault="00052A49">
      <w:pPr>
        <w:pStyle w:val="BodyText"/>
        <w:spacing w:before="77" w:line="480" w:lineRule="auto"/>
        <w:ind w:left="383" w:right="401"/>
        <w:jc w:val="both"/>
        <w:rPr>
          <w:rFonts w:ascii="Arial" w:hAnsi="Arial"/>
        </w:rPr>
      </w:pPr>
      <w:r>
        <w:rPr>
          <w:rFonts w:ascii="Arial" w:hAnsi="Arial"/>
        </w:rPr>
        <w:t xml:space="preserve">with a Government Order issued by the Government of Tamil Nadu, which stated that any person who is a Hindu and possesses the requisite qualification and training, can be appointed as an Archaka in Hindu temples. The Court referred to Article 16(5) of the </w:t>
      </w:r>
      <w:r>
        <w:rPr>
          <w:rFonts w:ascii="Arial" w:hAnsi="Arial"/>
        </w:rPr>
        <w:t>Constitution, stating that the exception carved out of the equality principle would cover an office of the temple, which also requires performance of religious functions. Therefore, an Archaka may, by law, be a person professing a particular religion or be</w:t>
      </w:r>
      <w:r>
        <w:rPr>
          <w:rFonts w:ascii="Arial" w:hAnsi="Arial"/>
        </w:rPr>
        <w:t>longing to a particular denomination. The Court went on to hold that although what constitutes essential religious practice must be decided with reference to what the religious community itself says, yet, the ultimate constitutional arbiter of what constit</w:t>
      </w:r>
      <w:r>
        <w:rPr>
          <w:rFonts w:ascii="Arial" w:hAnsi="Arial"/>
        </w:rPr>
        <w:t xml:space="preserve">utes essential religious practice must be the Court, which is a matter of constitutional necessity. The Court went on to state that constitutional legitimacy, as decided by the Courts, must supersede all religious beliefs and practices, and clarified </w:t>
      </w:r>
      <w:r>
        <w:rPr>
          <w:rFonts w:ascii="Arial" w:hAnsi="Arial"/>
        </w:rPr>
        <w:t>t</w:t>
      </w:r>
      <w:r>
        <w:rPr>
          <w:rFonts w:ascii="Arial" w:hAnsi="Arial"/>
          <w:spacing w:val="-1"/>
        </w:rPr>
        <w:t>ha</w:t>
      </w:r>
      <w:r>
        <w:rPr>
          <w:rFonts w:ascii="Arial" w:hAnsi="Arial"/>
        </w:rPr>
        <w:t>t</w:t>
      </w:r>
      <w:r>
        <w:rPr>
          <w:rFonts w:ascii="Arial" w:hAnsi="Arial"/>
          <w:spacing w:val="4"/>
        </w:rPr>
        <w:t xml:space="preserve"> </w:t>
      </w:r>
      <w:r>
        <w:rPr>
          <w:rFonts w:ascii="Arial" w:hAnsi="Arial"/>
          <w:spacing w:val="-3"/>
          <w:w w:val="33"/>
        </w:rPr>
        <w:t>―</w:t>
      </w:r>
      <w:r>
        <w:rPr>
          <w:rFonts w:ascii="Arial" w:hAnsi="Arial"/>
        </w:rPr>
        <w:t>c</w:t>
      </w:r>
      <w:r>
        <w:rPr>
          <w:rFonts w:ascii="Arial" w:hAnsi="Arial"/>
          <w:spacing w:val="-1"/>
        </w:rPr>
        <w:t>o</w:t>
      </w:r>
      <w:r>
        <w:rPr>
          <w:rFonts w:ascii="Arial" w:hAnsi="Arial"/>
          <w:spacing w:val="-2"/>
        </w:rPr>
        <w:t>m</w:t>
      </w:r>
      <w:r>
        <w:rPr>
          <w:rFonts w:ascii="Arial" w:hAnsi="Arial"/>
          <w:spacing w:val="-1"/>
        </w:rPr>
        <w:t>pl</w:t>
      </w:r>
      <w:r>
        <w:rPr>
          <w:rFonts w:ascii="Arial" w:hAnsi="Arial"/>
          <w:spacing w:val="-3"/>
        </w:rPr>
        <w:t>e</w:t>
      </w:r>
      <w:r>
        <w:rPr>
          <w:rFonts w:ascii="Arial" w:hAnsi="Arial"/>
        </w:rPr>
        <w:t>te</w:t>
      </w:r>
      <w:r>
        <w:rPr>
          <w:rFonts w:ascii="Arial" w:hAnsi="Arial"/>
          <w:spacing w:val="3"/>
        </w:rPr>
        <w:t xml:space="preserve"> </w:t>
      </w:r>
      <w:r>
        <w:rPr>
          <w:rFonts w:ascii="Arial" w:hAnsi="Arial"/>
          <w:spacing w:val="-1"/>
        </w:rPr>
        <w:t>au</w:t>
      </w:r>
      <w:r>
        <w:rPr>
          <w:rFonts w:ascii="Arial" w:hAnsi="Arial"/>
        </w:rPr>
        <w:t>t</w:t>
      </w:r>
      <w:r>
        <w:rPr>
          <w:rFonts w:ascii="Arial" w:hAnsi="Arial"/>
          <w:spacing w:val="-3"/>
        </w:rPr>
        <w:t>o</w:t>
      </w:r>
      <w:r>
        <w:rPr>
          <w:rFonts w:ascii="Arial" w:hAnsi="Arial"/>
          <w:spacing w:val="-1"/>
        </w:rPr>
        <w:t>no</w:t>
      </w:r>
      <w:r>
        <w:rPr>
          <w:rFonts w:ascii="Arial" w:hAnsi="Arial"/>
          <w:spacing w:val="-2"/>
        </w:rPr>
        <w:t>m</w:t>
      </w:r>
      <w:r>
        <w:rPr>
          <w:rFonts w:ascii="Arial" w:hAnsi="Arial"/>
          <w:spacing w:val="-4"/>
        </w:rPr>
        <w:t>y</w:t>
      </w:r>
      <w:r>
        <w:rPr>
          <w:rFonts w:ascii="Arial" w:hAnsi="Arial"/>
          <w:w w:val="88"/>
        </w:rPr>
        <w:t>‖,</w:t>
      </w:r>
      <w:r>
        <w:rPr>
          <w:rFonts w:ascii="Arial" w:hAnsi="Arial"/>
          <w:spacing w:val="4"/>
        </w:rPr>
        <w:t xml:space="preserve"> </w:t>
      </w:r>
      <w:r>
        <w:rPr>
          <w:rFonts w:ascii="Arial" w:hAnsi="Arial"/>
          <w:spacing w:val="-1"/>
        </w:rPr>
        <w:t>a</w:t>
      </w:r>
      <w:r>
        <w:rPr>
          <w:rFonts w:ascii="Arial" w:hAnsi="Arial"/>
        </w:rPr>
        <w:t>s</w:t>
      </w:r>
      <w:r>
        <w:rPr>
          <w:rFonts w:ascii="Arial" w:hAnsi="Arial"/>
          <w:spacing w:val="4"/>
        </w:rPr>
        <w:t xml:space="preserve"> </w:t>
      </w:r>
      <w:r>
        <w:rPr>
          <w:rFonts w:ascii="Arial" w:hAnsi="Arial"/>
        </w:rPr>
        <w:t>c</w:t>
      </w:r>
      <w:r>
        <w:rPr>
          <w:rFonts w:ascii="Arial" w:hAnsi="Arial"/>
          <w:spacing w:val="-1"/>
        </w:rPr>
        <w:t>on</w:t>
      </w:r>
      <w:r>
        <w:rPr>
          <w:rFonts w:ascii="Arial" w:hAnsi="Arial"/>
        </w:rPr>
        <w:t>t</w:t>
      </w:r>
      <w:r>
        <w:rPr>
          <w:rFonts w:ascii="Arial" w:hAnsi="Arial"/>
          <w:spacing w:val="-1"/>
        </w:rPr>
        <w:t>e</w:t>
      </w:r>
      <w:r>
        <w:rPr>
          <w:rFonts w:ascii="Arial" w:hAnsi="Arial"/>
          <w:spacing w:val="-2"/>
        </w:rPr>
        <w:t>m</w:t>
      </w:r>
      <w:r>
        <w:rPr>
          <w:rFonts w:ascii="Arial" w:hAnsi="Arial"/>
          <w:spacing w:val="-1"/>
        </w:rPr>
        <w:t>p</w:t>
      </w:r>
      <w:r>
        <w:rPr>
          <w:rFonts w:ascii="Arial" w:hAnsi="Arial"/>
          <w:spacing w:val="-3"/>
        </w:rPr>
        <w:t>l</w:t>
      </w:r>
      <w:r>
        <w:rPr>
          <w:rFonts w:ascii="Arial" w:hAnsi="Arial"/>
          <w:spacing w:val="-1"/>
        </w:rPr>
        <w:t>a</w:t>
      </w:r>
      <w:r>
        <w:rPr>
          <w:rFonts w:ascii="Arial" w:hAnsi="Arial"/>
        </w:rPr>
        <w:t>t</w:t>
      </w:r>
      <w:r>
        <w:rPr>
          <w:rFonts w:ascii="Arial" w:hAnsi="Arial"/>
          <w:spacing w:val="-1"/>
        </w:rPr>
        <w:t>e</w:t>
      </w:r>
      <w:r>
        <w:rPr>
          <w:rFonts w:ascii="Arial" w:hAnsi="Arial"/>
        </w:rPr>
        <w:t>d</w:t>
      </w:r>
      <w:r>
        <w:rPr>
          <w:rFonts w:ascii="Arial" w:hAnsi="Arial"/>
          <w:spacing w:val="3"/>
        </w:rPr>
        <w:t xml:space="preserve"> </w:t>
      </w:r>
      <w:r>
        <w:rPr>
          <w:rFonts w:ascii="Arial" w:hAnsi="Arial"/>
          <w:spacing w:val="-1"/>
        </w:rPr>
        <w:t>b</w:t>
      </w:r>
      <w:r>
        <w:rPr>
          <w:rFonts w:ascii="Arial" w:hAnsi="Arial"/>
        </w:rPr>
        <w:t>y</w:t>
      </w:r>
      <w:r>
        <w:rPr>
          <w:rFonts w:ascii="Arial" w:hAnsi="Arial"/>
          <w:spacing w:val="5"/>
        </w:rPr>
        <w:t xml:space="preserve"> </w:t>
      </w:r>
      <w:r>
        <w:rPr>
          <w:rFonts w:ascii="Arial" w:hAnsi="Arial"/>
          <w:b/>
        </w:rPr>
        <w:t>S</w:t>
      </w:r>
      <w:r>
        <w:rPr>
          <w:rFonts w:ascii="Arial" w:hAnsi="Arial"/>
          <w:b/>
          <w:spacing w:val="-2"/>
        </w:rPr>
        <w:t>h</w:t>
      </w:r>
      <w:r>
        <w:rPr>
          <w:rFonts w:ascii="Arial" w:hAnsi="Arial"/>
          <w:b/>
        </w:rPr>
        <w:t>ir</w:t>
      </w:r>
      <w:r>
        <w:rPr>
          <w:rFonts w:ascii="Arial" w:hAnsi="Arial"/>
          <w:b/>
          <w:spacing w:val="-2"/>
        </w:rPr>
        <w:t>u</w:t>
      </w:r>
      <w:r>
        <w:rPr>
          <w:rFonts w:ascii="Arial" w:hAnsi="Arial"/>
          <w:b/>
        </w:rPr>
        <w:t>r</w:t>
      </w:r>
      <w:r>
        <w:rPr>
          <w:rFonts w:ascii="Arial" w:hAnsi="Arial"/>
          <w:b/>
          <w:spacing w:val="1"/>
        </w:rPr>
        <w:t xml:space="preserve"> </w:t>
      </w:r>
      <w:r>
        <w:rPr>
          <w:rFonts w:ascii="Arial" w:hAnsi="Arial"/>
          <w:b/>
          <w:spacing w:val="3"/>
        </w:rPr>
        <w:t>M</w:t>
      </w:r>
      <w:r>
        <w:rPr>
          <w:rFonts w:ascii="Arial" w:hAnsi="Arial"/>
          <w:b/>
        </w:rPr>
        <w:t>a</w:t>
      </w:r>
      <w:r>
        <w:rPr>
          <w:rFonts w:ascii="Arial" w:hAnsi="Arial"/>
          <w:b/>
          <w:spacing w:val="-3"/>
        </w:rPr>
        <w:t>t</w:t>
      </w:r>
      <w:r>
        <w:rPr>
          <w:rFonts w:ascii="Arial" w:hAnsi="Arial"/>
          <w:b/>
        </w:rPr>
        <w:t>h</w:t>
      </w:r>
      <w:r>
        <w:rPr>
          <w:rFonts w:ascii="Arial" w:hAnsi="Arial"/>
          <w:b/>
          <w:spacing w:val="4"/>
        </w:rPr>
        <w:t xml:space="preserve"> </w:t>
      </w:r>
      <w:r>
        <w:rPr>
          <w:rFonts w:ascii="Arial" w:hAnsi="Arial"/>
        </w:rPr>
        <w:t>(</w:t>
      </w:r>
      <w:r>
        <w:rPr>
          <w:rFonts w:ascii="Arial" w:hAnsi="Arial"/>
          <w:spacing w:val="1"/>
        </w:rPr>
        <w:t>s</w:t>
      </w:r>
      <w:r>
        <w:rPr>
          <w:rFonts w:ascii="Arial" w:hAnsi="Arial"/>
        </w:rPr>
        <w:t>upra),</w:t>
      </w:r>
      <w:r>
        <w:rPr>
          <w:rFonts w:ascii="Arial" w:hAnsi="Arial"/>
          <w:spacing w:val="4"/>
        </w:rPr>
        <w:t xml:space="preserve"> </w:t>
      </w:r>
      <w:r>
        <w:rPr>
          <w:rFonts w:ascii="Arial" w:hAnsi="Arial"/>
          <w:spacing w:val="-3"/>
        </w:rPr>
        <w:t>o</w:t>
      </w:r>
      <w:r>
        <w:rPr>
          <w:rFonts w:ascii="Arial" w:hAnsi="Arial"/>
        </w:rPr>
        <w:t xml:space="preserve">f </w:t>
      </w:r>
      <w:r>
        <w:rPr>
          <w:rFonts w:ascii="Arial" w:hAnsi="Arial"/>
        </w:rPr>
        <w:t>a denomination to decide what constitutes essential religious practice must be viewed in the context of the limited role of the State in matters relating</w:t>
      </w:r>
      <w:r>
        <w:rPr>
          <w:rFonts w:ascii="Arial" w:hAnsi="Arial"/>
          <w:spacing w:val="8"/>
        </w:rPr>
        <w:t xml:space="preserve"> </w:t>
      </w:r>
      <w:r>
        <w:rPr>
          <w:rFonts w:ascii="Arial" w:hAnsi="Arial"/>
        </w:rPr>
        <w:t>to</w:t>
      </w:r>
      <w:r>
        <w:rPr>
          <w:rFonts w:ascii="Arial" w:hAnsi="Arial"/>
          <w:spacing w:val="11"/>
        </w:rPr>
        <w:t xml:space="preserve"> </w:t>
      </w:r>
      <w:r>
        <w:rPr>
          <w:rFonts w:ascii="Arial" w:hAnsi="Arial"/>
        </w:rPr>
        <w:t>religious</w:t>
      </w:r>
      <w:r>
        <w:rPr>
          <w:rFonts w:ascii="Arial" w:hAnsi="Arial"/>
          <w:spacing w:val="10"/>
        </w:rPr>
        <w:t xml:space="preserve"> </w:t>
      </w:r>
      <w:r>
        <w:rPr>
          <w:rFonts w:ascii="Arial" w:hAnsi="Arial"/>
        </w:rPr>
        <w:t>freedom</w:t>
      </w:r>
      <w:r>
        <w:rPr>
          <w:rFonts w:ascii="Arial" w:hAnsi="Arial"/>
          <w:spacing w:val="10"/>
        </w:rPr>
        <w:t xml:space="preserve"> </w:t>
      </w:r>
      <w:r>
        <w:rPr>
          <w:rFonts w:ascii="Arial" w:hAnsi="Arial"/>
        </w:rPr>
        <w:t>as</w:t>
      </w:r>
      <w:r>
        <w:rPr>
          <w:rFonts w:ascii="Arial" w:hAnsi="Arial"/>
          <w:spacing w:val="12"/>
        </w:rPr>
        <w:t xml:space="preserve"> </w:t>
      </w:r>
      <w:r>
        <w:rPr>
          <w:rFonts w:ascii="Arial" w:hAnsi="Arial"/>
        </w:rPr>
        <w:t>envisaged</w:t>
      </w:r>
      <w:r>
        <w:rPr>
          <w:rFonts w:ascii="Arial" w:hAnsi="Arial"/>
          <w:spacing w:val="11"/>
        </w:rPr>
        <w:t xml:space="preserve"> </w:t>
      </w:r>
      <w:r>
        <w:rPr>
          <w:rFonts w:ascii="Arial" w:hAnsi="Arial"/>
        </w:rPr>
        <w:t>by</w:t>
      </w:r>
      <w:r>
        <w:rPr>
          <w:rFonts w:ascii="Arial" w:hAnsi="Arial"/>
          <w:spacing w:val="8"/>
        </w:rPr>
        <w:t xml:space="preserve"> </w:t>
      </w:r>
      <w:r>
        <w:rPr>
          <w:rFonts w:ascii="Arial" w:hAnsi="Arial"/>
        </w:rPr>
        <w:t>Articles</w:t>
      </w:r>
      <w:r>
        <w:rPr>
          <w:rFonts w:ascii="Arial" w:hAnsi="Arial"/>
          <w:spacing w:val="9"/>
        </w:rPr>
        <w:t xml:space="preserve"> </w:t>
      </w:r>
      <w:r>
        <w:rPr>
          <w:rFonts w:ascii="Arial" w:hAnsi="Arial"/>
        </w:rPr>
        <w:t>25</w:t>
      </w:r>
      <w:r>
        <w:rPr>
          <w:rFonts w:ascii="Arial" w:hAnsi="Arial"/>
          <w:spacing w:val="9"/>
        </w:rPr>
        <w:t xml:space="preserve"> </w:t>
      </w:r>
      <w:r>
        <w:rPr>
          <w:rFonts w:ascii="Arial" w:hAnsi="Arial"/>
        </w:rPr>
        <w:t>and</w:t>
      </w:r>
      <w:r>
        <w:rPr>
          <w:rFonts w:ascii="Arial" w:hAnsi="Arial"/>
          <w:spacing w:val="11"/>
        </w:rPr>
        <w:t xml:space="preserve"> </w:t>
      </w:r>
      <w:r>
        <w:rPr>
          <w:rFonts w:ascii="Arial" w:hAnsi="Arial"/>
        </w:rPr>
        <w:t>26</w:t>
      </w:r>
      <w:r>
        <w:rPr>
          <w:rFonts w:ascii="Arial" w:hAnsi="Arial"/>
          <w:spacing w:val="11"/>
        </w:rPr>
        <w:t xml:space="preserve"> </w:t>
      </w:r>
      <w:r>
        <w:rPr>
          <w:rFonts w:ascii="Arial" w:hAnsi="Arial"/>
        </w:rPr>
        <w:t>of</w:t>
      </w:r>
      <w:r>
        <w:rPr>
          <w:rFonts w:ascii="Arial" w:hAnsi="Arial"/>
          <w:spacing w:val="10"/>
        </w:rPr>
        <w:t xml:space="preserve"> </w:t>
      </w:r>
      <w:r>
        <w:rPr>
          <w:rFonts w:ascii="Arial" w:hAnsi="Arial"/>
        </w:rPr>
        <w:t>the</w:t>
      </w:r>
    </w:p>
    <w:p w:rsidR="003B2FC0" w:rsidRDefault="003B2FC0">
      <w:pPr>
        <w:spacing w:line="480" w:lineRule="auto"/>
        <w:jc w:val="both"/>
        <w:sectPr w:rsidR="003B2FC0">
          <w:headerReference w:type="default" r:id="rId282"/>
          <w:footerReference w:type="default" r:id="rId283"/>
          <w:pgSz w:w="12240" w:h="15840"/>
          <w:pgMar w:top="1360" w:right="1320" w:bottom="1680" w:left="1340" w:header="0" w:footer="1492" w:gutter="0"/>
          <w:pgNumType w:start="50"/>
          <w:cols w:space="720"/>
        </w:sectPr>
      </w:pPr>
    </w:p>
    <w:p w:rsidR="003B2FC0" w:rsidRDefault="00052A49">
      <w:pPr>
        <w:pStyle w:val="BodyText"/>
        <w:spacing w:before="77" w:line="480" w:lineRule="auto"/>
        <w:ind w:left="383" w:right="768"/>
        <w:rPr>
          <w:rFonts w:ascii="Arial"/>
        </w:rPr>
      </w:pPr>
      <w:r>
        <w:rPr>
          <w:rFonts w:ascii="Arial"/>
        </w:rPr>
        <w:t>Constitution, and not of Courts as the arbiter of constitutional rights and</w:t>
      </w:r>
      <w:r>
        <w:rPr>
          <w:rFonts w:ascii="Arial"/>
          <w:spacing w:val="-1"/>
        </w:rPr>
        <w:t xml:space="preserve"> </w:t>
      </w:r>
      <w:r>
        <w:rPr>
          <w:rFonts w:ascii="Arial"/>
        </w:rPr>
        <w:t>principles.</w:t>
      </w:r>
    </w:p>
    <w:p w:rsidR="003B2FC0" w:rsidRDefault="003B2FC0">
      <w:pPr>
        <w:rPr>
          <w:sz w:val="28"/>
        </w:rPr>
      </w:pPr>
    </w:p>
    <w:p w:rsidR="003B2FC0" w:rsidRDefault="00052A49">
      <w:pPr>
        <w:pStyle w:val="ListParagraph"/>
        <w:numPr>
          <w:ilvl w:val="1"/>
          <w:numId w:val="50"/>
        </w:numPr>
        <w:tabs>
          <w:tab w:val="left" w:pos="1233"/>
          <w:tab w:val="left" w:pos="1234"/>
          <w:tab w:val="left" w:pos="8357"/>
        </w:tabs>
        <w:spacing w:line="480" w:lineRule="auto"/>
        <w:ind w:left="383" w:right="401" w:firstLine="0"/>
        <w:jc w:val="left"/>
        <w:rPr>
          <w:sz w:val="28"/>
        </w:rPr>
      </w:pPr>
      <w:r>
        <w:rPr>
          <w:sz w:val="28"/>
        </w:rPr>
        <w:t xml:space="preserve">A </w:t>
      </w:r>
      <w:r>
        <w:rPr>
          <w:spacing w:val="36"/>
          <w:sz w:val="28"/>
        </w:rPr>
        <w:t xml:space="preserve"> </w:t>
      </w:r>
      <w:r>
        <w:rPr>
          <w:sz w:val="28"/>
        </w:rPr>
        <w:t xml:space="preserve">conspectus </w:t>
      </w:r>
      <w:r>
        <w:rPr>
          <w:spacing w:val="36"/>
          <w:sz w:val="28"/>
        </w:rPr>
        <w:t xml:space="preserve"> </w:t>
      </w:r>
      <w:r>
        <w:rPr>
          <w:sz w:val="28"/>
        </w:rPr>
        <w:t xml:space="preserve">of </w:t>
      </w:r>
      <w:r>
        <w:rPr>
          <w:spacing w:val="37"/>
          <w:sz w:val="28"/>
        </w:rPr>
        <w:t xml:space="preserve"> </w:t>
      </w:r>
      <w:r>
        <w:rPr>
          <w:sz w:val="28"/>
        </w:rPr>
        <w:t xml:space="preserve">these </w:t>
      </w:r>
      <w:r>
        <w:rPr>
          <w:spacing w:val="36"/>
          <w:sz w:val="28"/>
        </w:rPr>
        <w:t xml:space="preserve"> </w:t>
      </w:r>
      <w:r>
        <w:rPr>
          <w:sz w:val="28"/>
        </w:rPr>
        <w:t xml:space="preserve">judgments, </w:t>
      </w:r>
      <w:r>
        <w:rPr>
          <w:spacing w:val="35"/>
          <w:sz w:val="28"/>
        </w:rPr>
        <w:t xml:space="preserve"> </w:t>
      </w:r>
      <w:r>
        <w:rPr>
          <w:sz w:val="28"/>
        </w:rPr>
        <w:t xml:space="preserve">therefore, </w:t>
      </w:r>
      <w:r>
        <w:rPr>
          <w:spacing w:val="37"/>
          <w:sz w:val="28"/>
        </w:rPr>
        <w:t xml:space="preserve"> </w:t>
      </w:r>
      <w:r>
        <w:rPr>
          <w:sz w:val="28"/>
        </w:rPr>
        <w:t>leads</w:t>
      </w:r>
      <w:r>
        <w:rPr>
          <w:sz w:val="28"/>
        </w:rPr>
        <w:tab/>
        <w:t xml:space="preserve">to </w:t>
      </w:r>
      <w:r>
        <w:rPr>
          <w:spacing w:val="-5"/>
          <w:sz w:val="28"/>
        </w:rPr>
        <w:t xml:space="preserve">the </w:t>
      </w:r>
      <w:r>
        <w:rPr>
          <w:sz w:val="28"/>
        </w:rPr>
        <w:t>following</w:t>
      </w:r>
      <w:r>
        <w:rPr>
          <w:spacing w:val="-1"/>
          <w:sz w:val="28"/>
        </w:rPr>
        <w:t xml:space="preserve"> </w:t>
      </w:r>
      <w:r>
        <w:rPr>
          <w:sz w:val="28"/>
        </w:rPr>
        <w:t>propositions:</w:t>
      </w:r>
    </w:p>
    <w:p w:rsidR="003B2FC0" w:rsidRDefault="00052A49">
      <w:pPr>
        <w:pStyle w:val="ListParagraph"/>
        <w:numPr>
          <w:ilvl w:val="2"/>
          <w:numId w:val="50"/>
        </w:numPr>
        <w:tabs>
          <w:tab w:val="left" w:pos="1233"/>
          <w:tab w:val="left" w:pos="1234"/>
        </w:tabs>
        <w:spacing w:before="200" w:line="480" w:lineRule="auto"/>
        <w:ind w:right="408"/>
        <w:rPr>
          <w:sz w:val="28"/>
        </w:rPr>
      </w:pPr>
      <w:r>
        <w:rPr>
          <w:sz w:val="28"/>
        </w:rPr>
        <w:t>Article 25 recognises a fundamental right in favour of ―all persons‖ which has reference to natural</w:t>
      </w:r>
      <w:r>
        <w:rPr>
          <w:spacing w:val="-12"/>
          <w:sz w:val="28"/>
        </w:rPr>
        <w:t xml:space="preserve"> </w:t>
      </w:r>
      <w:r>
        <w:rPr>
          <w:sz w:val="28"/>
        </w:rPr>
        <w:t>persons.</w:t>
      </w:r>
    </w:p>
    <w:p w:rsidR="003B2FC0" w:rsidRDefault="00052A49">
      <w:pPr>
        <w:pStyle w:val="ListParagraph"/>
        <w:numPr>
          <w:ilvl w:val="2"/>
          <w:numId w:val="50"/>
        </w:numPr>
        <w:tabs>
          <w:tab w:val="left" w:pos="1233"/>
          <w:tab w:val="left" w:pos="1234"/>
        </w:tabs>
        <w:spacing w:before="201"/>
        <w:ind w:left="1233"/>
        <w:rPr>
          <w:sz w:val="28"/>
        </w:rPr>
      </w:pPr>
      <w:r>
        <w:rPr>
          <w:sz w:val="28"/>
        </w:rPr>
        <w:t xml:space="preserve">This fundamental right </w:t>
      </w:r>
      <w:r>
        <w:rPr>
          <w:sz w:val="28"/>
          <w:u w:val="thick"/>
        </w:rPr>
        <w:t>equally entitles</w:t>
      </w:r>
      <w:r>
        <w:rPr>
          <w:sz w:val="28"/>
        </w:rPr>
        <w:t xml:space="preserve"> all such persons to</w:t>
      </w:r>
      <w:r>
        <w:rPr>
          <w:spacing w:val="35"/>
          <w:sz w:val="28"/>
        </w:rPr>
        <w:t xml:space="preserve"> </w:t>
      </w:r>
      <w:r>
        <w:rPr>
          <w:sz w:val="28"/>
        </w:rPr>
        <w:t>the</w:t>
      </w:r>
    </w:p>
    <w:p w:rsidR="003B2FC0" w:rsidRDefault="003B2FC0">
      <w:pPr>
        <w:rPr>
          <w:sz w:val="20"/>
        </w:rPr>
      </w:pPr>
    </w:p>
    <w:p w:rsidR="003B2FC0" w:rsidRDefault="00052A49">
      <w:pPr>
        <w:pStyle w:val="BodyText"/>
        <w:spacing w:before="91" w:line="480" w:lineRule="auto"/>
        <w:ind w:left="383" w:right="403"/>
        <w:jc w:val="both"/>
        <w:rPr>
          <w:rFonts w:ascii="Arial"/>
        </w:rPr>
      </w:pPr>
      <w:r>
        <w:rPr>
          <w:rFonts w:ascii="Arial"/>
        </w:rPr>
        <w:t>said fundamental right. Every member of a religious community has a right to practice the religion so long as he does not, in any way, interfere with the corresponding right of his co-religionists to do the same.</w:t>
      </w:r>
    </w:p>
    <w:p w:rsidR="003B2FC0" w:rsidRDefault="00052A49">
      <w:pPr>
        <w:pStyle w:val="ListParagraph"/>
        <w:numPr>
          <w:ilvl w:val="2"/>
          <w:numId w:val="50"/>
        </w:numPr>
        <w:tabs>
          <w:tab w:val="left" w:pos="1234"/>
        </w:tabs>
        <w:spacing w:before="202" w:line="480" w:lineRule="auto"/>
        <w:ind w:right="402"/>
        <w:rPr>
          <w:sz w:val="28"/>
        </w:rPr>
      </w:pPr>
      <w:r>
        <w:rPr>
          <w:sz w:val="28"/>
        </w:rPr>
        <w:t>The content of the fundamental right is the</w:t>
      </w:r>
      <w:r>
        <w:rPr>
          <w:sz w:val="28"/>
        </w:rPr>
        <w:t xml:space="preserve"> fleshing out of what is stated in the Preamble to the Constitution as ―liberty of thought, belief, faith and worship‖. Thus, all persons are entitled to freedom of conscience and the right to freely profess, practice, and propagate religion.</w:t>
      </w:r>
    </w:p>
    <w:p w:rsidR="003B2FC0" w:rsidRDefault="00052A49">
      <w:pPr>
        <w:pStyle w:val="ListParagraph"/>
        <w:numPr>
          <w:ilvl w:val="2"/>
          <w:numId w:val="50"/>
        </w:numPr>
        <w:tabs>
          <w:tab w:val="left" w:pos="1234"/>
        </w:tabs>
        <w:spacing w:before="198" w:line="482" w:lineRule="auto"/>
        <w:ind w:right="409"/>
        <w:rPr>
          <w:sz w:val="28"/>
        </w:rPr>
      </w:pPr>
      <w:r>
        <w:rPr>
          <w:sz w:val="28"/>
        </w:rPr>
        <w:t xml:space="preserve">The right to </w:t>
      </w:r>
      <w:r>
        <w:rPr>
          <w:sz w:val="28"/>
        </w:rPr>
        <w:t>profess, practice, and propagate religion will include all acts done in furtherance of thought, belief, faith, and</w:t>
      </w:r>
      <w:r>
        <w:rPr>
          <w:spacing w:val="-16"/>
          <w:sz w:val="28"/>
        </w:rPr>
        <w:t xml:space="preserve"> </w:t>
      </w:r>
      <w:r>
        <w:rPr>
          <w:sz w:val="28"/>
        </w:rPr>
        <w:t>worship.</w:t>
      </w:r>
    </w:p>
    <w:p w:rsidR="003B2FC0" w:rsidRDefault="003B2FC0">
      <w:pPr>
        <w:spacing w:line="482" w:lineRule="auto"/>
        <w:jc w:val="both"/>
        <w:rPr>
          <w:sz w:val="28"/>
        </w:rPr>
        <w:sectPr w:rsidR="003B2FC0">
          <w:headerReference w:type="default" r:id="rId284"/>
          <w:footerReference w:type="default" r:id="rId285"/>
          <w:pgSz w:w="12240" w:h="15840"/>
          <w:pgMar w:top="1360" w:right="1320" w:bottom="1680" w:left="1340" w:header="0" w:footer="1492" w:gutter="0"/>
          <w:pgNumType w:start="51"/>
          <w:cols w:space="720"/>
        </w:sectPr>
      </w:pPr>
    </w:p>
    <w:p w:rsidR="003B2FC0" w:rsidRDefault="00052A49">
      <w:pPr>
        <w:pStyle w:val="ListParagraph"/>
        <w:numPr>
          <w:ilvl w:val="2"/>
          <w:numId w:val="50"/>
        </w:numPr>
        <w:tabs>
          <w:tab w:val="left" w:pos="1233"/>
          <w:tab w:val="left" w:pos="1234"/>
        </w:tabs>
        <w:spacing w:before="77"/>
        <w:ind w:left="1233"/>
        <w:rPr>
          <w:sz w:val="28"/>
        </w:rPr>
      </w:pPr>
      <w:r>
        <w:rPr>
          <w:sz w:val="28"/>
        </w:rPr>
        <w:t>The content of the right concerns itself with the word</w:t>
      </w:r>
      <w:r>
        <w:rPr>
          <w:spacing w:val="44"/>
          <w:sz w:val="28"/>
        </w:rPr>
        <w:t xml:space="preserve"> </w:t>
      </w:r>
      <w:r>
        <w:rPr>
          <w:sz w:val="28"/>
        </w:rPr>
        <w:t>―religion‖.</w:t>
      </w:r>
    </w:p>
    <w:p w:rsidR="003B2FC0" w:rsidRDefault="003B2FC0">
      <w:pPr>
        <w:spacing w:before="10"/>
        <w:rPr>
          <w:sz w:val="27"/>
        </w:rPr>
      </w:pPr>
    </w:p>
    <w:p w:rsidR="003B2FC0" w:rsidRDefault="00052A49">
      <w:pPr>
        <w:pStyle w:val="BodyText"/>
        <w:spacing w:line="480" w:lineRule="auto"/>
        <w:ind w:left="383" w:right="408"/>
        <w:jc w:val="both"/>
        <w:rPr>
          <w:rFonts w:ascii="Arial" w:hAnsi="Arial"/>
        </w:rPr>
      </w:pPr>
      <w:r>
        <w:rPr>
          <w:rFonts w:ascii="Arial" w:hAnsi="Arial"/>
        </w:rPr>
        <w:t>―Religion‖</w:t>
      </w:r>
      <w:r>
        <w:rPr>
          <w:rFonts w:ascii="Arial" w:hAnsi="Arial"/>
          <w:spacing w:val="-11"/>
        </w:rPr>
        <w:t xml:space="preserve"> </w:t>
      </w:r>
      <w:r>
        <w:rPr>
          <w:rFonts w:ascii="Arial" w:hAnsi="Arial"/>
        </w:rPr>
        <w:t>in</w:t>
      </w:r>
      <w:r>
        <w:rPr>
          <w:rFonts w:ascii="Arial" w:hAnsi="Arial"/>
          <w:spacing w:val="-12"/>
        </w:rPr>
        <w:t xml:space="preserve"> </w:t>
      </w:r>
      <w:r>
        <w:rPr>
          <w:rFonts w:ascii="Arial" w:hAnsi="Arial"/>
        </w:rPr>
        <w:t>this</w:t>
      </w:r>
      <w:r>
        <w:rPr>
          <w:rFonts w:ascii="Arial" w:hAnsi="Arial"/>
          <w:spacing w:val="-12"/>
        </w:rPr>
        <w:t xml:space="preserve"> </w:t>
      </w:r>
      <w:r>
        <w:rPr>
          <w:rFonts w:ascii="Arial" w:hAnsi="Arial"/>
        </w:rPr>
        <w:t>Article</w:t>
      </w:r>
      <w:r>
        <w:rPr>
          <w:rFonts w:ascii="Arial" w:hAnsi="Arial"/>
          <w:spacing w:val="-10"/>
        </w:rPr>
        <w:t xml:space="preserve"> </w:t>
      </w:r>
      <w:r>
        <w:rPr>
          <w:rFonts w:ascii="Arial" w:hAnsi="Arial"/>
        </w:rPr>
        <w:t>would</w:t>
      </w:r>
      <w:r>
        <w:rPr>
          <w:rFonts w:ascii="Arial" w:hAnsi="Arial"/>
          <w:spacing w:val="-11"/>
        </w:rPr>
        <w:t xml:space="preserve"> </w:t>
      </w:r>
      <w:r>
        <w:rPr>
          <w:rFonts w:ascii="Arial" w:hAnsi="Arial"/>
        </w:rPr>
        <w:t>mean</w:t>
      </w:r>
      <w:r>
        <w:rPr>
          <w:rFonts w:ascii="Arial" w:hAnsi="Arial"/>
          <w:spacing w:val="-7"/>
        </w:rPr>
        <w:t xml:space="preserve"> </w:t>
      </w:r>
      <w:r>
        <w:rPr>
          <w:rFonts w:ascii="Arial" w:hAnsi="Arial"/>
        </w:rPr>
        <w:t>matters</w:t>
      </w:r>
      <w:r>
        <w:rPr>
          <w:rFonts w:ascii="Arial" w:hAnsi="Arial"/>
          <w:spacing w:val="-10"/>
        </w:rPr>
        <w:t xml:space="preserve"> </w:t>
      </w:r>
      <w:r>
        <w:rPr>
          <w:rFonts w:ascii="Arial" w:hAnsi="Arial"/>
        </w:rPr>
        <w:t>of</w:t>
      </w:r>
      <w:r>
        <w:rPr>
          <w:rFonts w:ascii="Arial" w:hAnsi="Arial"/>
          <w:spacing w:val="-11"/>
        </w:rPr>
        <w:t xml:space="preserve"> </w:t>
      </w:r>
      <w:r>
        <w:rPr>
          <w:rFonts w:ascii="Arial" w:hAnsi="Arial"/>
        </w:rPr>
        <w:t>faith</w:t>
      </w:r>
      <w:r>
        <w:rPr>
          <w:rFonts w:ascii="Arial" w:hAnsi="Arial"/>
          <w:spacing w:val="-11"/>
        </w:rPr>
        <w:t xml:space="preserve"> </w:t>
      </w:r>
      <w:r>
        <w:rPr>
          <w:rFonts w:ascii="Arial" w:hAnsi="Arial"/>
        </w:rPr>
        <w:t>with</w:t>
      </w:r>
      <w:r>
        <w:rPr>
          <w:rFonts w:ascii="Arial" w:hAnsi="Arial"/>
          <w:spacing w:val="-11"/>
        </w:rPr>
        <w:t xml:space="preserve"> </w:t>
      </w:r>
      <w:r>
        <w:rPr>
          <w:rFonts w:ascii="Arial" w:hAnsi="Arial"/>
        </w:rPr>
        <w:t>individuals</w:t>
      </w:r>
      <w:r>
        <w:rPr>
          <w:rFonts w:ascii="Arial" w:hAnsi="Arial"/>
          <w:spacing w:val="-10"/>
        </w:rPr>
        <w:t xml:space="preserve"> </w:t>
      </w:r>
      <w:r>
        <w:rPr>
          <w:rFonts w:ascii="Arial" w:hAnsi="Arial"/>
        </w:rPr>
        <w:t>or communities, based on a system of beliefs or doctrines which conduce to spiritual well-being. The aforesaid does not have to be theistic but can include persons who are agnostics and</w:t>
      </w:r>
      <w:r>
        <w:rPr>
          <w:rFonts w:ascii="Arial" w:hAnsi="Arial"/>
          <w:spacing w:val="-5"/>
        </w:rPr>
        <w:t xml:space="preserve"> </w:t>
      </w:r>
      <w:r>
        <w:rPr>
          <w:rFonts w:ascii="Arial" w:hAnsi="Arial"/>
        </w:rPr>
        <w:t>atheists.</w:t>
      </w:r>
    </w:p>
    <w:p w:rsidR="003B2FC0" w:rsidRDefault="00052A49">
      <w:pPr>
        <w:pStyle w:val="ListParagraph"/>
        <w:numPr>
          <w:ilvl w:val="2"/>
          <w:numId w:val="50"/>
        </w:numPr>
        <w:tabs>
          <w:tab w:val="left" w:pos="1234"/>
        </w:tabs>
        <w:spacing w:before="202" w:line="480" w:lineRule="auto"/>
        <w:ind w:right="401"/>
        <w:rPr>
          <w:sz w:val="28"/>
        </w:rPr>
      </w:pPr>
      <w:r>
        <w:rPr>
          <w:sz w:val="28"/>
        </w:rPr>
        <w:t>It is o</w:t>
      </w:r>
      <w:r>
        <w:rPr>
          <w:sz w:val="28"/>
        </w:rPr>
        <w:t>nly the essential part of religion, as distinguished from secular activities, that is the subject matter of the fundamental right. Superstitious beliefs which are extraneous, unnecessary accretions to religion cannot be considered as essential parts of rel</w:t>
      </w:r>
      <w:r>
        <w:rPr>
          <w:sz w:val="28"/>
        </w:rPr>
        <w:t>igion. Matters that are essential to religious faith and/or belief are to be judged on evidence before a court of law by what the community professing the religion itself has to say as to the essentiality of such belief. One test that has been evolved woul</w:t>
      </w:r>
      <w:r>
        <w:rPr>
          <w:sz w:val="28"/>
        </w:rPr>
        <w:t>d be to remove the particular belief stated to be an essential belief from the religion – would the religion remain the same or would it be altered? Equally, if different groups of a religious community speak with different voices on the essentiality aspec</w:t>
      </w:r>
      <w:r>
        <w:rPr>
          <w:sz w:val="28"/>
        </w:rPr>
        <w:t>t presented before the Court, the Court is then to decide as to whether such matter is or is not essential. Religious activities may also be</w:t>
      </w:r>
      <w:r>
        <w:rPr>
          <w:spacing w:val="11"/>
          <w:sz w:val="28"/>
        </w:rPr>
        <w:t xml:space="preserve"> </w:t>
      </w:r>
      <w:r>
        <w:rPr>
          <w:sz w:val="28"/>
        </w:rPr>
        <w:t>mixed</w:t>
      </w:r>
      <w:r>
        <w:rPr>
          <w:spacing w:val="11"/>
          <w:sz w:val="28"/>
        </w:rPr>
        <w:t xml:space="preserve"> </w:t>
      </w:r>
      <w:r>
        <w:rPr>
          <w:sz w:val="28"/>
        </w:rPr>
        <w:t>up</w:t>
      </w:r>
      <w:r>
        <w:rPr>
          <w:spacing w:val="14"/>
          <w:sz w:val="28"/>
        </w:rPr>
        <w:t xml:space="preserve"> </w:t>
      </w:r>
      <w:r>
        <w:rPr>
          <w:sz w:val="28"/>
        </w:rPr>
        <w:t>with</w:t>
      </w:r>
      <w:r>
        <w:rPr>
          <w:spacing w:val="11"/>
          <w:sz w:val="28"/>
        </w:rPr>
        <w:t xml:space="preserve"> </w:t>
      </w:r>
      <w:r>
        <w:rPr>
          <w:sz w:val="28"/>
        </w:rPr>
        <w:t>secular</w:t>
      </w:r>
      <w:r>
        <w:rPr>
          <w:spacing w:val="11"/>
          <w:sz w:val="28"/>
        </w:rPr>
        <w:t xml:space="preserve"> </w:t>
      </w:r>
      <w:r>
        <w:rPr>
          <w:sz w:val="28"/>
        </w:rPr>
        <w:t>activities,</w:t>
      </w:r>
      <w:r>
        <w:rPr>
          <w:spacing w:val="14"/>
          <w:sz w:val="28"/>
        </w:rPr>
        <w:t xml:space="preserve"> </w:t>
      </w:r>
      <w:r>
        <w:rPr>
          <w:sz w:val="28"/>
        </w:rPr>
        <w:t>in</w:t>
      </w:r>
      <w:r>
        <w:rPr>
          <w:spacing w:val="9"/>
          <w:sz w:val="28"/>
        </w:rPr>
        <w:t xml:space="preserve"> </w:t>
      </w:r>
      <w:r>
        <w:rPr>
          <w:sz w:val="28"/>
        </w:rPr>
        <w:t>which</w:t>
      </w:r>
      <w:r>
        <w:rPr>
          <w:spacing w:val="11"/>
          <w:sz w:val="28"/>
        </w:rPr>
        <w:t xml:space="preserve"> </w:t>
      </w:r>
      <w:r>
        <w:rPr>
          <w:sz w:val="28"/>
        </w:rPr>
        <w:t>case</w:t>
      </w:r>
      <w:r>
        <w:rPr>
          <w:spacing w:val="9"/>
          <w:sz w:val="28"/>
        </w:rPr>
        <w:t xml:space="preserve"> </w:t>
      </w:r>
      <w:r>
        <w:rPr>
          <w:sz w:val="28"/>
        </w:rPr>
        <w:t>the</w:t>
      </w:r>
      <w:r>
        <w:rPr>
          <w:spacing w:val="20"/>
          <w:sz w:val="28"/>
        </w:rPr>
        <w:t xml:space="preserve"> </w:t>
      </w:r>
      <w:r>
        <w:rPr>
          <w:sz w:val="28"/>
        </w:rPr>
        <w:t>dominant</w:t>
      </w:r>
      <w:r>
        <w:rPr>
          <w:spacing w:val="14"/>
          <w:sz w:val="28"/>
        </w:rPr>
        <w:t xml:space="preserve"> </w:t>
      </w:r>
      <w:r>
        <w:rPr>
          <w:sz w:val="28"/>
        </w:rPr>
        <w:t>nature</w:t>
      </w:r>
    </w:p>
    <w:p w:rsidR="003B2FC0" w:rsidRDefault="003B2FC0">
      <w:pPr>
        <w:spacing w:line="480" w:lineRule="auto"/>
        <w:jc w:val="both"/>
        <w:rPr>
          <w:sz w:val="28"/>
        </w:rPr>
        <w:sectPr w:rsidR="003B2FC0">
          <w:headerReference w:type="default" r:id="rId286"/>
          <w:footerReference w:type="default" r:id="rId287"/>
          <w:pgSz w:w="12240" w:h="15840"/>
          <w:pgMar w:top="1360" w:right="1320" w:bottom="1680" w:left="1340" w:header="0" w:footer="1492" w:gutter="0"/>
          <w:pgNumType w:start="52"/>
          <w:cols w:space="720"/>
        </w:sectPr>
      </w:pPr>
    </w:p>
    <w:p w:rsidR="003B2FC0" w:rsidRDefault="00052A49">
      <w:pPr>
        <w:pStyle w:val="BodyText"/>
        <w:spacing w:before="77" w:line="480" w:lineRule="auto"/>
        <w:ind w:left="383" w:right="404"/>
        <w:jc w:val="both"/>
        <w:rPr>
          <w:rFonts w:ascii="Arial"/>
        </w:rPr>
      </w:pPr>
      <w:r>
        <w:rPr>
          <w:rFonts w:ascii="Arial"/>
        </w:rPr>
        <w:t>of the activity test is to be applied. The Court should take a common- sense view and be actuated by considerations of practical necessity.</w:t>
      </w:r>
    </w:p>
    <w:p w:rsidR="003B2FC0" w:rsidRDefault="00052A49">
      <w:pPr>
        <w:pStyle w:val="ListParagraph"/>
        <w:numPr>
          <w:ilvl w:val="2"/>
          <w:numId w:val="50"/>
        </w:numPr>
        <w:tabs>
          <w:tab w:val="left" w:pos="1234"/>
        </w:tabs>
        <w:spacing w:before="200" w:line="480" w:lineRule="auto"/>
        <w:ind w:right="411"/>
        <w:rPr>
          <w:sz w:val="28"/>
        </w:rPr>
      </w:pPr>
      <w:r>
        <w:rPr>
          <w:sz w:val="28"/>
        </w:rPr>
        <w:t>The exceptions to this individual right are public order, morality, and</w:t>
      </w:r>
      <w:r>
        <w:rPr>
          <w:spacing w:val="-16"/>
          <w:sz w:val="28"/>
        </w:rPr>
        <w:t xml:space="preserve"> </w:t>
      </w:r>
      <w:r>
        <w:rPr>
          <w:sz w:val="28"/>
        </w:rPr>
        <w:t>health.</w:t>
      </w:r>
      <w:r>
        <w:rPr>
          <w:spacing w:val="-15"/>
          <w:sz w:val="28"/>
        </w:rPr>
        <w:t xml:space="preserve"> </w:t>
      </w:r>
      <w:r>
        <w:rPr>
          <w:sz w:val="28"/>
        </w:rPr>
        <w:t>―Public</w:t>
      </w:r>
      <w:r>
        <w:rPr>
          <w:spacing w:val="-16"/>
          <w:sz w:val="28"/>
        </w:rPr>
        <w:t xml:space="preserve"> </w:t>
      </w:r>
      <w:r>
        <w:rPr>
          <w:sz w:val="28"/>
        </w:rPr>
        <w:t>order‖</w:t>
      </w:r>
      <w:r>
        <w:rPr>
          <w:spacing w:val="-15"/>
          <w:sz w:val="28"/>
        </w:rPr>
        <w:t xml:space="preserve"> </w:t>
      </w:r>
      <w:r>
        <w:rPr>
          <w:sz w:val="28"/>
        </w:rPr>
        <w:t>is</w:t>
      </w:r>
      <w:r>
        <w:rPr>
          <w:spacing w:val="-16"/>
          <w:sz w:val="28"/>
        </w:rPr>
        <w:t xml:space="preserve"> </w:t>
      </w:r>
      <w:r>
        <w:rPr>
          <w:sz w:val="28"/>
        </w:rPr>
        <w:t>to</w:t>
      </w:r>
      <w:r>
        <w:rPr>
          <w:spacing w:val="-15"/>
          <w:sz w:val="28"/>
        </w:rPr>
        <w:t xml:space="preserve"> </w:t>
      </w:r>
      <w:r>
        <w:rPr>
          <w:sz w:val="28"/>
        </w:rPr>
        <w:t>be</w:t>
      </w:r>
      <w:r>
        <w:rPr>
          <w:spacing w:val="-15"/>
          <w:sz w:val="28"/>
        </w:rPr>
        <w:t xml:space="preserve"> </w:t>
      </w:r>
      <w:r>
        <w:rPr>
          <w:sz w:val="28"/>
        </w:rPr>
        <w:t>distinguishe</w:t>
      </w:r>
      <w:r>
        <w:rPr>
          <w:sz w:val="28"/>
        </w:rPr>
        <w:t>d</w:t>
      </w:r>
      <w:r>
        <w:rPr>
          <w:spacing w:val="-16"/>
          <w:sz w:val="28"/>
        </w:rPr>
        <w:t xml:space="preserve"> </w:t>
      </w:r>
      <w:r>
        <w:rPr>
          <w:sz w:val="28"/>
        </w:rPr>
        <w:t>from</w:t>
      </w:r>
      <w:r>
        <w:rPr>
          <w:spacing w:val="-17"/>
          <w:sz w:val="28"/>
        </w:rPr>
        <w:t xml:space="preserve"> </w:t>
      </w:r>
      <w:r>
        <w:rPr>
          <w:sz w:val="28"/>
        </w:rPr>
        <w:t>―law</w:t>
      </w:r>
      <w:r>
        <w:rPr>
          <w:spacing w:val="-17"/>
          <w:sz w:val="28"/>
        </w:rPr>
        <w:t xml:space="preserve"> </w:t>
      </w:r>
      <w:r>
        <w:rPr>
          <w:sz w:val="28"/>
        </w:rPr>
        <w:t>and</w:t>
      </w:r>
      <w:r>
        <w:rPr>
          <w:spacing w:val="-16"/>
          <w:sz w:val="28"/>
        </w:rPr>
        <w:t xml:space="preserve"> </w:t>
      </w:r>
      <w:r>
        <w:rPr>
          <w:sz w:val="28"/>
        </w:rPr>
        <w:t>order‖.</w:t>
      </w:r>
    </w:p>
    <w:p w:rsidR="003B2FC0" w:rsidRDefault="00052A49">
      <w:pPr>
        <w:pStyle w:val="BodyText"/>
        <w:spacing w:before="1" w:line="480" w:lineRule="auto"/>
        <w:ind w:left="383" w:right="402"/>
        <w:jc w:val="both"/>
        <w:rPr>
          <w:rFonts w:ascii="Arial" w:hAnsi="Arial"/>
        </w:rPr>
      </w:pPr>
      <w:r>
        <w:rPr>
          <w:rFonts w:ascii="Arial" w:hAnsi="Arial"/>
        </w:rPr>
        <w:t xml:space="preserve">―Public disorder‖ must affect the public at large as opposed to certain individuals. A disturbance of public order must cause a general disturbance of public tranquility. The term ―morality‖ is difficult to define. For the present, </w:t>
      </w:r>
      <w:r>
        <w:rPr>
          <w:rFonts w:ascii="Arial" w:hAnsi="Arial"/>
        </w:rPr>
        <w:t xml:space="preserve">suffice it to say that it refers to that which is considered abhorrent to civilized society, given the mores of the time, by reason of harm caused by way, </w:t>
      </w:r>
      <w:r>
        <w:rPr>
          <w:rFonts w:ascii="Arial" w:hAnsi="Arial"/>
          <w:i/>
        </w:rPr>
        <w:t>inter alia</w:t>
      </w:r>
      <w:r>
        <w:rPr>
          <w:rFonts w:ascii="Arial" w:hAnsi="Arial"/>
        </w:rPr>
        <w:t>, of exploitation or degradation.</w:t>
      </w:r>
      <w:r>
        <w:rPr>
          <w:rFonts w:ascii="Arial" w:hAnsi="Arial"/>
          <w:vertAlign w:val="superscript"/>
        </w:rPr>
        <w:t>2</w:t>
      </w:r>
      <w:r>
        <w:rPr>
          <w:rFonts w:ascii="Arial" w:hAnsi="Arial"/>
        </w:rPr>
        <w:t xml:space="preserve"> ―Health‖ would include noise pollution and the control</w:t>
      </w:r>
      <w:r>
        <w:rPr>
          <w:rFonts w:ascii="Arial" w:hAnsi="Arial"/>
          <w:spacing w:val="-47"/>
        </w:rPr>
        <w:t xml:space="preserve"> </w:t>
      </w:r>
      <w:r>
        <w:rPr>
          <w:rFonts w:ascii="Arial" w:hAnsi="Arial"/>
        </w:rPr>
        <w:t>o</w:t>
      </w:r>
      <w:r>
        <w:rPr>
          <w:rFonts w:ascii="Arial" w:hAnsi="Arial"/>
        </w:rPr>
        <w:t>f disease.</w:t>
      </w:r>
    </w:p>
    <w:p w:rsidR="003B2FC0" w:rsidRDefault="00052A49">
      <w:pPr>
        <w:pStyle w:val="ListParagraph"/>
        <w:numPr>
          <w:ilvl w:val="2"/>
          <w:numId w:val="50"/>
        </w:numPr>
        <w:tabs>
          <w:tab w:val="left" w:pos="1234"/>
        </w:tabs>
        <w:spacing w:before="199" w:line="480" w:lineRule="auto"/>
        <w:ind w:right="407"/>
        <w:rPr>
          <w:sz w:val="28"/>
        </w:rPr>
      </w:pPr>
      <w:r>
        <w:rPr>
          <w:sz w:val="28"/>
        </w:rPr>
        <w:t>Another exception to the fundamental right conferred by Article 25(1) is the rights that are conferred on others by the other provisions of Part III. This would show that if one were to propagate one‘s</w:t>
      </w:r>
      <w:r>
        <w:rPr>
          <w:spacing w:val="12"/>
          <w:sz w:val="28"/>
        </w:rPr>
        <w:t xml:space="preserve"> </w:t>
      </w:r>
      <w:r>
        <w:rPr>
          <w:sz w:val="28"/>
        </w:rPr>
        <w:t>religion</w:t>
      </w:r>
    </w:p>
    <w:p w:rsidR="003B2FC0" w:rsidRDefault="003B2FC0">
      <w:pPr>
        <w:rPr>
          <w:sz w:val="20"/>
        </w:rPr>
      </w:pPr>
    </w:p>
    <w:p w:rsidR="003B2FC0" w:rsidRDefault="003B2FC0">
      <w:pPr>
        <w:spacing w:before="2"/>
        <w:rPr>
          <w:sz w:val="13"/>
        </w:rPr>
      </w:pPr>
      <w:r w:rsidRPr="003B2FC0">
        <w:pict>
          <v:line id="_x0000_s1146" style="position:absolute;z-index:-251598336;mso-wrap-distance-left:0;mso-wrap-distance-right:0;mso-position-horizontal-relative:page" from="1in,9.95pt" to="216.05pt,9.95pt" strokeweight=".72pt">
            <w10:wrap type="topAndBottom" anchorx="page"/>
          </v:line>
        </w:pict>
      </w:r>
    </w:p>
    <w:p w:rsidR="003B2FC0" w:rsidRDefault="00052A49">
      <w:pPr>
        <w:spacing w:before="34"/>
        <w:ind w:left="242" w:right="124" w:hanging="142"/>
        <w:jc w:val="both"/>
        <w:rPr>
          <w:sz w:val="20"/>
        </w:rPr>
      </w:pPr>
      <w:r>
        <w:rPr>
          <w:w w:val="99"/>
          <w:position w:val="10"/>
          <w:sz w:val="13"/>
        </w:rPr>
        <w:t>2</w:t>
      </w:r>
      <w:r>
        <w:rPr>
          <w:position w:val="10"/>
          <w:sz w:val="13"/>
        </w:rPr>
        <w:t xml:space="preserve"> </w:t>
      </w:r>
      <w:r>
        <w:rPr>
          <w:spacing w:val="-18"/>
          <w:position w:val="10"/>
          <w:sz w:val="13"/>
        </w:rPr>
        <w:t xml:space="preserve"> </w:t>
      </w:r>
      <w:r>
        <w:rPr>
          <w:spacing w:val="8"/>
          <w:w w:val="99"/>
          <w:sz w:val="20"/>
        </w:rPr>
        <w:t>W</w:t>
      </w:r>
      <w:r>
        <w:rPr>
          <w:w w:val="99"/>
          <w:sz w:val="20"/>
        </w:rPr>
        <w:t>e</w:t>
      </w:r>
      <w:r>
        <w:rPr>
          <w:spacing w:val="1"/>
          <w:sz w:val="20"/>
        </w:rPr>
        <w:t xml:space="preserve"> </w:t>
      </w:r>
      <w:r>
        <w:rPr>
          <w:spacing w:val="-3"/>
          <w:w w:val="99"/>
          <w:sz w:val="20"/>
        </w:rPr>
        <w:t>w</w:t>
      </w:r>
      <w:r>
        <w:rPr>
          <w:w w:val="99"/>
          <w:sz w:val="20"/>
        </w:rPr>
        <w:t>ere</w:t>
      </w:r>
      <w:r>
        <w:rPr>
          <w:spacing w:val="4"/>
          <w:sz w:val="20"/>
        </w:rPr>
        <w:t xml:space="preserve"> </w:t>
      </w:r>
      <w:r>
        <w:rPr>
          <w:spacing w:val="-1"/>
          <w:w w:val="99"/>
          <w:sz w:val="20"/>
        </w:rPr>
        <w:t>i</w:t>
      </w:r>
      <w:r>
        <w:rPr>
          <w:spacing w:val="1"/>
          <w:w w:val="99"/>
          <w:sz w:val="20"/>
        </w:rPr>
        <w:t>n</w:t>
      </w:r>
      <w:r>
        <w:rPr>
          <w:spacing w:val="-2"/>
          <w:w w:val="99"/>
          <w:sz w:val="20"/>
        </w:rPr>
        <w:t>v</w:t>
      </w:r>
      <w:r>
        <w:rPr>
          <w:spacing w:val="1"/>
          <w:w w:val="99"/>
          <w:sz w:val="20"/>
        </w:rPr>
        <w:t>i</w:t>
      </w:r>
      <w:r>
        <w:rPr>
          <w:w w:val="99"/>
          <w:sz w:val="20"/>
        </w:rPr>
        <w:t>ted</w:t>
      </w:r>
      <w:r>
        <w:rPr>
          <w:spacing w:val="3"/>
          <w:sz w:val="20"/>
        </w:rPr>
        <w:t xml:space="preserve"> </w:t>
      </w:r>
      <w:r>
        <w:rPr>
          <w:spacing w:val="4"/>
          <w:w w:val="99"/>
          <w:sz w:val="20"/>
        </w:rPr>
        <w:t>b</w:t>
      </w:r>
      <w:r>
        <w:rPr>
          <w:w w:val="99"/>
          <w:sz w:val="20"/>
        </w:rPr>
        <w:t>y</w:t>
      </w:r>
      <w:r>
        <w:rPr>
          <w:sz w:val="20"/>
        </w:rPr>
        <w:t xml:space="preserve"> </w:t>
      </w:r>
      <w:r>
        <w:rPr>
          <w:w w:val="99"/>
          <w:sz w:val="20"/>
        </w:rPr>
        <w:t>the</w:t>
      </w:r>
      <w:r>
        <w:rPr>
          <w:spacing w:val="3"/>
          <w:sz w:val="20"/>
        </w:rPr>
        <w:t xml:space="preserve"> </w:t>
      </w:r>
      <w:r>
        <w:rPr>
          <w:spacing w:val="1"/>
          <w:w w:val="99"/>
          <w:sz w:val="20"/>
        </w:rPr>
        <w:t>l</w:t>
      </w:r>
      <w:r>
        <w:rPr>
          <w:w w:val="99"/>
          <w:sz w:val="20"/>
        </w:rPr>
        <w:t>e</w:t>
      </w:r>
      <w:r>
        <w:rPr>
          <w:spacing w:val="1"/>
          <w:w w:val="99"/>
          <w:sz w:val="20"/>
        </w:rPr>
        <w:t>a</w:t>
      </w:r>
      <w:r>
        <w:rPr>
          <w:w w:val="99"/>
          <w:sz w:val="20"/>
        </w:rPr>
        <w:t>rn</w:t>
      </w:r>
      <w:r>
        <w:rPr>
          <w:spacing w:val="-1"/>
          <w:w w:val="99"/>
          <w:sz w:val="20"/>
        </w:rPr>
        <w:t>e</w:t>
      </w:r>
      <w:r>
        <w:rPr>
          <w:w w:val="99"/>
          <w:sz w:val="20"/>
        </w:rPr>
        <w:t>d</w:t>
      </w:r>
      <w:r>
        <w:rPr>
          <w:spacing w:val="7"/>
          <w:sz w:val="20"/>
        </w:rPr>
        <w:t xml:space="preserve"> </w:t>
      </w:r>
      <w:r>
        <w:rPr>
          <w:i/>
          <w:spacing w:val="-1"/>
          <w:w w:val="99"/>
          <w:sz w:val="20"/>
        </w:rPr>
        <w:t>A</w:t>
      </w:r>
      <w:r>
        <w:rPr>
          <w:i/>
          <w:spacing w:val="1"/>
          <w:w w:val="99"/>
          <w:sz w:val="20"/>
        </w:rPr>
        <w:t>m</w:t>
      </w:r>
      <w:r>
        <w:rPr>
          <w:i/>
          <w:spacing w:val="-1"/>
          <w:w w:val="99"/>
          <w:sz w:val="20"/>
        </w:rPr>
        <w:t>i</w:t>
      </w:r>
      <w:r>
        <w:rPr>
          <w:i/>
          <w:spacing w:val="1"/>
          <w:w w:val="99"/>
          <w:sz w:val="20"/>
        </w:rPr>
        <w:t>c</w:t>
      </w:r>
      <w:r>
        <w:rPr>
          <w:i/>
          <w:w w:val="99"/>
          <w:sz w:val="20"/>
        </w:rPr>
        <w:t>us</w:t>
      </w:r>
      <w:r>
        <w:rPr>
          <w:i/>
          <w:spacing w:val="4"/>
          <w:sz w:val="20"/>
        </w:rPr>
        <w:t xml:space="preserve"> </w:t>
      </w:r>
      <w:r>
        <w:rPr>
          <w:i/>
          <w:w w:val="99"/>
          <w:sz w:val="20"/>
        </w:rPr>
        <w:t>Cur</w:t>
      </w:r>
      <w:r>
        <w:rPr>
          <w:i/>
          <w:spacing w:val="-1"/>
          <w:w w:val="99"/>
          <w:sz w:val="20"/>
        </w:rPr>
        <w:t>i</w:t>
      </w:r>
      <w:r>
        <w:rPr>
          <w:i/>
          <w:spacing w:val="1"/>
          <w:w w:val="99"/>
          <w:sz w:val="20"/>
        </w:rPr>
        <w:t>ae</w:t>
      </w:r>
      <w:r>
        <w:rPr>
          <w:w w:val="99"/>
          <w:sz w:val="20"/>
        </w:rPr>
        <w:t>,</w:t>
      </w:r>
      <w:r>
        <w:rPr>
          <w:spacing w:val="4"/>
          <w:sz w:val="20"/>
        </w:rPr>
        <w:t xml:space="preserve"> </w:t>
      </w:r>
      <w:r>
        <w:rPr>
          <w:spacing w:val="-1"/>
          <w:w w:val="99"/>
          <w:sz w:val="20"/>
        </w:rPr>
        <w:t>Sh</w:t>
      </w:r>
      <w:r>
        <w:rPr>
          <w:spacing w:val="2"/>
          <w:w w:val="99"/>
          <w:sz w:val="20"/>
        </w:rPr>
        <w:t>r</w:t>
      </w:r>
      <w:r>
        <w:rPr>
          <w:w w:val="99"/>
          <w:sz w:val="20"/>
        </w:rPr>
        <w:t>i</w:t>
      </w:r>
      <w:r>
        <w:rPr>
          <w:spacing w:val="3"/>
          <w:sz w:val="20"/>
        </w:rPr>
        <w:t xml:space="preserve"> </w:t>
      </w:r>
      <w:r>
        <w:rPr>
          <w:spacing w:val="-1"/>
          <w:w w:val="99"/>
          <w:sz w:val="20"/>
        </w:rPr>
        <w:t>Ra</w:t>
      </w:r>
      <w:r>
        <w:rPr>
          <w:w w:val="99"/>
          <w:sz w:val="20"/>
        </w:rPr>
        <w:t>ju</w:t>
      </w:r>
      <w:r>
        <w:rPr>
          <w:spacing w:val="3"/>
          <w:sz w:val="20"/>
        </w:rPr>
        <w:t xml:space="preserve"> </w:t>
      </w:r>
      <w:r>
        <w:rPr>
          <w:spacing w:val="-1"/>
          <w:w w:val="99"/>
          <w:sz w:val="20"/>
        </w:rPr>
        <w:t>Ra</w:t>
      </w:r>
      <w:r>
        <w:rPr>
          <w:spacing w:val="4"/>
          <w:w w:val="99"/>
          <w:sz w:val="20"/>
        </w:rPr>
        <w:t>m</w:t>
      </w:r>
      <w:r>
        <w:rPr>
          <w:spacing w:val="-1"/>
          <w:w w:val="99"/>
          <w:sz w:val="20"/>
        </w:rPr>
        <w:t>a</w:t>
      </w:r>
      <w:r>
        <w:rPr>
          <w:w w:val="99"/>
          <w:sz w:val="20"/>
        </w:rPr>
        <w:t>c</w:t>
      </w:r>
      <w:r>
        <w:rPr>
          <w:spacing w:val="-1"/>
          <w:w w:val="99"/>
          <w:sz w:val="20"/>
        </w:rPr>
        <w:t>hand</w:t>
      </w:r>
      <w:r>
        <w:rPr>
          <w:w w:val="99"/>
          <w:sz w:val="20"/>
        </w:rPr>
        <w:t>r</w:t>
      </w:r>
      <w:r>
        <w:rPr>
          <w:spacing w:val="-1"/>
          <w:w w:val="99"/>
          <w:sz w:val="20"/>
        </w:rPr>
        <w:t>an</w:t>
      </w:r>
      <w:r>
        <w:rPr>
          <w:w w:val="99"/>
          <w:sz w:val="20"/>
        </w:rPr>
        <w:t>,</w:t>
      </w:r>
      <w:r>
        <w:rPr>
          <w:spacing w:val="4"/>
          <w:sz w:val="20"/>
        </w:rPr>
        <w:t xml:space="preserve"> </w:t>
      </w:r>
      <w:r>
        <w:rPr>
          <w:w w:val="99"/>
          <w:sz w:val="20"/>
        </w:rPr>
        <w:t>to</w:t>
      </w:r>
      <w:r>
        <w:rPr>
          <w:spacing w:val="3"/>
          <w:sz w:val="20"/>
        </w:rPr>
        <w:t xml:space="preserve"> </w:t>
      </w:r>
      <w:r>
        <w:rPr>
          <w:w w:val="99"/>
          <w:sz w:val="20"/>
        </w:rPr>
        <w:t>r</w:t>
      </w:r>
      <w:r>
        <w:rPr>
          <w:spacing w:val="-1"/>
          <w:w w:val="99"/>
          <w:sz w:val="20"/>
        </w:rPr>
        <w:t>ea</w:t>
      </w:r>
      <w:r>
        <w:rPr>
          <w:w w:val="99"/>
          <w:sz w:val="20"/>
        </w:rPr>
        <w:t>d</w:t>
      </w:r>
      <w:r>
        <w:rPr>
          <w:spacing w:val="5"/>
          <w:sz w:val="20"/>
        </w:rPr>
        <w:t xml:space="preserve"> </w:t>
      </w:r>
      <w:r>
        <w:rPr>
          <w:w w:val="99"/>
          <w:sz w:val="20"/>
        </w:rPr>
        <w:t>the</w:t>
      </w:r>
      <w:r>
        <w:rPr>
          <w:spacing w:val="3"/>
          <w:sz w:val="20"/>
        </w:rPr>
        <w:t xml:space="preserve"> </w:t>
      </w:r>
      <w:r>
        <w:rPr>
          <w:spacing w:val="-1"/>
          <w:w w:val="99"/>
          <w:sz w:val="20"/>
        </w:rPr>
        <w:t>wo</w:t>
      </w:r>
      <w:r>
        <w:rPr>
          <w:w w:val="99"/>
          <w:sz w:val="20"/>
        </w:rPr>
        <w:t>rd</w:t>
      </w:r>
      <w:r>
        <w:rPr>
          <w:spacing w:val="3"/>
          <w:sz w:val="20"/>
        </w:rPr>
        <w:t xml:space="preserve"> </w:t>
      </w:r>
      <w:r>
        <w:rPr>
          <w:spacing w:val="-2"/>
          <w:w w:val="33"/>
          <w:sz w:val="20"/>
        </w:rPr>
        <w:t>―</w:t>
      </w:r>
      <w:r>
        <w:rPr>
          <w:spacing w:val="4"/>
          <w:w w:val="99"/>
          <w:sz w:val="20"/>
        </w:rPr>
        <w:t>m</w:t>
      </w:r>
      <w:r>
        <w:rPr>
          <w:spacing w:val="-1"/>
          <w:w w:val="99"/>
          <w:sz w:val="20"/>
        </w:rPr>
        <w:t>oral</w:t>
      </w:r>
      <w:r>
        <w:rPr>
          <w:spacing w:val="-2"/>
          <w:w w:val="99"/>
          <w:sz w:val="20"/>
        </w:rPr>
        <w:t>i</w:t>
      </w:r>
      <w:r>
        <w:rPr>
          <w:spacing w:val="4"/>
          <w:w w:val="99"/>
          <w:sz w:val="20"/>
        </w:rPr>
        <w:t>t</w:t>
      </w:r>
      <w:r>
        <w:rPr>
          <w:spacing w:val="-6"/>
          <w:w w:val="99"/>
          <w:sz w:val="20"/>
        </w:rPr>
        <w:t>y</w:t>
      </w:r>
      <w:r>
        <w:rPr>
          <w:w w:val="80"/>
          <w:sz w:val="20"/>
        </w:rPr>
        <w:t>‖</w:t>
      </w:r>
      <w:r>
        <w:rPr>
          <w:spacing w:val="4"/>
          <w:sz w:val="20"/>
        </w:rPr>
        <w:t xml:space="preserve"> </w:t>
      </w:r>
      <w:r>
        <w:rPr>
          <w:spacing w:val="-1"/>
          <w:w w:val="99"/>
          <w:sz w:val="20"/>
        </w:rPr>
        <w:t>as be</w:t>
      </w:r>
      <w:r>
        <w:rPr>
          <w:spacing w:val="1"/>
          <w:w w:val="99"/>
          <w:sz w:val="20"/>
        </w:rPr>
        <w:t>i</w:t>
      </w:r>
      <w:r>
        <w:rPr>
          <w:spacing w:val="-1"/>
          <w:w w:val="99"/>
          <w:sz w:val="20"/>
        </w:rPr>
        <w:t>n</w:t>
      </w:r>
      <w:r>
        <w:rPr>
          <w:w w:val="99"/>
          <w:sz w:val="20"/>
        </w:rPr>
        <w:t>g</w:t>
      </w:r>
      <w:r>
        <w:rPr>
          <w:sz w:val="20"/>
        </w:rPr>
        <w:t xml:space="preserve"> </w:t>
      </w:r>
      <w:r>
        <w:rPr>
          <w:spacing w:val="-26"/>
          <w:sz w:val="20"/>
        </w:rPr>
        <w:t xml:space="preserve"> </w:t>
      </w:r>
      <w:r>
        <w:rPr>
          <w:w w:val="33"/>
          <w:sz w:val="20"/>
        </w:rPr>
        <w:t>―</w:t>
      </w:r>
      <w:r>
        <w:rPr>
          <w:spacing w:val="1"/>
          <w:w w:val="99"/>
          <w:sz w:val="20"/>
        </w:rPr>
        <w:t>c</w:t>
      </w:r>
      <w:r>
        <w:rPr>
          <w:spacing w:val="-1"/>
          <w:w w:val="99"/>
          <w:sz w:val="20"/>
        </w:rPr>
        <w:t>on</w:t>
      </w:r>
      <w:r>
        <w:rPr>
          <w:spacing w:val="1"/>
          <w:w w:val="99"/>
          <w:sz w:val="20"/>
        </w:rPr>
        <w:t>s</w:t>
      </w:r>
      <w:r>
        <w:rPr>
          <w:w w:val="99"/>
          <w:sz w:val="20"/>
        </w:rPr>
        <w:t>t</w:t>
      </w:r>
      <w:r>
        <w:rPr>
          <w:spacing w:val="-2"/>
          <w:w w:val="99"/>
          <w:sz w:val="20"/>
        </w:rPr>
        <w:t>i</w:t>
      </w:r>
      <w:r>
        <w:rPr>
          <w:spacing w:val="2"/>
          <w:w w:val="99"/>
          <w:sz w:val="20"/>
        </w:rPr>
        <w:t>t</w:t>
      </w:r>
      <w:r>
        <w:rPr>
          <w:spacing w:val="-1"/>
          <w:w w:val="99"/>
          <w:sz w:val="20"/>
        </w:rPr>
        <w:t>ut</w:t>
      </w:r>
      <w:r>
        <w:rPr>
          <w:w w:val="99"/>
          <w:sz w:val="20"/>
        </w:rPr>
        <w:t>i</w:t>
      </w:r>
      <w:r>
        <w:rPr>
          <w:spacing w:val="-1"/>
          <w:w w:val="99"/>
          <w:sz w:val="20"/>
        </w:rPr>
        <w:t>on</w:t>
      </w:r>
      <w:r>
        <w:rPr>
          <w:spacing w:val="1"/>
          <w:w w:val="99"/>
          <w:sz w:val="20"/>
        </w:rPr>
        <w:t>a</w:t>
      </w:r>
      <w:r>
        <w:rPr>
          <w:w w:val="99"/>
          <w:sz w:val="20"/>
        </w:rPr>
        <w:t>l</w:t>
      </w:r>
      <w:r>
        <w:rPr>
          <w:sz w:val="20"/>
        </w:rPr>
        <w:t xml:space="preserve"> </w:t>
      </w:r>
      <w:r>
        <w:rPr>
          <w:spacing w:val="-26"/>
          <w:sz w:val="20"/>
        </w:rPr>
        <w:t xml:space="preserve"> </w:t>
      </w:r>
      <w:r>
        <w:rPr>
          <w:spacing w:val="4"/>
          <w:w w:val="99"/>
          <w:sz w:val="20"/>
        </w:rPr>
        <w:t>m</w:t>
      </w:r>
      <w:r>
        <w:rPr>
          <w:spacing w:val="-1"/>
          <w:w w:val="99"/>
          <w:sz w:val="20"/>
        </w:rPr>
        <w:t>oral</w:t>
      </w:r>
      <w:r>
        <w:rPr>
          <w:spacing w:val="1"/>
          <w:w w:val="99"/>
          <w:sz w:val="20"/>
        </w:rPr>
        <w:t>i</w:t>
      </w:r>
      <w:r>
        <w:rPr>
          <w:spacing w:val="2"/>
          <w:w w:val="99"/>
          <w:sz w:val="20"/>
        </w:rPr>
        <w:t>t</w:t>
      </w:r>
      <w:r>
        <w:rPr>
          <w:spacing w:val="-4"/>
          <w:w w:val="99"/>
          <w:sz w:val="20"/>
        </w:rPr>
        <w:t>y</w:t>
      </w:r>
      <w:r>
        <w:rPr>
          <w:w w:val="80"/>
          <w:sz w:val="20"/>
        </w:rPr>
        <w:t>‖</w:t>
      </w:r>
      <w:r>
        <w:rPr>
          <w:sz w:val="20"/>
        </w:rPr>
        <w:t xml:space="preserve"> </w:t>
      </w:r>
      <w:r>
        <w:rPr>
          <w:spacing w:val="-25"/>
          <w:sz w:val="20"/>
        </w:rPr>
        <w:t xml:space="preserve"> </w:t>
      </w:r>
      <w:r>
        <w:rPr>
          <w:spacing w:val="-1"/>
          <w:w w:val="99"/>
          <w:sz w:val="20"/>
        </w:rPr>
        <w:t>a</w:t>
      </w:r>
      <w:r>
        <w:rPr>
          <w:w w:val="99"/>
          <w:sz w:val="20"/>
        </w:rPr>
        <w:t>s</w:t>
      </w:r>
      <w:r>
        <w:rPr>
          <w:sz w:val="20"/>
        </w:rPr>
        <w:t xml:space="preserve"> </w:t>
      </w:r>
      <w:r>
        <w:rPr>
          <w:spacing w:val="-25"/>
          <w:sz w:val="20"/>
        </w:rPr>
        <w:t xml:space="preserve"> </w:t>
      </w:r>
      <w:r>
        <w:rPr>
          <w:spacing w:val="-1"/>
          <w:w w:val="99"/>
          <w:sz w:val="20"/>
        </w:rPr>
        <w:t>ha</w:t>
      </w:r>
      <w:r>
        <w:rPr>
          <w:w w:val="99"/>
          <w:sz w:val="20"/>
        </w:rPr>
        <w:t>s</w:t>
      </w:r>
      <w:r>
        <w:rPr>
          <w:sz w:val="20"/>
        </w:rPr>
        <w:t xml:space="preserve"> </w:t>
      </w:r>
      <w:r>
        <w:rPr>
          <w:spacing w:val="-24"/>
          <w:sz w:val="20"/>
        </w:rPr>
        <w:t xml:space="preserve"> </w:t>
      </w:r>
      <w:r>
        <w:rPr>
          <w:spacing w:val="-1"/>
          <w:w w:val="99"/>
          <w:sz w:val="20"/>
        </w:rPr>
        <w:t>b</w:t>
      </w:r>
      <w:r>
        <w:rPr>
          <w:spacing w:val="1"/>
          <w:w w:val="99"/>
          <w:sz w:val="20"/>
        </w:rPr>
        <w:t>e</w:t>
      </w:r>
      <w:r>
        <w:rPr>
          <w:spacing w:val="-1"/>
          <w:w w:val="99"/>
          <w:sz w:val="20"/>
        </w:rPr>
        <w:t>e</w:t>
      </w:r>
      <w:r>
        <w:rPr>
          <w:w w:val="99"/>
          <w:sz w:val="20"/>
        </w:rPr>
        <w:t>n</w:t>
      </w:r>
      <w:r>
        <w:rPr>
          <w:sz w:val="20"/>
        </w:rPr>
        <w:t xml:space="preserve"> </w:t>
      </w:r>
      <w:r>
        <w:rPr>
          <w:spacing w:val="-26"/>
          <w:sz w:val="20"/>
        </w:rPr>
        <w:t xml:space="preserve"> </w:t>
      </w:r>
      <w:r>
        <w:rPr>
          <w:spacing w:val="-1"/>
          <w:w w:val="99"/>
          <w:sz w:val="20"/>
        </w:rPr>
        <w:t>e</w:t>
      </w:r>
      <w:r>
        <w:rPr>
          <w:w w:val="99"/>
          <w:sz w:val="20"/>
        </w:rPr>
        <w:t>x</w:t>
      </w:r>
      <w:r>
        <w:rPr>
          <w:spacing w:val="1"/>
          <w:w w:val="99"/>
          <w:sz w:val="20"/>
        </w:rPr>
        <w:t>p</w:t>
      </w:r>
      <w:r>
        <w:rPr>
          <w:spacing w:val="-2"/>
          <w:w w:val="99"/>
          <w:sz w:val="20"/>
        </w:rPr>
        <w:t>l</w:t>
      </w:r>
      <w:r>
        <w:rPr>
          <w:spacing w:val="-1"/>
          <w:w w:val="99"/>
          <w:sz w:val="20"/>
        </w:rPr>
        <w:t>a</w:t>
      </w:r>
      <w:r>
        <w:rPr>
          <w:w w:val="99"/>
          <w:sz w:val="20"/>
        </w:rPr>
        <w:t>i</w:t>
      </w:r>
      <w:r>
        <w:rPr>
          <w:spacing w:val="-1"/>
          <w:w w:val="99"/>
          <w:sz w:val="20"/>
        </w:rPr>
        <w:t>n</w:t>
      </w:r>
      <w:r>
        <w:rPr>
          <w:spacing w:val="1"/>
          <w:w w:val="99"/>
          <w:sz w:val="20"/>
        </w:rPr>
        <w:t>e</w:t>
      </w:r>
      <w:r>
        <w:rPr>
          <w:w w:val="99"/>
          <w:sz w:val="20"/>
        </w:rPr>
        <w:t>d</w:t>
      </w:r>
      <w:r>
        <w:rPr>
          <w:sz w:val="20"/>
        </w:rPr>
        <w:t xml:space="preserve"> </w:t>
      </w:r>
      <w:r>
        <w:rPr>
          <w:spacing w:val="-24"/>
          <w:sz w:val="20"/>
        </w:rPr>
        <w:t xml:space="preserve"> </w:t>
      </w:r>
      <w:r>
        <w:rPr>
          <w:spacing w:val="-2"/>
          <w:w w:val="99"/>
          <w:sz w:val="20"/>
        </w:rPr>
        <w:t>i</w:t>
      </w:r>
      <w:r>
        <w:rPr>
          <w:w w:val="99"/>
          <w:sz w:val="20"/>
        </w:rPr>
        <w:t>n</w:t>
      </w:r>
      <w:r>
        <w:rPr>
          <w:sz w:val="20"/>
        </w:rPr>
        <w:t xml:space="preserve"> </w:t>
      </w:r>
      <w:r>
        <w:rPr>
          <w:spacing w:val="-26"/>
          <w:sz w:val="20"/>
        </w:rPr>
        <w:t xml:space="preserve"> </w:t>
      </w:r>
      <w:r>
        <w:rPr>
          <w:spacing w:val="1"/>
          <w:w w:val="99"/>
          <w:sz w:val="20"/>
        </w:rPr>
        <w:t>s</w:t>
      </w:r>
      <w:r>
        <w:rPr>
          <w:spacing w:val="-1"/>
          <w:w w:val="99"/>
          <w:sz w:val="20"/>
        </w:rPr>
        <w:t>o</w:t>
      </w:r>
      <w:r>
        <w:rPr>
          <w:spacing w:val="3"/>
          <w:w w:val="99"/>
          <w:sz w:val="20"/>
        </w:rPr>
        <w:t>m</w:t>
      </w:r>
      <w:r>
        <w:rPr>
          <w:w w:val="99"/>
          <w:sz w:val="20"/>
        </w:rPr>
        <w:t>e</w:t>
      </w:r>
      <w:r>
        <w:rPr>
          <w:sz w:val="20"/>
        </w:rPr>
        <w:t xml:space="preserve"> </w:t>
      </w:r>
      <w:r>
        <w:rPr>
          <w:spacing w:val="-26"/>
          <w:sz w:val="20"/>
        </w:rPr>
        <w:t xml:space="preserve"> </w:t>
      </w:r>
      <w:r>
        <w:rPr>
          <w:spacing w:val="-1"/>
          <w:w w:val="99"/>
          <w:sz w:val="20"/>
        </w:rPr>
        <w:t>o</w:t>
      </w:r>
      <w:r>
        <w:rPr>
          <w:w w:val="99"/>
          <w:sz w:val="20"/>
        </w:rPr>
        <w:t>f</w:t>
      </w:r>
      <w:r>
        <w:rPr>
          <w:sz w:val="20"/>
        </w:rPr>
        <w:t xml:space="preserve"> </w:t>
      </w:r>
      <w:r>
        <w:rPr>
          <w:spacing w:val="-24"/>
          <w:sz w:val="20"/>
        </w:rPr>
        <w:t xml:space="preserve"> </w:t>
      </w:r>
      <w:r>
        <w:rPr>
          <w:spacing w:val="-1"/>
          <w:w w:val="99"/>
          <w:sz w:val="20"/>
        </w:rPr>
        <w:t>ou</w:t>
      </w:r>
      <w:r>
        <w:rPr>
          <w:w w:val="99"/>
          <w:sz w:val="20"/>
        </w:rPr>
        <w:t>r</w:t>
      </w:r>
      <w:r>
        <w:rPr>
          <w:sz w:val="20"/>
        </w:rPr>
        <w:t xml:space="preserve"> </w:t>
      </w:r>
      <w:r>
        <w:rPr>
          <w:spacing w:val="-25"/>
          <w:sz w:val="20"/>
        </w:rPr>
        <w:t xml:space="preserve"> </w:t>
      </w:r>
      <w:r>
        <w:rPr>
          <w:w w:val="99"/>
          <w:sz w:val="20"/>
        </w:rPr>
        <w:t>r</w:t>
      </w:r>
      <w:r>
        <w:rPr>
          <w:spacing w:val="-1"/>
          <w:w w:val="99"/>
          <w:sz w:val="20"/>
        </w:rPr>
        <w:t>e</w:t>
      </w:r>
      <w:r>
        <w:rPr>
          <w:w w:val="99"/>
          <w:sz w:val="20"/>
        </w:rPr>
        <w:t>c</w:t>
      </w:r>
      <w:r>
        <w:rPr>
          <w:spacing w:val="-1"/>
          <w:w w:val="99"/>
          <w:sz w:val="20"/>
        </w:rPr>
        <w:t>en</w:t>
      </w:r>
      <w:r>
        <w:rPr>
          <w:w w:val="99"/>
          <w:sz w:val="20"/>
        </w:rPr>
        <w:t>t</w:t>
      </w:r>
      <w:r>
        <w:rPr>
          <w:sz w:val="20"/>
        </w:rPr>
        <w:t xml:space="preserve"> </w:t>
      </w:r>
      <w:r>
        <w:rPr>
          <w:spacing w:val="-26"/>
          <w:sz w:val="20"/>
        </w:rPr>
        <w:t xml:space="preserve"> </w:t>
      </w:r>
      <w:r>
        <w:rPr>
          <w:spacing w:val="1"/>
          <w:w w:val="99"/>
          <w:sz w:val="20"/>
        </w:rPr>
        <w:t>j</w:t>
      </w:r>
      <w:r>
        <w:rPr>
          <w:spacing w:val="-1"/>
          <w:w w:val="99"/>
          <w:sz w:val="20"/>
        </w:rPr>
        <w:t>u</w:t>
      </w:r>
      <w:r>
        <w:rPr>
          <w:spacing w:val="-4"/>
          <w:w w:val="99"/>
          <w:sz w:val="20"/>
        </w:rPr>
        <w:t>d</w:t>
      </w:r>
      <w:r>
        <w:rPr>
          <w:spacing w:val="-1"/>
          <w:w w:val="99"/>
          <w:sz w:val="20"/>
        </w:rPr>
        <w:t>g</w:t>
      </w:r>
      <w:r>
        <w:rPr>
          <w:spacing w:val="3"/>
          <w:w w:val="99"/>
          <w:sz w:val="20"/>
        </w:rPr>
        <w:t>m</w:t>
      </w:r>
      <w:r>
        <w:rPr>
          <w:spacing w:val="-1"/>
          <w:w w:val="99"/>
          <w:sz w:val="20"/>
        </w:rPr>
        <w:t>en</w:t>
      </w:r>
      <w:r>
        <w:rPr>
          <w:w w:val="99"/>
          <w:sz w:val="20"/>
        </w:rPr>
        <w:t>ts.</w:t>
      </w:r>
      <w:r>
        <w:rPr>
          <w:sz w:val="20"/>
        </w:rPr>
        <w:t xml:space="preserve"> </w:t>
      </w:r>
      <w:r>
        <w:rPr>
          <w:spacing w:val="-26"/>
          <w:sz w:val="20"/>
        </w:rPr>
        <w:t xml:space="preserve"> </w:t>
      </w:r>
      <w:r>
        <w:rPr>
          <w:w w:val="99"/>
          <w:sz w:val="20"/>
        </w:rPr>
        <w:t>If</w:t>
      </w:r>
      <w:r>
        <w:rPr>
          <w:sz w:val="20"/>
        </w:rPr>
        <w:t xml:space="preserve"> </w:t>
      </w:r>
      <w:r>
        <w:rPr>
          <w:spacing w:val="-26"/>
          <w:sz w:val="20"/>
        </w:rPr>
        <w:t xml:space="preserve"> </w:t>
      </w:r>
      <w:r>
        <w:rPr>
          <w:spacing w:val="1"/>
          <w:w w:val="99"/>
          <w:sz w:val="20"/>
        </w:rPr>
        <w:t>s</w:t>
      </w:r>
      <w:r>
        <w:rPr>
          <w:w w:val="99"/>
          <w:sz w:val="20"/>
        </w:rPr>
        <w:t>o</w:t>
      </w:r>
      <w:r>
        <w:rPr>
          <w:sz w:val="20"/>
        </w:rPr>
        <w:t xml:space="preserve"> </w:t>
      </w:r>
      <w:r>
        <w:rPr>
          <w:spacing w:val="-26"/>
          <w:sz w:val="20"/>
        </w:rPr>
        <w:t xml:space="preserve"> </w:t>
      </w:r>
      <w:r>
        <w:rPr>
          <w:w w:val="99"/>
          <w:sz w:val="20"/>
        </w:rPr>
        <w:t>r</w:t>
      </w:r>
      <w:r>
        <w:rPr>
          <w:spacing w:val="-1"/>
          <w:w w:val="99"/>
          <w:sz w:val="20"/>
        </w:rPr>
        <w:t>ead</w:t>
      </w:r>
      <w:r>
        <w:rPr>
          <w:w w:val="99"/>
          <w:sz w:val="20"/>
        </w:rPr>
        <w:t>,</w:t>
      </w:r>
      <w:r>
        <w:rPr>
          <w:sz w:val="20"/>
        </w:rPr>
        <w:t xml:space="preserve"> </w:t>
      </w:r>
      <w:r>
        <w:rPr>
          <w:spacing w:val="-26"/>
          <w:sz w:val="20"/>
        </w:rPr>
        <w:t xml:space="preserve"> </w:t>
      </w:r>
      <w:r>
        <w:rPr>
          <w:spacing w:val="-2"/>
          <w:w w:val="99"/>
          <w:sz w:val="20"/>
        </w:rPr>
        <w:t>i</w:t>
      </w:r>
      <w:r>
        <w:rPr>
          <w:w w:val="99"/>
          <w:sz w:val="20"/>
        </w:rPr>
        <w:t xml:space="preserve">t </w:t>
      </w:r>
      <w:r>
        <w:rPr>
          <w:sz w:val="20"/>
        </w:rPr>
        <w:t xml:space="preserve">cannot be forgotten that this would bring in, through the back door, the other provisions of Part III of the Constitution, which Article 26 is not subject to, in contrast with Article 25(1). In any case, the fundamental right under Article 26 will have to </w:t>
      </w:r>
      <w:r>
        <w:rPr>
          <w:sz w:val="20"/>
        </w:rPr>
        <w:t xml:space="preserve">be balanced with the rights of others contained in Part III as a matter of harmonious construction of these rights as was held in </w:t>
      </w:r>
      <w:r>
        <w:rPr>
          <w:b/>
          <w:sz w:val="20"/>
        </w:rPr>
        <w:t xml:space="preserve">Sri Venkataramana Devaru </w:t>
      </w:r>
      <w:r>
        <w:rPr>
          <w:sz w:val="20"/>
        </w:rPr>
        <w:t>(supra). But this would only be on a case to case basis, without necessarily subjecting the fundament</w:t>
      </w:r>
      <w:r>
        <w:rPr>
          <w:sz w:val="20"/>
        </w:rPr>
        <w:t>al right under Article 26 to other fundamental rights contained in Part</w:t>
      </w:r>
      <w:r>
        <w:rPr>
          <w:spacing w:val="-10"/>
          <w:sz w:val="20"/>
        </w:rPr>
        <w:t xml:space="preserve"> </w:t>
      </w:r>
      <w:r>
        <w:rPr>
          <w:sz w:val="20"/>
        </w:rPr>
        <w:t>III.</w:t>
      </w:r>
    </w:p>
    <w:p w:rsidR="003B2FC0" w:rsidRDefault="003B2FC0">
      <w:pPr>
        <w:jc w:val="both"/>
        <w:rPr>
          <w:sz w:val="20"/>
        </w:rPr>
        <w:sectPr w:rsidR="003B2FC0">
          <w:headerReference w:type="default" r:id="rId288"/>
          <w:footerReference w:type="default" r:id="rId289"/>
          <w:pgSz w:w="12240" w:h="15840"/>
          <w:pgMar w:top="1360" w:right="1320" w:bottom="1680" w:left="1340" w:header="0" w:footer="1492" w:gutter="0"/>
          <w:pgNumType w:start="53"/>
          <w:cols w:space="720"/>
        </w:sectPr>
      </w:pPr>
    </w:p>
    <w:p w:rsidR="003B2FC0" w:rsidRDefault="00052A49">
      <w:pPr>
        <w:pStyle w:val="BodyText"/>
        <w:spacing w:before="77" w:line="480" w:lineRule="auto"/>
        <w:ind w:left="383" w:right="401"/>
        <w:jc w:val="both"/>
        <w:rPr>
          <w:rFonts w:ascii="Arial" w:hAnsi="Arial"/>
        </w:rPr>
      </w:pPr>
      <w:r>
        <w:rPr>
          <w:rFonts w:ascii="Arial" w:hAnsi="Arial"/>
        </w:rPr>
        <w:t>in such a manner as to convert a person of another religious faith, such conversion would clash with the other person‘s right to freedom of conscience and would, therefore, be interdicted. Where the practice of religion is interfered with by the State, Art</w:t>
      </w:r>
      <w:r>
        <w:rPr>
          <w:rFonts w:ascii="Arial" w:hAnsi="Arial"/>
        </w:rPr>
        <w:t>icles 14, 15(1), 19, and 21 would spring into action. Where the practice of religion is interfered with by non-State actors, Article 15(2) and Article 17</w:t>
      </w:r>
      <w:r>
        <w:rPr>
          <w:rFonts w:ascii="Arial" w:hAnsi="Arial"/>
          <w:vertAlign w:val="superscript"/>
        </w:rPr>
        <w:t>3</w:t>
      </w:r>
      <w:r>
        <w:rPr>
          <w:rFonts w:ascii="Arial" w:hAnsi="Arial"/>
        </w:rPr>
        <w:t xml:space="preserve"> would spring into action.</w:t>
      </w:r>
    </w:p>
    <w:p w:rsidR="003B2FC0" w:rsidRDefault="00052A49">
      <w:pPr>
        <w:pStyle w:val="ListParagraph"/>
        <w:numPr>
          <w:ilvl w:val="2"/>
          <w:numId w:val="50"/>
        </w:numPr>
        <w:tabs>
          <w:tab w:val="left" w:pos="1234"/>
        </w:tabs>
        <w:spacing w:before="201" w:line="480" w:lineRule="auto"/>
        <w:ind w:right="411"/>
        <w:rPr>
          <w:sz w:val="28"/>
        </w:rPr>
      </w:pPr>
      <w:r>
        <w:rPr>
          <w:sz w:val="28"/>
        </w:rPr>
        <w:t>Article 25(2) is also an exception to Article 25(1), which speaks of the St</w:t>
      </w:r>
      <w:r>
        <w:rPr>
          <w:sz w:val="28"/>
        </w:rPr>
        <w:t xml:space="preserve">ate making laws which may regulate or restrict secular activity, which includes economic, financial or political activity, which may be associated with religious practice – </w:t>
      </w:r>
      <w:r>
        <w:rPr>
          <w:i/>
          <w:sz w:val="28"/>
        </w:rPr>
        <w:t xml:space="preserve">see </w:t>
      </w:r>
      <w:r>
        <w:rPr>
          <w:sz w:val="28"/>
        </w:rPr>
        <w:t>Article</w:t>
      </w:r>
      <w:r>
        <w:rPr>
          <w:spacing w:val="-4"/>
          <w:sz w:val="28"/>
        </w:rPr>
        <w:t xml:space="preserve"> </w:t>
      </w:r>
      <w:r>
        <w:rPr>
          <w:sz w:val="28"/>
        </w:rPr>
        <w:t>25(2)(a).</w:t>
      </w:r>
    </w:p>
    <w:p w:rsidR="003B2FC0" w:rsidRDefault="00052A49">
      <w:pPr>
        <w:pStyle w:val="ListParagraph"/>
        <w:numPr>
          <w:ilvl w:val="2"/>
          <w:numId w:val="50"/>
        </w:numPr>
        <w:tabs>
          <w:tab w:val="left" w:pos="1258"/>
        </w:tabs>
        <w:spacing w:before="199" w:line="480" w:lineRule="auto"/>
        <w:ind w:right="403"/>
        <w:rPr>
          <w:sz w:val="28"/>
        </w:rPr>
      </w:pPr>
      <w:r>
        <w:rPr>
          <w:sz w:val="28"/>
        </w:rPr>
        <w:t>Another exception is provided under Article 25(2)(b) which is</w:t>
      </w:r>
      <w:r>
        <w:rPr>
          <w:sz w:val="28"/>
        </w:rPr>
        <w:t xml:space="preserve"> in two parts. Any law providing for social welfare and reform in a religious community can also affect and/or take away the fundamental right granted under Article 25(1). A further exception is provided only insofar as</w:t>
      </w:r>
      <w:r>
        <w:rPr>
          <w:spacing w:val="45"/>
          <w:sz w:val="28"/>
        </w:rPr>
        <w:t xml:space="preserve"> </w:t>
      </w:r>
      <w:r>
        <w:rPr>
          <w:sz w:val="28"/>
        </w:rPr>
        <w:t>persons</w:t>
      </w:r>
      <w:r>
        <w:rPr>
          <w:spacing w:val="44"/>
          <w:sz w:val="28"/>
        </w:rPr>
        <w:t xml:space="preserve"> </w:t>
      </w:r>
      <w:r>
        <w:rPr>
          <w:sz w:val="28"/>
        </w:rPr>
        <w:t>professing</w:t>
      </w:r>
      <w:r>
        <w:rPr>
          <w:spacing w:val="43"/>
          <w:sz w:val="28"/>
        </w:rPr>
        <w:t xml:space="preserve"> </w:t>
      </w:r>
      <w:r>
        <w:rPr>
          <w:sz w:val="28"/>
        </w:rPr>
        <w:t>the</w:t>
      </w:r>
      <w:r>
        <w:rPr>
          <w:spacing w:val="42"/>
          <w:sz w:val="28"/>
        </w:rPr>
        <w:t xml:space="preserve"> </w:t>
      </w:r>
      <w:r>
        <w:rPr>
          <w:sz w:val="28"/>
        </w:rPr>
        <w:t>Hindu</w:t>
      </w:r>
      <w:r>
        <w:rPr>
          <w:spacing w:val="45"/>
          <w:sz w:val="28"/>
        </w:rPr>
        <w:t xml:space="preserve"> </w:t>
      </w:r>
      <w:r>
        <w:rPr>
          <w:sz w:val="28"/>
        </w:rPr>
        <w:t>religio</w:t>
      </w:r>
      <w:r>
        <w:rPr>
          <w:sz w:val="28"/>
        </w:rPr>
        <w:t>n</w:t>
      </w:r>
      <w:r>
        <w:rPr>
          <w:spacing w:val="45"/>
          <w:sz w:val="28"/>
        </w:rPr>
        <w:t xml:space="preserve"> </w:t>
      </w:r>
      <w:r>
        <w:rPr>
          <w:sz w:val="28"/>
        </w:rPr>
        <w:t>are</w:t>
      </w:r>
      <w:r>
        <w:rPr>
          <w:spacing w:val="43"/>
          <w:sz w:val="28"/>
        </w:rPr>
        <w:t xml:space="preserve"> </w:t>
      </w:r>
      <w:r>
        <w:rPr>
          <w:sz w:val="28"/>
        </w:rPr>
        <w:t>concerned,</w:t>
      </w:r>
      <w:r>
        <w:rPr>
          <w:spacing w:val="45"/>
          <w:sz w:val="28"/>
        </w:rPr>
        <w:t xml:space="preserve"> </w:t>
      </w:r>
      <w:r>
        <w:rPr>
          <w:sz w:val="28"/>
        </w:rPr>
        <w:t>which</w:t>
      </w:r>
      <w:r>
        <w:rPr>
          <w:spacing w:val="45"/>
          <w:sz w:val="28"/>
        </w:rPr>
        <w:t xml:space="preserve"> </w:t>
      </w:r>
      <w:r>
        <w:rPr>
          <w:sz w:val="28"/>
        </w:rPr>
        <w:t>is</w:t>
      </w:r>
      <w:r>
        <w:rPr>
          <w:spacing w:val="44"/>
          <w:sz w:val="28"/>
        </w:rPr>
        <w:t xml:space="preserve"> </w:t>
      </w:r>
      <w:r>
        <w:rPr>
          <w:sz w:val="28"/>
        </w:rPr>
        <w:t>to</w:t>
      </w:r>
    </w:p>
    <w:p w:rsidR="003B2FC0" w:rsidRDefault="003B2FC0">
      <w:pPr>
        <w:rPr>
          <w:sz w:val="20"/>
        </w:rPr>
      </w:pPr>
    </w:p>
    <w:p w:rsidR="003B2FC0" w:rsidRDefault="003B2FC0">
      <w:pPr>
        <w:rPr>
          <w:sz w:val="20"/>
        </w:rPr>
      </w:pPr>
    </w:p>
    <w:p w:rsidR="003B2FC0" w:rsidRDefault="003B2FC0">
      <w:pPr>
        <w:spacing w:before="1"/>
        <w:rPr>
          <w:sz w:val="17"/>
        </w:rPr>
      </w:pPr>
      <w:r w:rsidRPr="003B2FC0">
        <w:pict>
          <v:line id="_x0000_s1145" style="position:absolute;z-index:-251597312;mso-wrap-distance-left:0;mso-wrap-distance-right:0;mso-position-horizontal-relative:page" from="1in,12.2pt" to="216.05pt,12.2pt" strokeweight=".72pt">
            <w10:wrap type="topAndBottom" anchorx="page"/>
          </v:line>
        </w:pict>
      </w:r>
    </w:p>
    <w:p w:rsidR="003B2FC0" w:rsidRDefault="00052A49">
      <w:pPr>
        <w:spacing w:before="34"/>
        <w:ind w:left="242" w:right="120" w:hanging="142"/>
        <w:jc w:val="both"/>
        <w:rPr>
          <w:sz w:val="20"/>
        </w:rPr>
      </w:pPr>
      <w:r>
        <w:rPr>
          <w:position w:val="10"/>
          <w:sz w:val="13"/>
        </w:rPr>
        <w:t xml:space="preserve">3 </w:t>
      </w:r>
      <w:r>
        <w:rPr>
          <w:sz w:val="20"/>
        </w:rPr>
        <w:t xml:space="preserve">We were invited by the learned </w:t>
      </w:r>
      <w:r>
        <w:rPr>
          <w:i/>
          <w:sz w:val="20"/>
        </w:rPr>
        <w:t>Amicus Curiae</w:t>
      </w:r>
      <w:r>
        <w:rPr>
          <w:sz w:val="20"/>
        </w:rPr>
        <w:t>, Shri Raju Ramachandran, to construe Article 17 in wider terms than merely including those who were historically untouchables at the time of framing of the Constitution. We have refrained from doing so because, given our conclusion, based on Article 25(1)</w:t>
      </w:r>
      <w:r>
        <w:rPr>
          <w:sz w:val="20"/>
        </w:rPr>
        <w:t>, this would not directly arise for decision on the facts of this case.</w:t>
      </w:r>
    </w:p>
    <w:p w:rsidR="003B2FC0" w:rsidRDefault="003B2FC0">
      <w:pPr>
        <w:jc w:val="both"/>
        <w:rPr>
          <w:sz w:val="20"/>
        </w:rPr>
        <w:sectPr w:rsidR="003B2FC0">
          <w:headerReference w:type="default" r:id="rId290"/>
          <w:footerReference w:type="default" r:id="rId291"/>
          <w:pgSz w:w="12240" w:h="15840"/>
          <w:pgMar w:top="1360" w:right="1320" w:bottom="1680" w:left="1340" w:header="0" w:footer="1492" w:gutter="0"/>
          <w:pgNumType w:start="54"/>
          <w:cols w:space="720"/>
        </w:sectPr>
      </w:pPr>
    </w:p>
    <w:p w:rsidR="003B2FC0" w:rsidRDefault="00052A49">
      <w:pPr>
        <w:pStyle w:val="BodyText"/>
        <w:spacing w:before="77" w:line="480" w:lineRule="auto"/>
        <w:ind w:left="383" w:right="405"/>
        <w:jc w:val="both"/>
        <w:rPr>
          <w:rFonts w:ascii="Arial"/>
        </w:rPr>
      </w:pPr>
      <w:r>
        <w:rPr>
          <w:rFonts w:ascii="Arial"/>
        </w:rPr>
        <w:t>throw open all Hindu religious institutions of a public character to all classes and sections of Hindus.</w:t>
      </w:r>
    </w:p>
    <w:p w:rsidR="003B2FC0" w:rsidRDefault="00052A49">
      <w:pPr>
        <w:pStyle w:val="ListParagraph"/>
        <w:numPr>
          <w:ilvl w:val="2"/>
          <w:numId w:val="50"/>
        </w:numPr>
        <w:tabs>
          <w:tab w:val="left" w:pos="1305"/>
        </w:tabs>
        <w:spacing w:before="200" w:line="480" w:lineRule="auto"/>
        <w:ind w:right="405"/>
        <w:rPr>
          <w:sz w:val="28"/>
        </w:rPr>
      </w:pPr>
      <w:r>
        <w:rPr>
          <w:sz w:val="28"/>
        </w:rPr>
        <w:t>Contrasted with the fundamental right in</w:t>
      </w:r>
      <w:r>
        <w:rPr>
          <w:sz w:val="28"/>
        </w:rPr>
        <w:t xml:space="preserve"> Article 25(1) is the fundamental right granted by Article 26. This fundamental right is not granted to individuals but to religious denominations or sections thereof. A religious denomination or section thereof is to be determined on the basis of persons </w:t>
      </w:r>
      <w:r>
        <w:rPr>
          <w:sz w:val="28"/>
        </w:rPr>
        <w:t>having a common faith, a common organization, and designated by a distinct name as a denomination or section thereof. Believers of a particular religion are to be distinguished from denominational worshippers. Thus, Hindu believers of the Shaivite and Vais</w:t>
      </w:r>
      <w:r>
        <w:rPr>
          <w:sz w:val="28"/>
        </w:rPr>
        <w:t>hnavite form of worship are not denominational worshippers but part of the general Hindu religious form of</w:t>
      </w:r>
      <w:r>
        <w:rPr>
          <w:spacing w:val="-10"/>
          <w:sz w:val="28"/>
        </w:rPr>
        <w:t xml:space="preserve"> </w:t>
      </w:r>
      <w:r>
        <w:rPr>
          <w:sz w:val="28"/>
        </w:rPr>
        <w:t>worship.</w:t>
      </w:r>
    </w:p>
    <w:p w:rsidR="003B2FC0" w:rsidRDefault="00052A49">
      <w:pPr>
        <w:pStyle w:val="ListParagraph"/>
        <w:numPr>
          <w:ilvl w:val="2"/>
          <w:numId w:val="50"/>
        </w:numPr>
        <w:tabs>
          <w:tab w:val="left" w:pos="1313"/>
        </w:tabs>
        <w:spacing w:before="200" w:line="482" w:lineRule="auto"/>
        <w:ind w:right="406"/>
        <w:rPr>
          <w:sz w:val="28"/>
        </w:rPr>
      </w:pPr>
      <w:r>
        <w:rPr>
          <w:sz w:val="28"/>
        </w:rPr>
        <w:t>Four separate and distinct rights are given by Article 26 to religious denominations or sections thereof,</w:t>
      </w:r>
      <w:r>
        <w:rPr>
          <w:spacing w:val="-8"/>
          <w:sz w:val="28"/>
        </w:rPr>
        <w:t xml:space="preserve"> </w:t>
      </w:r>
      <w:r>
        <w:rPr>
          <w:sz w:val="28"/>
        </w:rPr>
        <w:t>namely:</w:t>
      </w:r>
    </w:p>
    <w:p w:rsidR="003B2FC0" w:rsidRDefault="00052A49">
      <w:pPr>
        <w:pStyle w:val="BodyText"/>
        <w:tabs>
          <w:tab w:val="left" w:pos="2583"/>
          <w:tab w:val="left" w:pos="3979"/>
          <w:tab w:val="left" w:pos="4742"/>
          <w:tab w:val="left" w:pos="6096"/>
          <w:tab w:val="left" w:pos="7709"/>
        </w:tabs>
        <w:spacing w:before="193" w:line="242" w:lineRule="auto"/>
        <w:ind w:left="1540" w:right="1542"/>
        <w:rPr>
          <w:rFonts w:ascii="Arial" w:hAnsi="Arial"/>
        </w:rPr>
      </w:pPr>
      <w:r>
        <w:rPr>
          <w:rFonts w:ascii="Arial" w:hAnsi="Arial"/>
          <w:w w:val="33"/>
        </w:rPr>
        <w:t>―</w:t>
      </w:r>
      <w:hyperlink r:id="rId292">
        <w:r>
          <w:rPr>
            <w:rFonts w:ascii="Arial" w:hAnsi="Arial"/>
          </w:rPr>
          <w:t>(a)</w:t>
        </w:r>
        <w:r>
          <w:rPr>
            <w:rFonts w:ascii="Arial" w:hAnsi="Arial"/>
            <w:spacing w:val="-1"/>
          </w:rPr>
          <w:t xml:space="preserve"> </w:t>
        </w:r>
      </w:hyperlink>
      <w:r>
        <w:rPr>
          <w:rFonts w:ascii="Arial" w:hAnsi="Arial"/>
        </w:rPr>
        <w:t>to</w:t>
      </w:r>
      <w:r>
        <w:rPr>
          <w:rFonts w:ascii="Arial" w:hAnsi="Arial"/>
        </w:rPr>
        <w:tab/>
      </w:r>
      <w:r>
        <w:rPr>
          <w:rFonts w:ascii="Arial" w:hAnsi="Arial"/>
          <w:spacing w:val="-3"/>
        </w:rPr>
        <w:t>e</w:t>
      </w:r>
      <w:r>
        <w:rPr>
          <w:rFonts w:ascii="Arial" w:hAnsi="Arial"/>
          <w:spacing w:val="-2"/>
        </w:rPr>
        <w:t>s</w:t>
      </w:r>
      <w:r>
        <w:rPr>
          <w:rFonts w:ascii="Arial" w:hAnsi="Arial"/>
        </w:rPr>
        <w:t>tabl</w:t>
      </w:r>
      <w:r>
        <w:rPr>
          <w:rFonts w:ascii="Arial" w:hAnsi="Arial"/>
          <w:spacing w:val="-3"/>
        </w:rPr>
        <w:t>i</w:t>
      </w:r>
      <w:r>
        <w:rPr>
          <w:rFonts w:ascii="Arial" w:hAnsi="Arial"/>
        </w:rPr>
        <w:t>sh</w:t>
      </w:r>
      <w:r>
        <w:rPr>
          <w:rFonts w:ascii="Arial" w:hAnsi="Arial"/>
        </w:rPr>
        <w:tab/>
      </w:r>
      <w:r>
        <w:rPr>
          <w:rFonts w:ascii="Arial" w:hAnsi="Arial"/>
        </w:rPr>
        <w:t>and</w:t>
      </w:r>
      <w:r>
        <w:rPr>
          <w:rFonts w:ascii="Arial" w:hAnsi="Arial"/>
        </w:rPr>
        <w:tab/>
      </w:r>
      <w:r>
        <w:rPr>
          <w:rFonts w:ascii="Arial" w:hAnsi="Arial"/>
          <w:spacing w:val="-2"/>
        </w:rPr>
        <w:t>m</w:t>
      </w:r>
      <w:r>
        <w:rPr>
          <w:rFonts w:ascii="Arial" w:hAnsi="Arial"/>
        </w:rPr>
        <w:t>ain</w:t>
      </w:r>
      <w:r>
        <w:rPr>
          <w:rFonts w:ascii="Arial" w:hAnsi="Arial"/>
          <w:spacing w:val="-2"/>
        </w:rPr>
        <w:t>t</w:t>
      </w:r>
      <w:r>
        <w:rPr>
          <w:rFonts w:ascii="Arial" w:hAnsi="Arial"/>
        </w:rPr>
        <w:t>ain</w:t>
      </w:r>
      <w:r>
        <w:rPr>
          <w:rFonts w:ascii="Arial" w:hAnsi="Arial"/>
        </w:rPr>
        <w:tab/>
      </w:r>
      <w:r>
        <w:rPr>
          <w:rFonts w:ascii="Arial" w:hAnsi="Arial"/>
        </w:rPr>
        <w:t>i</w:t>
      </w:r>
      <w:r>
        <w:rPr>
          <w:rFonts w:ascii="Arial" w:hAnsi="Arial"/>
          <w:spacing w:val="-3"/>
        </w:rPr>
        <w:t>n</w:t>
      </w:r>
      <w:r>
        <w:rPr>
          <w:rFonts w:ascii="Arial" w:hAnsi="Arial"/>
        </w:rPr>
        <w:t>st</w:t>
      </w:r>
      <w:r>
        <w:rPr>
          <w:rFonts w:ascii="Arial" w:hAnsi="Arial"/>
          <w:spacing w:val="-3"/>
        </w:rPr>
        <w:t>i</w:t>
      </w:r>
      <w:r>
        <w:rPr>
          <w:rFonts w:ascii="Arial" w:hAnsi="Arial"/>
        </w:rPr>
        <w:t>t</w:t>
      </w:r>
      <w:r>
        <w:rPr>
          <w:rFonts w:ascii="Arial" w:hAnsi="Arial"/>
          <w:spacing w:val="-3"/>
        </w:rPr>
        <w:t>u</w:t>
      </w:r>
      <w:r>
        <w:rPr>
          <w:rFonts w:ascii="Arial" w:hAnsi="Arial"/>
        </w:rPr>
        <w:t>tio</w:t>
      </w:r>
      <w:r>
        <w:rPr>
          <w:rFonts w:ascii="Arial" w:hAnsi="Arial"/>
          <w:spacing w:val="-3"/>
        </w:rPr>
        <w:t>n</w:t>
      </w:r>
      <w:r>
        <w:rPr>
          <w:rFonts w:ascii="Arial" w:hAnsi="Arial"/>
        </w:rPr>
        <w:t>s</w:t>
      </w:r>
      <w:r>
        <w:rPr>
          <w:rFonts w:ascii="Arial" w:hAnsi="Arial"/>
        </w:rPr>
        <w:tab/>
      </w:r>
      <w:r>
        <w:rPr>
          <w:rFonts w:ascii="Arial" w:hAnsi="Arial"/>
          <w:spacing w:val="-6"/>
        </w:rPr>
        <w:t>f</w:t>
      </w:r>
      <w:r>
        <w:rPr>
          <w:rFonts w:ascii="Arial" w:hAnsi="Arial"/>
          <w:spacing w:val="-9"/>
        </w:rPr>
        <w:t>o</w:t>
      </w:r>
      <w:r>
        <w:rPr>
          <w:rFonts w:ascii="Arial" w:hAnsi="Arial"/>
          <w:spacing w:val="-11"/>
        </w:rPr>
        <w:t>r</w:t>
      </w:r>
      <w:r>
        <w:rPr>
          <w:rFonts w:ascii="Arial" w:hAnsi="Arial"/>
        </w:rPr>
        <w:t xml:space="preserve"> </w:t>
      </w:r>
      <w:r>
        <w:rPr>
          <w:rFonts w:ascii="Arial" w:hAnsi="Arial"/>
        </w:rPr>
        <w:t>religious and charitable</w:t>
      </w:r>
      <w:r>
        <w:rPr>
          <w:rFonts w:ascii="Arial" w:hAnsi="Arial"/>
          <w:spacing w:val="-6"/>
        </w:rPr>
        <w:t xml:space="preserve"> </w:t>
      </w:r>
      <w:r>
        <w:rPr>
          <w:rFonts w:ascii="Arial" w:hAnsi="Arial"/>
        </w:rPr>
        <w:t>purposes;</w:t>
      </w:r>
    </w:p>
    <w:p w:rsidR="003B2FC0" w:rsidRDefault="00052A49">
      <w:pPr>
        <w:pStyle w:val="ListParagraph"/>
        <w:numPr>
          <w:ilvl w:val="0"/>
          <w:numId w:val="49"/>
        </w:numPr>
        <w:tabs>
          <w:tab w:val="left" w:pos="1961"/>
        </w:tabs>
        <w:spacing w:line="318" w:lineRule="exact"/>
        <w:rPr>
          <w:sz w:val="28"/>
        </w:rPr>
      </w:pPr>
      <w:r>
        <w:rPr>
          <w:sz w:val="28"/>
        </w:rPr>
        <w:t xml:space="preserve">to manage its </w:t>
      </w:r>
      <w:r>
        <w:rPr>
          <w:spacing w:val="-3"/>
          <w:sz w:val="28"/>
        </w:rPr>
        <w:t xml:space="preserve">own </w:t>
      </w:r>
      <w:r>
        <w:rPr>
          <w:sz w:val="28"/>
        </w:rPr>
        <w:t>affairs in matters of</w:t>
      </w:r>
      <w:r>
        <w:rPr>
          <w:spacing w:val="2"/>
          <w:sz w:val="28"/>
        </w:rPr>
        <w:t xml:space="preserve"> </w:t>
      </w:r>
      <w:r>
        <w:rPr>
          <w:sz w:val="28"/>
        </w:rPr>
        <w:t>religion;</w:t>
      </w:r>
    </w:p>
    <w:p w:rsidR="003B2FC0" w:rsidRDefault="00052A49">
      <w:pPr>
        <w:pStyle w:val="ListParagraph"/>
        <w:numPr>
          <w:ilvl w:val="0"/>
          <w:numId w:val="49"/>
        </w:numPr>
        <w:tabs>
          <w:tab w:val="left" w:pos="1946"/>
        </w:tabs>
        <w:ind w:left="1540" w:right="1542" w:firstLine="0"/>
        <w:rPr>
          <w:sz w:val="28"/>
        </w:rPr>
      </w:pPr>
      <w:r>
        <w:rPr>
          <w:sz w:val="28"/>
        </w:rPr>
        <w:t>to own and acquire movable and immovable property;</w:t>
      </w:r>
      <w:r>
        <w:rPr>
          <w:spacing w:val="1"/>
          <w:sz w:val="28"/>
        </w:rPr>
        <w:t xml:space="preserve"> </w:t>
      </w:r>
      <w:r>
        <w:rPr>
          <w:sz w:val="28"/>
        </w:rPr>
        <w:t>and</w:t>
      </w:r>
    </w:p>
    <w:p w:rsidR="003B2FC0" w:rsidRDefault="00052A49">
      <w:pPr>
        <w:pStyle w:val="ListParagraph"/>
        <w:numPr>
          <w:ilvl w:val="0"/>
          <w:numId w:val="49"/>
        </w:numPr>
        <w:tabs>
          <w:tab w:val="left" w:pos="1961"/>
        </w:tabs>
        <w:ind w:left="1540" w:right="1541" w:firstLine="0"/>
        <w:rPr>
          <w:sz w:val="28"/>
        </w:rPr>
      </w:pPr>
      <w:r>
        <w:rPr>
          <w:sz w:val="28"/>
        </w:rPr>
        <w:t>to administer such property in accordance with law.‖</w:t>
      </w:r>
    </w:p>
    <w:p w:rsidR="003B2FC0" w:rsidRDefault="003B2FC0">
      <w:pPr>
        <w:rPr>
          <w:sz w:val="28"/>
        </w:rPr>
        <w:sectPr w:rsidR="003B2FC0">
          <w:headerReference w:type="default" r:id="rId293"/>
          <w:footerReference w:type="default" r:id="rId294"/>
          <w:pgSz w:w="12240" w:h="15840"/>
          <w:pgMar w:top="1360" w:right="1320" w:bottom="1680" w:left="1340" w:header="0" w:footer="1492" w:gutter="0"/>
          <w:pgNumType w:start="55"/>
          <w:cols w:space="720"/>
        </w:sectPr>
      </w:pPr>
    </w:p>
    <w:p w:rsidR="003B2FC0" w:rsidRDefault="00052A49">
      <w:pPr>
        <w:pStyle w:val="BodyText"/>
        <w:spacing w:before="77" w:line="480" w:lineRule="auto"/>
        <w:ind w:left="383" w:right="412"/>
        <w:jc w:val="both"/>
        <w:rPr>
          <w:rFonts w:ascii="Arial"/>
        </w:rPr>
      </w:pPr>
      <w:r>
        <w:rPr>
          <w:rFonts w:ascii="Arial"/>
        </w:rPr>
        <w:t>As in Article 25, it is only essential religious matters which are protected by this Article.</w:t>
      </w:r>
    </w:p>
    <w:p w:rsidR="003B2FC0" w:rsidRDefault="00052A49">
      <w:pPr>
        <w:pStyle w:val="ListParagraph"/>
        <w:numPr>
          <w:ilvl w:val="2"/>
          <w:numId w:val="50"/>
        </w:numPr>
        <w:tabs>
          <w:tab w:val="left" w:pos="1253"/>
        </w:tabs>
        <w:spacing w:before="200" w:line="480" w:lineRule="auto"/>
        <w:ind w:right="407"/>
        <w:rPr>
          <w:sz w:val="28"/>
        </w:rPr>
      </w:pPr>
      <w:r>
        <w:rPr>
          <w:sz w:val="28"/>
        </w:rPr>
        <w:t>The fundamental right granted under Article 26 is subject to the exception of public order, morality, and health. However, since the right granted under Article 26 is to be harmoniously construed with Article 25(2)(b), the right to manage its own affairs i</w:t>
      </w:r>
      <w:r>
        <w:rPr>
          <w:sz w:val="28"/>
        </w:rPr>
        <w:t>n matters of religion granted by Article 26(b), in particular, will be subject to laws made under Article 25(2)(b) which throw open religious institutions of a public character to all classes and sections of</w:t>
      </w:r>
      <w:r>
        <w:rPr>
          <w:spacing w:val="-13"/>
          <w:sz w:val="28"/>
        </w:rPr>
        <w:t xml:space="preserve"> </w:t>
      </w:r>
      <w:r>
        <w:rPr>
          <w:sz w:val="28"/>
        </w:rPr>
        <w:t>Hindus.</w:t>
      </w:r>
    </w:p>
    <w:p w:rsidR="003B2FC0" w:rsidRDefault="00052A49">
      <w:pPr>
        <w:pStyle w:val="ListParagraph"/>
        <w:numPr>
          <w:ilvl w:val="2"/>
          <w:numId w:val="50"/>
        </w:numPr>
        <w:tabs>
          <w:tab w:val="left" w:pos="1286"/>
        </w:tabs>
        <w:spacing w:before="199" w:line="480" w:lineRule="auto"/>
        <w:ind w:right="403"/>
        <w:rPr>
          <w:sz w:val="28"/>
        </w:rPr>
      </w:pPr>
      <w:r>
        <w:rPr>
          <w:sz w:val="28"/>
        </w:rPr>
        <w:t>Thus, it is clear that even though the e</w:t>
      </w:r>
      <w:r>
        <w:rPr>
          <w:sz w:val="28"/>
        </w:rPr>
        <w:t>ntry of persons into a Hindu temple of a public character would pertain to management of its own affairs in matters of religion, yet such temple entry would be subject to a law throwing open a Hindu religious institution of a public character owned and man</w:t>
      </w:r>
      <w:r>
        <w:rPr>
          <w:sz w:val="28"/>
        </w:rPr>
        <w:t>aged by a religious denomination or section thereof to all classes or sections of Hindus. However, religious practices by the religious denomination or section thereof, which do not have the effect of either a complete ban on temple entry of certain person</w:t>
      </w:r>
      <w:r>
        <w:rPr>
          <w:sz w:val="28"/>
        </w:rPr>
        <w:t>s, or are otherwise not discriminatory, may pass muster under Article 26(b). Examples of such practices are that only certain</w:t>
      </w:r>
      <w:r>
        <w:rPr>
          <w:spacing w:val="36"/>
          <w:sz w:val="28"/>
        </w:rPr>
        <w:t xml:space="preserve"> </w:t>
      </w:r>
      <w:r>
        <w:rPr>
          <w:sz w:val="28"/>
        </w:rPr>
        <w:t>qualified</w:t>
      </w:r>
    </w:p>
    <w:p w:rsidR="003B2FC0" w:rsidRDefault="003B2FC0">
      <w:pPr>
        <w:spacing w:line="480" w:lineRule="auto"/>
        <w:jc w:val="both"/>
        <w:rPr>
          <w:sz w:val="28"/>
        </w:rPr>
        <w:sectPr w:rsidR="003B2FC0">
          <w:headerReference w:type="default" r:id="rId295"/>
          <w:footerReference w:type="default" r:id="rId296"/>
          <w:pgSz w:w="12240" w:h="15840"/>
          <w:pgMar w:top="1360" w:right="1320" w:bottom="1680" w:left="1340" w:header="0" w:footer="1492" w:gutter="0"/>
          <w:pgNumType w:start="56"/>
          <w:cols w:space="720"/>
        </w:sectPr>
      </w:pPr>
    </w:p>
    <w:p w:rsidR="003B2FC0" w:rsidRDefault="00052A49">
      <w:pPr>
        <w:pStyle w:val="BodyText"/>
        <w:spacing w:before="77" w:line="480" w:lineRule="auto"/>
        <w:ind w:left="383" w:right="402"/>
        <w:jc w:val="both"/>
        <w:rPr>
          <w:rFonts w:ascii="Arial"/>
        </w:rPr>
      </w:pPr>
      <w:r>
        <w:rPr>
          <w:rFonts w:ascii="Arial"/>
        </w:rPr>
        <w:t xml:space="preserve">persons are allowed to enter the </w:t>
      </w:r>
      <w:r>
        <w:rPr>
          <w:rFonts w:ascii="Arial"/>
          <w:i/>
        </w:rPr>
        <w:t xml:space="preserve">sanctum sanctorum </w:t>
      </w:r>
      <w:r>
        <w:rPr>
          <w:rFonts w:ascii="Arial"/>
        </w:rPr>
        <w:t>of a temple, or time management of a temple in which all persons are shut out for certain periods.</w:t>
      </w:r>
    </w:p>
    <w:p w:rsidR="003B2FC0" w:rsidRDefault="003B2FC0">
      <w:pPr>
        <w:spacing w:before="11"/>
        <w:rPr>
          <w:sz w:val="27"/>
        </w:rPr>
      </w:pPr>
    </w:p>
    <w:p w:rsidR="003B2FC0" w:rsidRDefault="00052A49">
      <w:pPr>
        <w:pStyle w:val="ListParagraph"/>
        <w:numPr>
          <w:ilvl w:val="1"/>
          <w:numId w:val="50"/>
        </w:numPr>
        <w:tabs>
          <w:tab w:val="left" w:pos="1234"/>
        </w:tabs>
        <w:spacing w:line="480" w:lineRule="auto"/>
        <w:ind w:left="383" w:right="401" w:firstLine="0"/>
        <w:jc w:val="both"/>
        <w:rPr>
          <w:sz w:val="28"/>
        </w:rPr>
      </w:pPr>
      <w:r>
        <w:rPr>
          <w:sz w:val="28"/>
        </w:rPr>
        <w:t xml:space="preserve">At this stage, it is important to advert to a Division Bench judgment of the Kerala High Court reported as </w:t>
      </w:r>
      <w:r>
        <w:rPr>
          <w:b/>
          <w:sz w:val="28"/>
        </w:rPr>
        <w:t>S. Mahendran v. The Secretary, Travancore Devaswo</w:t>
      </w:r>
      <w:r>
        <w:rPr>
          <w:b/>
          <w:sz w:val="28"/>
        </w:rPr>
        <w:t>m Board, Thiruvananthapuram and Ors.</w:t>
      </w:r>
      <w:r>
        <w:rPr>
          <w:sz w:val="28"/>
        </w:rPr>
        <w:t>, AIR 1993 Ker 42. A petition filed by Shri S. Mahendran was converted into a PIL by the High Court. The petition complained of young women offering prayers at the Sabarimala Temple. The Division Bench set out three ques</w:t>
      </w:r>
      <w:r>
        <w:rPr>
          <w:sz w:val="28"/>
        </w:rPr>
        <w:t>tions that arose, as</w:t>
      </w:r>
      <w:r>
        <w:rPr>
          <w:spacing w:val="-9"/>
          <w:sz w:val="28"/>
        </w:rPr>
        <w:t xml:space="preserve"> </w:t>
      </w:r>
      <w:r>
        <w:rPr>
          <w:sz w:val="28"/>
        </w:rPr>
        <w:t>follows:</w:t>
      </w:r>
    </w:p>
    <w:p w:rsidR="003B2FC0" w:rsidRDefault="00052A49">
      <w:pPr>
        <w:pStyle w:val="BodyText"/>
        <w:spacing w:before="202"/>
        <w:ind w:left="1540" w:right="1469"/>
        <w:rPr>
          <w:rFonts w:ascii="Arial" w:hAnsi="Arial"/>
        </w:rPr>
      </w:pPr>
      <w:r>
        <w:rPr>
          <w:rFonts w:ascii="Arial" w:hAnsi="Arial"/>
          <w:w w:val="33"/>
        </w:rPr>
        <w:t>―</w:t>
      </w:r>
      <w:r>
        <w:rPr>
          <w:rFonts w:ascii="Arial" w:hAnsi="Arial"/>
          <w:b/>
        </w:rPr>
        <w:t>12.</w:t>
      </w:r>
      <w:r>
        <w:rPr>
          <w:rFonts w:ascii="Arial" w:hAnsi="Arial"/>
          <w:b/>
        </w:rPr>
        <w:t xml:space="preserve">  </w:t>
      </w:r>
      <w:r>
        <w:rPr>
          <w:rFonts w:ascii="Arial" w:hAnsi="Arial"/>
        </w:rPr>
        <w:t>The</w:t>
      </w:r>
      <w:r>
        <w:rPr>
          <w:rFonts w:ascii="Arial" w:hAnsi="Arial"/>
        </w:rPr>
        <w:t xml:space="preserve">  </w:t>
      </w:r>
      <w:r>
        <w:rPr>
          <w:rFonts w:ascii="Arial" w:hAnsi="Arial"/>
        </w:rPr>
        <w:t>questions</w:t>
      </w:r>
      <w:r>
        <w:rPr>
          <w:rFonts w:ascii="Arial" w:hAnsi="Arial"/>
        </w:rPr>
        <w:t xml:space="preserve">  </w:t>
      </w:r>
      <w:r>
        <w:rPr>
          <w:rFonts w:ascii="Arial" w:hAnsi="Arial"/>
        </w:rPr>
        <w:t>which</w:t>
      </w:r>
      <w:r>
        <w:rPr>
          <w:rFonts w:ascii="Arial" w:hAnsi="Arial"/>
        </w:rPr>
        <w:t xml:space="preserve">  </w:t>
      </w:r>
      <w:r>
        <w:rPr>
          <w:rFonts w:ascii="Arial" w:hAnsi="Arial"/>
        </w:rPr>
        <w:t>require</w:t>
      </w:r>
      <w:r>
        <w:rPr>
          <w:rFonts w:ascii="Arial" w:hAnsi="Arial"/>
        </w:rPr>
        <w:t xml:space="preserve">  </w:t>
      </w:r>
      <w:r>
        <w:rPr>
          <w:rFonts w:ascii="Arial" w:hAnsi="Arial"/>
        </w:rPr>
        <w:t>answers</w:t>
      </w:r>
      <w:r>
        <w:rPr>
          <w:rFonts w:ascii="Arial" w:hAnsi="Arial"/>
        </w:rPr>
        <w:t xml:space="preserve">  </w:t>
      </w:r>
      <w:r>
        <w:rPr>
          <w:rFonts w:ascii="Arial" w:hAnsi="Arial"/>
        </w:rPr>
        <w:t>in</w:t>
      </w:r>
      <w:r>
        <w:rPr>
          <w:rFonts w:ascii="Arial" w:hAnsi="Arial"/>
        </w:rPr>
        <w:t xml:space="preserve">  </w:t>
      </w:r>
      <w:r>
        <w:rPr>
          <w:rFonts w:ascii="Arial" w:hAnsi="Arial"/>
        </w:rPr>
        <w:t xml:space="preserve">this </w:t>
      </w:r>
      <w:r>
        <w:rPr>
          <w:rFonts w:ascii="Arial" w:hAnsi="Arial"/>
        </w:rPr>
        <w:t>original petition are:</w:t>
      </w:r>
    </w:p>
    <w:p w:rsidR="003B2FC0" w:rsidRDefault="00052A49">
      <w:pPr>
        <w:pStyle w:val="ListParagraph"/>
        <w:numPr>
          <w:ilvl w:val="0"/>
          <w:numId w:val="48"/>
        </w:numPr>
        <w:tabs>
          <w:tab w:val="left" w:pos="2592"/>
        </w:tabs>
        <w:spacing w:before="199"/>
        <w:ind w:right="1537" w:firstLine="0"/>
        <w:jc w:val="both"/>
        <w:rPr>
          <w:sz w:val="28"/>
        </w:rPr>
      </w:pPr>
      <w:r>
        <w:rPr>
          <w:sz w:val="28"/>
        </w:rPr>
        <w:t>Whether woman [</w:t>
      </w:r>
      <w:r>
        <w:rPr>
          <w:i/>
          <w:sz w:val="28"/>
        </w:rPr>
        <w:t xml:space="preserve">sic </w:t>
      </w:r>
      <w:r>
        <w:rPr>
          <w:sz w:val="28"/>
        </w:rPr>
        <w:t>women] of the age group 10 to 50 can be permitted to enter the Sabarimala temple at any period of the year or during any of the festivals or poojas conducted in the</w:t>
      </w:r>
      <w:r>
        <w:rPr>
          <w:spacing w:val="-2"/>
          <w:sz w:val="28"/>
        </w:rPr>
        <w:t xml:space="preserve"> </w:t>
      </w:r>
      <w:r>
        <w:rPr>
          <w:sz w:val="28"/>
        </w:rPr>
        <w:t>temple.</w:t>
      </w:r>
    </w:p>
    <w:p w:rsidR="003B2FC0" w:rsidRDefault="00052A49">
      <w:pPr>
        <w:pStyle w:val="ListParagraph"/>
        <w:numPr>
          <w:ilvl w:val="0"/>
          <w:numId w:val="48"/>
        </w:numPr>
        <w:tabs>
          <w:tab w:val="left" w:pos="2537"/>
        </w:tabs>
        <w:spacing w:before="199"/>
        <w:ind w:right="1538" w:firstLine="0"/>
        <w:jc w:val="both"/>
        <w:rPr>
          <w:sz w:val="28"/>
        </w:rPr>
      </w:pPr>
      <w:r>
        <w:rPr>
          <w:sz w:val="28"/>
        </w:rPr>
        <w:t>Whether the denial of entry of that class of woman [</w:t>
      </w:r>
      <w:r>
        <w:rPr>
          <w:i/>
          <w:sz w:val="28"/>
        </w:rPr>
        <w:t xml:space="preserve">sic </w:t>
      </w:r>
      <w:r>
        <w:rPr>
          <w:sz w:val="28"/>
        </w:rPr>
        <w:t>women] amounts to discrimin</w:t>
      </w:r>
      <w:r>
        <w:rPr>
          <w:sz w:val="28"/>
        </w:rPr>
        <w:t>ation and [</w:t>
      </w:r>
      <w:r>
        <w:rPr>
          <w:i/>
          <w:sz w:val="28"/>
        </w:rPr>
        <w:t xml:space="preserve">sic </w:t>
      </w:r>
      <w:r>
        <w:rPr>
          <w:sz w:val="28"/>
        </w:rPr>
        <w:t>is] violative of Articles 15, 25 and 26 of the Constitution of India,</w:t>
      </w:r>
      <w:r>
        <w:rPr>
          <w:spacing w:val="-5"/>
          <w:sz w:val="28"/>
        </w:rPr>
        <w:t xml:space="preserve"> </w:t>
      </w:r>
      <w:r>
        <w:rPr>
          <w:sz w:val="28"/>
        </w:rPr>
        <w:t>and</w:t>
      </w:r>
    </w:p>
    <w:p w:rsidR="003B2FC0" w:rsidRDefault="00052A49">
      <w:pPr>
        <w:pStyle w:val="ListParagraph"/>
        <w:numPr>
          <w:ilvl w:val="0"/>
          <w:numId w:val="48"/>
        </w:numPr>
        <w:tabs>
          <w:tab w:val="left" w:pos="2577"/>
        </w:tabs>
        <w:spacing w:before="201"/>
        <w:ind w:right="1541" w:firstLine="0"/>
        <w:jc w:val="both"/>
        <w:rPr>
          <w:sz w:val="28"/>
        </w:rPr>
      </w:pPr>
      <w:r>
        <w:rPr>
          <w:sz w:val="28"/>
        </w:rPr>
        <w:t xml:space="preserve">Whether directions can be issued by this Court to the Devaswom Board and </w:t>
      </w:r>
      <w:r>
        <w:rPr>
          <w:spacing w:val="-4"/>
          <w:sz w:val="28"/>
        </w:rPr>
        <w:t xml:space="preserve">the </w:t>
      </w:r>
      <w:r>
        <w:rPr>
          <w:sz w:val="28"/>
        </w:rPr>
        <w:t>Government of Kerala to restrict the entry of such woman [</w:t>
      </w:r>
      <w:r>
        <w:rPr>
          <w:i/>
          <w:sz w:val="28"/>
        </w:rPr>
        <w:t xml:space="preserve">sic </w:t>
      </w:r>
      <w:r>
        <w:rPr>
          <w:sz w:val="28"/>
        </w:rPr>
        <w:t>women] to the</w:t>
      </w:r>
      <w:r>
        <w:rPr>
          <w:spacing w:val="-13"/>
          <w:sz w:val="28"/>
        </w:rPr>
        <w:t xml:space="preserve"> </w:t>
      </w:r>
      <w:r>
        <w:rPr>
          <w:sz w:val="28"/>
        </w:rPr>
        <w:t>temple?‖</w:t>
      </w:r>
    </w:p>
    <w:p w:rsidR="003B2FC0" w:rsidRDefault="003B2FC0">
      <w:pPr>
        <w:jc w:val="both"/>
        <w:rPr>
          <w:sz w:val="28"/>
        </w:rPr>
        <w:sectPr w:rsidR="003B2FC0">
          <w:headerReference w:type="default" r:id="rId297"/>
          <w:footerReference w:type="default" r:id="rId298"/>
          <w:pgSz w:w="12240" w:h="15840"/>
          <w:pgMar w:top="1360" w:right="1320" w:bottom="1680" w:left="1340" w:header="0" w:footer="1492" w:gutter="0"/>
          <w:pgNumType w:start="57"/>
          <w:cols w:space="720"/>
        </w:sectPr>
      </w:pPr>
    </w:p>
    <w:p w:rsidR="003B2FC0" w:rsidRDefault="003B2FC0">
      <w:pPr>
        <w:rPr>
          <w:sz w:val="20"/>
        </w:rPr>
      </w:pPr>
    </w:p>
    <w:p w:rsidR="003B2FC0" w:rsidRDefault="00052A49">
      <w:pPr>
        <w:pStyle w:val="BodyText"/>
        <w:spacing w:before="227" w:line="480" w:lineRule="auto"/>
        <w:ind w:left="383" w:right="400"/>
        <w:jc w:val="both"/>
        <w:rPr>
          <w:rFonts w:ascii="Arial" w:hAnsi="Arial"/>
        </w:rPr>
      </w:pPr>
      <w:r>
        <w:rPr>
          <w:rFonts w:ascii="Arial" w:hAnsi="Arial"/>
        </w:rPr>
        <w:t>The Division Bench referred to the all-important ―Vratham‖ (41-day penance), which, according to the Division Bench, ladies between the ages of 10 and 50 would not be physically capable of observing. In paragraph 7, the D</w:t>
      </w:r>
      <w:r>
        <w:rPr>
          <w:rFonts w:ascii="Arial" w:hAnsi="Arial"/>
        </w:rPr>
        <w:t>ivision Bench stated that while the old customs prevailed, women did visit the temple, though rarely, as a result of which, there was no prohibition. The affidavit filed on behalf of the Travancore Devaswom Board stated that, even in recent years, many fem</w:t>
      </w:r>
      <w:r>
        <w:rPr>
          <w:rFonts w:ascii="Arial" w:hAnsi="Arial"/>
        </w:rPr>
        <w:t>ale worshippers in the age group of 10 to 50 had gone to the temple for the first rice-feeding ceremony of their children. The Board, in fact, used to issue receipts on such occasions on payment of the prescribed charge. However, on the advice of the pries</w:t>
      </w:r>
      <w:r>
        <w:rPr>
          <w:rFonts w:ascii="Arial" w:hAnsi="Arial"/>
        </w:rPr>
        <w:t>t i.e. the Thanthri, changes were effected in order to preserve the temple‘s sanctity. The Division Bench found that women, irrespective of their age, were allowed to visit the temple when it opens for monthly poojas, but were not permitted to enter the te</w:t>
      </w:r>
      <w:r>
        <w:rPr>
          <w:rFonts w:ascii="Arial" w:hAnsi="Arial"/>
        </w:rPr>
        <w:t xml:space="preserve">mple during Mandalam, Makaravilakku, and Vishu seasons. After examining the evidence of one Thanthri, the Secretary of the Ayyappa Seva Sangham, and a 75- year old man who had personal knowledge of worshipping at the temple, the Division Bench stated that </w:t>
      </w:r>
      <w:r>
        <w:rPr>
          <w:rFonts w:ascii="Arial" w:hAnsi="Arial"/>
        </w:rPr>
        <w:t>the usage of not</w:t>
      </w:r>
      <w:r>
        <w:rPr>
          <w:rFonts w:ascii="Arial" w:hAnsi="Arial"/>
          <w:spacing w:val="-28"/>
        </w:rPr>
        <w:t xml:space="preserve"> </w:t>
      </w:r>
      <w:r>
        <w:rPr>
          <w:rFonts w:ascii="Arial" w:hAnsi="Arial"/>
        </w:rPr>
        <w:t>permitting</w:t>
      </w:r>
    </w:p>
    <w:p w:rsidR="003B2FC0" w:rsidRDefault="003B2FC0">
      <w:pPr>
        <w:spacing w:line="480" w:lineRule="auto"/>
        <w:jc w:val="both"/>
        <w:sectPr w:rsidR="003B2FC0">
          <w:headerReference w:type="default" r:id="rId299"/>
          <w:footerReference w:type="default" r:id="rId300"/>
          <w:pgSz w:w="12240" w:h="15840"/>
          <w:pgMar w:top="1500" w:right="1320" w:bottom="1680" w:left="1340" w:header="0" w:footer="1492" w:gutter="0"/>
          <w:pgNumType w:start="58"/>
          <w:cols w:space="720"/>
        </w:sectPr>
      </w:pPr>
    </w:p>
    <w:p w:rsidR="003B2FC0" w:rsidRDefault="00052A49">
      <w:pPr>
        <w:pStyle w:val="BodyText"/>
        <w:spacing w:before="77" w:line="480" w:lineRule="auto"/>
        <w:ind w:left="383" w:right="400"/>
        <w:jc w:val="both"/>
        <w:rPr>
          <w:rFonts w:ascii="Arial"/>
        </w:rPr>
      </w:pPr>
      <w:r>
        <w:rPr>
          <w:rFonts w:ascii="Arial"/>
        </w:rPr>
        <w:t xml:space="preserve">women between the age group of 10 to 50 to worship in the temple had been established. This was further sanctified by Devaprasnams conducted at Sabarimala by astrologers, who reported that the deity does not like young ladies entering the precincts of the </w:t>
      </w:r>
      <w:r>
        <w:rPr>
          <w:rFonts w:ascii="Arial"/>
        </w:rPr>
        <w:t>temple. It was then held in paragraph 38 that since women of the age group of 10 to 50 years would not be able to observe Vratham for a period of 41 days due to physiological reasons, they were not permitted to go on a pilgrimage of Sabarimala. It was also</w:t>
      </w:r>
      <w:r>
        <w:rPr>
          <w:rFonts w:ascii="Arial"/>
        </w:rPr>
        <w:t xml:space="preserve"> held that the deity is in the form of a </w:t>
      </w:r>
      <w:r>
        <w:rPr>
          <w:rFonts w:ascii="Arial"/>
          <w:i/>
        </w:rPr>
        <w:t>Naisthik Brahmachari</w:t>
      </w:r>
      <w:r>
        <w:rPr>
          <w:rFonts w:ascii="Arial"/>
        </w:rPr>
        <w:t>, as a result of which, young women should not offer worship in the temple, so that even the slightest deviation from celibacy and austerity observed by the deity is not caused by the presence of</w:t>
      </w:r>
      <w:r>
        <w:rPr>
          <w:rFonts w:ascii="Arial"/>
        </w:rPr>
        <w:t xml:space="preserve"> such women. The conclusion of the Division Bench in paragraph 44 was, therefore, as</w:t>
      </w:r>
      <w:r>
        <w:rPr>
          <w:rFonts w:ascii="Arial"/>
          <w:spacing w:val="-4"/>
        </w:rPr>
        <w:t xml:space="preserve"> </w:t>
      </w:r>
      <w:r>
        <w:rPr>
          <w:rFonts w:ascii="Arial"/>
        </w:rPr>
        <w:t>follows:</w:t>
      </w:r>
    </w:p>
    <w:p w:rsidR="003B2FC0" w:rsidRDefault="00052A49">
      <w:pPr>
        <w:pStyle w:val="BodyText"/>
        <w:spacing w:before="200"/>
        <w:ind w:left="1540"/>
        <w:rPr>
          <w:rFonts w:ascii="Arial" w:hAnsi="Arial"/>
        </w:rPr>
      </w:pPr>
      <w:r>
        <w:rPr>
          <w:rFonts w:ascii="Arial" w:hAnsi="Arial"/>
          <w:w w:val="33"/>
        </w:rPr>
        <w:t>―</w:t>
      </w:r>
      <w:r>
        <w:rPr>
          <w:rFonts w:ascii="Arial" w:hAnsi="Arial"/>
          <w:b/>
          <w:spacing w:val="-1"/>
        </w:rPr>
        <w:t>44</w:t>
      </w:r>
      <w:r>
        <w:rPr>
          <w:rFonts w:ascii="Arial" w:hAnsi="Arial"/>
          <w:b/>
        </w:rPr>
        <w:t>.</w:t>
      </w:r>
      <w:r>
        <w:rPr>
          <w:rFonts w:ascii="Arial" w:hAnsi="Arial"/>
          <w:b/>
        </w:rPr>
        <w:t xml:space="preserve"> </w:t>
      </w:r>
      <w:r>
        <w:rPr>
          <w:rFonts w:ascii="Arial" w:hAnsi="Arial"/>
        </w:rPr>
        <w:t>Our</w:t>
      </w:r>
      <w:r>
        <w:rPr>
          <w:rFonts w:ascii="Arial" w:hAnsi="Arial"/>
          <w:spacing w:val="-2"/>
        </w:rPr>
        <w:t xml:space="preserve"> </w:t>
      </w:r>
      <w:r>
        <w:rPr>
          <w:rFonts w:ascii="Arial" w:hAnsi="Arial"/>
        </w:rPr>
        <w:t>c</w:t>
      </w:r>
      <w:r>
        <w:rPr>
          <w:rFonts w:ascii="Arial" w:hAnsi="Arial"/>
          <w:spacing w:val="-3"/>
        </w:rPr>
        <w:t>o</w:t>
      </w:r>
      <w:r>
        <w:rPr>
          <w:rFonts w:ascii="Arial" w:hAnsi="Arial"/>
        </w:rPr>
        <w:t>ncl</w:t>
      </w:r>
      <w:r>
        <w:rPr>
          <w:rFonts w:ascii="Arial" w:hAnsi="Arial"/>
          <w:spacing w:val="-3"/>
        </w:rPr>
        <w:t>u</w:t>
      </w:r>
      <w:r>
        <w:rPr>
          <w:rFonts w:ascii="Arial" w:hAnsi="Arial"/>
        </w:rPr>
        <w:t>sio</w:t>
      </w:r>
      <w:r>
        <w:rPr>
          <w:rFonts w:ascii="Arial" w:hAnsi="Arial"/>
          <w:spacing w:val="-3"/>
        </w:rPr>
        <w:t>n</w:t>
      </w:r>
      <w:r>
        <w:rPr>
          <w:rFonts w:ascii="Arial" w:hAnsi="Arial"/>
        </w:rPr>
        <w:t>s</w:t>
      </w:r>
      <w:r>
        <w:rPr>
          <w:rFonts w:ascii="Arial" w:hAnsi="Arial"/>
          <w:spacing w:val="1"/>
        </w:rPr>
        <w:t xml:space="preserve"> </w:t>
      </w:r>
      <w:r>
        <w:rPr>
          <w:rFonts w:ascii="Arial" w:hAnsi="Arial"/>
          <w:spacing w:val="-3"/>
        </w:rPr>
        <w:t>a</w:t>
      </w:r>
      <w:r>
        <w:rPr>
          <w:rFonts w:ascii="Arial" w:hAnsi="Arial"/>
        </w:rPr>
        <w:t>re</w:t>
      </w:r>
      <w:r>
        <w:rPr>
          <w:rFonts w:ascii="Arial" w:hAnsi="Arial"/>
          <w:spacing w:val="1"/>
        </w:rPr>
        <w:t xml:space="preserve"> </w:t>
      </w:r>
      <w:r>
        <w:rPr>
          <w:rFonts w:ascii="Arial" w:hAnsi="Arial"/>
          <w:spacing w:val="-3"/>
        </w:rPr>
        <w:t>a</w:t>
      </w:r>
      <w:r>
        <w:rPr>
          <w:rFonts w:ascii="Arial" w:hAnsi="Arial"/>
        </w:rPr>
        <w:t>s</w:t>
      </w:r>
      <w:r>
        <w:rPr>
          <w:rFonts w:ascii="Arial" w:hAnsi="Arial"/>
          <w:spacing w:val="-1"/>
        </w:rPr>
        <w:t xml:space="preserve"> </w:t>
      </w:r>
      <w:r>
        <w:rPr>
          <w:rFonts w:ascii="Arial" w:hAnsi="Arial"/>
        </w:rPr>
        <w:t>fol</w:t>
      </w:r>
      <w:r>
        <w:rPr>
          <w:rFonts w:ascii="Arial" w:hAnsi="Arial"/>
          <w:spacing w:val="-3"/>
        </w:rPr>
        <w:t>l</w:t>
      </w:r>
      <w:r>
        <w:rPr>
          <w:rFonts w:ascii="Arial" w:hAnsi="Arial"/>
        </w:rPr>
        <w:t>o</w:t>
      </w:r>
      <w:r>
        <w:rPr>
          <w:rFonts w:ascii="Arial" w:hAnsi="Arial"/>
          <w:spacing w:val="-4"/>
        </w:rPr>
        <w:t>w</w:t>
      </w:r>
      <w:r>
        <w:rPr>
          <w:rFonts w:ascii="Arial" w:hAnsi="Arial"/>
        </w:rPr>
        <w:t>s:</w:t>
      </w:r>
    </w:p>
    <w:p w:rsidR="003B2FC0" w:rsidRDefault="00052A49">
      <w:pPr>
        <w:pStyle w:val="ListParagraph"/>
        <w:numPr>
          <w:ilvl w:val="0"/>
          <w:numId w:val="47"/>
        </w:numPr>
        <w:tabs>
          <w:tab w:val="left" w:pos="2599"/>
        </w:tabs>
        <w:spacing w:before="201"/>
        <w:ind w:right="1538" w:firstLine="0"/>
        <w:jc w:val="both"/>
        <w:rPr>
          <w:sz w:val="28"/>
        </w:rPr>
      </w:pPr>
      <w:r>
        <w:rPr>
          <w:sz w:val="28"/>
        </w:rPr>
        <w:t>The restriction imposed on women aged above 10 and below 50 from trekking the holy hills of Sabarimala and offering worship at Sabarimala Shrine is in accordance with the usage prevalent from time</w:t>
      </w:r>
      <w:r>
        <w:rPr>
          <w:spacing w:val="-6"/>
          <w:sz w:val="28"/>
        </w:rPr>
        <w:t xml:space="preserve"> </w:t>
      </w:r>
      <w:r>
        <w:rPr>
          <w:sz w:val="28"/>
        </w:rPr>
        <w:t>immemorial.</w:t>
      </w:r>
    </w:p>
    <w:p w:rsidR="003B2FC0" w:rsidRDefault="00052A49">
      <w:pPr>
        <w:pStyle w:val="ListParagraph"/>
        <w:numPr>
          <w:ilvl w:val="0"/>
          <w:numId w:val="47"/>
        </w:numPr>
        <w:tabs>
          <w:tab w:val="left" w:pos="2534"/>
        </w:tabs>
        <w:spacing w:before="200"/>
        <w:ind w:right="1542" w:firstLine="0"/>
        <w:jc w:val="both"/>
        <w:rPr>
          <w:sz w:val="28"/>
        </w:rPr>
      </w:pPr>
      <w:r>
        <w:rPr>
          <w:sz w:val="28"/>
        </w:rPr>
        <w:t xml:space="preserve">Such restriction imposed by the Devaswom Board </w:t>
      </w:r>
      <w:r>
        <w:rPr>
          <w:sz w:val="28"/>
        </w:rPr>
        <w:t>is not violative of Articles 15, 25 and 26 of the Constitution of</w:t>
      </w:r>
      <w:r>
        <w:rPr>
          <w:spacing w:val="-7"/>
          <w:sz w:val="28"/>
        </w:rPr>
        <w:t xml:space="preserve"> </w:t>
      </w:r>
      <w:r>
        <w:rPr>
          <w:sz w:val="28"/>
        </w:rPr>
        <w:t>India.</w:t>
      </w:r>
    </w:p>
    <w:p w:rsidR="003B2FC0" w:rsidRDefault="003B2FC0">
      <w:pPr>
        <w:jc w:val="both"/>
        <w:rPr>
          <w:sz w:val="28"/>
        </w:rPr>
        <w:sectPr w:rsidR="003B2FC0">
          <w:headerReference w:type="default" r:id="rId301"/>
          <w:footerReference w:type="default" r:id="rId302"/>
          <w:pgSz w:w="12240" w:h="15840"/>
          <w:pgMar w:top="1360" w:right="1320" w:bottom="1680" w:left="1340" w:header="0" w:footer="1492" w:gutter="0"/>
          <w:pgNumType w:start="59"/>
          <w:cols w:space="720"/>
        </w:sectPr>
      </w:pPr>
    </w:p>
    <w:p w:rsidR="003B2FC0" w:rsidRDefault="00052A49">
      <w:pPr>
        <w:pStyle w:val="ListParagraph"/>
        <w:numPr>
          <w:ilvl w:val="0"/>
          <w:numId w:val="47"/>
        </w:numPr>
        <w:tabs>
          <w:tab w:val="left" w:pos="2556"/>
        </w:tabs>
        <w:spacing w:before="77"/>
        <w:ind w:right="1538" w:firstLine="0"/>
        <w:jc w:val="both"/>
        <w:rPr>
          <w:sz w:val="28"/>
        </w:rPr>
      </w:pPr>
      <w:r>
        <w:rPr>
          <w:sz w:val="28"/>
        </w:rPr>
        <w:t>Such restriction is also not violative of the provisions of Hindu Place of Public Worship (Authorisation of Entry) Act, 1965 since there is no restriction between one section and another section or between one class and another class among the Hindus in th</w:t>
      </w:r>
      <w:r>
        <w:rPr>
          <w:sz w:val="28"/>
        </w:rPr>
        <w:t>e matter of entry to a temple whereas the prohibition is only in respect of women of a particular age group and not women as a</w:t>
      </w:r>
      <w:r>
        <w:rPr>
          <w:spacing w:val="-5"/>
          <w:sz w:val="28"/>
        </w:rPr>
        <w:t xml:space="preserve"> </w:t>
      </w:r>
      <w:r>
        <w:rPr>
          <w:sz w:val="28"/>
        </w:rPr>
        <w:t>class.‖</w:t>
      </w:r>
    </w:p>
    <w:p w:rsidR="003B2FC0" w:rsidRDefault="003B2FC0">
      <w:pPr>
        <w:rPr>
          <w:sz w:val="30"/>
        </w:rPr>
      </w:pPr>
    </w:p>
    <w:p w:rsidR="003B2FC0" w:rsidRDefault="00052A49">
      <w:pPr>
        <w:pStyle w:val="ListParagraph"/>
        <w:numPr>
          <w:ilvl w:val="1"/>
          <w:numId w:val="50"/>
        </w:numPr>
        <w:tabs>
          <w:tab w:val="left" w:pos="1234"/>
        </w:tabs>
        <w:spacing w:before="178" w:line="480" w:lineRule="auto"/>
        <w:ind w:left="383" w:right="401" w:firstLine="0"/>
        <w:jc w:val="both"/>
        <w:rPr>
          <w:sz w:val="28"/>
        </w:rPr>
      </w:pPr>
      <w:r>
        <w:rPr>
          <w:sz w:val="28"/>
        </w:rPr>
        <w:t>In the present writ petition filed before this Court, an affidavit filed by a Thanthri of the Sabarimala temple dated 23</w:t>
      </w:r>
      <w:r>
        <w:rPr>
          <w:sz w:val="28"/>
        </w:rPr>
        <w:t>.04.2016 makes interesting reading. According to the affidavit, two Brahmin brothers from Andhra Pradesh were tested by Sage Parasuram and were named ―Tharanam‖ and ―Thazhamon‖. The present Thanthri is a descendant of the Thazhamon brother, who is authoriz</w:t>
      </w:r>
      <w:r>
        <w:rPr>
          <w:sz w:val="28"/>
        </w:rPr>
        <w:t>ed to perform rituals in Sastha temples. The affidavit then refers to the Sabarimala Temple, which is dedicated to Lord Ayyappa, as a prominent temple in Kerala which is visited by over twenty million pilgrims and devotees every year. The temple is only op</w:t>
      </w:r>
      <w:r>
        <w:rPr>
          <w:sz w:val="28"/>
        </w:rPr>
        <w:t>en during the first five days of every Malayalam month, and during the festivals of Mandalam, Makaravilakku, and Vishu. Significantly, no daily poojas are performed in the said temple. It is stated in the affidavit that Lord Ayyappa had himself explained t</w:t>
      </w:r>
      <w:r>
        <w:rPr>
          <w:sz w:val="28"/>
        </w:rPr>
        <w:t>hat the pilgrimage to Sabarimala can be</w:t>
      </w:r>
      <w:r>
        <w:rPr>
          <w:spacing w:val="31"/>
          <w:sz w:val="28"/>
        </w:rPr>
        <w:t xml:space="preserve"> </w:t>
      </w:r>
      <w:r>
        <w:rPr>
          <w:sz w:val="28"/>
        </w:rPr>
        <w:t>undertaken</w:t>
      </w:r>
    </w:p>
    <w:p w:rsidR="003B2FC0" w:rsidRDefault="003B2FC0">
      <w:pPr>
        <w:spacing w:line="480" w:lineRule="auto"/>
        <w:jc w:val="both"/>
        <w:rPr>
          <w:sz w:val="28"/>
        </w:rPr>
        <w:sectPr w:rsidR="003B2FC0">
          <w:headerReference w:type="default" r:id="rId303"/>
          <w:footerReference w:type="default" r:id="rId304"/>
          <w:pgSz w:w="12240" w:h="15840"/>
          <w:pgMar w:top="1360" w:right="1320" w:bottom="1680" w:left="1340" w:header="0" w:footer="1492" w:gutter="0"/>
          <w:pgNumType w:start="60"/>
          <w:cols w:space="720"/>
        </w:sectPr>
      </w:pPr>
    </w:p>
    <w:p w:rsidR="003B2FC0" w:rsidRDefault="00052A49">
      <w:pPr>
        <w:pStyle w:val="BodyText"/>
        <w:spacing w:before="77" w:line="480" w:lineRule="auto"/>
        <w:ind w:left="383" w:right="405"/>
        <w:jc w:val="both"/>
        <w:rPr>
          <w:rFonts w:ascii="Arial"/>
        </w:rPr>
      </w:pPr>
      <w:r>
        <w:rPr>
          <w:rFonts w:ascii="Arial"/>
        </w:rPr>
        <w:t>only by the performance of Vratham, which are religious austerities that train man for evolution to spiritual</w:t>
      </w:r>
      <w:r>
        <w:rPr>
          <w:rFonts w:ascii="Arial"/>
          <w:spacing w:val="-11"/>
        </w:rPr>
        <w:t xml:space="preserve"> </w:t>
      </w:r>
      <w:r>
        <w:rPr>
          <w:rFonts w:ascii="Arial"/>
        </w:rPr>
        <w:t>consciousness.</w:t>
      </w:r>
    </w:p>
    <w:p w:rsidR="003B2FC0" w:rsidRDefault="00052A49">
      <w:pPr>
        <w:pStyle w:val="BodyText"/>
        <w:spacing w:before="200"/>
        <w:ind w:left="383"/>
        <w:rPr>
          <w:rFonts w:ascii="Arial"/>
        </w:rPr>
      </w:pPr>
      <w:r>
        <w:rPr>
          <w:rFonts w:ascii="Arial"/>
        </w:rPr>
        <w:t>Paragraph 10 of the affidavit is important and states as follows:-</w:t>
      </w:r>
    </w:p>
    <w:p w:rsidR="003B2FC0" w:rsidRDefault="003B2FC0">
      <w:pPr>
        <w:rPr>
          <w:sz w:val="30"/>
        </w:rPr>
      </w:pPr>
    </w:p>
    <w:p w:rsidR="003B2FC0" w:rsidRDefault="00052A49">
      <w:pPr>
        <w:pStyle w:val="BodyText"/>
        <w:spacing w:before="178"/>
        <w:ind w:left="1540" w:right="1536"/>
        <w:jc w:val="both"/>
        <w:rPr>
          <w:rFonts w:ascii="Arial" w:hAnsi="Arial"/>
        </w:rPr>
      </w:pPr>
      <w:r>
        <w:rPr>
          <w:rFonts w:ascii="Arial" w:hAnsi="Arial"/>
          <w:w w:val="33"/>
        </w:rPr>
        <w:t>―</w:t>
      </w:r>
      <w:r>
        <w:rPr>
          <w:rFonts w:ascii="Arial" w:hAnsi="Arial"/>
          <w:b/>
          <w:spacing w:val="-1"/>
        </w:rPr>
        <w:t>10</w:t>
      </w:r>
      <w:r>
        <w:rPr>
          <w:rFonts w:ascii="Arial" w:hAnsi="Arial"/>
          <w:b/>
        </w:rPr>
        <w:t>.</w:t>
      </w:r>
      <w:r>
        <w:rPr>
          <w:rFonts w:ascii="Arial" w:hAnsi="Arial"/>
          <w:b/>
          <w:spacing w:val="5"/>
        </w:rPr>
        <w:t xml:space="preserve"> </w:t>
      </w:r>
      <w:r>
        <w:rPr>
          <w:rFonts w:ascii="Arial" w:hAnsi="Arial"/>
        </w:rPr>
        <w:t>I</w:t>
      </w:r>
      <w:r>
        <w:rPr>
          <w:rFonts w:ascii="Arial" w:hAnsi="Arial"/>
          <w:spacing w:val="6"/>
        </w:rPr>
        <w:t xml:space="preserve"> </w:t>
      </w:r>
      <w:r>
        <w:rPr>
          <w:rFonts w:ascii="Arial" w:hAnsi="Arial"/>
        </w:rPr>
        <w:t>s</w:t>
      </w:r>
      <w:r>
        <w:rPr>
          <w:rFonts w:ascii="Arial" w:hAnsi="Arial"/>
          <w:spacing w:val="-1"/>
        </w:rPr>
        <w:t>ub</w:t>
      </w:r>
      <w:r>
        <w:rPr>
          <w:rFonts w:ascii="Arial" w:hAnsi="Arial"/>
          <w:spacing w:val="-2"/>
        </w:rPr>
        <w:t>m</w:t>
      </w:r>
      <w:r>
        <w:rPr>
          <w:rFonts w:ascii="Arial" w:hAnsi="Arial"/>
          <w:spacing w:val="-3"/>
        </w:rPr>
        <w:t>i</w:t>
      </w:r>
      <w:r>
        <w:rPr>
          <w:rFonts w:ascii="Arial" w:hAnsi="Arial"/>
        </w:rPr>
        <w:t>t</w:t>
      </w:r>
      <w:r>
        <w:rPr>
          <w:rFonts w:ascii="Arial" w:hAnsi="Arial"/>
          <w:spacing w:val="4"/>
        </w:rPr>
        <w:t xml:space="preserve"> </w:t>
      </w:r>
      <w:r>
        <w:rPr>
          <w:rFonts w:ascii="Arial" w:hAnsi="Arial"/>
        </w:rPr>
        <w:t>t</w:t>
      </w:r>
      <w:r>
        <w:rPr>
          <w:rFonts w:ascii="Arial" w:hAnsi="Arial"/>
          <w:spacing w:val="-1"/>
        </w:rPr>
        <w:t>ha</w:t>
      </w:r>
      <w:r>
        <w:rPr>
          <w:rFonts w:ascii="Arial" w:hAnsi="Arial"/>
        </w:rPr>
        <w:t>t</w:t>
      </w:r>
      <w:r>
        <w:rPr>
          <w:rFonts w:ascii="Arial" w:hAnsi="Arial"/>
          <w:spacing w:val="4"/>
        </w:rPr>
        <w:t xml:space="preserve"> </w:t>
      </w:r>
      <w:r>
        <w:rPr>
          <w:rFonts w:ascii="Arial" w:hAnsi="Arial"/>
          <w:spacing w:val="-3"/>
        </w:rPr>
        <w:t>a</w:t>
      </w:r>
      <w:r>
        <w:rPr>
          <w:rFonts w:ascii="Arial" w:hAnsi="Arial"/>
        </w:rPr>
        <w:t>s</w:t>
      </w:r>
      <w:r>
        <w:rPr>
          <w:rFonts w:ascii="Arial" w:hAnsi="Arial"/>
          <w:spacing w:val="6"/>
        </w:rPr>
        <w:t xml:space="preserve"> </w:t>
      </w:r>
      <w:r>
        <w:rPr>
          <w:rFonts w:ascii="Arial" w:hAnsi="Arial"/>
          <w:spacing w:val="-1"/>
        </w:rPr>
        <w:t>pa</w:t>
      </w:r>
      <w:r>
        <w:rPr>
          <w:rFonts w:ascii="Arial" w:hAnsi="Arial"/>
          <w:spacing w:val="-3"/>
        </w:rPr>
        <w:t>r</w:t>
      </w:r>
      <w:r>
        <w:rPr>
          <w:rFonts w:ascii="Arial" w:hAnsi="Arial"/>
        </w:rPr>
        <w:t>t</w:t>
      </w:r>
      <w:r>
        <w:rPr>
          <w:rFonts w:ascii="Arial" w:hAnsi="Arial"/>
          <w:spacing w:val="6"/>
        </w:rPr>
        <w:t xml:space="preserve"> </w:t>
      </w:r>
      <w:r>
        <w:rPr>
          <w:rFonts w:ascii="Arial" w:hAnsi="Arial"/>
          <w:spacing w:val="-1"/>
        </w:rPr>
        <w:t>o</w:t>
      </w:r>
      <w:r>
        <w:rPr>
          <w:rFonts w:ascii="Arial" w:hAnsi="Arial"/>
        </w:rPr>
        <w:t>f</w:t>
      </w:r>
      <w:r>
        <w:rPr>
          <w:rFonts w:ascii="Arial" w:hAnsi="Arial"/>
          <w:spacing w:val="4"/>
        </w:rPr>
        <w:t xml:space="preserve"> </w:t>
      </w:r>
      <w:r>
        <w:rPr>
          <w:rFonts w:ascii="Arial" w:hAnsi="Arial"/>
          <w:spacing w:val="-1"/>
        </w:rPr>
        <w:t>ob</w:t>
      </w:r>
      <w:r>
        <w:rPr>
          <w:rFonts w:ascii="Arial" w:hAnsi="Arial"/>
        </w:rPr>
        <w:t>s</w:t>
      </w:r>
      <w:r>
        <w:rPr>
          <w:rFonts w:ascii="Arial" w:hAnsi="Arial"/>
          <w:spacing w:val="-3"/>
        </w:rPr>
        <w:t>e</w:t>
      </w:r>
      <w:r>
        <w:rPr>
          <w:rFonts w:ascii="Arial" w:hAnsi="Arial"/>
        </w:rPr>
        <w:t>r</w:t>
      </w:r>
      <w:r>
        <w:rPr>
          <w:rFonts w:ascii="Arial" w:hAnsi="Arial"/>
          <w:spacing w:val="-4"/>
        </w:rPr>
        <w:t>v</w:t>
      </w:r>
      <w:r>
        <w:rPr>
          <w:rFonts w:ascii="Arial" w:hAnsi="Arial"/>
          <w:spacing w:val="-1"/>
        </w:rPr>
        <w:t>in</w:t>
      </w:r>
      <w:r>
        <w:rPr>
          <w:rFonts w:ascii="Arial" w:hAnsi="Arial"/>
        </w:rPr>
        <w:t>g</w:t>
      </w:r>
      <w:r>
        <w:rPr>
          <w:rFonts w:ascii="Arial" w:hAnsi="Arial"/>
          <w:spacing w:val="5"/>
        </w:rPr>
        <w:t xml:space="preserve"> </w:t>
      </w:r>
      <w:r>
        <w:rPr>
          <w:rFonts w:ascii="Arial" w:hAnsi="Arial"/>
          <w:w w:val="55"/>
        </w:rPr>
        <w:t>―</w:t>
      </w:r>
      <w:r>
        <w:rPr>
          <w:rFonts w:ascii="Arial" w:hAnsi="Arial"/>
          <w:spacing w:val="-4"/>
          <w:w w:val="55"/>
        </w:rPr>
        <w:t>v</w:t>
      </w:r>
      <w:r>
        <w:rPr>
          <w:rFonts w:ascii="Arial" w:hAnsi="Arial"/>
        </w:rPr>
        <w:t>rut</w:t>
      </w:r>
      <w:r>
        <w:rPr>
          <w:rFonts w:ascii="Arial" w:hAnsi="Arial"/>
          <w:spacing w:val="-1"/>
        </w:rPr>
        <w:t>ha</w:t>
      </w:r>
      <w:r>
        <w:rPr>
          <w:rFonts w:ascii="Arial" w:hAnsi="Arial"/>
          <w:spacing w:val="-2"/>
        </w:rPr>
        <w:t>m</w:t>
      </w:r>
      <w:r>
        <w:rPr>
          <w:rFonts w:ascii="Arial" w:hAnsi="Arial"/>
          <w:w w:val="88"/>
        </w:rPr>
        <w:t>‖,</w:t>
      </w:r>
      <w:r>
        <w:rPr>
          <w:rFonts w:ascii="Arial" w:hAnsi="Arial"/>
          <w:spacing w:val="6"/>
        </w:rPr>
        <w:t xml:space="preserve"> </w:t>
      </w:r>
      <w:r>
        <w:rPr>
          <w:rFonts w:ascii="Arial" w:hAnsi="Arial"/>
        </w:rPr>
        <w:t>t</w:t>
      </w:r>
      <w:r>
        <w:rPr>
          <w:rFonts w:ascii="Arial" w:hAnsi="Arial"/>
          <w:spacing w:val="-1"/>
        </w:rPr>
        <w:t xml:space="preserve">he </w:t>
      </w:r>
      <w:r>
        <w:rPr>
          <w:rFonts w:ascii="Arial" w:hAnsi="Arial"/>
        </w:rPr>
        <w:t>person going on pilgrimage to Sabarimala separates himself from all family ties and becomes a student celibate who is under Shastras banned any contact with females of the fertile age group. Everywhere when somebody takes on the ―vrutham‖, either the women</w:t>
      </w:r>
      <w:r>
        <w:rPr>
          <w:rFonts w:ascii="Arial" w:hAnsi="Arial"/>
        </w:rPr>
        <w:t xml:space="preserve"> leave the house and take up residence elsewhere or the men separate themselves from the family so that normal Asauchas in the house do not affect his ―vrutham‖. The problem with women is that they cannot complete the 41 days vrutham because the Asaucham o</w:t>
      </w:r>
      <w:r>
        <w:rPr>
          <w:rFonts w:ascii="Arial" w:hAnsi="Arial"/>
        </w:rPr>
        <w:t>f periods will surely fall within the 41 days. It is not a mere physiological phenomenon. It is the custom among all Hindus  that women during periods do not go to Temples or participate in religious activity. This is as per the statement of the basic Than</w:t>
      </w:r>
      <w:r>
        <w:rPr>
          <w:rFonts w:ascii="Arial" w:hAnsi="Arial"/>
        </w:rPr>
        <w:t>tric text of Temple worshipping in Kerala Thanthra Samuchayam, Chapter 10, Verse II. A true copy of the relevant page of Thanthra Samuchchaya is attached herewith and marked as Annexure A-1 (Pages 30- 31).‖</w:t>
      </w:r>
    </w:p>
    <w:p w:rsidR="003B2FC0" w:rsidRDefault="003B2FC0">
      <w:pPr>
        <w:rPr>
          <w:sz w:val="30"/>
        </w:rPr>
      </w:pPr>
    </w:p>
    <w:p w:rsidR="003B2FC0" w:rsidRDefault="00052A49">
      <w:pPr>
        <w:pStyle w:val="BodyText"/>
        <w:spacing w:before="178" w:line="480" w:lineRule="auto"/>
        <w:ind w:left="383" w:right="404"/>
        <w:jc w:val="both"/>
        <w:rPr>
          <w:rFonts w:ascii="Arial"/>
        </w:rPr>
      </w:pPr>
      <w:r>
        <w:rPr>
          <w:rFonts w:ascii="Arial"/>
        </w:rPr>
        <w:t>The affidavit then goes on to state that the Sha</w:t>
      </w:r>
      <w:r>
        <w:rPr>
          <w:rFonts w:ascii="Arial"/>
        </w:rPr>
        <w:t>stras forbid religious austerity by menstruating women, which is why women above the age of 10 and below the age of 50 are not allowed entering into the temple. The affidavit then states, in paragraph 15:</w:t>
      </w:r>
    </w:p>
    <w:p w:rsidR="003B2FC0" w:rsidRDefault="003B2FC0">
      <w:pPr>
        <w:spacing w:line="480" w:lineRule="auto"/>
        <w:jc w:val="both"/>
        <w:sectPr w:rsidR="003B2FC0">
          <w:headerReference w:type="default" r:id="rId305"/>
          <w:footerReference w:type="default" r:id="rId306"/>
          <w:pgSz w:w="12240" w:h="15840"/>
          <w:pgMar w:top="1360" w:right="1320" w:bottom="1680" w:left="1340" w:header="0" w:footer="1492" w:gutter="0"/>
          <w:pgNumType w:start="61"/>
          <w:cols w:space="720"/>
        </w:sectPr>
      </w:pPr>
    </w:p>
    <w:p w:rsidR="003B2FC0" w:rsidRDefault="00052A49">
      <w:pPr>
        <w:pStyle w:val="BodyText"/>
        <w:tabs>
          <w:tab w:val="left" w:leader="dot" w:pos="3830"/>
        </w:tabs>
        <w:spacing w:before="77"/>
        <w:ind w:left="1540" w:right="1536"/>
        <w:jc w:val="both"/>
        <w:rPr>
          <w:rFonts w:ascii="Arial" w:hAnsi="Arial"/>
        </w:rPr>
      </w:pPr>
      <w:r>
        <w:rPr>
          <w:rFonts w:ascii="Arial" w:hAnsi="Arial"/>
          <w:w w:val="33"/>
        </w:rPr>
        <w:t>―</w:t>
      </w:r>
      <w:r>
        <w:rPr>
          <w:rFonts w:ascii="Arial" w:hAnsi="Arial"/>
          <w:b/>
          <w:spacing w:val="-1"/>
        </w:rPr>
        <w:t>15</w:t>
      </w:r>
      <w:r>
        <w:rPr>
          <w:rFonts w:ascii="Arial" w:hAnsi="Arial"/>
          <w:b/>
        </w:rPr>
        <w:t>.</w:t>
      </w:r>
      <w:r>
        <w:rPr>
          <w:rFonts w:ascii="Arial" w:hAnsi="Arial"/>
          <w:b/>
        </w:rPr>
        <w:t xml:space="preserve"> </w:t>
      </w:r>
      <w:r>
        <w:rPr>
          <w:rFonts w:ascii="Arial" w:hAnsi="Arial"/>
          <w:b/>
          <w:spacing w:val="-4"/>
        </w:rPr>
        <w:t xml:space="preserve"> </w:t>
      </w:r>
      <w:r>
        <w:rPr>
          <w:rFonts w:ascii="Arial" w:hAnsi="Arial"/>
        </w:rPr>
        <w:t>………</w:t>
      </w:r>
      <w:r>
        <w:rPr>
          <w:rFonts w:ascii="Arial" w:hAnsi="Arial"/>
        </w:rPr>
        <w:t xml:space="preserve"> </w:t>
      </w:r>
      <w:r>
        <w:rPr>
          <w:rFonts w:ascii="Arial" w:hAnsi="Arial"/>
          <w:spacing w:val="-4"/>
        </w:rPr>
        <w:t xml:space="preserve"> </w:t>
      </w:r>
      <w:r>
        <w:rPr>
          <w:rFonts w:ascii="Arial" w:hAnsi="Arial"/>
          <w:spacing w:val="-2"/>
        </w:rPr>
        <w:t>D</w:t>
      </w:r>
      <w:r>
        <w:rPr>
          <w:rFonts w:ascii="Arial" w:hAnsi="Arial"/>
        </w:rPr>
        <w:t>uring</w:t>
      </w:r>
      <w:r>
        <w:rPr>
          <w:rFonts w:ascii="Arial" w:hAnsi="Arial"/>
        </w:rPr>
        <w:t xml:space="preserve"> </w:t>
      </w:r>
      <w:r>
        <w:rPr>
          <w:rFonts w:ascii="Arial" w:hAnsi="Arial"/>
          <w:spacing w:val="-5"/>
        </w:rPr>
        <w:t xml:space="preserve"> </w:t>
      </w:r>
      <w:r>
        <w:rPr>
          <w:rFonts w:ascii="Arial" w:hAnsi="Arial"/>
        </w:rPr>
        <w:t>th</w:t>
      </w:r>
      <w:r>
        <w:rPr>
          <w:rFonts w:ascii="Arial" w:hAnsi="Arial"/>
          <w:spacing w:val="-3"/>
        </w:rPr>
        <w:t>i</w:t>
      </w:r>
      <w:r>
        <w:rPr>
          <w:rFonts w:ascii="Arial" w:hAnsi="Arial"/>
        </w:rPr>
        <w:t>s</w:t>
      </w:r>
      <w:r>
        <w:rPr>
          <w:rFonts w:ascii="Arial" w:hAnsi="Arial"/>
        </w:rPr>
        <w:t xml:space="preserve"> </w:t>
      </w:r>
      <w:r>
        <w:rPr>
          <w:rFonts w:ascii="Arial" w:hAnsi="Arial"/>
          <w:spacing w:val="-4"/>
        </w:rPr>
        <w:t xml:space="preserve"> </w:t>
      </w:r>
      <w:r>
        <w:rPr>
          <w:rFonts w:ascii="Arial" w:hAnsi="Arial"/>
        </w:rPr>
        <w:t>perio</w:t>
      </w:r>
      <w:r>
        <w:rPr>
          <w:rFonts w:ascii="Arial" w:hAnsi="Arial"/>
          <w:spacing w:val="-3"/>
        </w:rPr>
        <w:t>d</w:t>
      </w:r>
      <w:r>
        <w:rPr>
          <w:rFonts w:ascii="Arial" w:hAnsi="Arial"/>
        </w:rPr>
        <w:t>,</w:t>
      </w:r>
      <w:r>
        <w:rPr>
          <w:rFonts w:ascii="Arial" w:hAnsi="Arial"/>
        </w:rPr>
        <w:t xml:space="preserve"> </w:t>
      </w:r>
      <w:r>
        <w:rPr>
          <w:rFonts w:ascii="Arial" w:hAnsi="Arial"/>
          <w:spacing w:val="-2"/>
        </w:rPr>
        <w:t xml:space="preserve"> </w:t>
      </w:r>
      <w:r>
        <w:rPr>
          <w:rFonts w:ascii="Arial" w:hAnsi="Arial"/>
          <w:spacing w:val="-2"/>
        </w:rPr>
        <w:t>m</w:t>
      </w:r>
      <w:r>
        <w:rPr>
          <w:rFonts w:ascii="Arial" w:hAnsi="Arial"/>
        </w:rPr>
        <w:t>any</w:t>
      </w:r>
      <w:r>
        <w:rPr>
          <w:rFonts w:ascii="Arial" w:hAnsi="Arial"/>
        </w:rPr>
        <w:t xml:space="preserve"> </w:t>
      </w:r>
      <w:r>
        <w:rPr>
          <w:rFonts w:ascii="Arial" w:hAnsi="Arial"/>
          <w:spacing w:val="-7"/>
        </w:rPr>
        <w:t xml:space="preserve"> </w:t>
      </w:r>
      <w:r>
        <w:rPr>
          <w:rFonts w:ascii="Arial" w:hAnsi="Arial"/>
          <w:spacing w:val="-4"/>
        </w:rPr>
        <w:t>w</w:t>
      </w:r>
      <w:r>
        <w:rPr>
          <w:rFonts w:ascii="Arial" w:hAnsi="Arial"/>
        </w:rPr>
        <w:t>o</w:t>
      </w:r>
      <w:r>
        <w:rPr>
          <w:rFonts w:ascii="Arial" w:hAnsi="Arial"/>
          <w:spacing w:val="-2"/>
        </w:rPr>
        <w:t>m</w:t>
      </w:r>
      <w:r>
        <w:rPr>
          <w:rFonts w:ascii="Arial" w:hAnsi="Arial"/>
        </w:rPr>
        <w:t>en</w:t>
      </w:r>
      <w:r>
        <w:rPr>
          <w:rFonts w:ascii="Arial" w:hAnsi="Arial"/>
        </w:rPr>
        <w:t xml:space="preserve"> </w:t>
      </w:r>
      <w:r>
        <w:rPr>
          <w:rFonts w:ascii="Arial" w:hAnsi="Arial"/>
          <w:spacing w:val="-3"/>
        </w:rPr>
        <w:t xml:space="preserve"> </w:t>
      </w:r>
      <w:r>
        <w:rPr>
          <w:rFonts w:ascii="Arial" w:hAnsi="Arial"/>
        </w:rPr>
        <w:t xml:space="preserve">are </w:t>
      </w:r>
      <w:r>
        <w:rPr>
          <w:rFonts w:ascii="Arial" w:hAnsi="Arial"/>
        </w:rPr>
        <w:t>affected by physical discomforts like headache, body pain, vomiting sensation etc. In such circumstances, intense and chaste spiritual disciplines for forty-one days are not possible. It is for the sake of pilgrims wh</w:t>
      </w:r>
      <w:r>
        <w:rPr>
          <w:rFonts w:ascii="Arial" w:hAnsi="Arial"/>
        </w:rPr>
        <w:t>o practiced celibacy that youthful women are not allowed in the Sabarimala pilgrimage.</w:t>
      </w:r>
      <w:r>
        <w:rPr>
          <w:rFonts w:ascii="Arial" w:hAnsi="Arial"/>
        </w:rPr>
        <w:tab/>
        <w:t>‖</w:t>
      </w:r>
    </w:p>
    <w:p w:rsidR="003B2FC0" w:rsidRDefault="003B2FC0">
      <w:pPr>
        <w:rPr>
          <w:sz w:val="30"/>
        </w:rPr>
      </w:pPr>
    </w:p>
    <w:p w:rsidR="003B2FC0" w:rsidRDefault="00052A49">
      <w:pPr>
        <w:pStyle w:val="BodyText"/>
        <w:spacing w:before="177" w:line="480" w:lineRule="auto"/>
        <w:ind w:left="383" w:right="405"/>
        <w:jc w:val="both"/>
        <w:rPr>
          <w:rFonts w:ascii="Arial"/>
        </w:rPr>
      </w:pPr>
      <w:r>
        <w:rPr>
          <w:rFonts w:ascii="Arial"/>
        </w:rPr>
        <w:t>The other reason given in the affidavit for the usage of non-entry of women between these ages is as follows:</w:t>
      </w:r>
    </w:p>
    <w:p w:rsidR="003B2FC0" w:rsidRDefault="00052A49">
      <w:pPr>
        <w:pStyle w:val="BodyText"/>
        <w:spacing w:before="201" w:line="322" w:lineRule="exact"/>
        <w:ind w:left="1540"/>
        <w:jc w:val="both"/>
        <w:rPr>
          <w:rFonts w:ascii="Arial" w:hAnsi="Arial"/>
        </w:rPr>
      </w:pPr>
      <w:r>
        <w:rPr>
          <w:rFonts w:ascii="Arial" w:hAnsi="Arial"/>
          <w:w w:val="33"/>
        </w:rPr>
        <w:t>―</w:t>
      </w:r>
      <w:r>
        <w:rPr>
          <w:rFonts w:ascii="Arial" w:hAnsi="Arial"/>
          <w:b/>
          <w:spacing w:val="-1"/>
        </w:rPr>
        <w:t>24</w:t>
      </w:r>
      <w:r>
        <w:rPr>
          <w:rFonts w:ascii="Arial" w:hAnsi="Arial"/>
          <w:b/>
        </w:rPr>
        <w:t>.</w:t>
      </w:r>
      <w:r>
        <w:rPr>
          <w:rFonts w:ascii="Arial" w:hAnsi="Arial"/>
          <w:b/>
          <w:spacing w:val="19"/>
        </w:rPr>
        <w:t xml:space="preserve"> </w:t>
      </w:r>
      <w:r>
        <w:rPr>
          <w:rFonts w:ascii="Arial" w:hAnsi="Arial"/>
          <w:spacing w:val="-2"/>
        </w:rPr>
        <w:t>T</w:t>
      </w:r>
      <w:r>
        <w:rPr>
          <w:rFonts w:ascii="Arial" w:hAnsi="Arial"/>
        </w:rPr>
        <w:t>hat</w:t>
      </w:r>
      <w:r>
        <w:rPr>
          <w:rFonts w:ascii="Arial" w:hAnsi="Arial"/>
          <w:spacing w:val="18"/>
        </w:rPr>
        <w:t xml:space="preserve"> </w:t>
      </w:r>
      <w:r>
        <w:rPr>
          <w:rFonts w:ascii="Arial" w:hAnsi="Arial"/>
        </w:rPr>
        <w:t>t</w:t>
      </w:r>
      <w:r>
        <w:rPr>
          <w:rFonts w:ascii="Arial" w:hAnsi="Arial"/>
          <w:spacing w:val="-3"/>
        </w:rPr>
        <w:t>h</w:t>
      </w:r>
      <w:r>
        <w:rPr>
          <w:rFonts w:ascii="Arial" w:hAnsi="Arial"/>
        </w:rPr>
        <w:t>e</w:t>
      </w:r>
      <w:r>
        <w:rPr>
          <w:rFonts w:ascii="Arial" w:hAnsi="Arial"/>
          <w:spacing w:val="17"/>
        </w:rPr>
        <w:t xml:space="preserve"> </w:t>
      </w:r>
      <w:r>
        <w:rPr>
          <w:rFonts w:ascii="Arial" w:hAnsi="Arial"/>
        </w:rPr>
        <w:t>deity</w:t>
      </w:r>
      <w:r>
        <w:rPr>
          <w:rFonts w:ascii="Arial" w:hAnsi="Arial"/>
          <w:spacing w:val="16"/>
        </w:rPr>
        <w:t xml:space="preserve"> </w:t>
      </w:r>
      <w:r>
        <w:rPr>
          <w:rFonts w:ascii="Arial" w:hAnsi="Arial"/>
        </w:rPr>
        <w:t>at</w:t>
      </w:r>
      <w:r>
        <w:rPr>
          <w:rFonts w:ascii="Arial" w:hAnsi="Arial"/>
          <w:spacing w:val="18"/>
        </w:rPr>
        <w:t xml:space="preserve"> </w:t>
      </w:r>
      <w:r>
        <w:rPr>
          <w:rFonts w:ascii="Arial" w:hAnsi="Arial"/>
        </w:rPr>
        <w:t>Sabari</w:t>
      </w:r>
      <w:r>
        <w:rPr>
          <w:rFonts w:ascii="Arial" w:hAnsi="Arial"/>
          <w:spacing w:val="-2"/>
        </w:rPr>
        <w:t>m</w:t>
      </w:r>
      <w:r>
        <w:rPr>
          <w:rFonts w:ascii="Arial" w:hAnsi="Arial"/>
        </w:rPr>
        <w:t>ala</w:t>
      </w:r>
      <w:r>
        <w:rPr>
          <w:rFonts w:ascii="Arial" w:hAnsi="Arial"/>
          <w:spacing w:val="17"/>
        </w:rPr>
        <w:t xml:space="preserve"> </w:t>
      </w:r>
      <w:r>
        <w:rPr>
          <w:rFonts w:ascii="Arial" w:hAnsi="Arial"/>
          <w:spacing w:val="-3"/>
        </w:rPr>
        <w:t>i</w:t>
      </w:r>
      <w:r>
        <w:rPr>
          <w:rFonts w:ascii="Arial" w:hAnsi="Arial"/>
        </w:rPr>
        <w:t>s</w:t>
      </w:r>
      <w:r>
        <w:rPr>
          <w:rFonts w:ascii="Arial" w:hAnsi="Arial"/>
          <w:spacing w:val="18"/>
        </w:rPr>
        <w:t xml:space="preserve"> </w:t>
      </w:r>
      <w:r>
        <w:rPr>
          <w:rFonts w:ascii="Arial" w:hAnsi="Arial"/>
        </w:rPr>
        <w:t>in</w:t>
      </w:r>
      <w:r>
        <w:rPr>
          <w:rFonts w:ascii="Arial" w:hAnsi="Arial"/>
          <w:spacing w:val="17"/>
        </w:rPr>
        <w:t xml:space="preserve"> </w:t>
      </w:r>
      <w:r>
        <w:rPr>
          <w:rFonts w:ascii="Arial" w:hAnsi="Arial"/>
        </w:rPr>
        <w:t>the</w:t>
      </w:r>
      <w:r>
        <w:rPr>
          <w:rFonts w:ascii="Arial" w:hAnsi="Arial"/>
          <w:spacing w:val="17"/>
        </w:rPr>
        <w:t xml:space="preserve"> </w:t>
      </w:r>
      <w:r>
        <w:rPr>
          <w:rFonts w:ascii="Arial" w:hAnsi="Arial"/>
        </w:rPr>
        <w:t>form</w:t>
      </w:r>
      <w:r>
        <w:rPr>
          <w:rFonts w:ascii="Arial" w:hAnsi="Arial"/>
          <w:spacing w:val="16"/>
        </w:rPr>
        <w:t xml:space="preserve"> </w:t>
      </w:r>
      <w:r>
        <w:rPr>
          <w:rFonts w:ascii="Arial" w:hAnsi="Arial"/>
        </w:rPr>
        <w:t>of</w:t>
      </w:r>
      <w:r>
        <w:rPr>
          <w:rFonts w:ascii="Arial" w:hAnsi="Arial"/>
          <w:spacing w:val="16"/>
        </w:rPr>
        <w:t xml:space="preserve"> </w:t>
      </w:r>
      <w:r>
        <w:rPr>
          <w:rFonts w:ascii="Arial" w:hAnsi="Arial"/>
        </w:rPr>
        <w:t>a</w:t>
      </w:r>
    </w:p>
    <w:p w:rsidR="003B2FC0" w:rsidRDefault="00052A49">
      <w:pPr>
        <w:pStyle w:val="BodyText"/>
        <w:tabs>
          <w:tab w:val="left" w:leader="dot" w:pos="6118"/>
        </w:tabs>
        <w:ind w:left="1540" w:right="1540"/>
        <w:jc w:val="both"/>
        <w:rPr>
          <w:rFonts w:ascii="Arial" w:hAnsi="Arial"/>
        </w:rPr>
      </w:pPr>
      <w:r>
        <w:rPr>
          <w:rFonts w:ascii="Arial" w:hAnsi="Arial"/>
          <w:w w:val="40"/>
        </w:rPr>
        <w:t>‗</w:t>
      </w:r>
      <w:r>
        <w:rPr>
          <w:rFonts w:ascii="Arial" w:hAnsi="Arial"/>
          <w:spacing w:val="-2"/>
        </w:rPr>
        <w:t>N</w:t>
      </w:r>
      <w:r>
        <w:rPr>
          <w:rFonts w:ascii="Arial" w:hAnsi="Arial"/>
          <w:spacing w:val="-1"/>
        </w:rPr>
        <w:t>ai</w:t>
      </w:r>
      <w:r>
        <w:rPr>
          <w:rFonts w:ascii="Arial" w:hAnsi="Arial"/>
        </w:rPr>
        <w:t>s</w:t>
      </w:r>
      <w:r>
        <w:rPr>
          <w:rFonts w:ascii="Arial" w:hAnsi="Arial"/>
          <w:spacing w:val="-1"/>
        </w:rPr>
        <w:t>h</w:t>
      </w:r>
      <w:r>
        <w:rPr>
          <w:rFonts w:ascii="Arial" w:hAnsi="Arial"/>
        </w:rPr>
        <w:t>t</w:t>
      </w:r>
      <w:r>
        <w:rPr>
          <w:rFonts w:ascii="Arial" w:hAnsi="Arial"/>
          <w:spacing w:val="-3"/>
        </w:rPr>
        <w:t>i</w:t>
      </w:r>
      <w:r>
        <w:rPr>
          <w:rFonts w:ascii="Arial" w:hAnsi="Arial"/>
        </w:rPr>
        <w:t>k</w:t>
      </w:r>
      <w:r>
        <w:rPr>
          <w:rFonts w:ascii="Arial" w:hAnsi="Arial"/>
        </w:rPr>
        <w:t xml:space="preserve"> </w:t>
      </w:r>
      <w:r>
        <w:rPr>
          <w:rFonts w:ascii="Arial" w:hAnsi="Arial"/>
          <w:spacing w:val="-26"/>
        </w:rPr>
        <w:t xml:space="preserve"> </w:t>
      </w:r>
      <w:r>
        <w:rPr>
          <w:rFonts w:ascii="Arial" w:hAnsi="Arial"/>
        </w:rPr>
        <w:t>Brah</w:t>
      </w:r>
      <w:r>
        <w:rPr>
          <w:rFonts w:ascii="Arial" w:hAnsi="Arial"/>
          <w:spacing w:val="-2"/>
        </w:rPr>
        <w:t>m</w:t>
      </w:r>
      <w:r>
        <w:rPr>
          <w:rFonts w:ascii="Arial" w:hAnsi="Arial"/>
          <w:spacing w:val="-3"/>
        </w:rPr>
        <w:t>a</w:t>
      </w:r>
      <w:r>
        <w:rPr>
          <w:rFonts w:ascii="Arial" w:hAnsi="Arial"/>
          <w:spacing w:val="-2"/>
        </w:rPr>
        <w:t>c</w:t>
      </w:r>
      <w:r>
        <w:rPr>
          <w:rFonts w:ascii="Arial" w:hAnsi="Arial"/>
          <w:spacing w:val="-1"/>
        </w:rPr>
        <w:t>hari</w:t>
      </w:r>
      <w:r>
        <w:rPr>
          <w:rFonts w:ascii="Arial" w:hAnsi="Arial"/>
        </w:rPr>
        <w:t>‘</w:t>
      </w:r>
      <w:r>
        <w:rPr>
          <w:rFonts w:ascii="Arial" w:hAnsi="Arial"/>
        </w:rPr>
        <w:t xml:space="preserve"> </w:t>
      </w:r>
      <w:r>
        <w:rPr>
          <w:rFonts w:ascii="Arial" w:hAnsi="Arial"/>
          <w:spacing w:val="-27"/>
        </w:rPr>
        <w:t xml:space="preserve"> </w:t>
      </w:r>
      <w:r>
        <w:rPr>
          <w:rFonts w:ascii="Arial" w:hAnsi="Arial"/>
          <w:spacing w:val="-1"/>
        </w:rPr>
        <w:t>an</w:t>
      </w:r>
      <w:r>
        <w:rPr>
          <w:rFonts w:ascii="Arial" w:hAnsi="Arial"/>
        </w:rPr>
        <w:t>d</w:t>
      </w:r>
      <w:r>
        <w:rPr>
          <w:rFonts w:ascii="Arial" w:hAnsi="Arial"/>
        </w:rPr>
        <w:t xml:space="preserve"> </w:t>
      </w:r>
      <w:r>
        <w:rPr>
          <w:rFonts w:ascii="Arial" w:hAnsi="Arial"/>
          <w:spacing w:val="-27"/>
        </w:rPr>
        <w:t xml:space="preserve"> </w:t>
      </w:r>
      <w:r>
        <w:rPr>
          <w:rFonts w:ascii="Arial" w:hAnsi="Arial"/>
        </w:rPr>
        <w:t>t</w:t>
      </w:r>
      <w:r>
        <w:rPr>
          <w:rFonts w:ascii="Arial" w:hAnsi="Arial"/>
          <w:spacing w:val="-1"/>
        </w:rPr>
        <w:t>h</w:t>
      </w:r>
      <w:r>
        <w:rPr>
          <w:rFonts w:ascii="Arial" w:hAnsi="Arial"/>
          <w:spacing w:val="-3"/>
        </w:rPr>
        <w:t>a</w:t>
      </w:r>
      <w:r>
        <w:rPr>
          <w:rFonts w:ascii="Arial" w:hAnsi="Arial"/>
        </w:rPr>
        <w:t>t</w:t>
      </w:r>
      <w:r>
        <w:rPr>
          <w:rFonts w:ascii="Arial" w:hAnsi="Arial"/>
        </w:rPr>
        <w:t xml:space="preserve"> </w:t>
      </w:r>
      <w:r>
        <w:rPr>
          <w:rFonts w:ascii="Arial" w:hAnsi="Arial"/>
          <w:spacing w:val="-26"/>
        </w:rPr>
        <w:t xml:space="preserve"> </w:t>
      </w:r>
      <w:r>
        <w:rPr>
          <w:rFonts w:ascii="Arial" w:hAnsi="Arial"/>
          <w:spacing w:val="-1"/>
        </w:rPr>
        <w:t>i</w:t>
      </w:r>
      <w:r>
        <w:rPr>
          <w:rFonts w:ascii="Arial" w:hAnsi="Arial"/>
        </w:rPr>
        <w:t>s</w:t>
      </w:r>
      <w:r>
        <w:rPr>
          <w:rFonts w:ascii="Arial" w:hAnsi="Arial"/>
        </w:rPr>
        <w:t xml:space="preserve"> </w:t>
      </w:r>
      <w:r>
        <w:rPr>
          <w:rFonts w:ascii="Arial" w:hAnsi="Arial"/>
          <w:spacing w:val="-28"/>
        </w:rPr>
        <w:t xml:space="preserve"> </w:t>
      </w:r>
      <w:r>
        <w:rPr>
          <w:rFonts w:ascii="Arial" w:hAnsi="Arial"/>
        </w:rPr>
        <w:t>t</w:t>
      </w:r>
      <w:r>
        <w:rPr>
          <w:rFonts w:ascii="Arial" w:hAnsi="Arial"/>
          <w:spacing w:val="-3"/>
        </w:rPr>
        <w:t>h</w:t>
      </w:r>
      <w:r>
        <w:rPr>
          <w:rFonts w:ascii="Arial" w:hAnsi="Arial"/>
        </w:rPr>
        <w:t>e</w:t>
      </w:r>
      <w:r>
        <w:rPr>
          <w:rFonts w:ascii="Arial" w:hAnsi="Arial"/>
        </w:rPr>
        <w:t xml:space="preserve"> </w:t>
      </w:r>
      <w:r>
        <w:rPr>
          <w:rFonts w:ascii="Arial" w:hAnsi="Arial"/>
          <w:spacing w:val="-27"/>
        </w:rPr>
        <w:t xml:space="preserve"> </w:t>
      </w:r>
      <w:r>
        <w:rPr>
          <w:rFonts w:ascii="Arial" w:hAnsi="Arial"/>
        </w:rPr>
        <w:t>reas</w:t>
      </w:r>
      <w:r>
        <w:rPr>
          <w:rFonts w:ascii="Arial" w:hAnsi="Arial"/>
          <w:spacing w:val="-1"/>
        </w:rPr>
        <w:t>o</w:t>
      </w:r>
      <w:r>
        <w:rPr>
          <w:rFonts w:ascii="Arial" w:hAnsi="Arial"/>
        </w:rPr>
        <w:t>n</w:t>
      </w:r>
      <w:r>
        <w:rPr>
          <w:rFonts w:ascii="Arial" w:hAnsi="Arial"/>
        </w:rPr>
        <w:t xml:space="preserve"> </w:t>
      </w:r>
      <w:r>
        <w:rPr>
          <w:rFonts w:ascii="Arial" w:hAnsi="Arial"/>
          <w:spacing w:val="-27"/>
        </w:rPr>
        <w:t xml:space="preserve"> </w:t>
      </w:r>
      <w:r>
        <w:rPr>
          <w:rFonts w:ascii="Arial" w:hAnsi="Arial"/>
          <w:spacing w:val="-4"/>
        </w:rPr>
        <w:t>w</w:t>
      </w:r>
      <w:r>
        <w:rPr>
          <w:rFonts w:ascii="Arial" w:hAnsi="Arial"/>
          <w:spacing w:val="1"/>
        </w:rPr>
        <w:t>h</w:t>
      </w:r>
      <w:r>
        <w:rPr>
          <w:rFonts w:ascii="Arial" w:hAnsi="Arial"/>
        </w:rPr>
        <w:t xml:space="preserve">y </w:t>
      </w:r>
      <w:r>
        <w:rPr>
          <w:rFonts w:ascii="Arial" w:hAnsi="Arial"/>
        </w:rPr>
        <w:t>young women are not permitted to offer prayers in the temple as the slightest deviation from celibacy and austerity observed by the deity is not caused by the presence of</w:t>
      </w:r>
      <w:r>
        <w:rPr>
          <w:rFonts w:ascii="Arial" w:hAnsi="Arial"/>
          <w:spacing w:val="-8"/>
        </w:rPr>
        <w:t xml:space="preserve"> </w:t>
      </w:r>
      <w:r>
        <w:rPr>
          <w:rFonts w:ascii="Arial" w:hAnsi="Arial"/>
        </w:rPr>
        <w:t>such</w:t>
      </w:r>
      <w:r>
        <w:rPr>
          <w:rFonts w:ascii="Arial" w:hAnsi="Arial"/>
          <w:spacing w:val="-1"/>
        </w:rPr>
        <w:t xml:space="preserve"> </w:t>
      </w:r>
      <w:r>
        <w:rPr>
          <w:rFonts w:ascii="Arial" w:hAnsi="Arial"/>
        </w:rPr>
        <w:t>women.</w:t>
      </w:r>
      <w:r>
        <w:rPr>
          <w:rFonts w:ascii="Arial" w:hAnsi="Arial"/>
        </w:rPr>
        <w:tab/>
        <w:t>‖</w:t>
      </w:r>
    </w:p>
    <w:p w:rsidR="003B2FC0" w:rsidRDefault="003B2FC0">
      <w:pPr>
        <w:rPr>
          <w:sz w:val="30"/>
        </w:rPr>
      </w:pPr>
    </w:p>
    <w:p w:rsidR="003B2FC0" w:rsidRDefault="00052A49">
      <w:pPr>
        <w:pStyle w:val="BodyText"/>
        <w:spacing w:before="177" w:line="480" w:lineRule="auto"/>
        <w:ind w:left="383" w:right="400"/>
        <w:jc w:val="both"/>
        <w:rPr>
          <w:rFonts w:ascii="Arial"/>
        </w:rPr>
      </w:pPr>
      <w:r>
        <w:rPr>
          <w:rFonts w:ascii="Arial"/>
        </w:rPr>
        <w:t xml:space="preserve">It will thus be seen that women are barred entry to the temple at Sabarimala because of the biological or physiological phenomenon of menstruation, which forbids their participation in religious activity. The second reason given is that young women should </w:t>
      </w:r>
      <w:r>
        <w:rPr>
          <w:rFonts w:ascii="Arial"/>
        </w:rPr>
        <w:t xml:space="preserve">not, in any manner, deflect the deity, who is in the form of a </w:t>
      </w:r>
      <w:r>
        <w:rPr>
          <w:rFonts w:ascii="Arial"/>
          <w:i/>
        </w:rPr>
        <w:t>Naisthika Brahmachari</w:t>
      </w:r>
      <w:r>
        <w:rPr>
          <w:rFonts w:ascii="Arial"/>
        </w:rPr>
        <w:t>, from celibacy and austerity.</w:t>
      </w:r>
    </w:p>
    <w:p w:rsidR="003B2FC0" w:rsidRDefault="003B2FC0">
      <w:pPr>
        <w:rPr>
          <w:sz w:val="28"/>
        </w:rPr>
      </w:pPr>
    </w:p>
    <w:p w:rsidR="003B2FC0" w:rsidRDefault="00052A49">
      <w:pPr>
        <w:pStyle w:val="ListParagraph"/>
        <w:numPr>
          <w:ilvl w:val="1"/>
          <w:numId w:val="50"/>
        </w:numPr>
        <w:tabs>
          <w:tab w:val="left" w:pos="1234"/>
        </w:tabs>
        <w:spacing w:line="480" w:lineRule="auto"/>
        <w:ind w:left="383" w:right="408" w:firstLine="0"/>
        <w:jc w:val="both"/>
        <w:rPr>
          <w:sz w:val="28"/>
        </w:rPr>
      </w:pPr>
      <w:r>
        <w:rPr>
          <w:sz w:val="28"/>
        </w:rPr>
        <w:t>All the older religions speak of the phenomenon of menstruation in</w:t>
      </w:r>
      <w:r>
        <w:rPr>
          <w:spacing w:val="26"/>
          <w:sz w:val="28"/>
        </w:rPr>
        <w:t xml:space="preserve"> </w:t>
      </w:r>
      <w:r>
        <w:rPr>
          <w:sz w:val="28"/>
        </w:rPr>
        <w:t>women</w:t>
      </w:r>
      <w:r>
        <w:rPr>
          <w:spacing w:val="26"/>
          <w:sz w:val="28"/>
        </w:rPr>
        <w:t xml:space="preserve"> </w:t>
      </w:r>
      <w:r>
        <w:rPr>
          <w:sz w:val="28"/>
        </w:rPr>
        <w:t>as</w:t>
      </w:r>
      <w:r>
        <w:rPr>
          <w:spacing w:val="27"/>
          <w:sz w:val="28"/>
        </w:rPr>
        <w:t xml:space="preserve"> </w:t>
      </w:r>
      <w:r>
        <w:rPr>
          <w:sz w:val="28"/>
        </w:rPr>
        <w:t>being</w:t>
      </w:r>
      <w:r>
        <w:rPr>
          <w:spacing w:val="23"/>
          <w:sz w:val="28"/>
        </w:rPr>
        <w:t xml:space="preserve"> </w:t>
      </w:r>
      <w:r>
        <w:rPr>
          <w:sz w:val="28"/>
        </w:rPr>
        <w:t>impure,</w:t>
      </w:r>
      <w:r>
        <w:rPr>
          <w:spacing w:val="25"/>
          <w:sz w:val="28"/>
        </w:rPr>
        <w:t xml:space="preserve"> </w:t>
      </w:r>
      <w:r>
        <w:rPr>
          <w:sz w:val="28"/>
        </w:rPr>
        <w:t>which</w:t>
      </w:r>
      <w:r>
        <w:rPr>
          <w:spacing w:val="26"/>
          <w:sz w:val="28"/>
        </w:rPr>
        <w:t xml:space="preserve"> </w:t>
      </w:r>
      <w:r>
        <w:rPr>
          <w:sz w:val="28"/>
        </w:rPr>
        <w:t>therefore,</w:t>
      </w:r>
      <w:r>
        <w:rPr>
          <w:spacing w:val="25"/>
          <w:sz w:val="28"/>
        </w:rPr>
        <w:t xml:space="preserve"> </w:t>
      </w:r>
      <w:r>
        <w:rPr>
          <w:sz w:val="28"/>
        </w:rPr>
        <w:t>forbids</w:t>
      </w:r>
      <w:r>
        <w:rPr>
          <w:spacing w:val="25"/>
          <w:sz w:val="28"/>
        </w:rPr>
        <w:t xml:space="preserve"> </w:t>
      </w:r>
      <w:r>
        <w:rPr>
          <w:sz w:val="28"/>
        </w:rPr>
        <w:t>their</w:t>
      </w:r>
      <w:r>
        <w:rPr>
          <w:spacing w:val="23"/>
          <w:sz w:val="28"/>
        </w:rPr>
        <w:t xml:space="preserve"> </w:t>
      </w:r>
      <w:r>
        <w:rPr>
          <w:sz w:val="28"/>
        </w:rPr>
        <w:t>participation</w:t>
      </w:r>
    </w:p>
    <w:p w:rsidR="003B2FC0" w:rsidRDefault="003B2FC0">
      <w:pPr>
        <w:spacing w:line="480" w:lineRule="auto"/>
        <w:jc w:val="both"/>
        <w:rPr>
          <w:sz w:val="28"/>
        </w:rPr>
        <w:sectPr w:rsidR="003B2FC0">
          <w:headerReference w:type="default" r:id="rId307"/>
          <w:footerReference w:type="default" r:id="rId308"/>
          <w:pgSz w:w="12240" w:h="15840"/>
          <w:pgMar w:top="1360" w:right="1320" w:bottom="1680" w:left="1340" w:header="0" w:footer="1492" w:gutter="0"/>
          <w:pgNumType w:start="62"/>
          <w:cols w:space="720"/>
        </w:sectPr>
      </w:pPr>
    </w:p>
    <w:p w:rsidR="003B2FC0" w:rsidRDefault="00052A49">
      <w:pPr>
        <w:pStyle w:val="BodyText"/>
        <w:spacing w:before="77" w:line="480" w:lineRule="auto"/>
        <w:ind w:left="383" w:right="377"/>
        <w:rPr>
          <w:rFonts w:ascii="Arial"/>
        </w:rPr>
      </w:pPr>
      <w:r>
        <w:rPr>
          <w:rFonts w:ascii="Arial"/>
        </w:rPr>
        <w:t>in religious activity. Thus, in the Old Testament, in Chapter 15, Verse 19 of the book of Leviticus, it is stated:</w:t>
      </w:r>
    </w:p>
    <w:p w:rsidR="003B2FC0" w:rsidRDefault="00052A49">
      <w:pPr>
        <w:pStyle w:val="BodyText"/>
        <w:spacing w:before="200"/>
        <w:ind w:left="1518" w:right="1542"/>
        <w:jc w:val="both"/>
        <w:rPr>
          <w:rFonts w:ascii="Arial" w:hAnsi="Arial"/>
        </w:rPr>
      </w:pPr>
      <w:r>
        <w:rPr>
          <w:rFonts w:ascii="Arial" w:hAnsi="Arial"/>
        </w:rPr>
        <w:t>―19.</w:t>
      </w:r>
      <w:r>
        <w:rPr>
          <w:rFonts w:ascii="Arial" w:hAnsi="Arial"/>
          <w:spacing w:val="-11"/>
        </w:rPr>
        <w:t xml:space="preserve"> </w:t>
      </w:r>
      <w:r>
        <w:rPr>
          <w:rFonts w:ascii="Arial" w:hAnsi="Arial"/>
        </w:rPr>
        <w:t>And</w:t>
      </w:r>
      <w:r>
        <w:rPr>
          <w:rFonts w:ascii="Arial" w:hAnsi="Arial"/>
          <w:spacing w:val="-12"/>
        </w:rPr>
        <w:t xml:space="preserve"> </w:t>
      </w:r>
      <w:r>
        <w:rPr>
          <w:rFonts w:ascii="Arial" w:hAnsi="Arial"/>
        </w:rPr>
        <w:t>if</w:t>
      </w:r>
      <w:r>
        <w:rPr>
          <w:rFonts w:ascii="Arial" w:hAnsi="Arial"/>
          <w:spacing w:val="-9"/>
        </w:rPr>
        <w:t xml:space="preserve"> </w:t>
      </w:r>
      <w:r>
        <w:rPr>
          <w:rFonts w:ascii="Arial" w:hAnsi="Arial"/>
        </w:rPr>
        <w:t>a</w:t>
      </w:r>
      <w:r>
        <w:rPr>
          <w:rFonts w:ascii="Arial" w:hAnsi="Arial"/>
          <w:spacing w:val="-13"/>
        </w:rPr>
        <w:t xml:space="preserve"> </w:t>
      </w:r>
      <w:r>
        <w:rPr>
          <w:rFonts w:ascii="Arial" w:hAnsi="Arial"/>
        </w:rPr>
        <w:t>woman</w:t>
      </w:r>
      <w:r>
        <w:rPr>
          <w:rFonts w:ascii="Arial" w:hAnsi="Arial"/>
          <w:spacing w:val="-10"/>
        </w:rPr>
        <w:t xml:space="preserve"> </w:t>
      </w:r>
      <w:r>
        <w:rPr>
          <w:rFonts w:ascii="Arial" w:hAnsi="Arial"/>
        </w:rPr>
        <w:t>have</w:t>
      </w:r>
      <w:r>
        <w:rPr>
          <w:rFonts w:ascii="Arial" w:hAnsi="Arial"/>
          <w:spacing w:val="-10"/>
        </w:rPr>
        <w:t xml:space="preserve"> </w:t>
      </w:r>
      <w:r>
        <w:rPr>
          <w:rFonts w:ascii="Arial" w:hAnsi="Arial"/>
        </w:rPr>
        <w:t>an</w:t>
      </w:r>
      <w:r>
        <w:rPr>
          <w:rFonts w:ascii="Arial" w:hAnsi="Arial"/>
          <w:spacing w:val="-10"/>
        </w:rPr>
        <w:t xml:space="preserve"> </w:t>
      </w:r>
      <w:r>
        <w:rPr>
          <w:rFonts w:ascii="Arial" w:hAnsi="Arial"/>
        </w:rPr>
        <w:t>issue,</w:t>
      </w:r>
      <w:r>
        <w:rPr>
          <w:rFonts w:ascii="Arial" w:hAnsi="Arial"/>
          <w:spacing w:val="-9"/>
        </w:rPr>
        <w:t xml:space="preserve"> </w:t>
      </w:r>
      <w:r>
        <w:rPr>
          <w:rFonts w:ascii="Arial" w:hAnsi="Arial"/>
        </w:rPr>
        <w:t>and</w:t>
      </w:r>
      <w:r>
        <w:rPr>
          <w:rFonts w:ascii="Arial" w:hAnsi="Arial"/>
          <w:spacing w:val="-10"/>
        </w:rPr>
        <w:t xml:space="preserve"> </w:t>
      </w:r>
      <w:r>
        <w:rPr>
          <w:rFonts w:ascii="Arial" w:hAnsi="Arial"/>
        </w:rPr>
        <w:t>her</w:t>
      </w:r>
      <w:r>
        <w:rPr>
          <w:rFonts w:ascii="Arial" w:hAnsi="Arial"/>
          <w:spacing w:val="-10"/>
        </w:rPr>
        <w:t xml:space="preserve"> </w:t>
      </w:r>
      <w:r>
        <w:rPr>
          <w:rFonts w:ascii="Arial" w:hAnsi="Arial"/>
        </w:rPr>
        <w:t>issue</w:t>
      </w:r>
      <w:r>
        <w:rPr>
          <w:rFonts w:ascii="Arial" w:hAnsi="Arial"/>
          <w:spacing w:val="-13"/>
        </w:rPr>
        <w:t xml:space="preserve"> </w:t>
      </w:r>
      <w:r>
        <w:rPr>
          <w:rFonts w:ascii="Arial" w:hAnsi="Arial"/>
        </w:rPr>
        <w:t>in her flesh be blood, she shall be put apart seven days: and whosoever toucheth her shall be unclean until the</w:t>
      </w:r>
      <w:r>
        <w:rPr>
          <w:rFonts w:ascii="Arial" w:hAnsi="Arial"/>
          <w:spacing w:val="-5"/>
        </w:rPr>
        <w:t xml:space="preserve"> </w:t>
      </w:r>
      <w:r>
        <w:rPr>
          <w:rFonts w:ascii="Arial" w:hAnsi="Arial"/>
        </w:rPr>
        <w:t>even.‖</w:t>
      </w:r>
      <w:r>
        <w:rPr>
          <w:rFonts w:ascii="Arial" w:hAnsi="Arial"/>
          <w:vertAlign w:val="superscript"/>
        </w:rPr>
        <w:t>4</w:t>
      </w:r>
    </w:p>
    <w:p w:rsidR="003B2FC0" w:rsidRDefault="003B2FC0">
      <w:pPr>
        <w:rPr>
          <w:sz w:val="34"/>
        </w:rPr>
      </w:pPr>
    </w:p>
    <w:p w:rsidR="003B2FC0" w:rsidRDefault="003B2FC0">
      <w:pPr>
        <w:spacing w:before="8"/>
        <w:rPr>
          <w:sz w:val="28"/>
        </w:rPr>
      </w:pPr>
    </w:p>
    <w:p w:rsidR="003B2FC0" w:rsidRDefault="00052A49">
      <w:pPr>
        <w:pStyle w:val="BodyText"/>
        <w:spacing w:line="482" w:lineRule="auto"/>
        <w:ind w:left="383"/>
        <w:rPr>
          <w:rFonts w:ascii="Arial"/>
        </w:rPr>
      </w:pPr>
      <w:r>
        <w:rPr>
          <w:rFonts w:ascii="Arial"/>
        </w:rPr>
        <w:t xml:space="preserve">Similarly, in the </w:t>
      </w:r>
      <w:r>
        <w:rPr>
          <w:rFonts w:ascii="Arial"/>
          <w:i/>
        </w:rPr>
        <w:t xml:space="preserve">Dharmasutra </w:t>
      </w:r>
      <w:r>
        <w:rPr>
          <w:rFonts w:ascii="Arial"/>
        </w:rPr>
        <w:t xml:space="preserve">of </w:t>
      </w:r>
      <w:r>
        <w:rPr>
          <w:rFonts w:ascii="Arial"/>
          <w:i/>
        </w:rPr>
        <w:t>Vasistha</w:t>
      </w:r>
      <w:r>
        <w:rPr>
          <w:rFonts w:ascii="Arial"/>
        </w:rPr>
        <w:t>, an interesting legend of how women were made to menstruate is stated as follows:</w:t>
      </w:r>
    </w:p>
    <w:p w:rsidR="003B2FC0" w:rsidRDefault="00052A49">
      <w:pPr>
        <w:pStyle w:val="BodyText"/>
        <w:spacing w:before="194"/>
        <w:ind w:left="1518" w:right="1533"/>
        <w:jc w:val="both"/>
        <w:rPr>
          <w:rFonts w:ascii="Arial" w:hAnsi="Arial"/>
        </w:rPr>
      </w:pPr>
      <w:r>
        <w:rPr>
          <w:rFonts w:ascii="Arial" w:hAnsi="Arial"/>
          <w:w w:val="33"/>
        </w:rPr>
        <w:t>―</w:t>
      </w:r>
      <w:r>
        <w:rPr>
          <w:rFonts w:ascii="Arial" w:hAnsi="Arial"/>
        </w:rPr>
        <w:t>A</w:t>
      </w:r>
      <w:r>
        <w:rPr>
          <w:rFonts w:ascii="Arial" w:hAnsi="Arial"/>
        </w:rPr>
        <w:t xml:space="preserve"> </w:t>
      </w:r>
      <w:r>
        <w:rPr>
          <w:rFonts w:ascii="Arial" w:hAnsi="Arial"/>
          <w:spacing w:val="-5"/>
        </w:rPr>
        <w:t xml:space="preserve"> </w:t>
      </w:r>
      <w:r>
        <w:rPr>
          <w:rFonts w:ascii="Arial" w:hAnsi="Arial"/>
          <w:spacing w:val="-2"/>
        </w:rPr>
        <w:t>m</w:t>
      </w:r>
      <w:r>
        <w:rPr>
          <w:rFonts w:ascii="Arial" w:hAnsi="Arial"/>
        </w:rPr>
        <w:t>en</w:t>
      </w:r>
      <w:r>
        <w:rPr>
          <w:rFonts w:ascii="Arial" w:hAnsi="Arial"/>
          <w:spacing w:val="-2"/>
        </w:rPr>
        <w:t>s</w:t>
      </w:r>
      <w:r>
        <w:rPr>
          <w:rFonts w:ascii="Arial" w:hAnsi="Arial"/>
        </w:rPr>
        <w:t>t</w:t>
      </w:r>
      <w:r>
        <w:rPr>
          <w:rFonts w:ascii="Arial" w:hAnsi="Arial"/>
        </w:rPr>
        <w:t>ru</w:t>
      </w:r>
      <w:r>
        <w:rPr>
          <w:rFonts w:ascii="Arial" w:hAnsi="Arial"/>
          <w:spacing w:val="-3"/>
        </w:rPr>
        <w:t>a</w:t>
      </w:r>
      <w:r>
        <w:rPr>
          <w:rFonts w:ascii="Arial" w:hAnsi="Arial"/>
        </w:rPr>
        <w:t>ting</w:t>
      </w:r>
      <w:r>
        <w:rPr>
          <w:rFonts w:ascii="Arial" w:hAnsi="Arial"/>
        </w:rPr>
        <w:t xml:space="preserve"> </w:t>
      </w:r>
      <w:r>
        <w:rPr>
          <w:rFonts w:ascii="Arial" w:hAnsi="Arial"/>
          <w:spacing w:val="-8"/>
        </w:rPr>
        <w:t xml:space="preserve"> </w:t>
      </w:r>
      <w:r>
        <w:rPr>
          <w:rFonts w:ascii="Arial" w:hAnsi="Arial"/>
          <w:spacing w:val="-2"/>
        </w:rPr>
        <w:t>w</w:t>
      </w:r>
      <w:r>
        <w:rPr>
          <w:rFonts w:ascii="Arial" w:hAnsi="Arial"/>
        </w:rPr>
        <w:t>o</w:t>
      </w:r>
      <w:r>
        <w:rPr>
          <w:rFonts w:ascii="Arial" w:hAnsi="Arial"/>
          <w:spacing w:val="-2"/>
        </w:rPr>
        <w:t>m</w:t>
      </w:r>
      <w:r>
        <w:rPr>
          <w:rFonts w:ascii="Arial" w:hAnsi="Arial"/>
        </w:rPr>
        <w:t>an</w:t>
      </w:r>
      <w:r>
        <w:rPr>
          <w:rFonts w:ascii="Arial" w:hAnsi="Arial"/>
        </w:rPr>
        <w:t xml:space="preserve"> </w:t>
      </w:r>
      <w:r>
        <w:rPr>
          <w:rFonts w:ascii="Arial" w:hAnsi="Arial"/>
          <w:spacing w:val="-3"/>
        </w:rPr>
        <w:t xml:space="preserve"> </w:t>
      </w:r>
      <w:r>
        <w:rPr>
          <w:rFonts w:ascii="Arial" w:hAnsi="Arial"/>
        </w:rPr>
        <w:t>re</w:t>
      </w:r>
      <w:r>
        <w:rPr>
          <w:rFonts w:ascii="Arial" w:hAnsi="Arial"/>
          <w:spacing w:val="-2"/>
        </w:rPr>
        <w:t>m</w:t>
      </w:r>
      <w:r>
        <w:rPr>
          <w:rFonts w:ascii="Arial" w:hAnsi="Arial"/>
        </w:rPr>
        <w:t>ai</w:t>
      </w:r>
      <w:r>
        <w:rPr>
          <w:rFonts w:ascii="Arial" w:hAnsi="Arial"/>
          <w:spacing w:val="-3"/>
        </w:rPr>
        <w:t>n</w:t>
      </w:r>
      <w:r>
        <w:rPr>
          <w:rFonts w:ascii="Arial" w:hAnsi="Arial"/>
        </w:rPr>
        <w:t>s</w:t>
      </w:r>
      <w:r>
        <w:rPr>
          <w:rFonts w:ascii="Arial" w:hAnsi="Arial"/>
        </w:rPr>
        <w:t xml:space="preserve"> </w:t>
      </w:r>
      <w:r>
        <w:rPr>
          <w:rFonts w:ascii="Arial" w:hAnsi="Arial"/>
          <w:spacing w:val="-4"/>
        </w:rPr>
        <w:t xml:space="preserve"> </w:t>
      </w:r>
      <w:r>
        <w:rPr>
          <w:rFonts w:ascii="Arial" w:hAnsi="Arial"/>
        </w:rPr>
        <w:t>i</w:t>
      </w:r>
      <w:r>
        <w:rPr>
          <w:rFonts w:ascii="Arial" w:hAnsi="Arial"/>
          <w:spacing w:val="-2"/>
        </w:rPr>
        <w:t>m</w:t>
      </w:r>
      <w:r>
        <w:rPr>
          <w:rFonts w:ascii="Arial" w:hAnsi="Arial"/>
          <w:spacing w:val="-3"/>
        </w:rPr>
        <w:t>p</w:t>
      </w:r>
      <w:r>
        <w:rPr>
          <w:rFonts w:ascii="Arial" w:hAnsi="Arial"/>
        </w:rPr>
        <w:t>ure</w:t>
      </w:r>
      <w:r>
        <w:rPr>
          <w:rFonts w:ascii="Arial" w:hAnsi="Arial"/>
        </w:rPr>
        <w:t xml:space="preserve"> </w:t>
      </w:r>
      <w:r>
        <w:rPr>
          <w:rFonts w:ascii="Arial" w:hAnsi="Arial"/>
          <w:spacing w:val="-5"/>
        </w:rPr>
        <w:t xml:space="preserve"> </w:t>
      </w:r>
      <w:r>
        <w:rPr>
          <w:rFonts w:ascii="Arial" w:hAnsi="Arial"/>
        </w:rPr>
        <w:t>f</w:t>
      </w:r>
      <w:r>
        <w:rPr>
          <w:rFonts w:ascii="Arial" w:hAnsi="Arial"/>
          <w:spacing w:val="-3"/>
        </w:rPr>
        <w:t>o</w:t>
      </w:r>
      <w:r>
        <w:rPr>
          <w:rFonts w:ascii="Arial" w:hAnsi="Arial"/>
        </w:rPr>
        <w:t>r</w:t>
      </w:r>
      <w:r>
        <w:rPr>
          <w:rFonts w:ascii="Arial" w:hAnsi="Arial"/>
        </w:rPr>
        <w:t xml:space="preserve"> </w:t>
      </w:r>
      <w:r>
        <w:rPr>
          <w:rFonts w:ascii="Arial" w:hAnsi="Arial"/>
          <w:spacing w:val="-5"/>
        </w:rPr>
        <w:t xml:space="preserve"> </w:t>
      </w:r>
      <w:r>
        <w:rPr>
          <w:rFonts w:ascii="Arial" w:hAnsi="Arial"/>
          <w:spacing w:val="-2"/>
        </w:rPr>
        <w:t>t</w:t>
      </w:r>
      <w:r>
        <w:rPr>
          <w:rFonts w:ascii="Arial" w:hAnsi="Arial"/>
        </w:rPr>
        <w:t>hr</w:t>
      </w:r>
      <w:r>
        <w:rPr>
          <w:rFonts w:ascii="Arial" w:hAnsi="Arial"/>
          <w:spacing w:val="-3"/>
        </w:rPr>
        <w:t>e</w:t>
      </w:r>
      <w:r>
        <w:rPr>
          <w:rFonts w:ascii="Arial" w:hAnsi="Arial"/>
        </w:rPr>
        <w:t xml:space="preserve">e </w:t>
      </w:r>
      <w:r>
        <w:rPr>
          <w:rFonts w:ascii="Arial" w:hAnsi="Arial"/>
        </w:rPr>
        <w:t>days. She should not apply collyrium on her eyes or oil on her body, or bathe in water; she should sleep on the floor and not sleep during the day; she  should not touch the fire, make a rope, brush her teeth, eat meat, or look at the planets; she should n</w:t>
      </w:r>
      <w:r>
        <w:rPr>
          <w:rFonts w:ascii="Arial" w:hAnsi="Arial"/>
        </w:rPr>
        <w:t xml:space="preserve">ot laugh, do any work, or run; and she should drink out of a large pot or from her cupped hands or a copper vessel. For it is stated: ‗Indra, after he had killed the three-headed son of </w:t>
      </w:r>
      <w:r>
        <w:rPr>
          <w:rFonts w:ascii="Arial" w:hAnsi="Arial"/>
          <w:i/>
        </w:rPr>
        <w:t>Tvastr</w:t>
      </w:r>
      <w:r>
        <w:rPr>
          <w:rFonts w:ascii="Arial" w:hAnsi="Arial"/>
        </w:rPr>
        <w:t>, was seized by sin, and he regarded himself in this manner: ―An</w:t>
      </w:r>
      <w:r>
        <w:rPr>
          <w:rFonts w:ascii="Arial" w:hAnsi="Arial"/>
        </w:rPr>
        <w:t xml:space="preserve"> exceedingly great guilt attaches to me‖. And all creatures railed against him: ―Brahmin-killer! Brahmin-killer!‖  He  ran  to  the   women  and  </w:t>
      </w:r>
      <w:r>
        <w:rPr>
          <w:rFonts w:ascii="Arial" w:hAnsi="Arial"/>
          <w:spacing w:val="6"/>
        </w:rPr>
        <w:t xml:space="preserve"> </w:t>
      </w:r>
      <w:r>
        <w:rPr>
          <w:rFonts w:ascii="Arial" w:hAnsi="Arial"/>
        </w:rPr>
        <w:t>said:</w:t>
      </w:r>
    </w:p>
    <w:p w:rsidR="003B2FC0" w:rsidRDefault="00052A49">
      <w:pPr>
        <w:pStyle w:val="BodyText"/>
        <w:spacing w:before="2"/>
        <w:ind w:left="1518" w:right="1536"/>
        <w:jc w:val="both"/>
        <w:rPr>
          <w:rFonts w:ascii="Arial" w:hAnsi="Arial"/>
        </w:rPr>
      </w:pPr>
      <w:r>
        <w:rPr>
          <w:rFonts w:ascii="Arial" w:hAnsi="Arial"/>
        </w:rPr>
        <w:t xml:space="preserve">―Take over one-third of this my guilt of killing a </w:t>
      </w:r>
      <w:r>
        <w:rPr>
          <w:rFonts w:ascii="Arial" w:hAnsi="Arial"/>
        </w:rPr>
        <w:t>Brah</w:t>
      </w:r>
      <w:r>
        <w:rPr>
          <w:rFonts w:ascii="Arial" w:hAnsi="Arial"/>
          <w:spacing w:val="-2"/>
        </w:rPr>
        <w:t>m</w:t>
      </w:r>
      <w:r>
        <w:rPr>
          <w:rFonts w:ascii="Arial" w:hAnsi="Arial"/>
          <w:spacing w:val="-1"/>
        </w:rPr>
        <w:t>in</w:t>
      </w:r>
      <w:r>
        <w:rPr>
          <w:rFonts w:ascii="Arial" w:hAnsi="Arial"/>
        </w:rPr>
        <w:t>.</w:t>
      </w:r>
      <w:r>
        <w:rPr>
          <w:rFonts w:ascii="Arial" w:hAnsi="Arial"/>
          <w:w w:val="80"/>
        </w:rPr>
        <w:t>‖</w:t>
      </w:r>
      <w:r>
        <w:rPr>
          <w:rFonts w:ascii="Arial" w:hAnsi="Arial"/>
        </w:rPr>
        <w:t xml:space="preserve"> </w:t>
      </w:r>
      <w:r>
        <w:rPr>
          <w:rFonts w:ascii="Arial" w:hAnsi="Arial"/>
          <w:spacing w:val="38"/>
        </w:rPr>
        <w:t xml:space="preserve"> </w:t>
      </w:r>
      <w:r>
        <w:rPr>
          <w:rFonts w:ascii="Arial" w:hAnsi="Arial"/>
          <w:spacing w:val="-2"/>
        </w:rPr>
        <w:t>T</w:t>
      </w:r>
      <w:r>
        <w:rPr>
          <w:rFonts w:ascii="Arial" w:hAnsi="Arial"/>
          <w:spacing w:val="-1"/>
        </w:rPr>
        <w:t>he</w:t>
      </w:r>
      <w:r>
        <w:rPr>
          <w:rFonts w:ascii="Arial" w:hAnsi="Arial"/>
        </w:rPr>
        <w:t>y</w:t>
      </w:r>
      <w:r>
        <w:rPr>
          <w:rFonts w:ascii="Arial" w:hAnsi="Arial"/>
        </w:rPr>
        <w:t xml:space="preserve"> </w:t>
      </w:r>
      <w:r>
        <w:rPr>
          <w:rFonts w:ascii="Arial" w:hAnsi="Arial"/>
          <w:spacing w:val="37"/>
        </w:rPr>
        <w:t xml:space="preserve"> </w:t>
      </w:r>
      <w:r>
        <w:rPr>
          <w:rFonts w:ascii="Arial" w:hAnsi="Arial"/>
          <w:spacing w:val="-1"/>
        </w:rPr>
        <w:t>a</w:t>
      </w:r>
      <w:r>
        <w:rPr>
          <w:rFonts w:ascii="Arial" w:hAnsi="Arial"/>
        </w:rPr>
        <w:t>sk</w:t>
      </w:r>
      <w:r>
        <w:rPr>
          <w:rFonts w:ascii="Arial" w:hAnsi="Arial"/>
          <w:spacing w:val="-3"/>
        </w:rPr>
        <w:t>e</w:t>
      </w:r>
      <w:r>
        <w:rPr>
          <w:rFonts w:ascii="Arial" w:hAnsi="Arial"/>
          <w:spacing w:val="-1"/>
        </w:rPr>
        <w:t>d</w:t>
      </w:r>
      <w:r>
        <w:rPr>
          <w:rFonts w:ascii="Arial" w:hAnsi="Arial"/>
        </w:rPr>
        <w:t>:</w:t>
      </w:r>
      <w:r>
        <w:rPr>
          <w:rFonts w:ascii="Arial" w:hAnsi="Arial"/>
        </w:rPr>
        <w:t xml:space="preserve">  </w:t>
      </w:r>
      <w:r>
        <w:rPr>
          <w:rFonts w:ascii="Arial" w:hAnsi="Arial"/>
          <w:spacing w:val="-39"/>
        </w:rPr>
        <w:t xml:space="preserve"> </w:t>
      </w:r>
      <w:r>
        <w:rPr>
          <w:rFonts w:ascii="Arial" w:hAnsi="Arial"/>
          <w:spacing w:val="-3"/>
          <w:w w:val="33"/>
        </w:rPr>
        <w:t>―</w:t>
      </w:r>
      <w:r>
        <w:rPr>
          <w:rFonts w:ascii="Arial" w:hAnsi="Arial"/>
          <w:spacing w:val="1"/>
        </w:rPr>
        <w:t>W</w:t>
      </w:r>
      <w:r>
        <w:rPr>
          <w:rFonts w:ascii="Arial" w:hAnsi="Arial"/>
          <w:spacing w:val="-1"/>
        </w:rPr>
        <w:t>ha</w:t>
      </w:r>
      <w:r>
        <w:rPr>
          <w:rFonts w:ascii="Arial" w:hAnsi="Arial"/>
        </w:rPr>
        <w:t>t</w:t>
      </w:r>
      <w:r>
        <w:rPr>
          <w:rFonts w:ascii="Arial" w:hAnsi="Arial"/>
        </w:rPr>
        <w:t xml:space="preserve">  </w:t>
      </w:r>
      <w:r>
        <w:rPr>
          <w:rFonts w:ascii="Arial" w:hAnsi="Arial"/>
          <w:spacing w:val="-39"/>
        </w:rPr>
        <w:t xml:space="preserve"> </w:t>
      </w:r>
      <w:r>
        <w:rPr>
          <w:rFonts w:ascii="Arial" w:hAnsi="Arial"/>
          <w:spacing w:val="-4"/>
        </w:rPr>
        <w:t>w</w:t>
      </w:r>
      <w:r>
        <w:rPr>
          <w:rFonts w:ascii="Arial" w:hAnsi="Arial"/>
          <w:spacing w:val="-1"/>
        </w:rPr>
        <w:t>il</w:t>
      </w:r>
      <w:r>
        <w:rPr>
          <w:rFonts w:ascii="Arial" w:hAnsi="Arial"/>
        </w:rPr>
        <w:t>l</w:t>
      </w:r>
      <w:r>
        <w:rPr>
          <w:rFonts w:ascii="Arial" w:hAnsi="Arial"/>
        </w:rPr>
        <w:t xml:space="preserve">  </w:t>
      </w:r>
      <w:r>
        <w:rPr>
          <w:rFonts w:ascii="Arial" w:hAnsi="Arial"/>
          <w:spacing w:val="-37"/>
        </w:rPr>
        <w:t xml:space="preserve"> </w:t>
      </w:r>
      <w:r>
        <w:rPr>
          <w:rFonts w:ascii="Arial" w:hAnsi="Arial"/>
          <w:spacing w:val="-4"/>
        </w:rPr>
        <w:t>w</w:t>
      </w:r>
      <w:r>
        <w:rPr>
          <w:rFonts w:ascii="Arial" w:hAnsi="Arial"/>
        </w:rPr>
        <w:t>e</w:t>
      </w:r>
      <w:r>
        <w:rPr>
          <w:rFonts w:ascii="Arial" w:hAnsi="Arial"/>
        </w:rPr>
        <w:t xml:space="preserve">  </w:t>
      </w:r>
      <w:r>
        <w:rPr>
          <w:rFonts w:ascii="Arial" w:hAnsi="Arial"/>
          <w:spacing w:val="-38"/>
        </w:rPr>
        <w:t xml:space="preserve"> </w:t>
      </w:r>
      <w:r>
        <w:rPr>
          <w:rFonts w:ascii="Arial" w:hAnsi="Arial"/>
          <w:spacing w:val="-1"/>
        </w:rPr>
        <w:t>ge</w:t>
      </w:r>
      <w:r>
        <w:rPr>
          <w:rFonts w:ascii="Arial" w:hAnsi="Arial"/>
        </w:rPr>
        <w:t>t</w:t>
      </w:r>
      <w:r>
        <w:rPr>
          <w:rFonts w:ascii="Arial" w:hAnsi="Arial"/>
          <w:spacing w:val="-1"/>
          <w:w w:val="92"/>
        </w:rPr>
        <w:t>?</w:t>
      </w:r>
      <w:r>
        <w:rPr>
          <w:rFonts w:ascii="Arial" w:hAnsi="Arial"/>
          <w:w w:val="92"/>
        </w:rPr>
        <w:t>‖</w:t>
      </w:r>
      <w:r>
        <w:rPr>
          <w:rFonts w:ascii="Arial" w:hAnsi="Arial"/>
        </w:rPr>
        <w:t xml:space="preserve">  </w:t>
      </w:r>
      <w:r>
        <w:rPr>
          <w:rFonts w:ascii="Arial" w:hAnsi="Arial"/>
          <w:spacing w:val="-37"/>
        </w:rPr>
        <w:t xml:space="preserve"> </w:t>
      </w:r>
      <w:r>
        <w:rPr>
          <w:rFonts w:ascii="Arial" w:hAnsi="Arial"/>
          <w:spacing w:val="-4"/>
        </w:rPr>
        <w:t>H</w:t>
      </w:r>
      <w:r>
        <w:rPr>
          <w:rFonts w:ascii="Arial" w:hAnsi="Arial"/>
        </w:rPr>
        <w:t xml:space="preserve">e </w:t>
      </w:r>
      <w:r>
        <w:rPr>
          <w:rFonts w:ascii="Arial" w:hAnsi="Arial"/>
        </w:rPr>
        <w:t>replied: ―Make a wish.‖ They said: ―Let us obtain offspring during our season, and let us enjoy sexual intercourse</w:t>
      </w:r>
      <w:r>
        <w:rPr>
          <w:rFonts w:ascii="Arial" w:hAnsi="Arial"/>
          <w:spacing w:val="-26"/>
        </w:rPr>
        <w:t xml:space="preserve"> </w:t>
      </w:r>
      <w:r>
        <w:rPr>
          <w:rFonts w:ascii="Arial" w:hAnsi="Arial"/>
        </w:rPr>
        <w:t>freely</w:t>
      </w:r>
      <w:r>
        <w:rPr>
          <w:rFonts w:ascii="Arial" w:hAnsi="Arial"/>
          <w:spacing w:val="-28"/>
        </w:rPr>
        <w:t xml:space="preserve"> </w:t>
      </w:r>
      <w:r>
        <w:rPr>
          <w:rFonts w:ascii="Arial" w:hAnsi="Arial"/>
        </w:rPr>
        <w:t>until</w:t>
      </w:r>
      <w:r>
        <w:rPr>
          <w:rFonts w:ascii="Arial" w:hAnsi="Arial"/>
          <w:spacing w:val="-25"/>
        </w:rPr>
        <w:t xml:space="preserve"> </w:t>
      </w:r>
      <w:r>
        <w:rPr>
          <w:rFonts w:ascii="Arial" w:hAnsi="Arial"/>
        </w:rPr>
        <w:t>we</w:t>
      </w:r>
      <w:r>
        <w:rPr>
          <w:rFonts w:ascii="Arial" w:hAnsi="Arial"/>
          <w:spacing w:val="-23"/>
        </w:rPr>
        <w:t xml:space="preserve"> </w:t>
      </w:r>
      <w:r>
        <w:rPr>
          <w:rFonts w:ascii="Arial" w:hAnsi="Arial"/>
        </w:rPr>
        <w:t>give</w:t>
      </w:r>
      <w:r>
        <w:rPr>
          <w:rFonts w:ascii="Arial" w:hAnsi="Arial"/>
          <w:spacing w:val="-25"/>
        </w:rPr>
        <w:t xml:space="preserve"> </w:t>
      </w:r>
      <w:r>
        <w:rPr>
          <w:rFonts w:ascii="Arial" w:hAnsi="Arial"/>
        </w:rPr>
        <w:t>birth.‖</w:t>
      </w:r>
      <w:r>
        <w:rPr>
          <w:rFonts w:ascii="Arial" w:hAnsi="Arial"/>
          <w:spacing w:val="-27"/>
        </w:rPr>
        <w:t xml:space="preserve"> </w:t>
      </w:r>
      <w:r>
        <w:rPr>
          <w:rFonts w:ascii="Arial" w:hAnsi="Arial"/>
        </w:rPr>
        <w:t>He</w:t>
      </w:r>
      <w:r>
        <w:rPr>
          <w:rFonts w:ascii="Arial" w:hAnsi="Arial"/>
          <w:spacing w:val="-25"/>
        </w:rPr>
        <w:t xml:space="preserve"> </w:t>
      </w:r>
      <w:r>
        <w:rPr>
          <w:rFonts w:ascii="Arial" w:hAnsi="Arial"/>
        </w:rPr>
        <w:t>replied:</w:t>
      </w:r>
      <w:r>
        <w:rPr>
          <w:rFonts w:ascii="Arial" w:hAnsi="Arial"/>
          <w:spacing w:val="-25"/>
        </w:rPr>
        <w:t xml:space="preserve"> </w:t>
      </w:r>
      <w:r>
        <w:rPr>
          <w:rFonts w:ascii="Arial" w:hAnsi="Arial"/>
        </w:rPr>
        <w:t xml:space="preserve">―So be it!‖ And they took the guilt upon themselves. That guilt   of  killing  a  Brahmin  </w:t>
      </w:r>
      <w:r>
        <w:rPr>
          <w:rFonts w:ascii="Arial" w:hAnsi="Arial"/>
          <w:spacing w:val="3"/>
        </w:rPr>
        <w:t xml:space="preserve"> </w:t>
      </w:r>
      <w:r>
        <w:rPr>
          <w:rFonts w:ascii="Arial" w:hAnsi="Arial"/>
        </w:rPr>
        <w:t>ma</w:t>
      </w:r>
      <w:r>
        <w:rPr>
          <w:rFonts w:ascii="Arial" w:hAnsi="Arial"/>
        </w:rPr>
        <w:t>nifests   itself   every</w:t>
      </w:r>
    </w:p>
    <w:p w:rsidR="003B2FC0" w:rsidRDefault="003B2FC0">
      <w:pPr>
        <w:spacing w:before="9"/>
        <w:rPr>
          <w:sz w:val="28"/>
        </w:rPr>
      </w:pPr>
      <w:r w:rsidRPr="003B2FC0">
        <w:pict>
          <v:line id="_x0000_s1144" style="position:absolute;z-index:-251596288;mso-wrap-distance-left:0;mso-wrap-distance-right:0;mso-position-horizontal-relative:page" from="1in,18.95pt" to="216.05pt,18.95pt" strokeweight=".72pt">
            <w10:wrap type="topAndBottom" anchorx="page"/>
          </v:line>
        </w:pict>
      </w:r>
    </w:p>
    <w:p w:rsidR="003B2FC0" w:rsidRDefault="00052A49">
      <w:pPr>
        <w:spacing w:before="36"/>
        <w:ind w:left="100"/>
        <w:rPr>
          <w:sz w:val="20"/>
        </w:rPr>
      </w:pPr>
      <w:r>
        <w:rPr>
          <w:position w:val="10"/>
          <w:sz w:val="13"/>
        </w:rPr>
        <w:t xml:space="preserve">4 </w:t>
      </w:r>
      <w:r>
        <w:rPr>
          <w:i/>
          <w:sz w:val="20"/>
        </w:rPr>
        <w:t xml:space="preserve">Leviticus </w:t>
      </w:r>
      <w:r>
        <w:rPr>
          <w:sz w:val="20"/>
        </w:rPr>
        <w:t>15:19 (King James Version).</w:t>
      </w:r>
    </w:p>
    <w:p w:rsidR="003B2FC0" w:rsidRDefault="003B2FC0">
      <w:pPr>
        <w:rPr>
          <w:sz w:val="20"/>
        </w:rPr>
        <w:sectPr w:rsidR="003B2FC0">
          <w:headerReference w:type="default" r:id="rId309"/>
          <w:footerReference w:type="default" r:id="rId310"/>
          <w:pgSz w:w="12240" w:h="15840"/>
          <w:pgMar w:top="1360" w:right="1320" w:bottom="1680" w:left="1340" w:header="0" w:footer="1492" w:gutter="0"/>
          <w:pgNumType w:start="63"/>
          <w:cols w:space="720"/>
        </w:sectPr>
      </w:pPr>
    </w:p>
    <w:p w:rsidR="003B2FC0" w:rsidRDefault="00052A49">
      <w:pPr>
        <w:pStyle w:val="BodyText"/>
        <w:spacing w:before="77"/>
        <w:ind w:left="1518" w:right="1539"/>
        <w:jc w:val="both"/>
        <w:rPr>
          <w:rFonts w:ascii="Arial" w:hAnsi="Arial"/>
        </w:rPr>
      </w:pPr>
      <w:r>
        <w:rPr>
          <w:rFonts w:ascii="Arial" w:hAnsi="Arial"/>
        </w:rPr>
        <w:t>month. Therefore, one should not eat the food of a menstruating woman, for such a woman has put on the aspect of the guilt of killing a Brahmin‘.‖</w:t>
      </w:r>
      <w:r>
        <w:rPr>
          <w:rFonts w:ascii="Arial" w:hAnsi="Arial"/>
          <w:vertAlign w:val="superscript"/>
        </w:rPr>
        <w:t>5</w:t>
      </w:r>
    </w:p>
    <w:p w:rsidR="003B2FC0" w:rsidRDefault="003B2FC0">
      <w:pPr>
        <w:rPr>
          <w:sz w:val="34"/>
        </w:rPr>
      </w:pPr>
    </w:p>
    <w:p w:rsidR="003B2FC0" w:rsidRDefault="003B2FC0">
      <w:pPr>
        <w:spacing w:before="8"/>
        <w:rPr>
          <w:sz w:val="28"/>
        </w:rPr>
      </w:pPr>
    </w:p>
    <w:p w:rsidR="003B2FC0" w:rsidRDefault="00052A49">
      <w:pPr>
        <w:pStyle w:val="BodyText"/>
        <w:spacing w:line="482" w:lineRule="auto"/>
        <w:ind w:left="383"/>
        <w:rPr>
          <w:rFonts w:ascii="Arial"/>
        </w:rPr>
      </w:pPr>
      <w:r>
        <w:rPr>
          <w:rFonts w:ascii="Arial"/>
        </w:rPr>
        <w:t xml:space="preserve">To similar effect are Chapters 9 and 13 of Canto 6 of the </w:t>
      </w:r>
      <w:r>
        <w:rPr>
          <w:rFonts w:ascii="Arial"/>
          <w:i/>
        </w:rPr>
        <w:t xml:space="preserve">Bhagavata Purana </w:t>
      </w:r>
      <w:r>
        <w:rPr>
          <w:rFonts w:ascii="Arial"/>
        </w:rPr>
        <w:t>which read as follows:</w:t>
      </w:r>
    </w:p>
    <w:p w:rsidR="003B2FC0" w:rsidRDefault="00052A49">
      <w:pPr>
        <w:pStyle w:val="BodyText"/>
        <w:spacing w:before="194"/>
        <w:ind w:left="1518" w:right="1541"/>
        <w:jc w:val="both"/>
        <w:rPr>
          <w:rFonts w:ascii="Arial" w:hAnsi="Arial"/>
        </w:rPr>
      </w:pPr>
      <w:r>
        <w:rPr>
          <w:rFonts w:ascii="Arial" w:hAnsi="Arial"/>
        </w:rPr>
        <w:t>―6.9.9. In return for Lord Indra‘s benediction that they would be able to enjoy lusty desires continuously, even during pregnancy for as long as sex is not in</w:t>
      </w:r>
      <w:r>
        <w:rPr>
          <w:rFonts w:ascii="Arial" w:hAnsi="Arial"/>
        </w:rPr>
        <w:t>jurious to the embryo, women accepted one fourth of the sinful reactions. As a result of those reactions, women manifest the signs of menstruation every</w:t>
      </w:r>
      <w:r>
        <w:rPr>
          <w:rFonts w:ascii="Arial" w:hAnsi="Arial"/>
          <w:spacing w:val="-2"/>
        </w:rPr>
        <w:t xml:space="preserve"> </w:t>
      </w:r>
      <w:r>
        <w:rPr>
          <w:rFonts w:ascii="Arial" w:hAnsi="Arial"/>
        </w:rPr>
        <w:t>month.‖</w:t>
      </w:r>
      <w:r>
        <w:rPr>
          <w:rFonts w:ascii="Arial" w:hAnsi="Arial"/>
          <w:vertAlign w:val="superscript"/>
        </w:rPr>
        <w:t>6</w:t>
      </w:r>
    </w:p>
    <w:p w:rsidR="003B2FC0" w:rsidRDefault="00052A49">
      <w:pPr>
        <w:pStyle w:val="BodyText"/>
        <w:spacing w:before="202"/>
        <w:ind w:left="1518" w:right="1536"/>
        <w:jc w:val="both"/>
        <w:rPr>
          <w:rFonts w:ascii="Arial" w:hAnsi="Arial"/>
        </w:rPr>
      </w:pPr>
      <w:r>
        <w:rPr>
          <w:rFonts w:ascii="Arial" w:hAnsi="Arial"/>
        </w:rPr>
        <w:t>―6.13.5. King Indra replied: When</w:t>
      </w:r>
      <w:r>
        <w:rPr>
          <w:rFonts w:ascii="Arial" w:hAnsi="Arial"/>
          <w:spacing w:val="-58"/>
        </w:rPr>
        <w:t xml:space="preserve"> </w:t>
      </w:r>
      <w:r>
        <w:rPr>
          <w:rFonts w:ascii="Arial" w:hAnsi="Arial"/>
        </w:rPr>
        <w:t xml:space="preserve">I killed </w:t>
      </w:r>
      <w:r>
        <w:rPr>
          <w:rFonts w:ascii="Arial" w:hAnsi="Arial"/>
          <w:i/>
        </w:rPr>
        <w:t>Visvarupa</w:t>
      </w:r>
      <w:r>
        <w:rPr>
          <w:rFonts w:ascii="Arial" w:hAnsi="Arial"/>
        </w:rPr>
        <w:t>, I received extensive sinful reactions, b</w:t>
      </w:r>
      <w:r>
        <w:rPr>
          <w:rFonts w:ascii="Arial" w:hAnsi="Arial"/>
        </w:rPr>
        <w:t xml:space="preserve">ut I was favored by the women, land, trees and water, and therefore I was able to divide the sin among them. But now if I kill </w:t>
      </w:r>
      <w:r>
        <w:rPr>
          <w:rFonts w:ascii="Arial" w:hAnsi="Arial"/>
          <w:i/>
        </w:rPr>
        <w:t>Vrtrasura</w:t>
      </w:r>
      <w:r>
        <w:rPr>
          <w:rFonts w:ascii="Arial" w:hAnsi="Arial"/>
        </w:rPr>
        <w:t xml:space="preserve">, another </w:t>
      </w:r>
      <w:r>
        <w:rPr>
          <w:rFonts w:ascii="Arial" w:hAnsi="Arial"/>
          <w:i/>
        </w:rPr>
        <w:t>brahmana</w:t>
      </w:r>
      <w:r>
        <w:rPr>
          <w:rFonts w:ascii="Arial" w:hAnsi="Arial"/>
        </w:rPr>
        <w:t>, how shall I free myself from the sinful reactions?‖</w:t>
      </w:r>
      <w:r>
        <w:rPr>
          <w:rFonts w:ascii="Arial" w:hAnsi="Arial"/>
          <w:vertAlign w:val="superscript"/>
        </w:rPr>
        <w:t>7</w:t>
      </w:r>
    </w:p>
    <w:p w:rsidR="003B2FC0" w:rsidRDefault="003B2FC0">
      <w:pPr>
        <w:rPr>
          <w:sz w:val="34"/>
        </w:rPr>
      </w:pPr>
    </w:p>
    <w:p w:rsidR="003B2FC0" w:rsidRDefault="003B2FC0">
      <w:pPr>
        <w:spacing w:before="7"/>
        <w:rPr>
          <w:sz w:val="28"/>
        </w:rPr>
      </w:pPr>
    </w:p>
    <w:p w:rsidR="003B2FC0" w:rsidRDefault="00052A49">
      <w:pPr>
        <w:pStyle w:val="BodyText"/>
        <w:ind w:left="383"/>
        <w:rPr>
          <w:rFonts w:ascii="Arial" w:hAnsi="Arial"/>
        </w:rPr>
      </w:pPr>
      <w:r>
        <w:rPr>
          <w:rFonts w:ascii="Arial" w:hAnsi="Arial"/>
        </w:rPr>
        <w:t>Also, in the Qur‘an, Chapter 2, Verse 222 states as follows:</w:t>
      </w:r>
    </w:p>
    <w:p w:rsidR="003B2FC0" w:rsidRDefault="003B2FC0">
      <w:pPr>
        <w:rPr>
          <w:sz w:val="30"/>
        </w:rPr>
      </w:pPr>
    </w:p>
    <w:p w:rsidR="003B2FC0" w:rsidRDefault="00052A49">
      <w:pPr>
        <w:pStyle w:val="BodyText"/>
        <w:spacing w:before="178"/>
        <w:ind w:left="1518" w:right="1540"/>
        <w:jc w:val="both"/>
        <w:rPr>
          <w:rFonts w:ascii="Arial" w:hAnsi="Arial"/>
        </w:rPr>
      </w:pPr>
      <w:r>
        <w:rPr>
          <w:rFonts w:ascii="Arial" w:hAnsi="Arial"/>
        </w:rPr>
        <w:t xml:space="preserve">―222. They also ask you about (the injunctions concerning) menstruation. Say: </w:t>
      </w:r>
      <w:r>
        <w:rPr>
          <w:rFonts w:ascii="Arial" w:hAnsi="Arial"/>
          <w:w w:val="95"/>
        </w:rPr>
        <w:t xml:space="preserve">―it </w:t>
      </w:r>
      <w:r>
        <w:rPr>
          <w:rFonts w:ascii="Arial" w:hAnsi="Arial"/>
        </w:rPr>
        <w:t>is a state of hurt (and ritual impurity), so keep away from women during their menstruation and do not approach</w:t>
      </w:r>
      <w:r>
        <w:rPr>
          <w:rFonts w:ascii="Arial" w:hAnsi="Arial"/>
          <w:spacing w:val="61"/>
        </w:rPr>
        <w:t xml:space="preserve"> </w:t>
      </w:r>
      <w:r>
        <w:rPr>
          <w:rFonts w:ascii="Arial" w:hAnsi="Arial"/>
        </w:rPr>
        <w:t>them</w:t>
      </w:r>
    </w:p>
    <w:p w:rsidR="003B2FC0" w:rsidRDefault="003B2FC0">
      <w:pPr>
        <w:rPr>
          <w:sz w:val="21"/>
        </w:rPr>
      </w:pPr>
      <w:r w:rsidRPr="003B2FC0">
        <w:pict>
          <v:line id="_x0000_s1143" style="position:absolute;z-index:-251595264;mso-wrap-distance-left:0;mso-wrap-distance-right:0;mso-position-horizontal-relative:page" from="1in,14.45pt" to="216.05pt,14.45pt" strokeweight=".72pt">
            <w10:wrap type="topAndBottom" anchorx="page"/>
          </v:line>
        </w:pict>
      </w:r>
    </w:p>
    <w:p w:rsidR="003B2FC0" w:rsidRDefault="00052A49">
      <w:pPr>
        <w:spacing w:before="36" w:line="242" w:lineRule="auto"/>
        <w:ind w:left="242" w:right="768" w:hanging="142"/>
        <w:rPr>
          <w:sz w:val="20"/>
        </w:rPr>
      </w:pPr>
      <w:r>
        <w:rPr>
          <w:position w:val="10"/>
          <w:sz w:val="13"/>
        </w:rPr>
        <w:t xml:space="preserve">5 </w:t>
      </w:r>
      <w:r>
        <w:rPr>
          <w:sz w:val="20"/>
        </w:rPr>
        <w:t>D</w:t>
      </w:r>
      <w:r>
        <w:rPr>
          <w:sz w:val="16"/>
        </w:rPr>
        <w:t xml:space="preserve">HARMASUTRAS </w:t>
      </w:r>
      <w:r>
        <w:rPr>
          <w:sz w:val="20"/>
        </w:rPr>
        <w:t>– T</w:t>
      </w:r>
      <w:r>
        <w:rPr>
          <w:sz w:val="16"/>
        </w:rPr>
        <w:t xml:space="preserve">HE </w:t>
      </w:r>
      <w:r>
        <w:rPr>
          <w:sz w:val="20"/>
        </w:rPr>
        <w:t>L</w:t>
      </w:r>
      <w:r>
        <w:rPr>
          <w:sz w:val="16"/>
        </w:rPr>
        <w:t xml:space="preserve">AW </w:t>
      </w:r>
      <w:r>
        <w:rPr>
          <w:sz w:val="20"/>
        </w:rPr>
        <w:t>C</w:t>
      </w:r>
      <w:r>
        <w:rPr>
          <w:sz w:val="16"/>
        </w:rPr>
        <w:t xml:space="preserve">ODES </w:t>
      </w:r>
      <w:r>
        <w:rPr>
          <w:sz w:val="20"/>
        </w:rPr>
        <w:t>O</w:t>
      </w:r>
      <w:r>
        <w:rPr>
          <w:sz w:val="16"/>
        </w:rPr>
        <w:t xml:space="preserve">F </w:t>
      </w:r>
      <w:r>
        <w:rPr>
          <w:sz w:val="20"/>
        </w:rPr>
        <w:t>A</w:t>
      </w:r>
      <w:r>
        <w:rPr>
          <w:sz w:val="16"/>
        </w:rPr>
        <w:t>PASTAMBA</w:t>
      </w:r>
      <w:r>
        <w:rPr>
          <w:sz w:val="20"/>
        </w:rPr>
        <w:t>, G</w:t>
      </w:r>
      <w:r>
        <w:rPr>
          <w:sz w:val="16"/>
        </w:rPr>
        <w:t>AUTAMA</w:t>
      </w:r>
      <w:r>
        <w:rPr>
          <w:sz w:val="20"/>
        </w:rPr>
        <w:t>, B</w:t>
      </w:r>
      <w:r>
        <w:rPr>
          <w:sz w:val="16"/>
        </w:rPr>
        <w:t>AUDHAYANA</w:t>
      </w:r>
      <w:r>
        <w:rPr>
          <w:sz w:val="20"/>
        </w:rPr>
        <w:t>, A</w:t>
      </w:r>
      <w:r>
        <w:rPr>
          <w:sz w:val="16"/>
        </w:rPr>
        <w:t xml:space="preserve">ND </w:t>
      </w:r>
      <w:r>
        <w:rPr>
          <w:sz w:val="20"/>
        </w:rPr>
        <w:t>V</w:t>
      </w:r>
      <w:r>
        <w:rPr>
          <w:sz w:val="16"/>
        </w:rPr>
        <w:t xml:space="preserve">ASISTHA </w:t>
      </w:r>
      <w:r>
        <w:rPr>
          <w:sz w:val="20"/>
        </w:rPr>
        <w:t>264 (Translation by Patrick Olivelle, Oxford University Press, 1999).</w:t>
      </w:r>
    </w:p>
    <w:p w:rsidR="003B2FC0" w:rsidRDefault="00052A49">
      <w:pPr>
        <w:spacing w:before="163" w:line="276" w:lineRule="auto"/>
        <w:ind w:left="100"/>
        <w:rPr>
          <w:sz w:val="20"/>
        </w:rPr>
      </w:pPr>
      <w:r>
        <w:rPr>
          <w:position w:val="10"/>
          <w:sz w:val="13"/>
        </w:rPr>
        <w:t xml:space="preserve">6 </w:t>
      </w:r>
      <w:r>
        <w:rPr>
          <w:sz w:val="20"/>
        </w:rPr>
        <w:t>S</w:t>
      </w:r>
      <w:r>
        <w:rPr>
          <w:sz w:val="16"/>
        </w:rPr>
        <w:t xml:space="preserve">RIMAD </w:t>
      </w:r>
      <w:r>
        <w:rPr>
          <w:sz w:val="20"/>
        </w:rPr>
        <w:t>B</w:t>
      </w:r>
      <w:r>
        <w:rPr>
          <w:sz w:val="16"/>
        </w:rPr>
        <w:t xml:space="preserve">HAGAVATAM </w:t>
      </w:r>
      <w:r>
        <w:rPr>
          <w:sz w:val="20"/>
        </w:rPr>
        <w:t>– S</w:t>
      </w:r>
      <w:r>
        <w:rPr>
          <w:sz w:val="16"/>
        </w:rPr>
        <w:t xml:space="preserve">IXTH </w:t>
      </w:r>
      <w:r>
        <w:rPr>
          <w:sz w:val="20"/>
        </w:rPr>
        <w:t>C</w:t>
      </w:r>
      <w:r>
        <w:rPr>
          <w:sz w:val="16"/>
        </w:rPr>
        <w:t xml:space="preserve">ANTO </w:t>
      </w:r>
      <w:r>
        <w:rPr>
          <w:sz w:val="20"/>
        </w:rPr>
        <w:t>(Translation by A.C. Bhaktivedanta Swami Prabhupada, The Bhaktived</w:t>
      </w:r>
      <w:r>
        <w:rPr>
          <w:sz w:val="20"/>
        </w:rPr>
        <w:t>anta Book Trust, 1976).</w:t>
      </w:r>
    </w:p>
    <w:p w:rsidR="003B2FC0" w:rsidRDefault="00052A49">
      <w:pPr>
        <w:spacing w:before="162"/>
        <w:ind w:left="100"/>
        <w:rPr>
          <w:i/>
          <w:sz w:val="20"/>
        </w:rPr>
      </w:pPr>
      <w:r>
        <w:rPr>
          <w:position w:val="10"/>
          <w:sz w:val="13"/>
        </w:rPr>
        <w:t xml:space="preserve">7 </w:t>
      </w:r>
      <w:r>
        <w:rPr>
          <w:i/>
          <w:sz w:val="20"/>
        </w:rPr>
        <w:t>Id.</w:t>
      </w:r>
    </w:p>
    <w:p w:rsidR="003B2FC0" w:rsidRDefault="003B2FC0">
      <w:pPr>
        <w:rPr>
          <w:sz w:val="20"/>
        </w:rPr>
        <w:sectPr w:rsidR="003B2FC0">
          <w:headerReference w:type="default" r:id="rId311"/>
          <w:footerReference w:type="default" r:id="rId312"/>
          <w:pgSz w:w="12240" w:h="15840"/>
          <w:pgMar w:top="1360" w:right="1320" w:bottom="1680" w:left="1340" w:header="0" w:footer="1492" w:gutter="0"/>
          <w:pgNumType w:start="64"/>
          <w:cols w:space="720"/>
        </w:sectPr>
      </w:pPr>
    </w:p>
    <w:p w:rsidR="003B2FC0" w:rsidRDefault="00052A49">
      <w:pPr>
        <w:pStyle w:val="BodyText"/>
        <w:spacing w:before="77"/>
        <w:ind w:left="1518" w:right="1537"/>
        <w:jc w:val="both"/>
        <w:rPr>
          <w:rFonts w:ascii="Arial" w:hAnsi="Arial"/>
        </w:rPr>
      </w:pPr>
      <w:r>
        <w:rPr>
          <w:rFonts w:ascii="Arial" w:hAnsi="Arial"/>
        </w:rPr>
        <w:t xml:space="preserve">until they are cleansed. When they are cleansed, then (you can) go to them inasmuch as God has commanded you (according to the urge He has placed in your nature, and within the terms He has enjoined upon you). Surely God loves those </w:t>
      </w:r>
      <w:r>
        <w:rPr>
          <w:rFonts w:ascii="Arial" w:hAnsi="Arial"/>
          <w:spacing w:val="-2"/>
        </w:rPr>
        <w:t xml:space="preserve">who </w:t>
      </w:r>
      <w:r>
        <w:rPr>
          <w:rFonts w:ascii="Arial" w:hAnsi="Arial"/>
        </w:rPr>
        <w:t>turn to Him in sinc</w:t>
      </w:r>
      <w:r>
        <w:rPr>
          <w:rFonts w:ascii="Arial" w:hAnsi="Arial"/>
        </w:rPr>
        <w:t>ere repentance (of past sins and errors), and He loves those who cleanse themselves.‖</w:t>
      </w:r>
      <w:r>
        <w:rPr>
          <w:rFonts w:ascii="Arial" w:hAnsi="Arial"/>
          <w:vertAlign w:val="superscript"/>
        </w:rPr>
        <w:t>8</w:t>
      </w:r>
    </w:p>
    <w:p w:rsidR="003B2FC0" w:rsidRDefault="003B2FC0">
      <w:pPr>
        <w:rPr>
          <w:sz w:val="34"/>
        </w:rPr>
      </w:pPr>
    </w:p>
    <w:p w:rsidR="003B2FC0" w:rsidRDefault="003B2FC0">
      <w:pPr>
        <w:spacing w:before="8"/>
        <w:rPr>
          <w:sz w:val="28"/>
        </w:rPr>
      </w:pPr>
    </w:p>
    <w:p w:rsidR="003B2FC0" w:rsidRDefault="00052A49">
      <w:pPr>
        <w:pStyle w:val="BodyText"/>
        <w:spacing w:before="1" w:line="480" w:lineRule="auto"/>
        <w:ind w:left="383" w:right="410"/>
        <w:jc w:val="both"/>
        <w:rPr>
          <w:rFonts w:ascii="Arial"/>
        </w:rPr>
      </w:pPr>
      <w:r>
        <w:rPr>
          <w:rFonts w:ascii="Arial"/>
        </w:rPr>
        <w:t>In the Gospel of Mark, Jesus is said to have cured a woman who was ritualistically unclean, having had an issue of blood for 12 years, as follows:</w:t>
      </w:r>
    </w:p>
    <w:p w:rsidR="003B2FC0" w:rsidRDefault="00052A49">
      <w:pPr>
        <w:pStyle w:val="BodyText"/>
        <w:spacing w:before="200"/>
        <w:ind w:left="1518" w:right="1543"/>
        <w:jc w:val="both"/>
        <w:rPr>
          <w:rFonts w:ascii="Arial" w:hAnsi="Arial"/>
        </w:rPr>
      </w:pPr>
      <w:r>
        <w:rPr>
          <w:rFonts w:ascii="Arial" w:hAnsi="Arial"/>
          <w:w w:val="33"/>
        </w:rPr>
        <w:t>―</w:t>
      </w:r>
      <w:r>
        <w:rPr>
          <w:rFonts w:ascii="Arial" w:hAnsi="Arial"/>
          <w:spacing w:val="-1"/>
        </w:rPr>
        <w:t>25</w:t>
      </w:r>
      <w:r>
        <w:rPr>
          <w:rFonts w:ascii="Arial" w:hAnsi="Arial"/>
        </w:rPr>
        <w:t>.</w:t>
      </w:r>
      <w:r>
        <w:rPr>
          <w:rFonts w:ascii="Arial" w:hAnsi="Arial"/>
        </w:rPr>
        <w:t xml:space="preserve"> </w:t>
      </w:r>
      <w:r>
        <w:rPr>
          <w:rFonts w:ascii="Arial" w:hAnsi="Arial"/>
          <w:spacing w:val="-23"/>
        </w:rPr>
        <w:t xml:space="preserve"> </w:t>
      </w:r>
      <w:r>
        <w:rPr>
          <w:rFonts w:ascii="Arial" w:hAnsi="Arial"/>
          <w:spacing w:val="-3"/>
        </w:rPr>
        <w:t>A</w:t>
      </w:r>
      <w:r>
        <w:rPr>
          <w:rFonts w:ascii="Arial" w:hAnsi="Arial"/>
        </w:rPr>
        <w:t>nd</w:t>
      </w:r>
      <w:r>
        <w:rPr>
          <w:rFonts w:ascii="Arial" w:hAnsi="Arial"/>
        </w:rPr>
        <w:t xml:space="preserve"> </w:t>
      </w:r>
      <w:r>
        <w:rPr>
          <w:rFonts w:ascii="Arial" w:hAnsi="Arial"/>
          <w:spacing w:val="-25"/>
        </w:rPr>
        <w:t xml:space="preserve"> </w:t>
      </w:r>
      <w:r>
        <w:rPr>
          <w:rFonts w:ascii="Arial" w:hAnsi="Arial"/>
        </w:rPr>
        <w:t>a</w:t>
      </w:r>
      <w:r>
        <w:rPr>
          <w:rFonts w:ascii="Arial" w:hAnsi="Arial"/>
        </w:rPr>
        <w:t xml:space="preserve"> </w:t>
      </w:r>
      <w:r>
        <w:rPr>
          <w:rFonts w:ascii="Arial" w:hAnsi="Arial"/>
          <w:spacing w:val="-27"/>
        </w:rPr>
        <w:t xml:space="preserve"> </w:t>
      </w:r>
      <w:r>
        <w:rPr>
          <w:rFonts w:ascii="Arial" w:hAnsi="Arial"/>
        </w:rPr>
        <w:t>ce</w:t>
      </w:r>
      <w:r>
        <w:rPr>
          <w:rFonts w:ascii="Arial" w:hAnsi="Arial"/>
          <w:spacing w:val="-3"/>
        </w:rPr>
        <w:t>r</w:t>
      </w:r>
      <w:r>
        <w:rPr>
          <w:rFonts w:ascii="Arial" w:hAnsi="Arial"/>
        </w:rPr>
        <w:t>t</w:t>
      </w:r>
      <w:r>
        <w:rPr>
          <w:rFonts w:ascii="Arial" w:hAnsi="Arial"/>
        </w:rPr>
        <w:t>ain</w:t>
      </w:r>
      <w:r>
        <w:rPr>
          <w:rFonts w:ascii="Arial" w:hAnsi="Arial"/>
        </w:rPr>
        <w:t xml:space="preserve"> </w:t>
      </w:r>
      <w:r>
        <w:rPr>
          <w:rFonts w:ascii="Arial" w:hAnsi="Arial"/>
          <w:spacing w:val="-27"/>
        </w:rPr>
        <w:t xml:space="preserve"> </w:t>
      </w:r>
      <w:r>
        <w:rPr>
          <w:rFonts w:ascii="Arial" w:hAnsi="Arial"/>
          <w:spacing w:val="-4"/>
        </w:rPr>
        <w:t>w</w:t>
      </w:r>
      <w:r>
        <w:rPr>
          <w:rFonts w:ascii="Arial" w:hAnsi="Arial"/>
        </w:rPr>
        <w:t>o</w:t>
      </w:r>
      <w:r>
        <w:rPr>
          <w:rFonts w:ascii="Arial" w:hAnsi="Arial"/>
          <w:spacing w:val="-2"/>
        </w:rPr>
        <w:t>m</w:t>
      </w:r>
      <w:r>
        <w:rPr>
          <w:rFonts w:ascii="Arial" w:hAnsi="Arial"/>
        </w:rPr>
        <w:t>an,</w:t>
      </w:r>
      <w:r>
        <w:rPr>
          <w:rFonts w:ascii="Arial" w:hAnsi="Arial"/>
        </w:rPr>
        <w:t xml:space="preserve"> </w:t>
      </w:r>
      <w:r>
        <w:rPr>
          <w:rFonts w:ascii="Arial" w:hAnsi="Arial"/>
          <w:spacing w:val="-24"/>
        </w:rPr>
        <w:t xml:space="preserve"> </w:t>
      </w:r>
      <w:r>
        <w:rPr>
          <w:rFonts w:ascii="Arial" w:hAnsi="Arial"/>
          <w:spacing w:val="-4"/>
        </w:rPr>
        <w:t>w</w:t>
      </w:r>
      <w:r>
        <w:rPr>
          <w:rFonts w:ascii="Arial" w:hAnsi="Arial"/>
        </w:rPr>
        <w:t>hich</w:t>
      </w:r>
      <w:r>
        <w:rPr>
          <w:rFonts w:ascii="Arial" w:hAnsi="Arial"/>
        </w:rPr>
        <w:t xml:space="preserve"> </w:t>
      </w:r>
      <w:r>
        <w:rPr>
          <w:rFonts w:ascii="Arial" w:hAnsi="Arial"/>
          <w:spacing w:val="-24"/>
        </w:rPr>
        <w:t xml:space="preserve"> </w:t>
      </w:r>
      <w:r>
        <w:rPr>
          <w:rFonts w:ascii="Arial" w:hAnsi="Arial"/>
        </w:rPr>
        <w:t>had</w:t>
      </w:r>
      <w:r>
        <w:rPr>
          <w:rFonts w:ascii="Arial" w:hAnsi="Arial"/>
        </w:rPr>
        <w:t xml:space="preserve"> </w:t>
      </w:r>
      <w:r>
        <w:rPr>
          <w:rFonts w:ascii="Arial" w:hAnsi="Arial"/>
          <w:spacing w:val="-25"/>
        </w:rPr>
        <w:t xml:space="preserve"> </w:t>
      </w:r>
      <w:r>
        <w:rPr>
          <w:rFonts w:ascii="Arial" w:hAnsi="Arial"/>
        </w:rPr>
        <w:t>an</w:t>
      </w:r>
      <w:r>
        <w:rPr>
          <w:rFonts w:ascii="Arial" w:hAnsi="Arial"/>
        </w:rPr>
        <w:t xml:space="preserve"> </w:t>
      </w:r>
      <w:r>
        <w:rPr>
          <w:rFonts w:ascii="Arial" w:hAnsi="Arial"/>
          <w:spacing w:val="-25"/>
        </w:rPr>
        <w:t xml:space="preserve"> </w:t>
      </w:r>
      <w:r>
        <w:rPr>
          <w:rFonts w:ascii="Arial" w:hAnsi="Arial"/>
          <w:spacing w:val="-3"/>
        </w:rPr>
        <w:t>i</w:t>
      </w:r>
      <w:r>
        <w:rPr>
          <w:rFonts w:ascii="Arial" w:hAnsi="Arial"/>
        </w:rPr>
        <w:t>ss</w:t>
      </w:r>
      <w:r>
        <w:rPr>
          <w:rFonts w:ascii="Arial" w:hAnsi="Arial"/>
          <w:spacing w:val="-3"/>
        </w:rPr>
        <w:t>u</w:t>
      </w:r>
      <w:r>
        <w:rPr>
          <w:rFonts w:ascii="Arial" w:hAnsi="Arial"/>
        </w:rPr>
        <w:t>e</w:t>
      </w:r>
      <w:r>
        <w:rPr>
          <w:rFonts w:ascii="Arial" w:hAnsi="Arial"/>
        </w:rPr>
        <w:t xml:space="preserve"> </w:t>
      </w:r>
      <w:r>
        <w:rPr>
          <w:rFonts w:ascii="Arial" w:hAnsi="Arial"/>
          <w:spacing w:val="-27"/>
        </w:rPr>
        <w:t xml:space="preserve"> </w:t>
      </w:r>
      <w:r>
        <w:rPr>
          <w:rFonts w:ascii="Arial" w:hAnsi="Arial"/>
          <w:spacing w:val="-3"/>
        </w:rPr>
        <w:t>o</w:t>
      </w:r>
      <w:r>
        <w:rPr>
          <w:rFonts w:ascii="Arial" w:hAnsi="Arial"/>
        </w:rPr>
        <w:t xml:space="preserve">f </w:t>
      </w:r>
      <w:r>
        <w:rPr>
          <w:rFonts w:ascii="Arial" w:hAnsi="Arial"/>
        </w:rPr>
        <w:t>blood twelve</w:t>
      </w:r>
      <w:r>
        <w:rPr>
          <w:rFonts w:ascii="Arial" w:hAnsi="Arial"/>
          <w:spacing w:val="-2"/>
        </w:rPr>
        <w:t xml:space="preserve"> </w:t>
      </w:r>
      <w:r>
        <w:rPr>
          <w:rFonts w:ascii="Arial" w:hAnsi="Arial"/>
        </w:rPr>
        <w:t>years,</w:t>
      </w:r>
    </w:p>
    <w:p w:rsidR="003B2FC0" w:rsidRDefault="00052A49">
      <w:pPr>
        <w:pStyle w:val="ListParagraph"/>
        <w:numPr>
          <w:ilvl w:val="0"/>
          <w:numId w:val="46"/>
        </w:numPr>
        <w:tabs>
          <w:tab w:val="left" w:pos="2167"/>
        </w:tabs>
        <w:spacing w:before="200"/>
        <w:ind w:right="1537" w:firstLine="0"/>
        <w:jc w:val="both"/>
        <w:rPr>
          <w:sz w:val="28"/>
        </w:rPr>
      </w:pPr>
      <w:r>
        <w:rPr>
          <w:sz w:val="28"/>
        </w:rPr>
        <w:t>And had suffered many things of many physicians, and had spent all that she had, and was nothing bettered, but rather grew</w:t>
      </w:r>
      <w:r>
        <w:rPr>
          <w:spacing w:val="-8"/>
          <w:sz w:val="28"/>
        </w:rPr>
        <w:t xml:space="preserve"> </w:t>
      </w:r>
      <w:r>
        <w:rPr>
          <w:sz w:val="28"/>
        </w:rPr>
        <w:t>worse,</w:t>
      </w:r>
    </w:p>
    <w:p w:rsidR="003B2FC0" w:rsidRDefault="00052A49">
      <w:pPr>
        <w:pStyle w:val="ListParagraph"/>
        <w:numPr>
          <w:ilvl w:val="0"/>
          <w:numId w:val="46"/>
        </w:numPr>
        <w:tabs>
          <w:tab w:val="left" w:pos="2066"/>
        </w:tabs>
        <w:spacing w:before="201"/>
        <w:ind w:right="1541" w:firstLine="0"/>
        <w:jc w:val="both"/>
        <w:rPr>
          <w:sz w:val="28"/>
        </w:rPr>
      </w:pPr>
      <w:r>
        <w:rPr>
          <w:sz w:val="28"/>
        </w:rPr>
        <w:t>When she had heard of Jesus, came in the press behind, and touched his</w:t>
      </w:r>
      <w:r>
        <w:rPr>
          <w:spacing w:val="-7"/>
          <w:sz w:val="28"/>
        </w:rPr>
        <w:t xml:space="preserve"> </w:t>
      </w:r>
      <w:r>
        <w:rPr>
          <w:sz w:val="28"/>
        </w:rPr>
        <w:t>garment.</w:t>
      </w:r>
    </w:p>
    <w:p w:rsidR="003B2FC0" w:rsidRDefault="00052A49">
      <w:pPr>
        <w:pStyle w:val="ListParagraph"/>
        <w:numPr>
          <w:ilvl w:val="0"/>
          <w:numId w:val="46"/>
        </w:numPr>
        <w:tabs>
          <w:tab w:val="left" w:pos="2040"/>
        </w:tabs>
        <w:spacing w:before="199" w:line="242" w:lineRule="auto"/>
        <w:ind w:right="1539" w:firstLine="0"/>
        <w:jc w:val="both"/>
        <w:rPr>
          <w:sz w:val="28"/>
        </w:rPr>
      </w:pPr>
      <w:r>
        <w:rPr>
          <w:sz w:val="28"/>
        </w:rPr>
        <w:t>For she said, If I may touch but his clothes, I shall be</w:t>
      </w:r>
      <w:r>
        <w:rPr>
          <w:spacing w:val="-2"/>
          <w:sz w:val="28"/>
        </w:rPr>
        <w:t xml:space="preserve"> </w:t>
      </w:r>
      <w:r>
        <w:rPr>
          <w:sz w:val="28"/>
        </w:rPr>
        <w:t>whole.</w:t>
      </w:r>
    </w:p>
    <w:p w:rsidR="003B2FC0" w:rsidRDefault="00052A49">
      <w:pPr>
        <w:pStyle w:val="ListParagraph"/>
        <w:numPr>
          <w:ilvl w:val="0"/>
          <w:numId w:val="46"/>
        </w:numPr>
        <w:tabs>
          <w:tab w:val="left" w:pos="2038"/>
        </w:tabs>
        <w:spacing w:before="194"/>
        <w:ind w:right="1542" w:firstLine="0"/>
        <w:jc w:val="both"/>
        <w:rPr>
          <w:sz w:val="28"/>
        </w:rPr>
      </w:pPr>
      <w:r>
        <w:rPr>
          <w:sz w:val="28"/>
        </w:rPr>
        <w:t>And straightway the fountain of her blood was dried up; and she felt in her body that she was healed of that</w:t>
      </w:r>
      <w:r>
        <w:rPr>
          <w:spacing w:val="-3"/>
          <w:sz w:val="28"/>
        </w:rPr>
        <w:t xml:space="preserve"> </w:t>
      </w:r>
      <w:r>
        <w:rPr>
          <w:sz w:val="28"/>
        </w:rPr>
        <w:t>pla</w:t>
      </w:r>
      <w:r>
        <w:rPr>
          <w:sz w:val="28"/>
        </w:rPr>
        <w:t>gue.</w:t>
      </w:r>
    </w:p>
    <w:p w:rsidR="003B2FC0" w:rsidRDefault="00052A49">
      <w:pPr>
        <w:pStyle w:val="ListParagraph"/>
        <w:numPr>
          <w:ilvl w:val="0"/>
          <w:numId w:val="46"/>
        </w:numPr>
        <w:tabs>
          <w:tab w:val="left" w:pos="2014"/>
        </w:tabs>
        <w:spacing w:before="201"/>
        <w:ind w:right="1541" w:firstLine="0"/>
        <w:jc w:val="both"/>
        <w:rPr>
          <w:sz w:val="28"/>
        </w:rPr>
      </w:pPr>
      <w:r>
        <w:rPr>
          <w:sz w:val="28"/>
        </w:rPr>
        <w:t>And Jesus, immediately knowing in himself that virtue had gone out of him, turned him about in the press, and said, Who touched my</w:t>
      </w:r>
      <w:r>
        <w:rPr>
          <w:spacing w:val="-10"/>
          <w:sz w:val="28"/>
        </w:rPr>
        <w:t xml:space="preserve"> </w:t>
      </w:r>
      <w:r>
        <w:rPr>
          <w:sz w:val="28"/>
        </w:rPr>
        <w:t>clothes?</w:t>
      </w:r>
    </w:p>
    <w:p w:rsidR="003B2FC0" w:rsidRDefault="003B2FC0">
      <w:pPr>
        <w:rPr>
          <w:sz w:val="20"/>
        </w:rPr>
      </w:pPr>
    </w:p>
    <w:p w:rsidR="003B2FC0" w:rsidRDefault="003B2FC0">
      <w:pPr>
        <w:rPr>
          <w:sz w:val="20"/>
        </w:rPr>
      </w:pPr>
    </w:p>
    <w:p w:rsidR="003B2FC0" w:rsidRDefault="003B2FC0">
      <w:pPr>
        <w:spacing w:before="6"/>
        <w:rPr>
          <w:sz w:val="28"/>
        </w:rPr>
      </w:pPr>
      <w:r w:rsidRPr="003B2FC0">
        <w:pict>
          <v:line id="_x0000_s1142" style="position:absolute;z-index:-251594240;mso-wrap-distance-left:0;mso-wrap-distance-right:0;mso-position-horizontal-relative:page" from="1in,18.8pt" to="216.05pt,18.8pt" strokeweight=".72pt">
            <w10:wrap type="topAndBottom" anchorx="page"/>
          </v:line>
        </w:pict>
      </w:r>
    </w:p>
    <w:p w:rsidR="003B2FC0" w:rsidRDefault="00052A49">
      <w:pPr>
        <w:spacing w:before="36"/>
        <w:ind w:left="242" w:right="343" w:hanging="142"/>
        <w:rPr>
          <w:sz w:val="20"/>
        </w:rPr>
      </w:pPr>
      <w:r>
        <w:rPr>
          <w:position w:val="10"/>
          <w:sz w:val="13"/>
        </w:rPr>
        <w:t xml:space="preserve">8 </w:t>
      </w:r>
      <w:r>
        <w:rPr>
          <w:sz w:val="20"/>
        </w:rPr>
        <w:t>T</w:t>
      </w:r>
      <w:r>
        <w:rPr>
          <w:sz w:val="16"/>
        </w:rPr>
        <w:t xml:space="preserve">HE </w:t>
      </w:r>
      <w:r>
        <w:rPr>
          <w:sz w:val="20"/>
        </w:rPr>
        <w:t>Q</w:t>
      </w:r>
      <w:r>
        <w:rPr>
          <w:sz w:val="16"/>
        </w:rPr>
        <w:t>UR</w:t>
      </w:r>
      <w:r>
        <w:rPr>
          <w:sz w:val="20"/>
        </w:rPr>
        <w:t>‘</w:t>
      </w:r>
      <w:r>
        <w:rPr>
          <w:sz w:val="16"/>
        </w:rPr>
        <w:t xml:space="preserve">AN </w:t>
      </w:r>
      <w:r>
        <w:rPr>
          <w:sz w:val="20"/>
        </w:rPr>
        <w:t xml:space="preserve">– </w:t>
      </w:r>
      <w:r>
        <w:rPr>
          <w:sz w:val="16"/>
        </w:rPr>
        <w:t xml:space="preserve">WITH </w:t>
      </w:r>
      <w:r>
        <w:rPr>
          <w:sz w:val="20"/>
        </w:rPr>
        <w:t>A</w:t>
      </w:r>
      <w:r>
        <w:rPr>
          <w:sz w:val="16"/>
        </w:rPr>
        <w:t xml:space="preserve">NNOTATED </w:t>
      </w:r>
      <w:r>
        <w:rPr>
          <w:sz w:val="20"/>
        </w:rPr>
        <w:t>I</w:t>
      </w:r>
      <w:r>
        <w:rPr>
          <w:sz w:val="16"/>
        </w:rPr>
        <w:t xml:space="preserve">NTERPRETATION IN </w:t>
      </w:r>
      <w:r>
        <w:rPr>
          <w:sz w:val="20"/>
        </w:rPr>
        <w:t>M</w:t>
      </w:r>
      <w:r>
        <w:rPr>
          <w:sz w:val="16"/>
        </w:rPr>
        <w:t xml:space="preserve">ODERN </w:t>
      </w:r>
      <w:r>
        <w:rPr>
          <w:sz w:val="20"/>
        </w:rPr>
        <w:t>E</w:t>
      </w:r>
      <w:r>
        <w:rPr>
          <w:sz w:val="16"/>
        </w:rPr>
        <w:t>NGLISH</w:t>
      </w:r>
      <w:r>
        <w:rPr>
          <w:sz w:val="20"/>
        </w:rPr>
        <w:t>, 2:222 (Translation by Ali Ünal, Tughra Books USA, 2015).</w:t>
      </w:r>
    </w:p>
    <w:p w:rsidR="003B2FC0" w:rsidRDefault="003B2FC0">
      <w:pPr>
        <w:rPr>
          <w:sz w:val="20"/>
        </w:rPr>
        <w:sectPr w:rsidR="003B2FC0">
          <w:headerReference w:type="default" r:id="rId313"/>
          <w:footerReference w:type="default" r:id="rId314"/>
          <w:pgSz w:w="12240" w:h="15840"/>
          <w:pgMar w:top="1360" w:right="1320" w:bottom="1640" w:left="1340" w:header="0" w:footer="1459" w:gutter="0"/>
          <w:pgNumType w:start="65"/>
          <w:cols w:space="720"/>
        </w:sectPr>
      </w:pPr>
    </w:p>
    <w:p w:rsidR="003B2FC0" w:rsidRDefault="00052A49">
      <w:pPr>
        <w:pStyle w:val="ListParagraph"/>
        <w:numPr>
          <w:ilvl w:val="0"/>
          <w:numId w:val="46"/>
        </w:numPr>
        <w:tabs>
          <w:tab w:val="left" w:pos="2011"/>
        </w:tabs>
        <w:spacing w:before="77"/>
        <w:ind w:right="1541" w:firstLine="0"/>
        <w:jc w:val="both"/>
        <w:rPr>
          <w:sz w:val="28"/>
        </w:rPr>
      </w:pPr>
      <w:r>
        <w:rPr>
          <w:sz w:val="28"/>
        </w:rPr>
        <w:t>And his disciples said unto him, Thou seest the multitude thronging thee, and sayest thou, Who touched me?</w:t>
      </w:r>
    </w:p>
    <w:p w:rsidR="003B2FC0" w:rsidRDefault="00052A49">
      <w:pPr>
        <w:pStyle w:val="ListParagraph"/>
        <w:numPr>
          <w:ilvl w:val="0"/>
          <w:numId w:val="46"/>
        </w:numPr>
        <w:tabs>
          <w:tab w:val="left" w:pos="2016"/>
        </w:tabs>
        <w:spacing w:before="200"/>
        <w:ind w:right="1541" w:firstLine="0"/>
        <w:jc w:val="both"/>
        <w:rPr>
          <w:sz w:val="28"/>
        </w:rPr>
      </w:pPr>
      <w:r>
        <w:rPr>
          <w:sz w:val="28"/>
        </w:rPr>
        <w:t xml:space="preserve">And he looked round about to see her that had done </w:t>
      </w:r>
      <w:r>
        <w:rPr>
          <w:sz w:val="28"/>
        </w:rPr>
        <w:t>this</w:t>
      </w:r>
      <w:r>
        <w:rPr>
          <w:spacing w:val="-4"/>
          <w:sz w:val="28"/>
        </w:rPr>
        <w:t xml:space="preserve"> </w:t>
      </w:r>
      <w:r>
        <w:rPr>
          <w:sz w:val="28"/>
        </w:rPr>
        <w:t>thing.</w:t>
      </w:r>
    </w:p>
    <w:p w:rsidR="003B2FC0" w:rsidRDefault="00052A49">
      <w:pPr>
        <w:pStyle w:val="ListParagraph"/>
        <w:numPr>
          <w:ilvl w:val="0"/>
          <w:numId w:val="46"/>
        </w:numPr>
        <w:tabs>
          <w:tab w:val="left" w:pos="2030"/>
        </w:tabs>
        <w:spacing w:before="199"/>
        <w:ind w:right="1537" w:firstLine="0"/>
        <w:jc w:val="both"/>
        <w:rPr>
          <w:sz w:val="28"/>
        </w:rPr>
      </w:pPr>
      <w:r>
        <w:rPr>
          <w:sz w:val="28"/>
        </w:rPr>
        <w:t>But the woman fearing and trembling, knowing what was done in her, came and fell down before him, and told him all the</w:t>
      </w:r>
      <w:r>
        <w:rPr>
          <w:spacing w:val="-9"/>
          <w:sz w:val="28"/>
        </w:rPr>
        <w:t xml:space="preserve"> </w:t>
      </w:r>
      <w:r>
        <w:rPr>
          <w:sz w:val="28"/>
        </w:rPr>
        <w:t>truth.</w:t>
      </w:r>
    </w:p>
    <w:p w:rsidR="003B2FC0" w:rsidRDefault="00052A49">
      <w:pPr>
        <w:pStyle w:val="ListParagraph"/>
        <w:numPr>
          <w:ilvl w:val="0"/>
          <w:numId w:val="46"/>
        </w:numPr>
        <w:tabs>
          <w:tab w:val="left" w:pos="2033"/>
        </w:tabs>
        <w:spacing w:before="200"/>
        <w:ind w:right="1541" w:firstLine="0"/>
        <w:jc w:val="both"/>
        <w:rPr>
          <w:sz w:val="28"/>
        </w:rPr>
      </w:pPr>
      <w:r>
        <w:rPr>
          <w:sz w:val="28"/>
        </w:rPr>
        <w:t>And he said unto her, Daughter, thy faith hath made thee whole; go in peace, and be whole of thy plague.‖</w:t>
      </w:r>
      <w:r>
        <w:rPr>
          <w:sz w:val="28"/>
          <w:vertAlign w:val="superscript"/>
        </w:rPr>
        <w:t>9</w:t>
      </w:r>
    </w:p>
    <w:p w:rsidR="003B2FC0" w:rsidRDefault="003B2FC0">
      <w:pPr>
        <w:rPr>
          <w:sz w:val="34"/>
        </w:rPr>
      </w:pPr>
    </w:p>
    <w:p w:rsidR="003B2FC0" w:rsidRDefault="003B2FC0">
      <w:pPr>
        <w:rPr>
          <w:sz w:val="29"/>
        </w:rPr>
      </w:pPr>
    </w:p>
    <w:p w:rsidR="003B2FC0" w:rsidRDefault="00052A49">
      <w:pPr>
        <w:pStyle w:val="BodyText"/>
        <w:spacing w:line="480" w:lineRule="auto"/>
        <w:ind w:left="383" w:right="406"/>
        <w:jc w:val="both"/>
        <w:rPr>
          <w:rFonts w:ascii="Arial" w:hAnsi="Arial"/>
        </w:rPr>
      </w:pPr>
      <w:r>
        <w:rPr>
          <w:rFonts w:ascii="Arial" w:hAnsi="Arial"/>
        </w:rPr>
        <w:t>One may immediately notice that the woman touching Jesus was without Jesus‘s knowledge, for upon coming to know of the woman‘s touch, Jesus ―knew in himself that virtue had gone out of him‖.</w:t>
      </w:r>
    </w:p>
    <w:p w:rsidR="003B2FC0" w:rsidRDefault="003B2FC0">
      <w:pPr>
        <w:rPr>
          <w:sz w:val="28"/>
        </w:rPr>
      </w:pPr>
    </w:p>
    <w:p w:rsidR="003B2FC0" w:rsidRDefault="00052A49">
      <w:pPr>
        <w:pStyle w:val="BodyText"/>
        <w:spacing w:line="480" w:lineRule="auto"/>
        <w:ind w:left="383" w:right="402"/>
        <w:jc w:val="both"/>
        <w:rPr>
          <w:rFonts w:ascii="Arial"/>
        </w:rPr>
      </w:pPr>
      <w:r>
        <w:rPr>
          <w:rFonts w:ascii="Arial"/>
        </w:rPr>
        <w:t xml:space="preserve">Equally, in the </w:t>
      </w:r>
      <w:r>
        <w:rPr>
          <w:rFonts w:ascii="Arial"/>
          <w:i/>
        </w:rPr>
        <w:t>Bundahishn</w:t>
      </w:r>
      <w:r>
        <w:rPr>
          <w:rFonts w:ascii="Arial"/>
        </w:rPr>
        <w:t>, a text relating to creation in Zoroastrianism, it is stated that a primeval prostitute call Jeh, because of her misdeeds, brought upon herself, menstruation. Chapter 3, Verses 6 to 8 of the Bundahishn are as</w:t>
      </w:r>
      <w:r>
        <w:rPr>
          <w:rFonts w:ascii="Arial"/>
          <w:spacing w:val="-11"/>
        </w:rPr>
        <w:t xml:space="preserve"> </w:t>
      </w:r>
      <w:r>
        <w:rPr>
          <w:rFonts w:ascii="Arial"/>
        </w:rPr>
        <w:t>follows:</w:t>
      </w:r>
    </w:p>
    <w:p w:rsidR="003B2FC0" w:rsidRDefault="00052A49">
      <w:pPr>
        <w:pStyle w:val="BodyText"/>
        <w:spacing w:before="199"/>
        <w:ind w:left="1518" w:right="1536"/>
        <w:jc w:val="both"/>
        <w:rPr>
          <w:rFonts w:ascii="Arial" w:hAnsi="Arial"/>
        </w:rPr>
      </w:pPr>
      <w:r>
        <w:rPr>
          <w:rFonts w:ascii="Arial" w:hAnsi="Arial"/>
          <w:w w:val="33"/>
        </w:rPr>
        <w:t>―</w:t>
      </w:r>
      <w:r>
        <w:rPr>
          <w:rFonts w:ascii="Arial" w:hAnsi="Arial"/>
        </w:rPr>
        <w:t>6.</w:t>
      </w:r>
      <w:r>
        <w:rPr>
          <w:rFonts w:ascii="Arial" w:hAnsi="Arial"/>
        </w:rPr>
        <w:t xml:space="preserve">  </w:t>
      </w:r>
      <w:r>
        <w:rPr>
          <w:rFonts w:ascii="Arial" w:hAnsi="Arial"/>
        </w:rPr>
        <w:t>And,</w:t>
      </w:r>
      <w:r>
        <w:rPr>
          <w:rFonts w:ascii="Arial" w:hAnsi="Arial"/>
        </w:rPr>
        <w:t xml:space="preserve"> </w:t>
      </w:r>
      <w:r>
        <w:rPr>
          <w:rFonts w:ascii="Arial" w:hAnsi="Arial"/>
        </w:rPr>
        <w:t>again,</w:t>
      </w:r>
      <w:r>
        <w:rPr>
          <w:rFonts w:ascii="Arial" w:hAnsi="Arial"/>
        </w:rPr>
        <w:t xml:space="preserve"> </w:t>
      </w:r>
      <w:r>
        <w:rPr>
          <w:rFonts w:ascii="Arial" w:hAnsi="Arial"/>
        </w:rPr>
        <w:t>the</w:t>
      </w:r>
      <w:r>
        <w:rPr>
          <w:rFonts w:ascii="Arial" w:hAnsi="Arial"/>
        </w:rPr>
        <w:t xml:space="preserve"> </w:t>
      </w:r>
      <w:r>
        <w:rPr>
          <w:rFonts w:ascii="Arial" w:hAnsi="Arial"/>
        </w:rPr>
        <w:t>wicked</w:t>
      </w:r>
      <w:r>
        <w:rPr>
          <w:rFonts w:ascii="Arial" w:hAnsi="Arial"/>
        </w:rPr>
        <w:t xml:space="preserve"> </w:t>
      </w:r>
      <w:r>
        <w:rPr>
          <w:rFonts w:ascii="Arial" w:hAnsi="Arial"/>
        </w:rPr>
        <w:t>Jeh</w:t>
      </w:r>
      <w:r>
        <w:rPr>
          <w:rFonts w:ascii="Arial" w:hAnsi="Arial"/>
        </w:rPr>
        <w:t xml:space="preserve"> </w:t>
      </w:r>
      <w:r>
        <w:rPr>
          <w:rFonts w:ascii="Arial" w:hAnsi="Arial"/>
        </w:rPr>
        <w:t>shout</w:t>
      </w:r>
      <w:r>
        <w:rPr>
          <w:rFonts w:ascii="Arial" w:hAnsi="Arial"/>
        </w:rPr>
        <w:t>ed</w:t>
      </w:r>
      <w:r>
        <w:rPr>
          <w:rFonts w:ascii="Arial" w:hAnsi="Arial"/>
        </w:rPr>
        <w:t xml:space="preserve">  </w:t>
      </w:r>
      <w:r>
        <w:rPr>
          <w:rFonts w:ascii="Arial" w:hAnsi="Arial"/>
        </w:rPr>
        <w:t>thus:</w:t>
      </w:r>
      <w:r>
        <w:rPr>
          <w:rFonts w:ascii="Arial" w:hAnsi="Arial"/>
        </w:rPr>
        <w:t xml:space="preserve">  </w:t>
      </w:r>
      <w:r>
        <w:rPr>
          <w:rFonts w:ascii="Arial" w:hAnsi="Arial"/>
          <w:w w:val="40"/>
        </w:rPr>
        <w:t>‗</w:t>
      </w:r>
      <w:r>
        <w:rPr>
          <w:rFonts w:ascii="Arial" w:hAnsi="Arial"/>
        </w:rPr>
        <w:t xml:space="preserve">Rise </w:t>
      </w:r>
      <w:r>
        <w:rPr>
          <w:rFonts w:ascii="Arial" w:hAnsi="Arial"/>
        </w:rPr>
        <w:t>up, thou father of us! for in that conflict I will shed thus much vexation on the righteous man and the laboring ox that, through my deeds, life will not be wanted, and I will destroy their living souls (nismo); I will vex the water, I wil</w:t>
      </w:r>
      <w:r>
        <w:rPr>
          <w:rFonts w:ascii="Arial" w:hAnsi="Arial"/>
        </w:rPr>
        <w:t>l vex the plants, I will vex the</w:t>
      </w:r>
    </w:p>
    <w:p w:rsidR="003B2FC0" w:rsidRDefault="003B2FC0">
      <w:pPr>
        <w:rPr>
          <w:sz w:val="20"/>
        </w:rPr>
      </w:pPr>
    </w:p>
    <w:p w:rsidR="003B2FC0" w:rsidRDefault="003B2FC0">
      <w:pPr>
        <w:spacing w:before="5"/>
        <w:rPr>
          <w:sz w:val="19"/>
        </w:rPr>
      </w:pPr>
      <w:r w:rsidRPr="003B2FC0">
        <w:pict>
          <v:line id="_x0000_s1141" style="position:absolute;z-index:-251593216;mso-wrap-distance-left:0;mso-wrap-distance-right:0;mso-position-horizontal-relative:page" from="1in,13.55pt" to="216.05pt,13.55pt" strokeweight=".72pt">
            <w10:wrap type="topAndBottom" anchorx="page"/>
          </v:line>
        </w:pict>
      </w:r>
    </w:p>
    <w:p w:rsidR="003B2FC0" w:rsidRDefault="00052A49">
      <w:pPr>
        <w:spacing w:before="33"/>
        <w:ind w:left="100"/>
        <w:rPr>
          <w:sz w:val="20"/>
        </w:rPr>
      </w:pPr>
      <w:r>
        <w:rPr>
          <w:position w:val="10"/>
          <w:sz w:val="13"/>
        </w:rPr>
        <w:t xml:space="preserve">9 </w:t>
      </w:r>
      <w:r>
        <w:rPr>
          <w:i/>
          <w:sz w:val="20"/>
        </w:rPr>
        <w:t xml:space="preserve">Mark </w:t>
      </w:r>
      <w:r>
        <w:rPr>
          <w:sz w:val="20"/>
        </w:rPr>
        <w:t>5:25-34 (King James Version).</w:t>
      </w:r>
    </w:p>
    <w:p w:rsidR="003B2FC0" w:rsidRDefault="003B2FC0">
      <w:pPr>
        <w:rPr>
          <w:sz w:val="20"/>
        </w:rPr>
        <w:sectPr w:rsidR="003B2FC0">
          <w:headerReference w:type="default" r:id="rId315"/>
          <w:footerReference w:type="default" r:id="rId316"/>
          <w:pgSz w:w="12240" w:h="15840"/>
          <w:pgMar w:top="1360" w:right="1320" w:bottom="1660" w:left="1340" w:header="0" w:footer="1461" w:gutter="0"/>
          <w:pgNumType w:start="66"/>
          <w:cols w:space="720"/>
        </w:sectPr>
      </w:pPr>
    </w:p>
    <w:p w:rsidR="003B2FC0" w:rsidRDefault="00052A49">
      <w:pPr>
        <w:pStyle w:val="BodyText"/>
        <w:spacing w:before="77"/>
        <w:ind w:left="1518" w:right="1540"/>
        <w:jc w:val="both"/>
        <w:rPr>
          <w:rFonts w:ascii="Arial" w:hAnsi="Arial"/>
        </w:rPr>
      </w:pPr>
      <w:r>
        <w:rPr>
          <w:rFonts w:ascii="Arial" w:hAnsi="Arial"/>
        </w:rPr>
        <w:t>fire of Ohrmazd, I will make the whole creation of Ohrmazd vexed.‘</w:t>
      </w:r>
    </w:p>
    <w:p w:rsidR="003B2FC0" w:rsidRDefault="00052A49">
      <w:pPr>
        <w:pStyle w:val="ListParagraph"/>
        <w:numPr>
          <w:ilvl w:val="0"/>
          <w:numId w:val="45"/>
        </w:numPr>
        <w:tabs>
          <w:tab w:val="left" w:pos="1850"/>
        </w:tabs>
        <w:spacing w:before="201"/>
        <w:ind w:right="1537" w:firstLine="0"/>
        <w:jc w:val="both"/>
        <w:rPr>
          <w:sz w:val="28"/>
        </w:rPr>
      </w:pPr>
      <w:r>
        <w:rPr>
          <w:sz w:val="28"/>
        </w:rPr>
        <w:t>And she so recounted those evil deeds a second time, that the evil spirit was delighted and started up from that confusion; and he kissed Jeh upon the head, and the pollution which they call menstruation became apparent in</w:t>
      </w:r>
      <w:r>
        <w:rPr>
          <w:spacing w:val="-3"/>
          <w:sz w:val="28"/>
        </w:rPr>
        <w:t xml:space="preserve"> </w:t>
      </w:r>
      <w:r>
        <w:rPr>
          <w:sz w:val="28"/>
        </w:rPr>
        <w:t>Jeh.</w:t>
      </w:r>
    </w:p>
    <w:p w:rsidR="003B2FC0" w:rsidRDefault="00052A49">
      <w:pPr>
        <w:pStyle w:val="ListParagraph"/>
        <w:numPr>
          <w:ilvl w:val="0"/>
          <w:numId w:val="45"/>
        </w:numPr>
        <w:tabs>
          <w:tab w:val="left" w:pos="1833"/>
        </w:tabs>
        <w:spacing w:before="199"/>
        <w:ind w:right="1540" w:firstLine="0"/>
        <w:jc w:val="both"/>
        <w:rPr>
          <w:sz w:val="28"/>
        </w:rPr>
      </w:pPr>
      <w:r>
        <w:rPr>
          <w:spacing w:val="-2"/>
          <w:sz w:val="28"/>
        </w:rPr>
        <w:t>H</w:t>
      </w:r>
      <w:r>
        <w:rPr>
          <w:sz w:val="28"/>
        </w:rPr>
        <w:t>e</w:t>
      </w:r>
      <w:r>
        <w:rPr>
          <w:spacing w:val="1"/>
          <w:sz w:val="28"/>
        </w:rPr>
        <w:t xml:space="preserve"> </w:t>
      </w:r>
      <w:r>
        <w:rPr>
          <w:sz w:val="28"/>
        </w:rPr>
        <w:t>s</w:t>
      </w:r>
      <w:r>
        <w:rPr>
          <w:spacing w:val="-3"/>
          <w:sz w:val="28"/>
        </w:rPr>
        <w:t>h</w:t>
      </w:r>
      <w:r>
        <w:rPr>
          <w:sz w:val="28"/>
        </w:rPr>
        <w:t>outed</w:t>
      </w:r>
      <w:r>
        <w:rPr>
          <w:spacing w:val="-2"/>
          <w:sz w:val="28"/>
        </w:rPr>
        <w:t xml:space="preserve"> </w:t>
      </w:r>
      <w:r>
        <w:rPr>
          <w:sz w:val="28"/>
        </w:rPr>
        <w:t>to</w:t>
      </w:r>
      <w:r>
        <w:rPr>
          <w:sz w:val="28"/>
        </w:rPr>
        <w:t xml:space="preserve"> </w:t>
      </w:r>
      <w:r>
        <w:rPr>
          <w:sz w:val="28"/>
        </w:rPr>
        <w:t>J</w:t>
      </w:r>
      <w:r>
        <w:rPr>
          <w:spacing w:val="-3"/>
          <w:sz w:val="28"/>
        </w:rPr>
        <w:t>e</w:t>
      </w:r>
      <w:r>
        <w:rPr>
          <w:sz w:val="28"/>
        </w:rPr>
        <w:t>h</w:t>
      </w:r>
      <w:r>
        <w:rPr>
          <w:spacing w:val="1"/>
          <w:sz w:val="28"/>
        </w:rPr>
        <w:t xml:space="preserve"> </w:t>
      </w:r>
      <w:r>
        <w:rPr>
          <w:sz w:val="28"/>
        </w:rPr>
        <w:t>t</w:t>
      </w:r>
      <w:r>
        <w:rPr>
          <w:spacing w:val="-1"/>
          <w:sz w:val="28"/>
        </w:rPr>
        <w:t>h</w:t>
      </w:r>
      <w:r>
        <w:rPr>
          <w:spacing w:val="-3"/>
          <w:sz w:val="28"/>
        </w:rPr>
        <w:t>u</w:t>
      </w:r>
      <w:r>
        <w:rPr>
          <w:sz w:val="28"/>
        </w:rPr>
        <w:t>s:</w:t>
      </w:r>
      <w:r>
        <w:rPr>
          <w:spacing w:val="2"/>
          <w:sz w:val="28"/>
        </w:rPr>
        <w:t xml:space="preserve"> </w:t>
      </w:r>
      <w:r>
        <w:rPr>
          <w:spacing w:val="-1"/>
          <w:w w:val="40"/>
          <w:sz w:val="28"/>
        </w:rPr>
        <w:t>‗</w:t>
      </w:r>
      <w:r>
        <w:rPr>
          <w:spacing w:val="1"/>
          <w:sz w:val="28"/>
        </w:rPr>
        <w:t>W</w:t>
      </w:r>
      <w:r>
        <w:rPr>
          <w:sz w:val="28"/>
        </w:rPr>
        <w:t>h</w:t>
      </w:r>
      <w:r>
        <w:rPr>
          <w:spacing w:val="-3"/>
          <w:sz w:val="28"/>
        </w:rPr>
        <w:t>a</w:t>
      </w:r>
      <w:r>
        <w:rPr>
          <w:sz w:val="28"/>
        </w:rPr>
        <w:t>t</w:t>
      </w:r>
      <w:r>
        <w:rPr>
          <w:spacing w:val="1"/>
          <w:sz w:val="28"/>
        </w:rPr>
        <w:t xml:space="preserve"> </w:t>
      </w:r>
      <w:r>
        <w:rPr>
          <w:spacing w:val="-3"/>
          <w:sz w:val="28"/>
        </w:rPr>
        <w:t>i</w:t>
      </w:r>
      <w:r>
        <w:rPr>
          <w:sz w:val="28"/>
        </w:rPr>
        <w:t>s</w:t>
      </w:r>
      <w:r>
        <w:rPr>
          <w:spacing w:val="1"/>
          <w:sz w:val="28"/>
        </w:rPr>
        <w:t xml:space="preserve"> </w:t>
      </w:r>
      <w:r>
        <w:rPr>
          <w:spacing w:val="-2"/>
          <w:sz w:val="28"/>
        </w:rPr>
        <w:t>t</w:t>
      </w:r>
      <w:r>
        <w:rPr>
          <w:sz w:val="28"/>
        </w:rPr>
        <w:t>hy</w:t>
      </w:r>
      <w:r>
        <w:rPr>
          <w:spacing w:val="-1"/>
          <w:sz w:val="28"/>
        </w:rPr>
        <w:t xml:space="preserve"> </w:t>
      </w:r>
      <w:r>
        <w:rPr>
          <w:spacing w:val="-4"/>
          <w:sz w:val="28"/>
        </w:rPr>
        <w:t>w</w:t>
      </w:r>
      <w:r>
        <w:rPr>
          <w:spacing w:val="1"/>
          <w:sz w:val="28"/>
        </w:rPr>
        <w:t>i</w:t>
      </w:r>
      <w:r>
        <w:rPr>
          <w:sz w:val="28"/>
        </w:rPr>
        <w:t>sh?</w:t>
      </w:r>
      <w:r>
        <w:rPr>
          <w:sz w:val="28"/>
        </w:rPr>
        <w:t xml:space="preserve"> </w:t>
      </w:r>
      <w:r>
        <w:rPr>
          <w:sz w:val="28"/>
        </w:rPr>
        <w:t>so</w:t>
      </w:r>
      <w:r>
        <w:rPr>
          <w:spacing w:val="1"/>
          <w:sz w:val="28"/>
        </w:rPr>
        <w:t xml:space="preserve"> </w:t>
      </w:r>
      <w:r>
        <w:rPr>
          <w:sz w:val="28"/>
        </w:rPr>
        <w:t>t</w:t>
      </w:r>
      <w:r>
        <w:rPr>
          <w:spacing w:val="-3"/>
          <w:sz w:val="28"/>
        </w:rPr>
        <w:t>ha</w:t>
      </w:r>
      <w:r>
        <w:rPr>
          <w:sz w:val="28"/>
        </w:rPr>
        <w:t xml:space="preserve">t </w:t>
      </w:r>
      <w:r>
        <w:rPr>
          <w:sz w:val="28"/>
        </w:rPr>
        <w:t xml:space="preserve">I may give it thee.‘ And Jeh shouted to the evil spirit </w:t>
      </w:r>
      <w:r>
        <w:rPr>
          <w:sz w:val="28"/>
        </w:rPr>
        <w:t>t</w:t>
      </w:r>
      <w:r>
        <w:rPr>
          <w:spacing w:val="-1"/>
          <w:sz w:val="28"/>
        </w:rPr>
        <w:t>hu</w:t>
      </w:r>
      <w:r>
        <w:rPr>
          <w:spacing w:val="-2"/>
          <w:sz w:val="28"/>
        </w:rPr>
        <w:t>s</w:t>
      </w:r>
      <w:r>
        <w:rPr>
          <w:sz w:val="28"/>
        </w:rPr>
        <w:t>:</w:t>
      </w:r>
      <w:r>
        <w:rPr>
          <w:sz w:val="28"/>
        </w:rPr>
        <w:t xml:space="preserve"> </w:t>
      </w:r>
      <w:r>
        <w:rPr>
          <w:spacing w:val="1"/>
          <w:w w:val="40"/>
          <w:sz w:val="28"/>
        </w:rPr>
        <w:t>‗</w:t>
      </w:r>
      <w:r>
        <w:rPr>
          <w:sz w:val="28"/>
        </w:rPr>
        <w:t>A</w:t>
      </w:r>
      <w:r>
        <w:rPr>
          <w:spacing w:val="1"/>
          <w:sz w:val="28"/>
        </w:rPr>
        <w:t xml:space="preserve"> </w:t>
      </w:r>
      <w:r>
        <w:rPr>
          <w:spacing w:val="-2"/>
          <w:sz w:val="28"/>
        </w:rPr>
        <w:t>m</w:t>
      </w:r>
      <w:r>
        <w:rPr>
          <w:spacing w:val="-3"/>
          <w:sz w:val="28"/>
        </w:rPr>
        <w:t>a</w:t>
      </w:r>
      <w:r>
        <w:rPr>
          <w:sz w:val="28"/>
        </w:rPr>
        <w:t>n</w:t>
      </w:r>
      <w:r>
        <w:rPr>
          <w:spacing w:val="1"/>
          <w:sz w:val="28"/>
        </w:rPr>
        <w:t xml:space="preserve"> </w:t>
      </w:r>
      <w:r>
        <w:rPr>
          <w:spacing w:val="-3"/>
          <w:sz w:val="28"/>
        </w:rPr>
        <w:t>i</w:t>
      </w:r>
      <w:r>
        <w:rPr>
          <w:sz w:val="28"/>
        </w:rPr>
        <w:t>s</w:t>
      </w:r>
      <w:r>
        <w:rPr>
          <w:spacing w:val="-1"/>
          <w:sz w:val="28"/>
        </w:rPr>
        <w:t xml:space="preserve"> </w:t>
      </w:r>
      <w:r>
        <w:rPr>
          <w:sz w:val="28"/>
        </w:rPr>
        <w:t>t</w:t>
      </w:r>
      <w:r>
        <w:rPr>
          <w:spacing w:val="-1"/>
          <w:sz w:val="28"/>
        </w:rPr>
        <w:t>h</w:t>
      </w:r>
      <w:r>
        <w:rPr>
          <w:sz w:val="28"/>
        </w:rPr>
        <w:t>e</w:t>
      </w:r>
      <w:r>
        <w:rPr>
          <w:spacing w:val="-4"/>
          <w:sz w:val="28"/>
        </w:rPr>
        <w:t xml:space="preserve"> </w:t>
      </w:r>
      <w:r>
        <w:rPr>
          <w:spacing w:val="-4"/>
          <w:sz w:val="28"/>
        </w:rPr>
        <w:t>w</w:t>
      </w:r>
      <w:r>
        <w:rPr>
          <w:spacing w:val="-1"/>
          <w:sz w:val="28"/>
        </w:rPr>
        <w:t>i</w:t>
      </w:r>
      <w:r>
        <w:rPr>
          <w:sz w:val="28"/>
        </w:rPr>
        <w:t>s</w:t>
      </w:r>
      <w:r>
        <w:rPr>
          <w:spacing w:val="-1"/>
          <w:sz w:val="28"/>
        </w:rPr>
        <w:t>h</w:t>
      </w:r>
      <w:r>
        <w:rPr>
          <w:sz w:val="28"/>
        </w:rPr>
        <w:t>,</w:t>
      </w:r>
      <w:r>
        <w:rPr>
          <w:spacing w:val="1"/>
          <w:sz w:val="28"/>
        </w:rPr>
        <w:t xml:space="preserve"> </w:t>
      </w:r>
      <w:r>
        <w:rPr>
          <w:spacing w:val="-2"/>
          <w:sz w:val="28"/>
        </w:rPr>
        <w:t>s</w:t>
      </w:r>
      <w:r>
        <w:rPr>
          <w:sz w:val="28"/>
        </w:rPr>
        <w:t>o</w:t>
      </w:r>
      <w:r>
        <w:rPr>
          <w:spacing w:val="1"/>
          <w:sz w:val="28"/>
        </w:rPr>
        <w:t xml:space="preserve"> </w:t>
      </w:r>
      <w:r>
        <w:rPr>
          <w:spacing w:val="-1"/>
          <w:sz w:val="28"/>
        </w:rPr>
        <w:t>gi</w:t>
      </w:r>
      <w:r>
        <w:rPr>
          <w:spacing w:val="-4"/>
          <w:sz w:val="28"/>
        </w:rPr>
        <w:t>v</w:t>
      </w:r>
      <w:r>
        <w:rPr>
          <w:sz w:val="28"/>
        </w:rPr>
        <w:t>e</w:t>
      </w:r>
      <w:r>
        <w:rPr>
          <w:spacing w:val="1"/>
          <w:sz w:val="28"/>
        </w:rPr>
        <w:t xml:space="preserve"> </w:t>
      </w:r>
      <w:r>
        <w:rPr>
          <w:spacing w:val="-1"/>
          <w:sz w:val="28"/>
        </w:rPr>
        <w:t>i</w:t>
      </w:r>
      <w:r>
        <w:rPr>
          <w:sz w:val="28"/>
        </w:rPr>
        <w:t>t</w:t>
      </w:r>
      <w:r>
        <w:rPr>
          <w:spacing w:val="-1"/>
          <w:sz w:val="28"/>
        </w:rPr>
        <w:t xml:space="preserve"> </w:t>
      </w:r>
      <w:r>
        <w:rPr>
          <w:spacing w:val="-2"/>
          <w:sz w:val="28"/>
        </w:rPr>
        <w:t>t</w:t>
      </w:r>
      <w:r>
        <w:rPr>
          <w:sz w:val="28"/>
        </w:rPr>
        <w:t>o</w:t>
      </w:r>
      <w:r>
        <w:rPr>
          <w:spacing w:val="1"/>
          <w:sz w:val="28"/>
        </w:rPr>
        <w:t xml:space="preserve"> </w:t>
      </w:r>
      <w:r>
        <w:rPr>
          <w:spacing w:val="-4"/>
          <w:sz w:val="28"/>
        </w:rPr>
        <w:t>m</w:t>
      </w:r>
      <w:r>
        <w:rPr>
          <w:spacing w:val="-1"/>
          <w:sz w:val="28"/>
        </w:rPr>
        <w:t>e</w:t>
      </w:r>
      <w:r>
        <w:rPr>
          <w:sz w:val="28"/>
        </w:rPr>
        <w:t>.</w:t>
      </w:r>
      <w:r>
        <w:rPr>
          <w:spacing w:val="-1"/>
          <w:w w:val="87"/>
          <w:sz w:val="28"/>
        </w:rPr>
        <w:t>‘</w:t>
      </w:r>
      <w:r>
        <w:rPr>
          <w:w w:val="87"/>
          <w:sz w:val="28"/>
        </w:rPr>
        <w:t>‖</w:t>
      </w:r>
      <w:r>
        <w:rPr>
          <w:w w:val="101"/>
          <w:sz w:val="28"/>
          <w:vertAlign w:val="superscript"/>
        </w:rPr>
        <w:t>10</w:t>
      </w:r>
    </w:p>
    <w:p w:rsidR="003B2FC0" w:rsidRDefault="003B2FC0">
      <w:pPr>
        <w:spacing w:before="5"/>
        <w:rPr>
          <w:sz w:val="45"/>
        </w:rPr>
      </w:pPr>
    </w:p>
    <w:p w:rsidR="003B2FC0" w:rsidRDefault="00052A49">
      <w:pPr>
        <w:pStyle w:val="BodyText"/>
        <w:ind w:left="383"/>
        <w:rPr>
          <w:rFonts w:ascii="Arial"/>
        </w:rPr>
      </w:pPr>
      <w:r>
        <w:rPr>
          <w:rFonts w:ascii="Arial"/>
        </w:rPr>
        <w:t xml:space="preserve">In the selections of </w:t>
      </w:r>
      <w:r>
        <w:rPr>
          <w:rFonts w:ascii="Arial"/>
          <w:i/>
        </w:rPr>
        <w:t>Zadspram</w:t>
      </w:r>
      <w:r>
        <w:rPr>
          <w:rFonts w:ascii="Arial"/>
        </w:rPr>
        <w:t>, Chapter 34, Verse 31, it is stated:</w:t>
      </w:r>
    </w:p>
    <w:p w:rsidR="003B2FC0" w:rsidRDefault="003B2FC0">
      <w:pPr>
        <w:rPr>
          <w:sz w:val="30"/>
        </w:rPr>
      </w:pPr>
    </w:p>
    <w:p w:rsidR="003B2FC0" w:rsidRDefault="00052A49">
      <w:pPr>
        <w:pStyle w:val="BodyText"/>
        <w:spacing w:before="176"/>
        <w:ind w:left="1518" w:right="1539"/>
        <w:jc w:val="both"/>
        <w:rPr>
          <w:rFonts w:ascii="Arial" w:hAnsi="Arial"/>
        </w:rPr>
      </w:pPr>
      <w:r>
        <w:rPr>
          <w:rFonts w:ascii="Arial" w:hAnsi="Arial"/>
        </w:rPr>
        <w:t>―31. And [the demon Whore] of evil religion joined herself [to the Blessed Man]; for the defilement of females she joined herself to him, that she might defile females; and the females, because they were defiled, might defile the males, and (the males) wou</w:t>
      </w:r>
      <w:r>
        <w:rPr>
          <w:rFonts w:ascii="Arial" w:hAnsi="Arial"/>
        </w:rPr>
        <w:t>ld turn aside from their proper work.‖</w:t>
      </w:r>
      <w:r>
        <w:rPr>
          <w:rFonts w:ascii="Arial" w:hAnsi="Arial"/>
          <w:vertAlign w:val="superscript"/>
        </w:rPr>
        <w:t>11</w:t>
      </w:r>
    </w:p>
    <w:p w:rsidR="003B2FC0" w:rsidRDefault="003B2FC0">
      <w:pPr>
        <w:spacing w:before="6"/>
        <w:rPr>
          <w:sz w:val="45"/>
        </w:rPr>
      </w:pPr>
    </w:p>
    <w:p w:rsidR="003B2FC0" w:rsidRDefault="00052A49">
      <w:pPr>
        <w:pStyle w:val="BodyText"/>
        <w:spacing w:line="480" w:lineRule="auto"/>
        <w:ind w:left="383" w:right="401"/>
        <w:jc w:val="both"/>
        <w:rPr>
          <w:rFonts w:ascii="Arial" w:hAnsi="Arial"/>
        </w:rPr>
      </w:pPr>
      <w:r>
        <w:rPr>
          <w:rFonts w:ascii="Arial" w:hAnsi="Arial"/>
        </w:rPr>
        <w:t>However, in the more recent religions such as Sikhism and the Bahá‘í Faith, a more pragmatic view of menstruation is taken, making it clear that no ritualistic impurity is involved. The Sri Guru Granth Sahib deems</w:t>
      </w:r>
      <w:r>
        <w:rPr>
          <w:rFonts w:ascii="Arial" w:hAnsi="Arial"/>
          <w:spacing w:val="40"/>
        </w:rPr>
        <w:t xml:space="preserve"> </w:t>
      </w:r>
      <w:r>
        <w:rPr>
          <w:rFonts w:ascii="Arial" w:hAnsi="Arial"/>
        </w:rPr>
        <w:t>menstruation</w:t>
      </w:r>
      <w:r>
        <w:rPr>
          <w:rFonts w:ascii="Arial" w:hAnsi="Arial"/>
          <w:spacing w:val="41"/>
        </w:rPr>
        <w:t xml:space="preserve"> </w:t>
      </w:r>
      <w:r>
        <w:rPr>
          <w:rFonts w:ascii="Arial" w:hAnsi="Arial"/>
        </w:rPr>
        <w:t>as</w:t>
      </w:r>
      <w:r>
        <w:rPr>
          <w:rFonts w:ascii="Arial" w:hAnsi="Arial"/>
          <w:spacing w:val="40"/>
        </w:rPr>
        <w:t xml:space="preserve"> </w:t>
      </w:r>
      <w:r>
        <w:rPr>
          <w:rFonts w:ascii="Arial" w:hAnsi="Arial"/>
        </w:rPr>
        <w:t>a</w:t>
      </w:r>
      <w:r>
        <w:rPr>
          <w:rFonts w:ascii="Arial" w:hAnsi="Arial"/>
          <w:spacing w:val="38"/>
        </w:rPr>
        <w:t xml:space="preserve"> </w:t>
      </w:r>
      <w:r>
        <w:rPr>
          <w:rFonts w:ascii="Arial" w:hAnsi="Arial"/>
        </w:rPr>
        <w:t>natural</w:t>
      </w:r>
      <w:r>
        <w:rPr>
          <w:rFonts w:ascii="Arial" w:hAnsi="Arial"/>
          <w:spacing w:val="40"/>
        </w:rPr>
        <w:t xml:space="preserve"> </w:t>
      </w:r>
      <w:r>
        <w:rPr>
          <w:rFonts w:ascii="Arial" w:hAnsi="Arial"/>
        </w:rPr>
        <w:t>process</w:t>
      </w:r>
      <w:r>
        <w:rPr>
          <w:rFonts w:ascii="Arial" w:hAnsi="Arial"/>
          <w:spacing w:val="47"/>
        </w:rPr>
        <w:t xml:space="preserve"> </w:t>
      </w:r>
      <w:r>
        <w:rPr>
          <w:rFonts w:ascii="Arial" w:hAnsi="Arial"/>
        </w:rPr>
        <w:t>–</w:t>
      </w:r>
      <w:r>
        <w:rPr>
          <w:rFonts w:ascii="Arial" w:hAnsi="Arial"/>
          <w:spacing w:val="37"/>
        </w:rPr>
        <w:t xml:space="preserve"> </w:t>
      </w:r>
      <w:r>
        <w:rPr>
          <w:rFonts w:ascii="Arial" w:hAnsi="Arial"/>
        </w:rPr>
        <w:t>free</w:t>
      </w:r>
      <w:r>
        <w:rPr>
          <w:rFonts w:ascii="Arial" w:hAnsi="Arial"/>
          <w:spacing w:val="41"/>
        </w:rPr>
        <w:t xml:space="preserve"> </w:t>
      </w:r>
      <w:r>
        <w:rPr>
          <w:rFonts w:ascii="Arial" w:hAnsi="Arial"/>
        </w:rPr>
        <w:t>from</w:t>
      </w:r>
      <w:r>
        <w:rPr>
          <w:rFonts w:ascii="Arial" w:hAnsi="Arial"/>
          <w:spacing w:val="38"/>
        </w:rPr>
        <w:t xml:space="preserve"> </w:t>
      </w:r>
      <w:r>
        <w:rPr>
          <w:rFonts w:ascii="Arial" w:hAnsi="Arial"/>
        </w:rPr>
        <w:t>impurity</w:t>
      </w:r>
      <w:r>
        <w:rPr>
          <w:rFonts w:ascii="Arial" w:hAnsi="Arial"/>
          <w:vertAlign w:val="superscript"/>
        </w:rPr>
        <w:t>12</w:t>
      </w:r>
      <w:r>
        <w:rPr>
          <w:rFonts w:ascii="Arial" w:hAnsi="Arial"/>
          <w:spacing w:val="42"/>
        </w:rPr>
        <w:t xml:space="preserve"> </w:t>
      </w:r>
      <w:r>
        <w:rPr>
          <w:rFonts w:ascii="Arial" w:hAnsi="Arial"/>
        </w:rPr>
        <w:t>and</w:t>
      </w:r>
    </w:p>
    <w:p w:rsidR="003B2FC0" w:rsidRDefault="003B2FC0">
      <w:pPr>
        <w:spacing w:before="11"/>
        <w:rPr>
          <w:sz w:val="9"/>
        </w:rPr>
      </w:pPr>
      <w:r w:rsidRPr="003B2FC0">
        <w:pict>
          <v:line id="_x0000_s1140" style="position:absolute;z-index:-251592192;mso-wrap-distance-left:0;mso-wrap-distance-right:0;mso-position-horizontal-relative:page" from="1in,8.1pt" to="216.05pt,8.1pt" strokeweight=".72pt">
            <w10:wrap type="topAndBottom" anchorx="page"/>
          </v:line>
        </w:pict>
      </w:r>
    </w:p>
    <w:p w:rsidR="003B2FC0" w:rsidRDefault="00052A49">
      <w:pPr>
        <w:spacing w:before="34" w:line="242" w:lineRule="auto"/>
        <w:ind w:left="242" w:right="118" w:hanging="142"/>
        <w:jc w:val="both"/>
        <w:rPr>
          <w:sz w:val="20"/>
        </w:rPr>
      </w:pPr>
      <w:r>
        <w:rPr>
          <w:position w:val="10"/>
          <w:sz w:val="13"/>
        </w:rPr>
        <w:t>10</w:t>
      </w:r>
      <w:r>
        <w:rPr>
          <w:spacing w:val="11"/>
          <w:position w:val="10"/>
          <w:sz w:val="13"/>
        </w:rPr>
        <w:t xml:space="preserve"> </w:t>
      </w:r>
      <w:r>
        <w:rPr>
          <w:sz w:val="20"/>
        </w:rPr>
        <w:t>T</w:t>
      </w:r>
      <w:r>
        <w:rPr>
          <w:sz w:val="16"/>
        </w:rPr>
        <w:t>HE</w:t>
      </w:r>
      <w:r>
        <w:rPr>
          <w:spacing w:val="-3"/>
          <w:sz w:val="16"/>
        </w:rPr>
        <w:t xml:space="preserve"> </w:t>
      </w:r>
      <w:r>
        <w:rPr>
          <w:sz w:val="20"/>
        </w:rPr>
        <w:t>B</w:t>
      </w:r>
      <w:r>
        <w:rPr>
          <w:sz w:val="16"/>
        </w:rPr>
        <w:t>UNDAHISHN</w:t>
      </w:r>
      <w:r>
        <w:rPr>
          <w:spacing w:val="-5"/>
          <w:sz w:val="16"/>
        </w:rPr>
        <w:t xml:space="preserve"> </w:t>
      </w:r>
      <w:r>
        <w:rPr>
          <w:sz w:val="20"/>
        </w:rPr>
        <w:t>–</w:t>
      </w:r>
      <w:r>
        <w:rPr>
          <w:spacing w:val="-15"/>
          <w:sz w:val="20"/>
        </w:rPr>
        <w:t xml:space="preserve"> </w:t>
      </w:r>
      <w:r>
        <w:rPr>
          <w:sz w:val="20"/>
        </w:rPr>
        <w:t>―C</w:t>
      </w:r>
      <w:r>
        <w:rPr>
          <w:sz w:val="16"/>
        </w:rPr>
        <w:t>REATION</w:t>
      </w:r>
      <w:r>
        <w:rPr>
          <w:sz w:val="20"/>
        </w:rPr>
        <w:t>‖</w:t>
      </w:r>
      <w:r>
        <w:rPr>
          <w:spacing w:val="-15"/>
          <w:sz w:val="20"/>
        </w:rPr>
        <w:t xml:space="preserve"> </w:t>
      </w:r>
      <w:r>
        <w:rPr>
          <w:sz w:val="16"/>
        </w:rPr>
        <w:t>OR</w:t>
      </w:r>
      <w:r>
        <w:rPr>
          <w:spacing w:val="-5"/>
          <w:sz w:val="16"/>
        </w:rPr>
        <w:t xml:space="preserve"> </w:t>
      </w:r>
      <w:r>
        <w:rPr>
          <w:sz w:val="20"/>
        </w:rPr>
        <w:t>K</w:t>
      </w:r>
      <w:r>
        <w:rPr>
          <w:sz w:val="16"/>
        </w:rPr>
        <w:t>NOWLEDGE</w:t>
      </w:r>
      <w:r>
        <w:rPr>
          <w:spacing w:val="-6"/>
          <w:sz w:val="16"/>
        </w:rPr>
        <w:t xml:space="preserve"> </w:t>
      </w:r>
      <w:r>
        <w:rPr>
          <w:sz w:val="16"/>
        </w:rPr>
        <w:t>FROM</w:t>
      </w:r>
      <w:r>
        <w:rPr>
          <w:spacing w:val="-6"/>
          <w:sz w:val="16"/>
        </w:rPr>
        <w:t xml:space="preserve"> </w:t>
      </w:r>
      <w:r>
        <w:rPr>
          <w:sz w:val="16"/>
        </w:rPr>
        <w:t>THE</w:t>
      </w:r>
      <w:r>
        <w:rPr>
          <w:spacing w:val="-2"/>
          <w:sz w:val="16"/>
        </w:rPr>
        <w:t xml:space="preserve"> </w:t>
      </w:r>
      <w:r>
        <w:rPr>
          <w:sz w:val="20"/>
        </w:rPr>
        <w:t>Z</w:t>
      </w:r>
      <w:r>
        <w:rPr>
          <w:sz w:val="16"/>
        </w:rPr>
        <w:t>AND</w:t>
      </w:r>
      <w:r>
        <w:rPr>
          <w:spacing w:val="3"/>
          <w:sz w:val="16"/>
        </w:rPr>
        <w:t xml:space="preserve"> </w:t>
      </w:r>
      <w:r>
        <w:rPr>
          <w:sz w:val="20"/>
        </w:rPr>
        <w:t>(Translation</w:t>
      </w:r>
      <w:r>
        <w:rPr>
          <w:spacing w:val="-6"/>
          <w:sz w:val="20"/>
        </w:rPr>
        <w:t xml:space="preserve"> </w:t>
      </w:r>
      <w:r>
        <w:rPr>
          <w:sz w:val="20"/>
        </w:rPr>
        <w:t>by</w:t>
      </w:r>
      <w:r>
        <w:rPr>
          <w:spacing w:val="-8"/>
          <w:sz w:val="20"/>
        </w:rPr>
        <w:t xml:space="preserve"> </w:t>
      </w:r>
      <w:r>
        <w:rPr>
          <w:sz w:val="20"/>
        </w:rPr>
        <w:t>E.</w:t>
      </w:r>
      <w:r>
        <w:rPr>
          <w:spacing w:val="-6"/>
          <w:sz w:val="20"/>
        </w:rPr>
        <w:t xml:space="preserve"> </w:t>
      </w:r>
      <w:r>
        <w:rPr>
          <w:spacing w:val="3"/>
          <w:sz w:val="20"/>
        </w:rPr>
        <w:t>W.</w:t>
      </w:r>
      <w:r>
        <w:rPr>
          <w:spacing w:val="-13"/>
          <w:sz w:val="20"/>
        </w:rPr>
        <w:t xml:space="preserve"> </w:t>
      </w:r>
      <w:r>
        <w:rPr>
          <w:sz w:val="20"/>
        </w:rPr>
        <w:t>West,</w:t>
      </w:r>
      <w:r>
        <w:rPr>
          <w:spacing w:val="-8"/>
          <w:sz w:val="20"/>
        </w:rPr>
        <w:t xml:space="preserve"> </w:t>
      </w:r>
      <w:r>
        <w:rPr>
          <w:sz w:val="20"/>
        </w:rPr>
        <w:t>from</w:t>
      </w:r>
      <w:r>
        <w:rPr>
          <w:spacing w:val="-2"/>
          <w:sz w:val="20"/>
        </w:rPr>
        <w:t xml:space="preserve"> </w:t>
      </w:r>
      <w:r>
        <w:rPr>
          <w:i/>
          <w:sz w:val="20"/>
        </w:rPr>
        <w:t>Sacred Books of the East</w:t>
      </w:r>
      <w:r>
        <w:rPr>
          <w:sz w:val="20"/>
        </w:rPr>
        <w:t>, vol. 5, 37, and 46, Oxford University Press, 1880, 1892, and</w:t>
      </w:r>
      <w:r>
        <w:rPr>
          <w:spacing w:val="-8"/>
          <w:sz w:val="20"/>
        </w:rPr>
        <w:t xml:space="preserve"> </w:t>
      </w:r>
      <w:r>
        <w:rPr>
          <w:sz w:val="20"/>
        </w:rPr>
        <w:t>1897).</w:t>
      </w:r>
    </w:p>
    <w:p w:rsidR="003B2FC0" w:rsidRDefault="00052A49">
      <w:pPr>
        <w:spacing w:before="164" w:line="263" w:lineRule="exact"/>
        <w:ind w:left="100"/>
        <w:rPr>
          <w:sz w:val="20"/>
        </w:rPr>
      </w:pPr>
      <w:r>
        <w:rPr>
          <w:position w:val="10"/>
          <w:sz w:val="13"/>
        </w:rPr>
        <w:t xml:space="preserve">11 </w:t>
      </w:r>
      <w:r>
        <w:rPr>
          <w:sz w:val="20"/>
        </w:rPr>
        <w:t>T</w:t>
      </w:r>
      <w:r>
        <w:rPr>
          <w:sz w:val="16"/>
        </w:rPr>
        <w:t xml:space="preserve">HE </w:t>
      </w:r>
      <w:r>
        <w:rPr>
          <w:sz w:val="20"/>
        </w:rPr>
        <w:t>S</w:t>
      </w:r>
      <w:r>
        <w:rPr>
          <w:sz w:val="16"/>
        </w:rPr>
        <w:t xml:space="preserve">ELECTIONS OF </w:t>
      </w:r>
      <w:r>
        <w:rPr>
          <w:sz w:val="20"/>
        </w:rPr>
        <w:t>Z</w:t>
      </w:r>
      <w:r>
        <w:rPr>
          <w:sz w:val="16"/>
        </w:rPr>
        <w:t xml:space="preserve">ADSPRAM </w:t>
      </w:r>
      <w:r>
        <w:rPr>
          <w:sz w:val="20"/>
        </w:rPr>
        <w:t>(V</w:t>
      </w:r>
      <w:r>
        <w:rPr>
          <w:sz w:val="16"/>
        </w:rPr>
        <w:t xml:space="preserve">IZIDAGIHA </w:t>
      </w:r>
      <w:r>
        <w:rPr>
          <w:sz w:val="20"/>
        </w:rPr>
        <w:t>I Z</w:t>
      </w:r>
      <w:r>
        <w:rPr>
          <w:sz w:val="16"/>
        </w:rPr>
        <w:t>ADSPRAM</w:t>
      </w:r>
      <w:r>
        <w:rPr>
          <w:sz w:val="20"/>
        </w:rPr>
        <w:t>) (Joseph H. Peterson Ed., 1995) (Translation by</w:t>
      </w:r>
    </w:p>
    <w:p w:rsidR="003B2FC0" w:rsidRDefault="00052A49">
      <w:pPr>
        <w:spacing w:line="244" w:lineRule="auto"/>
        <w:ind w:left="242" w:right="343"/>
        <w:rPr>
          <w:sz w:val="20"/>
        </w:rPr>
      </w:pPr>
      <w:r>
        <w:rPr>
          <w:sz w:val="20"/>
        </w:rPr>
        <w:t xml:space="preserve">E. </w:t>
      </w:r>
      <w:r>
        <w:rPr>
          <w:spacing w:val="4"/>
          <w:sz w:val="20"/>
        </w:rPr>
        <w:t xml:space="preserve">W. </w:t>
      </w:r>
      <w:r>
        <w:rPr>
          <w:sz w:val="20"/>
        </w:rPr>
        <w:t xml:space="preserve">West, from </w:t>
      </w:r>
      <w:r>
        <w:rPr>
          <w:i/>
          <w:sz w:val="20"/>
        </w:rPr>
        <w:t>Sacred Books of the East</w:t>
      </w:r>
      <w:r>
        <w:rPr>
          <w:sz w:val="20"/>
        </w:rPr>
        <w:t>, vol. 5, 37, and 46, Oxford University Press, 1880, 1892, and 1897).</w:t>
      </w:r>
    </w:p>
    <w:p w:rsidR="003B2FC0" w:rsidRDefault="00052A49">
      <w:pPr>
        <w:pStyle w:val="ListParagraph"/>
        <w:numPr>
          <w:ilvl w:val="0"/>
          <w:numId w:val="44"/>
        </w:numPr>
        <w:tabs>
          <w:tab w:val="left" w:pos="327"/>
        </w:tabs>
        <w:spacing w:before="158"/>
        <w:ind w:right="118" w:hanging="142"/>
        <w:jc w:val="both"/>
        <w:rPr>
          <w:sz w:val="20"/>
        </w:rPr>
      </w:pPr>
      <w:r>
        <w:rPr>
          <w:sz w:val="20"/>
        </w:rPr>
        <w:t>2 S</w:t>
      </w:r>
      <w:r>
        <w:rPr>
          <w:sz w:val="16"/>
        </w:rPr>
        <w:t xml:space="preserve">RI </w:t>
      </w:r>
      <w:r>
        <w:rPr>
          <w:sz w:val="20"/>
        </w:rPr>
        <w:t>G</w:t>
      </w:r>
      <w:r>
        <w:rPr>
          <w:sz w:val="16"/>
        </w:rPr>
        <w:t xml:space="preserve">URU </w:t>
      </w:r>
      <w:r>
        <w:rPr>
          <w:sz w:val="20"/>
        </w:rPr>
        <w:t>G</w:t>
      </w:r>
      <w:r>
        <w:rPr>
          <w:sz w:val="16"/>
        </w:rPr>
        <w:t xml:space="preserve">RANTH </w:t>
      </w:r>
      <w:r>
        <w:rPr>
          <w:sz w:val="20"/>
        </w:rPr>
        <w:t>S</w:t>
      </w:r>
      <w:r>
        <w:rPr>
          <w:sz w:val="16"/>
        </w:rPr>
        <w:t>AHIB</w:t>
      </w:r>
      <w:r>
        <w:rPr>
          <w:sz w:val="20"/>
        </w:rPr>
        <w:t>: E</w:t>
      </w:r>
      <w:r>
        <w:rPr>
          <w:sz w:val="16"/>
        </w:rPr>
        <w:t xml:space="preserve">NGLISH </w:t>
      </w:r>
      <w:r>
        <w:rPr>
          <w:sz w:val="20"/>
        </w:rPr>
        <w:t>T</w:t>
      </w:r>
      <w:r>
        <w:rPr>
          <w:sz w:val="16"/>
        </w:rPr>
        <w:t xml:space="preserve">RANSLATION OF THE </w:t>
      </w:r>
      <w:r>
        <w:rPr>
          <w:sz w:val="20"/>
        </w:rPr>
        <w:t>O</w:t>
      </w:r>
      <w:r>
        <w:rPr>
          <w:sz w:val="16"/>
        </w:rPr>
        <w:t xml:space="preserve">RIGINAL </w:t>
      </w:r>
      <w:r>
        <w:rPr>
          <w:sz w:val="20"/>
        </w:rPr>
        <w:t>T</w:t>
      </w:r>
      <w:r>
        <w:rPr>
          <w:sz w:val="16"/>
        </w:rPr>
        <w:t xml:space="preserve">EXT </w:t>
      </w:r>
      <w:r>
        <w:rPr>
          <w:sz w:val="20"/>
        </w:rPr>
        <w:t xml:space="preserve">466-467 (Translation by Dr. Gopal Singh, Allied Publishers Pvt. Ltd., 2005) [which translates </w:t>
      </w:r>
      <w:r>
        <w:rPr>
          <w:i/>
          <w:sz w:val="20"/>
        </w:rPr>
        <w:t>Raga Asa</w:t>
      </w:r>
      <w:r>
        <w:rPr>
          <w:sz w:val="20"/>
        </w:rPr>
        <w:t xml:space="preserve">, </w:t>
      </w:r>
      <w:r>
        <w:rPr>
          <w:i/>
          <w:sz w:val="20"/>
        </w:rPr>
        <w:t xml:space="preserve">Shaloka Mehla </w:t>
      </w:r>
      <w:r>
        <w:rPr>
          <w:sz w:val="20"/>
        </w:rPr>
        <w:t>1 at p. 472 of the original text of Sri Guru Granth</w:t>
      </w:r>
      <w:r>
        <w:rPr>
          <w:spacing w:val="-1"/>
          <w:sz w:val="20"/>
        </w:rPr>
        <w:t xml:space="preserve"> </w:t>
      </w:r>
      <w:r>
        <w:rPr>
          <w:sz w:val="20"/>
        </w:rPr>
        <w:t>Sahib].</w:t>
      </w:r>
    </w:p>
    <w:p w:rsidR="003B2FC0" w:rsidRDefault="003B2FC0">
      <w:pPr>
        <w:jc w:val="both"/>
        <w:rPr>
          <w:sz w:val="20"/>
        </w:rPr>
        <w:sectPr w:rsidR="003B2FC0">
          <w:headerReference w:type="default" r:id="rId317"/>
          <w:footerReference w:type="default" r:id="rId318"/>
          <w:pgSz w:w="12240" w:h="15840"/>
          <w:pgMar w:top="1360" w:right="1320" w:bottom="1680" w:left="1340" w:header="0" w:footer="1492" w:gutter="0"/>
          <w:pgNumType w:start="67"/>
          <w:cols w:space="720"/>
        </w:sectPr>
      </w:pPr>
    </w:p>
    <w:p w:rsidR="003B2FC0" w:rsidRDefault="00052A49">
      <w:pPr>
        <w:pStyle w:val="BodyText"/>
        <w:spacing w:before="117" w:line="480" w:lineRule="auto"/>
        <w:ind w:left="383" w:right="404"/>
        <w:jc w:val="both"/>
        <w:rPr>
          <w:rFonts w:ascii="Arial" w:hAnsi="Arial"/>
        </w:rPr>
      </w:pPr>
      <w:r>
        <w:rPr>
          <w:rFonts w:ascii="Arial" w:hAnsi="Arial"/>
        </w:rPr>
        <w:t>essential to procreation.</w:t>
      </w:r>
      <w:r>
        <w:rPr>
          <w:rFonts w:ascii="Arial" w:hAnsi="Arial"/>
          <w:vertAlign w:val="superscript"/>
        </w:rPr>
        <w:t>13</w:t>
      </w:r>
      <w:r>
        <w:rPr>
          <w:rFonts w:ascii="Arial" w:hAnsi="Arial"/>
        </w:rPr>
        <w:t xml:space="preserve"> Similarly, in the Bahá‘í Faith, the concept of ritual uncleanness has been abolished by Bahá‘u‘lláh.</w:t>
      </w:r>
      <w:r>
        <w:rPr>
          <w:rFonts w:ascii="Arial" w:hAnsi="Arial"/>
          <w:vertAlign w:val="superscript"/>
        </w:rPr>
        <w:t>14</w:t>
      </w:r>
    </w:p>
    <w:p w:rsidR="003B2FC0" w:rsidRDefault="003B2FC0">
      <w:pPr>
        <w:rPr>
          <w:sz w:val="28"/>
        </w:rPr>
      </w:pPr>
    </w:p>
    <w:p w:rsidR="003B2FC0" w:rsidRDefault="00052A49">
      <w:pPr>
        <w:pStyle w:val="ListParagraph"/>
        <w:numPr>
          <w:ilvl w:val="1"/>
          <w:numId w:val="50"/>
        </w:numPr>
        <w:tabs>
          <w:tab w:val="left" w:pos="1234"/>
        </w:tabs>
        <w:spacing w:line="480" w:lineRule="auto"/>
        <w:ind w:left="383" w:right="407" w:firstLine="0"/>
        <w:jc w:val="both"/>
        <w:rPr>
          <w:sz w:val="28"/>
        </w:rPr>
      </w:pPr>
      <w:r>
        <w:rPr>
          <w:sz w:val="28"/>
        </w:rPr>
        <w:t>For the purpose of this case, we have proceeded on the footing that the reasons given for barring the entry of menstruating women to the Sabarimala t</w:t>
      </w:r>
      <w:r>
        <w:rPr>
          <w:sz w:val="28"/>
        </w:rPr>
        <w:t>emple are considered by worshippers and Thanthris alike, to be an essential facet of their</w:t>
      </w:r>
      <w:r>
        <w:rPr>
          <w:spacing w:val="-9"/>
          <w:sz w:val="28"/>
        </w:rPr>
        <w:t xml:space="preserve"> </w:t>
      </w:r>
      <w:r>
        <w:rPr>
          <w:sz w:val="28"/>
        </w:rPr>
        <w:t>belief.</w:t>
      </w:r>
    </w:p>
    <w:p w:rsidR="003B2FC0" w:rsidRDefault="003B2FC0">
      <w:pPr>
        <w:rPr>
          <w:sz w:val="28"/>
        </w:rPr>
      </w:pPr>
    </w:p>
    <w:p w:rsidR="003B2FC0" w:rsidRDefault="003B2FC0">
      <w:pPr>
        <w:pStyle w:val="ListParagraph"/>
        <w:numPr>
          <w:ilvl w:val="1"/>
          <w:numId w:val="50"/>
        </w:numPr>
        <w:tabs>
          <w:tab w:val="left" w:pos="1234"/>
        </w:tabs>
        <w:spacing w:line="480" w:lineRule="auto"/>
        <w:ind w:left="383" w:right="402" w:firstLine="0"/>
        <w:jc w:val="both"/>
        <w:rPr>
          <w:sz w:val="28"/>
        </w:rPr>
      </w:pPr>
      <w:r w:rsidRPr="003B2FC0">
        <w:pict>
          <v:line id="_x0000_s1139" style="position:absolute;left:0;text-align:left;z-index:-251591168;mso-wrap-distance-left:0;mso-wrap-distance-right:0;mso-position-horizontal-relative:page" from="1in,324.95pt" to="216.05pt,324.95pt" strokeweight=".72pt">
            <w10:wrap type="topAndBottom" anchorx="page"/>
          </v:line>
        </w:pict>
      </w:r>
      <w:r w:rsidR="00052A49">
        <w:rPr>
          <w:sz w:val="28"/>
        </w:rPr>
        <w:t>The first question that arises is whether the Sabarimala temple can be said to be a religious denomination for the purpose of Article 26 of the Constitutio</w:t>
      </w:r>
      <w:r w:rsidR="00052A49">
        <w:rPr>
          <w:sz w:val="28"/>
        </w:rPr>
        <w:t>n. We have already seen with reference to the case law quoted above, that three things are necessary in order to establish that a particular temple belongs to a religious denomination. The temple must consist of persons who have a common faith, a common or</w:t>
      </w:r>
      <w:r w:rsidR="00052A49">
        <w:rPr>
          <w:sz w:val="28"/>
        </w:rPr>
        <w:t>ganization, and are designated by a distinct name. In answer to the question whether Thanthris and worshippers alike are designated by a distinct name, we were unable to find any answer. When asked whether</w:t>
      </w:r>
      <w:r w:rsidR="00052A49">
        <w:rPr>
          <w:spacing w:val="23"/>
          <w:sz w:val="28"/>
        </w:rPr>
        <w:t xml:space="preserve"> </w:t>
      </w:r>
      <w:r w:rsidR="00052A49">
        <w:rPr>
          <w:sz w:val="28"/>
        </w:rPr>
        <w:t>all</w:t>
      </w:r>
      <w:r w:rsidR="00052A49">
        <w:rPr>
          <w:spacing w:val="24"/>
          <w:sz w:val="28"/>
        </w:rPr>
        <w:t xml:space="preserve"> </w:t>
      </w:r>
      <w:r w:rsidR="00052A49">
        <w:rPr>
          <w:sz w:val="28"/>
        </w:rPr>
        <w:t>persons</w:t>
      </w:r>
      <w:r w:rsidR="00052A49">
        <w:rPr>
          <w:spacing w:val="26"/>
          <w:sz w:val="28"/>
        </w:rPr>
        <w:t xml:space="preserve"> </w:t>
      </w:r>
      <w:r w:rsidR="00052A49">
        <w:rPr>
          <w:sz w:val="28"/>
        </w:rPr>
        <w:t>who</w:t>
      </w:r>
      <w:r w:rsidR="00052A49">
        <w:rPr>
          <w:spacing w:val="26"/>
          <w:sz w:val="28"/>
        </w:rPr>
        <w:t xml:space="preserve"> </w:t>
      </w:r>
      <w:r w:rsidR="00052A49">
        <w:rPr>
          <w:sz w:val="28"/>
        </w:rPr>
        <w:t>visit</w:t>
      </w:r>
      <w:r w:rsidR="00052A49">
        <w:rPr>
          <w:spacing w:val="25"/>
          <w:sz w:val="28"/>
        </w:rPr>
        <w:t xml:space="preserve"> </w:t>
      </w:r>
      <w:r w:rsidR="00052A49">
        <w:rPr>
          <w:sz w:val="28"/>
        </w:rPr>
        <w:t>the</w:t>
      </w:r>
      <w:r w:rsidR="00052A49">
        <w:rPr>
          <w:spacing w:val="24"/>
          <w:sz w:val="28"/>
        </w:rPr>
        <w:t xml:space="preserve"> </w:t>
      </w:r>
      <w:r w:rsidR="00052A49">
        <w:rPr>
          <w:sz w:val="28"/>
        </w:rPr>
        <w:t>Sabarimala</w:t>
      </w:r>
      <w:r w:rsidR="00052A49">
        <w:rPr>
          <w:spacing w:val="27"/>
          <w:sz w:val="28"/>
        </w:rPr>
        <w:t xml:space="preserve"> </w:t>
      </w:r>
      <w:r w:rsidR="00052A49">
        <w:rPr>
          <w:sz w:val="28"/>
        </w:rPr>
        <w:t>temple</w:t>
      </w:r>
      <w:r w:rsidR="00052A49">
        <w:rPr>
          <w:spacing w:val="24"/>
          <w:sz w:val="28"/>
        </w:rPr>
        <w:t xml:space="preserve"> </w:t>
      </w:r>
      <w:r w:rsidR="00052A49">
        <w:rPr>
          <w:sz w:val="28"/>
        </w:rPr>
        <w:t>have</w:t>
      </w:r>
      <w:r w:rsidR="00052A49">
        <w:rPr>
          <w:spacing w:val="23"/>
          <w:sz w:val="28"/>
        </w:rPr>
        <w:t xml:space="preserve"> </w:t>
      </w:r>
      <w:r w:rsidR="00052A49">
        <w:rPr>
          <w:sz w:val="28"/>
        </w:rPr>
        <w:t>a</w:t>
      </w:r>
      <w:r w:rsidR="00052A49">
        <w:rPr>
          <w:spacing w:val="23"/>
          <w:sz w:val="28"/>
        </w:rPr>
        <w:t xml:space="preserve"> </w:t>
      </w:r>
      <w:r w:rsidR="00052A49">
        <w:rPr>
          <w:sz w:val="28"/>
        </w:rPr>
        <w:t>common</w:t>
      </w:r>
    </w:p>
    <w:p w:rsidR="003B2FC0" w:rsidRDefault="00052A49">
      <w:pPr>
        <w:pStyle w:val="ListParagraph"/>
        <w:numPr>
          <w:ilvl w:val="0"/>
          <w:numId w:val="44"/>
        </w:numPr>
        <w:tabs>
          <w:tab w:val="left" w:pos="312"/>
        </w:tabs>
        <w:spacing w:before="36" w:line="242" w:lineRule="auto"/>
        <w:ind w:right="119" w:hanging="142"/>
        <w:jc w:val="both"/>
        <w:rPr>
          <w:sz w:val="20"/>
        </w:rPr>
      </w:pPr>
      <w:r>
        <w:rPr>
          <w:sz w:val="20"/>
        </w:rPr>
        <w:t>4 S</w:t>
      </w:r>
      <w:r>
        <w:rPr>
          <w:sz w:val="16"/>
        </w:rPr>
        <w:t xml:space="preserve">RI </w:t>
      </w:r>
      <w:r>
        <w:rPr>
          <w:sz w:val="20"/>
        </w:rPr>
        <w:t>G</w:t>
      </w:r>
      <w:r>
        <w:rPr>
          <w:sz w:val="16"/>
        </w:rPr>
        <w:t xml:space="preserve">URU </w:t>
      </w:r>
      <w:r>
        <w:rPr>
          <w:sz w:val="20"/>
        </w:rPr>
        <w:t>G</w:t>
      </w:r>
      <w:r>
        <w:rPr>
          <w:sz w:val="16"/>
        </w:rPr>
        <w:t xml:space="preserve">RANTH </w:t>
      </w:r>
      <w:r>
        <w:rPr>
          <w:sz w:val="20"/>
        </w:rPr>
        <w:t>S</w:t>
      </w:r>
      <w:r>
        <w:rPr>
          <w:sz w:val="16"/>
        </w:rPr>
        <w:t>AHIB</w:t>
      </w:r>
      <w:r>
        <w:rPr>
          <w:sz w:val="20"/>
        </w:rPr>
        <w:t>: E</w:t>
      </w:r>
      <w:r>
        <w:rPr>
          <w:sz w:val="16"/>
        </w:rPr>
        <w:t xml:space="preserve">NGLISH </w:t>
      </w:r>
      <w:r>
        <w:rPr>
          <w:sz w:val="20"/>
        </w:rPr>
        <w:t>T</w:t>
      </w:r>
      <w:r>
        <w:rPr>
          <w:sz w:val="16"/>
        </w:rPr>
        <w:t xml:space="preserve">RANSLATION OF THE </w:t>
      </w:r>
      <w:r>
        <w:rPr>
          <w:sz w:val="20"/>
        </w:rPr>
        <w:t>O</w:t>
      </w:r>
      <w:r>
        <w:rPr>
          <w:sz w:val="16"/>
        </w:rPr>
        <w:t xml:space="preserve">RIGINAL </w:t>
      </w:r>
      <w:r>
        <w:rPr>
          <w:sz w:val="20"/>
        </w:rPr>
        <w:t>T</w:t>
      </w:r>
      <w:r>
        <w:rPr>
          <w:sz w:val="16"/>
        </w:rPr>
        <w:t xml:space="preserve">EXT </w:t>
      </w:r>
      <w:r>
        <w:rPr>
          <w:sz w:val="20"/>
        </w:rPr>
        <w:t xml:space="preserve">975 (Translation by Dr. Gopal Singh, Allied Publishers Pvt. Ltd., 2005) [which translates </w:t>
      </w:r>
      <w:r>
        <w:rPr>
          <w:i/>
          <w:sz w:val="20"/>
        </w:rPr>
        <w:t>Raga Maru</w:t>
      </w:r>
      <w:r>
        <w:rPr>
          <w:sz w:val="20"/>
        </w:rPr>
        <w:t xml:space="preserve">, </w:t>
      </w:r>
      <w:r>
        <w:rPr>
          <w:i/>
          <w:sz w:val="20"/>
        </w:rPr>
        <w:t xml:space="preserve">Mehla </w:t>
      </w:r>
      <w:r>
        <w:rPr>
          <w:sz w:val="20"/>
        </w:rPr>
        <w:t>1 at p.1022 of the original text of Sri Guru Granth Sahib].</w:t>
      </w:r>
    </w:p>
    <w:p w:rsidR="003B2FC0" w:rsidRDefault="00052A49">
      <w:pPr>
        <w:spacing w:before="159" w:line="242" w:lineRule="auto"/>
        <w:ind w:left="242" w:right="125" w:hanging="142"/>
        <w:jc w:val="both"/>
        <w:rPr>
          <w:sz w:val="20"/>
        </w:rPr>
      </w:pPr>
      <w:r>
        <w:rPr>
          <w:position w:val="10"/>
          <w:sz w:val="13"/>
        </w:rPr>
        <w:t xml:space="preserve">14 </w:t>
      </w:r>
      <w:r>
        <w:rPr>
          <w:sz w:val="20"/>
        </w:rPr>
        <w:t>K</w:t>
      </w:r>
      <w:r>
        <w:rPr>
          <w:sz w:val="16"/>
        </w:rPr>
        <w:t>ITÁB</w:t>
      </w:r>
      <w:r>
        <w:rPr>
          <w:sz w:val="20"/>
        </w:rPr>
        <w:t>-</w:t>
      </w:r>
      <w:r>
        <w:rPr>
          <w:sz w:val="16"/>
        </w:rPr>
        <w:t>I</w:t>
      </w:r>
      <w:r>
        <w:rPr>
          <w:sz w:val="20"/>
        </w:rPr>
        <w:t>-A</w:t>
      </w:r>
      <w:r>
        <w:rPr>
          <w:sz w:val="16"/>
        </w:rPr>
        <w:t xml:space="preserve">QDAS BY </w:t>
      </w:r>
      <w:r>
        <w:rPr>
          <w:sz w:val="20"/>
        </w:rPr>
        <w:t>B</w:t>
      </w:r>
      <w:r>
        <w:rPr>
          <w:sz w:val="16"/>
        </w:rPr>
        <w:t>AHÁ</w:t>
      </w:r>
      <w:r>
        <w:rPr>
          <w:sz w:val="20"/>
        </w:rPr>
        <w:t>‘</w:t>
      </w:r>
      <w:r>
        <w:rPr>
          <w:sz w:val="16"/>
        </w:rPr>
        <w:t>U</w:t>
      </w:r>
      <w:r>
        <w:rPr>
          <w:sz w:val="20"/>
        </w:rPr>
        <w:t>‘</w:t>
      </w:r>
      <w:r>
        <w:rPr>
          <w:sz w:val="16"/>
        </w:rPr>
        <w:t>LLÁH</w:t>
      </w:r>
      <w:r>
        <w:rPr>
          <w:sz w:val="20"/>
        </w:rPr>
        <w:t>, note 106 at p. 122 (Translation by Shoghi Effendi, Bahá'í World Centre, 1992).</w:t>
      </w:r>
    </w:p>
    <w:p w:rsidR="003B2FC0" w:rsidRDefault="003B2FC0">
      <w:pPr>
        <w:spacing w:line="242" w:lineRule="auto"/>
        <w:jc w:val="both"/>
        <w:rPr>
          <w:sz w:val="20"/>
        </w:rPr>
        <w:sectPr w:rsidR="003B2FC0">
          <w:headerReference w:type="default" r:id="rId319"/>
          <w:footerReference w:type="default" r:id="rId320"/>
          <w:pgSz w:w="12240" w:h="15840"/>
          <w:pgMar w:top="1320" w:right="1320" w:bottom="1680" w:left="1340" w:header="0" w:footer="1492" w:gutter="0"/>
          <w:pgNumType w:start="68"/>
          <w:cols w:space="720"/>
        </w:sectPr>
      </w:pPr>
    </w:p>
    <w:p w:rsidR="003B2FC0" w:rsidRDefault="00052A49">
      <w:pPr>
        <w:pStyle w:val="BodyText"/>
        <w:spacing w:before="77" w:line="480" w:lineRule="auto"/>
        <w:ind w:left="383" w:right="402"/>
        <w:jc w:val="both"/>
        <w:rPr>
          <w:rFonts w:ascii="Arial"/>
        </w:rPr>
      </w:pPr>
      <w:r>
        <w:rPr>
          <w:rFonts w:ascii="Arial"/>
        </w:rPr>
        <w:t xml:space="preserve">faith, the answer given was that all persons, regardless of caste or religion, are worshippers at the said temple. From this, it is also clear that Hindus of all kinds, Muslims, Christians etc., all visit the temple as worshippers, without, in any manner, </w:t>
      </w:r>
      <w:r>
        <w:rPr>
          <w:rFonts w:ascii="Arial"/>
        </w:rPr>
        <w:t xml:space="preserve">ceasing to be Hindus, Christians or Muslims. They can therefore be regarded, as has been held in </w:t>
      </w:r>
      <w:r>
        <w:rPr>
          <w:rFonts w:ascii="Arial"/>
          <w:b/>
        </w:rPr>
        <w:t xml:space="preserve">Sri </w:t>
      </w:r>
      <w:r>
        <w:rPr>
          <w:rFonts w:ascii="Arial"/>
          <w:b/>
          <w:spacing w:val="-2"/>
        </w:rPr>
        <w:t xml:space="preserve">Adi </w:t>
      </w:r>
      <w:r>
        <w:rPr>
          <w:rFonts w:ascii="Arial"/>
          <w:b/>
        </w:rPr>
        <w:t xml:space="preserve">Visheshwara </w:t>
      </w:r>
      <w:r>
        <w:rPr>
          <w:rFonts w:ascii="Arial"/>
        </w:rPr>
        <w:t>(supra), as Hindus who worship the idol of Lord Ayyappa as part of the Hindu religious form of worship but not as denominational worshipper</w:t>
      </w:r>
      <w:r>
        <w:rPr>
          <w:rFonts w:ascii="Arial"/>
        </w:rPr>
        <w:t xml:space="preserve">s. The same goes for members of other religious communities. We may remember that in </w:t>
      </w:r>
      <w:r>
        <w:rPr>
          <w:rFonts w:ascii="Arial"/>
          <w:b/>
        </w:rPr>
        <w:t xml:space="preserve">Durgah Committee </w:t>
      </w:r>
      <w:r>
        <w:rPr>
          <w:rFonts w:ascii="Arial"/>
        </w:rPr>
        <w:t>(supra), this Court had held that since persons of all religious faiths visit the Durgah as a place of pilgrimage, it may not be easy to hold that they co</w:t>
      </w:r>
      <w:r>
        <w:rPr>
          <w:rFonts w:ascii="Arial"/>
        </w:rPr>
        <w:t>nstitute a religious denomination or a section thereof. However, for the purpose of the appeal, they proposed to deal with the dispute between the parties on the basis that the Chishtia sect, whom the respondents represented, were a separate religious deno</w:t>
      </w:r>
      <w:r>
        <w:rPr>
          <w:rFonts w:ascii="Arial"/>
        </w:rPr>
        <w:t xml:space="preserve">mination, being a sub-sect of Soofies. We may hasten to add that we find no such thing here. We may also add that in </w:t>
      </w:r>
      <w:r>
        <w:rPr>
          <w:rFonts w:ascii="Arial"/>
          <w:b/>
        </w:rPr>
        <w:t xml:space="preserve">S.P. Mittal </w:t>
      </w:r>
      <w:r>
        <w:rPr>
          <w:rFonts w:ascii="Arial"/>
        </w:rPr>
        <w:t xml:space="preserve">(supra), the majority  </w:t>
      </w:r>
      <w:r>
        <w:rPr>
          <w:rFonts w:ascii="Arial"/>
          <w:spacing w:val="13"/>
        </w:rPr>
        <w:t xml:space="preserve"> </w:t>
      </w:r>
      <w:r>
        <w:rPr>
          <w:rFonts w:ascii="Arial"/>
        </w:rPr>
        <w:t xml:space="preserve">judgment  </w:t>
      </w:r>
      <w:r>
        <w:rPr>
          <w:rFonts w:ascii="Arial"/>
          <w:spacing w:val="18"/>
        </w:rPr>
        <w:t xml:space="preserve"> </w:t>
      </w:r>
      <w:r>
        <w:rPr>
          <w:rFonts w:ascii="Arial"/>
        </w:rPr>
        <w:t xml:space="preserve">did  </w:t>
      </w:r>
      <w:r>
        <w:rPr>
          <w:rFonts w:ascii="Arial"/>
          <w:spacing w:val="18"/>
        </w:rPr>
        <w:t xml:space="preserve"> </w:t>
      </w:r>
      <w:r>
        <w:rPr>
          <w:rFonts w:ascii="Arial"/>
        </w:rPr>
        <w:t xml:space="preserve">not  </w:t>
      </w:r>
      <w:r>
        <w:rPr>
          <w:rFonts w:ascii="Arial"/>
          <w:spacing w:val="18"/>
        </w:rPr>
        <w:t xml:space="preserve"> </w:t>
      </w:r>
      <w:r>
        <w:rPr>
          <w:rFonts w:ascii="Arial"/>
        </w:rPr>
        <w:t xml:space="preserve">hold,  </w:t>
      </w:r>
      <w:r>
        <w:rPr>
          <w:rFonts w:ascii="Arial"/>
          <w:spacing w:val="17"/>
        </w:rPr>
        <w:t xml:space="preserve"> </w:t>
      </w:r>
      <w:r>
        <w:rPr>
          <w:rFonts w:ascii="Arial"/>
        </w:rPr>
        <w:t xml:space="preserve">and  </w:t>
      </w:r>
      <w:r>
        <w:rPr>
          <w:rFonts w:ascii="Arial"/>
          <w:spacing w:val="17"/>
        </w:rPr>
        <w:t xml:space="preserve"> </w:t>
      </w:r>
      <w:r>
        <w:rPr>
          <w:rFonts w:ascii="Arial"/>
        </w:rPr>
        <w:t xml:space="preserve">therefore,  </w:t>
      </w:r>
      <w:r>
        <w:rPr>
          <w:rFonts w:ascii="Arial"/>
          <w:spacing w:val="21"/>
        </w:rPr>
        <w:t xml:space="preserve"> </w:t>
      </w:r>
      <w:r>
        <w:rPr>
          <w:rFonts w:ascii="Arial"/>
        </w:rPr>
        <w:t xml:space="preserve">assumed  </w:t>
      </w:r>
      <w:r>
        <w:rPr>
          <w:rFonts w:ascii="Arial"/>
          <w:spacing w:val="15"/>
        </w:rPr>
        <w:t xml:space="preserve"> </w:t>
      </w:r>
      <w:r>
        <w:rPr>
          <w:rFonts w:ascii="Arial"/>
        </w:rPr>
        <w:t>that</w:t>
      </w:r>
    </w:p>
    <w:p w:rsidR="003B2FC0" w:rsidRDefault="00052A49">
      <w:pPr>
        <w:pStyle w:val="BodyText"/>
        <w:spacing w:before="2"/>
        <w:ind w:left="383"/>
        <w:jc w:val="both"/>
        <w:rPr>
          <w:rFonts w:ascii="Arial" w:hAnsi="Arial"/>
        </w:rPr>
      </w:pPr>
      <w:r>
        <w:rPr>
          <w:rFonts w:ascii="Arial" w:hAnsi="Arial"/>
        </w:rPr>
        <w:t>―Aurobindoism‖</w:t>
      </w:r>
      <w:r>
        <w:rPr>
          <w:rFonts w:ascii="Arial" w:hAnsi="Arial"/>
          <w:spacing w:val="16"/>
        </w:rPr>
        <w:t xml:space="preserve"> </w:t>
      </w:r>
      <w:r>
        <w:rPr>
          <w:rFonts w:ascii="Arial" w:hAnsi="Arial"/>
        </w:rPr>
        <w:t>was</w:t>
      </w:r>
      <w:r>
        <w:rPr>
          <w:rFonts w:ascii="Arial" w:hAnsi="Arial"/>
          <w:spacing w:val="16"/>
        </w:rPr>
        <w:t xml:space="preserve"> </w:t>
      </w:r>
      <w:r>
        <w:rPr>
          <w:rFonts w:ascii="Arial" w:hAnsi="Arial"/>
        </w:rPr>
        <w:t>a</w:t>
      </w:r>
      <w:r>
        <w:rPr>
          <w:rFonts w:ascii="Arial" w:hAnsi="Arial"/>
          <w:spacing w:val="16"/>
        </w:rPr>
        <w:t xml:space="preserve"> </w:t>
      </w:r>
      <w:r>
        <w:rPr>
          <w:rFonts w:ascii="Arial" w:hAnsi="Arial"/>
        </w:rPr>
        <w:t>religious</w:t>
      </w:r>
      <w:r>
        <w:rPr>
          <w:rFonts w:ascii="Arial" w:hAnsi="Arial"/>
          <w:spacing w:val="16"/>
        </w:rPr>
        <w:t xml:space="preserve"> </w:t>
      </w:r>
      <w:r>
        <w:rPr>
          <w:rFonts w:ascii="Arial" w:hAnsi="Arial"/>
        </w:rPr>
        <w:t>denomination,</w:t>
      </w:r>
      <w:r>
        <w:rPr>
          <w:rFonts w:ascii="Arial" w:hAnsi="Arial"/>
          <w:spacing w:val="17"/>
        </w:rPr>
        <w:t xml:space="preserve"> </w:t>
      </w:r>
      <w:r>
        <w:rPr>
          <w:rFonts w:ascii="Arial" w:hAnsi="Arial"/>
        </w:rPr>
        <w:t>given</w:t>
      </w:r>
      <w:r>
        <w:rPr>
          <w:rFonts w:ascii="Arial" w:hAnsi="Arial"/>
          <w:spacing w:val="16"/>
        </w:rPr>
        <w:t xml:space="preserve"> </w:t>
      </w:r>
      <w:r>
        <w:rPr>
          <w:rFonts w:ascii="Arial" w:hAnsi="Arial"/>
        </w:rPr>
        <w:t>the</w:t>
      </w:r>
      <w:r>
        <w:rPr>
          <w:rFonts w:ascii="Arial" w:hAnsi="Arial"/>
          <w:spacing w:val="15"/>
        </w:rPr>
        <w:t xml:space="preserve"> </w:t>
      </w:r>
      <w:r>
        <w:rPr>
          <w:rFonts w:ascii="Arial" w:hAnsi="Arial"/>
        </w:rPr>
        <w:t>fact</w:t>
      </w:r>
      <w:r>
        <w:rPr>
          <w:rFonts w:ascii="Arial" w:hAnsi="Arial"/>
          <w:spacing w:val="14"/>
        </w:rPr>
        <w:t xml:space="preserve"> </w:t>
      </w:r>
      <w:r>
        <w:rPr>
          <w:rFonts w:ascii="Arial" w:hAnsi="Arial"/>
        </w:rPr>
        <w:t>that</w:t>
      </w:r>
      <w:r>
        <w:rPr>
          <w:rFonts w:ascii="Arial" w:hAnsi="Arial"/>
          <w:spacing w:val="17"/>
        </w:rPr>
        <w:t xml:space="preserve"> </w:t>
      </w:r>
      <w:r>
        <w:rPr>
          <w:rFonts w:ascii="Arial" w:hAnsi="Arial"/>
        </w:rPr>
        <w:t>the</w:t>
      </w:r>
    </w:p>
    <w:p w:rsidR="003B2FC0" w:rsidRDefault="003B2FC0">
      <w:pPr>
        <w:spacing w:before="11"/>
        <w:rPr>
          <w:sz w:val="27"/>
        </w:rPr>
      </w:pPr>
    </w:p>
    <w:p w:rsidR="003B2FC0" w:rsidRDefault="00052A49">
      <w:pPr>
        <w:pStyle w:val="BodyText"/>
        <w:ind w:left="383"/>
        <w:jc w:val="both"/>
        <w:rPr>
          <w:rFonts w:ascii="Arial"/>
        </w:rPr>
      </w:pPr>
      <w:r>
        <w:rPr>
          <w:rFonts w:ascii="Arial"/>
        </w:rPr>
        <w:t>Auroville</w:t>
      </w:r>
      <w:r>
        <w:rPr>
          <w:rFonts w:ascii="Arial"/>
          <w:spacing w:val="46"/>
        </w:rPr>
        <w:t xml:space="preserve"> </w:t>
      </w:r>
      <w:r>
        <w:rPr>
          <w:rFonts w:ascii="Arial"/>
        </w:rPr>
        <w:t>Foundation</w:t>
      </w:r>
      <w:r>
        <w:rPr>
          <w:rFonts w:ascii="Arial"/>
          <w:spacing w:val="46"/>
        </w:rPr>
        <w:t xml:space="preserve"> </w:t>
      </w:r>
      <w:r>
        <w:rPr>
          <w:rFonts w:ascii="Arial"/>
        </w:rPr>
        <w:t>Society</w:t>
      </w:r>
      <w:r>
        <w:rPr>
          <w:rFonts w:ascii="Arial"/>
          <w:spacing w:val="42"/>
        </w:rPr>
        <w:t xml:space="preserve"> </w:t>
      </w:r>
      <w:r>
        <w:rPr>
          <w:rFonts w:ascii="Arial"/>
        </w:rPr>
        <w:t>claimed</w:t>
      </w:r>
      <w:r>
        <w:rPr>
          <w:rFonts w:ascii="Arial"/>
          <w:spacing w:val="41"/>
        </w:rPr>
        <w:t xml:space="preserve"> </w:t>
      </w:r>
      <w:r>
        <w:rPr>
          <w:rFonts w:ascii="Arial"/>
        </w:rPr>
        <w:t>exemption</w:t>
      </w:r>
      <w:r>
        <w:rPr>
          <w:rFonts w:ascii="Arial"/>
          <w:spacing w:val="45"/>
        </w:rPr>
        <w:t xml:space="preserve"> </w:t>
      </w:r>
      <w:r>
        <w:rPr>
          <w:rFonts w:ascii="Arial"/>
        </w:rPr>
        <w:t>from</w:t>
      </w:r>
      <w:r>
        <w:rPr>
          <w:rFonts w:ascii="Arial"/>
          <w:spacing w:val="44"/>
        </w:rPr>
        <w:t xml:space="preserve"> </w:t>
      </w:r>
      <w:r>
        <w:rPr>
          <w:rFonts w:ascii="Arial"/>
        </w:rPr>
        <w:t>income</w:t>
      </w:r>
      <w:r>
        <w:rPr>
          <w:rFonts w:ascii="Arial"/>
          <w:spacing w:val="43"/>
        </w:rPr>
        <w:t xml:space="preserve"> </w:t>
      </w:r>
      <w:r>
        <w:rPr>
          <w:rFonts w:ascii="Arial"/>
        </w:rPr>
        <w:t>tax</w:t>
      </w:r>
      <w:r>
        <w:rPr>
          <w:rFonts w:ascii="Arial"/>
          <w:spacing w:val="42"/>
        </w:rPr>
        <w:t xml:space="preserve"> </w:t>
      </w:r>
      <w:r>
        <w:rPr>
          <w:rFonts w:ascii="Arial"/>
        </w:rPr>
        <w:t>on</w:t>
      </w:r>
    </w:p>
    <w:p w:rsidR="003B2FC0" w:rsidRDefault="003B2FC0">
      <w:pPr>
        <w:jc w:val="both"/>
        <w:sectPr w:rsidR="003B2FC0">
          <w:headerReference w:type="default" r:id="rId321"/>
          <w:footerReference w:type="default" r:id="rId322"/>
          <w:pgSz w:w="12240" w:h="15840"/>
          <w:pgMar w:top="1360" w:right="1320" w:bottom="1680" w:left="1340" w:header="0" w:footer="1492" w:gutter="0"/>
          <w:pgNumType w:start="69"/>
          <w:cols w:space="720"/>
        </w:sectPr>
      </w:pPr>
    </w:p>
    <w:p w:rsidR="003B2FC0" w:rsidRDefault="00052A49">
      <w:pPr>
        <w:pStyle w:val="BodyText"/>
        <w:spacing w:before="77" w:line="480" w:lineRule="auto"/>
        <w:ind w:left="383" w:right="401"/>
        <w:jc w:val="both"/>
        <w:rPr>
          <w:rFonts w:ascii="Arial"/>
        </w:rPr>
      </w:pPr>
      <w:r>
        <w:rPr>
          <w:rFonts w:ascii="Arial"/>
        </w:rPr>
        <w:t>the footing that it was a charitable, and not a religious organization, and held itself out to be a non-religious organization. Also, the  powerful argument addressed, noticed at paragraph 106 of the majority judgment, that persons who joined the Auroville</w:t>
      </w:r>
      <w:r>
        <w:rPr>
          <w:rFonts w:ascii="Arial"/>
        </w:rPr>
        <w:t xml:space="preserve"> Society did not give up their religion, also added great substance to the fact that the Auroville Society could not be regarded as a religious denomination for the purpose of Article 26. Chinnappa Reddy, J. alone, in dissent, held the Auroville Society to</w:t>
      </w:r>
      <w:r>
        <w:rPr>
          <w:rFonts w:ascii="Arial"/>
        </w:rPr>
        <w:t xml:space="preserve"> be a religious denomination, without adverting to the fact that persons who are a part of the Society continued to adhere to their</w:t>
      </w:r>
      <w:r>
        <w:rPr>
          <w:rFonts w:ascii="Arial"/>
          <w:spacing w:val="-8"/>
        </w:rPr>
        <w:t xml:space="preserve"> </w:t>
      </w:r>
      <w:r>
        <w:rPr>
          <w:rFonts w:ascii="Arial"/>
        </w:rPr>
        <w:t>religion.</w:t>
      </w:r>
    </w:p>
    <w:p w:rsidR="003B2FC0" w:rsidRDefault="003B2FC0">
      <w:pPr>
        <w:rPr>
          <w:sz w:val="28"/>
        </w:rPr>
      </w:pPr>
    </w:p>
    <w:p w:rsidR="003B2FC0" w:rsidRDefault="00052A49">
      <w:pPr>
        <w:pStyle w:val="ListParagraph"/>
        <w:numPr>
          <w:ilvl w:val="1"/>
          <w:numId w:val="50"/>
        </w:numPr>
        <w:tabs>
          <w:tab w:val="left" w:pos="1234"/>
        </w:tabs>
        <w:spacing w:line="480" w:lineRule="auto"/>
        <w:ind w:left="383" w:right="401" w:firstLine="0"/>
        <w:jc w:val="both"/>
        <w:rPr>
          <w:sz w:val="28"/>
        </w:rPr>
      </w:pPr>
      <w:r>
        <w:rPr>
          <w:sz w:val="28"/>
        </w:rPr>
        <w:t>In these circumstances, we are clearly of the view that there is no distinctive name given to the worshippers of this particular temple; there is no common faith in the sense of a belief common to a particular religion or section thereof; or common organiz</w:t>
      </w:r>
      <w:r>
        <w:rPr>
          <w:sz w:val="28"/>
        </w:rPr>
        <w:t>ation of the worshippers of the Sabarimala temple so as to constitute the said temple into a religious denomination. Also, there are over a thousand other Ayyappa temples in which the deity is worshipped by practicing Hindus of all kinds. It is clear, ther</w:t>
      </w:r>
      <w:r>
        <w:rPr>
          <w:sz w:val="28"/>
        </w:rPr>
        <w:t>efore, that Article 26 does not get attracted to the facts of this</w:t>
      </w:r>
      <w:r>
        <w:rPr>
          <w:spacing w:val="-4"/>
          <w:sz w:val="28"/>
        </w:rPr>
        <w:t xml:space="preserve"> </w:t>
      </w:r>
      <w:r>
        <w:rPr>
          <w:sz w:val="28"/>
        </w:rPr>
        <w:t>case.</w:t>
      </w:r>
    </w:p>
    <w:p w:rsidR="003B2FC0" w:rsidRDefault="003B2FC0">
      <w:pPr>
        <w:spacing w:line="480" w:lineRule="auto"/>
        <w:jc w:val="both"/>
        <w:rPr>
          <w:sz w:val="28"/>
        </w:rPr>
        <w:sectPr w:rsidR="003B2FC0">
          <w:headerReference w:type="default" r:id="rId323"/>
          <w:footerReference w:type="default" r:id="rId324"/>
          <w:pgSz w:w="12240" w:h="15840"/>
          <w:pgMar w:top="1360" w:right="1320" w:bottom="1680" w:left="1340" w:header="0" w:footer="1492" w:gutter="0"/>
          <w:pgNumType w:start="70"/>
          <w:cols w:space="720"/>
        </w:sectPr>
      </w:pPr>
    </w:p>
    <w:p w:rsidR="003B2FC0" w:rsidRDefault="00052A49">
      <w:pPr>
        <w:pStyle w:val="ListParagraph"/>
        <w:numPr>
          <w:ilvl w:val="1"/>
          <w:numId w:val="50"/>
        </w:numPr>
        <w:tabs>
          <w:tab w:val="left" w:pos="1234"/>
        </w:tabs>
        <w:spacing w:before="77" w:line="480" w:lineRule="auto"/>
        <w:ind w:left="383" w:right="405" w:firstLine="0"/>
        <w:jc w:val="both"/>
        <w:rPr>
          <w:sz w:val="28"/>
        </w:rPr>
      </w:pPr>
      <w:r>
        <w:rPr>
          <w:sz w:val="28"/>
        </w:rPr>
        <w:t>This being the case, even if we assume that there is a custom or usage for keeping out women of the ages of 10 to 50 from entering the Sabarimal</w:t>
      </w:r>
      <w:r>
        <w:rPr>
          <w:sz w:val="28"/>
        </w:rPr>
        <w:t>a temple, and that this practice is an essential part of the Thanthris‘ as well as the worshippers‘ faith, this practice or usage is clearly hit by Section 3 of the Kerala Hindu Places of Public Worship (Authorisation of Entry) Act, 1965, which states as</w:t>
      </w:r>
      <w:r>
        <w:rPr>
          <w:spacing w:val="-12"/>
          <w:sz w:val="28"/>
        </w:rPr>
        <w:t xml:space="preserve"> </w:t>
      </w:r>
      <w:r>
        <w:rPr>
          <w:sz w:val="28"/>
        </w:rPr>
        <w:t>f</w:t>
      </w:r>
      <w:r>
        <w:rPr>
          <w:sz w:val="28"/>
        </w:rPr>
        <w:t>ollows:</w:t>
      </w:r>
    </w:p>
    <w:p w:rsidR="003B2FC0" w:rsidRDefault="00052A49">
      <w:pPr>
        <w:pStyle w:val="BodyText"/>
        <w:spacing w:before="200" w:line="276" w:lineRule="auto"/>
        <w:ind w:left="1518" w:right="1537"/>
        <w:jc w:val="both"/>
        <w:rPr>
          <w:rFonts w:ascii="Arial" w:hAnsi="Arial"/>
        </w:rPr>
      </w:pPr>
      <w:r>
        <w:rPr>
          <w:rFonts w:ascii="Arial" w:hAnsi="Arial"/>
          <w:w w:val="33"/>
        </w:rPr>
        <w:t>―</w:t>
      </w:r>
      <w:r>
        <w:rPr>
          <w:rFonts w:ascii="Arial" w:hAnsi="Arial"/>
          <w:b/>
          <w:spacing w:val="-1"/>
        </w:rPr>
        <w:t>3</w:t>
      </w:r>
      <w:r>
        <w:rPr>
          <w:rFonts w:ascii="Arial" w:hAnsi="Arial"/>
          <w:b/>
        </w:rPr>
        <w:t>.</w:t>
      </w:r>
      <w:r>
        <w:rPr>
          <w:rFonts w:ascii="Arial" w:hAnsi="Arial"/>
          <w:b/>
          <w:spacing w:val="9"/>
        </w:rPr>
        <w:t xml:space="preserve"> </w:t>
      </w:r>
      <w:r>
        <w:rPr>
          <w:rFonts w:ascii="Arial" w:hAnsi="Arial"/>
          <w:i/>
          <w:spacing w:val="-3"/>
        </w:rPr>
        <w:t>P</w:t>
      </w:r>
      <w:r>
        <w:rPr>
          <w:rFonts w:ascii="Arial" w:hAnsi="Arial"/>
          <w:i/>
        </w:rPr>
        <w:t>lac</w:t>
      </w:r>
      <w:r>
        <w:rPr>
          <w:rFonts w:ascii="Arial" w:hAnsi="Arial"/>
          <w:i/>
          <w:spacing w:val="-3"/>
        </w:rPr>
        <w:t>e</w:t>
      </w:r>
      <w:r>
        <w:rPr>
          <w:rFonts w:ascii="Arial" w:hAnsi="Arial"/>
          <w:i/>
        </w:rPr>
        <w:t>s</w:t>
      </w:r>
      <w:r>
        <w:rPr>
          <w:rFonts w:ascii="Arial" w:hAnsi="Arial"/>
          <w:i/>
          <w:spacing w:val="6"/>
        </w:rPr>
        <w:t xml:space="preserve"> </w:t>
      </w:r>
      <w:r>
        <w:rPr>
          <w:rFonts w:ascii="Arial" w:hAnsi="Arial"/>
          <w:i/>
        </w:rPr>
        <w:t>of</w:t>
      </w:r>
      <w:r>
        <w:rPr>
          <w:rFonts w:ascii="Arial" w:hAnsi="Arial"/>
          <w:i/>
          <w:spacing w:val="7"/>
        </w:rPr>
        <w:t xml:space="preserve"> </w:t>
      </w:r>
      <w:r>
        <w:rPr>
          <w:rFonts w:ascii="Arial" w:hAnsi="Arial"/>
          <w:i/>
        </w:rPr>
        <w:t>publ</w:t>
      </w:r>
      <w:r>
        <w:rPr>
          <w:rFonts w:ascii="Arial" w:hAnsi="Arial"/>
          <w:i/>
          <w:spacing w:val="-3"/>
        </w:rPr>
        <w:t>i</w:t>
      </w:r>
      <w:r>
        <w:rPr>
          <w:rFonts w:ascii="Arial" w:hAnsi="Arial"/>
          <w:i/>
        </w:rPr>
        <w:t>c</w:t>
      </w:r>
      <w:r>
        <w:rPr>
          <w:rFonts w:ascii="Arial" w:hAnsi="Arial"/>
          <w:i/>
          <w:spacing w:val="7"/>
        </w:rPr>
        <w:t xml:space="preserve"> </w:t>
      </w:r>
      <w:r>
        <w:rPr>
          <w:rFonts w:ascii="Arial" w:hAnsi="Arial"/>
          <w:i/>
          <w:spacing w:val="-2"/>
        </w:rPr>
        <w:t>w</w:t>
      </w:r>
      <w:r>
        <w:rPr>
          <w:rFonts w:ascii="Arial" w:hAnsi="Arial"/>
          <w:i/>
        </w:rPr>
        <w:t>orship</w:t>
      </w:r>
      <w:r>
        <w:rPr>
          <w:rFonts w:ascii="Arial" w:hAnsi="Arial"/>
          <w:i/>
          <w:spacing w:val="5"/>
        </w:rPr>
        <w:t xml:space="preserve"> </w:t>
      </w:r>
      <w:r>
        <w:rPr>
          <w:rFonts w:ascii="Arial" w:hAnsi="Arial"/>
          <w:i/>
        </w:rPr>
        <w:t>to</w:t>
      </w:r>
      <w:r>
        <w:rPr>
          <w:rFonts w:ascii="Arial" w:hAnsi="Arial"/>
          <w:i/>
          <w:spacing w:val="5"/>
        </w:rPr>
        <w:t xml:space="preserve"> </w:t>
      </w:r>
      <w:r>
        <w:rPr>
          <w:rFonts w:ascii="Arial" w:hAnsi="Arial"/>
          <w:i/>
        </w:rPr>
        <w:t>be</w:t>
      </w:r>
      <w:r>
        <w:rPr>
          <w:rFonts w:ascii="Arial" w:hAnsi="Arial"/>
          <w:i/>
          <w:spacing w:val="5"/>
        </w:rPr>
        <w:t xml:space="preserve"> </w:t>
      </w:r>
      <w:r>
        <w:rPr>
          <w:rFonts w:ascii="Arial" w:hAnsi="Arial"/>
          <w:i/>
        </w:rPr>
        <w:t>op</w:t>
      </w:r>
      <w:r>
        <w:rPr>
          <w:rFonts w:ascii="Arial" w:hAnsi="Arial"/>
          <w:i/>
          <w:spacing w:val="-3"/>
        </w:rPr>
        <w:t>e</w:t>
      </w:r>
      <w:r>
        <w:rPr>
          <w:rFonts w:ascii="Arial" w:hAnsi="Arial"/>
          <w:i/>
        </w:rPr>
        <w:t>n</w:t>
      </w:r>
      <w:r>
        <w:rPr>
          <w:rFonts w:ascii="Arial" w:hAnsi="Arial"/>
          <w:i/>
          <w:spacing w:val="8"/>
        </w:rPr>
        <w:t xml:space="preserve"> </w:t>
      </w:r>
      <w:r>
        <w:rPr>
          <w:rFonts w:ascii="Arial" w:hAnsi="Arial"/>
          <w:i/>
        </w:rPr>
        <w:t>to</w:t>
      </w:r>
      <w:r>
        <w:rPr>
          <w:rFonts w:ascii="Arial" w:hAnsi="Arial"/>
          <w:i/>
          <w:spacing w:val="5"/>
        </w:rPr>
        <w:t xml:space="preserve"> </w:t>
      </w:r>
      <w:r>
        <w:rPr>
          <w:rFonts w:ascii="Arial" w:hAnsi="Arial"/>
          <w:i/>
        </w:rPr>
        <w:t>all</w:t>
      </w:r>
      <w:r>
        <w:rPr>
          <w:rFonts w:ascii="Arial" w:hAnsi="Arial"/>
          <w:i/>
          <w:spacing w:val="5"/>
        </w:rPr>
        <w:t xml:space="preserve"> </w:t>
      </w:r>
      <w:r>
        <w:rPr>
          <w:rFonts w:ascii="Arial" w:hAnsi="Arial"/>
          <w:i/>
        </w:rPr>
        <w:t>s</w:t>
      </w:r>
      <w:r>
        <w:rPr>
          <w:rFonts w:ascii="Arial" w:hAnsi="Arial"/>
          <w:i/>
          <w:spacing w:val="-3"/>
        </w:rPr>
        <w:t>e</w:t>
      </w:r>
      <w:r>
        <w:rPr>
          <w:rFonts w:ascii="Arial" w:hAnsi="Arial"/>
          <w:i/>
        </w:rPr>
        <w:t>cti</w:t>
      </w:r>
      <w:r>
        <w:rPr>
          <w:rFonts w:ascii="Arial" w:hAnsi="Arial"/>
          <w:i/>
          <w:spacing w:val="-3"/>
        </w:rPr>
        <w:t>o</w:t>
      </w:r>
      <w:r>
        <w:rPr>
          <w:rFonts w:ascii="Arial" w:hAnsi="Arial"/>
          <w:i/>
        </w:rPr>
        <w:t xml:space="preserve">n </w:t>
      </w:r>
      <w:r>
        <w:rPr>
          <w:rFonts w:ascii="Arial" w:hAnsi="Arial"/>
          <w:i/>
        </w:rPr>
        <w:t>and classes of Hindus</w:t>
      </w:r>
      <w:r>
        <w:rPr>
          <w:rFonts w:ascii="Arial" w:hAnsi="Arial"/>
        </w:rPr>
        <w:t>:— Notwithstanding anything to the contrary contained in any other law for the time being in force or any custom or usage or any instrument having effect by virtue of any such law or any decree or order of court, every place of public worship which is open</w:t>
      </w:r>
      <w:r>
        <w:rPr>
          <w:rFonts w:ascii="Arial" w:hAnsi="Arial"/>
        </w:rPr>
        <w:t xml:space="preserve"> to Hindus generally or to any section or class thereof, shall be open to all sections and classes of Hindus; and no Hindu of whatsoever section or class shall, in any manner, be prevented, obstructed or discouraged from entering such place of public worsh</w:t>
      </w:r>
      <w:r>
        <w:rPr>
          <w:rFonts w:ascii="Arial" w:hAnsi="Arial"/>
        </w:rPr>
        <w:t>ip, or from worshipping or offering prayers thereat, or performing any religious service therein, in the like manner and to the like extent as any other Hindu of whatsoever section or class may enter, worship, pray or</w:t>
      </w:r>
      <w:r>
        <w:rPr>
          <w:rFonts w:ascii="Arial" w:hAnsi="Arial"/>
          <w:spacing w:val="-2"/>
        </w:rPr>
        <w:t xml:space="preserve"> </w:t>
      </w:r>
      <w:r>
        <w:rPr>
          <w:rFonts w:ascii="Arial" w:hAnsi="Arial"/>
        </w:rPr>
        <w:t>perform:</w:t>
      </w:r>
    </w:p>
    <w:p w:rsidR="003B2FC0" w:rsidRDefault="00052A49">
      <w:pPr>
        <w:pStyle w:val="BodyText"/>
        <w:spacing w:before="201" w:line="276" w:lineRule="auto"/>
        <w:ind w:left="1518" w:right="1542" w:firstLine="742"/>
        <w:jc w:val="both"/>
        <w:rPr>
          <w:rFonts w:ascii="Arial"/>
        </w:rPr>
      </w:pPr>
      <w:r>
        <w:rPr>
          <w:rFonts w:ascii="Arial"/>
        </w:rPr>
        <w:t xml:space="preserve">Provided that in the case of </w:t>
      </w:r>
      <w:r>
        <w:rPr>
          <w:rFonts w:ascii="Arial"/>
        </w:rPr>
        <w:t>a public of public worship which is a temple founded for the benefit of any religious denomination or section thereof, the provisions of this section, shall be subject to the right of that religious denomination or section as</w:t>
      </w:r>
      <w:r>
        <w:rPr>
          <w:rFonts w:ascii="Arial"/>
          <w:spacing w:val="14"/>
        </w:rPr>
        <w:t xml:space="preserve"> </w:t>
      </w:r>
      <w:r>
        <w:rPr>
          <w:rFonts w:ascii="Arial"/>
        </w:rPr>
        <w:t>the</w:t>
      </w:r>
    </w:p>
    <w:p w:rsidR="003B2FC0" w:rsidRDefault="003B2FC0">
      <w:pPr>
        <w:spacing w:line="276" w:lineRule="auto"/>
        <w:jc w:val="both"/>
        <w:sectPr w:rsidR="003B2FC0">
          <w:headerReference w:type="default" r:id="rId325"/>
          <w:footerReference w:type="default" r:id="rId326"/>
          <w:pgSz w:w="12240" w:h="15840"/>
          <w:pgMar w:top="1360" w:right="1320" w:bottom="1680" w:left="1340" w:header="0" w:footer="1492" w:gutter="0"/>
          <w:pgNumType w:start="71"/>
          <w:cols w:space="720"/>
        </w:sectPr>
      </w:pPr>
    </w:p>
    <w:p w:rsidR="003B2FC0" w:rsidRDefault="00052A49">
      <w:pPr>
        <w:pStyle w:val="BodyText"/>
        <w:spacing w:before="77" w:line="276" w:lineRule="auto"/>
        <w:ind w:left="1518" w:right="768"/>
        <w:rPr>
          <w:rFonts w:ascii="Arial" w:hAnsi="Arial"/>
        </w:rPr>
      </w:pPr>
      <w:r>
        <w:rPr>
          <w:rFonts w:ascii="Arial" w:hAnsi="Arial"/>
        </w:rPr>
        <w:t>case may be, to manage its own affairs in matters of religion.‖</w:t>
      </w:r>
    </w:p>
    <w:p w:rsidR="003B2FC0" w:rsidRDefault="003B2FC0">
      <w:pPr>
        <w:rPr>
          <w:sz w:val="30"/>
        </w:rPr>
      </w:pPr>
    </w:p>
    <w:p w:rsidR="003B2FC0" w:rsidRDefault="00052A49">
      <w:pPr>
        <w:pStyle w:val="BodyText"/>
        <w:spacing w:before="177" w:line="480" w:lineRule="auto"/>
        <w:ind w:left="383" w:right="402"/>
        <w:jc w:val="both"/>
        <w:rPr>
          <w:rFonts w:ascii="Arial"/>
        </w:rPr>
      </w:pPr>
      <w:r>
        <w:rPr>
          <w:rFonts w:ascii="Arial"/>
        </w:rPr>
        <w:t>Since the proviso to the Section is not attracted on the facts of this case, and since the said Act is clearly a measure enacted under Article 25(2)(b), any religious right claimed on the basis of custom and usage as an essential matter of religious practi</w:t>
      </w:r>
      <w:r>
        <w:rPr>
          <w:rFonts w:ascii="Arial"/>
        </w:rPr>
        <w:t>ce under Article 25(1), will be subject to the aforesaid law made under Article 25(2)(b). The said custom or usage must therefore, be held to be violative of Section 3 and hence, struck down.</w:t>
      </w:r>
    </w:p>
    <w:p w:rsidR="003B2FC0" w:rsidRDefault="003B2FC0">
      <w:pPr>
        <w:spacing w:before="11"/>
        <w:rPr>
          <w:sz w:val="27"/>
        </w:rPr>
      </w:pPr>
    </w:p>
    <w:p w:rsidR="003B2FC0" w:rsidRDefault="00052A49">
      <w:pPr>
        <w:pStyle w:val="ListParagraph"/>
        <w:numPr>
          <w:ilvl w:val="1"/>
          <w:numId w:val="50"/>
        </w:numPr>
        <w:tabs>
          <w:tab w:val="left" w:pos="1163"/>
        </w:tabs>
        <w:spacing w:line="480" w:lineRule="auto"/>
        <w:ind w:left="383" w:right="400" w:firstLine="0"/>
        <w:jc w:val="both"/>
        <w:rPr>
          <w:sz w:val="28"/>
        </w:rPr>
      </w:pPr>
      <w:r>
        <w:rPr>
          <w:sz w:val="28"/>
        </w:rPr>
        <w:t>Even otherwise, the fundamental right of women between the ages</w:t>
      </w:r>
      <w:r>
        <w:rPr>
          <w:sz w:val="28"/>
        </w:rPr>
        <w:t xml:space="preserve"> of 10 and 50 to enter the Sabarimala temple is undoubtedly recognized by Article 25(1). The fundamental right claimed by the Thanthris and worshippers of the institution, based on custom and usage under the selfsame Article 25(1), must necessarily yield t</w:t>
      </w:r>
      <w:r>
        <w:rPr>
          <w:sz w:val="28"/>
        </w:rPr>
        <w:t>o the fundamental</w:t>
      </w:r>
      <w:r>
        <w:rPr>
          <w:spacing w:val="36"/>
          <w:sz w:val="28"/>
        </w:rPr>
        <w:t xml:space="preserve"> </w:t>
      </w:r>
      <w:r>
        <w:rPr>
          <w:sz w:val="28"/>
        </w:rPr>
        <w:t>right</w:t>
      </w:r>
      <w:r>
        <w:rPr>
          <w:spacing w:val="33"/>
          <w:sz w:val="28"/>
        </w:rPr>
        <w:t xml:space="preserve"> </w:t>
      </w:r>
      <w:r>
        <w:rPr>
          <w:sz w:val="28"/>
        </w:rPr>
        <w:t>of</w:t>
      </w:r>
      <w:r>
        <w:rPr>
          <w:spacing w:val="35"/>
          <w:sz w:val="28"/>
        </w:rPr>
        <w:t xml:space="preserve"> </w:t>
      </w:r>
      <w:r>
        <w:rPr>
          <w:sz w:val="28"/>
        </w:rPr>
        <w:t>such</w:t>
      </w:r>
      <w:r>
        <w:rPr>
          <w:spacing w:val="36"/>
          <w:sz w:val="28"/>
        </w:rPr>
        <w:t xml:space="preserve"> </w:t>
      </w:r>
      <w:r>
        <w:rPr>
          <w:sz w:val="28"/>
        </w:rPr>
        <w:t>women,</w:t>
      </w:r>
      <w:r>
        <w:rPr>
          <w:spacing w:val="38"/>
          <w:sz w:val="28"/>
        </w:rPr>
        <w:t xml:space="preserve"> </w:t>
      </w:r>
      <w:r>
        <w:rPr>
          <w:sz w:val="28"/>
        </w:rPr>
        <w:t>as</w:t>
      </w:r>
      <w:r>
        <w:rPr>
          <w:spacing w:val="35"/>
          <w:sz w:val="28"/>
        </w:rPr>
        <w:t xml:space="preserve"> </w:t>
      </w:r>
      <w:r>
        <w:rPr>
          <w:sz w:val="28"/>
        </w:rPr>
        <w:t>they</w:t>
      </w:r>
      <w:r>
        <w:rPr>
          <w:spacing w:val="32"/>
          <w:sz w:val="28"/>
        </w:rPr>
        <w:t xml:space="preserve"> </w:t>
      </w:r>
      <w:r>
        <w:rPr>
          <w:sz w:val="28"/>
        </w:rPr>
        <w:t>are</w:t>
      </w:r>
      <w:r>
        <w:rPr>
          <w:spacing w:val="38"/>
          <w:sz w:val="28"/>
        </w:rPr>
        <w:t xml:space="preserve"> </w:t>
      </w:r>
      <w:r>
        <w:rPr>
          <w:sz w:val="28"/>
          <w:u w:val="thick"/>
        </w:rPr>
        <w:t>equally</w:t>
      </w:r>
      <w:r>
        <w:rPr>
          <w:spacing w:val="33"/>
          <w:sz w:val="28"/>
          <w:u w:val="thick"/>
        </w:rPr>
        <w:t xml:space="preserve"> </w:t>
      </w:r>
      <w:r>
        <w:rPr>
          <w:sz w:val="28"/>
          <w:u w:val="thick"/>
        </w:rPr>
        <w:t>entitled</w:t>
      </w:r>
      <w:r>
        <w:rPr>
          <w:spacing w:val="35"/>
          <w:sz w:val="28"/>
        </w:rPr>
        <w:t xml:space="preserve"> </w:t>
      </w:r>
      <w:r>
        <w:rPr>
          <w:sz w:val="28"/>
        </w:rPr>
        <w:t>to</w:t>
      </w:r>
      <w:r>
        <w:rPr>
          <w:spacing w:val="34"/>
          <w:sz w:val="28"/>
        </w:rPr>
        <w:t xml:space="preserve"> </w:t>
      </w:r>
      <w:r>
        <w:rPr>
          <w:sz w:val="28"/>
        </w:rPr>
        <w:t>the</w:t>
      </w:r>
    </w:p>
    <w:p w:rsidR="003B2FC0" w:rsidRDefault="00052A49">
      <w:pPr>
        <w:pStyle w:val="BodyText"/>
        <w:spacing w:before="1" w:line="480" w:lineRule="auto"/>
        <w:ind w:left="383" w:right="402"/>
        <w:jc w:val="both"/>
        <w:rPr>
          <w:rFonts w:ascii="Arial"/>
        </w:rPr>
      </w:pPr>
      <w:r>
        <w:rPr>
          <w:rFonts w:ascii="Arial"/>
        </w:rPr>
        <w:t>right to practice religion, which would be meaningless unless  they were allowed to enter the temple at Sabarimala to worship the idol of Lord Ayyappa. The argument that all women a</w:t>
      </w:r>
      <w:r>
        <w:rPr>
          <w:rFonts w:ascii="Arial"/>
        </w:rPr>
        <w:t>re not prohibited from entering</w:t>
      </w:r>
      <w:r>
        <w:rPr>
          <w:rFonts w:ascii="Arial"/>
          <w:spacing w:val="41"/>
        </w:rPr>
        <w:t xml:space="preserve"> </w:t>
      </w:r>
      <w:r>
        <w:rPr>
          <w:rFonts w:ascii="Arial"/>
        </w:rPr>
        <w:t>the</w:t>
      </w:r>
      <w:r>
        <w:rPr>
          <w:rFonts w:ascii="Arial"/>
          <w:spacing w:val="41"/>
        </w:rPr>
        <w:t xml:space="preserve"> </w:t>
      </w:r>
      <w:r>
        <w:rPr>
          <w:rFonts w:ascii="Arial"/>
        </w:rPr>
        <w:t>temple</w:t>
      </w:r>
      <w:r>
        <w:rPr>
          <w:rFonts w:ascii="Arial"/>
          <w:spacing w:val="43"/>
        </w:rPr>
        <w:t xml:space="preserve"> </w:t>
      </w:r>
      <w:r>
        <w:rPr>
          <w:rFonts w:ascii="Arial"/>
        </w:rPr>
        <w:t>can</w:t>
      </w:r>
      <w:r>
        <w:rPr>
          <w:rFonts w:ascii="Arial"/>
          <w:spacing w:val="44"/>
        </w:rPr>
        <w:t xml:space="preserve"> </w:t>
      </w:r>
      <w:r>
        <w:rPr>
          <w:rFonts w:ascii="Arial"/>
        </w:rPr>
        <w:t>be</w:t>
      </w:r>
      <w:r>
        <w:rPr>
          <w:rFonts w:ascii="Arial"/>
          <w:spacing w:val="43"/>
        </w:rPr>
        <w:t xml:space="preserve"> </w:t>
      </w:r>
      <w:r>
        <w:rPr>
          <w:rFonts w:ascii="Arial"/>
        </w:rPr>
        <w:t>of</w:t>
      </w:r>
      <w:r>
        <w:rPr>
          <w:rFonts w:ascii="Arial"/>
          <w:spacing w:val="45"/>
        </w:rPr>
        <w:t xml:space="preserve"> </w:t>
      </w:r>
      <w:r>
        <w:rPr>
          <w:rFonts w:ascii="Arial"/>
        </w:rPr>
        <w:t>no</w:t>
      </w:r>
      <w:r>
        <w:rPr>
          <w:rFonts w:ascii="Arial"/>
          <w:spacing w:val="43"/>
        </w:rPr>
        <w:t xml:space="preserve"> </w:t>
      </w:r>
      <w:r>
        <w:rPr>
          <w:rFonts w:ascii="Arial"/>
        </w:rPr>
        <w:t>avail,</w:t>
      </w:r>
      <w:r>
        <w:rPr>
          <w:rFonts w:ascii="Arial"/>
          <w:spacing w:val="45"/>
        </w:rPr>
        <w:t xml:space="preserve"> </w:t>
      </w:r>
      <w:r>
        <w:rPr>
          <w:rFonts w:ascii="Arial"/>
        </w:rPr>
        <w:t>as</w:t>
      </w:r>
      <w:r>
        <w:rPr>
          <w:rFonts w:ascii="Arial"/>
          <w:spacing w:val="44"/>
        </w:rPr>
        <w:t xml:space="preserve"> </w:t>
      </w:r>
      <w:r>
        <w:rPr>
          <w:rFonts w:ascii="Arial"/>
        </w:rPr>
        <w:t>women</w:t>
      </w:r>
      <w:r>
        <w:rPr>
          <w:rFonts w:ascii="Arial"/>
          <w:spacing w:val="44"/>
        </w:rPr>
        <w:t xml:space="preserve"> </w:t>
      </w:r>
      <w:r>
        <w:rPr>
          <w:rFonts w:ascii="Arial"/>
        </w:rPr>
        <w:t>between</w:t>
      </w:r>
      <w:r>
        <w:rPr>
          <w:rFonts w:ascii="Arial"/>
          <w:spacing w:val="43"/>
        </w:rPr>
        <w:t xml:space="preserve"> </w:t>
      </w:r>
      <w:r>
        <w:rPr>
          <w:rFonts w:ascii="Arial"/>
        </w:rPr>
        <w:t>the</w:t>
      </w:r>
      <w:r>
        <w:rPr>
          <w:rFonts w:ascii="Arial"/>
          <w:spacing w:val="44"/>
        </w:rPr>
        <w:t xml:space="preserve"> </w:t>
      </w:r>
      <w:r>
        <w:rPr>
          <w:rFonts w:ascii="Arial"/>
        </w:rPr>
        <w:t>age</w:t>
      </w:r>
    </w:p>
    <w:p w:rsidR="003B2FC0" w:rsidRDefault="003B2FC0">
      <w:pPr>
        <w:spacing w:line="480" w:lineRule="auto"/>
        <w:jc w:val="both"/>
        <w:sectPr w:rsidR="003B2FC0">
          <w:headerReference w:type="default" r:id="rId327"/>
          <w:footerReference w:type="default" r:id="rId328"/>
          <w:pgSz w:w="12240" w:h="15840"/>
          <w:pgMar w:top="1360" w:right="1320" w:bottom="1680" w:left="1340" w:header="0" w:footer="1492" w:gutter="0"/>
          <w:pgNumType w:start="72"/>
          <w:cols w:space="720"/>
        </w:sectPr>
      </w:pPr>
    </w:p>
    <w:p w:rsidR="003B2FC0" w:rsidRDefault="00052A49">
      <w:pPr>
        <w:pStyle w:val="BodyText"/>
        <w:spacing w:before="77" w:line="480" w:lineRule="auto"/>
        <w:ind w:left="383" w:right="401"/>
        <w:jc w:val="both"/>
        <w:rPr>
          <w:rFonts w:ascii="Arial"/>
        </w:rPr>
      </w:pPr>
      <w:r>
        <w:rPr>
          <w:rFonts w:ascii="Arial"/>
        </w:rPr>
        <w:t>group of 10 to 50 are excluded completely. Also, the argument that such women can worship at the other Ayyappa temples is no answer to the denial of their fundamental right to practice religion as they see it, which includes their right to worship at any t</w:t>
      </w:r>
      <w:r>
        <w:rPr>
          <w:rFonts w:ascii="Arial"/>
        </w:rPr>
        <w:t>emple of their choice. On this ground also, the right to practice religion, as claimed by the Thanthris and worshippers, must be balanced with and must yield to the fundamental right of women between the ages of 10 and 50, who are completely barred from en</w:t>
      </w:r>
      <w:r>
        <w:rPr>
          <w:rFonts w:ascii="Arial"/>
        </w:rPr>
        <w:t>tering the temple at Sabarimala, based on the biological ground of</w:t>
      </w:r>
      <w:r>
        <w:rPr>
          <w:rFonts w:ascii="Arial"/>
          <w:spacing w:val="1"/>
        </w:rPr>
        <w:t xml:space="preserve"> </w:t>
      </w:r>
      <w:r>
        <w:rPr>
          <w:rFonts w:ascii="Arial"/>
        </w:rPr>
        <w:t>menstruation.</w:t>
      </w:r>
    </w:p>
    <w:p w:rsidR="003B2FC0" w:rsidRDefault="003B2FC0">
      <w:pPr>
        <w:rPr>
          <w:sz w:val="28"/>
        </w:rPr>
      </w:pPr>
    </w:p>
    <w:p w:rsidR="003B2FC0" w:rsidRDefault="00052A49">
      <w:pPr>
        <w:pStyle w:val="BodyText"/>
        <w:spacing w:line="480" w:lineRule="auto"/>
        <w:ind w:left="383" w:right="408"/>
        <w:jc w:val="both"/>
        <w:rPr>
          <w:rFonts w:ascii="Arial"/>
        </w:rPr>
      </w:pPr>
      <w:r>
        <w:rPr>
          <w:rFonts w:ascii="Arial"/>
        </w:rPr>
        <w:t>Rule 3(b) of the Kerala Hindu Places of Public Worship (Authorisation of Entry) Rules, 1965 states as follows:</w:t>
      </w:r>
    </w:p>
    <w:p w:rsidR="003B2FC0" w:rsidRDefault="00052A49">
      <w:pPr>
        <w:pStyle w:val="BodyText"/>
        <w:spacing w:before="2"/>
        <w:ind w:left="1518" w:right="1540"/>
        <w:jc w:val="both"/>
        <w:rPr>
          <w:rFonts w:ascii="Arial" w:hAnsi="Arial"/>
        </w:rPr>
      </w:pPr>
      <w:r>
        <w:rPr>
          <w:rFonts w:ascii="Arial" w:hAnsi="Arial"/>
          <w:w w:val="33"/>
        </w:rPr>
        <w:t>―</w:t>
      </w:r>
      <w:r>
        <w:rPr>
          <w:rFonts w:ascii="Arial" w:hAnsi="Arial"/>
          <w:b/>
          <w:spacing w:val="-1"/>
        </w:rPr>
        <w:t>3</w:t>
      </w:r>
      <w:r>
        <w:rPr>
          <w:rFonts w:ascii="Arial" w:hAnsi="Arial"/>
          <w:b/>
        </w:rPr>
        <w:t>.</w:t>
      </w:r>
      <w:r>
        <w:rPr>
          <w:rFonts w:ascii="Arial" w:hAnsi="Arial"/>
          <w:b/>
        </w:rPr>
        <w:t xml:space="preserve"> </w:t>
      </w:r>
      <w:r>
        <w:rPr>
          <w:rFonts w:ascii="Arial" w:hAnsi="Arial"/>
          <w:b/>
          <w:spacing w:val="-18"/>
        </w:rPr>
        <w:t xml:space="preserve"> </w:t>
      </w:r>
      <w:r>
        <w:rPr>
          <w:rFonts w:ascii="Arial" w:hAnsi="Arial"/>
          <w:spacing w:val="-2"/>
        </w:rPr>
        <w:t>T</w:t>
      </w:r>
      <w:r>
        <w:rPr>
          <w:rFonts w:ascii="Arial" w:hAnsi="Arial"/>
        </w:rPr>
        <w:t>he</w:t>
      </w:r>
      <w:r>
        <w:rPr>
          <w:rFonts w:ascii="Arial" w:hAnsi="Arial"/>
        </w:rPr>
        <w:t xml:space="preserve"> </w:t>
      </w:r>
      <w:r>
        <w:rPr>
          <w:rFonts w:ascii="Arial" w:hAnsi="Arial"/>
          <w:spacing w:val="-20"/>
        </w:rPr>
        <w:t xml:space="preserve"> </w:t>
      </w:r>
      <w:r>
        <w:rPr>
          <w:rFonts w:ascii="Arial" w:hAnsi="Arial"/>
        </w:rPr>
        <w:t>cl</w:t>
      </w:r>
      <w:r>
        <w:rPr>
          <w:rFonts w:ascii="Arial" w:hAnsi="Arial"/>
          <w:spacing w:val="-3"/>
        </w:rPr>
        <w:t>a</w:t>
      </w:r>
      <w:r>
        <w:rPr>
          <w:rFonts w:ascii="Arial" w:hAnsi="Arial"/>
        </w:rPr>
        <w:t>ss</w:t>
      </w:r>
      <w:r>
        <w:rPr>
          <w:rFonts w:ascii="Arial" w:hAnsi="Arial"/>
          <w:spacing w:val="-3"/>
        </w:rPr>
        <w:t>e</w:t>
      </w:r>
      <w:r>
        <w:rPr>
          <w:rFonts w:ascii="Arial" w:hAnsi="Arial"/>
        </w:rPr>
        <w:t>s</w:t>
      </w:r>
      <w:r>
        <w:rPr>
          <w:rFonts w:ascii="Arial" w:hAnsi="Arial"/>
        </w:rPr>
        <w:t xml:space="preserve"> </w:t>
      </w:r>
      <w:r>
        <w:rPr>
          <w:rFonts w:ascii="Arial" w:hAnsi="Arial"/>
          <w:spacing w:val="-19"/>
        </w:rPr>
        <w:t xml:space="preserve"> </w:t>
      </w:r>
      <w:r>
        <w:rPr>
          <w:rFonts w:ascii="Arial" w:hAnsi="Arial"/>
        </w:rPr>
        <w:t>of</w:t>
      </w:r>
      <w:r>
        <w:rPr>
          <w:rFonts w:ascii="Arial" w:hAnsi="Arial"/>
        </w:rPr>
        <w:t xml:space="preserve"> </w:t>
      </w:r>
      <w:r>
        <w:rPr>
          <w:rFonts w:ascii="Arial" w:hAnsi="Arial"/>
          <w:spacing w:val="-21"/>
        </w:rPr>
        <w:t xml:space="preserve"> </w:t>
      </w:r>
      <w:r>
        <w:rPr>
          <w:rFonts w:ascii="Arial" w:hAnsi="Arial"/>
        </w:rPr>
        <w:t>perso</w:t>
      </w:r>
      <w:r>
        <w:rPr>
          <w:rFonts w:ascii="Arial" w:hAnsi="Arial"/>
          <w:spacing w:val="-3"/>
        </w:rPr>
        <w:t>n</w:t>
      </w:r>
      <w:r>
        <w:rPr>
          <w:rFonts w:ascii="Arial" w:hAnsi="Arial"/>
        </w:rPr>
        <w:t>s</w:t>
      </w:r>
      <w:r>
        <w:rPr>
          <w:rFonts w:ascii="Arial" w:hAnsi="Arial"/>
        </w:rPr>
        <w:t xml:space="preserve"> </w:t>
      </w:r>
      <w:r>
        <w:rPr>
          <w:rFonts w:ascii="Arial" w:hAnsi="Arial"/>
          <w:spacing w:val="-19"/>
        </w:rPr>
        <w:t xml:space="preserve"> </w:t>
      </w:r>
      <w:r>
        <w:rPr>
          <w:rFonts w:ascii="Arial" w:hAnsi="Arial"/>
          <w:spacing w:val="-2"/>
        </w:rPr>
        <w:t>m</w:t>
      </w:r>
      <w:r>
        <w:rPr>
          <w:rFonts w:ascii="Arial" w:hAnsi="Arial"/>
        </w:rPr>
        <w:t>ention</w:t>
      </w:r>
      <w:r>
        <w:rPr>
          <w:rFonts w:ascii="Arial" w:hAnsi="Arial"/>
          <w:spacing w:val="-3"/>
        </w:rPr>
        <w:t>e</w:t>
      </w:r>
      <w:r>
        <w:rPr>
          <w:rFonts w:ascii="Arial" w:hAnsi="Arial"/>
        </w:rPr>
        <w:t>d</w:t>
      </w:r>
      <w:r>
        <w:rPr>
          <w:rFonts w:ascii="Arial" w:hAnsi="Arial"/>
        </w:rPr>
        <w:t xml:space="preserve"> </w:t>
      </w:r>
      <w:r>
        <w:rPr>
          <w:rFonts w:ascii="Arial" w:hAnsi="Arial"/>
          <w:spacing w:val="-20"/>
        </w:rPr>
        <w:t xml:space="preserve"> </w:t>
      </w:r>
      <w:r>
        <w:rPr>
          <w:rFonts w:ascii="Arial" w:hAnsi="Arial"/>
        </w:rPr>
        <w:t>here</w:t>
      </w:r>
      <w:r>
        <w:rPr>
          <w:rFonts w:ascii="Arial" w:hAnsi="Arial"/>
        </w:rPr>
        <w:t xml:space="preserve"> </w:t>
      </w:r>
      <w:r>
        <w:rPr>
          <w:rFonts w:ascii="Arial" w:hAnsi="Arial"/>
          <w:spacing w:val="-20"/>
        </w:rPr>
        <w:t xml:space="preserve"> </w:t>
      </w:r>
      <w:r>
        <w:rPr>
          <w:rFonts w:ascii="Arial" w:hAnsi="Arial"/>
        </w:rPr>
        <w:t>und</w:t>
      </w:r>
      <w:r>
        <w:rPr>
          <w:rFonts w:ascii="Arial" w:hAnsi="Arial"/>
          <w:spacing w:val="-3"/>
        </w:rPr>
        <w:t>e</w:t>
      </w:r>
      <w:r>
        <w:rPr>
          <w:rFonts w:ascii="Arial" w:hAnsi="Arial"/>
        </w:rPr>
        <w:t xml:space="preserve">r </w:t>
      </w:r>
      <w:r>
        <w:rPr>
          <w:rFonts w:ascii="Arial" w:hAnsi="Arial"/>
        </w:rPr>
        <w:t>shall not be entitled to offer worship in any place of public worship or bath in or use of water of any sacred tank, well, spring or water course appurtenant to a place of public worship whether situate within or outside precincts thereof, or any sacred pl</w:t>
      </w:r>
      <w:r>
        <w:rPr>
          <w:rFonts w:ascii="Arial" w:hAnsi="Arial"/>
        </w:rPr>
        <w:t>ace including a hill or hill lock, or a road, street or pathways which is requisite for obtaining access to place of public</w:t>
      </w:r>
      <w:r>
        <w:rPr>
          <w:rFonts w:ascii="Arial" w:hAnsi="Arial"/>
          <w:spacing w:val="-6"/>
        </w:rPr>
        <w:t xml:space="preserve"> </w:t>
      </w:r>
      <w:r>
        <w:rPr>
          <w:rFonts w:ascii="Arial" w:hAnsi="Arial"/>
        </w:rPr>
        <w:t>worship:</w:t>
      </w:r>
    </w:p>
    <w:p w:rsidR="003B2FC0" w:rsidRDefault="00052A49">
      <w:pPr>
        <w:pStyle w:val="BodyText"/>
        <w:spacing w:before="199"/>
        <w:ind w:left="1518"/>
        <w:rPr>
          <w:rFonts w:ascii="Arial"/>
        </w:rPr>
      </w:pPr>
      <w:r>
        <w:rPr>
          <w:rFonts w:ascii="Arial"/>
        </w:rPr>
        <w:t>xxx xxx xxx</w:t>
      </w:r>
    </w:p>
    <w:p w:rsidR="003B2FC0" w:rsidRDefault="00052A49">
      <w:pPr>
        <w:pStyle w:val="BodyText"/>
        <w:spacing w:before="201"/>
        <w:ind w:left="1518" w:right="1541"/>
        <w:jc w:val="both"/>
        <w:rPr>
          <w:rFonts w:ascii="Arial"/>
        </w:rPr>
      </w:pPr>
      <w:r>
        <w:rPr>
          <w:rFonts w:ascii="Arial"/>
        </w:rPr>
        <w:t>(b)Women at such time during which they are not by custom and usage allowed to enter a place of public worship.</w:t>
      </w:r>
    </w:p>
    <w:p w:rsidR="003B2FC0" w:rsidRDefault="00052A49">
      <w:pPr>
        <w:pStyle w:val="BodyText"/>
        <w:spacing w:before="200"/>
        <w:ind w:left="1518"/>
        <w:jc w:val="both"/>
        <w:rPr>
          <w:rFonts w:ascii="Arial" w:hAnsi="Arial"/>
        </w:rPr>
      </w:pPr>
      <w:r>
        <w:rPr>
          <w:rFonts w:ascii="Arial" w:hAnsi="Arial"/>
        </w:rPr>
        <w:t>xxx xxx xxx‖</w:t>
      </w:r>
    </w:p>
    <w:p w:rsidR="003B2FC0" w:rsidRDefault="003B2FC0">
      <w:pPr>
        <w:jc w:val="both"/>
        <w:sectPr w:rsidR="003B2FC0">
          <w:headerReference w:type="default" r:id="rId329"/>
          <w:footerReference w:type="default" r:id="rId330"/>
          <w:pgSz w:w="12240" w:h="15840"/>
          <w:pgMar w:top="1360" w:right="1320" w:bottom="1680" w:left="1340" w:header="0" w:footer="1492" w:gutter="0"/>
          <w:pgNumType w:start="73"/>
          <w:cols w:space="720"/>
        </w:sectPr>
      </w:pPr>
    </w:p>
    <w:p w:rsidR="003B2FC0" w:rsidRDefault="003B2FC0">
      <w:pPr>
        <w:rPr>
          <w:sz w:val="20"/>
        </w:rPr>
      </w:pPr>
    </w:p>
    <w:p w:rsidR="003B2FC0" w:rsidRDefault="00052A49">
      <w:pPr>
        <w:pStyle w:val="BodyText"/>
        <w:spacing w:before="227" w:line="480" w:lineRule="auto"/>
        <w:ind w:left="383" w:right="402"/>
        <w:jc w:val="both"/>
        <w:rPr>
          <w:rFonts w:ascii="Arial"/>
        </w:rPr>
      </w:pPr>
      <w:r>
        <w:rPr>
          <w:rFonts w:ascii="Arial"/>
        </w:rPr>
        <w:t xml:space="preserve">The abovementioned Rule is </w:t>
      </w:r>
      <w:r>
        <w:rPr>
          <w:rFonts w:ascii="Arial"/>
          <w:i/>
        </w:rPr>
        <w:t xml:space="preserve">ultra vires </w:t>
      </w:r>
      <w:r>
        <w:rPr>
          <w:rFonts w:ascii="Arial"/>
        </w:rPr>
        <w:t>of Section 3 of the Kerala Hindu Places of Public Worship (Authorisation of Entry) Act, 1965, and is hit by Article 25(1) and by Article 15(1) of the Constitution of India as this Rule discriminates against women on the basis of their sex only.</w:t>
      </w:r>
    </w:p>
    <w:p w:rsidR="003B2FC0" w:rsidRDefault="003B2FC0">
      <w:pPr>
        <w:spacing w:before="2"/>
        <w:rPr>
          <w:sz w:val="28"/>
        </w:rPr>
      </w:pPr>
    </w:p>
    <w:p w:rsidR="003B2FC0" w:rsidRDefault="00052A49">
      <w:pPr>
        <w:pStyle w:val="ListParagraph"/>
        <w:numPr>
          <w:ilvl w:val="1"/>
          <w:numId w:val="50"/>
        </w:numPr>
        <w:tabs>
          <w:tab w:val="left" w:pos="1234"/>
        </w:tabs>
        <w:spacing w:before="1" w:line="480" w:lineRule="auto"/>
        <w:ind w:left="383" w:right="408" w:firstLine="0"/>
        <w:jc w:val="both"/>
        <w:rPr>
          <w:sz w:val="28"/>
        </w:rPr>
      </w:pPr>
      <w:r>
        <w:rPr>
          <w:sz w:val="28"/>
        </w:rPr>
        <w:t>The learned counsel appearing on behalf of the Respondents stated that the present writ petition, which is in the nature of a PIL, is not maintainable inasmuch as no woman worshipper has come forward with a plea that she has been discriminated against by n</w:t>
      </w:r>
      <w:r>
        <w:rPr>
          <w:sz w:val="28"/>
        </w:rPr>
        <w:t>ot allowing</w:t>
      </w:r>
      <w:r>
        <w:rPr>
          <w:spacing w:val="22"/>
          <w:sz w:val="28"/>
        </w:rPr>
        <w:t xml:space="preserve"> </w:t>
      </w:r>
      <w:r>
        <w:rPr>
          <w:sz w:val="28"/>
        </w:rPr>
        <w:t>her</w:t>
      </w:r>
      <w:r>
        <w:rPr>
          <w:spacing w:val="22"/>
          <w:sz w:val="28"/>
        </w:rPr>
        <w:t xml:space="preserve"> </w:t>
      </w:r>
      <w:r>
        <w:rPr>
          <w:sz w:val="28"/>
        </w:rPr>
        <w:t>entry</w:t>
      </w:r>
      <w:r>
        <w:rPr>
          <w:spacing w:val="22"/>
          <w:sz w:val="28"/>
        </w:rPr>
        <w:t xml:space="preserve"> </w:t>
      </w:r>
      <w:r>
        <w:rPr>
          <w:sz w:val="28"/>
        </w:rPr>
        <w:t>into</w:t>
      </w:r>
      <w:r>
        <w:rPr>
          <w:spacing w:val="22"/>
          <w:sz w:val="28"/>
        </w:rPr>
        <w:t xml:space="preserve"> </w:t>
      </w:r>
      <w:r>
        <w:rPr>
          <w:sz w:val="28"/>
        </w:rPr>
        <w:t>the</w:t>
      </w:r>
      <w:r>
        <w:rPr>
          <w:spacing w:val="22"/>
          <w:sz w:val="28"/>
        </w:rPr>
        <w:t xml:space="preserve"> </w:t>
      </w:r>
      <w:r>
        <w:rPr>
          <w:sz w:val="28"/>
        </w:rPr>
        <w:t>temple</w:t>
      </w:r>
      <w:r>
        <w:rPr>
          <w:spacing w:val="23"/>
          <w:sz w:val="28"/>
        </w:rPr>
        <w:t xml:space="preserve"> </w:t>
      </w:r>
      <w:r>
        <w:rPr>
          <w:sz w:val="28"/>
        </w:rPr>
        <w:t>as</w:t>
      </w:r>
      <w:r>
        <w:rPr>
          <w:spacing w:val="21"/>
          <w:sz w:val="28"/>
        </w:rPr>
        <w:t xml:space="preserve"> </w:t>
      </w:r>
      <w:r>
        <w:rPr>
          <w:sz w:val="28"/>
        </w:rPr>
        <w:t>she</w:t>
      </w:r>
      <w:r>
        <w:rPr>
          <w:spacing w:val="23"/>
          <w:sz w:val="28"/>
        </w:rPr>
        <w:t xml:space="preserve"> </w:t>
      </w:r>
      <w:r>
        <w:rPr>
          <w:sz w:val="28"/>
        </w:rPr>
        <w:t>is</w:t>
      </w:r>
      <w:r>
        <w:rPr>
          <w:spacing w:val="23"/>
          <w:sz w:val="28"/>
        </w:rPr>
        <w:t xml:space="preserve"> </w:t>
      </w:r>
      <w:r>
        <w:rPr>
          <w:sz w:val="28"/>
        </w:rPr>
        <w:t>between</w:t>
      </w:r>
      <w:r>
        <w:rPr>
          <w:spacing w:val="22"/>
          <w:sz w:val="28"/>
        </w:rPr>
        <w:t xml:space="preserve"> </w:t>
      </w:r>
      <w:r>
        <w:rPr>
          <w:sz w:val="28"/>
        </w:rPr>
        <w:t>the</w:t>
      </w:r>
      <w:r>
        <w:rPr>
          <w:spacing w:val="23"/>
          <w:sz w:val="28"/>
        </w:rPr>
        <w:t xml:space="preserve"> </w:t>
      </w:r>
      <w:r>
        <w:rPr>
          <w:sz w:val="28"/>
        </w:rPr>
        <w:t>age</w:t>
      </w:r>
      <w:r>
        <w:rPr>
          <w:spacing w:val="22"/>
          <w:sz w:val="28"/>
        </w:rPr>
        <w:t xml:space="preserve"> </w:t>
      </w:r>
      <w:r>
        <w:rPr>
          <w:sz w:val="28"/>
        </w:rPr>
        <w:t>of</w:t>
      </w:r>
      <w:r>
        <w:rPr>
          <w:spacing w:val="24"/>
          <w:sz w:val="28"/>
        </w:rPr>
        <w:t xml:space="preserve"> </w:t>
      </w:r>
      <w:r>
        <w:rPr>
          <w:sz w:val="28"/>
        </w:rPr>
        <w:t>10</w:t>
      </w:r>
      <w:r>
        <w:rPr>
          <w:spacing w:val="22"/>
          <w:sz w:val="28"/>
        </w:rPr>
        <w:t xml:space="preserve"> </w:t>
      </w:r>
      <w:r>
        <w:rPr>
          <w:sz w:val="28"/>
        </w:rPr>
        <w:t>to</w:t>
      </w:r>
    </w:p>
    <w:p w:rsidR="003B2FC0" w:rsidRDefault="00052A49">
      <w:pPr>
        <w:spacing w:line="482" w:lineRule="auto"/>
        <w:ind w:left="383" w:right="409"/>
        <w:jc w:val="both"/>
        <w:rPr>
          <w:sz w:val="28"/>
        </w:rPr>
      </w:pPr>
      <w:r>
        <w:rPr>
          <w:sz w:val="28"/>
        </w:rPr>
        <w:t xml:space="preserve">50. A similar argument was raised in </w:t>
      </w:r>
      <w:r>
        <w:rPr>
          <w:b/>
          <w:sz w:val="28"/>
        </w:rPr>
        <w:t xml:space="preserve">Adi Saiva Sivachariyargal Nala Sangam </w:t>
      </w:r>
      <w:r>
        <w:rPr>
          <w:sz w:val="28"/>
        </w:rPr>
        <w:t>(supra) which was repelled in the following terms:</w:t>
      </w:r>
    </w:p>
    <w:p w:rsidR="003B2FC0" w:rsidRDefault="00052A49">
      <w:pPr>
        <w:pStyle w:val="BodyText"/>
        <w:spacing w:before="192"/>
        <w:ind w:left="1518" w:right="1536"/>
        <w:jc w:val="both"/>
        <w:rPr>
          <w:rFonts w:ascii="Arial" w:hAnsi="Arial"/>
        </w:rPr>
      </w:pPr>
      <w:r>
        <w:rPr>
          <w:rFonts w:ascii="Arial" w:hAnsi="Arial"/>
          <w:w w:val="33"/>
        </w:rPr>
        <w:t>―</w:t>
      </w:r>
      <w:r>
        <w:rPr>
          <w:rFonts w:ascii="Arial" w:hAnsi="Arial"/>
          <w:b/>
          <w:spacing w:val="-1"/>
        </w:rPr>
        <w:t>12</w:t>
      </w:r>
      <w:r>
        <w:rPr>
          <w:rFonts w:ascii="Arial" w:hAnsi="Arial"/>
          <w:b/>
        </w:rPr>
        <w:t>.</w:t>
      </w:r>
      <w:r>
        <w:rPr>
          <w:rFonts w:ascii="Arial" w:hAnsi="Arial"/>
          <w:b/>
        </w:rPr>
        <w:t xml:space="preserve"> </w:t>
      </w:r>
      <w:r>
        <w:rPr>
          <w:rFonts w:ascii="Arial" w:hAnsi="Arial"/>
        </w:rPr>
        <w:t>…</w:t>
      </w:r>
      <w:r>
        <w:rPr>
          <w:rFonts w:ascii="Arial" w:hAnsi="Arial"/>
          <w:spacing w:val="-3"/>
        </w:rPr>
        <w:t>…</w:t>
      </w:r>
      <w:r>
        <w:rPr>
          <w:rFonts w:ascii="Arial" w:hAnsi="Arial"/>
        </w:rPr>
        <w:t>…</w:t>
      </w:r>
      <w:r>
        <w:rPr>
          <w:rFonts w:ascii="Arial" w:hAnsi="Arial"/>
        </w:rPr>
        <w:t xml:space="preserve">  </w:t>
      </w:r>
      <w:r>
        <w:rPr>
          <w:rFonts w:ascii="Arial" w:hAnsi="Arial"/>
          <w:spacing w:val="-30"/>
        </w:rPr>
        <w:t xml:space="preserve"> </w:t>
      </w:r>
      <w:r>
        <w:rPr>
          <w:rFonts w:ascii="Arial" w:hAnsi="Arial"/>
          <w:spacing w:val="-2"/>
        </w:rPr>
        <w:t>T</w:t>
      </w:r>
      <w:r>
        <w:rPr>
          <w:rFonts w:ascii="Arial" w:hAnsi="Arial"/>
          <w:spacing w:val="-1"/>
        </w:rPr>
        <w:t>h</w:t>
      </w:r>
      <w:r>
        <w:rPr>
          <w:rFonts w:ascii="Arial" w:hAnsi="Arial"/>
        </w:rPr>
        <w:t>e</w:t>
      </w:r>
      <w:r>
        <w:rPr>
          <w:rFonts w:ascii="Arial" w:hAnsi="Arial"/>
        </w:rPr>
        <w:t xml:space="preserve">  </w:t>
      </w:r>
      <w:r>
        <w:rPr>
          <w:rFonts w:ascii="Arial" w:hAnsi="Arial"/>
          <w:spacing w:val="-30"/>
        </w:rPr>
        <w:t xml:space="preserve"> </w:t>
      </w:r>
      <w:r>
        <w:rPr>
          <w:rFonts w:ascii="Arial" w:hAnsi="Arial"/>
          <w:spacing w:val="-1"/>
        </w:rPr>
        <w:t>argu</w:t>
      </w:r>
      <w:r>
        <w:rPr>
          <w:rFonts w:ascii="Arial" w:hAnsi="Arial"/>
          <w:spacing w:val="-2"/>
        </w:rPr>
        <w:t>m</w:t>
      </w:r>
      <w:r>
        <w:rPr>
          <w:rFonts w:ascii="Arial" w:hAnsi="Arial"/>
          <w:spacing w:val="-1"/>
        </w:rPr>
        <w:t>en</w:t>
      </w:r>
      <w:r>
        <w:rPr>
          <w:rFonts w:ascii="Arial" w:hAnsi="Arial"/>
        </w:rPr>
        <w:t>t</w:t>
      </w:r>
      <w:r>
        <w:rPr>
          <w:rFonts w:ascii="Arial" w:hAnsi="Arial"/>
        </w:rPr>
        <w:t xml:space="preserve">  </w:t>
      </w:r>
      <w:r>
        <w:rPr>
          <w:rFonts w:ascii="Arial" w:hAnsi="Arial"/>
          <w:spacing w:val="-30"/>
        </w:rPr>
        <w:t xml:space="preserve"> </w:t>
      </w:r>
      <w:r>
        <w:rPr>
          <w:rFonts w:ascii="Arial" w:hAnsi="Arial"/>
        </w:rPr>
        <w:t>t</w:t>
      </w:r>
      <w:r>
        <w:rPr>
          <w:rFonts w:ascii="Arial" w:hAnsi="Arial"/>
          <w:spacing w:val="-1"/>
        </w:rPr>
        <w:t>h</w:t>
      </w:r>
      <w:r>
        <w:rPr>
          <w:rFonts w:ascii="Arial" w:hAnsi="Arial"/>
          <w:spacing w:val="-3"/>
        </w:rPr>
        <w:t>a</w:t>
      </w:r>
      <w:r>
        <w:rPr>
          <w:rFonts w:ascii="Arial" w:hAnsi="Arial"/>
        </w:rPr>
        <w:t>t</w:t>
      </w:r>
      <w:r>
        <w:rPr>
          <w:rFonts w:ascii="Arial" w:hAnsi="Arial"/>
        </w:rPr>
        <w:t xml:space="preserve">  </w:t>
      </w:r>
      <w:r>
        <w:rPr>
          <w:rFonts w:ascii="Arial" w:hAnsi="Arial"/>
          <w:spacing w:val="-29"/>
        </w:rPr>
        <w:t xml:space="preserve"> </w:t>
      </w:r>
      <w:r>
        <w:rPr>
          <w:rFonts w:ascii="Arial" w:hAnsi="Arial"/>
        </w:rPr>
        <w:t>t</w:t>
      </w:r>
      <w:r>
        <w:rPr>
          <w:rFonts w:ascii="Arial" w:hAnsi="Arial"/>
          <w:spacing w:val="-3"/>
        </w:rPr>
        <w:t>h</w:t>
      </w:r>
      <w:r>
        <w:rPr>
          <w:rFonts w:ascii="Arial" w:hAnsi="Arial"/>
        </w:rPr>
        <w:t>e</w:t>
      </w:r>
      <w:r>
        <w:rPr>
          <w:rFonts w:ascii="Arial" w:hAnsi="Arial"/>
        </w:rPr>
        <w:t xml:space="preserve">  </w:t>
      </w:r>
      <w:r>
        <w:rPr>
          <w:rFonts w:ascii="Arial" w:hAnsi="Arial"/>
          <w:spacing w:val="-33"/>
        </w:rPr>
        <w:t xml:space="preserve"> </w:t>
      </w:r>
      <w:r>
        <w:rPr>
          <w:rFonts w:ascii="Arial" w:hAnsi="Arial"/>
          <w:spacing w:val="-1"/>
        </w:rPr>
        <w:t>pre</w:t>
      </w:r>
      <w:r>
        <w:rPr>
          <w:rFonts w:ascii="Arial" w:hAnsi="Arial"/>
        </w:rPr>
        <w:t>s</w:t>
      </w:r>
      <w:r>
        <w:rPr>
          <w:rFonts w:ascii="Arial" w:hAnsi="Arial"/>
          <w:spacing w:val="-1"/>
        </w:rPr>
        <w:t>e</w:t>
      </w:r>
      <w:r>
        <w:rPr>
          <w:rFonts w:ascii="Arial" w:hAnsi="Arial"/>
          <w:spacing w:val="-3"/>
        </w:rPr>
        <w:t>n</w:t>
      </w:r>
      <w:r>
        <w:rPr>
          <w:rFonts w:ascii="Arial" w:hAnsi="Arial"/>
        </w:rPr>
        <w:t>t</w:t>
      </w:r>
      <w:r>
        <w:rPr>
          <w:rFonts w:ascii="Arial" w:hAnsi="Arial"/>
        </w:rPr>
        <w:t xml:space="preserve">  </w:t>
      </w:r>
      <w:r>
        <w:rPr>
          <w:rFonts w:ascii="Arial" w:hAnsi="Arial"/>
          <w:spacing w:val="-29"/>
        </w:rPr>
        <w:t xml:space="preserve"> </w:t>
      </w:r>
      <w:r>
        <w:rPr>
          <w:rFonts w:ascii="Arial" w:hAnsi="Arial"/>
          <w:spacing w:val="-4"/>
        </w:rPr>
        <w:t>w</w:t>
      </w:r>
      <w:r>
        <w:rPr>
          <w:rFonts w:ascii="Arial" w:hAnsi="Arial"/>
        </w:rPr>
        <w:t xml:space="preserve">rit </w:t>
      </w:r>
      <w:r>
        <w:rPr>
          <w:rFonts w:ascii="Arial" w:hAnsi="Arial"/>
        </w:rPr>
        <w:t>petition is founded on a cause relating to appointment in a public office and hence not entertainable as a public interest litigation would be too simplistic a solution to adopt to answer the issues that have been highlighted which concerns the religious f</w:t>
      </w:r>
      <w:r>
        <w:rPr>
          <w:rFonts w:ascii="Arial" w:hAnsi="Arial"/>
        </w:rPr>
        <w:t>aith and practice of a large number of citizens of the country and raises claims of century- old traditions and usage having the force of law. The above is the second ground, namely, the gravity of the issues that arise, that impel us to make an attempt to</w:t>
      </w:r>
      <w:r>
        <w:rPr>
          <w:rFonts w:ascii="Arial" w:hAnsi="Arial"/>
        </w:rPr>
        <w:t xml:space="preserve"> answer the issues raised and arising in the writ petitions for determination on the merits thereof.‖</w:t>
      </w:r>
    </w:p>
    <w:p w:rsidR="003B2FC0" w:rsidRDefault="003B2FC0">
      <w:pPr>
        <w:jc w:val="both"/>
        <w:sectPr w:rsidR="003B2FC0">
          <w:headerReference w:type="default" r:id="rId331"/>
          <w:footerReference w:type="default" r:id="rId332"/>
          <w:pgSz w:w="12240" w:h="15840"/>
          <w:pgMar w:top="1500" w:right="1320" w:bottom="1680" w:left="1340" w:header="0" w:footer="1487" w:gutter="0"/>
          <w:pgNumType w:start="74"/>
          <w:cols w:space="720"/>
        </w:sectPr>
      </w:pPr>
    </w:p>
    <w:p w:rsidR="003B2FC0" w:rsidRDefault="003B2FC0">
      <w:pPr>
        <w:spacing w:before="6"/>
        <w:rPr>
          <w:sz w:val="14"/>
        </w:rPr>
      </w:pPr>
    </w:p>
    <w:p w:rsidR="003B2FC0" w:rsidRDefault="00052A49">
      <w:pPr>
        <w:pStyle w:val="BodyText"/>
        <w:spacing w:before="91" w:line="480" w:lineRule="auto"/>
        <w:ind w:left="383" w:right="406"/>
        <w:jc w:val="both"/>
        <w:rPr>
          <w:rFonts w:ascii="Arial"/>
        </w:rPr>
      </w:pPr>
      <w:r>
        <w:rPr>
          <w:rFonts w:ascii="Arial"/>
        </w:rPr>
        <w:t>The present case raises grave issues relating to women generally, who happen to be between the ages of 10 to 50, and are not allowed entry into the temple at Sabarimala on the ground of a physiological or biological function which is common to all women be</w:t>
      </w:r>
      <w:r>
        <w:rPr>
          <w:rFonts w:ascii="Arial"/>
        </w:rPr>
        <w:t>tween those ages. Since this matter raises far-reaching consequences relating to Articles 25 and 26 of the Constitution of India, we have found it necessary to decide this matter on merits. Consequently, this technical plea cannot stand in the way of a con</w:t>
      </w:r>
      <w:r>
        <w:rPr>
          <w:rFonts w:ascii="Arial"/>
        </w:rPr>
        <w:t>stitutional court applying constitutional principles to the case at</w:t>
      </w:r>
      <w:r>
        <w:rPr>
          <w:rFonts w:ascii="Arial"/>
          <w:spacing w:val="-8"/>
        </w:rPr>
        <w:t xml:space="preserve"> </w:t>
      </w:r>
      <w:r>
        <w:rPr>
          <w:rFonts w:ascii="Arial"/>
        </w:rPr>
        <w:t>hand.</w:t>
      </w:r>
    </w:p>
    <w:p w:rsidR="003B2FC0" w:rsidRDefault="003B2FC0">
      <w:pPr>
        <w:spacing w:before="1"/>
        <w:rPr>
          <w:sz w:val="28"/>
        </w:rPr>
      </w:pPr>
    </w:p>
    <w:p w:rsidR="003B2FC0" w:rsidRDefault="00052A49">
      <w:pPr>
        <w:pStyle w:val="ListParagraph"/>
        <w:numPr>
          <w:ilvl w:val="0"/>
          <w:numId w:val="43"/>
        </w:numPr>
        <w:tabs>
          <w:tab w:val="left" w:pos="1234"/>
        </w:tabs>
        <w:spacing w:line="480" w:lineRule="auto"/>
        <w:ind w:right="400" w:firstLine="0"/>
        <w:jc w:val="both"/>
        <w:rPr>
          <w:sz w:val="28"/>
        </w:rPr>
      </w:pPr>
      <w:r>
        <w:rPr>
          <w:sz w:val="28"/>
        </w:rPr>
        <w:t>A fervent plea was made by some of the counsels for the Respondents that the Court should not decide this case without any evidence being led on both sides. Evidence is very much th</w:t>
      </w:r>
      <w:r>
        <w:rPr>
          <w:sz w:val="28"/>
        </w:rPr>
        <w:t>ere, in the form of the writ petition and the affidavits that have been filed in the writ petition, both by the Petitioners as well as by the Board, and by  the Thanthri‘s affidavit referred to supra. It must not be forgotten that a writ petition filed und</w:t>
      </w:r>
      <w:r>
        <w:rPr>
          <w:sz w:val="28"/>
        </w:rPr>
        <w:t>er either Article 32 or Article 226 is itself not merely a pleading, but also evidence in the form of affidavits that are sworn.</w:t>
      </w:r>
      <w:r>
        <w:rPr>
          <w:spacing w:val="31"/>
          <w:sz w:val="28"/>
        </w:rPr>
        <w:t xml:space="preserve"> </w:t>
      </w:r>
      <w:r>
        <w:rPr>
          <w:sz w:val="28"/>
        </w:rPr>
        <w:t>(</w:t>
      </w:r>
      <w:r>
        <w:rPr>
          <w:i/>
          <w:sz w:val="28"/>
        </w:rPr>
        <w:t>See</w:t>
      </w:r>
      <w:r>
        <w:rPr>
          <w:i/>
          <w:spacing w:val="32"/>
          <w:sz w:val="28"/>
        </w:rPr>
        <w:t xml:space="preserve"> </w:t>
      </w:r>
      <w:r>
        <w:rPr>
          <w:b/>
          <w:sz w:val="28"/>
        </w:rPr>
        <w:t>Bharat</w:t>
      </w:r>
      <w:r>
        <w:rPr>
          <w:b/>
          <w:spacing w:val="31"/>
          <w:sz w:val="28"/>
        </w:rPr>
        <w:t xml:space="preserve"> </w:t>
      </w:r>
      <w:r>
        <w:rPr>
          <w:b/>
          <w:sz w:val="28"/>
        </w:rPr>
        <w:t>Singh</w:t>
      </w:r>
      <w:r>
        <w:rPr>
          <w:b/>
          <w:spacing w:val="31"/>
          <w:sz w:val="28"/>
        </w:rPr>
        <w:t xml:space="preserve"> </w:t>
      </w:r>
      <w:r>
        <w:rPr>
          <w:b/>
          <w:sz w:val="28"/>
        </w:rPr>
        <w:t>and</w:t>
      </w:r>
      <w:r>
        <w:rPr>
          <w:b/>
          <w:spacing w:val="35"/>
          <w:sz w:val="28"/>
        </w:rPr>
        <w:t xml:space="preserve"> </w:t>
      </w:r>
      <w:r>
        <w:rPr>
          <w:b/>
          <w:sz w:val="28"/>
        </w:rPr>
        <w:t>Ors.</w:t>
      </w:r>
      <w:r>
        <w:rPr>
          <w:b/>
          <w:spacing w:val="33"/>
          <w:sz w:val="28"/>
        </w:rPr>
        <w:t xml:space="preserve"> </w:t>
      </w:r>
      <w:r>
        <w:rPr>
          <w:b/>
          <w:sz w:val="28"/>
        </w:rPr>
        <w:t>v.</w:t>
      </w:r>
      <w:r>
        <w:rPr>
          <w:b/>
          <w:spacing w:val="33"/>
          <w:sz w:val="28"/>
        </w:rPr>
        <w:t xml:space="preserve"> </w:t>
      </w:r>
      <w:r>
        <w:rPr>
          <w:b/>
          <w:sz w:val="28"/>
        </w:rPr>
        <w:t>State</w:t>
      </w:r>
      <w:r>
        <w:rPr>
          <w:b/>
          <w:spacing w:val="31"/>
          <w:sz w:val="28"/>
        </w:rPr>
        <w:t xml:space="preserve"> </w:t>
      </w:r>
      <w:r>
        <w:rPr>
          <w:b/>
          <w:sz w:val="28"/>
        </w:rPr>
        <w:t>of</w:t>
      </w:r>
      <w:r>
        <w:rPr>
          <w:b/>
          <w:spacing w:val="32"/>
          <w:sz w:val="28"/>
        </w:rPr>
        <w:t xml:space="preserve"> </w:t>
      </w:r>
      <w:r>
        <w:rPr>
          <w:b/>
          <w:sz w:val="28"/>
        </w:rPr>
        <w:t>Haryana</w:t>
      </w:r>
      <w:r>
        <w:rPr>
          <w:b/>
          <w:spacing w:val="32"/>
          <w:sz w:val="28"/>
        </w:rPr>
        <w:t xml:space="preserve"> </w:t>
      </w:r>
      <w:r>
        <w:rPr>
          <w:b/>
          <w:sz w:val="28"/>
        </w:rPr>
        <w:t>and</w:t>
      </w:r>
      <w:r>
        <w:rPr>
          <w:b/>
          <w:spacing w:val="30"/>
          <w:sz w:val="28"/>
        </w:rPr>
        <w:t xml:space="preserve"> </w:t>
      </w:r>
      <w:r>
        <w:rPr>
          <w:b/>
          <w:sz w:val="28"/>
        </w:rPr>
        <w:t>Ors.</w:t>
      </w:r>
      <w:r>
        <w:rPr>
          <w:sz w:val="28"/>
        </w:rPr>
        <w:t>,</w:t>
      </w:r>
    </w:p>
    <w:p w:rsidR="003B2FC0" w:rsidRDefault="00052A49">
      <w:pPr>
        <w:pStyle w:val="BodyText"/>
        <w:spacing w:before="1"/>
        <w:ind w:left="383"/>
        <w:jc w:val="both"/>
        <w:rPr>
          <w:rFonts w:ascii="Arial"/>
        </w:rPr>
      </w:pPr>
      <w:r>
        <w:rPr>
          <w:rFonts w:ascii="Arial"/>
        </w:rPr>
        <w:t>1988 Supp (2) SCR 1050 at 1059).</w:t>
      </w:r>
    </w:p>
    <w:p w:rsidR="003B2FC0" w:rsidRDefault="003B2FC0">
      <w:pPr>
        <w:jc w:val="both"/>
        <w:sectPr w:rsidR="003B2FC0">
          <w:headerReference w:type="default" r:id="rId333"/>
          <w:footerReference w:type="default" r:id="rId334"/>
          <w:pgSz w:w="12240" w:h="15840"/>
          <w:pgMar w:top="1500" w:right="1320" w:bottom="1680" w:left="1340" w:header="0" w:footer="1492" w:gutter="0"/>
          <w:pgNumType w:start="75"/>
          <w:cols w:space="720"/>
        </w:sectPr>
      </w:pPr>
    </w:p>
    <w:p w:rsidR="003B2FC0" w:rsidRDefault="00052A49">
      <w:pPr>
        <w:pStyle w:val="ListParagraph"/>
        <w:numPr>
          <w:ilvl w:val="0"/>
          <w:numId w:val="43"/>
        </w:numPr>
        <w:tabs>
          <w:tab w:val="left" w:pos="1234"/>
        </w:tabs>
        <w:spacing w:before="77" w:line="480" w:lineRule="auto"/>
        <w:ind w:right="401" w:firstLine="0"/>
        <w:jc w:val="both"/>
        <w:rPr>
          <w:sz w:val="28"/>
        </w:rPr>
      </w:pPr>
      <w:r>
        <w:rPr>
          <w:sz w:val="28"/>
        </w:rPr>
        <w:t>The facts, as they emerge from the writ petition and the aforesaid affidavits, are sufficient for us to dispose of this writ petition on the points raised before us. I, therefore, concur in the judgment of the learned Chief Justice of India in allowing the</w:t>
      </w:r>
      <w:r>
        <w:rPr>
          <w:sz w:val="28"/>
        </w:rPr>
        <w:t xml:space="preserve"> writ petition, and declare that the custom or usage of prohibiting women between the ages of 10 to 50 years from entering the Sabarimala temple is violative of Article 25(1), and violative of the Kerala Hindu Places of Public Worship (Authorisation of Ent</w:t>
      </w:r>
      <w:r>
        <w:rPr>
          <w:sz w:val="28"/>
        </w:rPr>
        <w:t>ry) Act, 1965 made under Article 25(2)(b) of the Constitution. Further, it is also declared that Rule 3(b) of the Kerala Hindu Places of Public Worship (Authorisation of Entry) Rules, 1965 is unconstitutional being violative of Article 25(1) and Article 15</w:t>
      </w:r>
      <w:r>
        <w:rPr>
          <w:sz w:val="28"/>
        </w:rPr>
        <w:t>(1) of the Constitution of</w:t>
      </w:r>
      <w:r>
        <w:rPr>
          <w:spacing w:val="-6"/>
          <w:sz w:val="28"/>
        </w:rPr>
        <w:t xml:space="preserve"> </w:t>
      </w:r>
      <w:r>
        <w:rPr>
          <w:sz w:val="28"/>
        </w:rPr>
        <w:t>India.</w:t>
      </w:r>
    </w:p>
    <w:p w:rsidR="003B2FC0" w:rsidRDefault="003B2FC0">
      <w:pPr>
        <w:spacing w:before="6"/>
        <w:rPr>
          <w:sz w:val="43"/>
        </w:rPr>
      </w:pPr>
    </w:p>
    <w:p w:rsidR="003B2FC0" w:rsidRDefault="00052A49">
      <w:pPr>
        <w:pStyle w:val="Heading1"/>
        <w:ind w:left="5141" w:right="949"/>
      </w:pPr>
      <w:r>
        <w:t>………………………..……J. (R.F. Nariman)</w:t>
      </w:r>
    </w:p>
    <w:p w:rsidR="003B2FC0" w:rsidRDefault="003B2FC0">
      <w:pPr>
        <w:spacing w:before="10"/>
        <w:rPr>
          <w:b/>
          <w:sz w:val="27"/>
        </w:rPr>
      </w:pPr>
    </w:p>
    <w:p w:rsidR="003B2FC0" w:rsidRDefault="00052A49">
      <w:pPr>
        <w:ind w:left="383" w:right="6484"/>
        <w:rPr>
          <w:b/>
          <w:sz w:val="28"/>
        </w:rPr>
      </w:pPr>
      <w:r>
        <w:rPr>
          <w:b/>
          <w:sz w:val="28"/>
        </w:rPr>
        <w:t>New Delhi; September 28, 2018.</w:t>
      </w:r>
    </w:p>
    <w:p w:rsidR="003B2FC0" w:rsidRDefault="003B2FC0">
      <w:pPr>
        <w:rPr>
          <w:sz w:val="28"/>
        </w:rPr>
        <w:sectPr w:rsidR="003B2FC0">
          <w:headerReference w:type="default" r:id="rId335"/>
          <w:footerReference w:type="default" r:id="rId336"/>
          <w:pgSz w:w="12240" w:h="15840"/>
          <w:pgMar w:top="1360" w:right="1320" w:bottom="1680" w:left="1340" w:header="0" w:footer="1492" w:gutter="0"/>
          <w:pgNumType w:start="76"/>
          <w:cols w:space="720"/>
        </w:sectPr>
      </w:pPr>
    </w:p>
    <w:p w:rsidR="003B2FC0" w:rsidRDefault="003B2FC0">
      <w:pPr>
        <w:ind w:left="7849"/>
        <w:rPr>
          <w:sz w:val="20"/>
        </w:rPr>
      </w:pPr>
      <w:r>
        <w:rPr>
          <w:sz w:val="20"/>
        </w:rPr>
      </w:r>
      <w:r>
        <w:rPr>
          <w:sz w:val="20"/>
        </w:rPr>
        <w:pict>
          <v:shape id="_x0000_s1138" type="#_x0000_t202" style="width:79.7pt;height:23.2pt;mso-position-horizontal-relative:char;mso-position-vertical-relative:line" filled="f" strokeweight=".16936mm">
            <v:textbox inset="0,0,0,0">
              <w:txbxContent>
                <w:p w:rsidR="003B2FC0" w:rsidRDefault="00052A49">
                  <w:pPr>
                    <w:spacing w:line="230" w:lineRule="exact"/>
                    <w:ind w:left="103"/>
                    <w:rPr>
                      <w:b/>
                      <w:sz w:val="20"/>
                    </w:rPr>
                  </w:pPr>
                  <w:r>
                    <w:rPr>
                      <w:b/>
                      <w:sz w:val="20"/>
                    </w:rPr>
                    <w:t>REPORTABLE</w:t>
                  </w:r>
                </w:p>
              </w:txbxContent>
            </v:textbox>
            <w10:anchorlock/>
          </v:shape>
        </w:pict>
      </w:r>
    </w:p>
    <w:p w:rsidR="003B2FC0" w:rsidRDefault="003B2FC0">
      <w:pPr>
        <w:rPr>
          <w:b/>
          <w:sz w:val="23"/>
        </w:rPr>
      </w:pPr>
    </w:p>
    <w:p w:rsidR="003B2FC0" w:rsidRDefault="00052A49">
      <w:pPr>
        <w:spacing w:before="92" w:line="242" w:lineRule="auto"/>
        <w:ind w:left="2418" w:right="2304"/>
        <w:jc w:val="center"/>
        <w:rPr>
          <w:b/>
          <w:sz w:val="28"/>
        </w:rPr>
      </w:pPr>
      <w:r>
        <w:rPr>
          <w:b/>
          <w:sz w:val="28"/>
        </w:rPr>
        <w:t>IN THE SUPREME COURT OF INDIA CIVIL ORIGINAL JURISDICTION</w:t>
      </w:r>
    </w:p>
    <w:p w:rsidR="003B2FC0" w:rsidRDefault="003B2FC0">
      <w:pPr>
        <w:spacing w:before="6"/>
        <w:rPr>
          <w:b/>
          <w:sz w:val="27"/>
        </w:rPr>
      </w:pPr>
    </w:p>
    <w:p w:rsidR="003B2FC0" w:rsidRDefault="00052A49">
      <w:pPr>
        <w:ind w:right="34"/>
        <w:jc w:val="center"/>
        <w:rPr>
          <w:b/>
          <w:sz w:val="28"/>
        </w:rPr>
      </w:pPr>
      <w:r>
        <w:rPr>
          <w:b/>
          <w:sz w:val="28"/>
          <w:u w:val="thick"/>
        </w:rPr>
        <w:t>WRIT PETITION (CIVIL) NO 373 OF 2006</w:t>
      </w:r>
    </w:p>
    <w:p w:rsidR="003B2FC0" w:rsidRDefault="003B2FC0">
      <w:pPr>
        <w:rPr>
          <w:b/>
          <w:sz w:val="20"/>
        </w:rPr>
      </w:pPr>
    </w:p>
    <w:p w:rsidR="003B2FC0" w:rsidRDefault="003B2FC0">
      <w:pPr>
        <w:rPr>
          <w:b/>
          <w:sz w:val="20"/>
        </w:rPr>
      </w:pPr>
    </w:p>
    <w:p w:rsidR="003B2FC0" w:rsidRDefault="003B2FC0">
      <w:pPr>
        <w:spacing w:before="5"/>
        <w:rPr>
          <w:b/>
          <w:sz w:val="25"/>
        </w:rPr>
      </w:pPr>
    </w:p>
    <w:p w:rsidR="003B2FC0" w:rsidRDefault="00052A49">
      <w:pPr>
        <w:tabs>
          <w:tab w:val="left" w:pos="6905"/>
        </w:tabs>
        <w:spacing w:before="92"/>
        <w:ind w:left="400" w:right="876"/>
        <w:rPr>
          <w:b/>
          <w:sz w:val="28"/>
        </w:rPr>
      </w:pPr>
      <w:r>
        <w:rPr>
          <w:b/>
          <w:sz w:val="28"/>
        </w:rPr>
        <w:t>INDIAN YOUNG</w:t>
      </w:r>
      <w:r>
        <w:rPr>
          <w:b/>
          <w:spacing w:val="-8"/>
          <w:sz w:val="28"/>
        </w:rPr>
        <w:t xml:space="preserve"> </w:t>
      </w:r>
      <w:r>
        <w:rPr>
          <w:b/>
          <w:sz w:val="28"/>
        </w:rPr>
        <w:t>LAWYERS</w:t>
      </w:r>
      <w:r>
        <w:rPr>
          <w:b/>
          <w:spacing w:val="1"/>
          <w:sz w:val="28"/>
        </w:rPr>
        <w:t xml:space="preserve"> </w:t>
      </w:r>
      <w:r>
        <w:rPr>
          <w:b/>
          <w:sz w:val="28"/>
        </w:rPr>
        <w:t>ASSOCIATION</w:t>
      </w:r>
      <w:r>
        <w:rPr>
          <w:b/>
          <w:sz w:val="28"/>
        </w:rPr>
        <w:tab/>
      </w:r>
      <w:r>
        <w:rPr>
          <w:b/>
          <w:spacing w:val="-1"/>
          <w:sz w:val="28"/>
        </w:rPr>
        <w:t xml:space="preserve">...PETITIONERS </w:t>
      </w:r>
      <w:r>
        <w:rPr>
          <w:b/>
          <w:sz w:val="28"/>
        </w:rPr>
        <w:t>AND</w:t>
      </w:r>
      <w:r>
        <w:rPr>
          <w:b/>
          <w:spacing w:val="-2"/>
          <w:sz w:val="28"/>
        </w:rPr>
        <w:t xml:space="preserve"> </w:t>
      </w:r>
      <w:r>
        <w:rPr>
          <w:b/>
          <w:sz w:val="28"/>
        </w:rPr>
        <w:t>ORS</w:t>
      </w:r>
    </w:p>
    <w:p w:rsidR="003B2FC0" w:rsidRDefault="003B2FC0">
      <w:pPr>
        <w:rPr>
          <w:b/>
          <w:sz w:val="30"/>
        </w:rPr>
      </w:pPr>
    </w:p>
    <w:p w:rsidR="003B2FC0" w:rsidRDefault="00052A49">
      <w:pPr>
        <w:spacing w:before="178"/>
        <w:ind w:left="2270" w:right="2304"/>
        <w:jc w:val="center"/>
        <w:rPr>
          <w:b/>
          <w:sz w:val="28"/>
        </w:rPr>
      </w:pPr>
      <w:r>
        <w:rPr>
          <w:b/>
          <w:sz w:val="28"/>
        </w:rPr>
        <w:t>VERSUS</w:t>
      </w:r>
    </w:p>
    <w:p w:rsidR="003B2FC0" w:rsidRDefault="003B2FC0">
      <w:pPr>
        <w:rPr>
          <w:b/>
          <w:sz w:val="30"/>
        </w:rPr>
      </w:pPr>
    </w:p>
    <w:p w:rsidR="003B2FC0" w:rsidRDefault="003B2FC0">
      <w:pPr>
        <w:rPr>
          <w:b/>
          <w:sz w:val="30"/>
        </w:rPr>
      </w:pPr>
    </w:p>
    <w:p w:rsidR="003B2FC0" w:rsidRDefault="003B2FC0">
      <w:pPr>
        <w:spacing w:before="9"/>
        <w:rPr>
          <w:b/>
          <w:sz w:val="30"/>
        </w:rPr>
      </w:pPr>
    </w:p>
    <w:p w:rsidR="003B2FC0" w:rsidRDefault="00052A49">
      <w:pPr>
        <w:tabs>
          <w:tab w:val="left" w:pos="6519"/>
        </w:tabs>
        <w:ind w:right="199"/>
        <w:jc w:val="center"/>
        <w:rPr>
          <w:b/>
          <w:sz w:val="28"/>
        </w:rPr>
      </w:pPr>
      <w:r>
        <w:rPr>
          <w:b/>
          <w:sz w:val="28"/>
        </w:rPr>
        <w:t>THE STATE OF KERALA</w:t>
      </w:r>
      <w:r>
        <w:rPr>
          <w:b/>
          <w:spacing w:val="-5"/>
          <w:sz w:val="28"/>
        </w:rPr>
        <w:t xml:space="preserve"> </w:t>
      </w:r>
      <w:r>
        <w:rPr>
          <w:b/>
          <w:sz w:val="28"/>
        </w:rPr>
        <w:t>AND</w:t>
      </w:r>
      <w:r>
        <w:rPr>
          <w:b/>
          <w:spacing w:val="-3"/>
          <w:sz w:val="28"/>
        </w:rPr>
        <w:t xml:space="preserve"> </w:t>
      </w:r>
      <w:r>
        <w:rPr>
          <w:b/>
          <w:sz w:val="28"/>
        </w:rPr>
        <w:t>ORS</w:t>
      </w:r>
      <w:r>
        <w:rPr>
          <w:b/>
          <w:sz w:val="28"/>
        </w:rPr>
        <w:tab/>
        <w:t>...RESPONDENTS</w:t>
      </w:r>
    </w:p>
    <w:p w:rsidR="003B2FC0" w:rsidRDefault="003B2FC0">
      <w:pPr>
        <w:rPr>
          <w:b/>
          <w:sz w:val="30"/>
        </w:rPr>
      </w:pPr>
    </w:p>
    <w:p w:rsidR="003B2FC0" w:rsidRDefault="003B2FC0">
      <w:pPr>
        <w:rPr>
          <w:b/>
          <w:sz w:val="30"/>
        </w:rPr>
      </w:pPr>
    </w:p>
    <w:p w:rsidR="003B2FC0" w:rsidRDefault="003B2FC0">
      <w:pPr>
        <w:rPr>
          <w:b/>
          <w:sz w:val="30"/>
        </w:rPr>
      </w:pPr>
    </w:p>
    <w:p w:rsidR="003B2FC0" w:rsidRDefault="003B2FC0">
      <w:pPr>
        <w:rPr>
          <w:b/>
          <w:sz w:val="30"/>
        </w:rPr>
      </w:pPr>
    </w:p>
    <w:p w:rsidR="003B2FC0" w:rsidRDefault="003B2FC0">
      <w:pPr>
        <w:spacing w:before="6"/>
        <w:rPr>
          <w:b/>
          <w:sz w:val="37"/>
        </w:rPr>
      </w:pPr>
    </w:p>
    <w:p w:rsidR="003B2FC0" w:rsidRDefault="00052A49">
      <w:pPr>
        <w:ind w:left="2270" w:right="2304"/>
        <w:jc w:val="center"/>
        <w:rPr>
          <w:b/>
          <w:sz w:val="28"/>
        </w:rPr>
      </w:pPr>
      <w:r>
        <w:rPr>
          <w:b/>
          <w:sz w:val="28"/>
          <w:u w:val="thick"/>
        </w:rPr>
        <w:t>J U D G M E N T</w:t>
      </w:r>
    </w:p>
    <w:p w:rsidR="003B2FC0" w:rsidRDefault="003B2FC0">
      <w:pPr>
        <w:rPr>
          <w:b/>
          <w:sz w:val="20"/>
        </w:rPr>
      </w:pPr>
    </w:p>
    <w:p w:rsidR="003B2FC0" w:rsidRDefault="003B2FC0">
      <w:pPr>
        <w:rPr>
          <w:b/>
          <w:sz w:val="20"/>
        </w:rPr>
      </w:pPr>
    </w:p>
    <w:p w:rsidR="003B2FC0" w:rsidRDefault="003B2FC0">
      <w:pPr>
        <w:rPr>
          <w:b/>
          <w:sz w:val="20"/>
        </w:rPr>
      </w:pPr>
    </w:p>
    <w:p w:rsidR="003B2FC0" w:rsidRDefault="003B2FC0">
      <w:pPr>
        <w:rPr>
          <w:b/>
          <w:sz w:val="20"/>
        </w:rPr>
      </w:pPr>
    </w:p>
    <w:p w:rsidR="003B2FC0" w:rsidRDefault="003B2FC0">
      <w:pPr>
        <w:spacing w:before="6"/>
        <w:rPr>
          <w:b/>
          <w:sz w:val="23"/>
        </w:rPr>
      </w:pPr>
    </w:p>
    <w:p w:rsidR="003B2FC0" w:rsidRDefault="00052A49">
      <w:pPr>
        <w:spacing w:before="101"/>
        <w:ind w:left="400"/>
        <w:rPr>
          <w:rFonts w:ascii="Arial Narrow"/>
          <w:b/>
          <w:sz w:val="27"/>
        </w:rPr>
      </w:pPr>
      <w:r>
        <w:rPr>
          <w:rFonts w:ascii="Arial Narrow"/>
          <w:b/>
          <w:sz w:val="27"/>
        </w:rPr>
        <w:t>INDEX</w:t>
      </w:r>
    </w:p>
    <w:p w:rsidR="003B2FC0" w:rsidRDefault="003B2FC0">
      <w:pPr>
        <w:pStyle w:val="BodyText"/>
        <w:rPr>
          <w:rFonts w:ascii="Arial Narrow"/>
          <w:b/>
          <w:sz w:val="30"/>
        </w:rPr>
      </w:pPr>
    </w:p>
    <w:p w:rsidR="003B2FC0" w:rsidRDefault="003B2FC0">
      <w:pPr>
        <w:pStyle w:val="BodyText"/>
        <w:spacing w:before="10"/>
        <w:rPr>
          <w:rFonts w:ascii="Arial Narrow"/>
          <w:b/>
          <w:sz w:val="35"/>
        </w:rPr>
      </w:pPr>
    </w:p>
    <w:p w:rsidR="003B2FC0" w:rsidRDefault="00052A49">
      <w:pPr>
        <w:tabs>
          <w:tab w:val="left" w:pos="1041"/>
        </w:tabs>
        <w:spacing w:line="482" w:lineRule="auto"/>
        <w:ind w:left="400" w:right="2446"/>
        <w:rPr>
          <w:rFonts w:ascii="Arial Narrow"/>
          <w:sz w:val="27"/>
        </w:rPr>
      </w:pPr>
      <w:r>
        <w:rPr>
          <w:rFonts w:ascii="Arial Narrow"/>
          <w:sz w:val="27"/>
        </w:rPr>
        <w:t>A</w:t>
      </w:r>
      <w:r>
        <w:rPr>
          <w:rFonts w:ascii="Arial Narrow"/>
          <w:sz w:val="27"/>
        </w:rPr>
        <w:tab/>
        <w:t>Conversation within the Constitution: religion, dignity and morality B</w:t>
      </w:r>
      <w:r>
        <w:rPr>
          <w:rFonts w:ascii="Arial Narrow"/>
          <w:sz w:val="27"/>
        </w:rPr>
        <w:tab/>
        <w:t>History: Lord Ayyappa and the Sabarimala</w:t>
      </w:r>
      <w:r>
        <w:rPr>
          <w:rFonts w:ascii="Arial Narrow"/>
          <w:spacing w:val="-12"/>
          <w:sz w:val="27"/>
        </w:rPr>
        <w:t xml:space="preserve"> </w:t>
      </w:r>
      <w:r>
        <w:rPr>
          <w:rFonts w:ascii="Arial Narrow"/>
          <w:sz w:val="27"/>
        </w:rPr>
        <w:t>Temple</w:t>
      </w:r>
    </w:p>
    <w:p w:rsidR="003B2FC0" w:rsidRDefault="00052A49">
      <w:pPr>
        <w:tabs>
          <w:tab w:val="left" w:pos="1053"/>
        </w:tabs>
        <w:spacing w:before="3" w:line="484" w:lineRule="auto"/>
        <w:ind w:left="400" w:right="4736"/>
        <w:rPr>
          <w:rFonts w:ascii="Arial Narrow"/>
          <w:sz w:val="27"/>
        </w:rPr>
      </w:pPr>
      <w:r>
        <w:rPr>
          <w:rFonts w:ascii="Arial Narrow"/>
          <w:sz w:val="27"/>
        </w:rPr>
        <w:t>C</w:t>
      </w:r>
      <w:r>
        <w:rPr>
          <w:rFonts w:ascii="Arial Narrow"/>
          <w:sz w:val="27"/>
        </w:rPr>
        <w:tab/>
        <w:t>Temple entry and the exclusion of women D</w:t>
      </w:r>
      <w:r>
        <w:rPr>
          <w:rFonts w:ascii="Arial Narrow"/>
          <w:sz w:val="27"/>
        </w:rPr>
        <w:tab/>
        <w:t>The</w:t>
      </w:r>
      <w:r>
        <w:rPr>
          <w:rFonts w:ascii="Arial Narrow"/>
          <w:spacing w:val="-3"/>
          <w:sz w:val="27"/>
        </w:rPr>
        <w:t xml:space="preserve"> </w:t>
      </w:r>
      <w:r>
        <w:rPr>
          <w:rFonts w:ascii="Arial Narrow"/>
          <w:sz w:val="27"/>
        </w:rPr>
        <w:t>reference</w:t>
      </w:r>
    </w:p>
    <w:p w:rsidR="003B2FC0" w:rsidRDefault="00052A49">
      <w:pPr>
        <w:pStyle w:val="ListParagraph"/>
        <w:numPr>
          <w:ilvl w:val="0"/>
          <w:numId w:val="42"/>
        </w:numPr>
        <w:tabs>
          <w:tab w:val="left" w:pos="1041"/>
          <w:tab w:val="left" w:pos="1042"/>
        </w:tabs>
        <w:spacing w:line="309" w:lineRule="exact"/>
        <w:rPr>
          <w:rFonts w:ascii="Arial Narrow"/>
          <w:sz w:val="27"/>
        </w:rPr>
      </w:pPr>
      <w:r>
        <w:rPr>
          <w:rFonts w:ascii="Arial Narrow"/>
          <w:sz w:val="27"/>
        </w:rPr>
        <w:t>Submissions</w:t>
      </w:r>
    </w:p>
    <w:p w:rsidR="003B2FC0" w:rsidRDefault="003B2FC0">
      <w:pPr>
        <w:pStyle w:val="BodyText"/>
        <w:spacing w:before="5"/>
        <w:rPr>
          <w:rFonts w:ascii="Arial Narrow"/>
          <w:sz w:val="27"/>
        </w:rPr>
      </w:pPr>
    </w:p>
    <w:p w:rsidR="003B2FC0" w:rsidRDefault="00052A49">
      <w:pPr>
        <w:pStyle w:val="ListParagraph"/>
        <w:numPr>
          <w:ilvl w:val="0"/>
          <w:numId w:val="42"/>
        </w:numPr>
        <w:tabs>
          <w:tab w:val="left" w:pos="1029"/>
          <w:tab w:val="left" w:pos="1030"/>
        </w:tabs>
        <w:ind w:left="1029" w:hanging="629"/>
        <w:rPr>
          <w:rFonts w:ascii="Arial Narrow"/>
          <w:sz w:val="27"/>
        </w:rPr>
      </w:pPr>
      <w:r>
        <w:rPr>
          <w:rFonts w:ascii="Arial Narrow"/>
          <w:sz w:val="27"/>
        </w:rPr>
        <w:t>Essential Religious</w:t>
      </w:r>
      <w:r>
        <w:rPr>
          <w:rFonts w:ascii="Arial Narrow"/>
          <w:spacing w:val="-2"/>
          <w:sz w:val="27"/>
        </w:rPr>
        <w:t xml:space="preserve"> </w:t>
      </w:r>
      <w:r>
        <w:rPr>
          <w:rFonts w:ascii="Arial Narrow"/>
          <w:sz w:val="27"/>
        </w:rPr>
        <w:t>Practices</w:t>
      </w:r>
    </w:p>
    <w:p w:rsidR="003B2FC0" w:rsidRDefault="003B2FC0">
      <w:pPr>
        <w:rPr>
          <w:rFonts w:ascii="Arial Narrow"/>
          <w:sz w:val="27"/>
        </w:rPr>
        <w:sectPr w:rsidR="003B2FC0">
          <w:headerReference w:type="default" r:id="rId337"/>
          <w:footerReference w:type="default" r:id="rId338"/>
          <w:pgSz w:w="11910" w:h="16840"/>
          <w:pgMar w:top="1080" w:right="980" w:bottom="1200" w:left="1040" w:header="0" w:footer="1000" w:gutter="0"/>
          <w:pgNumType w:start="1"/>
          <w:cols w:space="720"/>
        </w:sectPr>
      </w:pPr>
    </w:p>
    <w:p w:rsidR="003B2FC0" w:rsidRDefault="00052A49">
      <w:pPr>
        <w:pStyle w:val="ListParagraph"/>
        <w:numPr>
          <w:ilvl w:val="0"/>
          <w:numId w:val="42"/>
        </w:numPr>
        <w:tabs>
          <w:tab w:val="left" w:pos="1120"/>
          <w:tab w:val="left" w:pos="1121"/>
        </w:tabs>
        <w:spacing w:before="81" w:line="482" w:lineRule="auto"/>
        <w:ind w:left="400" w:right="1567" w:firstLine="0"/>
        <w:rPr>
          <w:rFonts w:ascii="Arial Narrow"/>
          <w:sz w:val="27"/>
        </w:rPr>
      </w:pPr>
      <w:r>
        <w:rPr>
          <w:rFonts w:ascii="Arial Narrow"/>
          <w:sz w:val="27"/>
        </w:rPr>
        <w:t>The engagement of essential religious practices with constitutional values H</w:t>
      </w:r>
      <w:r>
        <w:rPr>
          <w:rFonts w:ascii="Arial Narrow"/>
          <w:sz w:val="27"/>
        </w:rPr>
        <w:tab/>
        <w:t>Religious</w:t>
      </w:r>
      <w:r>
        <w:rPr>
          <w:rFonts w:ascii="Arial Narrow"/>
          <w:spacing w:val="-1"/>
          <w:sz w:val="27"/>
        </w:rPr>
        <w:t xml:space="preserve"> </w:t>
      </w:r>
      <w:r>
        <w:rPr>
          <w:rFonts w:ascii="Arial Narrow"/>
          <w:sz w:val="27"/>
        </w:rPr>
        <w:t>Denominations</w:t>
      </w:r>
    </w:p>
    <w:p w:rsidR="003B2FC0" w:rsidRDefault="00052A49">
      <w:pPr>
        <w:tabs>
          <w:tab w:val="left" w:pos="1840"/>
        </w:tabs>
        <w:spacing w:before="5"/>
        <w:ind w:left="1120"/>
        <w:rPr>
          <w:rFonts w:ascii="Arial Narrow"/>
          <w:sz w:val="27"/>
        </w:rPr>
      </w:pPr>
      <w:r>
        <w:rPr>
          <w:rFonts w:ascii="Arial Narrow"/>
          <w:sz w:val="27"/>
        </w:rPr>
        <w:t>H.1</w:t>
      </w:r>
      <w:r>
        <w:rPr>
          <w:rFonts w:ascii="Arial Narrow"/>
          <w:sz w:val="27"/>
        </w:rPr>
        <w:tab/>
        <w:t>Do the devotees of Lord Ayyappa constitute a religious</w:t>
      </w:r>
      <w:r>
        <w:rPr>
          <w:rFonts w:ascii="Arial Narrow"/>
          <w:spacing w:val="-17"/>
          <w:sz w:val="27"/>
        </w:rPr>
        <w:t xml:space="preserve"> </w:t>
      </w:r>
      <w:r>
        <w:rPr>
          <w:rFonts w:ascii="Arial Narrow"/>
          <w:sz w:val="27"/>
        </w:rPr>
        <w:t>denomination?</w:t>
      </w:r>
    </w:p>
    <w:p w:rsidR="003B2FC0" w:rsidRDefault="003B2FC0">
      <w:pPr>
        <w:pStyle w:val="BodyText"/>
        <w:spacing w:before="4"/>
        <w:rPr>
          <w:rFonts w:ascii="Arial Narrow"/>
          <w:sz w:val="27"/>
        </w:rPr>
      </w:pPr>
    </w:p>
    <w:p w:rsidR="003B2FC0" w:rsidRDefault="00052A49">
      <w:pPr>
        <w:pStyle w:val="ListParagraph"/>
        <w:numPr>
          <w:ilvl w:val="0"/>
          <w:numId w:val="41"/>
        </w:numPr>
        <w:tabs>
          <w:tab w:val="left" w:pos="1120"/>
          <w:tab w:val="left" w:pos="1121"/>
        </w:tabs>
        <w:rPr>
          <w:rFonts w:ascii="Arial Narrow" w:hAnsi="Arial Narrow"/>
          <w:sz w:val="27"/>
        </w:rPr>
      </w:pPr>
      <w:r>
        <w:rPr>
          <w:rFonts w:ascii="Arial Narrow" w:hAnsi="Arial Narrow"/>
          <w:sz w:val="27"/>
        </w:rPr>
        <w:t>Article 17, “Untouchability” and the notion</w:t>
      </w:r>
      <w:r>
        <w:rPr>
          <w:rFonts w:ascii="Arial Narrow" w:hAnsi="Arial Narrow"/>
          <w:sz w:val="27"/>
        </w:rPr>
        <w:t>s of</w:t>
      </w:r>
      <w:r>
        <w:rPr>
          <w:rFonts w:ascii="Arial Narrow" w:hAnsi="Arial Narrow"/>
          <w:spacing w:val="-5"/>
          <w:sz w:val="27"/>
        </w:rPr>
        <w:t xml:space="preserve"> </w:t>
      </w:r>
      <w:r>
        <w:rPr>
          <w:rFonts w:ascii="Arial Narrow" w:hAnsi="Arial Narrow"/>
          <w:sz w:val="27"/>
        </w:rPr>
        <w:t>purity</w:t>
      </w:r>
    </w:p>
    <w:p w:rsidR="003B2FC0" w:rsidRDefault="003B2FC0">
      <w:pPr>
        <w:pStyle w:val="BodyText"/>
        <w:spacing w:before="4"/>
        <w:rPr>
          <w:rFonts w:ascii="Arial Narrow"/>
          <w:sz w:val="27"/>
        </w:rPr>
      </w:pPr>
    </w:p>
    <w:p w:rsidR="003B2FC0" w:rsidRDefault="00052A49">
      <w:pPr>
        <w:pStyle w:val="ListParagraph"/>
        <w:numPr>
          <w:ilvl w:val="0"/>
          <w:numId w:val="41"/>
        </w:numPr>
        <w:tabs>
          <w:tab w:val="left" w:pos="1120"/>
          <w:tab w:val="left" w:pos="1121"/>
        </w:tabs>
        <w:rPr>
          <w:rFonts w:ascii="Arial Narrow"/>
          <w:sz w:val="27"/>
        </w:rPr>
      </w:pPr>
      <w:r>
        <w:rPr>
          <w:rFonts w:ascii="Arial Narrow"/>
          <w:sz w:val="27"/>
        </w:rPr>
        <w:t xml:space="preserve">The </w:t>
      </w:r>
      <w:r>
        <w:rPr>
          <w:rFonts w:ascii="Arial Narrow"/>
          <w:i/>
          <w:sz w:val="27"/>
        </w:rPr>
        <w:t>ultra vires</w:t>
      </w:r>
      <w:r>
        <w:rPr>
          <w:rFonts w:ascii="Arial Narrow"/>
          <w:i/>
          <w:spacing w:val="1"/>
          <w:sz w:val="27"/>
        </w:rPr>
        <w:t xml:space="preserve"> </w:t>
      </w:r>
      <w:r>
        <w:rPr>
          <w:rFonts w:ascii="Arial Narrow"/>
          <w:sz w:val="27"/>
        </w:rPr>
        <w:t>doctrine</w:t>
      </w:r>
    </w:p>
    <w:p w:rsidR="003B2FC0" w:rsidRDefault="003B2FC0">
      <w:pPr>
        <w:pStyle w:val="BodyText"/>
        <w:spacing w:before="7"/>
        <w:rPr>
          <w:rFonts w:ascii="Arial Narrow"/>
          <w:sz w:val="27"/>
        </w:rPr>
      </w:pPr>
    </w:p>
    <w:p w:rsidR="003B2FC0" w:rsidRDefault="00052A49">
      <w:pPr>
        <w:pStyle w:val="ListParagraph"/>
        <w:numPr>
          <w:ilvl w:val="0"/>
          <w:numId w:val="41"/>
        </w:numPr>
        <w:tabs>
          <w:tab w:val="left" w:pos="1120"/>
          <w:tab w:val="left" w:pos="1121"/>
        </w:tabs>
        <w:rPr>
          <w:rFonts w:ascii="Arial Narrow"/>
          <w:sz w:val="27"/>
        </w:rPr>
      </w:pPr>
      <w:r>
        <w:rPr>
          <w:rFonts w:ascii="Arial Narrow"/>
          <w:sz w:val="27"/>
        </w:rPr>
        <w:t>The ghost of</w:t>
      </w:r>
      <w:r>
        <w:rPr>
          <w:rFonts w:ascii="Arial Narrow"/>
          <w:spacing w:val="-5"/>
          <w:sz w:val="27"/>
        </w:rPr>
        <w:t xml:space="preserve"> </w:t>
      </w:r>
      <w:r>
        <w:rPr>
          <w:rFonts w:ascii="Arial Narrow"/>
          <w:sz w:val="27"/>
        </w:rPr>
        <w:t>Narasu</w:t>
      </w:r>
    </w:p>
    <w:p w:rsidR="003B2FC0" w:rsidRDefault="003B2FC0">
      <w:pPr>
        <w:pStyle w:val="BodyText"/>
        <w:spacing w:before="5"/>
        <w:rPr>
          <w:rFonts w:ascii="Arial Narrow"/>
          <w:sz w:val="27"/>
        </w:rPr>
      </w:pPr>
    </w:p>
    <w:p w:rsidR="003B2FC0" w:rsidRDefault="00052A49">
      <w:pPr>
        <w:pStyle w:val="ListParagraph"/>
        <w:numPr>
          <w:ilvl w:val="0"/>
          <w:numId w:val="41"/>
        </w:numPr>
        <w:tabs>
          <w:tab w:val="left" w:pos="1120"/>
          <w:tab w:val="left" w:pos="1121"/>
        </w:tabs>
        <w:spacing w:line="482" w:lineRule="auto"/>
        <w:ind w:left="400" w:right="4876" w:firstLine="0"/>
        <w:rPr>
          <w:rFonts w:ascii="Arial Narrow"/>
          <w:sz w:val="27"/>
        </w:rPr>
      </w:pPr>
      <w:r>
        <w:rPr>
          <w:rFonts w:ascii="Arial Narrow"/>
          <w:sz w:val="27"/>
        </w:rPr>
        <w:t>Deity as a bearer of constitutional rights M</w:t>
      </w:r>
      <w:r>
        <w:rPr>
          <w:rFonts w:ascii="Arial Narrow"/>
          <w:sz w:val="27"/>
        </w:rPr>
        <w:tab/>
        <w:t>A road map for the future</w:t>
      </w:r>
    </w:p>
    <w:p w:rsidR="003B2FC0" w:rsidRDefault="00052A49">
      <w:pPr>
        <w:tabs>
          <w:tab w:val="left" w:pos="1120"/>
        </w:tabs>
        <w:spacing w:before="3"/>
        <w:ind w:left="400"/>
        <w:rPr>
          <w:rFonts w:ascii="Arial Narrow"/>
          <w:sz w:val="27"/>
        </w:rPr>
      </w:pPr>
      <w:r>
        <w:rPr>
          <w:rFonts w:ascii="Arial Narrow"/>
          <w:sz w:val="27"/>
        </w:rPr>
        <w:t>N</w:t>
      </w:r>
      <w:r>
        <w:rPr>
          <w:rFonts w:ascii="Arial Narrow"/>
          <w:sz w:val="27"/>
        </w:rPr>
        <w:tab/>
        <w:t>Conclusion</w:t>
      </w:r>
    </w:p>
    <w:p w:rsidR="003B2FC0" w:rsidRDefault="003B2FC0">
      <w:pPr>
        <w:rPr>
          <w:rFonts w:ascii="Arial Narrow"/>
          <w:sz w:val="27"/>
        </w:rPr>
        <w:sectPr w:rsidR="003B2FC0">
          <w:headerReference w:type="default" r:id="rId339"/>
          <w:footerReference w:type="default" r:id="rId340"/>
          <w:pgSz w:w="11910" w:h="16840"/>
          <w:pgMar w:top="1340" w:right="980" w:bottom="1200" w:left="1040" w:header="0" w:footer="1000" w:gutter="0"/>
          <w:pgNumType w:start="2"/>
          <w:cols w:space="720"/>
        </w:sectPr>
      </w:pPr>
    </w:p>
    <w:p w:rsidR="003B2FC0" w:rsidRDefault="003B2FC0">
      <w:pPr>
        <w:pStyle w:val="BodyText"/>
        <w:spacing w:before="10"/>
        <w:rPr>
          <w:rFonts w:ascii="Arial Narrow"/>
          <w:sz w:val="21"/>
        </w:rPr>
      </w:pPr>
    </w:p>
    <w:p w:rsidR="003B2FC0" w:rsidRDefault="00052A49">
      <w:pPr>
        <w:spacing w:before="92"/>
        <w:ind w:left="400"/>
        <w:rPr>
          <w:b/>
          <w:sz w:val="28"/>
        </w:rPr>
      </w:pPr>
      <w:r>
        <w:rPr>
          <w:b/>
          <w:sz w:val="28"/>
          <w:u w:val="thick"/>
        </w:rPr>
        <w:t>Dr Dhananjaya Y Chandrachud, J</w:t>
      </w:r>
    </w:p>
    <w:p w:rsidR="003B2FC0" w:rsidRDefault="003B2FC0">
      <w:pPr>
        <w:rPr>
          <w:b/>
          <w:sz w:val="20"/>
        </w:rPr>
      </w:pPr>
    </w:p>
    <w:p w:rsidR="003B2FC0" w:rsidRDefault="003B2FC0">
      <w:pPr>
        <w:rPr>
          <w:b/>
          <w:sz w:val="20"/>
        </w:rPr>
      </w:pPr>
    </w:p>
    <w:p w:rsidR="003B2FC0" w:rsidRDefault="003B2FC0">
      <w:pPr>
        <w:spacing w:before="7"/>
        <w:rPr>
          <w:b/>
          <w:sz w:val="28"/>
        </w:rPr>
      </w:pPr>
    </w:p>
    <w:p w:rsidR="003B2FC0" w:rsidRDefault="00052A49">
      <w:pPr>
        <w:pStyle w:val="ListParagraph"/>
        <w:numPr>
          <w:ilvl w:val="0"/>
          <w:numId w:val="40"/>
        </w:numPr>
        <w:tabs>
          <w:tab w:val="left" w:pos="1120"/>
          <w:tab w:val="left" w:pos="1121"/>
        </w:tabs>
        <w:spacing w:before="92" w:line="360" w:lineRule="auto"/>
        <w:ind w:right="1038" w:hanging="720"/>
        <w:jc w:val="left"/>
        <w:rPr>
          <w:b/>
          <w:sz w:val="28"/>
        </w:rPr>
      </w:pPr>
      <w:r>
        <w:rPr>
          <w:b/>
          <w:sz w:val="28"/>
        </w:rPr>
        <w:t>Conversation within the Constitution: religion, dignity</w:t>
      </w:r>
      <w:r>
        <w:rPr>
          <w:b/>
          <w:spacing w:val="-33"/>
          <w:sz w:val="28"/>
        </w:rPr>
        <w:t xml:space="preserve"> </w:t>
      </w:r>
      <w:r>
        <w:rPr>
          <w:b/>
          <w:sz w:val="28"/>
        </w:rPr>
        <w:t>and morality</w:t>
      </w:r>
    </w:p>
    <w:p w:rsidR="003B2FC0" w:rsidRDefault="003B2FC0">
      <w:pPr>
        <w:spacing w:before="5"/>
        <w:rPr>
          <w:b/>
          <w:sz w:val="43"/>
        </w:rPr>
      </w:pPr>
    </w:p>
    <w:p w:rsidR="003B2FC0" w:rsidRDefault="00052A49">
      <w:pPr>
        <w:pStyle w:val="ListParagraph"/>
        <w:numPr>
          <w:ilvl w:val="0"/>
          <w:numId w:val="39"/>
        </w:numPr>
        <w:tabs>
          <w:tab w:val="left" w:pos="1121"/>
        </w:tabs>
        <w:spacing w:line="480" w:lineRule="auto"/>
        <w:ind w:right="431" w:firstLine="0"/>
        <w:jc w:val="both"/>
        <w:rPr>
          <w:sz w:val="26"/>
        </w:rPr>
      </w:pPr>
      <w:r>
        <w:rPr>
          <w:sz w:val="26"/>
        </w:rPr>
        <w:t>The Preamble to the Constitution portrays the foundational principles: justice, liberty, equality and fraternity. While defining the content of</w:t>
      </w:r>
      <w:r>
        <w:rPr>
          <w:spacing w:val="48"/>
          <w:sz w:val="26"/>
        </w:rPr>
        <w:t xml:space="preserve"> </w:t>
      </w:r>
      <w:r>
        <w:rPr>
          <w:sz w:val="26"/>
        </w:rPr>
        <w:t>these principles, the draftspersons laid out a broad canvass upon which the diversity of our society would be nurtured. Forty two years ago, the Constitution was amended to accommodate a specific reference to its secular fabric in the Preamble.</w:t>
      </w:r>
      <w:r>
        <w:rPr>
          <w:position w:val="9"/>
          <w:sz w:val="17"/>
        </w:rPr>
        <w:t xml:space="preserve">1 </w:t>
      </w:r>
      <w:r>
        <w:rPr>
          <w:sz w:val="26"/>
        </w:rPr>
        <w:t xml:space="preserve">Arguably, </w:t>
      </w:r>
      <w:r>
        <w:rPr>
          <w:sz w:val="26"/>
        </w:rPr>
        <w:t>this was only a formal recognition of a concept which found expression in diverse facets, as they were crafted at the birth of the Constitution.</w:t>
      </w:r>
      <w:r>
        <w:rPr>
          <w:spacing w:val="-8"/>
          <w:sz w:val="26"/>
        </w:rPr>
        <w:t xml:space="preserve"> </w:t>
      </w:r>
      <w:r>
        <w:rPr>
          <w:sz w:val="26"/>
        </w:rPr>
        <w:t>Secularism</w:t>
      </w:r>
      <w:r>
        <w:rPr>
          <w:spacing w:val="-4"/>
          <w:sz w:val="26"/>
        </w:rPr>
        <w:t xml:space="preserve"> </w:t>
      </w:r>
      <w:r>
        <w:rPr>
          <w:sz w:val="26"/>
        </w:rPr>
        <w:t>was</w:t>
      </w:r>
      <w:r>
        <w:rPr>
          <w:spacing w:val="-7"/>
          <w:sz w:val="26"/>
        </w:rPr>
        <w:t xml:space="preserve"> </w:t>
      </w:r>
      <w:r>
        <w:rPr>
          <w:sz w:val="26"/>
        </w:rPr>
        <w:t>not</w:t>
      </w:r>
      <w:r>
        <w:rPr>
          <w:spacing w:val="-5"/>
          <w:sz w:val="26"/>
        </w:rPr>
        <w:t xml:space="preserve"> </w:t>
      </w:r>
      <w:r>
        <w:rPr>
          <w:sz w:val="26"/>
        </w:rPr>
        <w:t>a</w:t>
      </w:r>
      <w:r>
        <w:rPr>
          <w:spacing w:val="-7"/>
          <w:sz w:val="26"/>
        </w:rPr>
        <w:t xml:space="preserve"> </w:t>
      </w:r>
      <w:r>
        <w:rPr>
          <w:sz w:val="26"/>
        </w:rPr>
        <w:t>new</w:t>
      </w:r>
      <w:r>
        <w:rPr>
          <w:spacing w:val="-9"/>
          <w:sz w:val="26"/>
        </w:rPr>
        <w:t xml:space="preserve"> </w:t>
      </w:r>
      <w:r>
        <w:rPr>
          <w:sz w:val="26"/>
        </w:rPr>
        <w:t>idea</w:t>
      </w:r>
      <w:r>
        <w:rPr>
          <w:spacing w:val="-7"/>
          <w:sz w:val="26"/>
        </w:rPr>
        <w:t xml:space="preserve"> </w:t>
      </w:r>
      <w:r>
        <w:rPr>
          <w:sz w:val="26"/>
        </w:rPr>
        <w:t>but</w:t>
      </w:r>
      <w:r>
        <w:rPr>
          <w:spacing w:val="-7"/>
          <w:sz w:val="26"/>
        </w:rPr>
        <w:t xml:space="preserve"> </w:t>
      </w:r>
      <w:r>
        <w:rPr>
          <w:sz w:val="26"/>
        </w:rPr>
        <w:t>a</w:t>
      </w:r>
      <w:r>
        <w:rPr>
          <w:spacing w:val="-7"/>
          <w:sz w:val="26"/>
        </w:rPr>
        <w:t xml:space="preserve"> </w:t>
      </w:r>
      <w:r>
        <w:rPr>
          <w:sz w:val="26"/>
        </w:rPr>
        <w:t>formal</w:t>
      </w:r>
      <w:r>
        <w:rPr>
          <w:spacing w:val="-4"/>
          <w:sz w:val="26"/>
        </w:rPr>
        <w:t xml:space="preserve"> </w:t>
      </w:r>
      <w:r>
        <w:rPr>
          <w:sz w:val="26"/>
        </w:rPr>
        <w:t>reiteration</w:t>
      </w:r>
      <w:r>
        <w:rPr>
          <w:spacing w:val="-7"/>
          <w:sz w:val="26"/>
        </w:rPr>
        <w:t xml:space="preserve"> </w:t>
      </w:r>
      <w:r>
        <w:rPr>
          <w:sz w:val="26"/>
        </w:rPr>
        <w:t>of</w:t>
      </w:r>
      <w:r>
        <w:rPr>
          <w:spacing w:val="-4"/>
          <w:sz w:val="26"/>
        </w:rPr>
        <w:t xml:space="preserve"> </w:t>
      </w:r>
      <w:r>
        <w:rPr>
          <w:sz w:val="26"/>
        </w:rPr>
        <w:t>what</w:t>
      </w:r>
      <w:r>
        <w:rPr>
          <w:spacing w:val="-7"/>
          <w:sz w:val="26"/>
        </w:rPr>
        <w:t xml:space="preserve"> </w:t>
      </w:r>
      <w:r>
        <w:rPr>
          <w:sz w:val="26"/>
        </w:rPr>
        <w:t>the Constitution always respected and accepted: the equality of all faiths. Besides incorporating a specific reference to a secular republic, the Preamble divulges the</w:t>
      </w:r>
      <w:r>
        <w:rPr>
          <w:spacing w:val="-9"/>
          <w:sz w:val="26"/>
        </w:rPr>
        <w:t xml:space="preserve"> </w:t>
      </w:r>
      <w:r>
        <w:rPr>
          <w:sz w:val="26"/>
        </w:rPr>
        <w:t>position</w:t>
      </w:r>
      <w:r>
        <w:rPr>
          <w:spacing w:val="-6"/>
          <w:sz w:val="26"/>
        </w:rPr>
        <w:t xml:space="preserve"> </w:t>
      </w:r>
      <w:r>
        <w:rPr>
          <w:sz w:val="26"/>
        </w:rPr>
        <w:t>held</w:t>
      </w:r>
      <w:r>
        <w:rPr>
          <w:spacing w:val="-8"/>
          <w:sz w:val="26"/>
        </w:rPr>
        <w:t xml:space="preserve"> </w:t>
      </w:r>
      <w:r>
        <w:rPr>
          <w:sz w:val="26"/>
        </w:rPr>
        <w:t>by</w:t>
      </w:r>
      <w:r>
        <w:rPr>
          <w:spacing w:val="-8"/>
          <w:sz w:val="26"/>
        </w:rPr>
        <w:t xml:space="preserve"> </w:t>
      </w:r>
      <w:r>
        <w:rPr>
          <w:sz w:val="26"/>
        </w:rPr>
        <w:t>the</w:t>
      </w:r>
      <w:r>
        <w:rPr>
          <w:spacing w:val="-8"/>
          <w:sz w:val="26"/>
        </w:rPr>
        <w:t xml:space="preserve"> </w:t>
      </w:r>
      <w:r>
        <w:rPr>
          <w:sz w:val="26"/>
        </w:rPr>
        <w:t>framers</w:t>
      </w:r>
      <w:r>
        <w:rPr>
          <w:spacing w:val="-6"/>
          <w:sz w:val="26"/>
        </w:rPr>
        <w:t xml:space="preserve"> </w:t>
      </w:r>
      <w:r>
        <w:rPr>
          <w:sz w:val="26"/>
        </w:rPr>
        <w:t>on</w:t>
      </w:r>
      <w:r>
        <w:rPr>
          <w:spacing w:val="-8"/>
          <w:sz w:val="26"/>
        </w:rPr>
        <w:t xml:space="preserve"> </w:t>
      </w:r>
      <w:r>
        <w:rPr>
          <w:sz w:val="26"/>
        </w:rPr>
        <w:t>the</w:t>
      </w:r>
      <w:r>
        <w:rPr>
          <w:spacing w:val="-8"/>
          <w:sz w:val="26"/>
        </w:rPr>
        <w:t xml:space="preserve"> </w:t>
      </w:r>
      <w:r>
        <w:rPr>
          <w:sz w:val="26"/>
        </w:rPr>
        <w:t>interface</w:t>
      </w:r>
      <w:r>
        <w:rPr>
          <w:spacing w:val="-7"/>
          <w:sz w:val="26"/>
        </w:rPr>
        <w:t xml:space="preserve"> </w:t>
      </w:r>
      <w:r>
        <w:rPr>
          <w:sz w:val="26"/>
        </w:rPr>
        <w:t>of</w:t>
      </w:r>
      <w:r>
        <w:rPr>
          <w:spacing w:val="-8"/>
          <w:sz w:val="26"/>
        </w:rPr>
        <w:t xml:space="preserve"> </w:t>
      </w:r>
      <w:r>
        <w:rPr>
          <w:sz w:val="26"/>
        </w:rPr>
        <w:t>religion</w:t>
      </w:r>
      <w:r>
        <w:rPr>
          <w:spacing w:val="-4"/>
          <w:sz w:val="26"/>
        </w:rPr>
        <w:t xml:space="preserve"> </w:t>
      </w:r>
      <w:r>
        <w:rPr>
          <w:sz w:val="26"/>
        </w:rPr>
        <w:t>and</w:t>
      </w:r>
      <w:r>
        <w:rPr>
          <w:spacing w:val="-5"/>
          <w:sz w:val="26"/>
        </w:rPr>
        <w:t xml:space="preserve"> </w:t>
      </w:r>
      <w:r>
        <w:rPr>
          <w:sz w:val="26"/>
        </w:rPr>
        <w:t>the</w:t>
      </w:r>
      <w:r>
        <w:rPr>
          <w:spacing w:val="-8"/>
          <w:sz w:val="26"/>
        </w:rPr>
        <w:t xml:space="preserve"> </w:t>
      </w:r>
      <w:r>
        <w:rPr>
          <w:sz w:val="26"/>
        </w:rPr>
        <w:t xml:space="preserve">fundamental values of </w:t>
      </w:r>
      <w:r>
        <w:rPr>
          <w:sz w:val="26"/>
        </w:rPr>
        <w:t>a constitutional order. The Constitution is not – as it could not have been - oblivious to religion. Religiosity has moved hearts and minds in the history of modern India. Hence, in defining the content of liberty, the Preamble has</w:t>
      </w:r>
      <w:r>
        <w:rPr>
          <w:spacing w:val="-13"/>
          <w:sz w:val="26"/>
        </w:rPr>
        <w:t xml:space="preserve"> </w:t>
      </w:r>
      <w:r>
        <w:rPr>
          <w:sz w:val="26"/>
        </w:rPr>
        <w:t>spoken</w:t>
      </w:r>
      <w:r>
        <w:rPr>
          <w:spacing w:val="-13"/>
          <w:sz w:val="26"/>
        </w:rPr>
        <w:t xml:space="preserve"> </w:t>
      </w:r>
      <w:r>
        <w:rPr>
          <w:sz w:val="26"/>
        </w:rPr>
        <w:t>of</w:t>
      </w:r>
      <w:r>
        <w:rPr>
          <w:spacing w:val="-11"/>
          <w:sz w:val="26"/>
        </w:rPr>
        <w:t xml:space="preserve"> </w:t>
      </w:r>
      <w:r>
        <w:rPr>
          <w:sz w:val="26"/>
        </w:rPr>
        <w:t>the</w:t>
      </w:r>
      <w:r>
        <w:rPr>
          <w:spacing w:val="-13"/>
          <w:sz w:val="26"/>
        </w:rPr>
        <w:t xml:space="preserve"> </w:t>
      </w:r>
      <w:r>
        <w:rPr>
          <w:sz w:val="26"/>
        </w:rPr>
        <w:t>liberty</w:t>
      </w:r>
      <w:r>
        <w:rPr>
          <w:spacing w:val="-14"/>
          <w:sz w:val="26"/>
        </w:rPr>
        <w:t xml:space="preserve"> </w:t>
      </w:r>
      <w:r>
        <w:rPr>
          <w:sz w:val="26"/>
        </w:rPr>
        <w:t>of</w:t>
      </w:r>
      <w:r>
        <w:rPr>
          <w:spacing w:val="-13"/>
          <w:sz w:val="26"/>
        </w:rPr>
        <w:t xml:space="preserve"> </w:t>
      </w:r>
      <w:r>
        <w:rPr>
          <w:sz w:val="26"/>
        </w:rPr>
        <w:t>thought,</w:t>
      </w:r>
      <w:r>
        <w:rPr>
          <w:spacing w:val="-13"/>
          <w:sz w:val="26"/>
        </w:rPr>
        <w:t xml:space="preserve"> </w:t>
      </w:r>
      <w:r>
        <w:rPr>
          <w:sz w:val="26"/>
        </w:rPr>
        <w:t>expression,</w:t>
      </w:r>
      <w:r>
        <w:rPr>
          <w:spacing w:val="-11"/>
          <w:sz w:val="26"/>
        </w:rPr>
        <w:t xml:space="preserve"> </w:t>
      </w:r>
      <w:r>
        <w:rPr>
          <w:sz w:val="26"/>
        </w:rPr>
        <w:t>belief,</w:t>
      </w:r>
      <w:r>
        <w:rPr>
          <w:spacing w:val="-12"/>
          <w:sz w:val="26"/>
        </w:rPr>
        <w:t xml:space="preserve"> </w:t>
      </w:r>
      <w:r>
        <w:rPr>
          <w:sz w:val="26"/>
        </w:rPr>
        <w:t>faith</w:t>
      </w:r>
      <w:r>
        <w:rPr>
          <w:spacing w:val="-11"/>
          <w:sz w:val="26"/>
        </w:rPr>
        <w:t xml:space="preserve"> </w:t>
      </w:r>
      <w:r>
        <w:rPr>
          <w:sz w:val="26"/>
        </w:rPr>
        <w:t>and</w:t>
      </w:r>
      <w:r>
        <w:rPr>
          <w:spacing w:val="-11"/>
          <w:sz w:val="26"/>
        </w:rPr>
        <w:t xml:space="preserve"> </w:t>
      </w:r>
      <w:r>
        <w:rPr>
          <w:sz w:val="26"/>
        </w:rPr>
        <w:t>worship.</w:t>
      </w:r>
      <w:r>
        <w:rPr>
          <w:spacing w:val="50"/>
          <w:sz w:val="26"/>
        </w:rPr>
        <w:t xml:space="preserve"> </w:t>
      </w:r>
      <w:r>
        <w:rPr>
          <w:sz w:val="26"/>
        </w:rPr>
        <w:t xml:space="preserve">While recognising and protecting individual </w:t>
      </w:r>
      <w:r>
        <w:rPr>
          <w:b/>
          <w:sz w:val="26"/>
        </w:rPr>
        <w:t>liberty</w:t>
      </w:r>
      <w:r>
        <w:rPr>
          <w:sz w:val="26"/>
        </w:rPr>
        <w:t>, the Preamble underscores the importance</w:t>
      </w:r>
      <w:r>
        <w:rPr>
          <w:spacing w:val="29"/>
          <w:sz w:val="26"/>
        </w:rPr>
        <w:t xml:space="preserve"> </w:t>
      </w:r>
      <w:r>
        <w:rPr>
          <w:sz w:val="26"/>
        </w:rPr>
        <w:t>of</w:t>
      </w:r>
      <w:r>
        <w:rPr>
          <w:spacing w:val="30"/>
          <w:sz w:val="26"/>
        </w:rPr>
        <w:t xml:space="preserve"> </w:t>
      </w:r>
      <w:r>
        <w:rPr>
          <w:b/>
          <w:sz w:val="26"/>
        </w:rPr>
        <w:t>equality</w:t>
      </w:r>
      <w:r>
        <w:rPr>
          <w:sz w:val="26"/>
        </w:rPr>
        <w:t>,</w:t>
      </w:r>
      <w:r>
        <w:rPr>
          <w:spacing w:val="32"/>
          <w:sz w:val="26"/>
        </w:rPr>
        <w:t xml:space="preserve"> </w:t>
      </w:r>
      <w:r>
        <w:rPr>
          <w:sz w:val="26"/>
        </w:rPr>
        <w:t>both</w:t>
      </w:r>
      <w:r>
        <w:rPr>
          <w:spacing w:val="29"/>
          <w:sz w:val="26"/>
        </w:rPr>
        <w:t xml:space="preserve"> </w:t>
      </w:r>
      <w:r>
        <w:rPr>
          <w:sz w:val="26"/>
        </w:rPr>
        <w:t>in</w:t>
      </w:r>
      <w:r>
        <w:rPr>
          <w:spacing w:val="29"/>
          <w:sz w:val="26"/>
        </w:rPr>
        <w:t xml:space="preserve"> </w:t>
      </w:r>
      <w:r>
        <w:rPr>
          <w:sz w:val="26"/>
        </w:rPr>
        <w:t>terms</w:t>
      </w:r>
      <w:r>
        <w:rPr>
          <w:spacing w:val="29"/>
          <w:sz w:val="26"/>
        </w:rPr>
        <w:t xml:space="preserve"> </w:t>
      </w:r>
      <w:r>
        <w:rPr>
          <w:sz w:val="26"/>
        </w:rPr>
        <w:t>of</w:t>
      </w:r>
      <w:r>
        <w:rPr>
          <w:spacing w:val="31"/>
          <w:sz w:val="26"/>
        </w:rPr>
        <w:t xml:space="preserve"> </w:t>
      </w:r>
      <w:r>
        <w:rPr>
          <w:sz w:val="26"/>
        </w:rPr>
        <w:t>status</w:t>
      </w:r>
      <w:r>
        <w:rPr>
          <w:spacing w:val="29"/>
          <w:sz w:val="26"/>
        </w:rPr>
        <w:t xml:space="preserve"> </w:t>
      </w:r>
      <w:r>
        <w:rPr>
          <w:sz w:val="26"/>
        </w:rPr>
        <w:t>and</w:t>
      </w:r>
      <w:r>
        <w:rPr>
          <w:spacing w:val="29"/>
          <w:sz w:val="26"/>
        </w:rPr>
        <w:t xml:space="preserve"> </w:t>
      </w:r>
      <w:r>
        <w:rPr>
          <w:sz w:val="26"/>
        </w:rPr>
        <w:t>opportunity.</w:t>
      </w:r>
      <w:r>
        <w:rPr>
          <w:spacing w:val="29"/>
          <w:sz w:val="26"/>
        </w:rPr>
        <w:t xml:space="preserve"> </w:t>
      </w:r>
      <w:r>
        <w:rPr>
          <w:sz w:val="26"/>
        </w:rPr>
        <w:t>Above</w:t>
      </w:r>
      <w:r>
        <w:rPr>
          <w:spacing w:val="29"/>
          <w:sz w:val="26"/>
        </w:rPr>
        <w:t xml:space="preserve"> </w:t>
      </w:r>
      <w:r>
        <w:rPr>
          <w:sz w:val="26"/>
        </w:rPr>
        <w:t>all,</w:t>
      </w:r>
      <w:r>
        <w:rPr>
          <w:spacing w:val="29"/>
          <w:sz w:val="26"/>
        </w:rPr>
        <w:t xml:space="preserve"> </w:t>
      </w:r>
      <w:r>
        <w:rPr>
          <w:sz w:val="26"/>
        </w:rPr>
        <w:t>it</w:t>
      </w:r>
    </w:p>
    <w:p w:rsidR="003B2FC0" w:rsidRDefault="003B2FC0">
      <w:pPr>
        <w:rPr>
          <w:sz w:val="20"/>
        </w:rPr>
      </w:pPr>
    </w:p>
    <w:p w:rsidR="003B2FC0" w:rsidRDefault="003B2FC0">
      <w:pPr>
        <w:rPr>
          <w:sz w:val="20"/>
        </w:rPr>
      </w:pPr>
    </w:p>
    <w:p w:rsidR="003B2FC0" w:rsidRDefault="003B2FC0">
      <w:pPr>
        <w:rPr>
          <w:sz w:val="26"/>
        </w:rPr>
      </w:pPr>
      <w:r w:rsidRPr="003B2FC0">
        <w:pict>
          <v:line id="_x0000_s1137" style="position:absolute;z-index:-251590144;mso-wrap-distance-left:0;mso-wrap-distance-right:0;mso-position-horizontal-relative:page" from="1in,17.3pt" to="216.05pt,17.3pt" strokeweight=".72pt">
            <w10:wrap type="topAndBottom" anchorx="page"/>
          </v:line>
        </w:pict>
      </w:r>
    </w:p>
    <w:p w:rsidR="003B2FC0" w:rsidRDefault="00052A49">
      <w:pPr>
        <w:spacing w:before="66"/>
        <w:ind w:left="400"/>
        <w:rPr>
          <w:sz w:val="18"/>
        </w:rPr>
      </w:pPr>
      <w:r>
        <w:rPr>
          <w:position w:val="6"/>
          <w:sz w:val="12"/>
        </w:rPr>
        <w:t xml:space="preserve">1 </w:t>
      </w:r>
      <w:r>
        <w:rPr>
          <w:sz w:val="18"/>
        </w:rPr>
        <w:t>The Constitution (Forty-second) Amendment, 1976</w:t>
      </w:r>
    </w:p>
    <w:p w:rsidR="003B2FC0" w:rsidRDefault="003B2FC0">
      <w:pPr>
        <w:rPr>
          <w:sz w:val="18"/>
        </w:rPr>
        <w:sectPr w:rsidR="003B2FC0">
          <w:headerReference w:type="default" r:id="rId341"/>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ind w:left="400"/>
        <w:rPr>
          <w:b/>
          <w:sz w:val="26"/>
        </w:rPr>
      </w:pPr>
      <w:r>
        <w:rPr>
          <w:sz w:val="26"/>
        </w:rPr>
        <w:t xml:space="preserve">seeks to promote among all citizens </w:t>
      </w:r>
      <w:r>
        <w:rPr>
          <w:b/>
          <w:sz w:val="26"/>
        </w:rPr>
        <w:t xml:space="preserve">fraternity </w:t>
      </w:r>
      <w:r>
        <w:rPr>
          <w:sz w:val="26"/>
        </w:rPr>
        <w:t xml:space="preserve">which would assure the </w:t>
      </w:r>
      <w:r>
        <w:rPr>
          <w:b/>
          <w:sz w:val="26"/>
        </w:rPr>
        <w:t>dignity</w:t>
      </w:r>
    </w:p>
    <w:p w:rsidR="003B2FC0" w:rsidRDefault="003B2FC0">
      <w:pPr>
        <w:rPr>
          <w:b/>
          <w:sz w:val="26"/>
        </w:rPr>
      </w:pPr>
    </w:p>
    <w:p w:rsidR="003B2FC0" w:rsidRDefault="00052A49">
      <w:pPr>
        <w:ind w:left="400"/>
        <w:rPr>
          <w:sz w:val="26"/>
        </w:rPr>
      </w:pPr>
      <w:r>
        <w:rPr>
          <w:sz w:val="26"/>
        </w:rPr>
        <w:t>of the individual.</w:t>
      </w:r>
    </w:p>
    <w:p w:rsidR="003B2FC0" w:rsidRDefault="003B2FC0">
      <w:pPr>
        <w:rPr>
          <w:sz w:val="28"/>
        </w:rPr>
      </w:pPr>
    </w:p>
    <w:p w:rsidR="003B2FC0" w:rsidRDefault="003B2FC0">
      <w:pPr>
        <w:rPr>
          <w:sz w:val="28"/>
        </w:rPr>
      </w:pPr>
    </w:p>
    <w:p w:rsidR="003B2FC0" w:rsidRDefault="003B2FC0">
      <w:pPr>
        <w:spacing w:before="10"/>
        <w:rPr>
          <w:sz w:val="30"/>
        </w:rPr>
      </w:pPr>
    </w:p>
    <w:p w:rsidR="003B2FC0" w:rsidRDefault="00052A49">
      <w:pPr>
        <w:pStyle w:val="ListParagraph"/>
        <w:numPr>
          <w:ilvl w:val="0"/>
          <w:numId w:val="39"/>
        </w:numPr>
        <w:tabs>
          <w:tab w:val="left" w:pos="1121"/>
        </w:tabs>
        <w:spacing w:line="480" w:lineRule="auto"/>
        <w:ind w:right="431" w:firstLine="0"/>
        <w:jc w:val="both"/>
        <w:rPr>
          <w:sz w:val="26"/>
        </w:rPr>
      </w:pPr>
      <w:r>
        <w:rPr>
          <w:sz w:val="26"/>
        </w:rPr>
        <w:t>The</w:t>
      </w:r>
      <w:r>
        <w:rPr>
          <w:spacing w:val="-5"/>
          <w:sz w:val="26"/>
        </w:rPr>
        <w:t xml:space="preserve"> </w:t>
      </w:r>
      <w:r>
        <w:rPr>
          <w:sz w:val="26"/>
        </w:rPr>
        <w:t>significance</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Preamble</w:t>
      </w:r>
      <w:r>
        <w:rPr>
          <w:spacing w:val="-4"/>
          <w:sz w:val="26"/>
        </w:rPr>
        <w:t xml:space="preserve"> </w:t>
      </w:r>
      <w:r>
        <w:rPr>
          <w:sz w:val="26"/>
        </w:rPr>
        <w:t>lies</w:t>
      </w:r>
      <w:r>
        <w:rPr>
          <w:spacing w:val="-5"/>
          <w:sz w:val="26"/>
        </w:rPr>
        <w:t xml:space="preserve"> </w:t>
      </w:r>
      <w:r>
        <w:rPr>
          <w:sz w:val="26"/>
        </w:rPr>
        <w:t>both</w:t>
      </w:r>
      <w:r>
        <w:rPr>
          <w:spacing w:val="-5"/>
          <w:sz w:val="26"/>
        </w:rPr>
        <w:t xml:space="preserve"> </w:t>
      </w:r>
      <w:r>
        <w:rPr>
          <w:sz w:val="26"/>
        </w:rPr>
        <w:t>in</w:t>
      </w:r>
      <w:r>
        <w:rPr>
          <w:spacing w:val="-3"/>
          <w:sz w:val="26"/>
        </w:rPr>
        <w:t xml:space="preserve"> </w:t>
      </w:r>
      <w:r>
        <w:rPr>
          <w:sz w:val="26"/>
        </w:rPr>
        <w:t>its</w:t>
      </w:r>
      <w:r>
        <w:rPr>
          <w:spacing w:val="-5"/>
          <w:sz w:val="26"/>
        </w:rPr>
        <w:t xml:space="preserve"> </w:t>
      </w:r>
      <w:r>
        <w:rPr>
          <w:sz w:val="26"/>
        </w:rPr>
        <w:t>setting</w:t>
      </w:r>
      <w:r>
        <w:rPr>
          <w:spacing w:val="-5"/>
          <w:sz w:val="26"/>
        </w:rPr>
        <w:t xml:space="preserve"> </w:t>
      </w:r>
      <w:r>
        <w:rPr>
          <w:sz w:val="26"/>
        </w:rPr>
        <w:t>forth</w:t>
      </w:r>
      <w:r>
        <w:rPr>
          <w:spacing w:val="-5"/>
          <w:sz w:val="26"/>
        </w:rPr>
        <w:t xml:space="preserve"> </w:t>
      </w:r>
      <w:r>
        <w:rPr>
          <w:sz w:val="26"/>
        </w:rPr>
        <w:t>the</w:t>
      </w:r>
      <w:r>
        <w:rPr>
          <w:spacing w:val="-3"/>
          <w:sz w:val="26"/>
        </w:rPr>
        <w:t xml:space="preserve"> </w:t>
      </w:r>
      <w:r>
        <w:rPr>
          <w:sz w:val="26"/>
        </w:rPr>
        <w:t>founding principles</w:t>
      </w:r>
      <w:r>
        <w:rPr>
          <w:spacing w:val="-7"/>
          <w:sz w:val="26"/>
        </w:rPr>
        <w:t xml:space="preserve"> </w:t>
      </w:r>
      <w:r>
        <w:rPr>
          <w:sz w:val="26"/>
        </w:rPr>
        <w:t>of</w:t>
      </w:r>
      <w:r>
        <w:rPr>
          <w:spacing w:val="-8"/>
          <w:sz w:val="26"/>
        </w:rPr>
        <w:t xml:space="preserve"> </w:t>
      </w:r>
      <w:r>
        <w:rPr>
          <w:sz w:val="26"/>
        </w:rPr>
        <w:t>the</w:t>
      </w:r>
      <w:r>
        <w:rPr>
          <w:spacing w:val="-7"/>
          <w:sz w:val="26"/>
        </w:rPr>
        <w:t xml:space="preserve"> </w:t>
      </w:r>
      <w:r>
        <w:rPr>
          <w:sz w:val="26"/>
        </w:rPr>
        <w:t>Constitution</w:t>
      </w:r>
      <w:r>
        <w:rPr>
          <w:spacing w:val="-6"/>
          <w:sz w:val="26"/>
        </w:rPr>
        <w:t xml:space="preserve"> </w:t>
      </w:r>
      <w:r>
        <w:rPr>
          <w:sz w:val="26"/>
        </w:rPr>
        <w:t>as</w:t>
      </w:r>
      <w:r>
        <w:rPr>
          <w:spacing w:val="-4"/>
          <w:sz w:val="26"/>
        </w:rPr>
        <w:t xml:space="preserve"> </w:t>
      </w:r>
      <w:r>
        <w:rPr>
          <w:sz w:val="26"/>
        </w:rPr>
        <w:t>well</w:t>
      </w:r>
      <w:r>
        <w:rPr>
          <w:spacing w:val="-9"/>
          <w:sz w:val="26"/>
        </w:rPr>
        <w:t xml:space="preserve"> </w:t>
      </w:r>
      <w:r>
        <w:rPr>
          <w:sz w:val="26"/>
        </w:rPr>
        <w:t>as</w:t>
      </w:r>
      <w:r>
        <w:rPr>
          <w:spacing w:val="-8"/>
          <w:sz w:val="26"/>
        </w:rPr>
        <w:t xml:space="preserve"> </w:t>
      </w:r>
      <w:r>
        <w:rPr>
          <w:sz w:val="26"/>
        </w:rPr>
        <w:t>in</w:t>
      </w:r>
      <w:r>
        <w:rPr>
          <w:spacing w:val="-6"/>
          <w:sz w:val="26"/>
        </w:rPr>
        <w:t xml:space="preserve"> </w:t>
      </w:r>
      <w:r>
        <w:rPr>
          <w:sz w:val="26"/>
        </w:rPr>
        <w:t>the</w:t>
      </w:r>
      <w:r>
        <w:rPr>
          <w:spacing w:val="-9"/>
          <w:sz w:val="26"/>
        </w:rPr>
        <w:t xml:space="preserve"> </w:t>
      </w:r>
      <w:r>
        <w:rPr>
          <w:sz w:val="26"/>
        </w:rPr>
        <w:t>broad</w:t>
      </w:r>
      <w:r>
        <w:rPr>
          <w:spacing w:val="-6"/>
          <w:sz w:val="26"/>
        </w:rPr>
        <w:t xml:space="preserve"> </w:t>
      </w:r>
      <w:r>
        <w:rPr>
          <w:sz w:val="26"/>
        </w:rPr>
        <w:t>sweep</w:t>
      </w:r>
      <w:r>
        <w:rPr>
          <w:spacing w:val="-7"/>
          <w:sz w:val="26"/>
        </w:rPr>
        <w:t xml:space="preserve"> </w:t>
      </w:r>
      <w:r>
        <w:rPr>
          <w:sz w:val="26"/>
        </w:rPr>
        <w:t>of</w:t>
      </w:r>
      <w:r>
        <w:rPr>
          <w:spacing w:val="-6"/>
          <w:sz w:val="26"/>
        </w:rPr>
        <w:t xml:space="preserve"> </w:t>
      </w:r>
      <w:r>
        <w:rPr>
          <w:sz w:val="26"/>
        </w:rPr>
        <w:t>their</w:t>
      </w:r>
      <w:r>
        <w:rPr>
          <w:spacing w:val="-8"/>
          <w:sz w:val="26"/>
        </w:rPr>
        <w:t xml:space="preserve"> </w:t>
      </w:r>
      <w:r>
        <w:rPr>
          <w:sz w:val="26"/>
        </w:rPr>
        <w:t>content.</w:t>
      </w:r>
      <w:r>
        <w:rPr>
          <w:spacing w:val="-9"/>
          <w:sz w:val="26"/>
        </w:rPr>
        <w:t xml:space="preserve"> </w:t>
      </w:r>
      <w:r>
        <w:rPr>
          <w:sz w:val="26"/>
        </w:rPr>
        <w:t>The Constitution was brought into existence to oversee a radical transformation. There</w:t>
      </w:r>
      <w:r>
        <w:rPr>
          <w:spacing w:val="-15"/>
          <w:sz w:val="26"/>
        </w:rPr>
        <w:t xml:space="preserve"> </w:t>
      </w:r>
      <w:r>
        <w:rPr>
          <w:sz w:val="26"/>
        </w:rPr>
        <w:t>would</w:t>
      </w:r>
      <w:r>
        <w:rPr>
          <w:spacing w:val="-14"/>
          <w:sz w:val="26"/>
        </w:rPr>
        <w:t xml:space="preserve"> </w:t>
      </w:r>
      <w:r>
        <w:rPr>
          <w:sz w:val="26"/>
        </w:rPr>
        <w:t>be</w:t>
      </w:r>
      <w:r>
        <w:rPr>
          <w:spacing w:val="-15"/>
          <w:sz w:val="26"/>
        </w:rPr>
        <w:t xml:space="preserve"> </w:t>
      </w:r>
      <w:r>
        <w:rPr>
          <w:sz w:val="26"/>
        </w:rPr>
        <w:t>a</w:t>
      </w:r>
      <w:r>
        <w:rPr>
          <w:spacing w:val="-14"/>
          <w:sz w:val="26"/>
        </w:rPr>
        <w:t xml:space="preserve"> </w:t>
      </w:r>
      <w:r>
        <w:rPr>
          <w:sz w:val="26"/>
        </w:rPr>
        <w:t>transformation</w:t>
      </w:r>
      <w:r>
        <w:rPr>
          <w:spacing w:val="-14"/>
          <w:sz w:val="26"/>
        </w:rPr>
        <w:t xml:space="preserve"> </w:t>
      </w:r>
      <w:r>
        <w:rPr>
          <w:sz w:val="26"/>
        </w:rPr>
        <w:t>of</w:t>
      </w:r>
      <w:r>
        <w:rPr>
          <w:spacing w:val="-15"/>
          <w:sz w:val="26"/>
        </w:rPr>
        <w:t xml:space="preserve"> </w:t>
      </w:r>
      <w:r>
        <w:rPr>
          <w:sz w:val="26"/>
        </w:rPr>
        <w:t>political</w:t>
      </w:r>
      <w:r>
        <w:rPr>
          <w:spacing w:val="-14"/>
          <w:sz w:val="26"/>
        </w:rPr>
        <w:t xml:space="preserve"> </w:t>
      </w:r>
      <w:r>
        <w:rPr>
          <w:sz w:val="26"/>
        </w:rPr>
        <w:t>power</w:t>
      </w:r>
      <w:r>
        <w:rPr>
          <w:spacing w:val="-15"/>
          <w:sz w:val="26"/>
        </w:rPr>
        <w:t xml:space="preserve"> </w:t>
      </w:r>
      <w:r>
        <w:rPr>
          <w:sz w:val="26"/>
        </w:rPr>
        <w:t>from</w:t>
      </w:r>
      <w:r>
        <w:rPr>
          <w:spacing w:val="-14"/>
          <w:sz w:val="26"/>
        </w:rPr>
        <w:t xml:space="preserve"> </w:t>
      </w:r>
      <w:r>
        <w:rPr>
          <w:sz w:val="26"/>
        </w:rPr>
        <w:t>a</w:t>
      </w:r>
      <w:r>
        <w:rPr>
          <w:spacing w:val="-14"/>
          <w:sz w:val="26"/>
        </w:rPr>
        <w:t xml:space="preserve"> </w:t>
      </w:r>
      <w:r>
        <w:rPr>
          <w:sz w:val="26"/>
        </w:rPr>
        <w:t>colonial</w:t>
      </w:r>
      <w:r>
        <w:rPr>
          <w:spacing w:val="-15"/>
          <w:sz w:val="26"/>
        </w:rPr>
        <w:t xml:space="preserve"> </w:t>
      </w:r>
      <w:r>
        <w:rPr>
          <w:sz w:val="26"/>
        </w:rPr>
        <w:t>regime.</w:t>
      </w:r>
      <w:r>
        <w:rPr>
          <w:spacing w:val="-14"/>
          <w:sz w:val="26"/>
        </w:rPr>
        <w:t xml:space="preserve"> </w:t>
      </w:r>
      <w:r>
        <w:rPr>
          <w:sz w:val="26"/>
        </w:rPr>
        <w:t>There was to</w:t>
      </w:r>
      <w:r>
        <w:rPr>
          <w:sz w:val="26"/>
        </w:rPr>
        <w:t xml:space="preserve"> be a transformation in the structure of governance. Above all</w:t>
      </w:r>
      <w:r>
        <w:rPr>
          <w:spacing w:val="18"/>
          <w:sz w:val="26"/>
        </w:rPr>
        <w:t xml:space="preserve"> </w:t>
      </w:r>
      <w:r>
        <w:rPr>
          <w:sz w:val="26"/>
        </w:rPr>
        <w:t xml:space="preserve">the Constitution envisages a transformation in the position of the individual, as a focal point of a just society. The institutions through which the nation would be governed would be subsumed </w:t>
      </w:r>
      <w:r>
        <w:rPr>
          <w:sz w:val="26"/>
        </w:rPr>
        <w:t>in a democratic polity where real power both in legal and political terms would be entrusted to the people. The purpose of adopting a democratic Constitution was to allow a peaceful transition from a colonial</w:t>
      </w:r>
      <w:r>
        <w:rPr>
          <w:spacing w:val="-10"/>
          <w:sz w:val="26"/>
        </w:rPr>
        <w:t xml:space="preserve"> </w:t>
      </w:r>
      <w:r>
        <w:rPr>
          <w:sz w:val="26"/>
        </w:rPr>
        <w:t>power</w:t>
      </w:r>
      <w:r>
        <w:rPr>
          <w:spacing w:val="-11"/>
          <w:sz w:val="26"/>
        </w:rPr>
        <w:t xml:space="preserve"> </w:t>
      </w:r>
      <w:r>
        <w:rPr>
          <w:sz w:val="26"/>
        </w:rPr>
        <w:t>to</w:t>
      </w:r>
      <w:r>
        <w:rPr>
          <w:spacing w:val="-9"/>
          <w:sz w:val="26"/>
        </w:rPr>
        <w:t xml:space="preserve"> </w:t>
      </w:r>
      <w:r>
        <w:rPr>
          <w:sz w:val="26"/>
        </w:rPr>
        <w:t>home</w:t>
      </w:r>
      <w:r>
        <w:rPr>
          <w:spacing w:val="-11"/>
          <w:sz w:val="26"/>
        </w:rPr>
        <w:t xml:space="preserve"> </w:t>
      </w:r>
      <w:r>
        <w:rPr>
          <w:sz w:val="26"/>
        </w:rPr>
        <w:t>rule.</w:t>
      </w:r>
      <w:r>
        <w:rPr>
          <w:spacing w:val="52"/>
          <w:sz w:val="26"/>
        </w:rPr>
        <w:t xml:space="preserve"> </w:t>
      </w:r>
      <w:r>
        <w:rPr>
          <w:sz w:val="26"/>
        </w:rPr>
        <w:t>In</w:t>
      </w:r>
      <w:r>
        <w:rPr>
          <w:spacing w:val="-9"/>
          <w:sz w:val="26"/>
        </w:rPr>
        <w:t xml:space="preserve"> </w:t>
      </w:r>
      <w:r>
        <w:rPr>
          <w:sz w:val="26"/>
        </w:rPr>
        <w:t>understanding</w:t>
      </w:r>
      <w:r>
        <w:rPr>
          <w:spacing w:val="-12"/>
          <w:sz w:val="26"/>
        </w:rPr>
        <w:t xml:space="preserve"> </w:t>
      </w:r>
      <w:r>
        <w:rPr>
          <w:sz w:val="26"/>
        </w:rPr>
        <w:t>the</w:t>
      </w:r>
      <w:r>
        <w:rPr>
          <w:spacing w:val="-12"/>
          <w:sz w:val="26"/>
        </w:rPr>
        <w:t xml:space="preserve"> </w:t>
      </w:r>
      <w:r>
        <w:rPr>
          <w:sz w:val="26"/>
        </w:rPr>
        <w:t>fundamental</w:t>
      </w:r>
      <w:r>
        <w:rPr>
          <w:spacing w:val="-12"/>
          <w:sz w:val="26"/>
        </w:rPr>
        <w:t xml:space="preserve"> </w:t>
      </w:r>
      <w:r>
        <w:rPr>
          <w:sz w:val="26"/>
        </w:rPr>
        <w:t>principles</w:t>
      </w:r>
      <w:r>
        <w:rPr>
          <w:spacing w:val="-9"/>
          <w:sz w:val="26"/>
        </w:rPr>
        <w:t xml:space="preserve"> </w:t>
      </w:r>
      <w:r>
        <w:rPr>
          <w:sz w:val="26"/>
        </w:rPr>
        <w:t>of</w:t>
      </w:r>
      <w:r>
        <w:rPr>
          <w:spacing w:val="-12"/>
          <w:sz w:val="26"/>
        </w:rPr>
        <w:t xml:space="preserve"> </w:t>
      </w:r>
      <w:r>
        <w:rPr>
          <w:sz w:val="26"/>
        </w:rPr>
        <w:t>the Constitution which find reflection in the Preamble, it is crucial to notice that the transfer of political power from a colonial regime was but one of the purposes which the framers sought to achieve. The transfer of political</w:t>
      </w:r>
      <w:r>
        <w:rPr>
          <w:sz w:val="26"/>
        </w:rPr>
        <w:t xml:space="preserve"> power furnished the</w:t>
      </w:r>
      <w:r>
        <w:rPr>
          <w:spacing w:val="-9"/>
          <w:sz w:val="26"/>
        </w:rPr>
        <w:t xml:space="preserve"> </w:t>
      </w:r>
      <w:r>
        <w:rPr>
          <w:sz w:val="26"/>
        </w:rPr>
        <w:t>imperative</w:t>
      </w:r>
      <w:r>
        <w:rPr>
          <w:spacing w:val="-9"/>
          <w:sz w:val="26"/>
        </w:rPr>
        <w:t xml:space="preserve"> </w:t>
      </w:r>
      <w:r>
        <w:rPr>
          <w:sz w:val="26"/>
        </w:rPr>
        <w:t>for</w:t>
      </w:r>
      <w:r>
        <w:rPr>
          <w:spacing w:val="-7"/>
          <w:sz w:val="26"/>
        </w:rPr>
        <w:t xml:space="preserve"> </w:t>
      </w:r>
      <w:r>
        <w:rPr>
          <w:sz w:val="26"/>
        </w:rPr>
        <w:t>drafting</w:t>
      </w:r>
      <w:r>
        <w:rPr>
          <w:spacing w:val="-9"/>
          <w:sz w:val="26"/>
        </w:rPr>
        <w:t xml:space="preserve"> </w:t>
      </w:r>
      <w:r>
        <w:rPr>
          <w:sz w:val="26"/>
        </w:rPr>
        <w:t>a</w:t>
      </w:r>
      <w:r>
        <w:rPr>
          <w:spacing w:val="-7"/>
          <w:sz w:val="26"/>
        </w:rPr>
        <w:t xml:space="preserve"> </w:t>
      </w:r>
      <w:r>
        <w:rPr>
          <w:sz w:val="26"/>
        </w:rPr>
        <w:t>fundamental</w:t>
      </w:r>
      <w:r>
        <w:rPr>
          <w:spacing w:val="-8"/>
          <w:sz w:val="26"/>
        </w:rPr>
        <w:t xml:space="preserve"> </w:t>
      </w:r>
      <w:r>
        <w:rPr>
          <w:sz w:val="26"/>
        </w:rPr>
        <w:t>text</w:t>
      </w:r>
      <w:r>
        <w:rPr>
          <w:spacing w:val="-9"/>
          <w:sz w:val="26"/>
        </w:rPr>
        <w:t xml:space="preserve"> </w:t>
      </w:r>
      <w:r>
        <w:rPr>
          <w:sz w:val="26"/>
        </w:rPr>
        <w:t>of</w:t>
      </w:r>
      <w:r>
        <w:rPr>
          <w:spacing w:val="-7"/>
          <w:sz w:val="26"/>
        </w:rPr>
        <w:t xml:space="preserve"> </w:t>
      </w:r>
      <w:r>
        <w:rPr>
          <w:sz w:val="26"/>
        </w:rPr>
        <w:t>governance.</w:t>
      </w:r>
      <w:r>
        <w:rPr>
          <w:spacing w:val="-9"/>
          <w:sz w:val="26"/>
        </w:rPr>
        <w:t xml:space="preserve"> </w:t>
      </w:r>
      <w:r>
        <w:rPr>
          <w:sz w:val="26"/>
        </w:rPr>
        <w:t>But</w:t>
      </w:r>
      <w:r>
        <w:rPr>
          <w:spacing w:val="-9"/>
          <w:sz w:val="26"/>
        </w:rPr>
        <w:t xml:space="preserve"> </w:t>
      </w:r>
      <w:r>
        <w:rPr>
          <w:sz w:val="26"/>
        </w:rPr>
        <w:t>the</w:t>
      </w:r>
      <w:r>
        <w:rPr>
          <w:spacing w:val="-9"/>
          <w:sz w:val="26"/>
        </w:rPr>
        <w:t xml:space="preserve"> </w:t>
      </w:r>
      <w:r>
        <w:rPr>
          <w:sz w:val="26"/>
        </w:rPr>
        <w:t>task</w:t>
      </w:r>
      <w:r>
        <w:rPr>
          <w:spacing w:val="-7"/>
          <w:sz w:val="26"/>
        </w:rPr>
        <w:t xml:space="preserve"> </w:t>
      </w:r>
      <w:r>
        <w:rPr>
          <w:sz w:val="26"/>
        </w:rPr>
        <w:t>which the framers assumed was infinitely more sensitive. They took upon</w:t>
      </w:r>
      <w:r>
        <w:rPr>
          <w:spacing w:val="-39"/>
          <w:sz w:val="26"/>
        </w:rPr>
        <w:t xml:space="preserve"> </w:t>
      </w:r>
      <w:r>
        <w:rPr>
          <w:sz w:val="26"/>
        </w:rPr>
        <w:t>themselves above all, the task to transform Indian society by remedying centuries</w:t>
      </w:r>
      <w:r>
        <w:rPr>
          <w:spacing w:val="46"/>
          <w:sz w:val="26"/>
        </w:rPr>
        <w:t xml:space="preserve"> </w:t>
      </w:r>
      <w:r>
        <w:rPr>
          <w:sz w:val="26"/>
        </w:rPr>
        <w:t>of discrim</w:t>
      </w:r>
      <w:r>
        <w:rPr>
          <w:sz w:val="26"/>
        </w:rPr>
        <w:t>ination against Dalits, women and the marginalised. They sought to provide them a voice by creating a culture of rights and a political environment to</w:t>
      </w:r>
      <w:r>
        <w:rPr>
          <w:spacing w:val="9"/>
          <w:sz w:val="26"/>
        </w:rPr>
        <w:t xml:space="preserve"> </w:t>
      </w:r>
      <w:r>
        <w:rPr>
          <w:sz w:val="26"/>
        </w:rPr>
        <w:t>assert</w:t>
      </w:r>
      <w:r>
        <w:rPr>
          <w:spacing w:val="9"/>
          <w:sz w:val="26"/>
        </w:rPr>
        <w:t xml:space="preserve"> </w:t>
      </w:r>
      <w:r>
        <w:rPr>
          <w:sz w:val="26"/>
        </w:rPr>
        <w:t>freedom.</w:t>
      </w:r>
      <w:r>
        <w:rPr>
          <w:spacing w:val="11"/>
          <w:sz w:val="26"/>
        </w:rPr>
        <w:t xml:space="preserve"> </w:t>
      </w:r>
      <w:r>
        <w:rPr>
          <w:sz w:val="26"/>
        </w:rPr>
        <w:t>Above</w:t>
      </w:r>
      <w:r>
        <w:rPr>
          <w:spacing w:val="9"/>
          <w:sz w:val="26"/>
        </w:rPr>
        <w:t xml:space="preserve"> </w:t>
      </w:r>
      <w:r>
        <w:rPr>
          <w:sz w:val="26"/>
        </w:rPr>
        <w:t>all,</w:t>
      </w:r>
      <w:r>
        <w:rPr>
          <w:spacing w:val="10"/>
          <w:sz w:val="26"/>
        </w:rPr>
        <w:t xml:space="preserve"> </w:t>
      </w:r>
      <w:r>
        <w:rPr>
          <w:sz w:val="26"/>
        </w:rPr>
        <w:t>placing</w:t>
      </w:r>
      <w:r>
        <w:rPr>
          <w:spacing w:val="9"/>
          <w:sz w:val="26"/>
        </w:rPr>
        <w:t xml:space="preserve"> </w:t>
      </w:r>
      <w:r>
        <w:rPr>
          <w:sz w:val="26"/>
        </w:rPr>
        <w:t>those</w:t>
      </w:r>
      <w:r>
        <w:rPr>
          <w:spacing w:val="10"/>
          <w:sz w:val="26"/>
        </w:rPr>
        <w:t xml:space="preserve"> </w:t>
      </w:r>
      <w:r>
        <w:rPr>
          <w:sz w:val="26"/>
        </w:rPr>
        <w:t>who</w:t>
      </w:r>
      <w:r>
        <w:rPr>
          <w:spacing w:val="11"/>
          <w:sz w:val="26"/>
        </w:rPr>
        <w:t xml:space="preserve"> </w:t>
      </w:r>
      <w:r>
        <w:rPr>
          <w:sz w:val="26"/>
        </w:rPr>
        <w:t>were</w:t>
      </w:r>
      <w:r>
        <w:rPr>
          <w:spacing w:val="9"/>
          <w:sz w:val="26"/>
        </w:rPr>
        <w:t xml:space="preserve"> </w:t>
      </w:r>
      <w:r>
        <w:rPr>
          <w:sz w:val="26"/>
        </w:rPr>
        <w:t>denuded</w:t>
      </w:r>
      <w:r>
        <w:rPr>
          <w:spacing w:val="10"/>
          <w:sz w:val="26"/>
        </w:rPr>
        <w:t xml:space="preserve"> </w:t>
      </w:r>
      <w:r>
        <w:rPr>
          <w:sz w:val="26"/>
        </w:rPr>
        <w:t>of</w:t>
      </w:r>
      <w:r>
        <w:rPr>
          <w:spacing w:val="9"/>
          <w:sz w:val="26"/>
        </w:rPr>
        <w:t xml:space="preserve"> </w:t>
      </w:r>
      <w:r>
        <w:rPr>
          <w:sz w:val="26"/>
        </w:rPr>
        <w:t>their</w:t>
      </w:r>
      <w:r>
        <w:rPr>
          <w:spacing w:val="10"/>
          <w:sz w:val="26"/>
        </w:rPr>
        <w:t xml:space="preserve"> </w:t>
      </w:r>
      <w:r>
        <w:rPr>
          <w:sz w:val="26"/>
        </w:rPr>
        <w:t>human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rights before the advent of the Constitution – whether in the veneer of caste, patriarchy or otherwise – were to be placed in control of their own destinies by the assurance of the equal protection of law. Fundamental to their vision was the ability of the</w:t>
      </w:r>
      <w:r>
        <w:rPr>
          <w:sz w:val="26"/>
        </w:rPr>
        <w:t xml:space="preserve"> Constitution to pursue a social transformation. Intrinsic to the social transformation is the role of each individual citizen in securing justice, liberty, equality and fraternity in all its dimensions.</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before="1" w:line="480" w:lineRule="auto"/>
        <w:ind w:right="434" w:firstLine="0"/>
        <w:jc w:val="both"/>
        <w:rPr>
          <w:sz w:val="26"/>
        </w:rPr>
      </w:pPr>
      <w:r>
        <w:rPr>
          <w:sz w:val="26"/>
        </w:rPr>
        <w:t>The four founding principles are not disjunctive. Together, the values which</w:t>
      </w:r>
      <w:r>
        <w:rPr>
          <w:spacing w:val="-7"/>
          <w:sz w:val="26"/>
        </w:rPr>
        <w:t xml:space="preserve"> </w:t>
      </w:r>
      <w:r>
        <w:rPr>
          <w:sz w:val="26"/>
        </w:rPr>
        <w:t>they</w:t>
      </w:r>
      <w:r>
        <w:rPr>
          <w:spacing w:val="-9"/>
          <w:sz w:val="26"/>
        </w:rPr>
        <w:t xml:space="preserve"> </w:t>
      </w:r>
      <w:r>
        <w:rPr>
          <w:sz w:val="26"/>
        </w:rPr>
        <w:t>incorporate</w:t>
      </w:r>
      <w:r>
        <w:rPr>
          <w:spacing w:val="-7"/>
          <w:sz w:val="26"/>
        </w:rPr>
        <w:t xml:space="preserve"> </w:t>
      </w:r>
      <w:r>
        <w:rPr>
          <w:sz w:val="26"/>
        </w:rPr>
        <w:t>within</w:t>
      </w:r>
      <w:r>
        <w:rPr>
          <w:spacing w:val="-7"/>
          <w:sz w:val="26"/>
        </w:rPr>
        <w:t xml:space="preserve"> </w:t>
      </w:r>
      <w:r>
        <w:rPr>
          <w:sz w:val="26"/>
        </w:rPr>
        <w:t>each</w:t>
      </w:r>
      <w:r>
        <w:rPr>
          <w:spacing w:val="-7"/>
          <w:sz w:val="26"/>
        </w:rPr>
        <w:t xml:space="preserve"> </w:t>
      </w:r>
      <w:r>
        <w:rPr>
          <w:sz w:val="26"/>
        </w:rPr>
        <w:t>principle</w:t>
      </w:r>
      <w:r>
        <w:rPr>
          <w:spacing w:val="-7"/>
          <w:sz w:val="26"/>
        </w:rPr>
        <w:t xml:space="preserve"> </w:t>
      </w:r>
      <w:r>
        <w:rPr>
          <w:sz w:val="26"/>
        </w:rPr>
        <w:t>coalesce</w:t>
      </w:r>
      <w:r>
        <w:rPr>
          <w:spacing w:val="-7"/>
          <w:sz w:val="26"/>
        </w:rPr>
        <w:t xml:space="preserve"> </w:t>
      </w:r>
      <w:r>
        <w:rPr>
          <w:sz w:val="26"/>
        </w:rPr>
        <w:t>in</w:t>
      </w:r>
      <w:r>
        <w:rPr>
          <w:spacing w:val="-7"/>
          <w:sz w:val="26"/>
        </w:rPr>
        <w:t xml:space="preserve"> </w:t>
      </w:r>
      <w:r>
        <w:rPr>
          <w:sz w:val="26"/>
        </w:rPr>
        <w:t>achieving</w:t>
      </w:r>
      <w:r>
        <w:rPr>
          <w:spacing w:val="-7"/>
          <w:sz w:val="26"/>
        </w:rPr>
        <w:t xml:space="preserve"> </w:t>
      </w:r>
      <w:r>
        <w:rPr>
          <w:sz w:val="26"/>
        </w:rPr>
        <w:t>the</w:t>
      </w:r>
      <w:r>
        <w:rPr>
          <w:spacing w:val="-7"/>
          <w:sz w:val="26"/>
        </w:rPr>
        <w:t xml:space="preserve"> </w:t>
      </w:r>
      <w:r>
        <w:rPr>
          <w:sz w:val="26"/>
        </w:rPr>
        <w:t>fulfilment of</w:t>
      </w:r>
      <w:r>
        <w:rPr>
          <w:spacing w:val="-20"/>
          <w:sz w:val="26"/>
        </w:rPr>
        <w:t xml:space="preserve"> </w:t>
      </w:r>
      <w:r>
        <w:rPr>
          <w:sz w:val="26"/>
        </w:rPr>
        <w:t>human</w:t>
      </w:r>
      <w:r>
        <w:rPr>
          <w:spacing w:val="-19"/>
          <w:sz w:val="26"/>
        </w:rPr>
        <w:t xml:space="preserve"> </w:t>
      </w:r>
      <w:r>
        <w:rPr>
          <w:sz w:val="26"/>
        </w:rPr>
        <w:t>happiness.</w:t>
      </w:r>
      <w:r>
        <w:rPr>
          <w:spacing w:val="-15"/>
          <w:sz w:val="26"/>
        </w:rPr>
        <w:t xml:space="preserve"> </w:t>
      </w:r>
      <w:r>
        <w:rPr>
          <w:sz w:val="26"/>
        </w:rPr>
        <w:t>The</w:t>
      </w:r>
      <w:r>
        <w:rPr>
          <w:spacing w:val="-19"/>
          <w:sz w:val="26"/>
        </w:rPr>
        <w:t xml:space="preserve"> </w:t>
      </w:r>
      <w:r>
        <w:rPr>
          <w:sz w:val="26"/>
        </w:rPr>
        <w:t>universe</w:t>
      </w:r>
      <w:r>
        <w:rPr>
          <w:spacing w:val="-19"/>
          <w:sz w:val="26"/>
        </w:rPr>
        <w:t xml:space="preserve"> </w:t>
      </w:r>
      <w:r>
        <w:rPr>
          <w:sz w:val="26"/>
        </w:rPr>
        <w:t>encompassed</w:t>
      </w:r>
      <w:r>
        <w:rPr>
          <w:spacing w:val="-17"/>
          <w:sz w:val="26"/>
        </w:rPr>
        <w:t xml:space="preserve"> </w:t>
      </w:r>
      <w:r>
        <w:rPr>
          <w:sz w:val="26"/>
        </w:rPr>
        <w:t>by</w:t>
      </w:r>
      <w:r>
        <w:rPr>
          <w:spacing w:val="-21"/>
          <w:sz w:val="26"/>
        </w:rPr>
        <w:t xml:space="preserve"> </w:t>
      </w:r>
      <w:r>
        <w:rPr>
          <w:sz w:val="26"/>
        </w:rPr>
        <w:t>the</w:t>
      </w:r>
      <w:r>
        <w:rPr>
          <w:spacing w:val="-17"/>
          <w:sz w:val="26"/>
        </w:rPr>
        <w:t xml:space="preserve"> </w:t>
      </w:r>
      <w:r>
        <w:rPr>
          <w:sz w:val="26"/>
        </w:rPr>
        <w:t>four</w:t>
      </w:r>
      <w:r>
        <w:rPr>
          <w:spacing w:val="-18"/>
          <w:sz w:val="26"/>
        </w:rPr>
        <w:t xml:space="preserve"> </w:t>
      </w:r>
      <w:r>
        <w:rPr>
          <w:sz w:val="26"/>
        </w:rPr>
        <w:t>founding</w:t>
      </w:r>
      <w:r>
        <w:rPr>
          <w:spacing w:val="-17"/>
          <w:sz w:val="26"/>
        </w:rPr>
        <w:t xml:space="preserve"> </w:t>
      </w:r>
      <w:r>
        <w:rPr>
          <w:sz w:val="26"/>
        </w:rPr>
        <w:t>principles is</w:t>
      </w:r>
      <w:r>
        <w:rPr>
          <w:spacing w:val="-20"/>
          <w:sz w:val="26"/>
        </w:rPr>
        <w:t xml:space="preserve"> </w:t>
      </w:r>
      <w:r>
        <w:rPr>
          <w:sz w:val="26"/>
        </w:rPr>
        <w:t>larger</w:t>
      </w:r>
      <w:r>
        <w:rPr>
          <w:spacing w:val="-19"/>
          <w:sz w:val="26"/>
        </w:rPr>
        <w:t xml:space="preserve"> </w:t>
      </w:r>
      <w:r>
        <w:rPr>
          <w:sz w:val="26"/>
        </w:rPr>
        <w:t>the</w:t>
      </w:r>
      <w:r>
        <w:rPr>
          <w:spacing w:val="-19"/>
          <w:sz w:val="26"/>
        </w:rPr>
        <w:t xml:space="preserve"> </w:t>
      </w:r>
      <w:r>
        <w:rPr>
          <w:sz w:val="26"/>
        </w:rPr>
        <w:t>sum</w:t>
      </w:r>
      <w:r>
        <w:rPr>
          <w:spacing w:val="-20"/>
          <w:sz w:val="26"/>
        </w:rPr>
        <w:t xml:space="preserve"> </w:t>
      </w:r>
      <w:r>
        <w:rPr>
          <w:sz w:val="26"/>
        </w:rPr>
        <w:t>total</w:t>
      </w:r>
      <w:r>
        <w:rPr>
          <w:spacing w:val="-17"/>
          <w:sz w:val="26"/>
        </w:rPr>
        <w:t xml:space="preserve"> </w:t>
      </w:r>
      <w:r>
        <w:rPr>
          <w:sz w:val="26"/>
        </w:rPr>
        <w:t>of</w:t>
      </w:r>
      <w:r>
        <w:rPr>
          <w:spacing w:val="-19"/>
          <w:sz w:val="26"/>
        </w:rPr>
        <w:t xml:space="preserve"> </w:t>
      </w:r>
      <w:r>
        <w:rPr>
          <w:sz w:val="26"/>
        </w:rPr>
        <w:t>its</w:t>
      </w:r>
      <w:r>
        <w:rPr>
          <w:spacing w:val="-20"/>
          <w:sz w:val="26"/>
        </w:rPr>
        <w:t xml:space="preserve"> </w:t>
      </w:r>
      <w:r>
        <w:rPr>
          <w:sz w:val="26"/>
        </w:rPr>
        <w:t>parts.</w:t>
      </w:r>
      <w:r>
        <w:rPr>
          <w:spacing w:val="-19"/>
          <w:sz w:val="26"/>
        </w:rPr>
        <w:t xml:space="preserve"> </w:t>
      </w:r>
      <w:r>
        <w:rPr>
          <w:sz w:val="26"/>
        </w:rPr>
        <w:t>The</w:t>
      </w:r>
      <w:r>
        <w:rPr>
          <w:spacing w:val="-19"/>
          <w:sz w:val="26"/>
        </w:rPr>
        <w:t xml:space="preserve"> </w:t>
      </w:r>
      <w:r>
        <w:rPr>
          <w:sz w:val="26"/>
        </w:rPr>
        <w:t>Constitution</w:t>
      </w:r>
      <w:r>
        <w:rPr>
          <w:spacing w:val="-20"/>
          <w:sz w:val="26"/>
        </w:rPr>
        <w:t xml:space="preserve"> </w:t>
      </w:r>
      <w:r>
        <w:rPr>
          <w:sz w:val="26"/>
        </w:rPr>
        <w:t>cannot</w:t>
      </w:r>
      <w:r>
        <w:rPr>
          <w:spacing w:val="-19"/>
          <w:sz w:val="26"/>
        </w:rPr>
        <w:t xml:space="preserve"> </w:t>
      </w:r>
      <w:r>
        <w:rPr>
          <w:sz w:val="26"/>
        </w:rPr>
        <w:t>be</w:t>
      </w:r>
      <w:r>
        <w:rPr>
          <w:spacing w:val="-19"/>
          <w:sz w:val="26"/>
        </w:rPr>
        <w:t xml:space="preserve"> </w:t>
      </w:r>
      <w:r>
        <w:rPr>
          <w:sz w:val="26"/>
        </w:rPr>
        <w:t>understood</w:t>
      </w:r>
      <w:r>
        <w:rPr>
          <w:spacing w:val="-17"/>
          <w:sz w:val="26"/>
        </w:rPr>
        <w:t xml:space="preserve"> </w:t>
      </w:r>
      <w:r>
        <w:rPr>
          <w:sz w:val="26"/>
        </w:rPr>
        <w:t>without perceiving the complex relationship between the values which it elevates. So, liberty in matters of belief, faith and worship, must produce a compassionate and</w:t>
      </w:r>
      <w:r>
        <w:rPr>
          <w:spacing w:val="-14"/>
          <w:sz w:val="26"/>
        </w:rPr>
        <w:t xml:space="preserve"> </w:t>
      </w:r>
      <w:r>
        <w:rPr>
          <w:sz w:val="26"/>
        </w:rPr>
        <w:t>humane</w:t>
      </w:r>
      <w:r>
        <w:rPr>
          <w:spacing w:val="-14"/>
          <w:sz w:val="26"/>
        </w:rPr>
        <w:t xml:space="preserve"> </w:t>
      </w:r>
      <w:r>
        <w:rPr>
          <w:sz w:val="26"/>
        </w:rPr>
        <w:t>society</w:t>
      </w:r>
      <w:r>
        <w:rPr>
          <w:spacing w:val="-9"/>
          <w:sz w:val="26"/>
        </w:rPr>
        <w:t xml:space="preserve"> </w:t>
      </w:r>
      <w:r>
        <w:rPr>
          <w:sz w:val="26"/>
        </w:rPr>
        <w:t>marked</w:t>
      </w:r>
      <w:r>
        <w:rPr>
          <w:spacing w:val="-12"/>
          <w:sz w:val="26"/>
        </w:rPr>
        <w:t xml:space="preserve"> </w:t>
      </w:r>
      <w:r>
        <w:rPr>
          <w:sz w:val="26"/>
        </w:rPr>
        <w:t>by</w:t>
      </w:r>
      <w:r>
        <w:rPr>
          <w:spacing w:val="-12"/>
          <w:sz w:val="26"/>
        </w:rPr>
        <w:t xml:space="preserve"> </w:t>
      </w:r>
      <w:r>
        <w:rPr>
          <w:sz w:val="26"/>
        </w:rPr>
        <w:t>the</w:t>
      </w:r>
      <w:r>
        <w:rPr>
          <w:spacing w:val="-12"/>
          <w:sz w:val="26"/>
        </w:rPr>
        <w:t xml:space="preserve"> </w:t>
      </w:r>
      <w:r>
        <w:rPr>
          <w:sz w:val="26"/>
        </w:rPr>
        <w:t>equality</w:t>
      </w:r>
      <w:r>
        <w:rPr>
          <w:spacing w:val="-14"/>
          <w:sz w:val="26"/>
        </w:rPr>
        <w:t xml:space="preserve"> </w:t>
      </w:r>
      <w:r>
        <w:rPr>
          <w:sz w:val="26"/>
        </w:rPr>
        <w:t>of</w:t>
      </w:r>
      <w:r>
        <w:rPr>
          <w:spacing w:val="-11"/>
          <w:sz w:val="26"/>
        </w:rPr>
        <w:t xml:space="preserve"> </w:t>
      </w:r>
      <w:r>
        <w:rPr>
          <w:sz w:val="26"/>
        </w:rPr>
        <w:t>status</w:t>
      </w:r>
      <w:r>
        <w:rPr>
          <w:spacing w:val="-14"/>
          <w:sz w:val="26"/>
        </w:rPr>
        <w:t xml:space="preserve"> </w:t>
      </w:r>
      <w:r>
        <w:rPr>
          <w:sz w:val="26"/>
        </w:rPr>
        <w:t>among</w:t>
      </w:r>
      <w:r>
        <w:rPr>
          <w:spacing w:val="-11"/>
          <w:sz w:val="26"/>
        </w:rPr>
        <w:t xml:space="preserve"> </w:t>
      </w:r>
      <w:r>
        <w:rPr>
          <w:sz w:val="26"/>
        </w:rPr>
        <w:t>all</w:t>
      </w:r>
      <w:r>
        <w:rPr>
          <w:spacing w:val="-9"/>
          <w:sz w:val="26"/>
        </w:rPr>
        <w:t xml:space="preserve"> </w:t>
      </w:r>
      <w:r>
        <w:rPr>
          <w:sz w:val="26"/>
        </w:rPr>
        <w:t>its</w:t>
      </w:r>
      <w:r>
        <w:rPr>
          <w:spacing w:val="-14"/>
          <w:sz w:val="26"/>
        </w:rPr>
        <w:t xml:space="preserve"> </w:t>
      </w:r>
      <w:r>
        <w:rPr>
          <w:sz w:val="26"/>
        </w:rPr>
        <w:t>citizens.</w:t>
      </w:r>
      <w:r>
        <w:rPr>
          <w:spacing w:val="48"/>
          <w:sz w:val="26"/>
        </w:rPr>
        <w:t xml:space="preserve"> </w:t>
      </w:r>
      <w:r>
        <w:rPr>
          <w:sz w:val="26"/>
        </w:rPr>
        <w:t>The freedom to believe, to be a person of faith and to be a human being in prayer has</w:t>
      </w:r>
      <w:r>
        <w:rPr>
          <w:spacing w:val="-20"/>
          <w:sz w:val="26"/>
        </w:rPr>
        <w:t xml:space="preserve"> </w:t>
      </w:r>
      <w:r>
        <w:rPr>
          <w:sz w:val="26"/>
        </w:rPr>
        <w:t>to</w:t>
      </w:r>
      <w:r>
        <w:rPr>
          <w:spacing w:val="-16"/>
          <w:sz w:val="26"/>
        </w:rPr>
        <w:t xml:space="preserve"> </w:t>
      </w:r>
      <w:r>
        <w:rPr>
          <w:sz w:val="26"/>
        </w:rPr>
        <w:t>be</w:t>
      </w:r>
      <w:r>
        <w:rPr>
          <w:spacing w:val="-16"/>
          <w:sz w:val="26"/>
        </w:rPr>
        <w:t xml:space="preserve"> </w:t>
      </w:r>
      <w:r>
        <w:rPr>
          <w:sz w:val="26"/>
        </w:rPr>
        <w:t>fulfilled</w:t>
      </w:r>
      <w:r>
        <w:rPr>
          <w:spacing w:val="-19"/>
          <w:sz w:val="26"/>
        </w:rPr>
        <w:t xml:space="preserve"> </w:t>
      </w:r>
      <w:r>
        <w:rPr>
          <w:sz w:val="26"/>
        </w:rPr>
        <w:t>in</w:t>
      </w:r>
      <w:r>
        <w:rPr>
          <w:spacing w:val="-17"/>
          <w:sz w:val="26"/>
        </w:rPr>
        <w:t xml:space="preserve"> </w:t>
      </w:r>
      <w:r>
        <w:rPr>
          <w:sz w:val="26"/>
        </w:rPr>
        <w:t>the</w:t>
      </w:r>
      <w:r>
        <w:rPr>
          <w:spacing w:val="-19"/>
          <w:sz w:val="26"/>
        </w:rPr>
        <w:t xml:space="preserve"> </w:t>
      </w:r>
      <w:r>
        <w:rPr>
          <w:sz w:val="26"/>
        </w:rPr>
        <w:t>context</w:t>
      </w:r>
      <w:r>
        <w:rPr>
          <w:spacing w:val="-19"/>
          <w:sz w:val="26"/>
        </w:rPr>
        <w:t xml:space="preserve"> </w:t>
      </w:r>
      <w:r>
        <w:rPr>
          <w:sz w:val="26"/>
        </w:rPr>
        <w:t>of</w:t>
      </w:r>
      <w:r>
        <w:rPr>
          <w:spacing w:val="-19"/>
          <w:sz w:val="26"/>
        </w:rPr>
        <w:t xml:space="preserve"> </w:t>
      </w:r>
      <w:r>
        <w:rPr>
          <w:sz w:val="26"/>
        </w:rPr>
        <w:t>a</w:t>
      </w:r>
      <w:r>
        <w:rPr>
          <w:spacing w:val="-17"/>
          <w:sz w:val="26"/>
        </w:rPr>
        <w:t xml:space="preserve"> </w:t>
      </w:r>
      <w:r>
        <w:rPr>
          <w:sz w:val="26"/>
        </w:rPr>
        <w:t>society</w:t>
      </w:r>
      <w:r>
        <w:rPr>
          <w:spacing w:val="-16"/>
          <w:sz w:val="26"/>
        </w:rPr>
        <w:t xml:space="preserve"> </w:t>
      </w:r>
      <w:r>
        <w:rPr>
          <w:sz w:val="26"/>
        </w:rPr>
        <w:t>which</w:t>
      </w:r>
      <w:r>
        <w:rPr>
          <w:spacing w:val="-16"/>
          <w:sz w:val="26"/>
        </w:rPr>
        <w:t xml:space="preserve"> </w:t>
      </w:r>
      <w:r>
        <w:rPr>
          <w:sz w:val="26"/>
        </w:rPr>
        <w:t>does</w:t>
      </w:r>
      <w:r>
        <w:rPr>
          <w:spacing w:val="-17"/>
          <w:sz w:val="26"/>
        </w:rPr>
        <w:t xml:space="preserve"> </w:t>
      </w:r>
      <w:r>
        <w:rPr>
          <w:sz w:val="26"/>
        </w:rPr>
        <w:t>not</w:t>
      </w:r>
      <w:r>
        <w:rPr>
          <w:spacing w:val="-17"/>
          <w:sz w:val="26"/>
        </w:rPr>
        <w:t xml:space="preserve"> </w:t>
      </w:r>
      <w:r>
        <w:rPr>
          <w:sz w:val="26"/>
        </w:rPr>
        <w:t>discriminate</w:t>
      </w:r>
      <w:r>
        <w:rPr>
          <w:spacing w:val="-16"/>
          <w:sz w:val="26"/>
        </w:rPr>
        <w:t xml:space="preserve"> </w:t>
      </w:r>
      <w:r>
        <w:rPr>
          <w:sz w:val="26"/>
        </w:rPr>
        <w:t>between its citizens. Their equality in all matters of status an</w:t>
      </w:r>
      <w:r>
        <w:rPr>
          <w:sz w:val="26"/>
        </w:rPr>
        <w:t>d opportunity gives true meaning to the liberty of belief, faith and worship. Equality between citizens is after all, a powerful safeguard to preserve a common universe of liberties between citizens, including in matters of religion. Combined together,</w:t>
      </w:r>
      <w:r>
        <w:rPr>
          <w:spacing w:val="-52"/>
          <w:sz w:val="26"/>
        </w:rPr>
        <w:t xml:space="preserve"> </w:t>
      </w:r>
      <w:r>
        <w:rPr>
          <w:sz w:val="26"/>
        </w:rPr>
        <w:t>ind</w:t>
      </w:r>
      <w:r>
        <w:rPr>
          <w:sz w:val="26"/>
        </w:rPr>
        <w:t>ividual liberty, equality and fraternity among citizens are indispensable to a social and political ordering in which the dignity of the individual is realised. Our understanding of the Constitution can be complete only if we acknowledge</w:t>
      </w:r>
      <w:r>
        <w:rPr>
          <w:spacing w:val="58"/>
          <w:sz w:val="26"/>
        </w:rPr>
        <w:t xml:space="preserve"> </w:t>
      </w:r>
      <w:r>
        <w:rPr>
          <w:sz w:val="26"/>
        </w:rPr>
        <w:t>the</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complex relationship between the pursuit of justice, the protection of liberty, realisation of equality and the assurance of fraternity. Securing the worth of</w:t>
      </w:r>
      <w:r>
        <w:rPr>
          <w:spacing w:val="-24"/>
          <w:sz w:val="26"/>
        </w:rPr>
        <w:t xml:space="preserve"> </w:t>
      </w:r>
      <w:r>
        <w:rPr>
          <w:sz w:val="26"/>
        </w:rPr>
        <w:t>the individual is crucial to a humane</w:t>
      </w:r>
      <w:r>
        <w:rPr>
          <w:spacing w:val="-5"/>
          <w:sz w:val="26"/>
        </w:rPr>
        <w:t xml:space="preserve"> </w:t>
      </w:r>
      <w:r>
        <w:rPr>
          <w:sz w:val="26"/>
        </w:rPr>
        <w:t>society.</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The Constitution as a fundam</w:t>
      </w:r>
      <w:r>
        <w:rPr>
          <w:sz w:val="26"/>
        </w:rPr>
        <w:t>ental document of governance has sought to achieve a transformation of society. In giving meaning to its provisions and in</w:t>
      </w:r>
      <w:r>
        <w:rPr>
          <w:spacing w:val="-9"/>
          <w:sz w:val="26"/>
        </w:rPr>
        <w:t xml:space="preserve"> </w:t>
      </w:r>
      <w:r>
        <w:rPr>
          <w:sz w:val="26"/>
        </w:rPr>
        <w:t>finding</w:t>
      </w:r>
      <w:r>
        <w:rPr>
          <w:spacing w:val="-9"/>
          <w:sz w:val="26"/>
        </w:rPr>
        <w:t xml:space="preserve"> </w:t>
      </w:r>
      <w:r>
        <w:rPr>
          <w:sz w:val="26"/>
        </w:rPr>
        <w:t>solutions</w:t>
      </w:r>
      <w:r>
        <w:rPr>
          <w:spacing w:val="-9"/>
          <w:sz w:val="26"/>
        </w:rPr>
        <w:t xml:space="preserve"> </w:t>
      </w:r>
      <w:r>
        <w:rPr>
          <w:sz w:val="26"/>
        </w:rPr>
        <w:t>to</w:t>
      </w:r>
      <w:r>
        <w:rPr>
          <w:spacing w:val="-6"/>
          <w:sz w:val="26"/>
        </w:rPr>
        <w:t xml:space="preserve"> </w:t>
      </w:r>
      <w:r>
        <w:rPr>
          <w:sz w:val="26"/>
        </w:rPr>
        <w:t>the</w:t>
      </w:r>
      <w:r>
        <w:rPr>
          <w:spacing w:val="-8"/>
          <w:sz w:val="26"/>
        </w:rPr>
        <w:t xml:space="preserve"> </w:t>
      </w:r>
      <w:r>
        <w:rPr>
          <w:sz w:val="26"/>
        </w:rPr>
        <w:t>intractable</w:t>
      </w:r>
      <w:r>
        <w:rPr>
          <w:spacing w:val="-9"/>
          <w:sz w:val="26"/>
        </w:rPr>
        <w:t xml:space="preserve"> </w:t>
      </w:r>
      <w:r>
        <w:rPr>
          <w:sz w:val="26"/>
        </w:rPr>
        <w:t>problems</w:t>
      </w:r>
      <w:r>
        <w:rPr>
          <w:spacing w:val="-9"/>
          <w:sz w:val="26"/>
        </w:rPr>
        <w:t xml:space="preserve"> </w:t>
      </w:r>
      <w:r>
        <w:rPr>
          <w:sz w:val="26"/>
        </w:rPr>
        <w:t>of</w:t>
      </w:r>
      <w:r>
        <w:rPr>
          <w:spacing w:val="-8"/>
          <w:sz w:val="26"/>
        </w:rPr>
        <w:t xml:space="preserve"> </w:t>
      </w:r>
      <w:r>
        <w:rPr>
          <w:sz w:val="26"/>
        </w:rPr>
        <w:t>the</w:t>
      </w:r>
      <w:r>
        <w:rPr>
          <w:spacing w:val="-9"/>
          <w:sz w:val="26"/>
        </w:rPr>
        <w:t xml:space="preserve"> </w:t>
      </w:r>
      <w:r>
        <w:rPr>
          <w:sz w:val="26"/>
        </w:rPr>
        <w:t>present,</w:t>
      </w:r>
      <w:r>
        <w:rPr>
          <w:spacing w:val="-9"/>
          <w:sz w:val="26"/>
        </w:rPr>
        <w:t xml:space="preserve"> </w:t>
      </w:r>
      <w:r>
        <w:rPr>
          <w:sz w:val="26"/>
        </w:rPr>
        <w:t>it</w:t>
      </w:r>
      <w:r>
        <w:rPr>
          <w:spacing w:val="-7"/>
          <w:sz w:val="26"/>
        </w:rPr>
        <w:t xml:space="preserve"> </w:t>
      </w:r>
      <w:r>
        <w:rPr>
          <w:sz w:val="26"/>
        </w:rPr>
        <w:t>is</w:t>
      </w:r>
      <w:r>
        <w:rPr>
          <w:spacing w:val="-6"/>
          <w:sz w:val="26"/>
        </w:rPr>
        <w:t xml:space="preserve"> </w:t>
      </w:r>
      <w:r>
        <w:rPr>
          <w:sz w:val="26"/>
        </w:rPr>
        <w:t>well</w:t>
      </w:r>
      <w:r>
        <w:rPr>
          <w:spacing w:val="-7"/>
          <w:sz w:val="26"/>
        </w:rPr>
        <w:t xml:space="preserve"> </w:t>
      </w:r>
      <w:r>
        <w:rPr>
          <w:sz w:val="26"/>
        </w:rPr>
        <w:t>to</w:t>
      </w:r>
      <w:r>
        <w:rPr>
          <w:spacing w:val="-9"/>
          <w:sz w:val="26"/>
        </w:rPr>
        <w:t xml:space="preserve"> </w:t>
      </w:r>
      <w:r>
        <w:rPr>
          <w:sz w:val="26"/>
        </w:rPr>
        <w:t>remind ourselves on each occasion that the purpose of this basic document which governs our society is to bring about a constitutional transformation. In a constitutional</w:t>
      </w:r>
      <w:r>
        <w:rPr>
          <w:spacing w:val="-4"/>
          <w:sz w:val="26"/>
        </w:rPr>
        <w:t xml:space="preserve"> </w:t>
      </w:r>
      <w:r>
        <w:rPr>
          <w:sz w:val="26"/>
        </w:rPr>
        <w:t>transformation,</w:t>
      </w:r>
      <w:r>
        <w:rPr>
          <w:spacing w:val="-7"/>
          <w:sz w:val="26"/>
        </w:rPr>
        <w:t xml:space="preserve"> </w:t>
      </w:r>
      <w:r>
        <w:rPr>
          <w:sz w:val="26"/>
        </w:rPr>
        <w:t>the</w:t>
      </w:r>
      <w:r>
        <w:rPr>
          <w:spacing w:val="-7"/>
          <w:sz w:val="26"/>
        </w:rPr>
        <w:t xml:space="preserve"> </w:t>
      </w:r>
      <w:r>
        <w:rPr>
          <w:sz w:val="26"/>
        </w:rPr>
        <w:t>means</w:t>
      </w:r>
      <w:r>
        <w:rPr>
          <w:spacing w:val="-7"/>
          <w:sz w:val="26"/>
        </w:rPr>
        <w:t xml:space="preserve"> </w:t>
      </w:r>
      <w:r>
        <w:rPr>
          <w:sz w:val="26"/>
        </w:rPr>
        <w:t>are</w:t>
      </w:r>
      <w:r>
        <w:rPr>
          <w:spacing w:val="-6"/>
          <w:sz w:val="26"/>
        </w:rPr>
        <w:t xml:space="preserve"> </w:t>
      </w:r>
      <w:r>
        <w:rPr>
          <w:sz w:val="26"/>
        </w:rPr>
        <w:t>as</w:t>
      </w:r>
      <w:r>
        <w:rPr>
          <w:spacing w:val="-7"/>
          <w:sz w:val="26"/>
        </w:rPr>
        <w:t xml:space="preserve"> </w:t>
      </w:r>
      <w:r>
        <w:rPr>
          <w:sz w:val="26"/>
        </w:rPr>
        <w:t>significant</w:t>
      </w:r>
      <w:r>
        <w:rPr>
          <w:spacing w:val="-3"/>
          <w:sz w:val="26"/>
        </w:rPr>
        <w:t xml:space="preserve"> </w:t>
      </w:r>
      <w:r>
        <w:rPr>
          <w:sz w:val="26"/>
        </w:rPr>
        <w:t>as</w:t>
      </w:r>
      <w:r>
        <w:rPr>
          <w:spacing w:val="-7"/>
          <w:sz w:val="26"/>
        </w:rPr>
        <w:t xml:space="preserve"> </w:t>
      </w:r>
      <w:r>
        <w:rPr>
          <w:sz w:val="26"/>
        </w:rPr>
        <w:t>are</w:t>
      </w:r>
      <w:r>
        <w:rPr>
          <w:spacing w:val="-6"/>
          <w:sz w:val="26"/>
        </w:rPr>
        <w:t xml:space="preserve"> </w:t>
      </w:r>
      <w:r>
        <w:rPr>
          <w:sz w:val="26"/>
        </w:rPr>
        <w:t>our</w:t>
      </w:r>
      <w:r>
        <w:rPr>
          <w:spacing w:val="-7"/>
          <w:sz w:val="26"/>
        </w:rPr>
        <w:t xml:space="preserve"> </w:t>
      </w:r>
      <w:r>
        <w:rPr>
          <w:sz w:val="26"/>
        </w:rPr>
        <w:t>ends.</w:t>
      </w:r>
      <w:r>
        <w:rPr>
          <w:spacing w:val="-7"/>
          <w:sz w:val="26"/>
        </w:rPr>
        <w:t xml:space="preserve"> </w:t>
      </w:r>
      <w:r>
        <w:rPr>
          <w:sz w:val="26"/>
        </w:rPr>
        <w:t>The means ensure that t</w:t>
      </w:r>
      <w:r>
        <w:rPr>
          <w:sz w:val="26"/>
        </w:rPr>
        <w:t xml:space="preserve">he process is guided by values. The ends, or the transformation, underlie the vision of the Constitution. It is by being rooted in the Constitution’s quest for transforming Indian society that we can search for answers to the binaries which have polarised </w:t>
      </w:r>
      <w:r>
        <w:rPr>
          <w:sz w:val="26"/>
        </w:rPr>
        <w:t>our society. The conflict in this case between religious practices and the claim of dignity for women in matters of faith and worship, is essentially about resolving those</w:t>
      </w:r>
      <w:r>
        <w:rPr>
          <w:spacing w:val="-6"/>
          <w:sz w:val="26"/>
        </w:rPr>
        <w:t xml:space="preserve"> </w:t>
      </w:r>
      <w:r>
        <w:rPr>
          <w:sz w:val="26"/>
        </w:rPr>
        <w:t>polarities.</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before="1" w:line="480" w:lineRule="auto"/>
        <w:ind w:right="435" w:firstLine="0"/>
        <w:jc w:val="both"/>
        <w:rPr>
          <w:sz w:val="26"/>
        </w:rPr>
      </w:pPr>
      <w:r>
        <w:rPr>
          <w:sz w:val="26"/>
        </w:rPr>
        <w:t>Essentially, the significance of this case lies in the issues which it</w:t>
      </w:r>
      <w:r>
        <w:rPr>
          <w:sz w:val="26"/>
        </w:rPr>
        <w:t xml:space="preserve"> poses to the adjudicatory role of this Court in defining the boundaries of religion in a dialogue</w:t>
      </w:r>
      <w:r>
        <w:rPr>
          <w:spacing w:val="-17"/>
          <w:sz w:val="26"/>
        </w:rPr>
        <w:t xml:space="preserve"> </w:t>
      </w:r>
      <w:r>
        <w:rPr>
          <w:sz w:val="26"/>
        </w:rPr>
        <w:t>about</w:t>
      </w:r>
      <w:r>
        <w:rPr>
          <w:spacing w:val="-17"/>
          <w:sz w:val="26"/>
        </w:rPr>
        <w:t xml:space="preserve"> </w:t>
      </w:r>
      <w:r>
        <w:rPr>
          <w:sz w:val="26"/>
        </w:rPr>
        <w:t>our</w:t>
      </w:r>
      <w:r>
        <w:rPr>
          <w:spacing w:val="-17"/>
          <w:sz w:val="26"/>
        </w:rPr>
        <w:t xml:space="preserve"> </w:t>
      </w:r>
      <w:r>
        <w:rPr>
          <w:sz w:val="26"/>
        </w:rPr>
        <w:t>public</w:t>
      </w:r>
      <w:r>
        <w:rPr>
          <w:spacing w:val="-16"/>
          <w:sz w:val="26"/>
        </w:rPr>
        <w:t xml:space="preserve"> </w:t>
      </w:r>
      <w:r>
        <w:rPr>
          <w:sz w:val="26"/>
        </w:rPr>
        <w:t>spaces.</w:t>
      </w:r>
      <w:r>
        <w:rPr>
          <w:spacing w:val="39"/>
          <w:sz w:val="26"/>
        </w:rPr>
        <w:t xml:space="preserve"> </w:t>
      </w:r>
      <w:r>
        <w:rPr>
          <w:sz w:val="26"/>
        </w:rPr>
        <w:t>Does</w:t>
      </w:r>
      <w:r>
        <w:rPr>
          <w:spacing w:val="-17"/>
          <w:sz w:val="26"/>
        </w:rPr>
        <w:t xml:space="preserve"> </w:t>
      </w:r>
      <w:r>
        <w:rPr>
          <w:sz w:val="26"/>
        </w:rPr>
        <w:t>the</w:t>
      </w:r>
      <w:r>
        <w:rPr>
          <w:spacing w:val="-16"/>
          <w:sz w:val="26"/>
        </w:rPr>
        <w:t xml:space="preserve"> </w:t>
      </w:r>
      <w:r>
        <w:rPr>
          <w:sz w:val="26"/>
        </w:rPr>
        <w:t>Constitution,</w:t>
      </w:r>
      <w:r>
        <w:rPr>
          <w:spacing w:val="-17"/>
          <w:sz w:val="26"/>
        </w:rPr>
        <w:t xml:space="preserve"> </w:t>
      </w:r>
      <w:r>
        <w:rPr>
          <w:sz w:val="26"/>
        </w:rPr>
        <w:t>in</w:t>
      </w:r>
      <w:r>
        <w:rPr>
          <w:spacing w:val="-16"/>
          <w:sz w:val="26"/>
        </w:rPr>
        <w:t xml:space="preserve"> </w:t>
      </w:r>
      <w:r>
        <w:rPr>
          <w:sz w:val="26"/>
        </w:rPr>
        <w:t>the</w:t>
      </w:r>
      <w:r>
        <w:rPr>
          <w:spacing w:val="-17"/>
          <w:sz w:val="26"/>
        </w:rPr>
        <w:t xml:space="preserve"> </w:t>
      </w:r>
      <w:r>
        <w:rPr>
          <w:sz w:val="26"/>
        </w:rPr>
        <w:t>protection</w:t>
      </w:r>
      <w:r>
        <w:rPr>
          <w:spacing w:val="-14"/>
          <w:sz w:val="26"/>
        </w:rPr>
        <w:t xml:space="preserve"> </w:t>
      </w:r>
      <w:r>
        <w:rPr>
          <w:sz w:val="26"/>
        </w:rPr>
        <w:t>which it</w:t>
      </w:r>
      <w:r>
        <w:rPr>
          <w:spacing w:val="-16"/>
          <w:sz w:val="26"/>
        </w:rPr>
        <w:t xml:space="preserve"> </w:t>
      </w:r>
      <w:r>
        <w:rPr>
          <w:sz w:val="26"/>
        </w:rPr>
        <w:t>grants</w:t>
      </w:r>
      <w:r>
        <w:rPr>
          <w:spacing w:val="-14"/>
          <w:sz w:val="26"/>
        </w:rPr>
        <w:t xml:space="preserve"> </w:t>
      </w:r>
      <w:r>
        <w:rPr>
          <w:sz w:val="26"/>
        </w:rPr>
        <w:t>to</w:t>
      </w:r>
      <w:r>
        <w:rPr>
          <w:spacing w:val="-16"/>
          <w:sz w:val="26"/>
        </w:rPr>
        <w:t xml:space="preserve"> </w:t>
      </w:r>
      <w:r>
        <w:rPr>
          <w:sz w:val="26"/>
        </w:rPr>
        <w:t>religious</w:t>
      </w:r>
      <w:r>
        <w:rPr>
          <w:spacing w:val="-13"/>
          <w:sz w:val="26"/>
        </w:rPr>
        <w:t xml:space="preserve"> </w:t>
      </w:r>
      <w:r>
        <w:rPr>
          <w:sz w:val="26"/>
        </w:rPr>
        <w:t>faith,</w:t>
      </w:r>
      <w:r>
        <w:rPr>
          <w:spacing w:val="-14"/>
          <w:sz w:val="26"/>
        </w:rPr>
        <w:t xml:space="preserve"> </w:t>
      </w:r>
      <w:r>
        <w:rPr>
          <w:sz w:val="26"/>
        </w:rPr>
        <w:t>allow</w:t>
      </w:r>
      <w:r>
        <w:rPr>
          <w:spacing w:val="-16"/>
          <w:sz w:val="26"/>
        </w:rPr>
        <w:t xml:space="preserve"> </w:t>
      </w:r>
      <w:r>
        <w:rPr>
          <w:sz w:val="26"/>
        </w:rPr>
        <w:t>the</w:t>
      </w:r>
      <w:r>
        <w:rPr>
          <w:spacing w:val="-13"/>
          <w:sz w:val="26"/>
        </w:rPr>
        <w:t xml:space="preserve"> </w:t>
      </w:r>
      <w:r>
        <w:rPr>
          <w:sz w:val="26"/>
        </w:rPr>
        <w:t>exclusion</w:t>
      </w:r>
      <w:r>
        <w:rPr>
          <w:spacing w:val="-16"/>
          <w:sz w:val="26"/>
        </w:rPr>
        <w:t xml:space="preserve"> </w:t>
      </w:r>
      <w:r>
        <w:rPr>
          <w:sz w:val="26"/>
        </w:rPr>
        <w:t>of</w:t>
      </w:r>
      <w:r>
        <w:rPr>
          <w:spacing w:val="-12"/>
          <w:sz w:val="26"/>
        </w:rPr>
        <w:t xml:space="preserve"> </w:t>
      </w:r>
      <w:r>
        <w:rPr>
          <w:sz w:val="26"/>
        </w:rPr>
        <w:t>women</w:t>
      </w:r>
      <w:r>
        <w:rPr>
          <w:spacing w:val="-13"/>
          <w:sz w:val="26"/>
        </w:rPr>
        <w:t xml:space="preserve"> </w:t>
      </w:r>
      <w:r>
        <w:rPr>
          <w:sz w:val="26"/>
        </w:rPr>
        <w:t>of</w:t>
      </w:r>
      <w:r>
        <w:rPr>
          <w:spacing w:val="-14"/>
          <w:sz w:val="26"/>
        </w:rPr>
        <w:t xml:space="preserve"> </w:t>
      </w:r>
      <w:r>
        <w:rPr>
          <w:sz w:val="26"/>
        </w:rPr>
        <w:t>a</w:t>
      </w:r>
      <w:r>
        <w:rPr>
          <w:spacing w:val="-14"/>
          <w:sz w:val="26"/>
        </w:rPr>
        <w:t xml:space="preserve"> </w:t>
      </w:r>
      <w:r>
        <w:rPr>
          <w:sz w:val="26"/>
        </w:rPr>
        <w:t>particular</w:t>
      </w:r>
      <w:r>
        <w:rPr>
          <w:spacing w:val="-13"/>
          <w:sz w:val="26"/>
        </w:rPr>
        <w:t xml:space="preserve"> </w:t>
      </w:r>
      <w:r>
        <w:rPr>
          <w:sz w:val="26"/>
        </w:rPr>
        <w:t>age</w:t>
      </w:r>
      <w:r>
        <w:rPr>
          <w:spacing w:val="-14"/>
          <w:sz w:val="26"/>
        </w:rPr>
        <w:t xml:space="preserve"> </w:t>
      </w:r>
      <w:r>
        <w:rPr>
          <w:sz w:val="26"/>
        </w:rPr>
        <w:t>group from a temple dedicated to the public? Will the quest for human dignity be incomplete</w:t>
      </w:r>
      <w:r>
        <w:rPr>
          <w:spacing w:val="-6"/>
          <w:sz w:val="26"/>
        </w:rPr>
        <w:t xml:space="preserve"> </w:t>
      </w:r>
      <w:r>
        <w:rPr>
          <w:sz w:val="26"/>
        </w:rPr>
        <w:t>or</w:t>
      </w:r>
      <w:r>
        <w:rPr>
          <w:spacing w:val="-7"/>
          <w:sz w:val="26"/>
        </w:rPr>
        <w:t xml:space="preserve"> </w:t>
      </w:r>
      <w:r>
        <w:rPr>
          <w:sz w:val="26"/>
        </w:rPr>
        <w:t>remain</w:t>
      </w:r>
      <w:r>
        <w:rPr>
          <w:spacing w:val="-4"/>
          <w:sz w:val="26"/>
        </w:rPr>
        <w:t xml:space="preserve"> </w:t>
      </w:r>
      <w:r>
        <w:rPr>
          <w:sz w:val="26"/>
        </w:rPr>
        <w:t>but</w:t>
      </w:r>
      <w:r>
        <w:rPr>
          <w:spacing w:val="-4"/>
          <w:sz w:val="26"/>
        </w:rPr>
        <w:t xml:space="preserve"> </w:t>
      </w:r>
      <w:r>
        <w:rPr>
          <w:sz w:val="26"/>
        </w:rPr>
        <w:t>a</w:t>
      </w:r>
      <w:r>
        <w:rPr>
          <w:spacing w:val="-5"/>
          <w:sz w:val="26"/>
        </w:rPr>
        <w:t xml:space="preserve"> </w:t>
      </w:r>
      <w:r>
        <w:rPr>
          <w:sz w:val="26"/>
        </w:rPr>
        <w:t>writ</w:t>
      </w:r>
      <w:r>
        <w:rPr>
          <w:spacing w:val="-4"/>
          <w:sz w:val="26"/>
        </w:rPr>
        <w:t xml:space="preserve"> </w:t>
      </w:r>
      <w:r>
        <w:rPr>
          <w:sz w:val="26"/>
        </w:rPr>
        <w:t>in</w:t>
      </w:r>
      <w:r>
        <w:rPr>
          <w:spacing w:val="-5"/>
          <w:sz w:val="26"/>
        </w:rPr>
        <w:t xml:space="preserve"> </w:t>
      </w:r>
      <w:r>
        <w:rPr>
          <w:sz w:val="26"/>
        </w:rPr>
        <w:t>sand</w:t>
      </w:r>
      <w:r>
        <w:rPr>
          <w:spacing w:val="-5"/>
          <w:sz w:val="26"/>
        </w:rPr>
        <w:t xml:space="preserve"> </w:t>
      </w:r>
      <w:r>
        <w:rPr>
          <w:sz w:val="26"/>
        </w:rPr>
        <w:t>if</w:t>
      </w:r>
      <w:r>
        <w:rPr>
          <w:spacing w:val="-7"/>
          <w:sz w:val="26"/>
        </w:rPr>
        <w:t xml:space="preserve"> </w:t>
      </w:r>
      <w:r>
        <w:rPr>
          <w:sz w:val="26"/>
        </w:rPr>
        <w:t>the</w:t>
      </w:r>
      <w:r>
        <w:rPr>
          <w:spacing w:val="-7"/>
          <w:sz w:val="26"/>
        </w:rPr>
        <w:t xml:space="preserve"> </w:t>
      </w:r>
      <w:r>
        <w:rPr>
          <w:sz w:val="26"/>
        </w:rPr>
        <w:t>Constitution</w:t>
      </w:r>
      <w:r>
        <w:rPr>
          <w:spacing w:val="-5"/>
          <w:sz w:val="26"/>
        </w:rPr>
        <w:t xml:space="preserve"> </w:t>
      </w:r>
      <w:r>
        <w:rPr>
          <w:sz w:val="26"/>
        </w:rPr>
        <w:t>accepts</w:t>
      </w:r>
      <w:r>
        <w:rPr>
          <w:spacing w:val="-5"/>
          <w:sz w:val="26"/>
        </w:rPr>
        <w:t xml:space="preserve"> </w:t>
      </w:r>
      <w:r>
        <w:rPr>
          <w:sz w:val="26"/>
        </w:rPr>
        <w:t>the</w:t>
      </w:r>
      <w:r>
        <w:rPr>
          <w:spacing w:val="-6"/>
          <w:sz w:val="26"/>
        </w:rPr>
        <w:t xml:space="preserve"> </w:t>
      </w:r>
      <w:r>
        <w:rPr>
          <w:sz w:val="26"/>
        </w:rPr>
        <w:t>exclusion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3"/>
        <w:jc w:val="both"/>
        <w:rPr>
          <w:sz w:val="26"/>
        </w:rPr>
      </w:pPr>
      <w:r>
        <w:rPr>
          <w:sz w:val="26"/>
        </w:rPr>
        <w:t>of women from worship in a public temple? Will the quest for equality and fraternity be denuded of its content where women continue to be treated as children of a lesser god in exercising their liberties in matters of belief,</w:t>
      </w:r>
      <w:r>
        <w:rPr>
          <w:spacing w:val="-53"/>
          <w:sz w:val="26"/>
        </w:rPr>
        <w:t xml:space="preserve"> </w:t>
      </w:r>
      <w:r>
        <w:rPr>
          <w:sz w:val="26"/>
        </w:rPr>
        <w:t>faith and worship? Will the pu</w:t>
      </w:r>
      <w:r>
        <w:rPr>
          <w:sz w:val="26"/>
        </w:rPr>
        <w:t>rsuit of individual dignity be capable of being achieved if we deny to women equal rights in matters of faith and worship, on the basis of a physiological aspect of their existence? These questions are central to understanding the purpose of the Constituti</w:t>
      </w:r>
      <w:r>
        <w:rPr>
          <w:sz w:val="26"/>
        </w:rPr>
        <w:t>on, as they are to defining the role which is ascribed to the Constitution in controlling the closed boundaries of organised religion.</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The chapter on Fundamental Rights encompasses the rights to (i) Equality (Articles 14 to 18); (ii) Freedom (Articles 19</w:t>
      </w:r>
      <w:r>
        <w:rPr>
          <w:sz w:val="26"/>
        </w:rPr>
        <w:t xml:space="preserve"> to 24); (iii) Freedom of religion (Articles 25 to 28); (iv) Cultural and educational rights (Articles 29 and 30); and (v) Constitutional remedies (Article</w:t>
      </w:r>
      <w:r>
        <w:rPr>
          <w:spacing w:val="-7"/>
          <w:sz w:val="26"/>
        </w:rPr>
        <w:t xml:space="preserve"> </w:t>
      </w:r>
      <w:r>
        <w:rPr>
          <w:sz w:val="26"/>
        </w:rPr>
        <w:t>32).</w:t>
      </w:r>
    </w:p>
    <w:p w:rsidR="003B2FC0" w:rsidRDefault="00052A49">
      <w:pPr>
        <w:spacing w:before="198"/>
        <w:ind w:left="400"/>
        <w:rPr>
          <w:sz w:val="26"/>
        </w:rPr>
      </w:pPr>
      <w:r>
        <w:rPr>
          <w:sz w:val="26"/>
        </w:rPr>
        <w:t>Article 25 provides thus:</w:t>
      </w:r>
    </w:p>
    <w:p w:rsidR="003B2FC0" w:rsidRDefault="003B2FC0">
      <w:pPr>
        <w:rPr>
          <w:sz w:val="28"/>
        </w:rPr>
      </w:pPr>
    </w:p>
    <w:p w:rsidR="003B2FC0" w:rsidRDefault="00052A49">
      <w:pPr>
        <w:spacing w:before="177" w:line="276" w:lineRule="auto"/>
        <w:ind w:left="1840" w:right="2284"/>
        <w:jc w:val="both"/>
        <w:rPr>
          <w:sz w:val="21"/>
        </w:rPr>
      </w:pPr>
      <w:r>
        <w:rPr>
          <w:sz w:val="21"/>
        </w:rPr>
        <w:t>“25. (1) Subject to public order, morality and health and to the other provisions of this Part, all persons are equally entitled to freedom of conscience and the right freely to profess, practise and propagate religion.</w:t>
      </w:r>
    </w:p>
    <w:p w:rsidR="003B2FC0" w:rsidRDefault="00052A49">
      <w:pPr>
        <w:pStyle w:val="ListParagraph"/>
        <w:numPr>
          <w:ilvl w:val="0"/>
          <w:numId w:val="38"/>
        </w:numPr>
        <w:tabs>
          <w:tab w:val="left" w:pos="2208"/>
        </w:tabs>
        <w:spacing w:before="200" w:line="276" w:lineRule="auto"/>
        <w:ind w:right="2283" w:firstLine="0"/>
        <w:jc w:val="both"/>
        <w:rPr>
          <w:sz w:val="21"/>
        </w:rPr>
      </w:pPr>
      <w:r>
        <w:rPr>
          <w:sz w:val="21"/>
        </w:rPr>
        <w:t>Nothing in this article shall affect</w:t>
      </w:r>
      <w:r>
        <w:rPr>
          <w:sz w:val="21"/>
        </w:rPr>
        <w:t xml:space="preserve"> the operation of any existing law or prevent the State from making any</w:t>
      </w:r>
      <w:r>
        <w:rPr>
          <w:spacing w:val="-15"/>
          <w:sz w:val="21"/>
        </w:rPr>
        <w:t xml:space="preserve"> </w:t>
      </w:r>
      <w:r>
        <w:rPr>
          <w:sz w:val="21"/>
        </w:rPr>
        <w:t>law—</w:t>
      </w:r>
    </w:p>
    <w:p w:rsidR="003B2FC0" w:rsidRDefault="00052A49">
      <w:pPr>
        <w:pStyle w:val="ListParagraph"/>
        <w:numPr>
          <w:ilvl w:val="1"/>
          <w:numId w:val="38"/>
        </w:numPr>
        <w:tabs>
          <w:tab w:val="left" w:pos="2155"/>
        </w:tabs>
        <w:spacing w:before="201" w:line="276" w:lineRule="auto"/>
        <w:ind w:right="2282" w:firstLine="0"/>
        <w:jc w:val="both"/>
        <w:rPr>
          <w:sz w:val="21"/>
        </w:rPr>
      </w:pPr>
      <w:r>
        <w:rPr>
          <w:sz w:val="21"/>
        </w:rPr>
        <w:t>regulating or restricting any economic, financial, political or other secular activity which may be associated with religious practice;</w:t>
      </w:r>
    </w:p>
    <w:p w:rsidR="003B2FC0" w:rsidRDefault="00052A49">
      <w:pPr>
        <w:pStyle w:val="ListParagraph"/>
        <w:numPr>
          <w:ilvl w:val="1"/>
          <w:numId w:val="38"/>
        </w:numPr>
        <w:tabs>
          <w:tab w:val="left" w:pos="2256"/>
        </w:tabs>
        <w:spacing w:before="199" w:line="276" w:lineRule="auto"/>
        <w:ind w:right="2282" w:firstLine="58"/>
        <w:jc w:val="both"/>
        <w:rPr>
          <w:sz w:val="21"/>
        </w:rPr>
      </w:pPr>
      <w:r>
        <w:rPr>
          <w:sz w:val="21"/>
        </w:rPr>
        <w:t xml:space="preserve">providing for social welfare and reform or </w:t>
      </w:r>
      <w:r>
        <w:rPr>
          <w:sz w:val="21"/>
        </w:rPr>
        <w:t>the throwing open of Hindu religious institutions of a public character to all classes and sections of</w:t>
      </w:r>
      <w:r>
        <w:rPr>
          <w:spacing w:val="-5"/>
          <w:sz w:val="21"/>
        </w:rPr>
        <w:t xml:space="preserve"> </w:t>
      </w:r>
      <w:r>
        <w:rPr>
          <w:sz w:val="21"/>
        </w:rPr>
        <w:t>Hindus.</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4"/>
        <w:jc w:val="both"/>
        <w:rPr>
          <w:sz w:val="21"/>
        </w:rPr>
      </w:pPr>
      <w:r>
        <w:rPr>
          <w:sz w:val="21"/>
        </w:rPr>
        <w:t>Explanation I.—The wearing and carrying of kirpans shall be deemed to be included in the profession of the Sikh religion.</w:t>
      </w:r>
    </w:p>
    <w:p w:rsidR="003B2FC0" w:rsidRDefault="00052A49">
      <w:pPr>
        <w:spacing w:before="201" w:line="276" w:lineRule="auto"/>
        <w:ind w:left="1840" w:right="2282"/>
        <w:jc w:val="both"/>
        <w:rPr>
          <w:sz w:val="21"/>
        </w:rPr>
      </w:pPr>
      <w:r>
        <w:rPr>
          <w:sz w:val="21"/>
        </w:rPr>
        <w:t>Explanation II.—In sub-clause (b) of clause (2), the reference to Hindus shall be construed as including a reference to persons</w:t>
      </w:r>
      <w:r>
        <w:rPr>
          <w:spacing w:val="-16"/>
          <w:sz w:val="21"/>
        </w:rPr>
        <w:t xml:space="preserve"> </w:t>
      </w:r>
      <w:r>
        <w:rPr>
          <w:sz w:val="21"/>
        </w:rPr>
        <w:t>professing</w:t>
      </w:r>
      <w:r>
        <w:rPr>
          <w:spacing w:val="-15"/>
          <w:sz w:val="21"/>
        </w:rPr>
        <w:t xml:space="preserve"> </w:t>
      </w:r>
      <w:r>
        <w:rPr>
          <w:sz w:val="21"/>
        </w:rPr>
        <w:t>the</w:t>
      </w:r>
      <w:r>
        <w:rPr>
          <w:spacing w:val="-15"/>
          <w:sz w:val="21"/>
        </w:rPr>
        <w:t xml:space="preserve"> </w:t>
      </w:r>
      <w:r>
        <w:rPr>
          <w:sz w:val="21"/>
        </w:rPr>
        <w:t>Sikh,</w:t>
      </w:r>
      <w:r>
        <w:rPr>
          <w:spacing w:val="-15"/>
          <w:sz w:val="21"/>
        </w:rPr>
        <w:t xml:space="preserve"> </w:t>
      </w:r>
      <w:r>
        <w:rPr>
          <w:sz w:val="21"/>
        </w:rPr>
        <w:t>Jaina</w:t>
      </w:r>
      <w:r>
        <w:rPr>
          <w:spacing w:val="-15"/>
          <w:sz w:val="21"/>
        </w:rPr>
        <w:t xml:space="preserve"> </w:t>
      </w:r>
      <w:r>
        <w:rPr>
          <w:sz w:val="21"/>
        </w:rPr>
        <w:t>or</w:t>
      </w:r>
      <w:r>
        <w:rPr>
          <w:spacing w:val="-16"/>
          <w:sz w:val="21"/>
        </w:rPr>
        <w:t xml:space="preserve"> </w:t>
      </w:r>
      <w:r>
        <w:rPr>
          <w:sz w:val="21"/>
        </w:rPr>
        <w:t>Buddhist</w:t>
      </w:r>
      <w:r>
        <w:rPr>
          <w:spacing w:val="-17"/>
          <w:sz w:val="21"/>
        </w:rPr>
        <w:t xml:space="preserve"> </w:t>
      </w:r>
      <w:r>
        <w:rPr>
          <w:sz w:val="21"/>
        </w:rPr>
        <w:t>religion,</w:t>
      </w:r>
      <w:r>
        <w:rPr>
          <w:spacing w:val="-15"/>
          <w:sz w:val="21"/>
        </w:rPr>
        <w:t xml:space="preserve"> </w:t>
      </w:r>
      <w:r>
        <w:rPr>
          <w:sz w:val="21"/>
        </w:rPr>
        <w:t>and</w:t>
      </w:r>
      <w:r>
        <w:rPr>
          <w:spacing w:val="-15"/>
          <w:sz w:val="21"/>
        </w:rPr>
        <w:t xml:space="preserve"> </w:t>
      </w:r>
      <w:r>
        <w:rPr>
          <w:sz w:val="21"/>
        </w:rPr>
        <w:t>the reference to Hindu religious institutions shall be construed accordingl</w:t>
      </w:r>
      <w:r>
        <w:rPr>
          <w:sz w:val="21"/>
        </w:rPr>
        <w:t>y.”</w:t>
      </w:r>
    </w:p>
    <w:p w:rsidR="003B2FC0" w:rsidRDefault="003B2FC0">
      <w:pPr>
        <w:rPr>
          <w:sz w:val="24"/>
        </w:rPr>
      </w:pPr>
    </w:p>
    <w:p w:rsidR="003B2FC0" w:rsidRDefault="003B2FC0">
      <w:pPr>
        <w:rPr>
          <w:sz w:val="24"/>
        </w:rPr>
      </w:pPr>
    </w:p>
    <w:p w:rsidR="003B2FC0" w:rsidRDefault="00052A49">
      <w:pPr>
        <w:spacing w:before="148" w:line="480" w:lineRule="auto"/>
        <w:ind w:left="400" w:right="431"/>
        <w:jc w:val="both"/>
        <w:rPr>
          <w:sz w:val="26"/>
        </w:rPr>
      </w:pPr>
      <w:r>
        <w:rPr>
          <w:sz w:val="26"/>
        </w:rPr>
        <w:t xml:space="preserve">In clause (1), Article 25 protects the </w:t>
      </w:r>
      <w:r>
        <w:rPr>
          <w:b/>
          <w:sz w:val="26"/>
        </w:rPr>
        <w:t xml:space="preserve">equal </w:t>
      </w:r>
      <w:r>
        <w:rPr>
          <w:sz w:val="26"/>
        </w:rPr>
        <w:t xml:space="preserve">entitlement of </w:t>
      </w:r>
      <w:r>
        <w:rPr>
          <w:b/>
          <w:sz w:val="26"/>
        </w:rPr>
        <w:t xml:space="preserve">all </w:t>
      </w:r>
      <w:r>
        <w:rPr>
          <w:sz w:val="26"/>
        </w:rPr>
        <w:t>persons to a freedom of conscience and to freely profess, protect and propagate</w:t>
      </w:r>
      <w:r>
        <w:rPr>
          <w:spacing w:val="-54"/>
          <w:sz w:val="26"/>
        </w:rPr>
        <w:t xml:space="preserve"> </w:t>
      </w:r>
      <w:r>
        <w:rPr>
          <w:sz w:val="26"/>
        </w:rPr>
        <w:t>religion. By conferring this right on all persons, the Constitution emphasises the universal nature of the</w:t>
      </w:r>
      <w:r>
        <w:rPr>
          <w:sz w:val="26"/>
        </w:rPr>
        <w:t xml:space="preserve"> right. By all persons, the Constitution means exactly what it says</w:t>
      </w:r>
      <w:r>
        <w:rPr>
          <w:spacing w:val="-40"/>
          <w:sz w:val="26"/>
        </w:rPr>
        <w:t xml:space="preserve"> </w:t>
      </w:r>
      <w:r>
        <w:rPr>
          <w:sz w:val="26"/>
        </w:rPr>
        <w:t xml:space="preserve">: every individual in society without distinction of any kind whatsoever is entitled to the right. By speaking of an equal entitlement, the Constitution places every individual on an even </w:t>
      </w:r>
      <w:r>
        <w:rPr>
          <w:sz w:val="26"/>
        </w:rPr>
        <w:t>platform. Having guaranteed equality before the law and the equal protection of laws in Article 14, the draftspersons specifically continued the theme of an equal entitlement as an intrinsic element of the freedom of conscience and of the right to profess,</w:t>
      </w:r>
      <w:r>
        <w:rPr>
          <w:sz w:val="26"/>
        </w:rPr>
        <w:t xml:space="preserve"> practice and propagate religion. There are three defining features of clause (1) of Article 25: </w:t>
      </w:r>
      <w:r>
        <w:rPr>
          <w:i/>
          <w:sz w:val="26"/>
        </w:rPr>
        <w:t>firstly</w:t>
      </w:r>
      <w:r>
        <w:rPr>
          <w:sz w:val="26"/>
        </w:rPr>
        <w:t xml:space="preserve">, the entitlement of </w:t>
      </w:r>
      <w:r>
        <w:rPr>
          <w:b/>
          <w:sz w:val="26"/>
        </w:rPr>
        <w:t xml:space="preserve">all </w:t>
      </w:r>
      <w:r>
        <w:rPr>
          <w:sz w:val="26"/>
        </w:rPr>
        <w:t xml:space="preserve">persons without exception, </w:t>
      </w:r>
      <w:r>
        <w:rPr>
          <w:i/>
          <w:sz w:val="26"/>
        </w:rPr>
        <w:t>secondly</w:t>
      </w:r>
      <w:r>
        <w:rPr>
          <w:sz w:val="26"/>
        </w:rPr>
        <w:t xml:space="preserve">, the recognition of an </w:t>
      </w:r>
      <w:r>
        <w:rPr>
          <w:b/>
          <w:sz w:val="26"/>
        </w:rPr>
        <w:t>equal</w:t>
      </w:r>
      <w:r>
        <w:rPr>
          <w:b/>
          <w:spacing w:val="-17"/>
          <w:sz w:val="26"/>
        </w:rPr>
        <w:t xml:space="preserve"> </w:t>
      </w:r>
      <w:r>
        <w:rPr>
          <w:sz w:val="26"/>
        </w:rPr>
        <w:t>entitlement;</w:t>
      </w:r>
      <w:r>
        <w:rPr>
          <w:spacing w:val="-14"/>
          <w:sz w:val="26"/>
        </w:rPr>
        <w:t xml:space="preserve"> </w:t>
      </w:r>
      <w:r>
        <w:rPr>
          <w:sz w:val="26"/>
        </w:rPr>
        <w:t>and</w:t>
      </w:r>
      <w:r>
        <w:rPr>
          <w:spacing w:val="-15"/>
          <w:sz w:val="26"/>
        </w:rPr>
        <w:t xml:space="preserve"> </w:t>
      </w:r>
      <w:r>
        <w:rPr>
          <w:i/>
          <w:sz w:val="26"/>
        </w:rPr>
        <w:t>thirdly</w:t>
      </w:r>
      <w:r>
        <w:rPr>
          <w:sz w:val="26"/>
        </w:rPr>
        <w:t>,</w:t>
      </w:r>
      <w:r>
        <w:rPr>
          <w:spacing w:val="-17"/>
          <w:sz w:val="26"/>
        </w:rPr>
        <w:t xml:space="preserve"> </w:t>
      </w:r>
      <w:r>
        <w:rPr>
          <w:sz w:val="26"/>
        </w:rPr>
        <w:t>the</w:t>
      </w:r>
      <w:r>
        <w:rPr>
          <w:spacing w:val="-14"/>
          <w:sz w:val="26"/>
        </w:rPr>
        <w:t xml:space="preserve"> </w:t>
      </w:r>
      <w:r>
        <w:rPr>
          <w:sz w:val="26"/>
        </w:rPr>
        <w:t>recognition</w:t>
      </w:r>
      <w:r>
        <w:rPr>
          <w:spacing w:val="-16"/>
          <w:sz w:val="26"/>
        </w:rPr>
        <w:t xml:space="preserve"> </w:t>
      </w:r>
      <w:r>
        <w:rPr>
          <w:sz w:val="26"/>
        </w:rPr>
        <w:t>both</w:t>
      </w:r>
      <w:r>
        <w:rPr>
          <w:spacing w:val="-17"/>
          <w:sz w:val="26"/>
        </w:rPr>
        <w:t xml:space="preserve"> </w:t>
      </w:r>
      <w:r>
        <w:rPr>
          <w:sz w:val="26"/>
        </w:rPr>
        <w:t>of</w:t>
      </w:r>
      <w:r>
        <w:rPr>
          <w:spacing w:val="-16"/>
          <w:sz w:val="26"/>
        </w:rPr>
        <w:t xml:space="preserve"> </w:t>
      </w:r>
      <w:r>
        <w:rPr>
          <w:sz w:val="26"/>
        </w:rPr>
        <w:t>the</w:t>
      </w:r>
      <w:r>
        <w:rPr>
          <w:spacing w:val="-16"/>
          <w:sz w:val="26"/>
        </w:rPr>
        <w:t xml:space="preserve"> </w:t>
      </w:r>
      <w:r>
        <w:rPr>
          <w:sz w:val="26"/>
        </w:rPr>
        <w:t>freedom</w:t>
      </w:r>
      <w:r>
        <w:rPr>
          <w:spacing w:val="-16"/>
          <w:sz w:val="26"/>
        </w:rPr>
        <w:t xml:space="preserve"> </w:t>
      </w:r>
      <w:r>
        <w:rPr>
          <w:sz w:val="26"/>
        </w:rPr>
        <w:t>of</w:t>
      </w:r>
      <w:r>
        <w:rPr>
          <w:spacing w:val="-17"/>
          <w:sz w:val="26"/>
        </w:rPr>
        <w:t xml:space="preserve"> </w:t>
      </w:r>
      <w:r>
        <w:rPr>
          <w:sz w:val="26"/>
        </w:rPr>
        <w:t>conscience and the right freely to profess, practice and propagate religion. The right</w:t>
      </w:r>
      <w:r>
        <w:rPr>
          <w:spacing w:val="-43"/>
          <w:sz w:val="26"/>
        </w:rPr>
        <w:t xml:space="preserve"> </w:t>
      </w:r>
      <w:r>
        <w:rPr>
          <w:sz w:val="26"/>
        </w:rPr>
        <w:t>under Article 25(1) is evidently an individual right for, it is in the individual that a conscience inheres. Moreover, it is the individual who professes, practices a</w:t>
      </w:r>
      <w:r>
        <w:rPr>
          <w:sz w:val="26"/>
        </w:rPr>
        <w:t>nd propagates religion. Freedom of religion in Article 25(1) is a right which the Constitution recognises as dwelling in each individual or natural</w:t>
      </w:r>
      <w:r>
        <w:rPr>
          <w:spacing w:val="-14"/>
          <w:sz w:val="26"/>
        </w:rPr>
        <w:t xml:space="preserve"> </w:t>
      </w:r>
      <w:r>
        <w:rPr>
          <w:sz w:val="26"/>
        </w:rPr>
        <w:t>person.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1" w:firstLine="0"/>
        <w:jc w:val="both"/>
        <w:rPr>
          <w:sz w:val="26"/>
        </w:rPr>
      </w:pPr>
      <w:r>
        <w:rPr>
          <w:sz w:val="26"/>
        </w:rPr>
        <w:t xml:space="preserve">Yet, the right to the freedom of religion is not absolute. For </w:t>
      </w:r>
      <w:r>
        <w:rPr>
          <w:spacing w:val="2"/>
          <w:sz w:val="26"/>
        </w:rPr>
        <w:t xml:space="preserve">the </w:t>
      </w:r>
      <w:r>
        <w:rPr>
          <w:sz w:val="26"/>
        </w:rPr>
        <w:t>Constitution h</w:t>
      </w:r>
      <w:r>
        <w:rPr>
          <w:sz w:val="26"/>
        </w:rPr>
        <w:t>as expressly made it subject to public order, morality and health on one hand and to the other provisions of Part III, on the other. The</w:t>
      </w:r>
      <w:r>
        <w:rPr>
          <w:spacing w:val="-42"/>
          <w:sz w:val="26"/>
        </w:rPr>
        <w:t xml:space="preserve"> </w:t>
      </w:r>
      <w:r>
        <w:rPr>
          <w:sz w:val="26"/>
        </w:rPr>
        <w:t>subjection of</w:t>
      </w:r>
      <w:r>
        <w:rPr>
          <w:spacing w:val="-14"/>
          <w:sz w:val="26"/>
        </w:rPr>
        <w:t xml:space="preserve"> </w:t>
      </w:r>
      <w:r>
        <w:rPr>
          <w:sz w:val="26"/>
        </w:rPr>
        <w:t>the</w:t>
      </w:r>
      <w:r>
        <w:rPr>
          <w:spacing w:val="-14"/>
          <w:sz w:val="26"/>
        </w:rPr>
        <w:t xml:space="preserve"> </w:t>
      </w:r>
      <w:r>
        <w:rPr>
          <w:sz w:val="26"/>
        </w:rPr>
        <w:t>individual</w:t>
      </w:r>
      <w:r>
        <w:rPr>
          <w:spacing w:val="-14"/>
          <w:sz w:val="26"/>
        </w:rPr>
        <w:t xml:space="preserve"> </w:t>
      </w:r>
      <w:r>
        <w:rPr>
          <w:sz w:val="26"/>
        </w:rPr>
        <w:t>right</w:t>
      </w:r>
      <w:r>
        <w:rPr>
          <w:spacing w:val="-11"/>
          <w:sz w:val="26"/>
        </w:rPr>
        <w:t xml:space="preserve"> </w:t>
      </w:r>
      <w:r>
        <w:rPr>
          <w:sz w:val="26"/>
        </w:rPr>
        <w:t>to</w:t>
      </w:r>
      <w:r>
        <w:rPr>
          <w:spacing w:val="-14"/>
          <w:sz w:val="26"/>
        </w:rPr>
        <w:t xml:space="preserve"> </w:t>
      </w:r>
      <w:r>
        <w:rPr>
          <w:sz w:val="26"/>
        </w:rPr>
        <w:t>the</w:t>
      </w:r>
      <w:r>
        <w:rPr>
          <w:spacing w:val="-14"/>
          <w:sz w:val="26"/>
        </w:rPr>
        <w:t xml:space="preserve"> </w:t>
      </w:r>
      <w:r>
        <w:rPr>
          <w:sz w:val="26"/>
        </w:rPr>
        <w:t>freedom</w:t>
      </w:r>
      <w:r>
        <w:rPr>
          <w:spacing w:val="-12"/>
          <w:sz w:val="26"/>
        </w:rPr>
        <w:t xml:space="preserve"> </w:t>
      </w:r>
      <w:r>
        <w:rPr>
          <w:sz w:val="26"/>
        </w:rPr>
        <w:t>of</w:t>
      </w:r>
      <w:r>
        <w:rPr>
          <w:spacing w:val="-13"/>
          <w:sz w:val="26"/>
        </w:rPr>
        <w:t xml:space="preserve"> </w:t>
      </w:r>
      <w:r>
        <w:rPr>
          <w:sz w:val="26"/>
        </w:rPr>
        <w:t>religion</w:t>
      </w:r>
      <w:r>
        <w:rPr>
          <w:spacing w:val="-14"/>
          <w:sz w:val="26"/>
        </w:rPr>
        <w:t xml:space="preserve"> </w:t>
      </w:r>
      <w:r>
        <w:rPr>
          <w:sz w:val="26"/>
        </w:rPr>
        <w:t>to</w:t>
      </w:r>
      <w:r>
        <w:rPr>
          <w:spacing w:val="-14"/>
          <w:sz w:val="26"/>
        </w:rPr>
        <w:t xml:space="preserve"> </w:t>
      </w:r>
      <w:r>
        <w:rPr>
          <w:sz w:val="26"/>
        </w:rPr>
        <w:t>the</w:t>
      </w:r>
      <w:r>
        <w:rPr>
          <w:spacing w:val="-14"/>
          <w:sz w:val="26"/>
        </w:rPr>
        <w:t xml:space="preserve"> </w:t>
      </w:r>
      <w:r>
        <w:rPr>
          <w:sz w:val="26"/>
        </w:rPr>
        <w:t>other</w:t>
      </w:r>
      <w:r>
        <w:rPr>
          <w:spacing w:val="-13"/>
          <w:sz w:val="26"/>
        </w:rPr>
        <w:t xml:space="preserve"> </w:t>
      </w:r>
      <w:r>
        <w:rPr>
          <w:sz w:val="26"/>
        </w:rPr>
        <w:t>provisions</w:t>
      </w:r>
      <w:r>
        <w:rPr>
          <w:spacing w:val="-14"/>
          <w:sz w:val="26"/>
        </w:rPr>
        <w:t xml:space="preserve"> </w:t>
      </w:r>
      <w:r>
        <w:rPr>
          <w:sz w:val="26"/>
        </w:rPr>
        <w:t>of</w:t>
      </w:r>
      <w:r>
        <w:rPr>
          <w:spacing w:val="-14"/>
          <w:sz w:val="26"/>
        </w:rPr>
        <w:t xml:space="preserve"> </w:t>
      </w:r>
      <w:r>
        <w:rPr>
          <w:sz w:val="26"/>
        </w:rPr>
        <w:t>the</w:t>
      </w:r>
      <w:r>
        <w:rPr>
          <w:spacing w:val="-10"/>
          <w:sz w:val="26"/>
        </w:rPr>
        <w:t xml:space="preserve"> </w:t>
      </w:r>
      <w:r>
        <w:rPr>
          <w:sz w:val="26"/>
        </w:rPr>
        <w:t>Part is</w:t>
      </w:r>
      <w:r>
        <w:rPr>
          <w:spacing w:val="-16"/>
          <w:sz w:val="26"/>
        </w:rPr>
        <w:t xml:space="preserve"> </w:t>
      </w:r>
      <w:r>
        <w:rPr>
          <w:sz w:val="26"/>
        </w:rPr>
        <w:t>a</w:t>
      </w:r>
      <w:r>
        <w:rPr>
          <w:spacing w:val="-15"/>
          <w:sz w:val="26"/>
        </w:rPr>
        <w:t xml:space="preserve"> </w:t>
      </w:r>
      <w:r>
        <w:rPr>
          <w:sz w:val="26"/>
        </w:rPr>
        <w:t>nuanced</w:t>
      </w:r>
      <w:r>
        <w:rPr>
          <w:spacing w:val="-16"/>
          <w:sz w:val="26"/>
        </w:rPr>
        <w:t xml:space="preserve"> </w:t>
      </w:r>
      <w:r>
        <w:rPr>
          <w:sz w:val="26"/>
        </w:rPr>
        <w:t>departur</w:t>
      </w:r>
      <w:r>
        <w:rPr>
          <w:sz w:val="26"/>
        </w:rPr>
        <w:t>e</w:t>
      </w:r>
      <w:r>
        <w:rPr>
          <w:spacing w:val="-14"/>
          <w:sz w:val="26"/>
        </w:rPr>
        <w:t xml:space="preserve"> </w:t>
      </w:r>
      <w:r>
        <w:rPr>
          <w:sz w:val="26"/>
        </w:rPr>
        <w:t>from</w:t>
      </w:r>
      <w:r>
        <w:rPr>
          <w:spacing w:val="-16"/>
          <w:sz w:val="26"/>
        </w:rPr>
        <w:t xml:space="preserve"> </w:t>
      </w:r>
      <w:r>
        <w:rPr>
          <w:sz w:val="26"/>
        </w:rPr>
        <w:t>the</w:t>
      </w:r>
      <w:r>
        <w:rPr>
          <w:spacing w:val="-15"/>
          <w:sz w:val="26"/>
        </w:rPr>
        <w:t xml:space="preserve"> </w:t>
      </w:r>
      <w:r>
        <w:rPr>
          <w:sz w:val="26"/>
        </w:rPr>
        <w:t>position</w:t>
      </w:r>
      <w:r>
        <w:rPr>
          <w:spacing w:val="-16"/>
          <w:sz w:val="26"/>
        </w:rPr>
        <w:t xml:space="preserve"> </w:t>
      </w:r>
      <w:r>
        <w:rPr>
          <w:sz w:val="26"/>
        </w:rPr>
        <w:t>occupied</w:t>
      </w:r>
      <w:r>
        <w:rPr>
          <w:spacing w:val="-13"/>
          <w:sz w:val="26"/>
        </w:rPr>
        <w:t xml:space="preserve"> </w:t>
      </w:r>
      <w:r>
        <w:rPr>
          <w:sz w:val="26"/>
        </w:rPr>
        <w:t>by</w:t>
      </w:r>
      <w:r>
        <w:rPr>
          <w:spacing w:val="-18"/>
          <w:sz w:val="26"/>
        </w:rPr>
        <w:t xml:space="preserve"> </w:t>
      </w:r>
      <w:r>
        <w:rPr>
          <w:sz w:val="26"/>
        </w:rPr>
        <w:t>the</w:t>
      </w:r>
      <w:r>
        <w:rPr>
          <w:spacing w:val="-16"/>
          <w:sz w:val="26"/>
        </w:rPr>
        <w:t xml:space="preserve"> </w:t>
      </w:r>
      <w:r>
        <w:rPr>
          <w:sz w:val="26"/>
        </w:rPr>
        <w:t>other</w:t>
      </w:r>
      <w:r>
        <w:rPr>
          <w:spacing w:val="-15"/>
          <w:sz w:val="26"/>
        </w:rPr>
        <w:t xml:space="preserve"> </w:t>
      </w:r>
      <w:r>
        <w:rPr>
          <w:sz w:val="26"/>
        </w:rPr>
        <w:t>rights</w:t>
      </w:r>
      <w:r>
        <w:rPr>
          <w:spacing w:val="-16"/>
          <w:sz w:val="26"/>
        </w:rPr>
        <w:t xml:space="preserve"> </w:t>
      </w:r>
      <w:r>
        <w:rPr>
          <w:sz w:val="26"/>
        </w:rPr>
        <w:t>to</w:t>
      </w:r>
      <w:r>
        <w:rPr>
          <w:spacing w:val="-10"/>
          <w:sz w:val="26"/>
        </w:rPr>
        <w:t xml:space="preserve"> </w:t>
      </w:r>
      <w:r>
        <w:rPr>
          <w:sz w:val="26"/>
        </w:rPr>
        <w:t>freedom recognised in Articles 14, 15, 19 and 21. While guaranteeing equality and the equal protection of laws in Article 14 and its emanation, in Article 15, which prohibits</w:t>
      </w:r>
      <w:r>
        <w:rPr>
          <w:spacing w:val="-8"/>
          <w:sz w:val="26"/>
        </w:rPr>
        <w:t xml:space="preserve"> </w:t>
      </w:r>
      <w:r>
        <w:rPr>
          <w:sz w:val="26"/>
        </w:rPr>
        <w:t>discrimination</w:t>
      </w:r>
      <w:r>
        <w:rPr>
          <w:spacing w:val="-7"/>
          <w:sz w:val="26"/>
        </w:rPr>
        <w:t xml:space="preserve"> </w:t>
      </w:r>
      <w:r>
        <w:rPr>
          <w:sz w:val="26"/>
        </w:rPr>
        <w:t>on</w:t>
      </w:r>
      <w:r>
        <w:rPr>
          <w:spacing w:val="-7"/>
          <w:sz w:val="26"/>
        </w:rPr>
        <w:t xml:space="preserve"> </w:t>
      </w:r>
      <w:r>
        <w:rPr>
          <w:sz w:val="26"/>
        </w:rPr>
        <w:t>grounds</w:t>
      </w:r>
      <w:r>
        <w:rPr>
          <w:spacing w:val="-7"/>
          <w:sz w:val="26"/>
        </w:rPr>
        <w:t xml:space="preserve"> </w:t>
      </w:r>
      <w:r>
        <w:rPr>
          <w:sz w:val="26"/>
        </w:rPr>
        <w:t>of</w:t>
      </w:r>
      <w:r>
        <w:rPr>
          <w:spacing w:val="-7"/>
          <w:sz w:val="26"/>
        </w:rPr>
        <w:t xml:space="preserve"> </w:t>
      </w:r>
      <w:r>
        <w:rPr>
          <w:sz w:val="26"/>
        </w:rPr>
        <w:t>religion,</w:t>
      </w:r>
      <w:r>
        <w:rPr>
          <w:spacing w:val="-8"/>
          <w:sz w:val="26"/>
        </w:rPr>
        <w:t xml:space="preserve"> </w:t>
      </w:r>
      <w:r>
        <w:rPr>
          <w:sz w:val="26"/>
        </w:rPr>
        <w:t>race,</w:t>
      </w:r>
      <w:r>
        <w:rPr>
          <w:spacing w:val="-7"/>
          <w:sz w:val="26"/>
        </w:rPr>
        <w:t xml:space="preserve"> </w:t>
      </w:r>
      <w:r>
        <w:rPr>
          <w:sz w:val="26"/>
        </w:rPr>
        <w:t>caste,</w:t>
      </w:r>
      <w:r>
        <w:rPr>
          <w:spacing w:val="-7"/>
          <w:sz w:val="26"/>
        </w:rPr>
        <w:t xml:space="preserve"> </w:t>
      </w:r>
      <w:r>
        <w:rPr>
          <w:sz w:val="26"/>
        </w:rPr>
        <w:t>sex</w:t>
      </w:r>
      <w:r>
        <w:rPr>
          <w:spacing w:val="-5"/>
          <w:sz w:val="26"/>
        </w:rPr>
        <w:t xml:space="preserve"> </w:t>
      </w:r>
      <w:r>
        <w:rPr>
          <w:sz w:val="26"/>
        </w:rPr>
        <w:t>or</w:t>
      </w:r>
      <w:r>
        <w:rPr>
          <w:spacing w:val="-5"/>
          <w:sz w:val="26"/>
        </w:rPr>
        <w:t xml:space="preserve"> </w:t>
      </w:r>
      <w:r>
        <w:rPr>
          <w:sz w:val="26"/>
        </w:rPr>
        <w:t>place</w:t>
      </w:r>
      <w:r>
        <w:rPr>
          <w:spacing w:val="-8"/>
          <w:sz w:val="26"/>
        </w:rPr>
        <w:t xml:space="preserve"> </w:t>
      </w:r>
      <w:r>
        <w:rPr>
          <w:sz w:val="26"/>
        </w:rPr>
        <w:t>of</w:t>
      </w:r>
      <w:r>
        <w:rPr>
          <w:spacing w:val="-7"/>
          <w:sz w:val="26"/>
        </w:rPr>
        <w:t xml:space="preserve"> </w:t>
      </w:r>
      <w:r>
        <w:rPr>
          <w:sz w:val="26"/>
        </w:rPr>
        <w:t>birth, the Constitution does not condition these basic norms of equality to the other provisions</w:t>
      </w:r>
      <w:r>
        <w:rPr>
          <w:spacing w:val="-19"/>
          <w:sz w:val="26"/>
        </w:rPr>
        <w:t xml:space="preserve"> </w:t>
      </w:r>
      <w:r>
        <w:rPr>
          <w:sz w:val="26"/>
        </w:rPr>
        <w:t>of</w:t>
      </w:r>
      <w:r>
        <w:rPr>
          <w:spacing w:val="-16"/>
          <w:sz w:val="26"/>
        </w:rPr>
        <w:t xml:space="preserve"> </w:t>
      </w:r>
      <w:r>
        <w:rPr>
          <w:sz w:val="26"/>
        </w:rPr>
        <w:t>Part</w:t>
      </w:r>
      <w:r>
        <w:rPr>
          <w:spacing w:val="-16"/>
          <w:sz w:val="26"/>
        </w:rPr>
        <w:t xml:space="preserve"> </w:t>
      </w:r>
      <w:r>
        <w:rPr>
          <w:sz w:val="26"/>
        </w:rPr>
        <w:t>III.</w:t>
      </w:r>
      <w:r>
        <w:rPr>
          <w:spacing w:val="40"/>
          <w:sz w:val="26"/>
        </w:rPr>
        <w:t xml:space="preserve"> </w:t>
      </w:r>
      <w:r>
        <w:rPr>
          <w:sz w:val="26"/>
        </w:rPr>
        <w:t>Similar</w:t>
      </w:r>
      <w:r>
        <w:rPr>
          <w:spacing w:val="-18"/>
          <w:sz w:val="26"/>
        </w:rPr>
        <w:t xml:space="preserve"> </w:t>
      </w:r>
      <w:r>
        <w:rPr>
          <w:sz w:val="26"/>
        </w:rPr>
        <w:t>is</w:t>
      </w:r>
      <w:r>
        <w:rPr>
          <w:spacing w:val="-18"/>
          <w:sz w:val="26"/>
        </w:rPr>
        <w:t xml:space="preserve"> </w:t>
      </w:r>
      <w:r>
        <w:rPr>
          <w:sz w:val="26"/>
        </w:rPr>
        <w:t>the</w:t>
      </w:r>
      <w:r>
        <w:rPr>
          <w:spacing w:val="-19"/>
          <w:sz w:val="26"/>
        </w:rPr>
        <w:t xml:space="preserve"> </w:t>
      </w:r>
      <w:r>
        <w:rPr>
          <w:sz w:val="26"/>
        </w:rPr>
        <w:t>case</w:t>
      </w:r>
      <w:r>
        <w:rPr>
          <w:spacing w:val="-14"/>
          <w:sz w:val="26"/>
        </w:rPr>
        <w:t xml:space="preserve"> </w:t>
      </w:r>
      <w:r>
        <w:rPr>
          <w:sz w:val="26"/>
        </w:rPr>
        <w:t>with</w:t>
      </w:r>
      <w:r>
        <w:rPr>
          <w:spacing w:val="-18"/>
          <w:sz w:val="26"/>
        </w:rPr>
        <w:t xml:space="preserve"> </w:t>
      </w:r>
      <w:r>
        <w:rPr>
          <w:sz w:val="26"/>
        </w:rPr>
        <w:t>the</w:t>
      </w:r>
      <w:r>
        <w:rPr>
          <w:spacing w:val="-17"/>
          <w:sz w:val="26"/>
        </w:rPr>
        <w:t xml:space="preserve"> </w:t>
      </w:r>
      <w:r>
        <w:rPr>
          <w:sz w:val="26"/>
        </w:rPr>
        <w:t>freedoms</w:t>
      </w:r>
      <w:r>
        <w:rPr>
          <w:spacing w:val="-16"/>
          <w:sz w:val="26"/>
        </w:rPr>
        <w:t xml:space="preserve"> </w:t>
      </w:r>
      <w:r>
        <w:rPr>
          <w:sz w:val="26"/>
        </w:rPr>
        <w:t>guaranteed</w:t>
      </w:r>
      <w:r>
        <w:rPr>
          <w:spacing w:val="-17"/>
          <w:sz w:val="26"/>
        </w:rPr>
        <w:t xml:space="preserve"> </w:t>
      </w:r>
      <w:r>
        <w:rPr>
          <w:sz w:val="26"/>
        </w:rPr>
        <w:t>by</w:t>
      </w:r>
      <w:r>
        <w:rPr>
          <w:spacing w:val="-20"/>
          <w:sz w:val="26"/>
        </w:rPr>
        <w:t xml:space="preserve"> </w:t>
      </w:r>
      <w:r>
        <w:rPr>
          <w:sz w:val="26"/>
        </w:rPr>
        <w:t>Article 19(1) or the right to life under Article 21. Th</w:t>
      </w:r>
      <w:r>
        <w:rPr>
          <w:sz w:val="26"/>
        </w:rPr>
        <w:t>e subjection of the individual right to the freedom of religion under Article 25(1) to the other provisions of Part III was not a matter without substantive content. Evidently, in the constitutional order</w:t>
      </w:r>
      <w:r>
        <w:rPr>
          <w:spacing w:val="-13"/>
          <w:sz w:val="26"/>
        </w:rPr>
        <w:t xml:space="preserve"> </w:t>
      </w:r>
      <w:r>
        <w:rPr>
          <w:sz w:val="26"/>
        </w:rPr>
        <w:t>of</w:t>
      </w:r>
      <w:r>
        <w:rPr>
          <w:spacing w:val="-9"/>
          <w:sz w:val="26"/>
        </w:rPr>
        <w:t xml:space="preserve"> </w:t>
      </w:r>
      <w:r>
        <w:rPr>
          <w:sz w:val="26"/>
        </w:rPr>
        <w:t>priorities,</w:t>
      </w:r>
      <w:r>
        <w:rPr>
          <w:spacing w:val="-11"/>
          <w:sz w:val="26"/>
        </w:rPr>
        <w:t xml:space="preserve"> </w:t>
      </w:r>
      <w:r>
        <w:rPr>
          <w:sz w:val="26"/>
        </w:rPr>
        <w:t>the</w:t>
      </w:r>
      <w:r>
        <w:rPr>
          <w:spacing w:val="-9"/>
          <w:sz w:val="26"/>
        </w:rPr>
        <w:t xml:space="preserve"> </w:t>
      </w:r>
      <w:r>
        <w:rPr>
          <w:sz w:val="26"/>
        </w:rPr>
        <w:t>individual</w:t>
      </w:r>
      <w:r>
        <w:rPr>
          <w:spacing w:val="-11"/>
          <w:sz w:val="26"/>
        </w:rPr>
        <w:t xml:space="preserve"> </w:t>
      </w:r>
      <w:r>
        <w:rPr>
          <w:sz w:val="26"/>
        </w:rPr>
        <w:t>right</w:t>
      </w:r>
      <w:r>
        <w:rPr>
          <w:spacing w:val="-11"/>
          <w:sz w:val="26"/>
        </w:rPr>
        <w:t xml:space="preserve"> </w:t>
      </w:r>
      <w:r>
        <w:rPr>
          <w:sz w:val="26"/>
        </w:rPr>
        <w:t>to</w:t>
      </w:r>
      <w:r>
        <w:rPr>
          <w:spacing w:val="-12"/>
          <w:sz w:val="26"/>
        </w:rPr>
        <w:t xml:space="preserve"> </w:t>
      </w:r>
      <w:r>
        <w:rPr>
          <w:sz w:val="26"/>
        </w:rPr>
        <w:t>the</w:t>
      </w:r>
      <w:r>
        <w:rPr>
          <w:spacing w:val="-10"/>
          <w:sz w:val="26"/>
        </w:rPr>
        <w:t xml:space="preserve"> </w:t>
      </w:r>
      <w:r>
        <w:rPr>
          <w:sz w:val="26"/>
        </w:rPr>
        <w:t>freedom</w:t>
      </w:r>
      <w:r>
        <w:rPr>
          <w:spacing w:val="-9"/>
          <w:sz w:val="26"/>
        </w:rPr>
        <w:t xml:space="preserve"> </w:t>
      </w:r>
      <w:r>
        <w:rPr>
          <w:sz w:val="26"/>
        </w:rPr>
        <w:t>of</w:t>
      </w:r>
      <w:r>
        <w:rPr>
          <w:spacing w:val="-12"/>
          <w:sz w:val="26"/>
        </w:rPr>
        <w:t xml:space="preserve"> </w:t>
      </w:r>
      <w:r>
        <w:rPr>
          <w:sz w:val="26"/>
        </w:rPr>
        <w:t>religion</w:t>
      </w:r>
      <w:r>
        <w:rPr>
          <w:spacing w:val="-9"/>
          <w:sz w:val="26"/>
        </w:rPr>
        <w:t xml:space="preserve"> </w:t>
      </w:r>
      <w:r>
        <w:rPr>
          <w:sz w:val="26"/>
        </w:rPr>
        <w:t>was</w:t>
      </w:r>
      <w:r>
        <w:rPr>
          <w:spacing w:val="-11"/>
          <w:sz w:val="26"/>
        </w:rPr>
        <w:t xml:space="preserve"> </w:t>
      </w:r>
      <w:r>
        <w:rPr>
          <w:sz w:val="26"/>
        </w:rPr>
        <w:t>not</w:t>
      </w:r>
      <w:r>
        <w:rPr>
          <w:spacing w:val="-12"/>
          <w:sz w:val="26"/>
        </w:rPr>
        <w:t xml:space="preserve"> </w:t>
      </w:r>
      <w:r>
        <w:rPr>
          <w:sz w:val="26"/>
        </w:rPr>
        <w:t>intended to prevail over but was subject to the overriding constitutional postulates of equality, liberty and personal freedoms recognised in the other provisions of Part</w:t>
      </w:r>
      <w:r>
        <w:rPr>
          <w:spacing w:val="-2"/>
          <w:sz w:val="26"/>
        </w:rPr>
        <w:t xml:space="preserve"> </w:t>
      </w:r>
      <w:r>
        <w:rPr>
          <w:sz w:val="26"/>
        </w:rPr>
        <w:t>III.</w:t>
      </w:r>
    </w:p>
    <w:p w:rsidR="003B2FC0" w:rsidRDefault="003B2FC0">
      <w:pPr>
        <w:rPr>
          <w:sz w:val="28"/>
        </w:rPr>
      </w:pPr>
    </w:p>
    <w:p w:rsidR="003B2FC0" w:rsidRDefault="003B2FC0">
      <w:pPr>
        <w:rPr>
          <w:sz w:val="33"/>
        </w:rPr>
      </w:pPr>
    </w:p>
    <w:p w:rsidR="003B2FC0" w:rsidRDefault="00052A49">
      <w:pPr>
        <w:pStyle w:val="ListParagraph"/>
        <w:numPr>
          <w:ilvl w:val="0"/>
          <w:numId w:val="39"/>
        </w:numPr>
        <w:tabs>
          <w:tab w:val="left" w:pos="1121"/>
        </w:tabs>
        <w:spacing w:line="480" w:lineRule="auto"/>
        <w:ind w:right="433" w:firstLine="0"/>
        <w:jc w:val="both"/>
        <w:rPr>
          <w:sz w:val="26"/>
        </w:rPr>
      </w:pPr>
      <w:r>
        <w:rPr>
          <w:sz w:val="26"/>
        </w:rPr>
        <w:t>Clause</w:t>
      </w:r>
      <w:r>
        <w:rPr>
          <w:spacing w:val="-6"/>
          <w:sz w:val="26"/>
        </w:rPr>
        <w:t xml:space="preserve"> </w:t>
      </w:r>
      <w:r>
        <w:rPr>
          <w:sz w:val="26"/>
        </w:rPr>
        <w:t>(2)</w:t>
      </w:r>
      <w:r>
        <w:rPr>
          <w:spacing w:val="-5"/>
          <w:sz w:val="26"/>
        </w:rPr>
        <w:t xml:space="preserve"> </w:t>
      </w:r>
      <w:r>
        <w:rPr>
          <w:sz w:val="26"/>
        </w:rPr>
        <w:t>of</w:t>
      </w:r>
      <w:r>
        <w:rPr>
          <w:spacing w:val="-5"/>
          <w:sz w:val="26"/>
        </w:rPr>
        <w:t xml:space="preserve"> </w:t>
      </w:r>
      <w:r>
        <w:rPr>
          <w:sz w:val="26"/>
        </w:rPr>
        <w:t>Article</w:t>
      </w:r>
      <w:r>
        <w:rPr>
          <w:spacing w:val="-2"/>
          <w:sz w:val="26"/>
        </w:rPr>
        <w:t xml:space="preserve"> </w:t>
      </w:r>
      <w:r>
        <w:rPr>
          <w:sz w:val="26"/>
        </w:rPr>
        <w:t>25</w:t>
      </w:r>
      <w:r>
        <w:rPr>
          <w:spacing w:val="-7"/>
          <w:sz w:val="26"/>
        </w:rPr>
        <w:t xml:space="preserve"> </w:t>
      </w:r>
      <w:r>
        <w:rPr>
          <w:sz w:val="26"/>
        </w:rPr>
        <w:t>protects</w:t>
      </w:r>
      <w:r>
        <w:rPr>
          <w:spacing w:val="-4"/>
          <w:sz w:val="26"/>
        </w:rPr>
        <w:t xml:space="preserve"> </w:t>
      </w:r>
      <w:r>
        <w:rPr>
          <w:sz w:val="26"/>
        </w:rPr>
        <w:t>laws</w:t>
      </w:r>
      <w:r>
        <w:rPr>
          <w:spacing w:val="-2"/>
          <w:sz w:val="26"/>
        </w:rPr>
        <w:t xml:space="preserve"> </w:t>
      </w:r>
      <w:r>
        <w:rPr>
          <w:sz w:val="26"/>
        </w:rPr>
        <w:t>which</w:t>
      </w:r>
      <w:r>
        <w:rPr>
          <w:spacing w:val="-7"/>
          <w:sz w:val="26"/>
        </w:rPr>
        <w:t xml:space="preserve"> </w:t>
      </w:r>
      <w:r>
        <w:rPr>
          <w:sz w:val="26"/>
        </w:rPr>
        <w:t>existed</w:t>
      </w:r>
      <w:r>
        <w:rPr>
          <w:spacing w:val="-6"/>
          <w:sz w:val="26"/>
        </w:rPr>
        <w:t xml:space="preserve"> </w:t>
      </w:r>
      <w:r>
        <w:rPr>
          <w:sz w:val="26"/>
        </w:rPr>
        <w:t>at</w:t>
      </w:r>
      <w:r>
        <w:rPr>
          <w:spacing w:val="-7"/>
          <w:sz w:val="26"/>
        </w:rPr>
        <w:t xml:space="preserve"> </w:t>
      </w:r>
      <w:r>
        <w:rPr>
          <w:sz w:val="26"/>
        </w:rPr>
        <w:t>th</w:t>
      </w:r>
      <w:r>
        <w:rPr>
          <w:sz w:val="26"/>
        </w:rPr>
        <w:t>e</w:t>
      </w:r>
      <w:r>
        <w:rPr>
          <w:spacing w:val="-3"/>
          <w:sz w:val="26"/>
        </w:rPr>
        <w:t xml:space="preserve"> </w:t>
      </w:r>
      <w:r>
        <w:rPr>
          <w:sz w:val="26"/>
        </w:rPr>
        <w:t>adoption</w:t>
      </w:r>
      <w:r>
        <w:rPr>
          <w:spacing w:val="-4"/>
          <w:sz w:val="26"/>
        </w:rPr>
        <w:t xml:space="preserve"> </w:t>
      </w:r>
      <w:r>
        <w:rPr>
          <w:sz w:val="26"/>
        </w:rPr>
        <w:t>of</w:t>
      </w:r>
      <w:r>
        <w:rPr>
          <w:spacing w:val="-7"/>
          <w:sz w:val="26"/>
        </w:rPr>
        <w:t xml:space="preserve"> </w:t>
      </w:r>
      <w:r>
        <w:rPr>
          <w:sz w:val="26"/>
        </w:rPr>
        <w:t>the Constitution and the power of the state to enact laws in future, dealing with two categories.</w:t>
      </w:r>
      <w:r>
        <w:rPr>
          <w:spacing w:val="38"/>
          <w:sz w:val="26"/>
        </w:rPr>
        <w:t xml:space="preserve"> </w:t>
      </w:r>
      <w:r>
        <w:rPr>
          <w:sz w:val="26"/>
        </w:rPr>
        <w:t>The</w:t>
      </w:r>
      <w:r>
        <w:rPr>
          <w:spacing w:val="-17"/>
          <w:sz w:val="26"/>
        </w:rPr>
        <w:t xml:space="preserve"> </w:t>
      </w:r>
      <w:r>
        <w:rPr>
          <w:sz w:val="26"/>
        </w:rPr>
        <w:t>first</w:t>
      </w:r>
      <w:r>
        <w:rPr>
          <w:spacing w:val="-16"/>
          <w:sz w:val="26"/>
        </w:rPr>
        <w:t xml:space="preserve"> </w:t>
      </w:r>
      <w:r>
        <w:rPr>
          <w:sz w:val="26"/>
        </w:rPr>
        <w:t>of</w:t>
      </w:r>
      <w:r>
        <w:rPr>
          <w:spacing w:val="-16"/>
          <w:sz w:val="26"/>
        </w:rPr>
        <w:t xml:space="preserve"> </w:t>
      </w:r>
      <w:r>
        <w:rPr>
          <w:sz w:val="26"/>
        </w:rPr>
        <w:t>those</w:t>
      </w:r>
      <w:r>
        <w:rPr>
          <w:spacing w:val="-17"/>
          <w:sz w:val="26"/>
        </w:rPr>
        <w:t xml:space="preserve"> </w:t>
      </w:r>
      <w:r>
        <w:rPr>
          <w:sz w:val="26"/>
        </w:rPr>
        <w:t>categories</w:t>
      </w:r>
      <w:r>
        <w:rPr>
          <w:spacing w:val="-17"/>
          <w:sz w:val="26"/>
        </w:rPr>
        <w:t xml:space="preserve"> </w:t>
      </w:r>
      <w:r>
        <w:rPr>
          <w:sz w:val="26"/>
        </w:rPr>
        <w:t>consists</w:t>
      </w:r>
      <w:r>
        <w:rPr>
          <w:spacing w:val="-16"/>
          <w:sz w:val="26"/>
        </w:rPr>
        <w:t xml:space="preserve"> </w:t>
      </w:r>
      <w:r>
        <w:rPr>
          <w:sz w:val="26"/>
        </w:rPr>
        <w:t>of</w:t>
      </w:r>
      <w:r>
        <w:rPr>
          <w:spacing w:val="-17"/>
          <w:sz w:val="26"/>
        </w:rPr>
        <w:t xml:space="preserve"> </w:t>
      </w:r>
      <w:r>
        <w:rPr>
          <w:sz w:val="26"/>
        </w:rPr>
        <w:t>laws</w:t>
      </w:r>
      <w:r>
        <w:rPr>
          <w:spacing w:val="-17"/>
          <w:sz w:val="26"/>
        </w:rPr>
        <w:t xml:space="preserve"> </w:t>
      </w:r>
      <w:r>
        <w:rPr>
          <w:sz w:val="26"/>
        </w:rPr>
        <w:t>regulating</w:t>
      </w:r>
      <w:r>
        <w:rPr>
          <w:spacing w:val="-17"/>
          <w:sz w:val="26"/>
        </w:rPr>
        <w:t xml:space="preserve"> </w:t>
      </w:r>
      <w:r>
        <w:rPr>
          <w:sz w:val="26"/>
        </w:rPr>
        <w:t>or</w:t>
      </w:r>
      <w:r>
        <w:rPr>
          <w:spacing w:val="-16"/>
          <w:sz w:val="26"/>
        </w:rPr>
        <w:t xml:space="preserve"> </w:t>
      </w:r>
      <w:r>
        <w:rPr>
          <w:sz w:val="26"/>
        </w:rPr>
        <w:t>restricting economic,</w:t>
      </w:r>
      <w:r>
        <w:rPr>
          <w:spacing w:val="-12"/>
          <w:sz w:val="26"/>
        </w:rPr>
        <w:t xml:space="preserve"> </w:t>
      </w:r>
      <w:r>
        <w:rPr>
          <w:sz w:val="26"/>
        </w:rPr>
        <w:t>financial,</w:t>
      </w:r>
      <w:r>
        <w:rPr>
          <w:spacing w:val="-9"/>
          <w:sz w:val="26"/>
        </w:rPr>
        <w:t xml:space="preserve"> </w:t>
      </w:r>
      <w:r>
        <w:rPr>
          <w:sz w:val="26"/>
        </w:rPr>
        <w:t>political</w:t>
      </w:r>
      <w:r>
        <w:rPr>
          <w:spacing w:val="-9"/>
          <w:sz w:val="26"/>
        </w:rPr>
        <w:t xml:space="preserve"> </w:t>
      </w:r>
      <w:r>
        <w:rPr>
          <w:sz w:val="26"/>
        </w:rPr>
        <w:t>or</w:t>
      </w:r>
      <w:r>
        <w:rPr>
          <w:spacing w:val="-11"/>
          <w:sz w:val="26"/>
        </w:rPr>
        <w:t xml:space="preserve"> </w:t>
      </w:r>
      <w:r>
        <w:rPr>
          <w:sz w:val="26"/>
        </w:rPr>
        <w:t>other</w:t>
      </w:r>
      <w:r>
        <w:rPr>
          <w:spacing w:val="-11"/>
          <w:sz w:val="26"/>
        </w:rPr>
        <w:t xml:space="preserve"> </w:t>
      </w:r>
      <w:r>
        <w:rPr>
          <w:sz w:val="26"/>
        </w:rPr>
        <w:t>secular</w:t>
      </w:r>
      <w:r>
        <w:rPr>
          <w:spacing w:val="-11"/>
          <w:sz w:val="26"/>
        </w:rPr>
        <w:t xml:space="preserve"> </w:t>
      </w:r>
      <w:r>
        <w:rPr>
          <w:sz w:val="26"/>
        </w:rPr>
        <w:t>activities</w:t>
      </w:r>
      <w:r>
        <w:rPr>
          <w:spacing w:val="-9"/>
          <w:sz w:val="26"/>
        </w:rPr>
        <w:t xml:space="preserve"> </w:t>
      </w:r>
      <w:r>
        <w:rPr>
          <w:sz w:val="26"/>
        </w:rPr>
        <w:t>which</w:t>
      </w:r>
      <w:r>
        <w:rPr>
          <w:spacing w:val="-12"/>
          <w:sz w:val="26"/>
        </w:rPr>
        <w:t xml:space="preserve"> </w:t>
      </w:r>
      <w:r>
        <w:rPr>
          <w:sz w:val="26"/>
        </w:rPr>
        <w:t>may</w:t>
      </w:r>
      <w:r>
        <w:rPr>
          <w:spacing w:val="-13"/>
          <w:sz w:val="26"/>
        </w:rPr>
        <w:t xml:space="preserve"> </w:t>
      </w:r>
      <w:r>
        <w:rPr>
          <w:sz w:val="26"/>
        </w:rPr>
        <w:t>be</w:t>
      </w:r>
      <w:r>
        <w:rPr>
          <w:spacing w:val="-12"/>
          <w:sz w:val="26"/>
        </w:rPr>
        <w:t xml:space="preserve"> </w:t>
      </w:r>
      <w:r>
        <w:rPr>
          <w:sz w:val="26"/>
        </w:rPr>
        <w:t>associated with</w:t>
      </w:r>
      <w:r>
        <w:rPr>
          <w:spacing w:val="-19"/>
          <w:sz w:val="26"/>
        </w:rPr>
        <w:t xml:space="preserve"> </w:t>
      </w:r>
      <w:r>
        <w:rPr>
          <w:sz w:val="26"/>
        </w:rPr>
        <w:t>religious</w:t>
      </w:r>
      <w:r>
        <w:rPr>
          <w:spacing w:val="-17"/>
          <w:sz w:val="26"/>
        </w:rPr>
        <w:t xml:space="preserve"> </w:t>
      </w:r>
      <w:r>
        <w:rPr>
          <w:sz w:val="26"/>
        </w:rPr>
        <w:t>practices.</w:t>
      </w:r>
      <w:r>
        <w:rPr>
          <w:spacing w:val="38"/>
          <w:sz w:val="26"/>
        </w:rPr>
        <w:t xml:space="preserve"> </w:t>
      </w:r>
      <w:r>
        <w:rPr>
          <w:sz w:val="26"/>
        </w:rPr>
        <w:t>Thus,</w:t>
      </w:r>
      <w:r>
        <w:rPr>
          <w:spacing w:val="-17"/>
          <w:sz w:val="26"/>
        </w:rPr>
        <w:t xml:space="preserve"> </w:t>
      </w:r>
      <w:r>
        <w:rPr>
          <w:sz w:val="26"/>
        </w:rPr>
        <w:t>in</w:t>
      </w:r>
      <w:r>
        <w:rPr>
          <w:spacing w:val="-16"/>
          <w:sz w:val="26"/>
        </w:rPr>
        <w:t xml:space="preserve"> </w:t>
      </w:r>
      <w:r>
        <w:rPr>
          <w:sz w:val="26"/>
        </w:rPr>
        <w:t>sub-clause</w:t>
      </w:r>
      <w:r>
        <w:rPr>
          <w:spacing w:val="-18"/>
          <w:sz w:val="26"/>
        </w:rPr>
        <w:t xml:space="preserve"> </w:t>
      </w:r>
      <w:r>
        <w:rPr>
          <w:sz w:val="26"/>
        </w:rPr>
        <w:t>(a)</w:t>
      </w:r>
      <w:r>
        <w:rPr>
          <w:spacing w:val="-19"/>
          <w:sz w:val="26"/>
        </w:rPr>
        <w:t xml:space="preserve"> </w:t>
      </w:r>
      <w:r>
        <w:rPr>
          <w:sz w:val="26"/>
        </w:rPr>
        <w:t>of</w:t>
      </w:r>
      <w:r>
        <w:rPr>
          <w:spacing w:val="-19"/>
          <w:sz w:val="26"/>
        </w:rPr>
        <w:t xml:space="preserve"> </w:t>
      </w:r>
      <w:r>
        <w:rPr>
          <w:sz w:val="26"/>
        </w:rPr>
        <w:t>Article</w:t>
      </w:r>
      <w:r>
        <w:rPr>
          <w:spacing w:val="-18"/>
          <w:sz w:val="26"/>
        </w:rPr>
        <w:t xml:space="preserve"> </w:t>
      </w:r>
      <w:r>
        <w:rPr>
          <w:sz w:val="26"/>
        </w:rPr>
        <w:t>25</w:t>
      </w:r>
      <w:r>
        <w:rPr>
          <w:spacing w:val="-18"/>
          <w:sz w:val="26"/>
        </w:rPr>
        <w:t xml:space="preserve"> </w:t>
      </w:r>
      <w:r>
        <w:rPr>
          <w:sz w:val="26"/>
        </w:rPr>
        <w:t>(2),</w:t>
      </w:r>
      <w:r>
        <w:rPr>
          <w:spacing w:val="-13"/>
          <w:sz w:val="26"/>
        </w:rPr>
        <w:t xml:space="preserve"> </w:t>
      </w:r>
      <w:r>
        <w:rPr>
          <w:sz w:val="26"/>
        </w:rPr>
        <w:t>the</w:t>
      </w:r>
      <w:r>
        <w:rPr>
          <w:spacing w:val="-19"/>
          <w:sz w:val="26"/>
        </w:rPr>
        <w:t xml:space="preserve"> </w:t>
      </w:r>
      <w:r>
        <w:rPr>
          <w:sz w:val="26"/>
        </w:rPr>
        <w:t>Constitution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has segregated matters of religious practice from secular activities, including those of an economic, financial or political nature. The expression “other secular activity” which follows upon the expression “economic, financial, political”</w:t>
      </w:r>
      <w:r>
        <w:rPr>
          <w:spacing w:val="-19"/>
          <w:sz w:val="26"/>
        </w:rPr>
        <w:t xml:space="preserve"> </w:t>
      </w:r>
      <w:r>
        <w:rPr>
          <w:sz w:val="26"/>
        </w:rPr>
        <w:t>indicates</w:t>
      </w:r>
      <w:r>
        <w:rPr>
          <w:spacing w:val="-22"/>
          <w:sz w:val="26"/>
        </w:rPr>
        <w:t xml:space="preserve"> </w:t>
      </w:r>
      <w:r>
        <w:rPr>
          <w:sz w:val="26"/>
        </w:rPr>
        <w:t>that</w:t>
      </w:r>
      <w:r>
        <w:rPr>
          <w:spacing w:val="-20"/>
          <w:sz w:val="26"/>
        </w:rPr>
        <w:t xml:space="preserve"> </w:t>
      </w:r>
      <w:r>
        <w:rPr>
          <w:sz w:val="26"/>
        </w:rPr>
        <w:t>m</w:t>
      </w:r>
      <w:r>
        <w:rPr>
          <w:sz w:val="26"/>
        </w:rPr>
        <w:t>atters</w:t>
      </w:r>
      <w:r>
        <w:rPr>
          <w:spacing w:val="-22"/>
          <w:sz w:val="26"/>
        </w:rPr>
        <w:t xml:space="preserve"> </w:t>
      </w:r>
      <w:r>
        <w:rPr>
          <w:sz w:val="26"/>
        </w:rPr>
        <w:t>of</w:t>
      </w:r>
      <w:r>
        <w:rPr>
          <w:spacing w:val="-21"/>
          <w:sz w:val="26"/>
        </w:rPr>
        <w:t xml:space="preserve"> </w:t>
      </w:r>
      <w:r>
        <w:rPr>
          <w:sz w:val="26"/>
        </w:rPr>
        <w:t>a</w:t>
      </w:r>
      <w:r>
        <w:rPr>
          <w:spacing w:val="-19"/>
          <w:sz w:val="26"/>
        </w:rPr>
        <w:t xml:space="preserve"> </w:t>
      </w:r>
      <w:r>
        <w:rPr>
          <w:sz w:val="26"/>
        </w:rPr>
        <w:t>secular</w:t>
      </w:r>
      <w:r>
        <w:rPr>
          <w:spacing w:val="-18"/>
          <w:sz w:val="26"/>
        </w:rPr>
        <w:t xml:space="preserve"> </w:t>
      </w:r>
      <w:r>
        <w:rPr>
          <w:sz w:val="26"/>
        </w:rPr>
        <w:t>nature</w:t>
      </w:r>
      <w:r>
        <w:rPr>
          <w:spacing w:val="-20"/>
          <w:sz w:val="26"/>
        </w:rPr>
        <w:t xml:space="preserve"> </w:t>
      </w:r>
      <w:r>
        <w:rPr>
          <w:sz w:val="26"/>
        </w:rPr>
        <w:t>may</w:t>
      </w:r>
      <w:r>
        <w:rPr>
          <w:spacing w:val="-21"/>
          <w:sz w:val="26"/>
        </w:rPr>
        <w:t xml:space="preserve"> </w:t>
      </w:r>
      <w:r>
        <w:rPr>
          <w:sz w:val="26"/>
        </w:rPr>
        <w:t>be</w:t>
      </w:r>
      <w:r>
        <w:rPr>
          <w:spacing w:val="-22"/>
          <w:sz w:val="26"/>
        </w:rPr>
        <w:t xml:space="preserve"> </w:t>
      </w:r>
      <w:r>
        <w:rPr>
          <w:sz w:val="26"/>
        </w:rPr>
        <w:t>regulated</w:t>
      </w:r>
      <w:r>
        <w:rPr>
          <w:spacing w:val="-21"/>
          <w:sz w:val="26"/>
        </w:rPr>
        <w:t xml:space="preserve"> </w:t>
      </w:r>
      <w:r>
        <w:rPr>
          <w:sz w:val="26"/>
        </w:rPr>
        <w:t>or</w:t>
      </w:r>
      <w:r>
        <w:rPr>
          <w:spacing w:val="-22"/>
          <w:sz w:val="26"/>
        </w:rPr>
        <w:t xml:space="preserve"> </w:t>
      </w:r>
      <w:r>
        <w:rPr>
          <w:sz w:val="26"/>
        </w:rPr>
        <w:t xml:space="preserve">restricted by law. The fact that these secular activities are associated with </w:t>
      </w:r>
      <w:r>
        <w:rPr>
          <w:spacing w:val="3"/>
          <w:sz w:val="26"/>
        </w:rPr>
        <w:t xml:space="preserve">or, </w:t>
      </w:r>
      <w:r>
        <w:rPr>
          <w:sz w:val="26"/>
        </w:rPr>
        <w:t>in other words, carried out in conjunction with religious practice, would not put them beyond the pale of legislative regulation. The second category consists of laws providing</w:t>
      </w:r>
      <w:r>
        <w:rPr>
          <w:spacing w:val="-16"/>
          <w:sz w:val="26"/>
        </w:rPr>
        <w:t xml:space="preserve"> </w:t>
      </w:r>
      <w:r>
        <w:rPr>
          <w:sz w:val="26"/>
        </w:rPr>
        <w:t>for</w:t>
      </w:r>
      <w:r>
        <w:rPr>
          <w:spacing w:val="-14"/>
          <w:sz w:val="26"/>
        </w:rPr>
        <w:t xml:space="preserve"> </w:t>
      </w:r>
      <w:r>
        <w:rPr>
          <w:sz w:val="26"/>
        </w:rPr>
        <w:t>(i)</w:t>
      </w:r>
      <w:r>
        <w:rPr>
          <w:spacing w:val="-16"/>
          <w:sz w:val="26"/>
        </w:rPr>
        <w:t xml:space="preserve"> </w:t>
      </w:r>
      <w:r>
        <w:rPr>
          <w:sz w:val="26"/>
        </w:rPr>
        <w:t>social</w:t>
      </w:r>
      <w:r>
        <w:rPr>
          <w:spacing w:val="-14"/>
          <w:sz w:val="26"/>
        </w:rPr>
        <w:t xml:space="preserve"> </w:t>
      </w:r>
      <w:r>
        <w:rPr>
          <w:sz w:val="26"/>
        </w:rPr>
        <w:t>welfare</w:t>
      </w:r>
      <w:r>
        <w:rPr>
          <w:spacing w:val="-14"/>
          <w:sz w:val="26"/>
        </w:rPr>
        <w:t xml:space="preserve"> </w:t>
      </w:r>
      <w:r>
        <w:rPr>
          <w:sz w:val="26"/>
        </w:rPr>
        <w:t>and</w:t>
      </w:r>
      <w:r>
        <w:rPr>
          <w:spacing w:val="-14"/>
          <w:sz w:val="26"/>
        </w:rPr>
        <w:t xml:space="preserve"> </w:t>
      </w:r>
      <w:r>
        <w:rPr>
          <w:sz w:val="26"/>
        </w:rPr>
        <w:t>reform;</w:t>
      </w:r>
      <w:r>
        <w:rPr>
          <w:spacing w:val="-14"/>
          <w:sz w:val="26"/>
        </w:rPr>
        <w:t xml:space="preserve"> </w:t>
      </w:r>
      <w:r>
        <w:rPr>
          <w:sz w:val="26"/>
        </w:rPr>
        <w:t>or</w:t>
      </w:r>
      <w:r>
        <w:rPr>
          <w:spacing w:val="-16"/>
          <w:sz w:val="26"/>
        </w:rPr>
        <w:t xml:space="preserve"> </w:t>
      </w:r>
      <w:r>
        <w:rPr>
          <w:sz w:val="26"/>
        </w:rPr>
        <w:t>(ii)</w:t>
      </w:r>
      <w:r>
        <w:rPr>
          <w:spacing w:val="-16"/>
          <w:sz w:val="26"/>
        </w:rPr>
        <w:t xml:space="preserve"> </w:t>
      </w:r>
      <w:r>
        <w:rPr>
          <w:sz w:val="26"/>
        </w:rPr>
        <w:t>throwing</w:t>
      </w:r>
      <w:r>
        <w:rPr>
          <w:spacing w:val="-16"/>
          <w:sz w:val="26"/>
        </w:rPr>
        <w:t xml:space="preserve"> </w:t>
      </w:r>
      <w:r>
        <w:rPr>
          <w:sz w:val="26"/>
        </w:rPr>
        <w:t>open</w:t>
      </w:r>
      <w:r>
        <w:rPr>
          <w:spacing w:val="-14"/>
          <w:sz w:val="26"/>
        </w:rPr>
        <w:t xml:space="preserve"> </w:t>
      </w:r>
      <w:r>
        <w:rPr>
          <w:sz w:val="26"/>
        </w:rPr>
        <w:t>of</w:t>
      </w:r>
      <w:r>
        <w:rPr>
          <w:spacing w:val="-16"/>
          <w:sz w:val="26"/>
        </w:rPr>
        <w:t xml:space="preserve"> </w:t>
      </w:r>
      <w:r>
        <w:rPr>
          <w:sz w:val="26"/>
        </w:rPr>
        <w:t>Hindu</w:t>
      </w:r>
      <w:r>
        <w:rPr>
          <w:spacing w:val="-15"/>
          <w:sz w:val="26"/>
        </w:rPr>
        <w:t xml:space="preserve"> </w:t>
      </w:r>
      <w:r>
        <w:rPr>
          <w:sz w:val="26"/>
        </w:rPr>
        <w:t>religious ins</w:t>
      </w:r>
      <w:r>
        <w:rPr>
          <w:sz w:val="26"/>
        </w:rPr>
        <w:t>titutions of a public character to all classes and sections of Hindus. The expression “social welfare and reform” is not confined to matters only of the Hindu</w:t>
      </w:r>
      <w:r>
        <w:rPr>
          <w:spacing w:val="-10"/>
          <w:sz w:val="26"/>
        </w:rPr>
        <w:t xml:space="preserve"> </w:t>
      </w:r>
      <w:r>
        <w:rPr>
          <w:sz w:val="26"/>
        </w:rPr>
        <w:t>religion.</w:t>
      </w:r>
      <w:r>
        <w:rPr>
          <w:spacing w:val="-9"/>
          <w:sz w:val="26"/>
        </w:rPr>
        <w:t xml:space="preserve"> </w:t>
      </w:r>
      <w:r>
        <w:rPr>
          <w:sz w:val="26"/>
        </w:rPr>
        <w:t>However,</w:t>
      </w:r>
      <w:r>
        <w:rPr>
          <w:spacing w:val="-10"/>
          <w:sz w:val="26"/>
        </w:rPr>
        <w:t xml:space="preserve"> </w:t>
      </w:r>
      <w:r>
        <w:rPr>
          <w:sz w:val="26"/>
        </w:rPr>
        <w:t>in</w:t>
      </w:r>
      <w:r>
        <w:rPr>
          <w:spacing w:val="-9"/>
          <w:sz w:val="26"/>
        </w:rPr>
        <w:t xml:space="preserve"> </w:t>
      </w:r>
      <w:r>
        <w:rPr>
          <w:sz w:val="26"/>
        </w:rPr>
        <w:t>matters</w:t>
      </w:r>
      <w:r>
        <w:rPr>
          <w:spacing w:val="-9"/>
          <w:sz w:val="26"/>
        </w:rPr>
        <w:t xml:space="preserve"> </w:t>
      </w:r>
      <w:r>
        <w:rPr>
          <w:sz w:val="26"/>
        </w:rPr>
        <w:t>of</w:t>
      </w:r>
      <w:r>
        <w:rPr>
          <w:spacing w:val="-10"/>
          <w:sz w:val="26"/>
        </w:rPr>
        <w:t xml:space="preserve"> </w:t>
      </w:r>
      <w:r>
        <w:rPr>
          <w:sz w:val="26"/>
        </w:rPr>
        <w:t>temple</w:t>
      </w:r>
      <w:r>
        <w:rPr>
          <w:spacing w:val="-9"/>
          <w:sz w:val="26"/>
        </w:rPr>
        <w:t xml:space="preserve"> </w:t>
      </w:r>
      <w:r>
        <w:rPr>
          <w:sz w:val="26"/>
        </w:rPr>
        <w:t>entry,</w:t>
      </w:r>
      <w:r>
        <w:rPr>
          <w:spacing w:val="-9"/>
          <w:sz w:val="26"/>
        </w:rPr>
        <w:t xml:space="preserve"> </w:t>
      </w:r>
      <w:r>
        <w:rPr>
          <w:sz w:val="26"/>
        </w:rPr>
        <w:t>the</w:t>
      </w:r>
      <w:r>
        <w:rPr>
          <w:spacing w:val="-10"/>
          <w:sz w:val="26"/>
        </w:rPr>
        <w:t xml:space="preserve"> </w:t>
      </w:r>
      <w:r>
        <w:rPr>
          <w:sz w:val="26"/>
        </w:rPr>
        <w:t>Constitution</w:t>
      </w:r>
      <w:r>
        <w:rPr>
          <w:spacing w:val="-9"/>
          <w:sz w:val="26"/>
        </w:rPr>
        <w:t xml:space="preserve"> </w:t>
      </w:r>
      <w:r>
        <w:rPr>
          <w:sz w:val="26"/>
        </w:rPr>
        <w:t>recognised the disabilities which</w:t>
      </w:r>
      <w:r>
        <w:rPr>
          <w:sz w:val="26"/>
        </w:rPr>
        <w:t xml:space="preserve"> Hindu religion had imposed over the centuries which restricted the rights of access to dalits and to various groups within Hindu society. The effect of clause (2) of Article 25 is to protect the ability of the</w:t>
      </w:r>
      <w:r>
        <w:rPr>
          <w:spacing w:val="-36"/>
          <w:sz w:val="26"/>
        </w:rPr>
        <w:t xml:space="preserve"> </w:t>
      </w:r>
      <w:r>
        <w:rPr>
          <w:sz w:val="26"/>
        </w:rPr>
        <w:t>state to</w:t>
      </w:r>
      <w:r>
        <w:rPr>
          <w:spacing w:val="17"/>
          <w:sz w:val="26"/>
        </w:rPr>
        <w:t xml:space="preserve"> </w:t>
      </w:r>
      <w:r>
        <w:rPr>
          <w:sz w:val="26"/>
        </w:rPr>
        <w:t>enact</w:t>
      </w:r>
      <w:r>
        <w:rPr>
          <w:spacing w:val="18"/>
          <w:sz w:val="26"/>
        </w:rPr>
        <w:t xml:space="preserve"> </w:t>
      </w:r>
      <w:r>
        <w:rPr>
          <w:sz w:val="26"/>
        </w:rPr>
        <w:t>laws,</w:t>
      </w:r>
      <w:r>
        <w:rPr>
          <w:spacing w:val="17"/>
          <w:sz w:val="26"/>
        </w:rPr>
        <w:t xml:space="preserve"> </w:t>
      </w:r>
      <w:r>
        <w:rPr>
          <w:sz w:val="26"/>
        </w:rPr>
        <w:t>and</w:t>
      </w:r>
      <w:r>
        <w:rPr>
          <w:spacing w:val="18"/>
          <w:sz w:val="26"/>
        </w:rPr>
        <w:t xml:space="preserve"> </w:t>
      </w:r>
      <w:r>
        <w:rPr>
          <w:sz w:val="26"/>
        </w:rPr>
        <w:t>to</w:t>
      </w:r>
      <w:r>
        <w:rPr>
          <w:spacing w:val="17"/>
          <w:sz w:val="26"/>
        </w:rPr>
        <w:t xml:space="preserve"> </w:t>
      </w:r>
      <w:r>
        <w:rPr>
          <w:sz w:val="26"/>
        </w:rPr>
        <w:t>save</w:t>
      </w:r>
      <w:r>
        <w:rPr>
          <w:spacing w:val="20"/>
          <w:sz w:val="26"/>
        </w:rPr>
        <w:t xml:space="preserve"> </w:t>
      </w:r>
      <w:r>
        <w:rPr>
          <w:sz w:val="26"/>
        </w:rPr>
        <w:t>existing</w:t>
      </w:r>
      <w:r>
        <w:rPr>
          <w:spacing w:val="17"/>
          <w:sz w:val="26"/>
        </w:rPr>
        <w:t xml:space="preserve"> </w:t>
      </w:r>
      <w:r>
        <w:rPr>
          <w:sz w:val="26"/>
        </w:rPr>
        <w:t>law</w:t>
      </w:r>
      <w:r>
        <w:rPr>
          <w:sz w:val="26"/>
        </w:rPr>
        <w:t>s</w:t>
      </w:r>
      <w:r>
        <w:rPr>
          <w:spacing w:val="20"/>
          <w:sz w:val="26"/>
        </w:rPr>
        <w:t xml:space="preserve"> </w:t>
      </w:r>
      <w:r>
        <w:rPr>
          <w:spacing w:val="2"/>
          <w:sz w:val="26"/>
        </w:rPr>
        <w:t>on</w:t>
      </w:r>
      <w:r>
        <w:rPr>
          <w:spacing w:val="17"/>
          <w:sz w:val="26"/>
        </w:rPr>
        <w:t xml:space="preserve"> </w:t>
      </w:r>
      <w:r>
        <w:rPr>
          <w:sz w:val="26"/>
        </w:rPr>
        <w:t>matters</w:t>
      </w:r>
      <w:r>
        <w:rPr>
          <w:spacing w:val="21"/>
          <w:sz w:val="26"/>
        </w:rPr>
        <w:t xml:space="preserve"> </w:t>
      </w:r>
      <w:r>
        <w:rPr>
          <w:sz w:val="26"/>
        </w:rPr>
        <w:t>governed</w:t>
      </w:r>
      <w:r>
        <w:rPr>
          <w:spacing w:val="17"/>
          <w:sz w:val="26"/>
        </w:rPr>
        <w:t xml:space="preserve"> </w:t>
      </w:r>
      <w:r>
        <w:rPr>
          <w:sz w:val="26"/>
        </w:rPr>
        <w:t>by</w:t>
      </w:r>
      <w:r>
        <w:rPr>
          <w:spacing w:val="16"/>
          <w:sz w:val="26"/>
        </w:rPr>
        <w:t xml:space="preserve"> </w:t>
      </w:r>
      <w:r>
        <w:rPr>
          <w:sz w:val="26"/>
        </w:rPr>
        <w:t>sub-clauses</w:t>
      </w:r>
    </w:p>
    <w:p w:rsidR="003B2FC0" w:rsidRDefault="00052A49">
      <w:pPr>
        <w:spacing w:before="1" w:line="480" w:lineRule="auto"/>
        <w:ind w:left="400" w:right="434"/>
        <w:jc w:val="both"/>
        <w:rPr>
          <w:sz w:val="26"/>
        </w:rPr>
      </w:pPr>
      <w:r>
        <w:rPr>
          <w:sz w:val="26"/>
        </w:rPr>
        <w:t>(a)</w:t>
      </w:r>
      <w:r>
        <w:rPr>
          <w:spacing w:val="-9"/>
          <w:sz w:val="26"/>
        </w:rPr>
        <w:t xml:space="preserve"> </w:t>
      </w:r>
      <w:r>
        <w:rPr>
          <w:sz w:val="26"/>
        </w:rPr>
        <w:t>and</w:t>
      </w:r>
      <w:r>
        <w:rPr>
          <w:spacing w:val="-9"/>
          <w:sz w:val="26"/>
        </w:rPr>
        <w:t xml:space="preserve"> </w:t>
      </w:r>
      <w:r>
        <w:rPr>
          <w:sz w:val="26"/>
        </w:rPr>
        <w:t>(b).</w:t>
      </w:r>
      <w:r>
        <w:rPr>
          <w:spacing w:val="56"/>
          <w:sz w:val="26"/>
        </w:rPr>
        <w:t xml:space="preserve"> </w:t>
      </w:r>
      <w:r>
        <w:rPr>
          <w:sz w:val="26"/>
        </w:rPr>
        <w:t>Clause</w:t>
      </w:r>
      <w:r>
        <w:rPr>
          <w:spacing w:val="-8"/>
          <w:sz w:val="26"/>
        </w:rPr>
        <w:t xml:space="preserve"> </w:t>
      </w:r>
      <w:r>
        <w:rPr>
          <w:sz w:val="26"/>
        </w:rPr>
        <w:t>(2)</w:t>
      </w:r>
      <w:r>
        <w:rPr>
          <w:spacing w:val="-9"/>
          <w:sz w:val="26"/>
        </w:rPr>
        <w:t xml:space="preserve"> </w:t>
      </w:r>
      <w:r>
        <w:rPr>
          <w:sz w:val="26"/>
        </w:rPr>
        <w:t>of</w:t>
      </w:r>
      <w:r>
        <w:rPr>
          <w:spacing w:val="-9"/>
          <w:sz w:val="26"/>
        </w:rPr>
        <w:t xml:space="preserve"> </w:t>
      </w:r>
      <w:r>
        <w:rPr>
          <w:sz w:val="26"/>
        </w:rPr>
        <w:t>Article</w:t>
      </w:r>
      <w:r>
        <w:rPr>
          <w:spacing w:val="-8"/>
          <w:sz w:val="26"/>
        </w:rPr>
        <w:t xml:space="preserve"> </w:t>
      </w:r>
      <w:r>
        <w:rPr>
          <w:sz w:val="26"/>
        </w:rPr>
        <w:t>25</w:t>
      </w:r>
      <w:r>
        <w:rPr>
          <w:spacing w:val="-9"/>
          <w:sz w:val="26"/>
        </w:rPr>
        <w:t xml:space="preserve"> </w:t>
      </w:r>
      <w:r>
        <w:rPr>
          <w:sz w:val="26"/>
        </w:rPr>
        <w:t>is</w:t>
      </w:r>
      <w:r>
        <w:rPr>
          <w:spacing w:val="-8"/>
          <w:sz w:val="26"/>
        </w:rPr>
        <w:t xml:space="preserve"> </w:t>
      </w:r>
      <w:r>
        <w:rPr>
          <w:sz w:val="26"/>
        </w:rPr>
        <w:t>clarificatory</w:t>
      </w:r>
      <w:r>
        <w:rPr>
          <w:spacing w:val="-11"/>
          <w:sz w:val="26"/>
        </w:rPr>
        <w:t xml:space="preserve"> </w:t>
      </w:r>
      <w:r>
        <w:rPr>
          <w:sz w:val="26"/>
        </w:rPr>
        <w:t>of</w:t>
      </w:r>
      <w:r>
        <w:rPr>
          <w:spacing w:val="-9"/>
          <w:sz w:val="26"/>
        </w:rPr>
        <w:t xml:space="preserve"> </w:t>
      </w:r>
      <w:r>
        <w:rPr>
          <w:sz w:val="26"/>
        </w:rPr>
        <w:t>the</w:t>
      </w:r>
      <w:r>
        <w:rPr>
          <w:spacing w:val="-8"/>
          <w:sz w:val="26"/>
        </w:rPr>
        <w:t xml:space="preserve"> </w:t>
      </w:r>
      <w:r>
        <w:rPr>
          <w:sz w:val="26"/>
        </w:rPr>
        <w:t>regulatory</w:t>
      </w:r>
      <w:r>
        <w:rPr>
          <w:spacing w:val="-11"/>
          <w:sz w:val="26"/>
        </w:rPr>
        <w:t xml:space="preserve"> </w:t>
      </w:r>
      <w:r>
        <w:rPr>
          <w:sz w:val="26"/>
        </w:rPr>
        <w:t>power</w:t>
      </w:r>
      <w:r>
        <w:rPr>
          <w:spacing w:val="-8"/>
          <w:sz w:val="26"/>
        </w:rPr>
        <w:t xml:space="preserve"> </w:t>
      </w:r>
      <w:r>
        <w:rPr>
          <w:sz w:val="26"/>
        </w:rPr>
        <w:t>of</w:t>
      </w:r>
      <w:r>
        <w:rPr>
          <w:spacing w:val="-9"/>
          <w:sz w:val="26"/>
        </w:rPr>
        <w:t xml:space="preserve"> </w:t>
      </w:r>
      <w:r>
        <w:rPr>
          <w:sz w:val="26"/>
        </w:rPr>
        <w:t>the state over matters of public order, morality and health which already stand recognised in clause (1). Clause 1 makes the right conferred subject to public order, morality and health. Clause 2 does not circumscribe the ambit of the ‘subject to public or</w:t>
      </w:r>
      <w:r>
        <w:rPr>
          <w:sz w:val="26"/>
        </w:rPr>
        <w:t>der, morality or health’ stipulation in clause 1. What clause 2 indicates is that the authority of the state to enact laws on the categories is not trammelled by Article</w:t>
      </w:r>
      <w:r>
        <w:rPr>
          <w:spacing w:val="-7"/>
          <w:sz w:val="26"/>
        </w:rPr>
        <w:t xml:space="preserve"> </w:t>
      </w:r>
      <w:r>
        <w:rPr>
          <w:sz w:val="26"/>
        </w:rPr>
        <w:t>25.</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42" w:firstLine="0"/>
        <w:jc w:val="both"/>
        <w:rPr>
          <w:sz w:val="26"/>
        </w:rPr>
      </w:pPr>
      <w:r>
        <w:rPr>
          <w:sz w:val="26"/>
        </w:rPr>
        <w:t>Article 26, as its marginal note indicates, deals with the “fre</w:t>
      </w:r>
      <w:r>
        <w:rPr>
          <w:sz w:val="26"/>
        </w:rPr>
        <w:t>edom to manage religious</w:t>
      </w:r>
      <w:r>
        <w:rPr>
          <w:spacing w:val="-3"/>
          <w:sz w:val="26"/>
        </w:rPr>
        <w:t xml:space="preserve"> </w:t>
      </w:r>
      <w:r>
        <w:rPr>
          <w:sz w:val="26"/>
        </w:rPr>
        <w:t>affairs”:</w:t>
      </w:r>
    </w:p>
    <w:p w:rsidR="003B2FC0" w:rsidRDefault="00052A49">
      <w:pPr>
        <w:spacing w:before="200" w:line="273" w:lineRule="auto"/>
        <w:ind w:left="1840" w:right="2035"/>
        <w:rPr>
          <w:sz w:val="21"/>
        </w:rPr>
      </w:pPr>
      <w:r>
        <w:rPr>
          <w:sz w:val="21"/>
        </w:rPr>
        <w:t>“26.</w:t>
      </w:r>
      <w:r>
        <w:rPr>
          <w:spacing w:val="-15"/>
          <w:sz w:val="21"/>
        </w:rPr>
        <w:t xml:space="preserve"> </w:t>
      </w:r>
      <w:r>
        <w:rPr>
          <w:sz w:val="21"/>
        </w:rPr>
        <w:t>Subject</w:t>
      </w:r>
      <w:r>
        <w:rPr>
          <w:spacing w:val="-14"/>
          <w:sz w:val="21"/>
        </w:rPr>
        <w:t xml:space="preserve"> </w:t>
      </w:r>
      <w:r>
        <w:rPr>
          <w:sz w:val="21"/>
        </w:rPr>
        <w:t>to</w:t>
      </w:r>
      <w:r>
        <w:rPr>
          <w:spacing w:val="-14"/>
          <w:sz w:val="21"/>
        </w:rPr>
        <w:t xml:space="preserve"> </w:t>
      </w:r>
      <w:r>
        <w:rPr>
          <w:sz w:val="21"/>
        </w:rPr>
        <w:t>public</w:t>
      </w:r>
      <w:r>
        <w:rPr>
          <w:spacing w:val="-13"/>
          <w:sz w:val="21"/>
        </w:rPr>
        <w:t xml:space="preserve"> </w:t>
      </w:r>
      <w:r>
        <w:rPr>
          <w:sz w:val="21"/>
        </w:rPr>
        <w:t>order,</w:t>
      </w:r>
      <w:r>
        <w:rPr>
          <w:spacing w:val="-14"/>
          <w:sz w:val="21"/>
        </w:rPr>
        <w:t xml:space="preserve"> </w:t>
      </w:r>
      <w:r>
        <w:rPr>
          <w:sz w:val="21"/>
        </w:rPr>
        <w:t>morality</w:t>
      </w:r>
      <w:r>
        <w:rPr>
          <w:spacing w:val="-17"/>
          <w:sz w:val="21"/>
        </w:rPr>
        <w:t xml:space="preserve"> </w:t>
      </w:r>
      <w:r>
        <w:rPr>
          <w:sz w:val="21"/>
        </w:rPr>
        <w:t>and</w:t>
      </w:r>
      <w:r>
        <w:rPr>
          <w:spacing w:val="-13"/>
          <w:sz w:val="21"/>
        </w:rPr>
        <w:t xml:space="preserve"> </w:t>
      </w:r>
      <w:r>
        <w:rPr>
          <w:sz w:val="21"/>
        </w:rPr>
        <w:t>health,</w:t>
      </w:r>
      <w:r>
        <w:rPr>
          <w:spacing w:val="-14"/>
          <w:sz w:val="21"/>
        </w:rPr>
        <w:t xml:space="preserve"> </w:t>
      </w:r>
      <w:r>
        <w:rPr>
          <w:sz w:val="21"/>
        </w:rPr>
        <w:t>every</w:t>
      </w:r>
      <w:r>
        <w:rPr>
          <w:spacing w:val="-17"/>
          <w:sz w:val="21"/>
        </w:rPr>
        <w:t xml:space="preserve"> </w:t>
      </w:r>
      <w:r>
        <w:rPr>
          <w:sz w:val="21"/>
        </w:rPr>
        <w:t>religious denomination or any section thereof shall have the</w:t>
      </w:r>
      <w:r>
        <w:rPr>
          <w:spacing w:val="-10"/>
          <w:sz w:val="21"/>
        </w:rPr>
        <w:t xml:space="preserve"> </w:t>
      </w:r>
      <w:r>
        <w:rPr>
          <w:sz w:val="21"/>
        </w:rPr>
        <w:t>right—</w:t>
      </w:r>
    </w:p>
    <w:p w:rsidR="003B2FC0" w:rsidRDefault="00052A49">
      <w:pPr>
        <w:pStyle w:val="ListParagraph"/>
        <w:numPr>
          <w:ilvl w:val="1"/>
          <w:numId w:val="39"/>
        </w:numPr>
        <w:tabs>
          <w:tab w:val="left" w:pos="2220"/>
        </w:tabs>
        <w:spacing w:before="203" w:line="276" w:lineRule="auto"/>
        <w:ind w:left="1840" w:right="2284" w:firstLine="0"/>
        <w:rPr>
          <w:sz w:val="21"/>
        </w:rPr>
      </w:pPr>
      <w:r>
        <w:rPr>
          <w:sz w:val="21"/>
        </w:rPr>
        <w:t>to establish and maintain institutions for religious and charitable</w:t>
      </w:r>
      <w:r>
        <w:rPr>
          <w:spacing w:val="-1"/>
          <w:sz w:val="21"/>
        </w:rPr>
        <w:t xml:space="preserve"> </w:t>
      </w:r>
      <w:r>
        <w:rPr>
          <w:sz w:val="21"/>
        </w:rPr>
        <w:t>purposes;</w:t>
      </w:r>
    </w:p>
    <w:p w:rsidR="003B2FC0" w:rsidRDefault="00052A49">
      <w:pPr>
        <w:pStyle w:val="ListParagraph"/>
        <w:numPr>
          <w:ilvl w:val="1"/>
          <w:numId w:val="39"/>
        </w:numPr>
        <w:tabs>
          <w:tab w:val="left" w:pos="2155"/>
        </w:tabs>
        <w:spacing w:before="201"/>
        <w:ind w:hanging="314"/>
        <w:rPr>
          <w:sz w:val="21"/>
        </w:rPr>
      </w:pPr>
      <w:r>
        <w:rPr>
          <w:sz w:val="21"/>
        </w:rPr>
        <w:t>to manage its own affairs in matters of</w:t>
      </w:r>
      <w:r>
        <w:rPr>
          <w:spacing w:val="-11"/>
          <w:sz w:val="21"/>
        </w:rPr>
        <w:t xml:space="preserve"> </w:t>
      </w:r>
      <w:r>
        <w:rPr>
          <w:sz w:val="21"/>
        </w:rPr>
        <w:t>religion;</w:t>
      </w:r>
    </w:p>
    <w:p w:rsidR="003B2FC0" w:rsidRDefault="003B2FC0">
      <w:pPr>
        <w:spacing w:before="6"/>
        <w:rPr>
          <w:sz w:val="20"/>
        </w:rPr>
      </w:pPr>
    </w:p>
    <w:p w:rsidR="003B2FC0" w:rsidRDefault="00052A49">
      <w:pPr>
        <w:pStyle w:val="ListParagraph"/>
        <w:numPr>
          <w:ilvl w:val="1"/>
          <w:numId w:val="39"/>
        </w:numPr>
        <w:tabs>
          <w:tab w:val="left" w:pos="2144"/>
        </w:tabs>
        <w:ind w:left="2143" w:hanging="303"/>
        <w:rPr>
          <w:sz w:val="21"/>
        </w:rPr>
      </w:pPr>
      <w:r>
        <w:rPr>
          <w:sz w:val="21"/>
        </w:rPr>
        <w:t>to own and acquire movable and immovable property;</w:t>
      </w:r>
      <w:r>
        <w:rPr>
          <w:spacing w:val="-14"/>
          <w:sz w:val="21"/>
        </w:rPr>
        <w:t xml:space="preserve"> </w:t>
      </w:r>
      <w:r>
        <w:rPr>
          <w:sz w:val="21"/>
        </w:rPr>
        <w:t>and</w:t>
      </w:r>
    </w:p>
    <w:p w:rsidR="003B2FC0" w:rsidRDefault="003B2FC0">
      <w:pPr>
        <w:spacing w:before="6"/>
        <w:rPr>
          <w:sz w:val="20"/>
        </w:rPr>
      </w:pPr>
    </w:p>
    <w:p w:rsidR="003B2FC0" w:rsidRDefault="00052A49">
      <w:pPr>
        <w:pStyle w:val="ListParagraph"/>
        <w:numPr>
          <w:ilvl w:val="1"/>
          <w:numId w:val="39"/>
        </w:numPr>
        <w:tabs>
          <w:tab w:val="left" w:pos="2155"/>
        </w:tabs>
        <w:ind w:hanging="314"/>
        <w:rPr>
          <w:sz w:val="21"/>
        </w:rPr>
      </w:pPr>
      <w:r>
        <w:rPr>
          <w:sz w:val="21"/>
        </w:rPr>
        <w:t>to administer such property in accordance with</w:t>
      </w:r>
      <w:r>
        <w:rPr>
          <w:spacing w:val="-15"/>
          <w:sz w:val="21"/>
        </w:rPr>
        <w:t xml:space="preserve"> </w:t>
      </w:r>
      <w:r>
        <w:rPr>
          <w:sz w:val="21"/>
        </w:rPr>
        <w:t>law.”</w:t>
      </w:r>
    </w:p>
    <w:p w:rsidR="003B2FC0" w:rsidRDefault="003B2FC0">
      <w:pPr>
        <w:rPr>
          <w:sz w:val="24"/>
        </w:rPr>
      </w:pPr>
    </w:p>
    <w:p w:rsidR="003B2FC0" w:rsidRDefault="003B2FC0">
      <w:pPr>
        <w:rPr>
          <w:sz w:val="24"/>
        </w:rPr>
      </w:pPr>
    </w:p>
    <w:p w:rsidR="003B2FC0" w:rsidRDefault="00052A49">
      <w:pPr>
        <w:spacing w:before="163" w:line="480" w:lineRule="auto"/>
        <w:ind w:left="400" w:right="433"/>
        <w:jc w:val="both"/>
        <w:rPr>
          <w:sz w:val="26"/>
        </w:rPr>
      </w:pPr>
      <w:r>
        <w:rPr>
          <w:sz w:val="26"/>
        </w:rPr>
        <w:t>Article 26 confers rights on religious denominations and their sections. The Article covers four distinct facets: (i) establishment and maintenance of institutions for purposes of a religious and charitable nature; (ii) managing the affairs of the denomina</w:t>
      </w:r>
      <w:r>
        <w:rPr>
          <w:sz w:val="26"/>
        </w:rPr>
        <w:t>tion in matters of religion; (iii) ownership and acquisition of immovable property; and (iv) administration of the property in accordance with law. Article 26, as in the case of Article 25(1), is prefaced by a “subject to public order, morality and health”</w:t>
      </w:r>
      <w:r>
        <w:rPr>
          <w:sz w:val="26"/>
        </w:rPr>
        <w:t xml:space="preserve"> stipulation. Article 26(1) does not embody</w:t>
      </w:r>
      <w:r>
        <w:rPr>
          <w:spacing w:val="-45"/>
          <w:sz w:val="26"/>
        </w:rPr>
        <w:t xml:space="preserve"> </w:t>
      </w:r>
      <w:r>
        <w:rPr>
          <w:sz w:val="26"/>
        </w:rPr>
        <w:t>the additional stipulation found in Article 25(1) viz; “and to the other provisions of this Part.” The significance of this will be explored</w:t>
      </w:r>
      <w:r>
        <w:rPr>
          <w:spacing w:val="-6"/>
          <w:sz w:val="26"/>
        </w:rPr>
        <w:t xml:space="preserve"> </w:t>
      </w:r>
      <w:r>
        <w:rPr>
          <w:sz w:val="26"/>
        </w:rPr>
        <w:t>shortly.</w:t>
      </w:r>
    </w:p>
    <w:p w:rsidR="003B2FC0" w:rsidRDefault="003B2FC0">
      <w:pPr>
        <w:rPr>
          <w:sz w:val="28"/>
        </w:rPr>
      </w:pPr>
    </w:p>
    <w:p w:rsidR="003B2FC0" w:rsidRDefault="003B2FC0">
      <w:pPr>
        <w:rPr>
          <w:sz w:val="33"/>
        </w:rPr>
      </w:pPr>
    </w:p>
    <w:p w:rsidR="003B2FC0" w:rsidRDefault="00052A49">
      <w:pPr>
        <w:pStyle w:val="ListParagraph"/>
        <w:numPr>
          <w:ilvl w:val="0"/>
          <w:numId w:val="39"/>
        </w:numPr>
        <w:tabs>
          <w:tab w:val="left" w:pos="1121"/>
        </w:tabs>
        <w:spacing w:line="480" w:lineRule="auto"/>
        <w:ind w:right="429" w:firstLine="0"/>
        <w:jc w:val="both"/>
        <w:rPr>
          <w:sz w:val="26"/>
        </w:rPr>
      </w:pPr>
      <w:r>
        <w:rPr>
          <w:sz w:val="26"/>
        </w:rPr>
        <w:t>Public order, morality and health are grounds which the Cons</w:t>
      </w:r>
      <w:r>
        <w:rPr>
          <w:sz w:val="26"/>
        </w:rPr>
        <w:t>titution contemplates as the basis of restricting both the individual right to freedom of religion</w:t>
      </w:r>
      <w:r>
        <w:rPr>
          <w:spacing w:val="-9"/>
          <w:sz w:val="26"/>
        </w:rPr>
        <w:t xml:space="preserve"> </w:t>
      </w:r>
      <w:r>
        <w:rPr>
          <w:sz w:val="26"/>
        </w:rPr>
        <w:t>in</w:t>
      </w:r>
      <w:r>
        <w:rPr>
          <w:spacing w:val="-11"/>
          <w:sz w:val="26"/>
        </w:rPr>
        <w:t xml:space="preserve"> </w:t>
      </w:r>
      <w:r>
        <w:rPr>
          <w:sz w:val="26"/>
        </w:rPr>
        <w:t>Article</w:t>
      </w:r>
      <w:r>
        <w:rPr>
          <w:spacing w:val="-11"/>
          <w:sz w:val="26"/>
        </w:rPr>
        <w:t xml:space="preserve"> </w:t>
      </w:r>
      <w:r>
        <w:rPr>
          <w:sz w:val="26"/>
        </w:rPr>
        <w:t>25(1)</w:t>
      </w:r>
      <w:r>
        <w:rPr>
          <w:spacing w:val="-11"/>
          <w:sz w:val="26"/>
        </w:rPr>
        <w:t xml:space="preserve"> </w:t>
      </w:r>
      <w:r>
        <w:rPr>
          <w:sz w:val="26"/>
        </w:rPr>
        <w:t>and</w:t>
      </w:r>
      <w:r>
        <w:rPr>
          <w:spacing w:val="-9"/>
          <w:sz w:val="26"/>
        </w:rPr>
        <w:t xml:space="preserve"> </w:t>
      </w:r>
      <w:r>
        <w:rPr>
          <w:sz w:val="26"/>
        </w:rPr>
        <w:t>the</w:t>
      </w:r>
      <w:r>
        <w:rPr>
          <w:spacing w:val="-12"/>
          <w:sz w:val="26"/>
        </w:rPr>
        <w:t xml:space="preserve"> </w:t>
      </w:r>
      <w:r>
        <w:rPr>
          <w:sz w:val="26"/>
        </w:rPr>
        <w:t>right</w:t>
      </w:r>
      <w:r>
        <w:rPr>
          <w:spacing w:val="-12"/>
          <w:sz w:val="26"/>
        </w:rPr>
        <w:t xml:space="preserve"> </w:t>
      </w:r>
      <w:r>
        <w:rPr>
          <w:sz w:val="26"/>
        </w:rPr>
        <w:t>of</w:t>
      </w:r>
      <w:r>
        <w:rPr>
          <w:spacing w:val="-11"/>
          <w:sz w:val="26"/>
        </w:rPr>
        <w:t xml:space="preserve"> </w:t>
      </w:r>
      <w:r>
        <w:rPr>
          <w:sz w:val="26"/>
        </w:rPr>
        <w:t>religious</w:t>
      </w:r>
      <w:r>
        <w:rPr>
          <w:spacing w:val="-12"/>
          <w:sz w:val="26"/>
        </w:rPr>
        <w:t xml:space="preserve"> </w:t>
      </w:r>
      <w:r>
        <w:rPr>
          <w:sz w:val="26"/>
        </w:rPr>
        <w:t>denominations</w:t>
      </w:r>
      <w:r>
        <w:rPr>
          <w:spacing w:val="-9"/>
          <w:sz w:val="26"/>
        </w:rPr>
        <w:t xml:space="preserve"> </w:t>
      </w:r>
      <w:r>
        <w:rPr>
          <w:sz w:val="26"/>
        </w:rPr>
        <w:t>under</w:t>
      </w:r>
      <w:r>
        <w:rPr>
          <w:spacing w:val="-9"/>
          <w:sz w:val="26"/>
        </w:rPr>
        <w:t xml:space="preserve"> </w:t>
      </w:r>
      <w:r>
        <w:rPr>
          <w:sz w:val="26"/>
        </w:rPr>
        <w:t>Article</w:t>
      </w:r>
      <w:r>
        <w:rPr>
          <w:spacing w:val="-9"/>
          <w:sz w:val="26"/>
        </w:rPr>
        <w:t xml:space="preserve"> </w:t>
      </w:r>
      <w:r>
        <w:rPr>
          <w:sz w:val="26"/>
        </w:rPr>
        <w:t>26. The vexed issue is about the content of morality in Articles 25 and 26. What mean</w:t>
      </w:r>
      <w:r>
        <w:rPr>
          <w:sz w:val="26"/>
        </w:rPr>
        <w:t>ing</w:t>
      </w:r>
      <w:r>
        <w:rPr>
          <w:spacing w:val="39"/>
          <w:sz w:val="26"/>
        </w:rPr>
        <w:t xml:space="preserve"> </w:t>
      </w:r>
      <w:r>
        <w:rPr>
          <w:sz w:val="26"/>
        </w:rPr>
        <w:t>should</w:t>
      </w:r>
      <w:r>
        <w:rPr>
          <w:spacing w:val="41"/>
          <w:sz w:val="26"/>
        </w:rPr>
        <w:t xml:space="preserve"> </w:t>
      </w:r>
      <w:r>
        <w:rPr>
          <w:sz w:val="26"/>
        </w:rPr>
        <w:t>be</w:t>
      </w:r>
      <w:r>
        <w:rPr>
          <w:spacing w:val="42"/>
          <w:sz w:val="26"/>
        </w:rPr>
        <w:t xml:space="preserve"> </w:t>
      </w:r>
      <w:r>
        <w:rPr>
          <w:sz w:val="26"/>
        </w:rPr>
        <w:t>ascribed</w:t>
      </w:r>
      <w:r>
        <w:rPr>
          <w:spacing w:val="39"/>
          <w:sz w:val="26"/>
        </w:rPr>
        <w:t xml:space="preserve"> </w:t>
      </w:r>
      <w:r>
        <w:rPr>
          <w:sz w:val="26"/>
        </w:rPr>
        <w:t>to</w:t>
      </w:r>
      <w:r>
        <w:rPr>
          <w:spacing w:val="39"/>
          <w:sz w:val="26"/>
        </w:rPr>
        <w:t xml:space="preserve"> </w:t>
      </w:r>
      <w:r>
        <w:rPr>
          <w:sz w:val="26"/>
        </w:rPr>
        <w:t>the</w:t>
      </w:r>
      <w:r>
        <w:rPr>
          <w:spacing w:val="40"/>
          <w:sz w:val="26"/>
        </w:rPr>
        <w:t xml:space="preserve"> </w:t>
      </w:r>
      <w:r>
        <w:rPr>
          <w:sz w:val="26"/>
        </w:rPr>
        <w:t>content</w:t>
      </w:r>
      <w:r>
        <w:rPr>
          <w:spacing w:val="39"/>
          <w:sz w:val="26"/>
        </w:rPr>
        <w:t xml:space="preserve"> </w:t>
      </w:r>
      <w:r>
        <w:rPr>
          <w:sz w:val="26"/>
        </w:rPr>
        <w:t>of</w:t>
      </w:r>
      <w:r>
        <w:rPr>
          <w:spacing w:val="42"/>
          <w:sz w:val="26"/>
        </w:rPr>
        <w:t xml:space="preserve"> </w:t>
      </w:r>
      <w:r>
        <w:rPr>
          <w:sz w:val="26"/>
        </w:rPr>
        <w:t>the</w:t>
      </w:r>
      <w:r>
        <w:rPr>
          <w:spacing w:val="41"/>
          <w:sz w:val="26"/>
        </w:rPr>
        <w:t xml:space="preserve"> </w:t>
      </w:r>
      <w:r>
        <w:rPr>
          <w:sz w:val="26"/>
        </w:rPr>
        <w:t>expression</w:t>
      </w:r>
      <w:r>
        <w:rPr>
          <w:spacing w:val="39"/>
          <w:sz w:val="26"/>
        </w:rPr>
        <w:t xml:space="preserve"> </w:t>
      </w:r>
      <w:r>
        <w:rPr>
          <w:sz w:val="26"/>
        </w:rPr>
        <w:t>‘morality’</w:t>
      </w:r>
      <w:r>
        <w:rPr>
          <w:spacing w:val="40"/>
          <w:sz w:val="26"/>
        </w:rPr>
        <w:t xml:space="preserve"> </w:t>
      </w:r>
      <w:r>
        <w:rPr>
          <w:sz w:val="26"/>
        </w:rPr>
        <w:t>is</w:t>
      </w:r>
      <w:r>
        <w:rPr>
          <w:spacing w:val="41"/>
          <w:sz w:val="26"/>
        </w:rPr>
        <w:t xml:space="preserve"> </w:t>
      </w:r>
      <w:r>
        <w:rPr>
          <w:sz w:val="26"/>
        </w:rPr>
        <w:t>a</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1"/>
        <w:jc w:val="both"/>
        <w:rPr>
          <w:sz w:val="26"/>
        </w:rPr>
      </w:pPr>
      <w:r>
        <w:rPr>
          <w:sz w:val="26"/>
        </w:rPr>
        <w:t>matter of constitutional moment. In the case of the individual right as well as the</w:t>
      </w:r>
      <w:r>
        <w:rPr>
          <w:spacing w:val="-14"/>
          <w:sz w:val="26"/>
        </w:rPr>
        <w:t xml:space="preserve"> </w:t>
      </w:r>
      <w:r>
        <w:rPr>
          <w:sz w:val="26"/>
        </w:rPr>
        <w:t>right</w:t>
      </w:r>
      <w:r>
        <w:rPr>
          <w:spacing w:val="-13"/>
          <w:sz w:val="26"/>
        </w:rPr>
        <w:t xml:space="preserve"> </w:t>
      </w:r>
      <w:r>
        <w:rPr>
          <w:sz w:val="26"/>
        </w:rPr>
        <w:t>of</w:t>
      </w:r>
      <w:r>
        <w:rPr>
          <w:spacing w:val="-14"/>
          <w:sz w:val="26"/>
        </w:rPr>
        <w:t xml:space="preserve"> </w:t>
      </w:r>
      <w:r>
        <w:rPr>
          <w:sz w:val="26"/>
        </w:rPr>
        <w:t>religious</w:t>
      </w:r>
      <w:r>
        <w:rPr>
          <w:spacing w:val="-11"/>
          <w:sz w:val="26"/>
        </w:rPr>
        <w:t xml:space="preserve"> </w:t>
      </w:r>
      <w:r>
        <w:rPr>
          <w:sz w:val="26"/>
        </w:rPr>
        <w:t>denominations,</w:t>
      </w:r>
      <w:r>
        <w:rPr>
          <w:spacing w:val="-14"/>
          <w:sz w:val="26"/>
        </w:rPr>
        <w:t xml:space="preserve"> </w:t>
      </w:r>
      <w:r>
        <w:rPr>
          <w:sz w:val="26"/>
        </w:rPr>
        <w:t>morality</w:t>
      </w:r>
      <w:r>
        <w:rPr>
          <w:spacing w:val="-13"/>
          <w:sz w:val="26"/>
        </w:rPr>
        <w:t xml:space="preserve"> </w:t>
      </w:r>
      <w:r>
        <w:rPr>
          <w:sz w:val="26"/>
        </w:rPr>
        <w:t>has</w:t>
      </w:r>
      <w:r>
        <w:rPr>
          <w:spacing w:val="-11"/>
          <w:sz w:val="26"/>
        </w:rPr>
        <w:t xml:space="preserve"> </w:t>
      </w:r>
      <w:r>
        <w:rPr>
          <w:sz w:val="26"/>
        </w:rPr>
        <w:t>an</w:t>
      </w:r>
      <w:r>
        <w:rPr>
          <w:spacing w:val="-11"/>
          <w:sz w:val="26"/>
        </w:rPr>
        <w:t xml:space="preserve"> </w:t>
      </w:r>
      <w:r>
        <w:rPr>
          <w:sz w:val="26"/>
        </w:rPr>
        <w:t>overarching</w:t>
      </w:r>
      <w:r>
        <w:rPr>
          <w:spacing w:val="-11"/>
          <w:sz w:val="26"/>
        </w:rPr>
        <w:t xml:space="preserve"> </w:t>
      </w:r>
      <w:r>
        <w:rPr>
          <w:sz w:val="26"/>
        </w:rPr>
        <w:t>position</w:t>
      </w:r>
      <w:r>
        <w:rPr>
          <w:spacing w:val="-12"/>
          <w:sz w:val="26"/>
        </w:rPr>
        <w:t xml:space="preserve"> </w:t>
      </w:r>
      <w:r>
        <w:rPr>
          <w:sz w:val="26"/>
        </w:rPr>
        <w:t>similar to</w:t>
      </w:r>
      <w:r>
        <w:rPr>
          <w:spacing w:val="-14"/>
          <w:sz w:val="26"/>
        </w:rPr>
        <w:t xml:space="preserve"> </w:t>
      </w:r>
      <w:r>
        <w:rPr>
          <w:sz w:val="26"/>
        </w:rPr>
        <w:t>public</w:t>
      </w:r>
      <w:r>
        <w:rPr>
          <w:spacing w:val="-12"/>
          <w:sz w:val="26"/>
        </w:rPr>
        <w:t xml:space="preserve"> </w:t>
      </w:r>
      <w:r>
        <w:rPr>
          <w:sz w:val="26"/>
        </w:rPr>
        <w:t>order</w:t>
      </w:r>
      <w:r>
        <w:rPr>
          <w:spacing w:val="-14"/>
          <w:sz w:val="26"/>
        </w:rPr>
        <w:t xml:space="preserve"> </w:t>
      </w:r>
      <w:r>
        <w:rPr>
          <w:sz w:val="26"/>
        </w:rPr>
        <w:t>and</w:t>
      </w:r>
      <w:r>
        <w:rPr>
          <w:spacing w:val="-11"/>
          <w:sz w:val="26"/>
        </w:rPr>
        <w:t xml:space="preserve"> </w:t>
      </w:r>
      <w:r>
        <w:rPr>
          <w:sz w:val="26"/>
        </w:rPr>
        <w:t>health</w:t>
      </w:r>
      <w:r>
        <w:rPr>
          <w:spacing w:val="-13"/>
          <w:sz w:val="26"/>
        </w:rPr>
        <w:t xml:space="preserve"> </w:t>
      </w:r>
      <w:r>
        <w:rPr>
          <w:sz w:val="26"/>
        </w:rPr>
        <w:t>because</w:t>
      </w:r>
      <w:r>
        <w:rPr>
          <w:spacing w:val="-14"/>
          <w:sz w:val="26"/>
        </w:rPr>
        <w:t xml:space="preserve"> </w:t>
      </w:r>
      <w:r>
        <w:rPr>
          <w:sz w:val="26"/>
        </w:rPr>
        <w:t>the</w:t>
      </w:r>
      <w:r>
        <w:rPr>
          <w:spacing w:val="-13"/>
          <w:sz w:val="26"/>
        </w:rPr>
        <w:t xml:space="preserve"> </w:t>
      </w:r>
      <w:r>
        <w:rPr>
          <w:sz w:val="26"/>
        </w:rPr>
        <w:t>rights</w:t>
      </w:r>
      <w:r>
        <w:rPr>
          <w:spacing w:val="-13"/>
          <w:sz w:val="26"/>
        </w:rPr>
        <w:t xml:space="preserve"> </w:t>
      </w:r>
      <w:r>
        <w:rPr>
          <w:sz w:val="26"/>
        </w:rPr>
        <w:t>recognised</w:t>
      </w:r>
      <w:r>
        <w:rPr>
          <w:spacing w:val="-14"/>
          <w:sz w:val="26"/>
        </w:rPr>
        <w:t xml:space="preserve"> </w:t>
      </w:r>
      <w:r>
        <w:rPr>
          <w:sz w:val="26"/>
        </w:rPr>
        <w:t>by</w:t>
      </w:r>
      <w:r>
        <w:rPr>
          <w:spacing w:val="-15"/>
          <w:sz w:val="26"/>
        </w:rPr>
        <w:t xml:space="preserve"> </w:t>
      </w:r>
      <w:r>
        <w:rPr>
          <w:sz w:val="26"/>
        </w:rPr>
        <w:t>both</w:t>
      </w:r>
      <w:r>
        <w:rPr>
          <w:spacing w:val="-14"/>
          <w:sz w:val="26"/>
        </w:rPr>
        <w:t xml:space="preserve"> </w:t>
      </w:r>
      <w:r>
        <w:rPr>
          <w:sz w:val="26"/>
        </w:rPr>
        <w:t>the</w:t>
      </w:r>
      <w:r>
        <w:rPr>
          <w:spacing w:val="-13"/>
          <w:sz w:val="26"/>
        </w:rPr>
        <w:t xml:space="preserve"> </w:t>
      </w:r>
      <w:r>
        <w:rPr>
          <w:sz w:val="26"/>
        </w:rPr>
        <w:t>Articles</w:t>
      </w:r>
      <w:r>
        <w:rPr>
          <w:spacing w:val="-6"/>
          <w:sz w:val="26"/>
        </w:rPr>
        <w:t xml:space="preserve"> </w:t>
      </w:r>
      <w:r>
        <w:rPr>
          <w:sz w:val="26"/>
        </w:rPr>
        <w:t>are subject to those stipulations. Article 25(2) contemplates that the Article will neither affect the operation of existing law or prevent the state from enacting a law for the pu</w:t>
      </w:r>
      <w:r>
        <w:rPr>
          <w:sz w:val="26"/>
        </w:rPr>
        <w:t>rposes stipulated in sub-clauses (a) and</w:t>
      </w:r>
      <w:r>
        <w:rPr>
          <w:spacing w:val="-11"/>
          <w:sz w:val="26"/>
        </w:rPr>
        <w:t xml:space="preserve"> </w:t>
      </w:r>
      <w:r>
        <w:rPr>
          <w:sz w:val="26"/>
        </w:rPr>
        <w:t>(b).</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before="1" w:line="480" w:lineRule="auto"/>
        <w:ind w:right="433" w:firstLine="0"/>
        <w:jc w:val="both"/>
        <w:rPr>
          <w:sz w:val="26"/>
        </w:rPr>
      </w:pPr>
      <w:r>
        <w:rPr>
          <w:sz w:val="26"/>
        </w:rPr>
        <w:t>In defining the content of morality, did the draftspersons engage with prevailing morality in society? Or does the reference to morality refer to something more fundamental? Morality for the purposes of Artic</w:t>
      </w:r>
      <w:r>
        <w:rPr>
          <w:sz w:val="26"/>
        </w:rPr>
        <w:t xml:space="preserve">les 25 and </w:t>
      </w:r>
      <w:r>
        <w:rPr>
          <w:spacing w:val="3"/>
          <w:sz w:val="26"/>
        </w:rPr>
        <w:t xml:space="preserve">26 </w:t>
      </w:r>
      <w:r>
        <w:rPr>
          <w:sz w:val="26"/>
        </w:rPr>
        <w:t>cannot have an ephemeral existence. Popular notions about what is moral and what is not are transient and fleeting. Popular notions about what is or is not moral may in fact be deeply offensive to individual dignity and human rights. Individual</w:t>
      </w:r>
      <w:r>
        <w:rPr>
          <w:spacing w:val="-16"/>
          <w:sz w:val="26"/>
        </w:rPr>
        <w:t xml:space="preserve"> </w:t>
      </w:r>
      <w:r>
        <w:rPr>
          <w:sz w:val="26"/>
        </w:rPr>
        <w:t>dignity</w:t>
      </w:r>
      <w:r>
        <w:rPr>
          <w:spacing w:val="-19"/>
          <w:sz w:val="26"/>
        </w:rPr>
        <w:t xml:space="preserve"> </w:t>
      </w:r>
      <w:r>
        <w:rPr>
          <w:sz w:val="26"/>
        </w:rPr>
        <w:t>can</w:t>
      </w:r>
      <w:r>
        <w:rPr>
          <w:sz w:val="26"/>
        </w:rPr>
        <w:t>not</w:t>
      </w:r>
      <w:r>
        <w:rPr>
          <w:spacing w:val="-16"/>
          <w:sz w:val="26"/>
        </w:rPr>
        <w:t xml:space="preserve"> </w:t>
      </w:r>
      <w:r>
        <w:rPr>
          <w:sz w:val="26"/>
        </w:rPr>
        <w:t>be</w:t>
      </w:r>
      <w:r>
        <w:rPr>
          <w:spacing w:val="-15"/>
          <w:sz w:val="26"/>
        </w:rPr>
        <w:t xml:space="preserve"> </w:t>
      </w:r>
      <w:r>
        <w:rPr>
          <w:sz w:val="26"/>
        </w:rPr>
        <w:t>allowed</w:t>
      </w:r>
      <w:r>
        <w:rPr>
          <w:spacing w:val="-16"/>
          <w:sz w:val="26"/>
        </w:rPr>
        <w:t xml:space="preserve"> </w:t>
      </w:r>
      <w:r>
        <w:rPr>
          <w:sz w:val="26"/>
        </w:rPr>
        <w:t>to</w:t>
      </w:r>
      <w:r>
        <w:rPr>
          <w:spacing w:val="-16"/>
          <w:sz w:val="26"/>
        </w:rPr>
        <w:t xml:space="preserve"> </w:t>
      </w:r>
      <w:r>
        <w:rPr>
          <w:sz w:val="26"/>
        </w:rPr>
        <w:t>be</w:t>
      </w:r>
      <w:r>
        <w:rPr>
          <w:spacing w:val="-16"/>
          <w:sz w:val="26"/>
        </w:rPr>
        <w:t xml:space="preserve"> </w:t>
      </w:r>
      <w:r>
        <w:rPr>
          <w:sz w:val="26"/>
        </w:rPr>
        <w:t>subordinate</w:t>
      </w:r>
      <w:r>
        <w:rPr>
          <w:spacing w:val="-16"/>
          <w:sz w:val="26"/>
        </w:rPr>
        <w:t xml:space="preserve"> </w:t>
      </w:r>
      <w:r>
        <w:rPr>
          <w:sz w:val="26"/>
        </w:rPr>
        <w:t>to</w:t>
      </w:r>
      <w:r>
        <w:rPr>
          <w:spacing w:val="-15"/>
          <w:sz w:val="26"/>
        </w:rPr>
        <w:t xml:space="preserve"> </w:t>
      </w:r>
      <w:r>
        <w:rPr>
          <w:sz w:val="26"/>
        </w:rPr>
        <w:t>the</w:t>
      </w:r>
      <w:r>
        <w:rPr>
          <w:spacing w:val="-16"/>
          <w:sz w:val="26"/>
        </w:rPr>
        <w:t xml:space="preserve"> </w:t>
      </w:r>
      <w:r>
        <w:rPr>
          <w:sz w:val="26"/>
        </w:rPr>
        <w:t>morality</w:t>
      </w:r>
      <w:r>
        <w:rPr>
          <w:spacing w:val="-19"/>
          <w:sz w:val="26"/>
        </w:rPr>
        <w:t xml:space="preserve"> </w:t>
      </w:r>
      <w:r>
        <w:rPr>
          <w:sz w:val="26"/>
        </w:rPr>
        <w:t>of</w:t>
      </w:r>
      <w:r>
        <w:rPr>
          <w:spacing w:val="-16"/>
          <w:sz w:val="26"/>
        </w:rPr>
        <w:t xml:space="preserve"> </w:t>
      </w:r>
      <w:r>
        <w:rPr>
          <w:sz w:val="26"/>
        </w:rPr>
        <w:t>the</w:t>
      </w:r>
      <w:r>
        <w:rPr>
          <w:spacing w:val="-15"/>
          <w:sz w:val="26"/>
        </w:rPr>
        <w:t xml:space="preserve"> </w:t>
      </w:r>
      <w:r>
        <w:rPr>
          <w:sz w:val="26"/>
        </w:rPr>
        <w:t>mob. Nor can the intolerance of society operate as a marauding morality to control individual self-expression in its manifest form. The Constitution would not render the existence of rights so precari</w:t>
      </w:r>
      <w:r>
        <w:rPr>
          <w:sz w:val="26"/>
        </w:rPr>
        <w:t>ous by subjecting them to passing fancies</w:t>
      </w:r>
      <w:r>
        <w:rPr>
          <w:spacing w:val="-5"/>
          <w:sz w:val="26"/>
        </w:rPr>
        <w:t xml:space="preserve"> </w:t>
      </w:r>
      <w:r>
        <w:rPr>
          <w:sz w:val="26"/>
        </w:rPr>
        <w:t>or</w:t>
      </w:r>
      <w:r>
        <w:rPr>
          <w:spacing w:val="-5"/>
          <w:sz w:val="26"/>
        </w:rPr>
        <w:t xml:space="preserve"> </w:t>
      </w:r>
      <w:r>
        <w:rPr>
          <w:sz w:val="26"/>
        </w:rPr>
        <w:t>to</w:t>
      </w:r>
      <w:r>
        <w:rPr>
          <w:spacing w:val="-4"/>
          <w:sz w:val="26"/>
        </w:rPr>
        <w:t xml:space="preserve"> </w:t>
      </w:r>
      <w:r>
        <w:rPr>
          <w:sz w:val="26"/>
        </w:rPr>
        <w:t>the</w:t>
      </w:r>
      <w:r>
        <w:rPr>
          <w:spacing w:val="-5"/>
          <w:sz w:val="26"/>
        </w:rPr>
        <w:t xml:space="preserve"> </w:t>
      </w:r>
      <w:r>
        <w:rPr>
          <w:sz w:val="26"/>
        </w:rPr>
        <w:t>aberrations</w:t>
      </w:r>
      <w:r>
        <w:rPr>
          <w:spacing w:val="-4"/>
          <w:sz w:val="26"/>
        </w:rPr>
        <w:t xml:space="preserve"> </w:t>
      </w:r>
      <w:r>
        <w:rPr>
          <w:sz w:val="26"/>
        </w:rPr>
        <w:t>of</w:t>
      </w:r>
      <w:r>
        <w:rPr>
          <w:spacing w:val="-5"/>
          <w:sz w:val="26"/>
        </w:rPr>
        <w:t xml:space="preserve"> </w:t>
      </w:r>
      <w:r>
        <w:rPr>
          <w:sz w:val="26"/>
        </w:rPr>
        <w:t>a</w:t>
      </w:r>
      <w:r>
        <w:rPr>
          <w:spacing w:val="-5"/>
          <w:sz w:val="26"/>
        </w:rPr>
        <w:t xml:space="preserve"> </w:t>
      </w:r>
      <w:r>
        <w:rPr>
          <w:sz w:val="26"/>
        </w:rPr>
        <w:t>morality</w:t>
      </w:r>
      <w:r>
        <w:rPr>
          <w:spacing w:val="-4"/>
          <w:sz w:val="26"/>
        </w:rPr>
        <w:t xml:space="preserve"> </w:t>
      </w:r>
      <w:r>
        <w:rPr>
          <w:sz w:val="26"/>
        </w:rPr>
        <w:t>of</w:t>
      </w:r>
      <w:r>
        <w:rPr>
          <w:spacing w:val="-5"/>
          <w:sz w:val="26"/>
        </w:rPr>
        <w:t xml:space="preserve"> </w:t>
      </w:r>
      <w:r>
        <w:rPr>
          <w:sz w:val="26"/>
        </w:rPr>
        <w:t>popular</w:t>
      </w:r>
      <w:r>
        <w:rPr>
          <w:spacing w:val="-5"/>
          <w:sz w:val="26"/>
        </w:rPr>
        <w:t xml:space="preserve"> </w:t>
      </w:r>
      <w:r>
        <w:rPr>
          <w:sz w:val="26"/>
        </w:rPr>
        <w:t>opinion.</w:t>
      </w:r>
      <w:r>
        <w:rPr>
          <w:spacing w:val="-3"/>
          <w:sz w:val="26"/>
        </w:rPr>
        <w:t xml:space="preserve"> </w:t>
      </w:r>
      <w:r>
        <w:rPr>
          <w:sz w:val="26"/>
        </w:rPr>
        <w:t>The</w:t>
      </w:r>
      <w:r>
        <w:rPr>
          <w:spacing w:val="-5"/>
          <w:sz w:val="26"/>
        </w:rPr>
        <w:t xml:space="preserve"> </w:t>
      </w:r>
      <w:r>
        <w:rPr>
          <w:sz w:val="26"/>
        </w:rPr>
        <w:t>draftspersons of the Constitution would not have meant that the content of morality should vary in accordance with the popular fashions of the day. The ex</w:t>
      </w:r>
      <w:r>
        <w:rPr>
          <w:sz w:val="26"/>
        </w:rPr>
        <w:t>pression has been adopted in a constitutional text and it would be inappropriate to give it a content which is momentary or impermanent. Then again, the expression ‘morality’</w:t>
      </w:r>
      <w:r>
        <w:rPr>
          <w:spacing w:val="9"/>
          <w:sz w:val="26"/>
        </w:rPr>
        <w:t xml:space="preserve"> </w:t>
      </w:r>
      <w:r>
        <w:rPr>
          <w:sz w:val="26"/>
        </w:rPr>
        <w:t>cannot</w:t>
      </w:r>
      <w:r>
        <w:rPr>
          <w:spacing w:val="10"/>
          <w:sz w:val="26"/>
        </w:rPr>
        <w:t xml:space="preserve"> </w:t>
      </w:r>
      <w:r>
        <w:rPr>
          <w:sz w:val="26"/>
        </w:rPr>
        <w:t>be</w:t>
      </w:r>
      <w:r>
        <w:rPr>
          <w:spacing w:val="12"/>
          <w:sz w:val="26"/>
        </w:rPr>
        <w:t xml:space="preserve"> </w:t>
      </w:r>
      <w:r>
        <w:rPr>
          <w:sz w:val="26"/>
        </w:rPr>
        <w:t>equated</w:t>
      </w:r>
      <w:r>
        <w:rPr>
          <w:spacing w:val="12"/>
          <w:sz w:val="26"/>
        </w:rPr>
        <w:t xml:space="preserve"> </w:t>
      </w:r>
      <w:r>
        <w:rPr>
          <w:sz w:val="26"/>
        </w:rPr>
        <w:t>with</w:t>
      </w:r>
      <w:r>
        <w:rPr>
          <w:spacing w:val="10"/>
          <w:sz w:val="26"/>
        </w:rPr>
        <w:t xml:space="preserve"> </w:t>
      </w:r>
      <w:r>
        <w:rPr>
          <w:sz w:val="26"/>
        </w:rPr>
        <w:t>prevailing</w:t>
      </w:r>
      <w:r>
        <w:rPr>
          <w:spacing w:val="10"/>
          <w:sz w:val="26"/>
        </w:rPr>
        <w:t xml:space="preserve"> </w:t>
      </w:r>
      <w:r>
        <w:rPr>
          <w:sz w:val="26"/>
        </w:rPr>
        <w:t>social</w:t>
      </w:r>
      <w:r>
        <w:rPr>
          <w:spacing w:val="10"/>
          <w:sz w:val="26"/>
        </w:rPr>
        <w:t xml:space="preserve"> </w:t>
      </w:r>
      <w:r>
        <w:rPr>
          <w:sz w:val="26"/>
        </w:rPr>
        <w:t>conceptions</w:t>
      </w:r>
      <w:r>
        <w:rPr>
          <w:spacing w:val="9"/>
          <w:sz w:val="26"/>
        </w:rPr>
        <w:t xml:space="preserve"> </w:t>
      </w:r>
      <w:r>
        <w:rPr>
          <w:sz w:val="26"/>
        </w:rPr>
        <w:t>or</w:t>
      </w:r>
      <w:r>
        <w:rPr>
          <w:spacing w:val="10"/>
          <w:sz w:val="26"/>
        </w:rPr>
        <w:t xml:space="preserve"> </w:t>
      </w:r>
      <w:r>
        <w:rPr>
          <w:sz w:val="26"/>
        </w:rPr>
        <w:t>those</w:t>
      </w:r>
      <w:r>
        <w:rPr>
          <w:spacing w:val="12"/>
          <w:sz w:val="26"/>
        </w:rPr>
        <w:t xml:space="preserve"> </w:t>
      </w:r>
      <w:r>
        <w:rPr>
          <w:sz w:val="26"/>
        </w:rPr>
        <w:t>which</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 xml:space="preserve">may be subsumed within mainstream thinking in society at a given time. </w:t>
      </w:r>
      <w:r>
        <w:rPr>
          <w:spacing w:val="-4"/>
          <w:sz w:val="26"/>
        </w:rPr>
        <w:t xml:space="preserve">The </w:t>
      </w:r>
      <w:r>
        <w:rPr>
          <w:sz w:val="26"/>
        </w:rPr>
        <w:t>Constitution</w:t>
      </w:r>
      <w:r>
        <w:rPr>
          <w:spacing w:val="-17"/>
          <w:sz w:val="26"/>
        </w:rPr>
        <w:t xml:space="preserve"> </w:t>
      </w:r>
      <w:r>
        <w:rPr>
          <w:sz w:val="26"/>
        </w:rPr>
        <w:t>has</w:t>
      </w:r>
      <w:r>
        <w:rPr>
          <w:spacing w:val="-17"/>
          <w:sz w:val="26"/>
        </w:rPr>
        <w:t xml:space="preserve"> </w:t>
      </w:r>
      <w:r>
        <w:rPr>
          <w:sz w:val="26"/>
        </w:rPr>
        <w:t>been</w:t>
      </w:r>
      <w:r>
        <w:rPr>
          <w:spacing w:val="-19"/>
          <w:sz w:val="26"/>
        </w:rPr>
        <w:t xml:space="preserve"> </w:t>
      </w:r>
      <w:r>
        <w:rPr>
          <w:sz w:val="26"/>
        </w:rPr>
        <w:t>adopted</w:t>
      </w:r>
      <w:r>
        <w:rPr>
          <w:spacing w:val="-19"/>
          <w:sz w:val="26"/>
        </w:rPr>
        <w:t xml:space="preserve"> </w:t>
      </w:r>
      <w:r>
        <w:rPr>
          <w:sz w:val="26"/>
        </w:rPr>
        <w:t>for</w:t>
      </w:r>
      <w:r>
        <w:rPr>
          <w:spacing w:val="-17"/>
          <w:sz w:val="26"/>
        </w:rPr>
        <w:t xml:space="preserve"> </w:t>
      </w:r>
      <w:r>
        <w:rPr>
          <w:sz w:val="26"/>
        </w:rPr>
        <w:t>a</w:t>
      </w:r>
      <w:r>
        <w:rPr>
          <w:spacing w:val="-15"/>
          <w:sz w:val="26"/>
        </w:rPr>
        <w:t xml:space="preserve"> </w:t>
      </w:r>
      <w:r>
        <w:rPr>
          <w:sz w:val="26"/>
        </w:rPr>
        <w:t>society</w:t>
      </w:r>
      <w:r>
        <w:rPr>
          <w:spacing w:val="-19"/>
          <w:sz w:val="26"/>
        </w:rPr>
        <w:t xml:space="preserve"> </w:t>
      </w:r>
      <w:r>
        <w:rPr>
          <w:sz w:val="26"/>
        </w:rPr>
        <w:t>of</w:t>
      </w:r>
      <w:r>
        <w:rPr>
          <w:spacing w:val="-19"/>
          <w:sz w:val="26"/>
        </w:rPr>
        <w:t xml:space="preserve"> </w:t>
      </w:r>
      <w:r>
        <w:rPr>
          <w:sz w:val="26"/>
        </w:rPr>
        <w:t>plural</w:t>
      </w:r>
      <w:r>
        <w:rPr>
          <w:spacing w:val="-19"/>
          <w:sz w:val="26"/>
        </w:rPr>
        <w:t xml:space="preserve"> </w:t>
      </w:r>
      <w:r>
        <w:rPr>
          <w:sz w:val="26"/>
        </w:rPr>
        <w:t>cultures</w:t>
      </w:r>
      <w:r>
        <w:rPr>
          <w:spacing w:val="-17"/>
          <w:sz w:val="26"/>
        </w:rPr>
        <w:t xml:space="preserve"> </w:t>
      </w:r>
      <w:r>
        <w:rPr>
          <w:sz w:val="26"/>
        </w:rPr>
        <w:t>and</w:t>
      </w:r>
      <w:r>
        <w:rPr>
          <w:spacing w:val="-18"/>
          <w:sz w:val="26"/>
        </w:rPr>
        <w:t xml:space="preserve"> </w:t>
      </w:r>
      <w:r>
        <w:rPr>
          <w:sz w:val="26"/>
        </w:rPr>
        <w:t>if</w:t>
      </w:r>
      <w:r>
        <w:rPr>
          <w:spacing w:val="-19"/>
          <w:sz w:val="26"/>
        </w:rPr>
        <w:t xml:space="preserve"> </w:t>
      </w:r>
      <w:r>
        <w:rPr>
          <w:sz w:val="26"/>
        </w:rPr>
        <w:t>its</w:t>
      </w:r>
      <w:r>
        <w:rPr>
          <w:spacing w:val="-16"/>
          <w:sz w:val="26"/>
        </w:rPr>
        <w:t xml:space="preserve"> </w:t>
      </w:r>
      <w:r>
        <w:rPr>
          <w:sz w:val="26"/>
        </w:rPr>
        <w:t>provisions are any indication, it is evident that the text does not pursue either a religious theocracy or a dominant ideology. In adopting a democratic Constitution, the framers</w:t>
      </w:r>
      <w:r>
        <w:rPr>
          <w:spacing w:val="-2"/>
          <w:sz w:val="26"/>
        </w:rPr>
        <w:t xml:space="preserve"> </w:t>
      </w:r>
      <w:r>
        <w:rPr>
          <w:sz w:val="26"/>
        </w:rPr>
        <w:t>would</w:t>
      </w:r>
      <w:r>
        <w:rPr>
          <w:spacing w:val="-7"/>
          <w:sz w:val="26"/>
        </w:rPr>
        <w:t xml:space="preserve"> </w:t>
      </w:r>
      <w:r>
        <w:rPr>
          <w:sz w:val="26"/>
        </w:rPr>
        <w:t>have</w:t>
      </w:r>
      <w:r>
        <w:rPr>
          <w:spacing w:val="-4"/>
          <w:sz w:val="26"/>
        </w:rPr>
        <w:t xml:space="preserve"> </w:t>
      </w:r>
      <w:r>
        <w:rPr>
          <w:sz w:val="26"/>
        </w:rPr>
        <w:t>been</w:t>
      </w:r>
      <w:r>
        <w:rPr>
          <w:spacing w:val="-4"/>
          <w:sz w:val="26"/>
        </w:rPr>
        <w:t xml:space="preserve"> </w:t>
      </w:r>
      <w:r>
        <w:rPr>
          <w:sz w:val="26"/>
        </w:rPr>
        <w:t>conscious</w:t>
      </w:r>
      <w:r>
        <w:rPr>
          <w:spacing w:val="-4"/>
          <w:sz w:val="26"/>
        </w:rPr>
        <w:t xml:space="preserve"> </w:t>
      </w:r>
      <w:r>
        <w:rPr>
          <w:sz w:val="26"/>
        </w:rPr>
        <w:t>of</w:t>
      </w:r>
      <w:r>
        <w:rPr>
          <w:spacing w:val="-7"/>
          <w:sz w:val="26"/>
        </w:rPr>
        <w:t xml:space="preserve"> </w:t>
      </w:r>
      <w:r>
        <w:rPr>
          <w:sz w:val="26"/>
        </w:rPr>
        <w:t>the</w:t>
      </w:r>
      <w:r>
        <w:rPr>
          <w:spacing w:val="-6"/>
          <w:sz w:val="26"/>
        </w:rPr>
        <w:t xml:space="preserve"> </w:t>
      </w:r>
      <w:r>
        <w:rPr>
          <w:sz w:val="26"/>
        </w:rPr>
        <w:t>fact</w:t>
      </w:r>
      <w:r>
        <w:rPr>
          <w:spacing w:val="-5"/>
          <w:sz w:val="26"/>
        </w:rPr>
        <w:t xml:space="preserve"> </w:t>
      </w:r>
      <w:r>
        <w:rPr>
          <w:sz w:val="26"/>
        </w:rPr>
        <w:t>that</w:t>
      </w:r>
      <w:r>
        <w:rPr>
          <w:spacing w:val="-5"/>
          <w:sz w:val="26"/>
        </w:rPr>
        <w:t xml:space="preserve"> </w:t>
      </w:r>
      <w:r>
        <w:rPr>
          <w:sz w:val="26"/>
        </w:rPr>
        <w:t>governance</w:t>
      </w:r>
      <w:r>
        <w:rPr>
          <w:spacing w:val="-7"/>
          <w:sz w:val="26"/>
        </w:rPr>
        <w:t xml:space="preserve"> </w:t>
      </w:r>
      <w:r>
        <w:rPr>
          <w:sz w:val="26"/>
        </w:rPr>
        <w:t>by</w:t>
      </w:r>
      <w:r>
        <w:rPr>
          <w:spacing w:val="-5"/>
          <w:sz w:val="26"/>
        </w:rPr>
        <w:t xml:space="preserve"> </w:t>
      </w:r>
      <w:r>
        <w:rPr>
          <w:sz w:val="26"/>
        </w:rPr>
        <w:t>a</w:t>
      </w:r>
      <w:r>
        <w:rPr>
          <w:spacing w:val="-7"/>
          <w:sz w:val="26"/>
        </w:rPr>
        <w:t xml:space="preserve"> </w:t>
      </w:r>
      <w:r>
        <w:rPr>
          <w:sz w:val="26"/>
        </w:rPr>
        <w:t>majority</w:t>
      </w:r>
      <w:r>
        <w:rPr>
          <w:spacing w:val="-7"/>
          <w:sz w:val="26"/>
        </w:rPr>
        <w:t xml:space="preserve"> </w:t>
      </w:r>
      <w:r>
        <w:rPr>
          <w:sz w:val="26"/>
        </w:rPr>
        <w:t>is all</w:t>
      </w:r>
      <w:r>
        <w:rPr>
          <w:spacing w:val="-7"/>
          <w:sz w:val="26"/>
        </w:rPr>
        <w:t xml:space="preserve"> </w:t>
      </w:r>
      <w:r>
        <w:rPr>
          <w:sz w:val="26"/>
        </w:rPr>
        <w:t>ab</w:t>
      </w:r>
      <w:r>
        <w:rPr>
          <w:sz w:val="26"/>
        </w:rPr>
        <w:t>out</w:t>
      </w:r>
      <w:r>
        <w:rPr>
          <w:spacing w:val="-7"/>
          <w:sz w:val="26"/>
        </w:rPr>
        <w:t xml:space="preserve"> </w:t>
      </w:r>
      <w:r>
        <w:rPr>
          <w:sz w:val="26"/>
        </w:rPr>
        <w:t>the</w:t>
      </w:r>
      <w:r>
        <w:rPr>
          <w:spacing w:val="-3"/>
          <w:sz w:val="26"/>
        </w:rPr>
        <w:t xml:space="preserve"> </w:t>
      </w:r>
      <w:r>
        <w:rPr>
          <w:sz w:val="26"/>
        </w:rPr>
        <w:t>accumulation</w:t>
      </w:r>
      <w:r>
        <w:rPr>
          <w:spacing w:val="-5"/>
          <w:sz w:val="26"/>
        </w:rPr>
        <w:t xml:space="preserve"> </w:t>
      </w:r>
      <w:r>
        <w:rPr>
          <w:sz w:val="26"/>
        </w:rPr>
        <w:t>of</w:t>
      </w:r>
      <w:r>
        <w:rPr>
          <w:spacing w:val="-7"/>
          <w:sz w:val="26"/>
        </w:rPr>
        <w:t xml:space="preserve"> </w:t>
      </w:r>
      <w:r>
        <w:rPr>
          <w:sz w:val="26"/>
        </w:rPr>
        <w:t>political</w:t>
      </w:r>
      <w:r>
        <w:rPr>
          <w:spacing w:val="-4"/>
          <w:sz w:val="26"/>
        </w:rPr>
        <w:t xml:space="preserve"> </w:t>
      </w:r>
      <w:r>
        <w:rPr>
          <w:sz w:val="26"/>
        </w:rPr>
        <w:t>power.</w:t>
      </w:r>
      <w:r>
        <w:rPr>
          <w:spacing w:val="-7"/>
          <w:sz w:val="26"/>
        </w:rPr>
        <w:t xml:space="preserve"> </w:t>
      </w:r>
      <w:r>
        <w:rPr>
          <w:sz w:val="26"/>
        </w:rPr>
        <w:t>Constitutional</w:t>
      </w:r>
      <w:r>
        <w:rPr>
          <w:spacing w:val="-4"/>
          <w:sz w:val="26"/>
        </w:rPr>
        <w:t xml:space="preserve"> </w:t>
      </w:r>
      <w:r>
        <w:rPr>
          <w:sz w:val="26"/>
        </w:rPr>
        <w:t>democracies</w:t>
      </w:r>
      <w:r>
        <w:rPr>
          <w:spacing w:val="-7"/>
          <w:sz w:val="26"/>
        </w:rPr>
        <w:t xml:space="preserve"> </w:t>
      </w:r>
      <w:r>
        <w:rPr>
          <w:sz w:val="26"/>
        </w:rPr>
        <w:t>do</w:t>
      </w:r>
      <w:r>
        <w:rPr>
          <w:spacing w:val="-7"/>
          <w:sz w:val="26"/>
        </w:rPr>
        <w:t xml:space="preserve"> </w:t>
      </w:r>
      <w:r>
        <w:rPr>
          <w:sz w:val="26"/>
        </w:rPr>
        <w:t>not necessarily result in constitutional liberalism. While our Constitution has adopted a democratic form of governance it has at the same time adopted values</w:t>
      </w:r>
      <w:r>
        <w:rPr>
          <w:spacing w:val="-8"/>
          <w:sz w:val="26"/>
        </w:rPr>
        <w:t xml:space="preserve"> </w:t>
      </w:r>
      <w:r>
        <w:rPr>
          <w:sz w:val="26"/>
        </w:rPr>
        <w:t>based</w:t>
      </w:r>
      <w:r>
        <w:rPr>
          <w:spacing w:val="-7"/>
          <w:sz w:val="26"/>
        </w:rPr>
        <w:t xml:space="preserve"> </w:t>
      </w:r>
      <w:r>
        <w:rPr>
          <w:sz w:val="26"/>
        </w:rPr>
        <w:t>on</w:t>
      </w:r>
      <w:r>
        <w:rPr>
          <w:spacing w:val="-10"/>
          <w:sz w:val="26"/>
        </w:rPr>
        <w:t xml:space="preserve"> </w:t>
      </w:r>
      <w:r>
        <w:rPr>
          <w:sz w:val="26"/>
        </w:rPr>
        <w:t>constitutional</w:t>
      </w:r>
      <w:r>
        <w:rPr>
          <w:spacing w:val="-9"/>
          <w:sz w:val="26"/>
        </w:rPr>
        <w:t xml:space="preserve"> </w:t>
      </w:r>
      <w:r>
        <w:rPr>
          <w:sz w:val="26"/>
        </w:rPr>
        <w:t>liberalism.</w:t>
      </w:r>
      <w:r>
        <w:rPr>
          <w:spacing w:val="-5"/>
          <w:sz w:val="26"/>
        </w:rPr>
        <w:t xml:space="preserve"> </w:t>
      </w:r>
      <w:r>
        <w:rPr>
          <w:sz w:val="26"/>
        </w:rPr>
        <w:t>Central</w:t>
      </w:r>
      <w:r>
        <w:rPr>
          <w:spacing w:val="-7"/>
          <w:sz w:val="26"/>
        </w:rPr>
        <w:t xml:space="preserve"> </w:t>
      </w:r>
      <w:r>
        <w:rPr>
          <w:sz w:val="26"/>
        </w:rPr>
        <w:t>to</w:t>
      </w:r>
      <w:r>
        <w:rPr>
          <w:spacing w:val="-8"/>
          <w:sz w:val="26"/>
        </w:rPr>
        <w:t xml:space="preserve"> </w:t>
      </w:r>
      <w:r>
        <w:rPr>
          <w:sz w:val="26"/>
        </w:rPr>
        <w:t>those</w:t>
      </w:r>
      <w:r>
        <w:rPr>
          <w:spacing w:val="-7"/>
          <w:sz w:val="26"/>
        </w:rPr>
        <w:t xml:space="preserve"> </w:t>
      </w:r>
      <w:r>
        <w:rPr>
          <w:sz w:val="26"/>
        </w:rPr>
        <w:t>values</w:t>
      </w:r>
      <w:r>
        <w:rPr>
          <w:spacing w:val="-9"/>
          <w:sz w:val="26"/>
        </w:rPr>
        <w:t xml:space="preserve"> </w:t>
      </w:r>
      <w:r>
        <w:rPr>
          <w:sz w:val="26"/>
        </w:rPr>
        <w:t>is</w:t>
      </w:r>
      <w:r>
        <w:rPr>
          <w:spacing w:val="-8"/>
          <w:sz w:val="26"/>
        </w:rPr>
        <w:t xml:space="preserve"> </w:t>
      </w:r>
      <w:r>
        <w:rPr>
          <w:sz w:val="26"/>
        </w:rPr>
        <w:t>the</w:t>
      </w:r>
      <w:r>
        <w:rPr>
          <w:spacing w:val="-7"/>
          <w:sz w:val="26"/>
        </w:rPr>
        <w:t xml:space="preserve"> </w:t>
      </w:r>
      <w:r>
        <w:rPr>
          <w:sz w:val="26"/>
        </w:rPr>
        <w:t>position of the individual. The fundamental freedoms which Part III confers are central to the constitutional purpose of overseeing a transformation of a society based on dignity, liberty and equality. Hence, mora</w:t>
      </w:r>
      <w:r>
        <w:rPr>
          <w:sz w:val="26"/>
        </w:rPr>
        <w:t>lity for the purposes of Articles 25 and 26 must mean that which is governed by fundamental constitutional principles.</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before="1" w:line="480" w:lineRule="auto"/>
        <w:ind w:right="434" w:firstLine="0"/>
        <w:jc w:val="both"/>
        <w:rPr>
          <w:sz w:val="26"/>
        </w:rPr>
      </w:pPr>
      <w:r>
        <w:rPr>
          <w:sz w:val="26"/>
        </w:rPr>
        <w:t xml:space="preserve">The content of morality is founded on the four precepts which emerge from the Preamble. The first among them is the need to ensure </w:t>
      </w:r>
      <w:r>
        <w:rPr>
          <w:b/>
          <w:sz w:val="26"/>
        </w:rPr>
        <w:t>just</w:t>
      </w:r>
      <w:r>
        <w:rPr>
          <w:b/>
          <w:sz w:val="26"/>
        </w:rPr>
        <w:t xml:space="preserve">ice </w:t>
      </w:r>
      <w:r>
        <w:rPr>
          <w:sz w:val="26"/>
        </w:rPr>
        <w:t xml:space="preserve">in its social, economic and political dimensions. The second is the postulate of individual </w:t>
      </w:r>
      <w:r>
        <w:rPr>
          <w:b/>
          <w:sz w:val="26"/>
        </w:rPr>
        <w:t xml:space="preserve">liberty </w:t>
      </w:r>
      <w:r>
        <w:rPr>
          <w:sz w:val="26"/>
        </w:rPr>
        <w:t xml:space="preserve">in matters of thought, expression, belief, faith and worship. The third is </w:t>
      </w:r>
      <w:r>
        <w:rPr>
          <w:b/>
          <w:sz w:val="26"/>
        </w:rPr>
        <w:t xml:space="preserve">equality </w:t>
      </w:r>
      <w:r>
        <w:rPr>
          <w:sz w:val="26"/>
        </w:rPr>
        <w:t>of status and opportunity amongst all citizens. The fourth is the se</w:t>
      </w:r>
      <w:r>
        <w:rPr>
          <w:sz w:val="26"/>
        </w:rPr>
        <w:t xml:space="preserve">nse of </w:t>
      </w:r>
      <w:r>
        <w:rPr>
          <w:b/>
          <w:sz w:val="26"/>
        </w:rPr>
        <w:t xml:space="preserve">fraternity </w:t>
      </w:r>
      <w:r>
        <w:rPr>
          <w:sz w:val="26"/>
        </w:rPr>
        <w:t xml:space="preserve">amongst all citizens which assures the dignity of human life. Added to these four precepts is the fundamental postulate of </w:t>
      </w:r>
      <w:r>
        <w:rPr>
          <w:b/>
          <w:sz w:val="26"/>
        </w:rPr>
        <w:t>secularism</w:t>
      </w:r>
      <w:r>
        <w:rPr>
          <w:b/>
          <w:spacing w:val="21"/>
          <w:sz w:val="26"/>
        </w:rPr>
        <w:t xml:space="preserve"> </w:t>
      </w:r>
      <w:r>
        <w:rPr>
          <w:sz w:val="26"/>
        </w:rPr>
        <w:t>which</w:t>
      </w:r>
      <w:r>
        <w:rPr>
          <w:spacing w:val="22"/>
          <w:sz w:val="26"/>
        </w:rPr>
        <w:t xml:space="preserve"> </w:t>
      </w:r>
      <w:r>
        <w:rPr>
          <w:sz w:val="26"/>
        </w:rPr>
        <w:t>treats</w:t>
      </w:r>
      <w:r>
        <w:rPr>
          <w:spacing w:val="19"/>
          <w:sz w:val="26"/>
        </w:rPr>
        <w:t xml:space="preserve"> </w:t>
      </w:r>
      <w:r>
        <w:rPr>
          <w:sz w:val="26"/>
        </w:rPr>
        <w:t>all</w:t>
      </w:r>
      <w:r>
        <w:rPr>
          <w:spacing w:val="22"/>
          <w:sz w:val="26"/>
        </w:rPr>
        <w:t xml:space="preserve"> </w:t>
      </w:r>
      <w:r>
        <w:rPr>
          <w:sz w:val="26"/>
        </w:rPr>
        <w:t>religions</w:t>
      </w:r>
      <w:r>
        <w:rPr>
          <w:spacing w:val="21"/>
          <w:sz w:val="26"/>
        </w:rPr>
        <w:t xml:space="preserve"> </w:t>
      </w:r>
      <w:r>
        <w:rPr>
          <w:sz w:val="26"/>
        </w:rPr>
        <w:t>on</w:t>
      </w:r>
      <w:r>
        <w:rPr>
          <w:spacing w:val="22"/>
          <w:sz w:val="26"/>
        </w:rPr>
        <w:t xml:space="preserve"> </w:t>
      </w:r>
      <w:r>
        <w:rPr>
          <w:sz w:val="26"/>
        </w:rPr>
        <w:t>an</w:t>
      </w:r>
      <w:r>
        <w:rPr>
          <w:spacing w:val="19"/>
          <w:sz w:val="26"/>
        </w:rPr>
        <w:t xml:space="preserve"> </w:t>
      </w:r>
      <w:r>
        <w:rPr>
          <w:sz w:val="26"/>
        </w:rPr>
        <w:t>even</w:t>
      </w:r>
      <w:r>
        <w:rPr>
          <w:spacing w:val="20"/>
          <w:sz w:val="26"/>
        </w:rPr>
        <w:t xml:space="preserve"> </w:t>
      </w:r>
      <w:r>
        <w:rPr>
          <w:sz w:val="26"/>
        </w:rPr>
        <w:t>platform</w:t>
      </w:r>
      <w:r>
        <w:rPr>
          <w:spacing w:val="22"/>
          <w:sz w:val="26"/>
        </w:rPr>
        <w:t xml:space="preserve"> </w:t>
      </w:r>
      <w:r>
        <w:rPr>
          <w:sz w:val="26"/>
        </w:rPr>
        <w:t>and</w:t>
      </w:r>
      <w:r>
        <w:rPr>
          <w:spacing w:val="19"/>
          <w:sz w:val="26"/>
        </w:rPr>
        <w:t xml:space="preserve"> </w:t>
      </w:r>
      <w:r>
        <w:rPr>
          <w:sz w:val="26"/>
        </w:rPr>
        <w:t>allows</w:t>
      </w:r>
      <w:r>
        <w:rPr>
          <w:spacing w:val="20"/>
          <w:sz w:val="26"/>
        </w:rPr>
        <w:t xml:space="preserve"> </w:t>
      </w:r>
      <w:r>
        <w:rPr>
          <w:sz w:val="26"/>
        </w:rPr>
        <w:t>to</w:t>
      </w:r>
      <w:r>
        <w:rPr>
          <w:spacing w:val="22"/>
          <w:sz w:val="26"/>
        </w:rPr>
        <w:t xml:space="preserve"> </w:t>
      </w:r>
      <w:r>
        <w:rPr>
          <w:sz w:val="26"/>
        </w:rPr>
        <w:t>each</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individual the full</w:t>
      </w:r>
      <w:r>
        <w:rPr>
          <w:sz w:val="26"/>
        </w:rPr>
        <w:t>est liberty to believe or not to believe. Conscience, it must be remembered, is emphasised by the same provision. The Constitution is meant as much for the agnostic as it is for the worshipper. It values and protects the conscience of the atheist. The foun</w:t>
      </w:r>
      <w:r>
        <w:rPr>
          <w:sz w:val="26"/>
        </w:rPr>
        <w:t>ding faith upon which the Constitution is based is the belief that it is in the dignity of each individual that the pursuit of happiness</w:t>
      </w:r>
      <w:r>
        <w:rPr>
          <w:spacing w:val="-15"/>
          <w:sz w:val="26"/>
        </w:rPr>
        <w:t xml:space="preserve"> </w:t>
      </w:r>
      <w:r>
        <w:rPr>
          <w:sz w:val="26"/>
        </w:rPr>
        <w:t>is</w:t>
      </w:r>
      <w:r>
        <w:rPr>
          <w:spacing w:val="-14"/>
          <w:sz w:val="26"/>
        </w:rPr>
        <w:t xml:space="preserve"> </w:t>
      </w:r>
      <w:r>
        <w:rPr>
          <w:sz w:val="26"/>
        </w:rPr>
        <w:t>founded.</w:t>
      </w:r>
      <w:r>
        <w:rPr>
          <w:spacing w:val="45"/>
          <w:sz w:val="26"/>
        </w:rPr>
        <w:t xml:space="preserve"> </w:t>
      </w:r>
      <w:r>
        <w:rPr>
          <w:sz w:val="26"/>
        </w:rPr>
        <w:t>Individual</w:t>
      </w:r>
      <w:r>
        <w:rPr>
          <w:spacing w:val="-14"/>
          <w:sz w:val="26"/>
        </w:rPr>
        <w:t xml:space="preserve"> </w:t>
      </w:r>
      <w:r>
        <w:rPr>
          <w:sz w:val="26"/>
        </w:rPr>
        <w:t>dignity</w:t>
      </w:r>
      <w:r>
        <w:rPr>
          <w:spacing w:val="-16"/>
          <w:sz w:val="26"/>
        </w:rPr>
        <w:t xml:space="preserve"> </w:t>
      </w:r>
      <w:r>
        <w:rPr>
          <w:sz w:val="26"/>
        </w:rPr>
        <w:t>can</w:t>
      </w:r>
      <w:r>
        <w:rPr>
          <w:spacing w:val="-14"/>
          <w:sz w:val="26"/>
        </w:rPr>
        <w:t xml:space="preserve"> </w:t>
      </w:r>
      <w:r>
        <w:rPr>
          <w:sz w:val="26"/>
        </w:rPr>
        <w:t>be</w:t>
      </w:r>
      <w:r>
        <w:rPr>
          <w:spacing w:val="-14"/>
          <w:sz w:val="26"/>
        </w:rPr>
        <w:t xml:space="preserve"> </w:t>
      </w:r>
      <w:r>
        <w:rPr>
          <w:sz w:val="26"/>
        </w:rPr>
        <w:t>achieved</w:t>
      </w:r>
      <w:r>
        <w:rPr>
          <w:spacing w:val="-14"/>
          <w:sz w:val="26"/>
        </w:rPr>
        <w:t xml:space="preserve"> </w:t>
      </w:r>
      <w:r>
        <w:rPr>
          <w:sz w:val="26"/>
        </w:rPr>
        <w:t>only</w:t>
      </w:r>
      <w:r>
        <w:rPr>
          <w:spacing w:val="-15"/>
          <w:sz w:val="26"/>
        </w:rPr>
        <w:t xml:space="preserve"> </w:t>
      </w:r>
      <w:r>
        <w:rPr>
          <w:sz w:val="26"/>
        </w:rPr>
        <w:t>in</w:t>
      </w:r>
      <w:r>
        <w:rPr>
          <w:spacing w:val="-11"/>
          <w:sz w:val="26"/>
        </w:rPr>
        <w:t xml:space="preserve"> </w:t>
      </w:r>
      <w:r>
        <w:rPr>
          <w:sz w:val="26"/>
        </w:rPr>
        <w:t>a</w:t>
      </w:r>
      <w:r>
        <w:rPr>
          <w:spacing w:val="-14"/>
          <w:sz w:val="26"/>
        </w:rPr>
        <w:t xml:space="preserve"> </w:t>
      </w:r>
      <w:r>
        <w:rPr>
          <w:sz w:val="26"/>
        </w:rPr>
        <w:t>regime</w:t>
      </w:r>
      <w:r>
        <w:rPr>
          <w:spacing w:val="-9"/>
          <w:sz w:val="26"/>
        </w:rPr>
        <w:t xml:space="preserve"> </w:t>
      </w:r>
      <w:r>
        <w:rPr>
          <w:sz w:val="26"/>
        </w:rPr>
        <w:t>which recognises</w:t>
      </w:r>
      <w:r>
        <w:rPr>
          <w:spacing w:val="-19"/>
          <w:sz w:val="26"/>
        </w:rPr>
        <w:t xml:space="preserve"> </w:t>
      </w:r>
      <w:r>
        <w:rPr>
          <w:sz w:val="26"/>
        </w:rPr>
        <w:t>liberty</w:t>
      </w:r>
      <w:r>
        <w:rPr>
          <w:spacing w:val="-18"/>
          <w:sz w:val="26"/>
        </w:rPr>
        <w:t xml:space="preserve"> </w:t>
      </w:r>
      <w:r>
        <w:rPr>
          <w:sz w:val="26"/>
        </w:rPr>
        <w:t>as</w:t>
      </w:r>
      <w:r>
        <w:rPr>
          <w:spacing w:val="-19"/>
          <w:sz w:val="26"/>
        </w:rPr>
        <w:t xml:space="preserve"> </w:t>
      </w:r>
      <w:r>
        <w:rPr>
          <w:sz w:val="26"/>
        </w:rPr>
        <w:t>inhering</w:t>
      </w:r>
      <w:r>
        <w:rPr>
          <w:spacing w:val="-15"/>
          <w:sz w:val="26"/>
        </w:rPr>
        <w:t xml:space="preserve"> </w:t>
      </w:r>
      <w:r>
        <w:rPr>
          <w:sz w:val="26"/>
        </w:rPr>
        <w:t>in</w:t>
      </w:r>
      <w:r>
        <w:rPr>
          <w:spacing w:val="-19"/>
          <w:sz w:val="26"/>
        </w:rPr>
        <w:t xml:space="preserve"> </w:t>
      </w:r>
      <w:r>
        <w:rPr>
          <w:sz w:val="26"/>
        </w:rPr>
        <w:t>each</w:t>
      </w:r>
      <w:r>
        <w:rPr>
          <w:spacing w:val="-18"/>
          <w:sz w:val="26"/>
        </w:rPr>
        <w:t xml:space="preserve"> </w:t>
      </w:r>
      <w:r>
        <w:rPr>
          <w:sz w:val="26"/>
        </w:rPr>
        <w:t>individual</w:t>
      </w:r>
      <w:r>
        <w:rPr>
          <w:spacing w:val="-19"/>
          <w:sz w:val="26"/>
        </w:rPr>
        <w:t xml:space="preserve"> </w:t>
      </w:r>
      <w:r>
        <w:rPr>
          <w:sz w:val="26"/>
        </w:rPr>
        <w:t>as</w:t>
      </w:r>
      <w:r>
        <w:rPr>
          <w:spacing w:val="-15"/>
          <w:sz w:val="26"/>
        </w:rPr>
        <w:t xml:space="preserve"> </w:t>
      </w:r>
      <w:r>
        <w:rPr>
          <w:sz w:val="26"/>
        </w:rPr>
        <w:t>a</w:t>
      </w:r>
      <w:r>
        <w:rPr>
          <w:spacing w:val="-19"/>
          <w:sz w:val="26"/>
        </w:rPr>
        <w:t xml:space="preserve"> </w:t>
      </w:r>
      <w:r>
        <w:rPr>
          <w:sz w:val="26"/>
        </w:rPr>
        <w:t>natural</w:t>
      </w:r>
      <w:r>
        <w:rPr>
          <w:spacing w:val="-15"/>
          <w:sz w:val="26"/>
        </w:rPr>
        <w:t xml:space="preserve"> </w:t>
      </w:r>
      <w:r>
        <w:rPr>
          <w:sz w:val="26"/>
        </w:rPr>
        <w:t>right.</w:t>
      </w:r>
      <w:r>
        <w:rPr>
          <w:spacing w:val="-17"/>
          <w:sz w:val="26"/>
        </w:rPr>
        <w:t xml:space="preserve"> </w:t>
      </w:r>
      <w:r>
        <w:rPr>
          <w:sz w:val="26"/>
        </w:rPr>
        <w:t>Human</w:t>
      </w:r>
      <w:r>
        <w:rPr>
          <w:spacing w:val="-18"/>
          <w:sz w:val="26"/>
        </w:rPr>
        <w:t xml:space="preserve"> </w:t>
      </w:r>
      <w:r>
        <w:rPr>
          <w:sz w:val="26"/>
        </w:rPr>
        <w:t>dignity postulates an equality between persons. Equality necessarily is an equality between sexes and genders. Equality postulates a right to be free from discrimination and to have the protection of the law in the same manner as</w:t>
      </w:r>
      <w:r>
        <w:rPr>
          <w:sz w:val="26"/>
        </w:rPr>
        <w:t xml:space="preserve"> is available to every citizen. Equality above all is a protective shield against the arbitrariness of any form of authority. These founding principles must govern our constitutional notions of morality. Constitutional morality must have a value of</w:t>
      </w:r>
      <w:r>
        <w:rPr>
          <w:spacing w:val="-17"/>
          <w:sz w:val="26"/>
        </w:rPr>
        <w:t xml:space="preserve"> </w:t>
      </w:r>
      <w:r>
        <w:rPr>
          <w:sz w:val="26"/>
        </w:rPr>
        <w:t>permane</w:t>
      </w:r>
      <w:r>
        <w:rPr>
          <w:sz w:val="26"/>
        </w:rPr>
        <w:t>nce</w:t>
      </w:r>
      <w:r>
        <w:rPr>
          <w:spacing w:val="-12"/>
          <w:sz w:val="26"/>
        </w:rPr>
        <w:t xml:space="preserve"> </w:t>
      </w:r>
      <w:r>
        <w:rPr>
          <w:sz w:val="26"/>
        </w:rPr>
        <w:t>which</w:t>
      </w:r>
      <w:r>
        <w:rPr>
          <w:spacing w:val="-14"/>
          <w:sz w:val="26"/>
        </w:rPr>
        <w:t xml:space="preserve"> </w:t>
      </w:r>
      <w:r>
        <w:rPr>
          <w:sz w:val="26"/>
        </w:rPr>
        <w:t>is</w:t>
      </w:r>
      <w:r>
        <w:rPr>
          <w:spacing w:val="-14"/>
          <w:sz w:val="26"/>
        </w:rPr>
        <w:t xml:space="preserve"> </w:t>
      </w:r>
      <w:r>
        <w:rPr>
          <w:sz w:val="26"/>
        </w:rPr>
        <w:t>not</w:t>
      </w:r>
      <w:r>
        <w:rPr>
          <w:spacing w:val="-14"/>
          <w:sz w:val="26"/>
        </w:rPr>
        <w:t xml:space="preserve"> </w:t>
      </w:r>
      <w:r>
        <w:rPr>
          <w:sz w:val="26"/>
        </w:rPr>
        <w:t>subject</w:t>
      </w:r>
      <w:r>
        <w:rPr>
          <w:spacing w:val="-14"/>
          <w:sz w:val="26"/>
        </w:rPr>
        <w:t xml:space="preserve"> </w:t>
      </w:r>
      <w:r>
        <w:rPr>
          <w:sz w:val="26"/>
        </w:rPr>
        <w:t>to</w:t>
      </w:r>
      <w:r>
        <w:rPr>
          <w:spacing w:val="-15"/>
          <w:sz w:val="26"/>
        </w:rPr>
        <w:t xml:space="preserve"> </w:t>
      </w:r>
      <w:r>
        <w:rPr>
          <w:sz w:val="26"/>
        </w:rPr>
        <w:t>the</w:t>
      </w:r>
      <w:r>
        <w:rPr>
          <w:spacing w:val="-14"/>
          <w:sz w:val="26"/>
        </w:rPr>
        <w:t xml:space="preserve"> </w:t>
      </w:r>
      <w:r>
        <w:rPr>
          <w:sz w:val="26"/>
        </w:rPr>
        <w:t>fleeting</w:t>
      </w:r>
      <w:r>
        <w:rPr>
          <w:spacing w:val="-11"/>
          <w:sz w:val="26"/>
        </w:rPr>
        <w:t xml:space="preserve"> </w:t>
      </w:r>
      <w:r>
        <w:rPr>
          <w:sz w:val="26"/>
        </w:rPr>
        <w:t>fancies</w:t>
      </w:r>
      <w:r>
        <w:rPr>
          <w:spacing w:val="-14"/>
          <w:sz w:val="26"/>
        </w:rPr>
        <w:t xml:space="preserve"> </w:t>
      </w:r>
      <w:r>
        <w:rPr>
          <w:sz w:val="26"/>
        </w:rPr>
        <w:t>of</w:t>
      </w:r>
      <w:r>
        <w:rPr>
          <w:spacing w:val="-14"/>
          <w:sz w:val="26"/>
        </w:rPr>
        <w:t xml:space="preserve"> </w:t>
      </w:r>
      <w:r>
        <w:rPr>
          <w:sz w:val="26"/>
        </w:rPr>
        <w:t>every</w:t>
      </w:r>
      <w:r>
        <w:rPr>
          <w:spacing w:val="-16"/>
          <w:sz w:val="26"/>
        </w:rPr>
        <w:t xml:space="preserve"> </w:t>
      </w:r>
      <w:r>
        <w:rPr>
          <w:sz w:val="26"/>
        </w:rPr>
        <w:t>time</w:t>
      </w:r>
      <w:r>
        <w:rPr>
          <w:spacing w:val="-14"/>
          <w:sz w:val="26"/>
        </w:rPr>
        <w:t xml:space="preserve"> </w:t>
      </w:r>
      <w:r>
        <w:rPr>
          <w:sz w:val="26"/>
        </w:rPr>
        <w:t>and</w:t>
      </w:r>
      <w:r>
        <w:rPr>
          <w:spacing w:val="-15"/>
          <w:sz w:val="26"/>
        </w:rPr>
        <w:t xml:space="preserve"> </w:t>
      </w:r>
      <w:r>
        <w:rPr>
          <w:sz w:val="26"/>
        </w:rPr>
        <w:t>age. If the vision which the founders of the Constitution adopted has to survive, constitutional morality must have a content which is firmly rooted in the fundamental postulates of human l</w:t>
      </w:r>
      <w:r>
        <w:rPr>
          <w:sz w:val="26"/>
        </w:rPr>
        <w:t>iberty, equality, fraternity and dignity. These are the means to secure justice in all its dimensions to the individual citizen. Once these postulates are accepted, the necessary consequence is that the freedom of religion and, likewise, the freedom to man</w:t>
      </w:r>
      <w:r>
        <w:rPr>
          <w:sz w:val="26"/>
        </w:rPr>
        <w:t>age the affairs of a religious</w:t>
      </w:r>
      <w:r>
        <w:rPr>
          <w:spacing w:val="-15"/>
          <w:sz w:val="26"/>
        </w:rPr>
        <w:t xml:space="preserve"> </w:t>
      </w:r>
      <w:r>
        <w:rPr>
          <w:sz w:val="26"/>
        </w:rPr>
        <w:t>denomination</w:t>
      </w:r>
      <w:r>
        <w:rPr>
          <w:spacing w:val="-16"/>
          <w:sz w:val="26"/>
        </w:rPr>
        <w:t xml:space="preserve"> </w:t>
      </w:r>
      <w:r>
        <w:rPr>
          <w:sz w:val="26"/>
        </w:rPr>
        <w:t>is</w:t>
      </w:r>
      <w:r>
        <w:rPr>
          <w:spacing w:val="-16"/>
          <w:sz w:val="26"/>
        </w:rPr>
        <w:t xml:space="preserve"> </w:t>
      </w:r>
      <w:r>
        <w:rPr>
          <w:sz w:val="26"/>
        </w:rPr>
        <w:t>subject</w:t>
      </w:r>
      <w:r>
        <w:rPr>
          <w:spacing w:val="-16"/>
          <w:sz w:val="26"/>
        </w:rPr>
        <w:t xml:space="preserve"> </w:t>
      </w:r>
      <w:r>
        <w:rPr>
          <w:sz w:val="26"/>
        </w:rPr>
        <w:t>to</w:t>
      </w:r>
      <w:r>
        <w:rPr>
          <w:spacing w:val="-16"/>
          <w:sz w:val="26"/>
        </w:rPr>
        <w:t xml:space="preserve"> </w:t>
      </w:r>
      <w:r>
        <w:rPr>
          <w:sz w:val="26"/>
        </w:rPr>
        <w:t>and</w:t>
      </w:r>
      <w:r>
        <w:rPr>
          <w:spacing w:val="-16"/>
          <w:sz w:val="26"/>
        </w:rPr>
        <w:t xml:space="preserve"> </w:t>
      </w:r>
      <w:r>
        <w:rPr>
          <w:sz w:val="26"/>
        </w:rPr>
        <w:t>must</w:t>
      </w:r>
      <w:r>
        <w:rPr>
          <w:spacing w:val="-14"/>
          <w:sz w:val="26"/>
        </w:rPr>
        <w:t xml:space="preserve"> </w:t>
      </w:r>
      <w:r>
        <w:rPr>
          <w:sz w:val="26"/>
        </w:rPr>
        <w:t>yield</w:t>
      </w:r>
      <w:r>
        <w:rPr>
          <w:spacing w:val="-16"/>
          <w:sz w:val="26"/>
        </w:rPr>
        <w:t xml:space="preserve"> </w:t>
      </w:r>
      <w:r>
        <w:rPr>
          <w:sz w:val="26"/>
        </w:rPr>
        <w:t>to</w:t>
      </w:r>
      <w:r>
        <w:rPr>
          <w:spacing w:val="-13"/>
          <w:sz w:val="26"/>
        </w:rPr>
        <w:t xml:space="preserve"> </w:t>
      </w:r>
      <w:r>
        <w:rPr>
          <w:sz w:val="26"/>
        </w:rPr>
        <w:t>these</w:t>
      </w:r>
      <w:r>
        <w:rPr>
          <w:spacing w:val="-14"/>
          <w:sz w:val="26"/>
        </w:rPr>
        <w:t xml:space="preserve"> </w:t>
      </w:r>
      <w:r>
        <w:rPr>
          <w:sz w:val="26"/>
        </w:rPr>
        <w:t>fundamental</w:t>
      </w:r>
      <w:r>
        <w:rPr>
          <w:spacing w:val="-17"/>
          <w:sz w:val="26"/>
        </w:rPr>
        <w:t xml:space="preserve"> </w:t>
      </w:r>
      <w:r>
        <w:rPr>
          <w:sz w:val="26"/>
        </w:rPr>
        <w:t>notions of constitutional morality. In the public law conversations between religion and morality,</w:t>
      </w:r>
      <w:r>
        <w:rPr>
          <w:spacing w:val="52"/>
          <w:sz w:val="26"/>
        </w:rPr>
        <w:t xml:space="preserve"> </w:t>
      </w:r>
      <w:r>
        <w:rPr>
          <w:sz w:val="26"/>
        </w:rPr>
        <w:t>it</w:t>
      </w:r>
      <w:r>
        <w:rPr>
          <w:spacing w:val="53"/>
          <w:sz w:val="26"/>
        </w:rPr>
        <w:t xml:space="preserve"> </w:t>
      </w:r>
      <w:r>
        <w:rPr>
          <w:sz w:val="26"/>
        </w:rPr>
        <w:t>is</w:t>
      </w:r>
      <w:r>
        <w:rPr>
          <w:spacing w:val="53"/>
          <w:sz w:val="26"/>
        </w:rPr>
        <w:t xml:space="preserve"> </w:t>
      </w:r>
      <w:r>
        <w:rPr>
          <w:sz w:val="26"/>
        </w:rPr>
        <w:t>the</w:t>
      </w:r>
      <w:r>
        <w:rPr>
          <w:spacing w:val="53"/>
          <w:sz w:val="26"/>
        </w:rPr>
        <w:t xml:space="preserve"> </w:t>
      </w:r>
      <w:r>
        <w:rPr>
          <w:sz w:val="26"/>
        </w:rPr>
        <w:t>overarching</w:t>
      </w:r>
      <w:r>
        <w:rPr>
          <w:spacing w:val="53"/>
          <w:sz w:val="26"/>
        </w:rPr>
        <w:t xml:space="preserve"> </w:t>
      </w:r>
      <w:r>
        <w:rPr>
          <w:sz w:val="26"/>
        </w:rPr>
        <w:t>sense</w:t>
      </w:r>
      <w:r>
        <w:rPr>
          <w:spacing w:val="53"/>
          <w:sz w:val="26"/>
        </w:rPr>
        <w:t xml:space="preserve"> </w:t>
      </w:r>
      <w:r>
        <w:rPr>
          <w:sz w:val="26"/>
        </w:rPr>
        <w:t>of</w:t>
      </w:r>
      <w:r>
        <w:rPr>
          <w:spacing w:val="53"/>
          <w:sz w:val="26"/>
        </w:rPr>
        <w:t xml:space="preserve"> </w:t>
      </w:r>
      <w:r>
        <w:rPr>
          <w:sz w:val="26"/>
        </w:rPr>
        <w:t>constitutional</w:t>
      </w:r>
      <w:r>
        <w:rPr>
          <w:spacing w:val="53"/>
          <w:sz w:val="26"/>
        </w:rPr>
        <w:t xml:space="preserve"> </w:t>
      </w:r>
      <w:r>
        <w:rPr>
          <w:sz w:val="26"/>
        </w:rPr>
        <w:t>morality</w:t>
      </w:r>
      <w:r>
        <w:rPr>
          <w:spacing w:val="53"/>
          <w:sz w:val="26"/>
        </w:rPr>
        <w:t xml:space="preserve"> </w:t>
      </w:r>
      <w:r>
        <w:rPr>
          <w:sz w:val="26"/>
        </w:rPr>
        <w:t>which</w:t>
      </w:r>
      <w:r>
        <w:rPr>
          <w:spacing w:val="53"/>
          <w:sz w:val="26"/>
        </w:rPr>
        <w:t xml:space="preserve"> </w:t>
      </w:r>
      <w:r>
        <w:rPr>
          <w:sz w:val="26"/>
        </w:rPr>
        <w:t>has</w:t>
      </w:r>
      <w:r>
        <w:rPr>
          <w:spacing w:val="53"/>
          <w:sz w:val="26"/>
        </w:rPr>
        <w:t xml:space="preserve"> </w:t>
      </w:r>
      <w:r>
        <w:rPr>
          <w:sz w:val="26"/>
        </w:rPr>
        <w:t>to</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3"/>
        <w:jc w:val="both"/>
        <w:rPr>
          <w:sz w:val="26"/>
        </w:rPr>
      </w:pPr>
      <w:r>
        <w:rPr>
          <w:sz w:val="26"/>
        </w:rPr>
        <w:t>prevail. While the Constitution recognises religious beliefs and faiths, its purpose is to ensure a wider acceptance of human dignity and liberty as the ultimate founding faith of the fundamental text of our governance. Where a co</w:t>
      </w:r>
      <w:r>
        <w:rPr>
          <w:sz w:val="26"/>
        </w:rPr>
        <w:t>nflict arises, the quest for human dignity, liberty and equality must prevail. These, above everything else, are matters on which the Constitution has willed that its values must reign supreme.</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0"/>
          <w:tab w:val="left" w:pos="1121"/>
        </w:tabs>
        <w:spacing w:before="1"/>
        <w:ind w:left="1120"/>
        <w:rPr>
          <w:sz w:val="26"/>
        </w:rPr>
      </w:pPr>
      <w:r>
        <w:rPr>
          <w:sz w:val="26"/>
        </w:rPr>
        <w:t>The</w:t>
      </w:r>
      <w:r>
        <w:rPr>
          <w:spacing w:val="39"/>
          <w:sz w:val="26"/>
        </w:rPr>
        <w:t xml:space="preserve"> </w:t>
      </w:r>
      <w:r>
        <w:rPr>
          <w:sz w:val="26"/>
        </w:rPr>
        <w:t>expression</w:t>
      </w:r>
      <w:r>
        <w:rPr>
          <w:spacing w:val="40"/>
          <w:sz w:val="26"/>
        </w:rPr>
        <w:t xml:space="preserve"> </w:t>
      </w:r>
      <w:r>
        <w:rPr>
          <w:sz w:val="26"/>
        </w:rPr>
        <w:t>“subject</w:t>
      </w:r>
      <w:r>
        <w:rPr>
          <w:spacing w:val="40"/>
          <w:sz w:val="26"/>
        </w:rPr>
        <w:t xml:space="preserve"> </w:t>
      </w:r>
      <w:r>
        <w:rPr>
          <w:sz w:val="26"/>
        </w:rPr>
        <w:t>to”</w:t>
      </w:r>
      <w:r>
        <w:rPr>
          <w:spacing w:val="39"/>
          <w:sz w:val="26"/>
        </w:rPr>
        <w:t xml:space="preserve"> </w:t>
      </w:r>
      <w:r>
        <w:rPr>
          <w:sz w:val="26"/>
        </w:rPr>
        <w:t>is</w:t>
      </w:r>
      <w:r>
        <w:rPr>
          <w:spacing w:val="40"/>
          <w:sz w:val="26"/>
        </w:rPr>
        <w:t xml:space="preserve"> </w:t>
      </w:r>
      <w:r>
        <w:rPr>
          <w:sz w:val="26"/>
        </w:rPr>
        <w:t>in</w:t>
      </w:r>
      <w:r>
        <w:rPr>
          <w:spacing w:val="40"/>
          <w:sz w:val="26"/>
        </w:rPr>
        <w:t xml:space="preserve"> </w:t>
      </w:r>
      <w:r>
        <w:rPr>
          <w:sz w:val="26"/>
        </w:rPr>
        <w:t>the</w:t>
      </w:r>
      <w:r>
        <w:rPr>
          <w:spacing w:val="39"/>
          <w:sz w:val="26"/>
        </w:rPr>
        <w:t xml:space="preserve"> </w:t>
      </w:r>
      <w:r>
        <w:rPr>
          <w:sz w:val="26"/>
        </w:rPr>
        <w:t>nature</w:t>
      </w:r>
      <w:r>
        <w:rPr>
          <w:spacing w:val="40"/>
          <w:sz w:val="26"/>
        </w:rPr>
        <w:t xml:space="preserve"> </w:t>
      </w:r>
      <w:r>
        <w:rPr>
          <w:sz w:val="26"/>
        </w:rPr>
        <w:t>of</w:t>
      </w:r>
      <w:r>
        <w:rPr>
          <w:spacing w:val="40"/>
          <w:sz w:val="26"/>
        </w:rPr>
        <w:t xml:space="preserve"> </w:t>
      </w:r>
      <w:r>
        <w:rPr>
          <w:sz w:val="26"/>
        </w:rPr>
        <w:t>a</w:t>
      </w:r>
      <w:r>
        <w:rPr>
          <w:spacing w:val="39"/>
          <w:sz w:val="26"/>
        </w:rPr>
        <w:t xml:space="preserve"> </w:t>
      </w:r>
      <w:r>
        <w:rPr>
          <w:sz w:val="26"/>
        </w:rPr>
        <w:t>condition</w:t>
      </w:r>
      <w:r>
        <w:rPr>
          <w:spacing w:val="42"/>
          <w:sz w:val="26"/>
        </w:rPr>
        <w:t xml:space="preserve"> </w:t>
      </w:r>
      <w:r>
        <w:rPr>
          <w:sz w:val="26"/>
        </w:rPr>
        <w:t>or</w:t>
      </w:r>
      <w:r>
        <w:rPr>
          <w:spacing w:val="40"/>
          <w:sz w:val="26"/>
        </w:rPr>
        <w:t xml:space="preserve"> </w:t>
      </w:r>
      <w:r>
        <w:rPr>
          <w:sz w:val="26"/>
        </w:rPr>
        <w:t>proviso.</w:t>
      </w:r>
    </w:p>
    <w:p w:rsidR="003B2FC0" w:rsidRDefault="003B2FC0">
      <w:pPr>
        <w:spacing w:before="10"/>
        <w:rPr>
          <w:sz w:val="25"/>
        </w:rPr>
      </w:pPr>
    </w:p>
    <w:p w:rsidR="003B2FC0" w:rsidRDefault="00052A49">
      <w:pPr>
        <w:spacing w:before="1" w:line="480" w:lineRule="auto"/>
        <w:ind w:left="400" w:right="433"/>
        <w:jc w:val="both"/>
        <w:rPr>
          <w:sz w:val="26"/>
        </w:rPr>
      </w:pPr>
      <w:r>
        <w:rPr>
          <w:sz w:val="26"/>
        </w:rPr>
        <w:t>Making a provision subject to another may indicate that the former is</w:t>
      </w:r>
      <w:r>
        <w:rPr>
          <w:spacing w:val="-27"/>
          <w:sz w:val="26"/>
        </w:rPr>
        <w:t xml:space="preserve"> </w:t>
      </w:r>
      <w:r>
        <w:rPr>
          <w:sz w:val="26"/>
        </w:rPr>
        <w:t>controlled by or is subordinate to the other. In making clause 1 of Article 25 subject to the other provisions of Part III without introducing a similar limitation in Article 26, the Constitution should not readily be assumed to have intended the same resu</w:t>
      </w:r>
      <w:r>
        <w:rPr>
          <w:sz w:val="26"/>
        </w:rPr>
        <w:t>lt. Evidently the individual right under Article 25(1) is not only subject to public</w:t>
      </w:r>
      <w:r>
        <w:rPr>
          <w:spacing w:val="-12"/>
          <w:sz w:val="26"/>
        </w:rPr>
        <w:t xml:space="preserve"> </w:t>
      </w:r>
      <w:r>
        <w:rPr>
          <w:sz w:val="26"/>
        </w:rPr>
        <w:t>order,</w:t>
      </w:r>
      <w:r>
        <w:rPr>
          <w:spacing w:val="-14"/>
          <w:sz w:val="26"/>
        </w:rPr>
        <w:t xml:space="preserve"> </w:t>
      </w:r>
      <w:r>
        <w:rPr>
          <w:sz w:val="26"/>
        </w:rPr>
        <w:t>morality</w:t>
      </w:r>
      <w:r>
        <w:rPr>
          <w:spacing w:val="-10"/>
          <w:sz w:val="26"/>
        </w:rPr>
        <w:t xml:space="preserve"> </w:t>
      </w:r>
      <w:r>
        <w:rPr>
          <w:sz w:val="26"/>
        </w:rPr>
        <w:t>and</w:t>
      </w:r>
      <w:r>
        <w:rPr>
          <w:spacing w:val="-12"/>
          <w:sz w:val="26"/>
        </w:rPr>
        <w:t xml:space="preserve"> </w:t>
      </w:r>
      <w:r>
        <w:rPr>
          <w:sz w:val="26"/>
        </w:rPr>
        <w:t>health,</w:t>
      </w:r>
      <w:r>
        <w:rPr>
          <w:spacing w:val="-14"/>
          <w:sz w:val="26"/>
        </w:rPr>
        <w:t xml:space="preserve"> </w:t>
      </w:r>
      <w:r>
        <w:rPr>
          <w:sz w:val="26"/>
        </w:rPr>
        <w:t>but</w:t>
      </w:r>
      <w:r>
        <w:rPr>
          <w:spacing w:val="-13"/>
          <w:sz w:val="26"/>
        </w:rPr>
        <w:t xml:space="preserve"> </w:t>
      </w:r>
      <w:r>
        <w:rPr>
          <w:sz w:val="26"/>
        </w:rPr>
        <w:t>it</w:t>
      </w:r>
      <w:r>
        <w:rPr>
          <w:spacing w:val="-14"/>
          <w:sz w:val="26"/>
        </w:rPr>
        <w:t xml:space="preserve"> </w:t>
      </w:r>
      <w:r>
        <w:rPr>
          <w:sz w:val="26"/>
        </w:rPr>
        <w:t>is</w:t>
      </w:r>
      <w:r>
        <w:rPr>
          <w:spacing w:val="-12"/>
          <w:sz w:val="26"/>
        </w:rPr>
        <w:t xml:space="preserve"> </w:t>
      </w:r>
      <w:r>
        <w:rPr>
          <w:sz w:val="26"/>
        </w:rPr>
        <w:t>also</w:t>
      </w:r>
      <w:r>
        <w:rPr>
          <w:spacing w:val="-13"/>
          <w:sz w:val="26"/>
        </w:rPr>
        <w:t xml:space="preserve"> </w:t>
      </w:r>
      <w:r>
        <w:rPr>
          <w:sz w:val="26"/>
        </w:rPr>
        <w:t>subordinate</w:t>
      </w:r>
      <w:r>
        <w:rPr>
          <w:spacing w:val="-12"/>
          <w:sz w:val="26"/>
        </w:rPr>
        <w:t xml:space="preserve"> </w:t>
      </w:r>
      <w:r>
        <w:rPr>
          <w:sz w:val="26"/>
        </w:rPr>
        <w:t>to</w:t>
      </w:r>
      <w:r>
        <w:rPr>
          <w:spacing w:val="-12"/>
          <w:sz w:val="26"/>
        </w:rPr>
        <w:t xml:space="preserve"> </w:t>
      </w:r>
      <w:r>
        <w:rPr>
          <w:sz w:val="26"/>
        </w:rPr>
        <w:t>the</w:t>
      </w:r>
      <w:r>
        <w:rPr>
          <w:spacing w:val="-11"/>
          <w:sz w:val="26"/>
        </w:rPr>
        <w:t xml:space="preserve"> </w:t>
      </w:r>
      <w:r>
        <w:rPr>
          <w:sz w:val="26"/>
        </w:rPr>
        <w:t>other</w:t>
      </w:r>
      <w:r>
        <w:rPr>
          <w:spacing w:val="-12"/>
          <w:sz w:val="26"/>
        </w:rPr>
        <w:t xml:space="preserve"> </w:t>
      </w:r>
      <w:r>
        <w:rPr>
          <w:sz w:val="26"/>
        </w:rPr>
        <w:t>freedoms that are guaranteed by Part III. In omitting the additional stipulation in Article 26, the Con</w:t>
      </w:r>
      <w:r>
        <w:rPr>
          <w:sz w:val="26"/>
        </w:rPr>
        <w:t>stitution has consciously not used words that would indicate an intent specifically to make Article 26 subordinate to the other freedoms. This textual interpretation of Article 26, in juxtaposition with Article 25 is good as far as it goes. But does that b</w:t>
      </w:r>
      <w:r>
        <w:rPr>
          <w:sz w:val="26"/>
        </w:rPr>
        <w:t>y itself lend credence to the theory that the right of</w:t>
      </w:r>
      <w:r>
        <w:rPr>
          <w:spacing w:val="-45"/>
          <w:sz w:val="26"/>
        </w:rPr>
        <w:t xml:space="preserve"> </w:t>
      </w:r>
      <w:r>
        <w:rPr>
          <w:sz w:val="26"/>
        </w:rPr>
        <w:t>a religious denomination to manage its affairs is a standalone right uncontrolled or unaffected by the other fundamental freedoms? The answer to this must lie in the negative. It is one thing to say th</w:t>
      </w:r>
      <w:r>
        <w:rPr>
          <w:sz w:val="26"/>
        </w:rPr>
        <w:t>at Article 26 is not subordinate to (not ‘subject</w:t>
      </w:r>
      <w:r>
        <w:rPr>
          <w:spacing w:val="19"/>
          <w:sz w:val="26"/>
        </w:rPr>
        <w:t xml:space="preserve"> </w:t>
      </w:r>
      <w:r>
        <w:rPr>
          <w:sz w:val="26"/>
        </w:rPr>
        <w:t>to’)</w:t>
      </w:r>
      <w:r>
        <w:rPr>
          <w:spacing w:val="21"/>
          <w:sz w:val="26"/>
        </w:rPr>
        <w:t xml:space="preserve"> </w:t>
      </w:r>
      <w:r>
        <w:rPr>
          <w:sz w:val="26"/>
        </w:rPr>
        <w:t>other</w:t>
      </w:r>
      <w:r>
        <w:rPr>
          <w:spacing w:val="20"/>
          <w:sz w:val="26"/>
        </w:rPr>
        <w:t xml:space="preserve"> </w:t>
      </w:r>
      <w:r>
        <w:rPr>
          <w:sz w:val="26"/>
        </w:rPr>
        <w:t>freedoms</w:t>
      </w:r>
      <w:r>
        <w:rPr>
          <w:spacing w:val="18"/>
          <w:sz w:val="26"/>
        </w:rPr>
        <w:t xml:space="preserve"> </w:t>
      </w:r>
      <w:r>
        <w:rPr>
          <w:sz w:val="26"/>
        </w:rPr>
        <w:t>in</w:t>
      </w:r>
      <w:r>
        <w:rPr>
          <w:spacing w:val="18"/>
          <w:sz w:val="26"/>
        </w:rPr>
        <w:t xml:space="preserve"> </w:t>
      </w:r>
      <w:r>
        <w:rPr>
          <w:sz w:val="26"/>
        </w:rPr>
        <w:t>Part</w:t>
      </w:r>
      <w:r>
        <w:rPr>
          <w:spacing w:val="19"/>
          <w:sz w:val="26"/>
        </w:rPr>
        <w:t xml:space="preserve"> </w:t>
      </w:r>
      <w:r>
        <w:rPr>
          <w:sz w:val="26"/>
        </w:rPr>
        <w:t>III.</w:t>
      </w:r>
      <w:r>
        <w:rPr>
          <w:spacing w:val="20"/>
          <w:sz w:val="26"/>
        </w:rPr>
        <w:t xml:space="preserve"> </w:t>
      </w:r>
      <w:r>
        <w:rPr>
          <w:sz w:val="26"/>
        </w:rPr>
        <w:t>But</w:t>
      </w:r>
      <w:r>
        <w:rPr>
          <w:spacing w:val="19"/>
          <w:sz w:val="26"/>
        </w:rPr>
        <w:t xml:space="preserve"> </w:t>
      </w:r>
      <w:r>
        <w:rPr>
          <w:sz w:val="26"/>
        </w:rPr>
        <w:t>it</w:t>
      </w:r>
      <w:r>
        <w:rPr>
          <w:spacing w:val="18"/>
          <w:sz w:val="26"/>
        </w:rPr>
        <w:t xml:space="preserve"> </w:t>
      </w:r>
      <w:r>
        <w:rPr>
          <w:sz w:val="26"/>
        </w:rPr>
        <w:t>is</w:t>
      </w:r>
      <w:r>
        <w:rPr>
          <w:spacing w:val="19"/>
          <w:sz w:val="26"/>
        </w:rPr>
        <w:t xml:space="preserve"> </w:t>
      </w:r>
      <w:r>
        <w:rPr>
          <w:sz w:val="26"/>
        </w:rPr>
        <w:t>quite</w:t>
      </w:r>
      <w:r>
        <w:rPr>
          <w:spacing w:val="20"/>
          <w:sz w:val="26"/>
        </w:rPr>
        <w:t xml:space="preserve"> </w:t>
      </w:r>
      <w:r>
        <w:rPr>
          <w:sz w:val="26"/>
        </w:rPr>
        <w:t>another</w:t>
      </w:r>
      <w:r>
        <w:rPr>
          <w:spacing w:val="18"/>
          <w:sz w:val="26"/>
        </w:rPr>
        <w:t xml:space="preserve"> </w:t>
      </w:r>
      <w:r>
        <w:rPr>
          <w:sz w:val="26"/>
        </w:rPr>
        <w:t>thing</w:t>
      </w:r>
      <w:r>
        <w:rPr>
          <w:spacing w:val="18"/>
          <w:sz w:val="26"/>
        </w:rPr>
        <w:t xml:space="preserve"> </w:t>
      </w:r>
      <w:r>
        <w:rPr>
          <w:sz w:val="26"/>
        </w:rPr>
        <w:t>to</w:t>
      </w:r>
      <w:r>
        <w:rPr>
          <w:spacing w:val="21"/>
          <w:sz w:val="26"/>
        </w:rPr>
        <w:t xml:space="preserve"> </w:t>
      </w:r>
      <w:r>
        <w:rPr>
          <w:sz w:val="26"/>
        </w:rPr>
        <w:t>assume</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1"/>
        <w:jc w:val="both"/>
        <w:rPr>
          <w:sz w:val="26"/>
        </w:rPr>
      </w:pPr>
      <w:r>
        <w:rPr>
          <w:sz w:val="26"/>
        </w:rPr>
        <w:t>that Article 26 has no connect with other freedoms or that the right of religious denominations is unconcerned with them. To say as a matter of interpretation that</w:t>
      </w:r>
      <w:r>
        <w:rPr>
          <w:spacing w:val="-19"/>
          <w:sz w:val="26"/>
        </w:rPr>
        <w:t xml:space="preserve"> </w:t>
      </w:r>
      <w:r>
        <w:rPr>
          <w:sz w:val="26"/>
        </w:rPr>
        <w:t>a</w:t>
      </w:r>
      <w:r>
        <w:rPr>
          <w:spacing w:val="-16"/>
          <w:sz w:val="26"/>
        </w:rPr>
        <w:t xml:space="preserve"> </w:t>
      </w:r>
      <w:r>
        <w:rPr>
          <w:sz w:val="26"/>
        </w:rPr>
        <w:t>provision</w:t>
      </w:r>
      <w:r>
        <w:rPr>
          <w:spacing w:val="-16"/>
          <w:sz w:val="26"/>
        </w:rPr>
        <w:t xml:space="preserve"> </w:t>
      </w:r>
      <w:r>
        <w:rPr>
          <w:sz w:val="26"/>
        </w:rPr>
        <w:t>in</w:t>
      </w:r>
      <w:r>
        <w:rPr>
          <w:spacing w:val="-19"/>
          <w:sz w:val="26"/>
        </w:rPr>
        <w:t xml:space="preserve"> </w:t>
      </w:r>
      <w:r>
        <w:rPr>
          <w:sz w:val="26"/>
        </w:rPr>
        <w:t>law</w:t>
      </w:r>
      <w:r>
        <w:rPr>
          <w:spacing w:val="-18"/>
          <w:sz w:val="26"/>
        </w:rPr>
        <w:t xml:space="preserve"> </w:t>
      </w:r>
      <w:r>
        <w:rPr>
          <w:sz w:val="26"/>
        </w:rPr>
        <w:t>is</w:t>
      </w:r>
      <w:r>
        <w:rPr>
          <w:spacing w:val="-19"/>
          <w:sz w:val="26"/>
        </w:rPr>
        <w:t xml:space="preserve"> </w:t>
      </w:r>
      <w:r>
        <w:rPr>
          <w:sz w:val="26"/>
        </w:rPr>
        <w:t>not</w:t>
      </w:r>
      <w:r>
        <w:rPr>
          <w:spacing w:val="-19"/>
          <w:sz w:val="26"/>
        </w:rPr>
        <w:t xml:space="preserve"> </w:t>
      </w:r>
      <w:r>
        <w:rPr>
          <w:sz w:val="26"/>
        </w:rPr>
        <w:t>subordinate</w:t>
      </w:r>
      <w:r>
        <w:rPr>
          <w:spacing w:val="-18"/>
          <w:sz w:val="26"/>
        </w:rPr>
        <w:t xml:space="preserve"> </w:t>
      </w:r>
      <w:r>
        <w:rPr>
          <w:sz w:val="26"/>
        </w:rPr>
        <w:t>to</w:t>
      </w:r>
      <w:r>
        <w:rPr>
          <w:spacing w:val="-16"/>
          <w:sz w:val="26"/>
        </w:rPr>
        <w:t xml:space="preserve"> </w:t>
      </w:r>
      <w:r>
        <w:rPr>
          <w:sz w:val="26"/>
        </w:rPr>
        <w:t>another</w:t>
      </w:r>
      <w:r>
        <w:rPr>
          <w:spacing w:val="-17"/>
          <w:sz w:val="26"/>
        </w:rPr>
        <w:t xml:space="preserve"> </w:t>
      </w:r>
      <w:r>
        <w:rPr>
          <w:sz w:val="26"/>
        </w:rPr>
        <w:t>is</w:t>
      </w:r>
      <w:r>
        <w:rPr>
          <w:spacing w:val="-16"/>
          <w:sz w:val="26"/>
        </w:rPr>
        <w:t xml:space="preserve"> </w:t>
      </w:r>
      <w:r>
        <w:rPr>
          <w:sz w:val="26"/>
        </w:rPr>
        <w:t>one</w:t>
      </w:r>
      <w:r>
        <w:rPr>
          <w:spacing w:val="-16"/>
          <w:sz w:val="26"/>
        </w:rPr>
        <w:t xml:space="preserve"> </w:t>
      </w:r>
      <w:r>
        <w:rPr>
          <w:sz w:val="26"/>
        </w:rPr>
        <w:t>thing.</w:t>
      </w:r>
      <w:r>
        <w:rPr>
          <w:spacing w:val="-13"/>
          <w:sz w:val="26"/>
        </w:rPr>
        <w:t xml:space="preserve"> </w:t>
      </w:r>
      <w:r>
        <w:rPr>
          <w:sz w:val="26"/>
        </w:rPr>
        <w:t>But</w:t>
      </w:r>
      <w:r>
        <w:rPr>
          <w:spacing w:val="-19"/>
          <w:sz w:val="26"/>
        </w:rPr>
        <w:t xml:space="preserve"> </w:t>
      </w:r>
      <w:r>
        <w:rPr>
          <w:sz w:val="26"/>
        </w:rPr>
        <w:t>the</w:t>
      </w:r>
      <w:r>
        <w:rPr>
          <w:spacing w:val="-19"/>
          <w:sz w:val="26"/>
        </w:rPr>
        <w:t xml:space="preserve"> </w:t>
      </w:r>
      <w:r>
        <w:rPr>
          <w:sz w:val="26"/>
        </w:rPr>
        <w:t>absence of words of subjection does not necessarily attribute to the provision a status independent of a cluster of other entitlements, particularly those based on individual freedoms. Even where one provision is not subject to another there would still be</w:t>
      </w:r>
      <w:r>
        <w:rPr>
          <w:sz w:val="26"/>
        </w:rPr>
        <w:t xml:space="preserve"> a ground to read both together so that they exist in harmony. Constitutional interpretation is all about bringing a sense of equilibrium, a balance,</w:t>
      </w:r>
      <w:r>
        <w:rPr>
          <w:spacing w:val="-11"/>
          <w:sz w:val="26"/>
        </w:rPr>
        <w:t xml:space="preserve"> </w:t>
      </w:r>
      <w:r>
        <w:rPr>
          <w:sz w:val="26"/>
        </w:rPr>
        <w:t>so</w:t>
      </w:r>
      <w:r>
        <w:rPr>
          <w:spacing w:val="-9"/>
          <w:sz w:val="26"/>
        </w:rPr>
        <w:t xml:space="preserve"> </w:t>
      </w:r>
      <w:r>
        <w:rPr>
          <w:sz w:val="26"/>
        </w:rPr>
        <w:t>that</w:t>
      </w:r>
      <w:r>
        <w:rPr>
          <w:spacing w:val="-9"/>
          <w:sz w:val="26"/>
        </w:rPr>
        <w:t xml:space="preserve"> </w:t>
      </w:r>
      <w:r>
        <w:rPr>
          <w:sz w:val="26"/>
        </w:rPr>
        <w:t>read</w:t>
      </w:r>
      <w:r>
        <w:rPr>
          <w:spacing w:val="-9"/>
          <w:sz w:val="26"/>
        </w:rPr>
        <w:t xml:space="preserve"> </w:t>
      </w:r>
      <w:r>
        <w:rPr>
          <w:sz w:val="26"/>
        </w:rPr>
        <w:t>individually</w:t>
      </w:r>
      <w:r>
        <w:rPr>
          <w:spacing w:val="-9"/>
          <w:sz w:val="26"/>
        </w:rPr>
        <w:t xml:space="preserve"> </w:t>
      </w:r>
      <w:r>
        <w:rPr>
          <w:sz w:val="26"/>
        </w:rPr>
        <w:t>and</w:t>
      </w:r>
      <w:r>
        <w:rPr>
          <w:spacing w:val="-9"/>
          <w:sz w:val="26"/>
        </w:rPr>
        <w:t xml:space="preserve"> </w:t>
      </w:r>
      <w:r>
        <w:rPr>
          <w:sz w:val="26"/>
        </w:rPr>
        <w:t>together</w:t>
      </w:r>
      <w:r>
        <w:rPr>
          <w:spacing w:val="-10"/>
          <w:sz w:val="26"/>
        </w:rPr>
        <w:t xml:space="preserve"> </w:t>
      </w:r>
      <w:r>
        <w:rPr>
          <w:sz w:val="26"/>
        </w:rPr>
        <w:t>the</w:t>
      </w:r>
      <w:r>
        <w:rPr>
          <w:spacing w:val="-12"/>
          <w:sz w:val="26"/>
        </w:rPr>
        <w:t xml:space="preserve"> </w:t>
      </w:r>
      <w:r>
        <w:rPr>
          <w:sz w:val="26"/>
        </w:rPr>
        <w:t>provisions</w:t>
      </w:r>
      <w:r>
        <w:rPr>
          <w:spacing w:val="-12"/>
          <w:sz w:val="26"/>
        </w:rPr>
        <w:t xml:space="preserve"> </w:t>
      </w:r>
      <w:r>
        <w:rPr>
          <w:sz w:val="26"/>
        </w:rPr>
        <w:t>of</w:t>
      </w:r>
      <w:r>
        <w:rPr>
          <w:spacing w:val="-7"/>
          <w:sz w:val="26"/>
        </w:rPr>
        <w:t xml:space="preserve"> </w:t>
      </w:r>
      <w:r>
        <w:rPr>
          <w:sz w:val="26"/>
        </w:rPr>
        <w:t>the</w:t>
      </w:r>
      <w:r>
        <w:rPr>
          <w:spacing w:val="-12"/>
          <w:sz w:val="26"/>
        </w:rPr>
        <w:t xml:space="preserve"> </w:t>
      </w:r>
      <w:r>
        <w:rPr>
          <w:sz w:val="26"/>
        </w:rPr>
        <w:t>Constitution exist in contemporaneous accord.</w:t>
      </w:r>
      <w:r>
        <w:rPr>
          <w:sz w:val="26"/>
        </w:rPr>
        <w:t xml:space="preserve"> Unless such an effort were to be made, the synchrony between different parts of the Constitution would not be preserved. In</w:t>
      </w:r>
      <w:r>
        <w:rPr>
          <w:spacing w:val="-14"/>
          <w:sz w:val="26"/>
        </w:rPr>
        <w:t xml:space="preserve"> </w:t>
      </w:r>
      <w:r>
        <w:rPr>
          <w:sz w:val="26"/>
        </w:rPr>
        <w:t>interpreting</w:t>
      </w:r>
      <w:r>
        <w:rPr>
          <w:spacing w:val="-14"/>
          <w:sz w:val="26"/>
        </w:rPr>
        <w:t xml:space="preserve"> </w:t>
      </w:r>
      <w:r>
        <w:rPr>
          <w:sz w:val="26"/>
        </w:rPr>
        <w:t>a</w:t>
      </w:r>
      <w:r>
        <w:rPr>
          <w:spacing w:val="-11"/>
          <w:sz w:val="26"/>
        </w:rPr>
        <w:t xml:space="preserve"> </w:t>
      </w:r>
      <w:r>
        <w:rPr>
          <w:sz w:val="26"/>
        </w:rPr>
        <w:t>segment</w:t>
      </w:r>
      <w:r>
        <w:rPr>
          <w:spacing w:val="-14"/>
          <w:sz w:val="26"/>
        </w:rPr>
        <w:t xml:space="preserve"> </w:t>
      </w:r>
      <w:r>
        <w:rPr>
          <w:sz w:val="26"/>
        </w:rPr>
        <w:t>of</w:t>
      </w:r>
      <w:r>
        <w:rPr>
          <w:spacing w:val="-13"/>
          <w:sz w:val="26"/>
        </w:rPr>
        <w:t xml:space="preserve"> </w:t>
      </w:r>
      <w:r>
        <w:rPr>
          <w:sz w:val="26"/>
        </w:rPr>
        <w:t>the</w:t>
      </w:r>
      <w:r>
        <w:rPr>
          <w:spacing w:val="-14"/>
          <w:sz w:val="26"/>
        </w:rPr>
        <w:t xml:space="preserve"> </w:t>
      </w:r>
      <w:r>
        <w:rPr>
          <w:sz w:val="26"/>
        </w:rPr>
        <w:t>Constitution</w:t>
      </w:r>
      <w:r>
        <w:rPr>
          <w:spacing w:val="-14"/>
          <w:sz w:val="26"/>
        </w:rPr>
        <w:t xml:space="preserve"> </w:t>
      </w:r>
      <w:r>
        <w:rPr>
          <w:sz w:val="26"/>
        </w:rPr>
        <w:t>devoted</w:t>
      </w:r>
      <w:r>
        <w:rPr>
          <w:spacing w:val="-12"/>
          <w:sz w:val="26"/>
        </w:rPr>
        <w:t xml:space="preserve"> </w:t>
      </w:r>
      <w:r>
        <w:rPr>
          <w:sz w:val="26"/>
        </w:rPr>
        <w:t>exclusively</w:t>
      </w:r>
      <w:r>
        <w:rPr>
          <w:spacing w:val="-14"/>
          <w:sz w:val="26"/>
        </w:rPr>
        <w:t xml:space="preserve"> </w:t>
      </w:r>
      <w:r>
        <w:rPr>
          <w:sz w:val="26"/>
        </w:rPr>
        <w:t>to</w:t>
      </w:r>
      <w:r>
        <w:rPr>
          <w:spacing w:val="-13"/>
          <w:sz w:val="26"/>
        </w:rPr>
        <w:t xml:space="preserve"> </w:t>
      </w:r>
      <w:r>
        <w:rPr>
          <w:sz w:val="26"/>
        </w:rPr>
        <w:t>fundamental rights one must eschew an approach which would result</w:t>
      </w:r>
      <w:r>
        <w:rPr>
          <w:sz w:val="26"/>
        </w:rPr>
        <w:t xml:space="preserve"> in asynchrony. Co- existence</w:t>
      </w:r>
      <w:r>
        <w:rPr>
          <w:spacing w:val="-19"/>
          <w:sz w:val="26"/>
        </w:rPr>
        <w:t xml:space="preserve"> </w:t>
      </w:r>
      <w:r>
        <w:rPr>
          <w:sz w:val="26"/>
        </w:rPr>
        <w:t>of</w:t>
      </w:r>
      <w:r>
        <w:rPr>
          <w:spacing w:val="-16"/>
          <w:sz w:val="26"/>
        </w:rPr>
        <w:t xml:space="preserve"> </w:t>
      </w:r>
      <w:r>
        <w:rPr>
          <w:sz w:val="26"/>
        </w:rPr>
        <w:t>freedoms</w:t>
      </w:r>
      <w:r>
        <w:rPr>
          <w:spacing w:val="-19"/>
          <w:sz w:val="26"/>
        </w:rPr>
        <w:t xml:space="preserve"> </w:t>
      </w:r>
      <w:r>
        <w:rPr>
          <w:sz w:val="26"/>
        </w:rPr>
        <w:t>is</w:t>
      </w:r>
      <w:r>
        <w:rPr>
          <w:spacing w:val="-19"/>
          <w:sz w:val="26"/>
        </w:rPr>
        <w:t xml:space="preserve"> </w:t>
      </w:r>
      <w:r>
        <w:rPr>
          <w:sz w:val="26"/>
        </w:rPr>
        <w:t>crucial,</w:t>
      </w:r>
      <w:r>
        <w:rPr>
          <w:spacing w:val="-18"/>
          <w:sz w:val="26"/>
        </w:rPr>
        <w:t xml:space="preserve"> </w:t>
      </w:r>
      <w:r>
        <w:rPr>
          <w:sz w:val="26"/>
        </w:rPr>
        <w:t>in</w:t>
      </w:r>
      <w:r>
        <w:rPr>
          <w:spacing w:val="-16"/>
          <w:sz w:val="26"/>
        </w:rPr>
        <w:t xml:space="preserve"> </w:t>
      </w:r>
      <w:r>
        <w:rPr>
          <w:sz w:val="26"/>
        </w:rPr>
        <w:t>the</w:t>
      </w:r>
      <w:r>
        <w:rPr>
          <w:spacing w:val="-16"/>
          <w:sz w:val="26"/>
        </w:rPr>
        <w:t xml:space="preserve"> </w:t>
      </w:r>
      <w:r>
        <w:rPr>
          <w:sz w:val="26"/>
        </w:rPr>
        <w:t>ultimate</w:t>
      </w:r>
      <w:r>
        <w:rPr>
          <w:spacing w:val="-19"/>
          <w:sz w:val="26"/>
        </w:rPr>
        <w:t xml:space="preserve"> </w:t>
      </w:r>
      <w:r>
        <w:rPr>
          <w:sz w:val="26"/>
        </w:rPr>
        <w:t>analysis,</w:t>
      </w:r>
      <w:r>
        <w:rPr>
          <w:spacing w:val="-19"/>
          <w:sz w:val="26"/>
        </w:rPr>
        <w:t xml:space="preserve"> </w:t>
      </w:r>
      <w:r>
        <w:rPr>
          <w:sz w:val="26"/>
        </w:rPr>
        <w:t>to</w:t>
      </w:r>
      <w:r>
        <w:rPr>
          <w:spacing w:val="-16"/>
          <w:sz w:val="26"/>
        </w:rPr>
        <w:t xml:space="preserve"> </w:t>
      </w:r>
      <w:r>
        <w:rPr>
          <w:sz w:val="26"/>
        </w:rPr>
        <w:t>a</w:t>
      </w:r>
      <w:r>
        <w:rPr>
          <w:spacing w:val="-18"/>
          <w:sz w:val="26"/>
        </w:rPr>
        <w:t xml:space="preserve"> </w:t>
      </w:r>
      <w:r>
        <w:rPr>
          <w:sz w:val="26"/>
        </w:rPr>
        <w:t>constitutional</w:t>
      </w:r>
      <w:r>
        <w:rPr>
          <w:spacing w:val="-19"/>
          <w:sz w:val="26"/>
        </w:rPr>
        <w:t xml:space="preserve"> </w:t>
      </w:r>
      <w:r>
        <w:rPr>
          <w:sz w:val="26"/>
        </w:rPr>
        <w:t>order which</w:t>
      </w:r>
      <w:r>
        <w:rPr>
          <w:spacing w:val="-8"/>
          <w:sz w:val="26"/>
        </w:rPr>
        <w:t xml:space="preserve"> </w:t>
      </w:r>
      <w:r>
        <w:rPr>
          <w:sz w:val="26"/>
        </w:rPr>
        <w:t>guarantees</w:t>
      </w:r>
      <w:r>
        <w:rPr>
          <w:spacing w:val="-7"/>
          <w:sz w:val="26"/>
        </w:rPr>
        <w:t xml:space="preserve"> </w:t>
      </w:r>
      <w:r>
        <w:rPr>
          <w:sz w:val="26"/>
        </w:rPr>
        <w:t>them</w:t>
      </w:r>
      <w:r>
        <w:rPr>
          <w:spacing w:val="-5"/>
          <w:sz w:val="26"/>
        </w:rPr>
        <w:t xml:space="preserve"> </w:t>
      </w:r>
      <w:r>
        <w:rPr>
          <w:sz w:val="26"/>
        </w:rPr>
        <w:t>and</w:t>
      </w:r>
      <w:r>
        <w:rPr>
          <w:spacing w:val="-7"/>
          <w:sz w:val="26"/>
        </w:rPr>
        <w:t xml:space="preserve"> </w:t>
      </w:r>
      <w:r>
        <w:rPr>
          <w:sz w:val="26"/>
        </w:rPr>
        <w:t>seeks</w:t>
      </w:r>
      <w:r>
        <w:rPr>
          <w:spacing w:val="-7"/>
          <w:sz w:val="26"/>
        </w:rPr>
        <w:t xml:space="preserve"> </w:t>
      </w:r>
      <w:r>
        <w:rPr>
          <w:sz w:val="26"/>
        </w:rPr>
        <w:t>to</w:t>
      </w:r>
      <w:r>
        <w:rPr>
          <w:spacing w:val="-7"/>
          <w:sz w:val="26"/>
        </w:rPr>
        <w:t xml:space="preserve"> </w:t>
      </w:r>
      <w:r>
        <w:rPr>
          <w:sz w:val="26"/>
        </w:rPr>
        <w:t>elevate</w:t>
      </w:r>
      <w:r>
        <w:rPr>
          <w:spacing w:val="-7"/>
          <w:sz w:val="26"/>
        </w:rPr>
        <w:t xml:space="preserve"> </w:t>
      </w:r>
      <w:r>
        <w:rPr>
          <w:sz w:val="26"/>
        </w:rPr>
        <w:t>them</w:t>
      </w:r>
      <w:r>
        <w:rPr>
          <w:spacing w:val="-7"/>
          <w:sz w:val="26"/>
        </w:rPr>
        <w:t xml:space="preserve"> </w:t>
      </w:r>
      <w:r>
        <w:rPr>
          <w:sz w:val="26"/>
        </w:rPr>
        <w:t>to</w:t>
      </w:r>
      <w:r>
        <w:rPr>
          <w:spacing w:val="-7"/>
          <w:sz w:val="26"/>
        </w:rPr>
        <w:t xml:space="preserve"> </w:t>
      </w:r>
      <w:r>
        <w:rPr>
          <w:sz w:val="26"/>
        </w:rPr>
        <w:t>a</w:t>
      </w:r>
      <w:r>
        <w:rPr>
          <w:spacing w:val="-7"/>
          <w:sz w:val="26"/>
        </w:rPr>
        <w:t xml:space="preserve"> </w:t>
      </w:r>
      <w:r>
        <w:rPr>
          <w:sz w:val="26"/>
        </w:rPr>
        <w:t>platform</w:t>
      </w:r>
      <w:r>
        <w:rPr>
          <w:spacing w:val="-6"/>
          <w:sz w:val="26"/>
        </w:rPr>
        <w:t xml:space="preserve"> </w:t>
      </w:r>
      <w:r>
        <w:rPr>
          <w:sz w:val="26"/>
        </w:rPr>
        <w:t>on</w:t>
      </w:r>
      <w:r>
        <w:rPr>
          <w:spacing w:val="-4"/>
          <w:sz w:val="26"/>
        </w:rPr>
        <w:t xml:space="preserve"> </w:t>
      </w:r>
      <w:r>
        <w:rPr>
          <w:sz w:val="26"/>
        </w:rPr>
        <w:t>which</w:t>
      </w:r>
      <w:r>
        <w:rPr>
          <w:spacing w:val="-5"/>
          <w:sz w:val="26"/>
        </w:rPr>
        <w:t xml:space="preserve"> </w:t>
      </w:r>
      <w:r>
        <w:rPr>
          <w:sz w:val="26"/>
        </w:rPr>
        <w:t>every individual without distinction can reap their fruit without a bar to access. Thus, the</w:t>
      </w:r>
      <w:r>
        <w:rPr>
          <w:spacing w:val="-8"/>
          <w:sz w:val="26"/>
        </w:rPr>
        <w:t xml:space="preserve"> </w:t>
      </w:r>
      <w:r>
        <w:rPr>
          <w:sz w:val="26"/>
        </w:rPr>
        <w:t>absence</w:t>
      </w:r>
      <w:r>
        <w:rPr>
          <w:spacing w:val="-5"/>
          <w:sz w:val="26"/>
        </w:rPr>
        <w:t xml:space="preserve"> </w:t>
      </w:r>
      <w:r>
        <w:rPr>
          <w:sz w:val="26"/>
        </w:rPr>
        <w:t>of</w:t>
      </w:r>
      <w:r>
        <w:rPr>
          <w:spacing w:val="-4"/>
          <w:sz w:val="26"/>
        </w:rPr>
        <w:t xml:space="preserve"> </w:t>
      </w:r>
      <w:r>
        <w:rPr>
          <w:sz w:val="26"/>
        </w:rPr>
        <w:t>words</w:t>
      </w:r>
      <w:r>
        <w:rPr>
          <w:spacing w:val="-7"/>
          <w:sz w:val="26"/>
        </w:rPr>
        <w:t xml:space="preserve"> </w:t>
      </w:r>
      <w:r>
        <w:rPr>
          <w:sz w:val="26"/>
        </w:rPr>
        <w:t>in</w:t>
      </w:r>
      <w:r>
        <w:rPr>
          <w:spacing w:val="-7"/>
          <w:sz w:val="26"/>
        </w:rPr>
        <w:t xml:space="preserve"> </w:t>
      </w:r>
      <w:r>
        <w:rPr>
          <w:sz w:val="26"/>
        </w:rPr>
        <w:t>Article</w:t>
      </w:r>
      <w:r>
        <w:rPr>
          <w:spacing w:val="-7"/>
          <w:sz w:val="26"/>
        </w:rPr>
        <w:t xml:space="preserve"> </w:t>
      </w:r>
      <w:r>
        <w:rPr>
          <w:sz w:val="26"/>
        </w:rPr>
        <w:t>26</w:t>
      </w:r>
      <w:r>
        <w:rPr>
          <w:spacing w:val="-4"/>
          <w:sz w:val="26"/>
        </w:rPr>
        <w:t xml:space="preserve"> </w:t>
      </w:r>
      <w:r>
        <w:rPr>
          <w:sz w:val="26"/>
        </w:rPr>
        <w:t>which</w:t>
      </w:r>
      <w:r>
        <w:rPr>
          <w:spacing w:val="-4"/>
          <w:sz w:val="26"/>
        </w:rPr>
        <w:t xml:space="preserve"> </w:t>
      </w:r>
      <w:r>
        <w:rPr>
          <w:sz w:val="26"/>
        </w:rPr>
        <w:t>would</w:t>
      </w:r>
      <w:r>
        <w:rPr>
          <w:spacing w:val="-5"/>
          <w:sz w:val="26"/>
        </w:rPr>
        <w:t xml:space="preserve"> </w:t>
      </w:r>
      <w:r>
        <w:rPr>
          <w:sz w:val="26"/>
        </w:rPr>
        <w:t>make</w:t>
      </w:r>
      <w:r>
        <w:rPr>
          <w:spacing w:val="-7"/>
          <w:sz w:val="26"/>
        </w:rPr>
        <w:t xml:space="preserve"> </w:t>
      </w:r>
      <w:r>
        <w:rPr>
          <w:sz w:val="26"/>
        </w:rPr>
        <w:t>its</w:t>
      </w:r>
      <w:r>
        <w:rPr>
          <w:spacing w:val="-7"/>
          <w:sz w:val="26"/>
        </w:rPr>
        <w:t xml:space="preserve"> </w:t>
      </w:r>
      <w:r>
        <w:rPr>
          <w:sz w:val="26"/>
        </w:rPr>
        <w:t>provisions</w:t>
      </w:r>
      <w:r>
        <w:rPr>
          <w:spacing w:val="-7"/>
          <w:sz w:val="26"/>
        </w:rPr>
        <w:t xml:space="preserve"> </w:t>
      </w:r>
      <w:r>
        <w:rPr>
          <w:sz w:val="26"/>
        </w:rPr>
        <w:t>subordinate to the other fundamental freedoms neither gives the right conferred</w:t>
      </w:r>
      <w:r>
        <w:rPr>
          <w:spacing w:val="28"/>
          <w:sz w:val="26"/>
        </w:rPr>
        <w:t xml:space="preserve"> </w:t>
      </w:r>
      <w:r>
        <w:rPr>
          <w:sz w:val="26"/>
        </w:rPr>
        <w:t>upon religious denom</w:t>
      </w:r>
      <w:r>
        <w:rPr>
          <w:sz w:val="26"/>
        </w:rPr>
        <w:t>inations a priority which overrides other freedoms nor does it allow the freedom of a religious denomination to exist in an isolated silo. In</w:t>
      </w:r>
      <w:r>
        <w:rPr>
          <w:spacing w:val="-30"/>
          <w:sz w:val="26"/>
        </w:rPr>
        <w:t xml:space="preserve"> </w:t>
      </w:r>
      <w:r>
        <w:rPr>
          <w:sz w:val="26"/>
        </w:rPr>
        <w:t>real life it is difficult to replicate the conditions of a controlled experiment in a laboratory.</w:t>
      </w:r>
      <w:r>
        <w:rPr>
          <w:spacing w:val="50"/>
          <w:sz w:val="26"/>
        </w:rPr>
        <w:t xml:space="preserve"> </w:t>
      </w:r>
      <w:r>
        <w:rPr>
          <w:sz w:val="26"/>
        </w:rPr>
        <w:t>Real</w:t>
      </w:r>
      <w:r>
        <w:rPr>
          <w:spacing w:val="-11"/>
          <w:sz w:val="26"/>
        </w:rPr>
        <w:t xml:space="preserve"> </w:t>
      </w:r>
      <w:r>
        <w:rPr>
          <w:sz w:val="26"/>
        </w:rPr>
        <w:t>life</w:t>
      </w:r>
      <w:r>
        <w:rPr>
          <w:spacing w:val="-11"/>
          <w:sz w:val="26"/>
        </w:rPr>
        <w:t xml:space="preserve"> </w:t>
      </w:r>
      <w:r>
        <w:rPr>
          <w:sz w:val="26"/>
        </w:rPr>
        <w:t>is</w:t>
      </w:r>
      <w:r>
        <w:rPr>
          <w:spacing w:val="-10"/>
          <w:sz w:val="26"/>
        </w:rPr>
        <w:t xml:space="preserve"> </w:t>
      </w:r>
      <w:r>
        <w:rPr>
          <w:sz w:val="26"/>
        </w:rPr>
        <w:t>all</w:t>
      </w:r>
      <w:r>
        <w:rPr>
          <w:spacing w:val="-11"/>
          <w:sz w:val="26"/>
        </w:rPr>
        <w:t xml:space="preserve"> </w:t>
      </w:r>
      <w:r>
        <w:rPr>
          <w:sz w:val="26"/>
        </w:rPr>
        <w:t>about</w:t>
      </w:r>
      <w:r>
        <w:rPr>
          <w:spacing w:val="-12"/>
          <w:sz w:val="26"/>
        </w:rPr>
        <w:t xml:space="preserve"> </w:t>
      </w:r>
      <w:r>
        <w:rPr>
          <w:sz w:val="26"/>
        </w:rPr>
        <w:t>complexities</w:t>
      </w:r>
      <w:r>
        <w:rPr>
          <w:spacing w:val="-12"/>
          <w:sz w:val="26"/>
        </w:rPr>
        <w:t xml:space="preserve"> </w:t>
      </w:r>
      <w:r>
        <w:rPr>
          <w:sz w:val="26"/>
        </w:rPr>
        <w:t>and</w:t>
      </w:r>
      <w:r>
        <w:rPr>
          <w:spacing w:val="-12"/>
          <w:sz w:val="26"/>
        </w:rPr>
        <w:t xml:space="preserve"> </w:t>
      </w:r>
      <w:r>
        <w:rPr>
          <w:sz w:val="26"/>
        </w:rPr>
        <w:t>uncertainties</w:t>
      </w:r>
      <w:r>
        <w:rPr>
          <w:spacing w:val="-8"/>
          <w:sz w:val="26"/>
        </w:rPr>
        <w:t xml:space="preserve"> </w:t>
      </w:r>
      <w:r>
        <w:rPr>
          <w:sz w:val="26"/>
        </w:rPr>
        <w:t>arising</w:t>
      </w:r>
      <w:r>
        <w:rPr>
          <w:spacing w:val="-12"/>
          <w:sz w:val="26"/>
        </w:rPr>
        <w:t xml:space="preserve"> </w:t>
      </w:r>
      <w:r>
        <w:rPr>
          <w:sz w:val="26"/>
        </w:rPr>
        <w:t>out</w:t>
      </w:r>
      <w:r>
        <w:rPr>
          <w:spacing w:val="-12"/>
          <w:sz w:val="26"/>
        </w:rPr>
        <w:t xml:space="preserve"> </w:t>
      </w:r>
      <w:r>
        <w:rPr>
          <w:sz w:val="26"/>
        </w:rPr>
        <w:t>of</w:t>
      </w:r>
      <w:r>
        <w:rPr>
          <w:spacing w:val="-7"/>
          <w:sz w:val="26"/>
        </w:rPr>
        <w:t xml:space="preserve"> </w:t>
      </w:r>
      <w:r>
        <w:rPr>
          <w:sz w:val="26"/>
        </w:rPr>
        <w:t>the assertions</w:t>
      </w:r>
      <w:r>
        <w:rPr>
          <w:spacing w:val="19"/>
          <w:sz w:val="26"/>
        </w:rPr>
        <w:t xml:space="preserve"> </w:t>
      </w:r>
      <w:r>
        <w:rPr>
          <w:sz w:val="26"/>
        </w:rPr>
        <w:t>of</w:t>
      </w:r>
      <w:r>
        <w:rPr>
          <w:spacing w:val="19"/>
          <w:sz w:val="26"/>
        </w:rPr>
        <w:t xml:space="preserve"> </w:t>
      </w:r>
      <w:r>
        <w:rPr>
          <w:sz w:val="26"/>
        </w:rPr>
        <w:t>entitlements</w:t>
      </w:r>
      <w:r>
        <w:rPr>
          <w:spacing w:val="19"/>
          <w:sz w:val="26"/>
        </w:rPr>
        <w:t xml:space="preserve"> </w:t>
      </w:r>
      <w:r>
        <w:rPr>
          <w:sz w:val="26"/>
        </w:rPr>
        <w:t>and</w:t>
      </w:r>
      <w:r>
        <w:rPr>
          <w:spacing w:val="19"/>
          <w:sz w:val="26"/>
        </w:rPr>
        <w:t xml:space="preserve"> </w:t>
      </w:r>
      <w:r>
        <w:rPr>
          <w:sz w:val="26"/>
        </w:rPr>
        <w:t>conflicts</w:t>
      </w:r>
      <w:r>
        <w:rPr>
          <w:spacing w:val="22"/>
          <w:sz w:val="26"/>
        </w:rPr>
        <w:t xml:space="preserve"> </w:t>
      </w:r>
      <w:r>
        <w:rPr>
          <w:sz w:val="26"/>
        </w:rPr>
        <w:t>of</w:t>
      </w:r>
      <w:r>
        <w:rPr>
          <w:spacing w:val="19"/>
          <w:sz w:val="26"/>
        </w:rPr>
        <w:t xml:space="preserve"> </w:t>
      </w:r>
      <w:r>
        <w:rPr>
          <w:sz w:val="26"/>
        </w:rPr>
        <w:t>interests</w:t>
      </w:r>
      <w:r>
        <w:rPr>
          <w:spacing w:val="19"/>
          <w:sz w:val="26"/>
        </w:rPr>
        <w:t xml:space="preserve"> </w:t>
      </w:r>
      <w:r>
        <w:rPr>
          <w:sz w:val="26"/>
        </w:rPr>
        <w:t>among</w:t>
      </w:r>
      <w:r>
        <w:rPr>
          <w:spacing w:val="18"/>
          <w:sz w:val="26"/>
        </w:rPr>
        <w:t xml:space="preserve"> </w:t>
      </w:r>
      <w:r>
        <w:rPr>
          <w:sz w:val="26"/>
        </w:rPr>
        <w:t>groups</w:t>
      </w:r>
      <w:r>
        <w:rPr>
          <w:spacing w:val="19"/>
          <w:sz w:val="26"/>
        </w:rPr>
        <w:t xml:space="preserve"> </w:t>
      </w:r>
      <w:r>
        <w:rPr>
          <w:sz w:val="26"/>
        </w:rPr>
        <w:t>of</w:t>
      </w:r>
      <w:r>
        <w:rPr>
          <w:spacing w:val="19"/>
          <w:sz w:val="26"/>
        </w:rPr>
        <w:t xml:space="preserve"> </w:t>
      </w:r>
      <w:r>
        <w:rPr>
          <w:sz w:val="26"/>
        </w:rPr>
        <w:t>different</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hues</w:t>
      </w:r>
      <w:r>
        <w:rPr>
          <w:spacing w:val="-12"/>
          <w:sz w:val="26"/>
        </w:rPr>
        <w:t xml:space="preserve"> </w:t>
      </w:r>
      <w:r>
        <w:rPr>
          <w:sz w:val="26"/>
        </w:rPr>
        <w:t>in</w:t>
      </w:r>
      <w:r>
        <w:rPr>
          <w:spacing w:val="-11"/>
          <w:sz w:val="26"/>
        </w:rPr>
        <w:t xml:space="preserve"> </w:t>
      </w:r>
      <w:r>
        <w:rPr>
          <w:sz w:val="26"/>
        </w:rPr>
        <w:t>society.</w:t>
      </w:r>
      <w:r>
        <w:rPr>
          <w:spacing w:val="-10"/>
          <w:sz w:val="26"/>
        </w:rPr>
        <w:t xml:space="preserve"> </w:t>
      </w:r>
      <w:r>
        <w:rPr>
          <w:sz w:val="26"/>
        </w:rPr>
        <w:t>The</w:t>
      </w:r>
      <w:r>
        <w:rPr>
          <w:spacing w:val="-12"/>
          <w:sz w:val="26"/>
        </w:rPr>
        <w:t xml:space="preserve"> </w:t>
      </w:r>
      <w:r>
        <w:rPr>
          <w:sz w:val="26"/>
        </w:rPr>
        <w:t>freedoms</w:t>
      </w:r>
      <w:r>
        <w:rPr>
          <w:spacing w:val="-8"/>
          <w:sz w:val="26"/>
        </w:rPr>
        <w:t xml:space="preserve"> </w:t>
      </w:r>
      <w:r>
        <w:rPr>
          <w:sz w:val="26"/>
        </w:rPr>
        <w:t>which</w:t>
      </w:r>
      <w:r>
        <w:rPr>
          <w:spacing w:val="-9"/>
          <w:sz w:val="26"/>
        </w:rPr>
        <w:t xml:space="preserve"> </w:t>
      </w:r>
      <w:r>
        <w:rPr>
          <w:sz w:val="26"/>
        </w:rPr>
        <w:t>find</w:t>
      </w:r>
      <w:r>
        <w:rPr>
          <w:spacing w:val="-8"/>
          <w:sz w:val="26"/>
        </w:rPr>
        <w:t xml:space="preserve"> </w:t>
      </w:r>
      <w:r>
        <w:rPr>
          <w:sz w:val="26"/>
        </w:rPr>
        <w:t>an</w:t>
      </w:r>
      <w:r>
        <w:rPr>
          <w:spacing w:val="-11"/>
          <w:sz w:val="26"/>
        </w:rPr>
        <w:t xml:space="preserve"> </w:t>
      </w:r>
      <w:r>
        <w:rPr>
          <w:sz w:val="26"/>
        </w:rPr>
        <w:t>elaboration</w:t>
      </w:r>
      <w:r>
        <w:rPr>
          <w:spacing w:val="-12"/>
          <w:sz w:val="26"/>
        </w:rPr>
        <w:t xml:space="preserve"> </w:t>
      </w:r>
      <w:r>
        <w:rPr>
          <w:sz w:val="26"/>
        </w:rPr>
        <w:t>in</w:t>
      </w:r>
      <w:r>
        <w:rPr>
          <w:spacing w:val="-11"/>
          <w:sz w:val="26"/>
        </w:rPr>
        <w:t xml:space="preserve"> </w:t>
      </w:r>
      <w:r>
        <w:rPr>
          <w:sz w:val="26"/>
        </w:rPr>
        <w:t>Part</w:t>
      </w:r>
      <w:r>
        <w:rPr>
          <w:spacing w:val="-11"/>
          <w:sz w:val="26"/>
        </w:rPr>
        <w:t xml:space="preserve"> </w:t>
      </w:r>
      <w:r>
        <w:rPr>
          <w:sz w:val="26"/>
        </w:rPr>
        <w:t>III</w:t>
      </w:r>
      <w:r>
        <w:rPr>
          <w:spacing w:val="-6"/>
          <w:sz w:val="26"/>
        </w:rPr>
        <w:t xml:space="preserve"> </w:t>
      </w:r>
      <w:r>
        <w:rPr>
          <w:sz w:val="26"/>
        </w:rPr>
        <w:t>are</w:t>
      </w:r>
      <w:r>
        <w:rPr>
          <w:spacing w:val="-8"/>
          <w:sz w:val="26"/>
        </w:rPr>
        <w:t xml:space="preserve"> </w:t>
      </w:r>
      <w:r>
        <w:rPr>
          <w:sz w:val="26"/>
        </w:rPr>
        <w:t>exercised within a society w</w:t>
      </w:r>
      <w:r>
        <w:rPr>
          <w:sz w:val="26"/>
        </w:rPr>
        <w:t>hich is networked. The freedoms themselves have linkages which cannot be ignored. There is, therefore, a convincing reason not to allow the provisions of Article 26 to tread in isolation. Article 26 is one among a large cluster of freedoms which the Consti</w:t>
      </w:r>
      <w:r>
        <w:rPr>
          <w:sz w:val="26"/>
        </w:rPr>
        <w:t>tution has envisaged as intrinsic to human liberty and dignity. In locating the freedom under Article 26 within a group – the religious denomination – the text in fact allows us to regard the fundamental right recognised in it as one facet of the overall c</w:t>
      </w:r>
      <w:r>
        <w:rPr>
          <w:sz w:val="26"/>
        </w:rPr>
        <w:t>omponents of liberty in a free society.</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 xml:space="preserve">This approach to constitutional interpretation which I propose and follow is acceptable for another reason, as a matter of constitutional doctrine. Since the decision of eleven judges in </w:t>
      </w:r>
      <w:r>
        <w:rPr>
          <w:b/>
          <w:sz w:val="26"/>
        </w:rPr>
        <w:t xml:space="preserve">Rustom Cavasjee Cooper </w:t>
      </w:r>
      <w:r>
        <w:rPr>
          <w:sz w:val="26"/>
        </w:rPr>
        <w:t xml:space="preserve">v </w:t>
      </w:r>
      <w:r>
        <w:rPr>
          <w:b/>
          <w:sz w:val="26"/>
        </w:rPr>
        <w:t>Union of India</w:t>
      </w:r>
      <w:r>
        <w:rPr>
          <w:position w:val="9"/>
          <w:sz w:val="17"/>
        </w:rPr>
        <w:t>2</w:t>
      </w:r>
      <w:r>
        <w:rPr>
          <w:sz w:val="26"/>
        </w:rPr>
        <w:t>, it</w:t>
      </w:r>
      <w:r>
        <w:rPr>
          <w:spacing w:val="-11"/>
          <w:sz w:val="26"/>
        </w:rPr>
        <w:t xml:space="preserve"> </w:t>
      </w:r>
      <w:r>
        <w:rPr>
          <w:sz w:val="26"/>
        </w:rPr>
        <w:t>is</w:t>
      </w:r>
      <w:r>
        <w:rPr>
          <w:spacing w:val="-10"/>
          <w:sz w:val="26"/>
        </w:rPr>
        <w:t xml:space="preserve"> </w:t>
      </w:r>
      <w:r>
        <w:rPr>
          <w:sz w:val="26"/>
        </w:rPr>
        <w:t>now</w:t>
      </w:r>
      <w:r>
        <w:rPr>
          <w:spacing w:val="-14"/>
          <w:sz w:val="26"/>
        </w:rPr>
        <w:t xml:space="preserve"> </w:t>
      </w:r>
      <w:r>
        <w:rPr>
          <w:sz w:val="26"/>
        </w:rPr>
        <w:t>settled</w:t>
      </w:r>
      <w:r>
        <w:rPr>
          <w:spacing w:val="-11"/>
          <w:sz w:val="26"/>
        </w:rPr>
        <w:t xml:space="preserve"> </w:t>
      </w:r>
      <w:r>
        <w:rPr>
          <w:sz w:val="26"/>
        </w:rPr>
        <w:t>doctrine</w:t>
      </w:r>
      <w:r>
        <w:rPr>
          <w:spacing w:val="-12"/>
          <w:sz w:val="26"/>
        </w:rPr>
        <w:t xml:space="preserve"> </w:t>
      </w:r>
      <w:r>
        <w:rPr>
          <w:sz w:val="26"/>
        </w:rPr>
        <w:t>that</w:t>
      </w:r>
      <w:r>
        <w:rPr>
          <w:spacing w:val="-11"/>
          <w:sz w:val="26"/>
        </w:rPr>
        <w:t xml:space="preserve"> </w:t>
      </w:r>
      <w:r>
        <w:rPr>
          <w:sz w:val="26"/>
        </w:rPr>
        <w:t>the</w:t>
      </w:r>
      <w:r>
        <w:rPr>
          <w:spacing w:val="-12"/>
          <w:sz w:val="26"/>
        </w:rPr>
        <w:t xml:space="preserve"> </w:t>
      </w:r>
      <w:r>
        <w:rPr>
          <w:sz w:val="26"/>
        </w:rPr>
        <w:t>fundamental</w:t>
      </w:r>
      <w:r>
        <w:rPr>
          <w:spacing w:val="-11"/>
          <w:sz w:val="26"/>
        </w:rPr>
        <w:t xml:space="preserve"> </w:t>
      </w:r>
      <w:r>
        <w:rPr>
          <w:sz w:val="26"/>
        </w:rPr>
        <w:t>rights</w:t>
      </w:r>
      <w:r>
        <w:rPr>
          <w:spacing w:val="-12"/>
          <w:sz w:val="26"/>
        </w:rPr>
        <w:t xml:space="preserve"> </w:t>
      </w:r>
      <w:r>
        <w:rPr>
          <w:sz w:val="26"/>
        </w:rPr>
        <w:t>contained</w:t>
      </w:r>
      <w:r>
        <w:rPr>
          <w:spacing w:val="-11"/>
          <w:sz w:val="26"/>
        </w:rPr>
        <w:t xml:space="preserve"> </w:t>
      </w:r>
      <w:r>
        <w:rPr>
          <w:sz w:val="26"/>
        </w:rPr>
        <w:t>in</w:t>
      </w:r>
      <w:r>
        <w:rPr>
          <w:spacing w:val="-9"/>
          <w:sz w:val="26"/>
        </w:rPr>
        <w:t xml:space="preserve"> </w:t>
      </w:r>
      <w:r>
        <w:rPr>
          <w:sz w:val="26"/>
        </w:rPr>
        <w:t>Part</w:t>
      </w:r>
      <w:r>
        <w:rPr>
          <w:spacing w:val="-11"/>
          <w:sz w:val="26"/>
        </w:rPr>
        <w:t xml:space="preserve"> </w:t>
      </w:r>
      <w:r>
        <w:rPr>
          <w:sz w:val="26"/>
        </w:rPr>
        <w:t>III</w:t>
      </w:r>
      <w:r>
        <w:rPr>
          <w:spacing w:val="-12"/>
          <w:sz w:val="26"/>
        </w:rPr>
        <w:t xml:space="preserve"> </w:t>
      </w:r>
      <w:r>
        <w:rPr>
          <w:sz w:val="26"/>
        </w:rPr>
        <w:t>are</w:t>
      </w:r>
      <w:r>
        <w:rPr>
          <w:spacing w:val="-11"/>
          <w:sz w:val="26"/>
        </w:rPr>
        <w:t xml:space="preserve"> </w:t>
      </w:r>
      <w:r>
        <w:rPr>
          <w:sz w:val="26"/>
        </w:rPr>
        <w:t xml:space="preserve">not, as it has been said, water-tight compartments. Evolving away from the earlier jurisprudence in </w:t>
      </w:r>
      <w:r>
        <w:rPr>
          <w:b/>
          <w:sz w:val="26"/>
        </w:rPr>
        <w:t xml:space="preserve">A K Gopalan </w:t>
      </w:r>
      <w:r>
        <w:rPr>
          <w:sz w:val="26"/>
        </w:rPr>
        <w:t xml:space="preserve">v </w:t>
      </w:r>
      <w:r>
        <w:rPr>
          <w:b/>
          <w:sz w:val="26"/>
        </w:rPr>
        <w:t>State of Madras</w:t>
      </w:r>
      <w:r>
        <w:rPr>
          <w:position w:val="9"/>
          <w:sz w:val="17"/>
        </w:rPr>
        <w:t xml:space="preserve">3 </w:t>
      </w:r>
      <w:r>
        <w:rPr>
          <w:sz w:val="26"/>
        </w:rPr>
        <w:t>our interpretation of the f</w:t>
      </w:r>
      <w:r>
        <w:rPr>
          <w:sz w:val="26"/>
        </w:rPr>
        <w:t>reedoms is now governed by a sense of realism which notices their open- textured content and indeed, their fluid nature. One freedom shades into and merges with another. Fairness as a guarantee against arbitrary state action influences</w:t>
      </w:r>
      <w:r>
        <w:rPr>
          <w:spacing w:val="12"/>
          <w:sz w:val="26"/>
        </w:rPr>
        <w:t xml:space="preserve"> </w:t>
      </w:r>
      <w:r>
        <w:rPr>
          <w:sz w:val="26"/>
        </w:rPr>
        <w:t>the</w:t>
      </w:r>
      <w:r>
        <w:rPr>
          <w:spacing w:val="12"/>
          <w:sz w:val="26"/>
        </w:rPr>
        <w:t xml:space="preserve"> </w:t>
      </w:r>
      <w:r>
        <w:rPr>
          <w:sz w:val="26"/>
        </w:rPr>
        <w:t>content</w:t>
      </w:r>
      <w:r>
        <w:rPr>
          <w:spacing w:val="12"/>
          <w:sz w:val="26"/>
        </w:rPr>
        <w:t xml:space="preserve"> </w:t>
      </w:r>
      <w:r>
        <w:rPr>
          <w:sz w:val="26"/>
        </w:rPr>
        <w:t>of</w:t>
      </w:r>
      <w:r>
        <w:rPr>
          <w:spacing w:val="15"/>
          <w:sz w:val="26"/>
        </w:rPr>
        <w:t xml:space="preserve"> </w:t>
      </w:r>
      <w:r>
        <w:rPr>
          <w:sz w:val="26"/>
        </w:rPr>
        <w:t>the</w:t>
      </w:r>
      <w:r>
        <w:rPr>
          <w:spacing w:val="13"/>
          <w:sz w:val="26"/>
        </w:rPr>
        <w:t xml:space="preserve"> </w:t>
      </w:r>
      <w:r>
        <w:rPr>
          <w:sz w:val="26"/>
        </w:rPr>
        <w:t>p</w:t>
      </w:r>
      <w:r>
        <w:rPr>
          <w:sz w:val="26"/>
        </w:rPr>
        <w:t>rocedure</w:t>
      </w:r>
      <w:r>
        <w:rPr>
          <w:spacing w:val="12"/>
          <w:sz w:val="26"/>
        </w:rPr>
        <w:t xml:space="preserve"> </w:t>
      </w:r>
      <w:r>
        <w:rPr>
          <w:sz w:val="26"/>
        </w:rPr>
        <w:t>for</w:t>
      </w:r>
      <w:r>
        <w:rPr>
          <w:spacing w:val="12"/>
          <w:sz w:val="26"/>
        </w:rPr>
        <w:t xml:space="preserve"> </w:t>
      </w:r>
      <w:r>
        <w:rPr>
          <w:sz w:val="26"/>
        </w:rPr>
        <w:t>the</w:t>
      </w:r>
      <w:r>
        <w:rPr>
          <w:spacing w:val="14"/>
          <w:sz w:val="26"/>
        </w:rPr>
        <w:t xml:space="preserve"> </w:t>
      </w:r>
      <w:r>
        <w:rPr>
          <w:sz w:val="26"/>
        </w:rPr>
        <w:t>deprivation</w:t>
      </w:r>
      <w:r>
        <w:rPr>
          <w:spacing w:val="14"/>
          <w:sz w:val="26"/>
        </w:rPr>
        <w:t xml:space="preserve"> </w:t>
      </w:r>
      <w:r>
        <w:rPr>
          <w:sz w:val="26"/>
        </w:rPr>
        <w:t>of</w:t>
      </w:r>
      <w:r>
        <w:rPr>
          <w:spacing w:val="15"/>
          <w:sz w:val="26"/>
        </w:rPr>
        <w:t xml:space="preserve"> </w:t>
      </w:r>
      <w:r>
        <w:rPr>
          <w:sz w:val="26"/>
        </w:rPr>
        <w:t>life</w:t>
      </w:r>
      <w:r>
        <w:rPr>
          <w:spacing w:val="12"/>
          <w:sz w:val="26"/>
        </w:rPr>
        <w:t xml:space="preserve"> </w:t>
      </w:r>
      <w:r>
        <w:rPr>
          <w:sz w:val="26"/>
        </w:rPr>
        <w:t>under</w:t>
      </w:r>
      <w:r>
        <w:rPr>
          <w:spacing w:val="13"/>
          <w:sz w:val="26"/>
        </w:rPr>
        <w:t xml:space="preserve"> </w:t>
      </w:r>
      <w:r>
        <w:rPr>
          <w:sz w:val="26"/>
        </w:rPr>
        <w:t>Article</w:t>
      </w:r>
    </w:p>
    <w:p w:rsidR="003B2FC0" w:rsidRDefault="00052A49">
      <w:pPr>
        <w:spacing w:line="480" w:lineRule="auto"/>
        <w:ind w:left="400" w:right="434"/>
        <w:jc w:val="both"/>
        <w:rPr>
          <w:b/>
          <w:sz w:val="26"/>
        </w:rPr>
      </w:pPr>
      <w:r>
        <w:rPr>
          <w:sz w:val="26"/>
        </w:rPr>
        <w:t>21.</w:t>
      </w:r>
      <w:r>
        <w:rPr>
          <w:spacing w:val="-9"/>
          <w:sz w:val="26"/>
        </w:rPr>
        <w:t xml:space="preserve"> </w:t>
      </w:r>
      <w:r>
        <w:rPr>
          <w:sz w:val="26"/>
        </w:rPr>
        <w:t>Though</w:t>
      </w:r>
      <w:r>
        <w:rPr>
          <w:spacing w:val="-9"/>
          <w:sz w:val="26"/>
        </w:rPr>
        <w:t xml:space="preserve"> </w:t>
      </w:r>
      <w:r>
        <w:rPr>
          <w:sz w:val="26"/>
        </w:rPr>
        <w:t>Article</w:t>
      </w:r>
      <w:r>
        <w:rPr>
          <w:spacing w:val="-9"/>
          <w:sz w:val="26"/>
        </w:rPr>
        <w:t xml:space="preserve"> </w:t>
      </w:r>
      <w:r>
        <w:rPr>
          <w:sz w:val="26"/>
        </w:rPr>
        <w:t>21</w:t>
      </w:r>
      <w:r>
        <w:rPr>
          <w:spacing w:val="-7"/>
          <w:sz w:val="26"/>
        </w:rPr>
        <w:t xml:space="preserve"> </w:t>
      </w:r>
      <w:r>
        <w:rPr>
          <w:sz w:val="26"/>
        </w:rPr>
        <w:t>speaks</w:t>
      </w:r>
      <w:r>
        <w:rPr>
          <w:spacing w:val="-9"/>
          <w:sz w:val="26"/>
        </w:rPr>
        <w:t xml:space="preserve"> </w:t>
      </w:r>
      <w:r>
        <w:rPr>
          <w:sz w:val="26"/>
        </w:rPr>
        <w:t>only</w:t>
      </w:r>
      <w:r>
        <w:rPr>
          <w:spacing w:val="-11"/>
          <w:sz w:val="26"/>
        </w:rPr>
        <w:t xml:space="preserve"> </w:t>
      </w:r>
      <w:r>
        <w:rPr>
          <w:sz w:val="26"/>
        </w:rPr>
        <w:t>of</w:t>
      </w:r>
      <w:r>
        <w:rPr>
          <w:spacing w:val="-8"/>
          <w:sz w:val="26"/>
        </w:rPr>
        <w:t xml:space="preserve"> </w:t>
      </w:r>
      <w:r>
        <w:rPr>
          <w:sz w:val="26"/>
        </w:rPr>
        <w:t>the</w:t>
      </w:r>
      <w:r>
        <w:rPr>
          <w:spacing w:val="-9"/>
          <w:sz w:val="26"/>
        </w:rPr>
        <w:t xml:space="preserve"> </w:t>
      </w:r>
      <w:r>
        <w:rPr>
          <w:sz w:val="26"/>
        </w:rPr>
        <w:t>deprivation</w:t>
      </w:r>
      <w:r>
        <w:rPr>
          <w:spacing w:val="-8"/>
          <w:sz w:val="26"/>
        </w:rPr>
        <w:t xml:space="preserve"> </w:t>
      </w:r>
      <w:r>
        <w:rPr>
          <w:sz w:val="26"/>
        </w:rPr>
        <w:t>of</w:t>
      </w:r>
      <w:r>
        <w:rPr>
          <w:spacing w:val="-9"/>
          <w:sz w:val="26"/>
        </w:rPr>
        <w:t xml:space="preserve"> </w:t>
      </w:r>
      <w:r>
        <w:rPr>
          <w:sz w:val="26"/>
        </w:rPr>
        <w:t>life</w:t>
      </w:r>
      <w:r>
        <w:rPr>
          <w:spacing w:val="-9"/>
          <w:sz w:val="26"/>
        </w:rPr>
        <w:t xml:space="preserve"> </w:t>
      </w:r>
      <w:r>
        <w:rPr>
          <w:sz w:val="26"/>
        </w:rPr>
        <w:t>or</w:t>
      </w:r>
      <w:r>
        <w:rPr>
          <w:spacing w:val="-9"/>
          <w:sz w:val="26"/>
        </w:rPr>
        <w:t xml:space="preserve"> </w:t>
      </w:r>
      <w:r>
        <w:rPr>
          <w:sz w:val="26"/>
        </w:rPr>
        <w:t>personal</w:t>
      </w:r>
      <w:r>
        <w:rPr>
          <w:spacing w:val="-9"/>
          <w:sz w:val="26"/>
        </w:rPr>
        <w:t xml:space="preserve"> </w:t>
      </w:r>
      <w:r>
        <w:rPr>
          <w:sz w:val="26"/>
        </w:rPr>
        <w:t>liberty</w:t>
      </w:r>
      <w:r>
        <w:rPr>
          <w:spacing w:val="-11"/>
          <w:sz w:val="26"/>
        </w:rPr>
        <w:t xml:space="preserve"> </w:t>
      </w:r>
      <w:r>
        <w:rPr>
          <w:sz w:val="26"/>
        </w:rPr>
        <w:t>by a</w:t>
      </w:r>
      <w:r>
        <w:rPr>
          <w:spacing w:val="27"/>
          <w:sz w:val="26"/>
        </w:rPr>
        <w:t xml:space="preserve"> </w:t>
      </w:r>
      <w:r>
        <w:rPr>
          <w:sz w:val="26"/>
        </w:rPr>
        <w:t>procedure</w:t>
      </w:r>
      <w:r>
        <w:rPr>
          <w:spacing w:val="29"/>
          <w:sz w:val="26"/>
        </w:rPr>
        <w:t xml:space="preserve"> </w:t>
      </w:r>
      <w:r>
        <w:rPr>
          <w:sz w:val="26"/>
        </w:rPr>
        <w:t>established</w:t>
      </w:r>
      <w:r>
        <w:rPr>
          <w:spacing w:val="27"/>
          <w:sz w:val="26"/>
        </w:rPr>
        <w:t xml:space="preserve"> </w:t>
      </w:r>
      <w:r>
        <w:rPr>
          <w:sz w:val="26"/>
        </w:rPr>
        <w:t>by</w:t>
      </w:r>
      <w:r>
        <w:rPr>
          <w:spacing w:val="27"/>
          <w:sz w:val="26"/>
        </w:rPr>
        <w:t xml:space="preserve"> </w:t>
      </w:r>
      <w:r>
        <w:rPr>
          <w:sz w:val="26"/>
        </w:rPr>
        <w:t>law,</w:t>
      </w:r>
      <w:r>
        <w:rPr>
          <w:spacing w:val="29"/>
          <w:sz w:val="26"/>
        </w:rPr>
        <w:t xml:space="preserve"> </w:t>
      </w:r>
      <w:r>
        <w:rPr>
          <w:sz w:val="26"/>
        </w:rPr>
        <w:t>decisions</w:t>
      </w:r>
      <w:r>
        <w:rPr>
          <w:spacing w:val="27"/>
          <w:sz w:val="26"/>
        </w:rPr>
        <w:t xml:space="preserve"> </w:t>
      </w:r>
      <w:r>
        <w:rPr>
          <w:sz w:val="26"/>
        </w:rPr>
        <w:t>from</w:t>
      </w:r>
      <w:r>
        <w:rPr>
          <w:spacing w:val="31"/>
          <w:sz w:val="26"/>
        </w:rPr>
        <w:t xml:space="preserve"> </w:t>
      </w:r>
      <w:r>
        <w:rPr>
          <w:b/>
          <w:sz w:val="26"/>
        </w:rPr>
        <w:t>Maneka</w:t>
      </w:r>
      <w:r>
        <w:rPr>
          <w:b/>
          <w:spacing w:val="30"/>
          <w:sz w:val="26"/>
        </w:rPr>
        <w:t xml:space="preserve"> </w:t>
      </w:r>
      <w:r>
        <w:rPr>
          <w:b/>
          <w:sz w:val="26"/>
        </w:rPr>
        <w:t>Gandhi</w:t>
      </w:r>
      <w:r>
        <w:rPr>
          <w:b/>
          <w:spacing w:val="30"/>
          <w:sz w:val="26"/>
        </w:rPr>
        <w:t xml:space="preserve"> </w:t>
      </w:r>
      <w:r>
        <w:rPr>
          <w:sz w:val="26"/>
        </w:rPr>
        <w:t>v</w:t>
      </w:r>
      <w:r>
        <w:rPr>
          <w:spacing w:val="27"/>
          <w:sz w:val="26"/>
        </w:rPr>
        <w:t xml:space="preserve"> </w:t>
      </w:r>
      <w:r>
        <w:rPr>
          <w:b/>
          <w:sz w:val="26"/>
        </w:rPr>
        <w:t>Union</w:t>
      </w:r>
      <w:r>
        <w:rPr>
          <w:b/>
          <w:spacing w:val="29"/>
          <w:sz w:val="26"/>
        </w:rPr>
        <w:t xml:space="preserve"> </w:t>
      </w:r>
      <w:r>
        <w:rPr>
          <w:b/>
          <w:sz w:val="26"/>
        </w:rPr>
        <w:t>of</w:t>
      </w:r>
    </w:p>
    <w:p w:rsidR="003B2FC0" w:rsidRDefault="003B2FC0">
      <w:pPr>
        <w:spacing w:before="5"/>
        <w:rPr>
          <w:b/>
          <w:sz w:val="10"/>
        </w:rPr>
      </w:pPr>
      <w:r w:rsidRPr="003B2FC0">
        <w:pict>
          <v:line id="_x0000_s1136" style="position:absolute;z-index:-251589120;mso-wrap-distance-left:0;mso-wrap-distance-right:0;mso-position-horizontal-relative:page" from="1in,8.4pt" to="216.05pt,8.4pt" strokeweight=".72pt">
            <w10:wrap type="topAndBottom" anchorx="page"/>
          </v:line>
        </w:pict>
      </w:r>
    </w:p>
    <w:p w:rsidR="003B2FC0" w:rsidRDefault="00052A49">
      <w:pPr>
        <w:spacing w:before="66" w:line="210" w:lineRule="exact"/>
        <w:ind w:left="400"/>
        <w:rPr>
          <w:sz w:val="18"/>
        </w:rPr>
      </w:pPr>
      <w:r>
        <w:rPr>
          <w:position w:val="6"/>
          <w:sz w:val="12"/>
        </w:rPr>
        <w:t>2</w:t>
      </w:r>
      <w:r>
        <w:rPr>
          <w:sz w:val="18"/>
        </w:rPr>
        <w:t>(1970) 1 SCC 248</w:t>
      </w:r>
    </w:p>
    <w:p w:rsidR="003B2FC0" w:rsidRDefault="00052A49">
      <w:pPr>
        <w:spacing w:line="210" w:lineRule="exact"/>
        <w:ind w:left="400"/>
        <w:rPr>
          <w:sz w:val="18"/>
        </w:rPr>
      </w:pPr>
      <w:r>
        <w:rPr>
          <w:position w:val="6"/>
          <w:sz w:val="12"/>
        </w:rPr>
        <w:t xml:space="preserve">3 </w:t>
      </w:r>
      <w:r>
        <w:rPr>
          <w:sz w:val="18"/>
        </w:rPr>
        <w:t>1950 SCR 88</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spacing w:before="97" w:line="480" w:lineRule="auto"/>
        <w:ind w:left="400" w:right="431"/>
        <w:jc w:val="both"/>
        <w:rPr>
          <w:sz w:val="26"/>
        </w:rPr>
      </w:pPr>
      <w:r>
        <w:rPr>
          <w:b/>
          <w:sz w:val="26"/>
        </w:rPr>
        <w:t>India</w:t>
      </w:r>
      <w:r>
        <w:rPr>
          <w:position w:val="9"/>
          <w:sz w:val="17"/>
        </w:rPr>
        <w:t>4</w:t>
      </w:r>
      <w:r>
        <w:rPr>
          <w:sz w:val="26"/>
        </w:rPr>
        <w:t>, (</w:t>
      </w:r>
      <w:r>
        <w:rPr>
          <w:b/>
          <w:sz w:val="26"/>
        </w:rPr>
        <w:t>“Maneka”</w:t>
      </w:r>
      <w:r>
        <w:rPr>
          <w:sz w:val="26"/>
        </w:rPr>
        <w:t>) have expounded that the law must have a content which is reasonable.</w:t>
      </w:r>
      <w:r>
        <w:rPr>
          <w:spacing w:val="-11"/>
          <w:sz w:val="26"/>
        </w:rPr>
        <w:t xml:space="preserve"> </w:t>
      </w:r>
      <w:r>
        <w:rPr>
          <w:sz w:val="26"/>
        </w:rPr>
        <w:t>The</w:t>
      </w:r>
      <w:r>
        <w:rPr>
          <w:spacing w:val="-12"/>
          <w:sz w:val="26"/>
        </w:rPr>
        <w:t xml:space="preserve"> </w:t>
      </w:r>
      <w:r>
        <w:rPr>
          <w:sz w:val="26"/>
        </w:rPr>
        <w:t>procedure</w:t>
      </w:r>
      <w:r>
        <w:rPr>
          <w:spacing w:val="-11"/>
          <w:sz w:val="26"/>
        </w:rPr>
        <w:t xml:space="preserve"> </w:t>
      </w:r>
      <w:r>
        <w:rPr>
          <w:sz w:val="26"/>
        </w:rPr>
        <w:t>for</w:t>
      </w:r>
      <w:r>
        <w:rPr>
          <w:spacing w:val="-11"/>
          <w:sz w:val="26"/>
        </w:rPr>
        <w:t xml:space="preserve"> </w:t>
      </w:r>
      <w:r>
        <w:rPr>
          <w:sz w:val="26"/>
        </w:rPr>
        <w:t>deprivation</w:t>
      </w:r>
      <w:r>
        <w:rPr>
          <w:spacing w:val="-9"/>
          <w:sz w:val="26"/>
        </w:rPr>
        <w:t xml:space="preserve"> </w:t>
      </w:r>
      <w:r>
        <w:rPr>
          <w:sz w:val="26"/>
        </w:rPr>
        <w:t>must</w:t>
      </w:r>
      <w:r>
        <w:rPr>
          <w:spacing w:val="-11"/>
          <w:sz w:val="26"/>
        </w:rPr>
        <w:t xml:space="preserve"> </w:t>
      </w:r>
      <w:r>
        <w:rPr>
          <w:sz w:val="26"/>
        </w:rPr>
        <w:t>be</w:t>
      </w:r>
      <w:r>
        <w:rPr>
          <w:spacing w:val="-12"/>
          <w:sz w:val="26"/>
        </w:rPr>
        <w:t xml:space="preserve"> </w:t>
      </w:r>
      <w:r>
        <w:rPr>
          <w:sz w:val="26"/>
        </w:rPr>
        <w:t>free</w:t>
      </w:r>
      <w:r>
        <w:rPr>
          <w:spacing w:val="-12"/>
          <w:sz w:val="26"/>
        </w:rPr>
        <w:t xml:space="preserve"> </w:t>
      </w:r>
      <w:r>
        <w:rPr>
          <w:sz w:val="26"/>
        </w:rPr>
        <w:t>of</w:t>
      </w:r>
      <w:r>
        <w:rPr>
          <w:spacing w:val="-11"/>
          <w:sz w:val="26"/>
        </w:rPr>
        <w:t xml:space="preserve"> </w:t>
      </w:r>
      <w:r>
        <w:rPr>
          <w:sz w:val="26"/>
        </w:rPr>
        <w:t>the</w:t>
      </w:r>
      <w:r>
        <w:rPr>
          <w:spacing w:val="-10"/>
          <w:sz w:val="26"/>
        </w:rPr>
        <w:t xml:space="preserve"> </w:t>
      </w:r>
      <w:r>
        <w:rPr>
          <w:sz w:val="26"/>
        </w:rPr>
        <w:t>taint</w:t>
      </w:r>
      <w:r>
        <w:rPr>
          <w:spacing w:val="-10"/>
          <w:sz w:val="26"/>
        </w:rPr>
        <w:t xml:space="preserve"> </w:t>
      </w:r>
      <w:r>
        <w:rPr>
          <w:sz w:val="26"/>
        </w:rPr>
        <w:t>of</w:t>
      </w:r>
      <w:r>
        <w:rPr>
          <w:spacing w:val="-12"/>
          <w:sz w:val="26"/>
        </w:rPr>
        <w:t xml:space="preserve"> </w:t>
      </w:r>
      <w:r>
        <w:rPr>
          <w:sz w:val="26"/>
        </w:rPr>
        <w:t>that</w:t>
      </w:r>
      <w:r>
        <w:rPr>
          <w:spacing w:val="-9"/>
          <w:sz w:val="26"/>
        </w:rPr>
        <w:t xml:space="preserve"> </w:t>
      </w:r>
      <w:r>
        <w:rPr>
          <w:sz w:val="26"/>
        </w:rPr>
        <w:t>which is arbitrary. This reading of the fundamental rights as constellations emanating from a cosmos of freedom and as having paths which intersect and merge enhances the value of freedom itself. Though the principal provision relating to equality</w:t>
      </w:r>
      <w:r>
        <w:rPr>
          <w:spacing w:val="-7"/>
          <w:sz w:val="26"/>
        </w:rPr>
        <w:t xml:space="preserve"> </w:t>
      </w:r>
      <w:r>
        <w:rPr>
          <w:sz w:val="26"/>
        </w:rPr>
        <w:t>before</w:t>
      </w:r>
      <w:r>
        <w:rPr>
          <w:spacing w:val="-5"/>
          <w:sz w:val="26"/>
        </w:rPr>
        <w:t xml:space="preserve"> </w:t>
      </w:r>
      <w:r>
        <w:rPr>
          <w:sz w:val="26"/>
        </w:rPr>
        <w:t>t</w:t>
      </w:r>
      <w:r>
        <w:rPr>
          <w:sz w:val="26"/>
        </w:rPr>
        <w:t>he</w:t>
      </w:r>
      <w:r>
        <w:rPr>
          <w:spacing w:val="-5"/>
          <w:sz w:val="26"/>
        </w:rPr>
        <w:t xml:space="preserve"> </w:t>
      </w:r>
      <w:r>
        <w:rPr>
          <w:sz w:val="26"/>
        </w:rPr>
        <w:t>law</w:t>
      </w:r>
      <w:r>
        <w:rPr>
          <w:spacing w:val="-6"/>
          <w:sz w:val="26"/>
        </w:rPr>
        <w:t xml:space="preserve"> </w:t>
      </w:r>
      <w:r>
        <w:rPr>
          <w:sz w:val="26"/>
        </w:rPr>
        <w:t>is</w:t>
      </w:r>
      <w:r>
        <w:rPr>
          <w:spacing w:val="-4"/>
          <w:sz w:val="26"/>
        </w:rPr>
        <w:t xml:space="preserve"> </w:t>
      </w:r>
      <w:r>
        <w:rPr>
          <w:sz w:val="26"/>
        </w:rPr>
        <w:t>embodied</w:t>
      </w:r>
      <w:r>
        <w:rPr>
          <w:spacing w:val="-5"/>
          <w:sz w:val="26"/>
        </w:rPr>
        <w:t xml:space="preserve"> </w:t>
      </w:r>
      <w:r>
        <w:rPr>
          <w:sz w:val="26"/>
        </w:rPr>
        <w:t>in</w:t>
      </w:r>
      <w:r>
        <w:rPr>
          <w:spacing w:val="-5"/>
          <w:sz w:val="26"/>
        </w:rPr>
        <w:t xml:space="preserve"> </w:t>
      </w:r>
      <w:r>
        <w:rPr>
          <w:sz w:val="26"/>
        </w:rPr>
        <w:t>Article</w:t>
      </w:r>
      <w:r>
        <w:rPr>
          <w:spacing w:val="-6"/>
          <w:sz w:val="26"/>
        </w:rPr>
        <w:t xml:space="preserve"> </w:t>
      </w:r>
      <w:r>
        <w:rPr>
          <w:sz w:val="26"/>
        </w:rPr>
        <w:t>14,</w:t>
      </w:r>
      <w:r>
        <w:rPr>
          <w:spacing w:val="-2"/>
          <w:sz w:val="26"/>
        </w:rPr>
        <w:t xml:space="preserve"> </w:t>
      </w:r>
      <w:r>
        <w:rPr>
          <w:sz w:val="26"/>
        </w:rPr>
        <w:t>the</w:t>
      </w:r>
      <w:r>
        <w:rPr>
          <w:spacing w:val="-6"/>
          <w:sz w:val="26"/>
        </w:rPr>
        <w:t xml:space="preserve"> </w:t>
      </w:r>
      <w:r>
        <w:rPr>
          <w:sz w:val="26"/>
        </w:rPr>
        <w:t>four</w:t>
      </w:r>
      <w:r>
        <w:rPr>
          <w:spacing w:val="-3"/>
          <w:sz w:val="26"/>
        </w:rPr>
        <w:t xml:space="preserve"> </w:t>
      </w:r>
      <w:r>
        <w:rPr>
          <w:sz w:val="26"/>
        </w:rPr>
        <w:t>articles</w:t>
      </w:r>
      <w:r>
        <w:rPr>
          <w:spacing w:val="-4"/>
          <w:sz w:val="26"/>
        </w:rPr>
        <w:t xml:space="preserve"> </w:t>
      </w:r>
      <w:r>
        <w:rPr>
          <w:sz w:val="26"/>
        </w:rPr>
        <w:t>which</w:t>
      </w:r>
      <w:r>
        <w:rPr>
          <w:spacing w:val="-7"/>
          <w:sz w:val="26"/>
        </w:rPr>
        <w:t xml:space="preserve"> </w:t>
      </w:r>
      <w:r>
        <w:rPr>
          <w:sz w:val="26"/>
        </w:rPr>
        <w:t>follow</w:t>
      </w:r>
      <w:r>
        <w:rPr>
          <w:spacing w:val="-7"/>
          <w:sz w:val="26"/>
        </w:rPr>
        <w:t xml:space="preserve"> </w:t>
      </w:r>
      <w:r>
        <w:rPr>
          <w:sz w:val="26"/>
        </w:rPr>
        <w:t>it are a manifestation of its basic doctrines. Article 15 in outlawing discrimination on grounds of religion, race, caste, sex and place of birth is but a</w:t>
      </w:r>
      <w:r>
        <w:rPr>
          <w:spacing w:val="-31"/>
          <w:sz w:val="26"/>
        </w:rPr>
        <w:t xml:space="preserve"> </w:t>
      </w:r>
      <w:r>
        <w:rPr>
          <w:sz w:val="26"/>
        </w:rPr>
        <w:t xml:space="preserve">manifestation of equality. Equality </w:t>
      </w:r>
      <w:r>
        <w:rPr>
          <w:sz w:val="26"/>
        </w:rPr>
        <w:t>in matters of public employment under Article 16 is a facet of the basic postulate of equality. Article 17 gives expression to equality in abolishing untouchability: a practice fundamentally at odds to the notion of an equal society. Titles which place som</w:t>
      </w:r>
      <w:r>
        <w:rPr>
          <w:sz w:val="26"/>
        </w:rPr>
        <w:t>e citizens above others are abolished by Article 18 in manifesting yet another aspect of equality. As we have seen, a fundamental notion of equality is embodied in Article 25(1) itself when it</w:t>
      </w:r>
      <w:r>
        <w:rPr>
          <w:spacing w:val="-49"/>
          <w:sz w:val="26"/>
        </w:rPr>
        <w:t xml:space="preserve"> </w:t>
      </w:r>
      <w:r>
        <w:rPr>
          <w:sz w:val="26"/>
        </w:rPr>
        <w:t xml:space="preserve">speaks of an </w:t>
      </w:r>
      <w:r>
        <w:rPr>
          <w:b/>
          <w:sz w:val="26"/>
        </w:rPr>
        <w:t xml:space="preserve">equal </w:t>
      </w:r>
      <w:r>
        <w:rPr>
          <w:sz w:val="26"/>
        </w:rPr>
        <w:t xml:space="preserve">entitlement to freely practice, profess and </w:t>
      </w:r>
      <w:r>
        <w:rPr>
          <w:sz w:val="26"/>
        </w:rPr>
        <w:t>propagate religion. This sense of equality permeates the other guarantees of fundamental freedoms as well. Article 19 recognises six freedoms as an entitlement “of all citizens”. Recognizing that a right inheres in all citizens is a constitutional affirmat</w:t>
      </w:r>
      <w:r>
        <w:rPr>
          <w:sz w:val="26"/>
        </w:rPr>
        <w:t>ion</w:t>
      </w:r>
      <w:r>
        <w:rPr>
          <w:spacing w:val="-28"/>
          <w:sz w:val="26"/>
        </w:rPr>
        <w:t xml:space="preserve"> </w:t>
      </w:r>
      <w:r>
        <w:rPr>
          <w:sz w:val="26"/>
        </w:rPr>
        <w:t>that every citizen, without exception or discrimination of any kind is entitled to</w:t>
      </w:r>
      <w:r>
        <w:rPr>
          <w:spacing w:val="-28"/>
          <w:sz w:val="26"/>
        </w:rPr>
        <w:t xml:space="preserve"> </w:t>
      </w:r>
      <w:r>
        <w:rPr>
          <w:sz w:val="26"/>
        </w:rPr>
        <w:t>those freedoms.</w:t>
      </w:r>
      <w:r>
        <w:rPr>
          <w:spacing w:val="-19"/>
          <w:sz w:val="26"/>
        </w:rPr>
        <w:t xml:space="preserve"> </w:t>
      </w:r>
      <w:r>
        <w:rPr>
          <w:sz w:val="26"/>
        </w:rPr>
        <w:t>Then</w:t>
      </w:r>
      <w:r>
        <w:rPr>
          <w:spacing w:val="-18"/>
          <w:sz w:val="26"/>
        </w:rPr>
        <w:t xml:space="preserve"> </w:t>
      </w:r>
      <w:r>
        <w:rPr>
          <w:sz w:val="26"/>
        </w:rPr>
        <w:t>again,</w:t>
      </w:r>
      <w:r>
        <w:rPr>
          <w:spacing w:val="-19"/>
          <w:sz w:val="26"/>
        </w:rPr>
        <w:t xml:space="preserve"> </w:t>
      </w:r>
      <w:r>
        <w:rPr>
          <w:sz w:val="26"/>
        </w:rPr>
        <w:t>the</w:t>
      </w:r>
      <w:r>
        <w:rPr>
          <w:spacing w:val="-18"/>
          <w:sz w:val="26"/>
        </w:rPr>
        <w:t xml:space="preserve"> </w:t>
      </w:r>
      <w:r>
        <w:rPr>
          <w:sz w:val="26"/>
        </w:rPr>
        <w:t>restrictions</w:t>
      </w:r>
      <w:r>
        <w:rPr>
          <w:spacing w:val="-19"/>
          <w:sz w:val="26"/>
        </w:rPr>
        <w:t xml:space="preserve"> </w:t>
      </w:r>
      <w:r>
        <w:rPr>
          <w:sz w:val="26"/>
        </w:rPr>
        <w:t>on</w:t>
      </w:r>
      <w:r>
        <w:rPr>
          <w:spacing w:val="-18"/>
          <w:sz w:val="26"/>
        </w:rPr>
        <w:t xml:space="preserve"> </w:t>
      </w:r>
      <w:r>
        <w:rPr>
          <w:sz w:val="26"/>
        </w:rPr>
        <w:t>the</w:t>
      </w:r>
      <w:r>
        <w:rPr>
          <w:spacing w:val="-19"/>
          <w:sz w:val="26"/>
        </w:rPr>
        <w:t xml:space="preserve"> </w:t>
      </w:r>
      <w:r>
        <w:rPr>
          <w:sz w:val="26"/>
        </w:rPr>
        <w:t>freedoms</w:t>
      </w:r>
      <w:r>
        <w:rPr>
          <w:spacing w:val="-19"/>
          <w:sz w:val="26"/>
        </w:rPr>
        <w:t xml:space="preserve"> </w:t>
      </w:r>
      <w:r>
        <w:rPr>
          <w:sz w:val="26"/>
        </w:rPr>
        <w:t>contemplated</w:t>
      </w:r>
      <w:r>
        <w:rPr>
          <w:spacing w:val="-18"/>
          <w:sz w:val="26"/>
        </w:rPr>
        <w:t xml:space="preserve"> </w:t>
      </w:r>
      <w:r>
        <w:rPr>
          <w:sz w:val="26"/>
        </w:rPr>
        <w:t>by</w:t>
      </w:r>
      <w:r>
        <w:rPr>
          <w:spacing w:val="-19"/>
          <w:sz w:val="26"/>
        </w:rPr>
        <w:t xml:space="preserve"> </w:t>
      </w:r>
      <w:r>
        <w:rPr>
          <w:sz w:val="26"/>
        </w:rPr>
        <w:t>Articles 19(2) to (6) have to be reasonable. Reasonableness is a facet of equality. The equal</w:t>
      </w:r>
      <w:r>
        <w:rPr>
          <w:spacing w:val="31"/>
          <w:sz w:val="26"/>
        </w:rPr>
        <w:t xml:space="preserve"> </w:t>
      </w:r>
      <w:r>
        <w:rPr>
          <w:sz w:val="26"/>
        </w:rPr>
        <w:t>application</w:t>
      </w:r>
      <w:r>
        <w:rPr>
          <w:spacing w:val="30"/>
          <w:sz w:val="26"/>
        </w:rPr>
        <w:t xml:space="preserve"> </w:t>
      </w:r>
      <w:r>
        <w:rPr>
          <w:sz w:val="26"/>
        </w:rPr>
        <w:t>of</w:t>
      </w:r>
      <w:r>
        <w:rPr>
          <w:spacing w:val="34"/>
          <w:sz w:val="26"/>
        </w:rPr>
        <w:t xml:space="preserve"> </w:t>
      </w:r>
      <w:r>
        <w:rPr>
          <w:sz w:val="26"/>
        </w:rPr>
        <w:t>law</w:t>
      </w:r>
      <w:r>
        <w:rPr>
          <w:spacing w:val="27"/>
          <w:sz w:val="26"/>
        </w:rPr>
        <w:t xml:space="preserve"> </w:t>
      </w:r>
      <w:r>
        <w:rPr>
          <w:sz w:val="26"/>
        </w:rPr>
        <w:t>to</w:t>
      </w:r>
      <w:r>
        <w:rPr>
          <w:spacing w:val="32"/>
          <w:sz w:val="26"/>
        </w:rPr>
        <w:t xml:space="preserve"> </w:t>
      </w:r>
      <w:r>
        <w:rPr>
          <w:sz w:val="26"/>
        </w:rPr>
        <w:t>persons</w:t>
      </w:r>
      <w:r>
        <w:rPr>
          <w:spacing w:val="31"/>
          <w:sz w:val="26"/>
        </w:rPr>
        <w:t xml:space="preserve"> </w:t>
      </w:r>
      <w:r>
        <w:rPr>
          <w:sz w:val="26"/>
        </w:rPr>
        <w:t>similarly</w:t>
      </w:r>
      <w:r>
        <w:rPr>
          <w:spacing w:val="28"/>
          <w:sz w:val="26"/>
        </w:rPr>
        <w:t xml:space="preserve"> </w:t>
      </w:r>
      <w:r>
        <w:rPr>
          <w:sz w:val="26"/>
        </w:rPr>
        <w:t>circumstanced</w:t>
      </w:r>
      <w:r>
        <w:rPr>
          <w:spacing w:val="29"/>
          <w:sz w:val="26"/>
        </w:rPr>
        <w:t xml:space="preserve"> </w:t>
      </w:r>
      <w:r>
        <w:rPr>
          <w:sz w:val="26"/>
        </w:rPr>
        <w:t>is</w:t>
      </w:r>
      <w:r>
        <w:rPr>
          <w:spacing w:val="30"/>
          <w:sz w:val="26"/>
        </w:rPr>
        <w:t xml:space="preserve"> </w:t>
      </w:r>
      <w:r>
        <w:rPr>
          <w:sz w:val="26"/>
        </w:rPr>
        <w:t>a</w:t>
      </w:r>
      <w:r>
        <w:rPr>
          <w:spacing w:val="29"/>
          <w:sz w:val="26"/>
        </w:rPr>
        <w:t xml:space="preserve"> </w:t>
      </w:r>
      <w:r>
        <w:rPr>
          <w:sz w:val="26"/>
        </w:rPr>
        <w:t>fundamental</w:t>
      </w:r>
    </w:p>
    <w:p w:rsidR="003B2FC0" w:rsidRDefault="003B2FC0">
      <w:pPr>
        <w:rPr>
          <w:sz w:val="20"/>
        </w:rPr>
      </w:pPr>
    </w:p>
    <w:p w:rsidR="003B2FC0" w:rsidRDefault="003B2FC0">
      <w:pPr>
        <w:spacing w:before="6"/>
        <w:rPr>
          <w:sz w:val="18"/>
        </w:rPr>
      </w:pPr>
      <w:r w:rsidRPr="003B2FC0">
        <w:pict>
          <v:line id="_x0000_s1135" style="position:absolute;z-index:-251588096;mso-wrap-distance-left:0;mso-wrap-distance-right:0;mso-position-horizontal-relative:page" from="1in,13.05pt" to="216.05pt,13.05pt" strokeweight=".72pt">
            <w10:wrap type="topAndBottom" anchorx="page"/>
          </v:line>
        </w:pict>
      </w:r>
    </w:p>
    <w:p w:rsidR="003B2FC0" w:rsidRDefault="00052A49">
      <w:pPr>
        <w:spacing w:before="66"/>
        <w:ind w:left="400"/>
        <w:rPr>
          <w:sz w:val="18"/>
        </w:rPr>
      </w:pPr>
      <w:r>
        <w:rPr>
          <w:position w:val="6"/>
          <w:sz w:val="12"/>
        </w:rPr>
        <w:t xml:space="preserve">4 </w:t>
      </w:r>
      <w:r>
        <w:rPr>
          <w:sz w:val="18"/>
        </w:rPr>
        <w:t>(1978) 1 SCC 248</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postulate</w:t>
      </w:r>
      <w:r>
        <w:rPr>
          <w:spacing w:val="-12"/>
          <w:sz w:val="26"/>
        </w:rPr>
        <w:t xml:space="preserve"> </w:t>
      </w:r>
      <w:r>
        <w:rPr>
          <w:sz w:val="26"/>
        </w:rPr>
        <w:t>of</w:t>
      </w:r>
      <w:r>
        <w:rPr>
          <w:spacing w:val="-10"/>
          <w:sz w:val="26"/>
        </w:rPr>
        <w:t xml:space="preserve"> </w:t>
      </w:r>
      <w:r>
        <w:rPr>
          <w:sz w:val="26"/>
        </w:rPr>
        <w:t>the</w:t>
      </w:r>
      <w:r>
        <w:rPr>
          <w:spacing w:val="-10"/>
          <w:sz w:val="26"/>
        </w:rPr>
        <w:t xml:space="preserve"> </w:t>
      </w:r>
      <w:r>
        <w:rPr>
          <w:sz w:val="26"/>
        </w:rPr>
        <w:t>protections</w:t>
      </w:r>
      <w:r>
        <w:rPr>
          <w:spacing w:val="-9"/>
          <w:sz w:val="26"/>
        </w:rPr>
        <w:t xml:space="preserve"> </w:t>
      </w:r>
      <w:r>
        <w:rPr>
          <w:sz w:val="26"/>
        </w:rPr>
        <w:t>which</w:t>
      </w:r>
      <w:r>
        <w:rPr>
          <w:spacing w:val="-10"/>
          <w:sz w:val="26"/>
        </w:rPr>
        <w:t xml:space="preserve"> </w:t>
      </w:r>
      <w:r>
        <w:rPr>
          <w:sz w:val="26"/>
        </w:rPr>
        <w:t>are</w:t>
      </w:r>
      <w:r>
        <w:rPr>
          <w:spacing w:val="-10"/>
          <w:sz w:val="26"/>
        </w:rPr>
        <w:t xml:space="preserve"> </w:t>
      </w:r>
      <w:r>
        <w:rPr>
          <w:sz w:val="26"/>
        </w:rPr>
        <w:t>conferred</w:t>
      </w:r>
      <w:r>
        <w:rPr>
          <w:spacing w:val="-9"/>
          <w:sz w:val="26"/>
        </w:rPr>
        <w:t xml:space="preserve"> </w:t>
      </w:r>
      <w:r>
        <w:rPr>
          <w:sz w:val="26"/>
        </w:rPr>
        <w:t>by</w:t>
      </w:r>
      <w:r>
        <w:rPr>
          <w:spacing w:val="-14"/>
          <w:sz w:val="26"/>
        </w:rPr>
        <w:t xml:space="preserve"> </w:t>
      </w:r>
      <w:r>
        <w:rPr>
          <w:sz w:val="26"/>
        </w:rPr>
        <w:t>Articles</w:t>
      </w:r>
      <w:r>
        <w:rPr>
          <w:spacing w:val="-9"/>
          <w:sz w:val="26"/>
        </w:rPr>
        <w:t xml:space="preserve"> </w:t>
      </w:r>
      <w:r>
        <w:rPr>
          <w:sz w:val="26"/>
        </w:rPr>
        <w:t>20,</w:t>
      </w:r>
      <w:r>
        <w:rPr>
          <w:spacing w:val="-7"/>
          <w:sz w:val="26"/>
        </w:rPr>
        <w:t xml:space="preserve"> </w:t>
      </w:r>
      <w:r>
        <w:rPr>
          <w:sz w:val="26"/>
        </w:rPr>
        <w:t>21</w:t>
      </w:r>
      <w:r>
        <w:rPr>
          <w:spacing w:val="-12"/>
          <w:sz w:val="26"/>
        </w:rPr>
        <w:t xml:space="preserve"> </w:t>
      </w:r>
      <w:r>
        <w:rPr>
          <w:sz w:val="26"/>
        </w:rPr>
        <w:t>and</w:t>
      </w:r>
      <w:r>
        <w:rPr>
          <w:spacing w:val="-12"/>
          <w:sz w:val="26"/>
        </w:rPr>
        <w:t xml:space="preserve"> </w:t>
      </w:r>
      <w:r>
        <w:rPr>
          <w:sz w:val="26"/>
        </w:rPr>
        <w:t>22.</w:t>
      </w:r>
      <w:r>
        <w:rPr>
          <w:spacing w:val="-12"/>
          <w:sz w:val="26"/>
        </w:rPr>
        <w:t xml:space="preserve"> </w:t>
      </w:r>
      <w:r>
        <w:rPr>
          <w:sz w:val="26"/>
        </w:rPr>
        <w:t>Thus the</w:t>
      </w:r>
      <w:r>
        <w:rPr>
          <w:spacing w:val="-16"/>
          <w:sz w:val="26"/>
        </w:rPr>
        <w:t xml:space="preserve"> </w:t>
      </w:r>
      <w:r>
        <w:rPr>
          <w:sz w:val="26"/>
        </w:rPr>
        <w:t>principle</w:t>
      </w:r>
      <w:r>
        <w:rPr>
          <w:spacing w:val="-14"/>
          <w:sz w:val="26"/>
        </w:rPr>
        <w:t xml:space="preserve"> </w:t>
      </w:r>
      <w:r>
        <w:rPr>
          <w:sz w:val="26"/>
        </w:rPr>
        <w:t>which</w:t>
      </w:r>
      <w:r>
        <w:rPr>
          <w:spacing w:val="-14"/>
          <w:sz w:val="26"/>
        </w:rPr>
        <w:t xml:space="preserve"> </w:t>
      </w:r>
      <w:r>
        <w:rPr>
          <w:sz w:val="26"/>
        </w:rPr>
        <w:t>has</w:t>
      </w:r>
      <w:r>
        <w:rPr>
          <w:spacing w:val="-16"/>
          <w:sz w:val="26"/>
        </w:rPr>
        <w:t xml:space="preserve"> </w:t>
      </w:r>
      <w:r>
        <w:rPr>
          <w:sz w:val="26"/>
        </w:rPr>
        <w:t>become</w:t>
      </w:r>
      <w:r>
        <w:rPr>
          <w:spacing w:val="-15"/>
          <w:sz w:val="26"/>
        </w:rPr>
        <w:t xml:space="preserve"> </w:t>
      </w:r>
      <w:r>
        <w:rPr>
          <w:sz w:val="26"/>
        </w:rPr>
        <w:t>an</w:t>
      </w:r>
      <w:r>
        <w:rPr>
          <w:spacing w:val="-16"/>
          <w:sz w:val="26"/>
        </w:rPr>
        <w:t xml:space="preserve"> </w:t>
      </w:r>
      <w:r>
        <w:rPr>
          <w:sz w:val="26"/>
        </w:rPr>
        <w:t>entrenched</w:t>
      </w:r>
      <w:r>
        <w:rPr>
          <w:spacing w:val="-16"/>
          <w:sz w:val="26"/>
        </w:rPr>
        <w:t xml:space="preserve"> </w:t>
      </w:r>
      <w:r>
        <w:rPr>
          <w:sz w:val="26"/>
        </w:rPr>
        <w:t>part</w:t>
      </w:r>
      <w:r>
        <w:rPr>
          <w:spacing w:val="-16"/>
          <w:sz w:val="26"/>
        </w:rPr>
        <w:t xml:space="preserve"> </w:t>
      </w:r>
      <w:r>
        <w:rPr>
          <w:sz w:val="26"/>
        </w:rPr>
        <w:t>of</w:t>
      </w:r>
      <w:r>
        <w:rPr>
          <w:spacing w:val="-13"/>
          <w:sz w:val="26"/>
        </w:rPr>
        <w:t xml:space="preserve"> </w:t>
      </w:r>
      <w:r>
        <w:rPr>
          <w:sz w:val="26"/>
        </w:rPr>
        <w:t>our</w:t>
      </w:r>
      <w:r>
        <w:rPr>
          <w:spacing w:val="-16"/>
          <w:sz w:val="26"/>
        </w:rPr>
        <w:t xml:space="preserve"> </w:t>
      </w:r>
      <w:r>
        <w:rPr>
          <w:sz w:val="26"/>
        </w:rPr>
        <w:t>constitutional</w:t>
      </w:r>
      <w:r>
        <w:rPr>
          <w:spacing w:val="-16"/>
          <w:sz w:val="26"/>
        </w:rPr>
        <w:t xml:space="preserve"> </w:t>
      </w:r>
      <w:r>
        <w:rPr>
          <w:sz w:val="26"/>
        </w:rPr>
        <w:t xml:space="preserve">doctrine after the decision in </w:t>
      </w:r>
      <w:r>
        <w:rPr>
          <w:b/>
          <w:sz w:val="26"/>
        </w:rPr>
        <w:t xml:space="preserve">Bank Nationalization </w:t>
      </w:r>
      <w:r>
        <w:rPr>
          <w:sz w:val="26"/>
        </w:rPr>
        <w:t>is based on a sure foundation. The freedoms which we possess and those which we exercise are not dis</w:t>
      </w:r>
      <w:r>
        <w:rPr>
          <w:sz w:val="26"/>
        </w:rPr>
        <w:t>junctive parts, separate from each other. Individuals in society exercise not one but many of the freedoms. An individual exercises a multitude of freedoms as a composite part of the human personality. A single act embodies within it the exercise of many c</w:t>
      </w:r>
      <w:r>
        <w:rPr>
          <w:sz w:val="26"/>
        </w:rPr>
        <w:t>hoices reflecting the assertion of manifold freedoms. From this</w:t>
      </w:r>
      <w:r>
        <w:rPr>
          <w:spacing w:val="-5"/>
          <w:sz w:val="26"/>
        </w:rPr>
        <w:t xml:space="preserve"> </w:t>
      </w:r>
      <w:r>
        <w:rPr>
          <w:sz w:val="26"/>
        </w:rPr>
        <w:t>perspective,</w:t>
      </w:r>
      <w:r>
        <w:rPr>
          <w:spacing w:val="-4"/>
          <w:sz w:val="26"/>
        </w:rPr>
        <w:t xml:space="preserve"> </w:t>
      </w:r>
      <w:r>
        <w:rPr>
          <w:sz w:val="26"/>
        </w:rPr>
        <w:t>it</w:t>
      </w:r>
      <w:r>
        <w:rPr>
          <w:spacing w:val="-4"/>
          <w:sz w:val="26"/>
        </w:rPr>
        <w:t xml:space="preserve"> </w:t>
      </w:r>
      <w:r>
        <w:rPr>
          <w:sz w:val="26"/>
        </w:rPr>
        <w:t>is</w:t>
      </w:r>
      <w:r>
        <w:rPr>
          <w:spacing w:val="-2"/>
          <w:sz w:val="26"/>
        </w:rPr>
        <w:t xml:space="preserve"> </w:t>
      </w:r>
      <w:r>
        <w:rPr>
          <w:sz w:val="26"/>
        </w:rPr>
        <w:t>but</w:t>
      </w:r>
      <w:r>
        <w:rPr>
          <w:spacing w:val="-5"/>
          <w:sz w:val="26"/>
        </w:rPr>
        <w:t xml:space="preserve"> </w:t>
      </w:r>
      <w:r>
        <w:rPr>
          <w:sz w:val="26"/>
        </w:rPr>
        <w:t>a</w:t>
      </w:r>
      <w:r>
        <w:rPr>
          <w:spacing w:val="-4"/>
          <w:sz w:val="26"/>
        </w:rPr>
        <w:t xml:space="preserve"> </w:t>
      </w:r>
      <w:r>
        <w:rPr>
          <w:sz w:val="26"/>
        </w:rPr>
        <w:t>short</w:t>
      </w:r>
      <w:r>
        <w:rPr>
          <w:spacing w:val="-4"/>
          <w:sz w:val="26"/>
        </w:rPr>
        <w:t xml:space="preserve"> </w:t>
      </w:r>
      <w:r>
        <w:rPr>
          <w:sz w:val="26"/>
        </w:rPr>
        <w:t>step</w:t>
      </w:r>
      <w:r>
        <w:rPr>
          <w:spacing w:val="-2"/>
          <w:sz w:val="26"/>
        </w:rPr>
        <w:t xml:space="preserve"> </w:t>
      </w:r>
      <w:r>
        <w:rPr>
          <w:sz w:val="26"/>
        </w:rPr>
        <w:t>to</w:t>
      </w:r>
      <w:r>
        <w:rPr>
          <w:spacing w:val="-5"/>
          <w:sz w:val="26"/>
        </w:rPr>
        <w:t xml:space="preserve"> </w:t>
      </w:r>
      <w:r>
        <w:rPr>
          <w:sz w:val="26"/>
        </w:rPr>
        <w:t>hold</w:t>
      </w:r>
      <w:r>
        <w:rPr>
          <w:spacing w:val="-4"/>
          <w:sz w:val="26"/>
        </w:rPr>
        <w:t xml:space="preserve"> </w:t>
      </w:r>
      <w:r>
        <w:rPr>
          <w:sz w:val="26"/>
        </w:rPr>
        <w:t>that</w:t>
      </w:r>
      <w:r>
        <w:rPr>
          <w:spacing w:val="-5"/>
          <w:sz w:val="26"/>
        </w:rPr>
        <w:t xml:space="preserve"> </w:t>
      </w:r>
      <w:r>
        <w:rPr>
          <w:sz w:val="26"/>
        </w:rPr>
        <w:t>all</w:t>
      </w:r>
      <w:r>
        <w:rPr>
          <w:spacing w:val="-3"/>
          <w:sz w:val="26"/>
        </w:rPr>
        <w:t xml:space="preserve"> </w:t>
      </w:r>
      <w:r>
        <w:rPr>
          <w:sz w:val="26"/>
        </w:rPr>
        <w:t>freedoms</w:t>
      </w:r>
      <w:r>
        <w:rPr>
          <w:spacing w:val="-4"/>
          <w:sz w:val="26"/>
        </w:rPr>
        <w:t xml:space="preserve"> </w:t>
      </w:r>
      <w:r>
        <w:rPr>
          <w:sz w:val="26"/>
        </w:rPr>
        <w:t>exist</w:t>
      </w:r>
      <w:r>
        <w:rPr>
          <w:spacing w:val="-1"/>
          <w:sz w:val="26"/>
        </w:rPr>
        <w:t xml:space="preserve"> </w:t>
      </w:r>
      <w:r>
        <w:rPr>
          <w:sz w:val="26"/>
        </w:rPr>
        <w:t>in</w:t>
      </w:r>
      <w:r>
        <w:rPr>
          <w:spacing w:val="-4"/>
          <w:sz w:val="26"/>
        </w:rPr>
        <w:t xml:space="preserve"> </w:t>
      </w:r>
      <w:r>
        <w:rPr>
          <w:sz w:val="26"/>
        </w:rPr>
        <w:t>harmony. Our freedoms are enveloped in the womb created by the Constitution for the survival of liberty. Hence, the absen</w:t>
      </w:r>
      <w:r>
        <w:rPr>
          <w:sz w:val="26"/>
        </w:rPr>
        <w:t>ce of a clause of subjection in Article 26 does not lead to the conclusion that the freedom of a religious denomination exists as a discrete element, divorced from the others. This approach is quite independent</w:t>
      </w:r>
      <w:r>
        <w:rPr>
          <w:spacing w:val="-10"/>
          <w:sz w:val="26"/>
        </w:rPr>
        <w:t xml:space="preserve"> </w:t>
      </w:r>
      <w:r>
        <w:rPr>
          <w:sz w:val="26"/>
        </w:rPr>
        <w:t>of</w:t>
      </w:r>
      <w:r>
        <w:rPr>
          <w:spacing w:val="-12"/>
          <w:sz w:val="26"/>
        </w:rPr>
        <w:t xml:space="preserve"> </w:t>
      </w:r>
      <w:r>
        <w:rPr>
          <w:sz w:val="26"/>
        </w:rPr>
        <w:t>the</w:t>
      </w:r>
      <w:r>
        <w:rPr>
          <w:spacing w:val="-12"/>
          <w:sz w:val="26"/>
        </w:rPr>
        <w:t xml:space="preserve"> </w:t>
      </w:r>
      <w:r>
        <w:rPr>
          <w:sz w:val="26"/>
        </w:rPr>
        <w:t>consideration</w:t>
      </w:r>
      <w:r>
        <w:rPr>
          <w:spacing w:val="-9"/>
          <w:sz w:val="26"/>
        </w:rPr>
        <w:t xml:space="preserve"> </w:t>
      </w:r>
      <w:r>
        <w:rPr>
          <w:sz w:val="26"/>
        </w:rPr>
        <w:t>that</w:t>
      </w:r>
      <w:r>
        <w:rPr>
          <w:spacing w:val="-9"/>
          <w:sz w:val="26"/>
        </w:rPr>
        <w:t xml:space="preserve"> </w:t>
      </w:r>
      <w:r>
        <w:rPr>
          <w:sz w:val="26"/>
        </w:rPr>
        <w:t>even</w:t>
      </w:r>
      <w:r>
        <w:rPr>
          <w:spacing w:val="-12"/>
          <w:sz w:val="26"/>
        </w:rPr>
        <w:t xml:space="preserve"> </w:t>
      </w:r>
      <w:r>
        <w:rPr>
          <w:sz w:val="26"/>
        </w:rPr>
        <w:t>Article</w:t>
      </w:r>
      <w:r>
        <w:rPr>
          <w:spacing w:val="-9"/>
          <w:sz w:val="26"/>
        </w:rPr>
        <w:t xml:space="preserve"> </w:t>
      </w:r>
      <w:r>
        <w:rPr>
          <w:sz w:val="26"/>
        </w:rPr>
        <w:t>26</w:t>
      </w:r>
      <w:r>
        <w:rPr>
          <w:spacing w:val="-12"/>
          <w:sz w:val="26"/>
        </w:rPr>
        <w:t xml:space="preserve"> </w:t>
      </w:r>
      <w:r>
        <w:rPr>
          <w:sz w:val="26"/>
        </w:rPr>
        <w:t>like</w:t>
      </w:r>
      <w:r>
        <w:rPr>
          <w:spacing w:val="-12"/>
          <w:sz w:val="26"/>
        </w:rPr>
        <w:t xml:space="preserve"> </w:t>
      </w:r>
      <w:r>
        <w:rPr>
          <w:sz w:val="26"/>
        </w:rPr>
        <w:t>Article</w:t>
      </w:r>
      <w:r>
        <w:rPr>
          <w:spacing w:val="-12"/>
          <w:sz w:val="26"/>
        </w:rPr>
        <w:t xml:space="preserve"> </w:t>
      </w:r>
      <w:r>
        <w:rPr>
          <w:sz w:val="26"/>
        </w:rPr>
        <w:t>25(1)</w:t>
      </w:r>
      <w:r>
        <w:rPr>
          <w:spacing w:val="-9"/>
          <w:sz w:val="26"/>
        </w:rPr>
        <w:t xml:space="preserve"> </w:t>
      </w:r>
      <w:r>
        <w:rPr>
          <w:sz w:val="26"/>
        </w:rPr>
        <w:t>is</w:t>
      </w:r>
      <w:r>
        <w:rPr>
          <w:spacing w:val="-11"/>
          <w:sz w:val="26"/>
        </w:rPr>
        <w:t xml:space="preserve"> </w:t>
      </w:r>
      <w:r>
        <w:rPr>
          <w:sz w:val="26"/>
        </w:rPr>
        <w:t>subject to public order, morality and health. Once we hold, following the line which is now part of conventional doctrine, that all freedoms have linkages and exist in a state of mutual co-existence, the freedom of religious denominat</w:t>
      </w:r>
      <w:r>
        <w:rPr>
          <w:sz w:val="26"/>
        </w:rPr>
        <w:t>ions under Article 26 must be read in a manner which preserves equally, other individual freedoms which may be impacted by an unrestrained exercise. Hence, the dignity of women which is an emanation of Article 15 and a reflection of Article 21</w:t>
      </w:r>
      <w:r>
        <w:rPr>
          <w:spacing w:val="-8"/>
          <w:sz w:val="26"/>
        </w:rPr>
        <w:t xml:space="preserve"> </w:t>
      </w:r>
      <w:r>
        <w:rPr>
          <w:sz w:val="26"/>
        </w:rPr>
        <w:t>cannot</w:t>
      </w:r>
      <w:r>
        <w:rPr>
          <w:spacing w:val="-7"/>
          <w:sz w:val="26"/>
        </w:rPr>
        <w:t xml:space="preserve"> </w:t>
      </w:r>
      <w:r>
        <w:rPr>
          <w:sz w:val="26"/>
        </w:rPr>
        <w:t>be</w:t>
      </w:r>
      <w:r>
        <w:rPr>
          <w:spacing w:val="-4"/>
          <w:sz w:val="26"/>
        </w:rPr>
        <w:t xml:space="preserve"> </w:t>
      </w:r>
      <w:r>
        <w:rPr>
          <w:sz w:val="26"/>
        </w:rPr>
        <w:t>di</w:t>
      </w:r>
      <w:r>
        <w:rPr>
          <w:sz w:val="26"/>
        </w:rPr>
        <w:t>sassociated</w:t>
      </w:r>
      <w:r>
        <w:rPr>
          <w:spacing w:val="-7"/>
          <w:sz w:val="26"/>
        </w:rPr>
        <w:t xml:space="preserve"> </w:t>
      </w:r>
      <w:r>
        <w:rPr>
          <w:sz w:val="26"/>
        </w:rPr>
        <w:t>from</w:t>
      </w:r>
      <w:r>
        <w:rPr>
          <w:spacing w:val="-7"/>
          <w:sz w:val="26"/>
        </w:rPr>
        <w:t xml:space="preserve"> </w:t>
      </w:r>
      <w:r>
        <w:rPr>
          <w:sz w:val="26"/>
        </w:rPr>
        <w:t>the</w:t>
      </w:r>
      <w:r>
        <w:rPr>
          <w:spacing w:val="-5"/>
          <w:sz w:val="26"/>
        </w:rPr>
        <w:t xml:space="preserve"> </w:t>
      </w:r>
      <w:r>
        <w:rPr>
          <w:sz w:val="26"/>
        </w:rPr>
        <w:t>exercise</w:t>
      </w:r>
      <w:r>
        <w:rPr>
          <w:spacing w:val="-7"/>
          <w:sz w:val="26"/>
        </w:rPr>
        <w:t xml:space="preserve"> </w:t>
      </w:r>
      <w:r>
        <w:rPr>
          <w:sz w:val="26"/>
        </w:rPr>
        <w:t>of</w:t>
      </w:r>
      <w:r>
        <w:rPr>
          <w:spacing w:val="-8"/>
          <w:sz w:val="26"/>
        </w:rPr>
        <w:t xml:space="preserve"> </w:t>
      </w:r>
      <w:r>
        <w:rPr>
          <w:sz w:val="26"/>
        </w:rPr>
        <w:t>religious</w:t>
      </w:r>
      <w:r>
        <w:rPr>
          <w:spacing w:val="-5"/>
          <w:sz w:val="26"/>
        </w:rPr>
        <w:t xml:space="preserve"> </w:t>
      </w:r>
      <w:r>
        <w:rPr>
          <w:sz w:val="26"/>
        </w:rPr>
        <w:t>freedom</w:t>
      </w:r>
      <w:r>
        <w:rPr>
          <w:spacing w:val="-7"/>
          <w:sz w:val="26"/>
        </w:rPr>
        <w:t xml:space="preserve"> </w:t>
      </w:r>
      <w:r>
        <w:rPr>
          <w:sz w:val="26"/>
        </w:rPr>
        <w:t>under</w:t>
      </w:r>
      <w:r>
        <w:rPr>
          <w:spacing w:val="-7"/>
          <w:sz w:val="26"/>
        </w:rPr>
        <w:t xml:space="preserve"> </w:t>
      </w:r>
      <w:r>
        <w:rPr>
          <w:sz w:val="26"/>
        </w:rPr>
        <w:t>Article 26.</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3" w:firstLine="0"/>
        <w:jc w:val="both"/>
        <w:rPr>
          <w:sz w:val="26"/>
        </w:rPr>
      </w:pPr>
      <w:r>
        <w:rPr>
          <w:sz w:val="26"/>
        </w:rPr>
        <w:t>Once Articles 25 and 26 are read in the manner in which they have</w:t>
      </w:r>
      <w:r>
        <w:rPr>
          <w:spacing w:val="-37"/>
          <w:sz w:val="26"/>
        </w:rPr>
        <w:t xml:space="preserve"> </w:t>
      </w:r>
      <w:r>
        <w:rPr>
          <w:sz w:val="26"/>
        </w:rPr>
        <w:t>been interpreted, the distinction between the articles in terms of the presence or absence</w:t>
      </w:r>
      <w:r>
        <w:rPr>
          <w:spacing w:val="-8"/>
          <w:sz w:val="26"/>
        </w:rPr>
        <w:t xml:space="preserve"> </w:t>
      </w:r>
      <w:r>
        <w:rPr>
          <w:sz w:val="26"/>
        </w:rPr>
        <w:t>of</w:t>
      </w:r>
      <w:r>
        <w:rPr>
          <w:spacing w:val="-8"/>
          <w:sz w:val="26"/>
        </w:rPr>
        <w:t xml:space="preserve"> </w:t>
      </w:r>
      <w:r>
        <w:rPr>
          <w:sz w:val="26"/>
        </w:rPr>
        <w:t>a</w:t>
      </w:r>
      <w:r>
        <w:rPr>
          <w:spacing w:val="-7"/>
          <w:sz w:val="26"/>
        </w:rPr>
        <w:t xml:space="preserve"> </w:t>
      </w:r>
      <w:r>
        <w:rPr>
          <w:sz w:val="26"/>
        </w:rPr>
        <w:t>clause</w:t>
      </w:r>
      <w:r>
        <w:rPr>
          <w:spacing w:val="-6"/>
          <w:sz w:val="26"/>
        </w:rPr>
        <w:t xml:space="preserve"> </w:t>
      </w:r>
      <w:r>
        <w:rPr>
          <w:sz w:val="26"/>
        </w:rPr>
        <w:t>of</w:t>
      </w:r>
      <w:r>
        <w:rPr>
          <w:spacing w:val="-7"/>
          <w:sz w:val="26"/>
        </w:rPr>
        <w:t xml:space="preserve"> </w:t>
      </w:r>
      <w:r>
        <w:rPr>
          <w:sz w:val="26"/>
        </w:rPr>
        <w:t>subjection</w:t>
      </w:r>
      <w:r>
        <w:rPr>
          <w:spacing w:val="-8"/>
          <w:sz w:val="26"/>
        </w:rPr>
        <w:t xml:space="preserve"> </w:t>
      </w:r>
      <w:r>
        <w:rPr>
          <w:sz w:val="26"/>
        </w:rPr>
        <w:t>should</w:t>
      </w:r>
      <w:r>
        <w:rPr>
          <w:spacing w:val="-4"/>
          <w:sz w:val="26"/>
        </w:rPr>
        <w:t xml:space="preserve"> </w:t>
      </w:r>
      <w:r>
        <w:rPr>
          <w:sz w:val="26"/>
        </w:rPr>
        <w:t>make</w:t>
      </w:r>
      <w:r>
        <w:rPr>
          <w:spacing w:val="-8"/>
          <w:sz w:val="26"/>
        </w:rPr>
        <w:t xml:space="preserve"> </w:t>
      </w:r>
      <w:r>
        <w:rPr>
          <w:sz w:val="26"/>
        </w:rPr>
        <w:t>little</w:t>
      </w:r>
      <w:r>
        <w:rPr>
          <w:spacing w:val="-7"/>
          <w:sz w:val="26"/>
        </w:rPr>
        <w:t xml:space="preserve"> </w:t>
      </w:r>
      <w:r>
        <w:rPr>
          <w:sz w:val="26"/>
        </w:rPr>
        <w:t>practical</w:t>
      </w:r>
      <w:r>
        <w:rPr>
          <w:spacing w:val="-8"/>
          <w:sz w:val="26"/>
        </w:rPr>
        <w:t xml:space="preserve"> </w:t>
      </w:r>
      <w:r>
        <w:rPr>
          <w:sz w:val="26"/>
        </w:rPr>
        <w:t>significance</w:t>
      </w:r>
      <w:r>
        <w:rPr>
          <w:spacing w:val="-7"/>
          <w:sz w:val="26"/>
        </w:rPr>
        <w:t xml:space="preserve"> </w:t>
      </w:r>
      <w:r>
        <w:rPr>
          <w:sz w:val="26"/>
        </w:rPr>
        <w:t>to</w:t>
      </w:r>
      <w:r>
        <w:rPr>
          <w:spacing w:val="-8"/>
          <w:sz w:val="26"/>
        </w:rPr>
        <w:t xml:space="preserve"> </w:t>
      </w:r>
      <w:r>
        <w:rPr>
          <w:sz w:val="26"/>
        </w:rPr>
        <w:t>the relationship</w:t>
      </w:r>
      <w:r>
        <w:rPr>
          <w:spacing w:val="-15"/>
          <w:sz w:val="26"/>
        </w:rPr>
        <w:t xml:space="preserve"> </w:t>
      </w:r>
      <w:r>
        <w:rPr>
          <w:sz w:val="26"/>
        </w:rPr>
        <w:t>between</w:t>
      </w:r>
      <w:r>
        <w:rPr>
          <w:spacing w:val="-13"/>
          <w:sz w:val="26"/>
        </w:rPr>
        <w:t xml:space="preserve"> </w:t>
      </w:r>
      <w:r>
        <w:rPr>
          <w:sz w:val="26"/>
        </w:rPr>
        <w:t>the</w:t>
      </w:r>
      <w:r>
        <w:rPr>
          <w:spacing w:val="-14"/>
          <w:sz w:val="26"/>
        </w:rPr>
        <w:t xml:space="preserve"> </w:t>
      </w:r>
      <w:r>
        <w:rPr>
          <w:sz w:val="26"/>
        </w:rPr>
        <w:t>freedom</w:t>
      </w:r>
      <w:r>
        <w:rPr>
          <w:spacing w:val="-15"/>
          <w:sz w:val="26"/>
        </w:rPr>
        <w:t xml:space="preserve"> </w:t>
      </w:r>
      <w:r>
        <w:rPr>
          <w:sz w:val="26"/>
        </w:rPr>
        <w:t>of</w:t>
      </w:r>
      <w:r>
        <w:rPr>
          <w:spacing w:val="-14"/>
          <w:sz w:val="26"/>
        </w:rPr>
        <w:t xml:space="preserve"> </w:t>
      </w:r>
      <w:r>
        <w:rPr>
          <w:sz w:val="26"/>
        </w:rPr>
        <w:t>religion</w:t>
      </w:r>
      <w:r>
        <w:rPr>
          <w:spacing w:val="-13"/>
          <w:sz w:val="26"/>
        </w:rPr>
        <w:t xml:space="preserve"> </w:t>
      </w:r>
      <w:r>
        <w:rPr>
          <w:sz w:val="26"/>
        </w:rPr>
        <w:t>with</w:t>
      </w:r>
      <w:r>
        <w:rPr>
          <w:spacing w:val="-15"/>
          <w:sz w:val="26"/>
        </w:rPr>
        <w:t xml:space="preserve"> </w:t>
      </w:r>
      <w:r>
        <w:rPr>
          <w:sz w:val="26"/>
        </w:rPr>
        <w:t>the</w:t>
      </w:r>
      <w:r>
        <w:rPr>
          <w:spacing w:val="-14"/>
          <w:sz w:val="26"/>
        </w:rPr>
        <w:t xml:space="preserve"> </w:t>
      </w:r>
      <w:r>
        <w:rPr>
          <w:sz w:val="26"/>
        </w:rPr>
        <w:t>other</w:t>
      </w:r>
      <w:r>
        <w:rPr>
          <w:spacing w:val="-14"/>
          <w:sz w:val="26"/>
        </w:rPr>
        <w:t xml:space="preserve"> </w:t>
      </w:r>
      <w:r>
        <w:rPr>
          <w:sz w:val="26"/>
        </w:rPr>
        <w:t>freedoms</w:t>
      </w:r>
      <w:r>
        <w:rPr>
          <w:spacing w:val="-14"/>
          <w:sz w:val="26"/>
        </w:rPr>
        <w:t xml:space="preserve"> </w:t>
      </w:r>
      <w:r>
        <w:rPr>
          <w:sz w:val="26"/>
        </w:rPr>
        <w:t>recognized in the fundamental rights. If the Constitution has to have a meaning, is it permissible</w:t>
      </w:r>
      <w:r>
        <w:rPr>
          <w:spacing w:val="-19"/>
          <w:sz w:val="26"/>
        </w:rPr>
        <w:t xml:space="preserve"> </w:t>
      </w:r>
      <w:r>
        <w:rPr>
          <w:sz w:val="26"/>
        </w:rPr>
        <w:t>for</w:t>
      </w:r>
      <w:r>
        <w:rPr>
          <w:spacing w:val="-19"/>
          <w:sz w:val="26"/>
        </w:rPr>
        <w:t xml:space="preserve"> </w:t>
      </w:r>
      <w:r>
        <w:rPr>
          <w:sz w:val="26"/>
        </w:rPr>
        <w:t>religion</w:t>
      </w:r>
      <w:r>
        <w:rPr>
          <w:spacing w:val="-17"/>
          <w:sz w:val="26"/>
        </w:rPr>
        <w:t xml:space="preserve"> </w:t>
      </w:r>
      <w:r>
        <w:rPr>
          <w:sz w:val="26"/>
        </w:rPr>
        <w:t>–</w:t>
      </w:r>
      <w:r>
        <w:rPr>
          <w:spacing w:val="-19"/>
          <w:sz w:val="26"/>
        </w:rPr>
        <w:t xml:space="preserve"> </w:t>
      </w:r>
      <w:r>
        <w:rPr>
          <w:sz w:val="26"/>
        </w:rPr>
        <w:t>either</w:t>
      </w:r>
      <w:r>
        <w:rPr>
          <w:spacing w:val="-15"/>
          <w:sz w:val="26"/>
        </w:rPr>
        <w:t xml:space="preserve"> </w:t>
      </w:r>
      <w:r>
        <w:rPr>
          <w:sz w:val="26"/>
        </w:rPr>
        <w:t>as</w:t>
      </w:r>
      <w:r>
        <w:rPr>
          <w:spacing w:val="-19"/>
          <w:sz w:val="26"/>
        </w:rPr>
        <w:t xml:space="preserve"> </w:t>
      </w:r>
      <w:r>
        <w:rPr>
          <w:sz w:val="26"/>
        </w:rPr>
        <w:t>a</w:t>
      </w:r>
      <w:r>
        <w:rPr>
          <w:spacing w:val="-16"/>
          <w:sz w:val="26"/>
        </w:rPr>
        <w:t xml:space="preserve"> </w:t>
      </w:r>
      <w:r>
        <w:rPr>
          <w:sz w:val="26"/>
        </w:rPr>
        <w:t>matter</w:t>
      </w:r>
      <w:r>
        <w:rPr>
          <w:spacing w:val="-16"/>
          <w:sz w:val="26"/>
        </w:rPr>
        <w:t xml:space="preserve"> </w:t>
      </w:r>
      <w:r>
        <w:rPr>
          <w:sz w:val="26"/>
        </w:rPr>
        <w:t>of</w:t>
      </w:r>
      <w:r>
        <w:rPr>
          <w:spacing w:val="-18"/>
          <w:sz w:val="26"/>
        </w:rPr>
        <w:t xml:space="preserve"> </w:t>
      </w:r>
      <w:r>
        <w:rPr>
          <w:sz w:val="26"/>
        </w:rPr>
        <w:t>individual</w:t>
      </w:r>
      <w:r>
        <w:rPr>
          <w:spacing w:val="-17"/>
          <w:sz w:val="26"/>
        </w:rPr>
        <w:t xml:space="preserve"> </w:t>
      </w:r>
      <w:r>
        <w:rPr>
          <w:sz w:val="26"/>
        </w:rPr>
        <w:t>belief</w:t>
      </w:r>
      <w:r>
        <w:rPr>
          <w:spacing w:val="-19"/>
          <w:sz w:val="26"/>
        </w:rPr>
        <w:t xml:space="preserve"> </w:t>
      </w:r>
      <w:r>
        <w:rPr>
          <w:sz w:val="26"/>
        </w:rPr>
        <w:t>or</w:t>
      </w:r>
      <w:r>
        <w:rPr>
          <w:spacing w:val="-14"/>
          <w:sz w:val="26"/>
        </w:rPr>
        <w:t xml:space="preserve"> </w:t>
      </w:r>
      <w:r>
        <w:rPr>
          <w:sz w:val="26"/>
        </w:rPr>
        <w:t>as</w:t>
      </w:r>
      <w:r>
        <w:rPr>
          <w:spacing w:val="-19"/>
          <w:sz w:val="26"/>
        </w:rPr>
        <w:t xml:space="preserve"> </w:t>
      </w:r>
      <w:r>
        <w:rPr>
          <w:sz w:val="26"/>
        </w:rPr>
        <w:t>an</w:t>
      </w:r>
      <w:r>
        <w:rPr>
          <w:spacing w:val="-16"/>
          <w:sz w:val="26"/>
        </w:rPr>
        <w:t xml:space="preserve"> </w:t>
      </w:r>
      <w:r>
        <w:rPr>
          <w:sz w:val="26"/>
        </w:rPr>
        <w:t>organized structure</w:t>
      </w:r>
      <w:r>
        <w:rPr>
          <w:spacing w:val="-17"/>
          <w:sz w:val="26"/>
        </w:rPr>
        <w:t xml:space="preserve"> </w:t>
      </w:r>
      <w:r>
        <w:rPr>
          <w:sz w:val="26"/>
        </w:rPr>
        <w:t>of</w:t>
      </w:r>
      <w:r>
        <w:rPr>
          <w:spacing w:val="-17"/>
          <w:sz w:val="26"/>
        </w:rPr>
        <w:t xml:space="preserve"> </w:t>
      </w:r>
      <w:r>
        <w:rPr>
          <w:sz w:val="26"/>
        </w:rPr>
        <w:t>religious</w:t>
      </w:r>
      <w:r>
        <w:rPr>
          <w:spacing w:val="-16"/>
          <w:sz w:val="26"/>
        </w:rPr>
        <w:t xml:space="preserve"> </w:t>
      </w:r>
      <w:r>
        <w:rPr>
          <w:sz w:val="26"/>
        </w:rPr>
        <w:t>precepts</w:t>
      </w:r>
      <w:r>
        <w:rPr>
          <w:spacing w:val="-17"/>
          <w:sz w:val="26"/>
        </w:rPr>
        <w:t xml:space="preserve"> </w:t>
      </w:r>
      <w:r>
        <w:rPr>
          <w:sz w:val="26"/>
        </w:rPr>
        <w:t>–</w:t>
      </w:r>
      <w:r>
        <w:rPr>
          <w:spacing w:val="-17"/>
          <w:sz w:val="26"/>
        </w:rPr>
        <w:t xml:space="preserve"> </w:t>
      </w:r>
      <w:r>
        <w:rPr>
          <w:sz w:val="26"/>
        </w:rPr>
        <w:t>to</w:t>
      </w:r>
      <w:r>
        <w:rPr>
          <w:spacing w:val="-17"/>
          <w:sz w:val="26"/>
        </w:rPr>
        <w:t xml:space="preserve"> </w:t>
      </w:r>
      <w:r>
        <w:rPr>
          <w:sz w:val="26"/>
        </w:rPr>
        <w:t>assert</w:t>
      </w:r>
      <w:r>
        <w:rPr>
          <w:spacing w:val="-16"/>
          <w:sz w:val="26"/>
        </w:rPr>
        <w:t xml:space="preserve"> </w:t>
      </w:r>
      <w:r>
        <w:rPr>
          <w:sz w:val="26"/>
        </w:rPr>
        <w:t>an</w:t>
      </w:r>
      <w:r>
        <w:rPr>
          <w:spacing w:val="-17"/>
          <w:sz w:val="26"/>
        </w:rPr>
        <w:t xml:space="preserve"> </w:t>
      </w:r>
      <w:r>
        <w:rPr>
          <w:sz w:val="26"/>
        </w:rPr>
        <w:t>entitlement</w:t>
      </w:r>
      <w:r>
        <w:rPr>
          <w:spacing w:val="-17"/>
          <w:sz w:val="26"/>
        </w:rPr>
        <w:t xml:space="preserve"> </w:t>
      </w:r>
      <w:r>
        <w:rPr>
          <w:sz w:val="26"/>
        </w:rPr>
        <w:t>to</w:t>
      </w:r>
      <w:r>
        <w:rPr>
          <w:spacing w:val="-17"/>
          <w:sz w:val="26"/>
        </w:rPr>
        <w:t xml:space="preserve"> </w:t>
      </w:r>
      <w:r>
        <w:rPr>
          <w:sz w:val="26"/>
        </w:rPr>
        <w:t>do</w:t>
      </w:r>
      <w:r>
        <w:rPr>
          <w:spacing w:val="-15"/>
          <w:sz w:val="26"/>
        </w:rPr>
        <w:t xml:space="preserve"> </w:t>
      </w:r>
      <w:r>
        <w:rPr>
          <w:sz w:val="26"/>
        </w:rPr>
        <w:t>what</w:t>
      </w:r>
      <w:r>
        <w:rPr>
          <w:spacing w:val="-17"/>
          <w:sz w:val="26"/>
        </w:rPr>
        <w:t xml:space="preserve"> </w:t>
      </w:r>
      <w:r>
        <w:rPr>
          <w:sz w:val="26"/>
        </w:rPr>
        <w:t>is</w:t>
      </w:r>
      <w:r>
        <w:rPr>
          <w:spacing w:val="-17"/>
          <w:sz w:val="26"/>
        </w:rPr>
        <w:t xml:space="preserve"> </w:t>
      </w:r>
      <w:r>
        <w:rPr>
          <w:sz w:val="26"/>
        </w:rPr>
        <w:t>derogatory to women? Dignity of the individual is the unwavering premise of the fundamental rights. Autonomy nourishes dignity by all</w:t>
      </w:r>
      <w:r>
        <w:rPr>
          <w:sz w:val="26"/>
        </w:rPr>
        <w:t>owing each individual to make critical choices for the exercise of liberty. A liberal Constitution such as ours recognizes a wide range of rights to inhere in each individual. Without freedom, the individual would be bereft of her individuality. Anything t</w:t>
      </w:r>
      <w:r>
        <w:rPr>
          <w:sz w:val="26"/>
        </w:rPr>
        <w:t>hat is destructive of individual dignity is anachronistic to our constitutional ethos. The equality between sexes and equal protection of gender is an emanation of Article 15. Whether or not Article 15 is attracted to a particular source of the invasion</w:t>
      </w:r>
      <w:r>
        <w:rPr>
          <w:spacing w:val="-12"/>
          <w:sz w:val="26"/>
        </w:rPr>
        <w:t xml:space="preserve"> </w:t>
      </w:r>
      <w:r>
        <w:rPr>
          <w:sz w:val="26"/>
        </w:rPr>
        <w:t>of</w:t>
      </w:r>
      <w:r>
        <w:rPr>
          <w:spacing w:val="-8"/>
          <w:sz w:val="26"/>
        </w:rPr>
        <w:t xml:space="preserve"> </w:t>
      </w:r>
      <w:r>
        <w:rPr>
          <w:sz w:val="26"/>
        </w:rPr>
        <w:t>rights</w:t>
      </w:r>
      <w:r>
        <w:rPr>
          <w:spacing w:val="-11"/>
          <w:sz w:val="26"/>
        </w:rPr>
        <w:t xml:space="preserve"> </w:t>
      </w:r>
      <w:r>
        <w:rPr>
          <w:sz w:val="26"/>
        </w:rPr>
        <w:t>is</w:t>
      </w:r>
      <w:r>
        <w:rPr>
          <w:spacing w:val="-10"/>
          <w:sz w:val="26"/>
        </w:rPr>
        <w:t xml:space="preserve"> </w:t>
      </w:r>
      <w:r>
        <w:rPr>
          <w:sz w:val="26"/>
        </w:rPr>
        <w:t>not</w:t>
      </w:r>
      <w:r>
        <w:rPr>
          <w:spacing w:val="-12"/>
          <w:sz w:val="26"/>
        </w:rPr>
        <w:t xml:space="preserve"> </w:t>
      </w:r>
      <w:r>
        <w:rPr>
          <w:sz w:val="26"/>
        </w:rPr>
        <w:t>of</w:t>
      </w:r>
      <w:r>
        <w:rPr>
          <w:spacing w:val="-8"/>
          <w:sz w:val="26"/>
        </w:rPr>
        <w:t xml:space="preserve"> </w:t>
      </w:r>
      <w:r>
        <w:rPr>
          <w:sz w:val="26"/>
        </w:rPr>
        <w:t>overarching</w:t>
      </w:r>
      <w:r>
        <w:rPr>
          <w:spacing w:val="-12"/>
          <w:sz w:val="26"/>
        </w:rPr>
        <w:t xml:space="preserve"> </w:t>
      </w:r>
      <w:r>
        <w:rPr>
          <w:sz w:val="26"/>
        </w:rPr>
        <w:t>importance</w:t>
      </w:r>
      <w:r>
        <w:rPr>
          <w:spacing w:val="-8"/>
          <w:sz w:val="26"/>
        </w:rPr>
        <w:t xml:space="preserve"> </w:t>
      </w:r>
      <w:r>
        <w:rPr>
          <w:sz w:val="26"/>
        </w:rPr>
        <w:t>for</w:t>
      </w:r>
      <w:r>
        <w:rPr>
          <w:spacing w:val="-5"/>
          <w:sz w:val="26"/>
        </w:rPr>
        <w:t xml:space="preserve"> </w:t>
      </w:r>
      <w:r>
        <w:rPr>
          <w:sz w:val="26"/>
        </w:rPr>
        <w:t>the</w:t>
      </w:r>
      <w:r>
        <w:rPr>
          <w:spacing w:val="-8"/>
          <w:sz w:val="26"/>
        </w:rPr>
        <w:t xml:space="preserve"> </w:t>
      </w:r>
      <w:r>
        <w:rPr>
          <w:sz w:val="26"/>
        </w:rPr>
        <w:t>simple</w:t>
      </w:r>
      <w:r>
        <w:rPr>
          <w:spacing w:val="-12"/>
          <w:sz w:val="26"/>
        </w:rPr>
        <w:t xml:space="preserve"> </w:t>
      </w:r>
      <w:r>
        <w:rPr>
          <w:sz w:val="26"/>
        </w:rPr>
        <w:t>reason</w:t>
      </w:r>
      <w:r>
        <w:rPr>
          <w:spacing w:val="-8"/>
          <w:sz w:val="26"/>
        </w:rPr>
        <w:t xml:space="preserve"> </w:t>
      </w:r>
      <w:r>
        <w:rPr>
          <w:sz w:val="26"/>
        </w:rPr>
        <w:t>that</w:t>
      </w:r>
      <w:r>
        <w:rPr>
          <w:spacing w:val="-9"/>
          <w:sz w:val="26"/>
        </w:rPr>
        <w:t xml:space="preserve"> </w:t>
      </w:r>
      <w:r>
        <w:rPr>
          <w:sz w:val="26"/>
        </w:rPr>
        <w:t>the fundamental principles which emerge from the Preamble, as we have noticed earlier, infuse constitutional morality into its content. In our public discourse of individual rights, neither religious freedom nor organized religion can be heard to assert an</w:t>
      </w:r>
      <w:r>
        <w:rPr>
          <w:sz w:val="26"/>
        </w:rPr>
        <w:t xml:space="preserve"> immunity to adhere to fundamental constitutional precepts grounded in dignity and human liberty. The postulate of equality is that human beings are created equal. The postulate is not that all men are created equal but</w:t>
      </w:r>
      <w:r>
        <w:rPr>
          <w:spacing w:val="17"/>
          <w:sz w:val="26"/>
        </w:rPr>
        <w:t xml:space="preserve"> </w:t>
      </w:r>
      <w:r>
        <w:rPr>
          <w:sz w:val="26"/>
        </w:rPr>
        <w:t>that</w:t>
      </w:r>
      <w:r>
        <w:rPr>
          <w:spacing w:val="18"/>
          <w:sz w:val="26"/>
        </w:rPr>
        <w:t xml:space="preserve"> </w:t>
      </w:r>
      <w:r>
        <w:rPr>
          <w:sz w:val="26"/>
        </w:rPr>
        <w:t>all</w:t>
      </w:r>
      <w:r>
        <w:rPr>
          <w:spacing w:val="18"/>
          <w:sz w:val="26"/>
        </w:rPr>
        <w:t xml:space="preserve"> </w:t>
      </w:r>
      <w:r>
        <w:rPr>
          <w:sz w:val="26"/>
        </w:rPr>
        <w:t>individuals</w:t>
      </w:r>
      <w:r>
        <w:rPr>
          <w:spacing w:val="19"/>
          <w:sz w:val="26"/>
        </w:rPr>
        <w:t xml:space="preserve"> </w:t>
      </w:r>
      <w:r>
        <w:rPr>
          <w:sz w:val="26"/>
        </w:rPr>
        <w:t>are</w:t>
      </w:r>
      <w:r>
        <w:rPr>
          <w:spacing w:val="17"/>
          <w:sz w:val="26"/>
        </w:rPr>
        <w:t xml:space="preserve"> </w:t>
      </w:r>
      <w:r>
        <w:rPr>
          <w:sz w:val="26"/>
        </w:rPr>
        <w:t>created</w:t>
      </w:r>
      <w:r>
        <w:rPr>
          <w:spacing w:val="18"/>
          <w:sz w:val="26"/>
        </w:rPr>
        <w:t xml:space="preserve"> </w:t>
      </w:r>
      <w:r>
        <w:rPr>
          <w:sz w:val="26"/>
        </w:rPr>
        <w:t>equ</w:t>
      </w:r>
      <w:r>
        <w:rPr>
          <w:sz w:val="26"/>
        </w:rPr>
        <w:t>al.</w:t>
      </w:r>
      <w:r>
        <w:rPr>
          <w:spacing w:val="19"/>
          <w:sz w:val="26"/>
        </w:rPr>
        <w:t xml:space="preserve"> </w:t>
      </w:r>
      <w:r>
        <w:rPr>
          <w:sz w:val="26"/>
        </w:rPr>
        <w:t>To</w:t>
      </w:r>
      <w:r>
        <w:rPr>
          <w:spacing w:val="17"/>
          <w:sz w:val="26"/>
        </w:rPr>
        <w:t xml:space="preserve"> </w:t>
      </w:r>
      <w:r>
        <w:rPr>
          <w:sz w:val="26"/>
        </w:rPr>
        <w:t>exclude</w:t>
      </w:r>
      <w:r>
        <w:rPr>
          <w:spacing w:val="19"/>
          <w:sz w:val="26"/>
        </w:rPr>
        <w:t xml:space="preserve"> </w:t>
      </w:r>
      <w:r>
        <w:rPr>
          <w:sz w:val="26"/>
        </w:rPr>
        <w:t>women</w:t>
      </w:r>
      <w:r>
        <w:rPr>
          <w:spacing w:val="17"/>
          <w:sz w:val="26"/>
        </w:rPr>
        <w:t xml:space="preserve"> </w:t>
      </w:r>
      <w:r>
        <w:rPr>
          <w:sz w:val="26"/>
        </w:rPr>
        <w:t>from</w:t>
      </w:r>
      <w:r>
        <w:rPr>
          <w:spacing w:val="21"/>
          <w:sz w:val="26"/>
        </w:rPr>
        <w:t xml:space="preserve"> </w:t>
      </w:r>
      <w:r>
        <w:rPr>
          <w:sz w:val="26"/>
        </w:rPr>
        <w:t>worship</w:t>
      </w:r>
      <w:r>
        <w:rPr>
          <w:spacing w:val="19"/>
          <w:sz w:val="26"/>
        </w:rPr>
        <w:t xml:space="preserve"> </w:t>
      </w:r>
      <w:r>
        <w:rPr>
          <w:sz w:val="26"/>
        </w:rPr>
        <w:t>by</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3"/>
        <w:jc w:val="both"/>
        <w:rPr>
          <w:sz w:val="26"/>
        </w:rPr>
      </w:pPr>
      <w:r>
        <w:rPr>
          <w:sz w:val="26"/>
        </w:rPr>
        <w:t>allowing the right to worship to men is to place women in a position of subordination. The Constitution, should not become an instrument for the perpetuation of patriarchy. The freedom to believe, the</w:t>
      </w:r>
      <w:r>
        <w:rPr>
          <w:sz w:val="26"/>
        </w:rPr>
        <w:t xml:space="preserve"> freedom to be a person of faith and the freedom of worship, are attributes of human liberty. Facets of that</w:t>
      </w:r>
      <w:r>
        <w:rPr>
          <w:spacing w:val="-4"/>
          <w:sz w:val="26"/>
        </w:rPr>
        <w:t xml:space="preserve"> </w:t>
      </w:r>
      <w:r>
        <w:rPr>
          <w:sz w:val="26"/>
        </w:rPr>
        <w:t>liberty</w:t>
      </w:r>
      <w:r>
        <w:rPr>
          <w:spacing w:val="-6"/>
          <w:sz w:val="26"/>
        </w:rPr>
        <w:t xml:space="preserve"> </w:t>
      </w:r>
      <w:r>
        <w:rPr>
          <w:sz w:val="26"/>
        </w:rPr>
        <w:t>find</w:t>
      </w:r>
      <w:r>
        <w:rPr>
          <w:spacing w:val="-4"/>
          <w:sz w:val="26"/>
        </w:rPr>
        <w:t xml:space="preserve"> </w:t>
      </w:r>
      <w:r>
        <w:rPr>
          <w:sz w:val="26"/>
        </w:rPr>
        <w:t>protection</w:t>
      </w:r>
      <w:r>
        <w:rPr>
          <w:spacing w:val="-4"/>
          <w:sz w:val="26"/>
        </w:rPr>
        <w:t xml:space="preserve"> </w:t>
      </w:r>
      <w:r>
        <w:rPr>
          <w:sz w:val="26"/>
        </w:rPr>
        <w:t>in</w:t>
      </w:r>
      <w:r>
        <w:rPr>
          <w:spacing w:val="-4"/>
          <w:sz w:val="26"/>
        </w:rPr>
        <w:t xml:space="preserve"> </w:t>
      </w:r>
      <w:r>
        <w:rPr>
          <w:sz w:val="26"/>
        </w:rPr>
        <w:t>Article</w:t>
      </w:r>
      <w:r>
        <w:rPr>
          <w:spacing w:val="-4"/>
          <w:sz w:val="26"/>
        </w:rPr>
        <w:t xml:space="preserve"> </w:t>
      </w:r>
      <w:r>
        <w:rPr>
          <w:sz w:val="26"/>
        </w:rPr>
        <w:t>25.</w:t>
      </w:r>
      <w:r>
        <w:rPr>
          <w:spacing w:val="-4"/>
          <w:sz w:val="26"/>
        </w:rPr>
        <w:t xml:space="preserve"> </w:t>
      </w:r>
      <w:r>
        <w:rPr>
          <w:sz w:val="26"/>
        </w:rPr>
        <w:t>Religion</w:t>
      </w:r>
      <w:r>
        <w:rPr>
          <w:spacing w:val="-3"/>
          <w:sz w:val="26"/>
        </w:rPr>
        <w:t xml:space="preserve"> </w:t>
      </w:r>
      <w:r>
        <w:rPr>
          <w:sz w:val="26"/>
        </w:rPr>
        <w:t>then</w:t>
      </w:r>
      <w:r>
        <w:rPr>
          <w:spacing w:val="-4"/>
          <w:sz w:val="26"/>
        </w:rPr>
        <w:t xml:space="preserve"> </w:t>
      </w:r>
      <w:r>
        <w:rPr>
          <w:sz w:val="26"/>
        </w:rPr>
        <w:t>cannot</w:t>
      </w:r>
      <w:r>
        <w:rPr>
          <w:spacing w:val="-4"/>
          <w:sz w:val="26"/>
        </w:rPr>
        <w:t xml:space="preserve"> </w:t>
      </w:r>
      <w:r>
        <w:rPr>
          <w:sz w:val="26"/>
        </w:rPr>
        <w:t>become</w:t>
      </w:r>
      <w:r>
        <w:rPr>
          <w:spacing w:val="-4"/>
          <w:sz w:val="26"/>
        </w:rPr>
        <w:t xml:space="preserve"> </w:t>
      </w:r>
      <w:r>
        <w:rPr>
          <w:sz w:val="26"/>
        </w:rPr>
        <w:t>a</w:t>
      </w:r>
      <w:r>
        <w:rPr>
          <w:spacing w:val="-4"/>
          <w:sz w:val="26"/>
        </w:rPr>
        <w:t xml:space="preserve"> </w:t>
      </w:r>
      <w:r>
        <w:rPr>
          <w:sz w:val="26"/>
        </w:rPr>
        <w:t>cover</w:t>
      </w:r>
      <w:r>
        <w:rPr>
          <w:spacing w:val="-4"/>
          <w:sz w:val="26"/>
        </w:rPr>
        <w:t xml:space="preserve"> </w:t>
      </w:r>
      <w:r>
        <w:rPr>
          <w:sz w:val="26"/>
        </w:rPr>
        <w:t>to exclude and to deny the basic right to find fulfilment in worship to women. Nor can a physiological feature associated with a woman provide a constitutional rationale to deny to her the right to worship which is available to others. Birth marks and phys</w:t>
      </w:r>
      <w:r>
        <w:rPr>
          <w:sz w:val="26"/>
        </w:rPr>
        <w:t>iology are irrelevant to constitutional entitlements which are provided</w:t>
      </w:r>
      <w:r>
        <w:rPr>
          <w:spacing w:val="-16"/>
          <w:sz w:val="26"/>
        </w:rPr>
        <w:t xml:space="preserve"> </w:t>
      </w:r>
      <w:r>
        <w:rPr>
          <w:sz w:val="26"/>
        </w:rPr>
        <w:t>to</w:t>
      </w:r>
      <w:r>
        <w:rPr>
          <w:spacing w:val="-14"/>
          <w:sz w:val="26"/>
        </w:rPr>
        <w:t xml:space="preserve"> </w:t>
      </w:r>
      <w:r>
        <w:rPr>
          <w:sz w:val="26"/>
        </w:rPr>
        <w:t>every</w:t>
      </w:r>
      <w:r>
        <w:rPr>
          <w:spacing w:val="-18"/>
          <w:sz w:val="26"/>
        </w:rPr>
        <w:t xml:space="preserve"> </w:t>
      </w:r>
      <w:r>
        <w:rPr>
          <w:sz w:val="26"/>
        </w:rPr>
        <w:t>individual.</w:t>
      </w:r>
      <w:r>
        <w:rPr>
          <w:spacing w:val="-16"/>
          <w:sz w:val="26"/>
        </w:rPr>
        <w:t xml:space="preserve"> </w:t>
      </w:r>
      <w:r>
        <w:rPr>
          <w:sz w:val="26"/>
        </w:rPr>
        <w:t>To</w:t>
      </w:r>
      <w:r>
        <w:rPr>
          <w:spacing w:val="-15"/>
          <w:sz w:val="26"/>
        </w:rPr>
        <w:t xml:space="preserve"> </w:t>
      </w:r>
      <w:r>
        <w:rPr>
          <w:sz w:val="26"/>
        </w:rPr>
        <w:t>exclude</w:t>
      </w:r>
      <w:r>
        <w:rPr>
          <w:spacing w:val="-14"/>
          <w:sz w:val="26"/>
        </w:rPr>
        <w:t xml:space="preserve"> </w:t>
      </w:r>
      <w:r>
        <w:rPr>
          <w:sz w:val="26"/>
        </w:rPr>
        <w:t>from</w:t>
      </w:r>
      <w:r>
        <w:rPr>
          <w:spacing w:val="-14"/>
          <w:sz w:val="26"/>
        </w:rPr>
        <w:t xml:space="preserve"> </w:t>
      </w:r>
      <w:r>
        <w:rPr>
          <w:sz w:val="26"/>
        </w:rPr>
        <w:t>worship,</w:t>
      </w:r>
      <w:r>
        <w:rPr>
          <w:spacing w:val="-15"/>
          <w:sz w:val="26"/>
        </w:rPr>
        <w:t xml:space="preserve"> </w:t>
      </w:r>
      <w:r>
        <w:rPr>
          <w:sz w:val="26"/>
        </w:rPr>
        <w:t>is</w:t>
      </w:r>
      <w:r>
        <w:rPr>
          <w:spacing w:val="-14"/>
          <w:sz w:val="26"/>
        </w:rPr>
        <w:t xml:space="preserve"> </w:t>
      </w:r>
      <w:r>
        <w:rPr>
          <w:sz w:val="26"/>
        </w:rPr>
        <w:t>to</w:t>
      </w:r>
      <w:r>
        <w:rPr>
          <w:spacing w:val="-16"/>
          <w:sz w:val="26"/>
        </w:rPr>
        <w:t xml:space="preserve"> </w:t>
      </w:r>
      <w:r>
        <w:rPr>
          <w:sz w:val="26"/>
        </w:rPr>
        <w:t>deny</w:t>
      </w:r>
      <w:r>
        <w:rPr>
          <w:spacing w:val="-15"/>
          <w:sz w:val="26"/>
        </w:rPr>
        <w:t xml:space="preserve"> </w:t>
      </w:r>
      <w:r>
        <w:rPr>
          <w:sz w:val="26"/>
        </w:rPr>
        <w:t>one</w:t>
      </w:r>
      <w:r>
        <w:rPr>
          <w:spacing w:val="-16"/>
          <w:sz w:val="26"/>
        </w:rPr>
        <w:t xml:space="preserve"> </w:t>
      </w:r>
      <w:r>
        <w:rPr>
          <w:sz w:val="26"/>
        </w:rPr>
        <w:t>of</w:t>
      </w:r>
      <w:r>
        <w:rPr>
          <w:spacing w:val="-12"/>
          <w:sz w:val="26"/>
        </w:rPr>
        <w:t xml:space="preserve"> </w:t>
      </w:r>
      <w:r>
        <w:rPr>
          <w:sz w:val="26"/>
        </w:rPr>
        <w:t>the</w:t>
      </w:r>
      <w:r>
        <w:rPr>
          <w:spacing w:val="-16"/>
          <w:sz w:val="26"/>
        </w:rPr>
        <w:t xml:space="preserve"> </w:t>
      </w:r>
      <w:r>
        <w:rPr>
          <w:sz w:val="26"/>
        </w:rPr>
        <w:t>most basic postulates of human dignity to women. Neither can the Constitution countenance</w:t>
      </w:r>
      <w:r>
        <w:rPr>
          <w:spacing w:val="-17"/>
          <w:sz w:val="26"/>
        </w:rPr>
        <w:t xml:space="preserve"> </w:t>
      </w:r>
      <w:r>
        <w:rPr>
          <w:sz w:val="26"/>
        </w:rPr>
        <w:t>such</w:t>
      </w:r>
      <w:r>
        <w:rPr>
          <w:spacing w:val="-19"/>
          <w:sz w:val="26"/>
        </w:rPr>
        <w:t xml:space="preserve"> </w:t>
      </w:r>
      <w:r>
        <w:rPr>
          <w:sz w:val="26"/>
        </w:rPr>
        <w:t>an</w:t>
      </w:r>
      <w:r>
        <w:rPr>
          <w:spacing w:val="-16"/>
          <w:sz w:val="26"/>
        </w:rPr>
        <w:t xml:space="preserve"> </w:t>
      </w:r>
      <w:r>
        <w:rPr>
          <w:sz w:val="26"/>
        </w:rPr>
        <w:t>exclusion</w:t>
      </w:r>
      <w:r>
        <w:rPr>
          <w:spacing w:val="-19"/>
          <w:sz w:val="26"/>
        </w:rPr>
        <w:t xml:space="preserve"> </w:t>
      </w:r>
      <w:r>
        <w:rPr>
          <w:sz w:val="26"/>
        </w:rPr>
        <w:t>nor</w:t>
      </w:r>
      <w:r>
        <w:rPr>
          <w:spacing w:val="-18"/>
          <w:sz w:val="26"/>
        </w:rPr>
        <w:t xml:space="preserve"> </w:t>
      </w:r>
      <w:r>
        <w:rPr>
          <w:sz w:val="26"/>
        </w:rPr>
        <w:t>can</w:t>
      </w:r>
      <w:r>
        <w:rPr>
          <w:spacing w:val="-19"/>
          <w:sz w:val="26"/>
        </w:rPr>
        <w:t xml:space="preserve"> </w:t>
      </w:r>
      <w:r>
        <w:rPr>
          <w:sz w:val="26"/>
        </w:rPr>
        <w:t>a</w:t>
      </w:r>
      <w:r>
        <w:rPr>
          <w:spacing w:val="-18"/>
          <w:sz w:val="26"/>
        </w:rPr>
        <w:t xml:space="preserve"> </w:t>
      </w:r>
      <w:r>
        <w:rPr>
          <w:sz w:val="26"/>
        </w:rPr>
        <w:t>free</w:t>
      </w:r>
      <w:r>
        <w:rPr>
          <w:spacing w:val="-19"/>
          <w:sz w:val="26"/>
        </w:rPr>
        <w:t xml:space="preserve"> </w:t>
      </w:r>
      <w:r>
        <w:rPr>
          <w:sz w:val="26"/>
        </w:rPr>
        <w:t>society</w:t>
      </w:r>
      <w:r>
        <w:rPr>
          <w:spacing w:val="-20"/>
          <w:sz w:val="26"/>
        </w:rPr>
        <w:t xml:space="preserve"> </w:t>
      </w:r>
      <w:r>
        <w:rPr>
          <w:sz w:val="26"/>
        </w:rPr>
        <w:t>accept</w:t>
      </w:r>
      <w:r>
        <w:rPr>
          <w:spacing w:val="-17"/>
          <w:sz w:val="26"/>
        </w:rPr>
        <w:t xml:space="preserve"> </w:t>
      </w:r>
      <w:r>
        <w:rPr>
          <w:sz w:val="26"/>
        </w:rPr>
        <w:t>it</w:t>
      </w:r>
      <w:r>
        <w:rPr>
          <w:spacing w:val="-18"/>
          <w:sz w:val="26"/>
        </w:rPr>
        <w:t xml:space="preserve"> </w:t>
      </w:r>
      <w:r>
        <w:rPr>
          <w:sz w:val="26"/>
        </w:rPr>
        <w:t>under</w:t>
      </w:r>
      <w:r>
        <w:rPr>
          <w:spacing w:val="-19"/>
          <w:sz w:val="26"/>
        </w:rPr>
        <w:t xml:space="preserve"> </w:t>
      </w:r>
      <w:r>
        <w:rPr>
          <w:sz w:val="26"/>
        </w:rPr>
        <w:t>the</w:t>
      </w:r>
      <w:r>
        <w:rPr>
          <w:spacing w:val="-15"/>
          <w:sz w:val="26"/>
        </w:rPr>
        <w:t xml:space="preserve"> </w:t>
      </w:r>
      <w:r>
        <w:rPr>
          <w:sz w:val="26"/>
        </w:rPr>
        <w:t>veneer of religious</w:t>
      </w:r>
      <w:r>
        <w:rPr>
          <w:spacing w:val="-3"/>
          <w:sz w:val="26"/>
        </w:rPr>
        <w:t xml:space="preserve"> </w:t>
      </w:r>
      <w:r>
        <w:rPr>
          <w:sz w:val="26"/>
        </w:rPr>
        <w:t>beliefs.</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Much of our jurisprudence on religion has evolved, as we shall see, around what constitutes an essential religious practice. At a certain level an adjudication of what is a religious practice seems to have emerged from the distinction made in clause 2(a) o</w:t>
      </w:r>
      <w:r>
        <w:rPr>
          <w:sz w:val="26"/>
        </w:rPr>
        <w:t>f Article 25 between a religious practice and economic,</w:t>
      </w:r>
      <w:r>
        <w:rPr>
          <w:spacing w:val="-21"/>
          <w:sz w:val="26"/>
        </w:rPr>
        <w:t xml:space="preserve"> </w:t>
      </w:r>
      <w:r>
        <w:rPr>
          <w:sz w:val="26"/>
        </w:rPr>
        <w:t>financial,</w:t>
      </w:r>
      <w:r>
        <w:rPr>
          <w:spacing w:val="-18"/>
          <w:sz w:val="26"/>
        </w:rPr>
        <w:t xml:space="preserve"> </w:t>
      </w:r>
      <w:r>
        <w:rPr>
          <w:sz w:val="26"/>
        </w:rPr>
        <w:t>political</w:t>
      </w:r>
      <w:r>
        <w:rPr>
          <w:spacing w:val="-20"/>
          <w:sz w:val="26"/>
        </w:rPr>
        <w:t xml:space="preserve"> </w:t>
      </w:r>
      <w:r>
        <w:rPr>
          <w:sz w:val="26"/>
        </w:rPr>
        <w:t>or</w:t>
      </w:r>
      <w:r>
        <w:rPr>
          <w:spacing w:val="-20"/>
          <w:sz w:val="26"/>
        </w:rPr>
        <w:t xml:space="preserve"> </w:t>
      </w:r>
      <w:r>
        <w:rPr>
          <w:sz w:val="26"/>
        </w:rPr>
        <w:t>other</w:t>
      </w:r>
      <w:r>
        <w:rPr>
          <w:spacing w:val="-21"/>
          <w:sz w:val="26"/>
        </w:rPr>
        <w:t xml:space="preserve"> </w:t>
      </w:r>
      <w:r>
        <w:rPr>
          <w:sz w:val="26"/>
        </w:rPr>
        <w:t>secular</w:t>
      </w:r>
      <w:r>
        <w:rPr>
          <w:spacing w:val="-20"/>
          <w:sz w:val="26"/>
        </w:rPr>
        <w:t xml:space="preserve"> </w:t>
      </w:r>
      <w:r>
        <w:rPr>
          <w:sz w:val="26"/>
        </w:rPr>
        <w:t>activities</w:t>
      </w:r>
      <w:r>
        <w:rPr>
          <w:spacing w:val="-18"/>
          <w:sz w:val="26"/>
        </w:rPr>
        <w:t xml:space="preserve"> </w:t>
      </w:r>
      <w:r>
        <w:rPr>
          <w:sz w:val="26"/>
        </w:rPr>
        <w:t>which</w:t>
      </w:r>
      <w:r>
        <w:rPr>
          <w:spacing w:val="-20"/>
          <w:sz w:val="26"/>
        </w:rPr>
        <w:t xml:space="preserve"> </w:t>
      </w:r>
      <w:r>
        <w:rPr>
          <w:sz w:val="26"/>
        </w:rPr>
        <w:t>are</w:t>
      </w:r>
      <w:r>
        <w:rPr>
          <w:spacing w:val="-18"/>
          <w:sz w:val="26"/>
        </w:rPr>
        <w:t xml:space="preserve"> </w:t>
      </w:r>
      <w:r>
        <w:rPr>
          <w:sz w:val="26"/>
        </w:rPr>
        <w:t>associated</w:t>
      </w:r>
      <w:r>
        <w:rPr>
          <w:spacing w:val="-18"/>
          <w:sz w:val="26"/>
        </w:rPr>
        <w:t xml:space="preserve"> </w:t>
      </w:r>
      <w:r>
        <w:rPr>
          <w:sz w:val="26"/>
        </w:rPr>
        <w:t>with religious</w:t>
      </w:r>
      <w:r>
        <w:rPr>
          <w:spacing w:val="-14"/>
          <w:sz w:val="26"/>
        </w:rPr>
        <w:t xml:space="preserve"> </w:t>
      </w:r>
      <w:r>
        <w:rPr>
          <w:sz w:val="26"/>
        </w:rPr>
        <w:t>practices.</w:t>
      </w:r>
      <w:r>
        <w:rPr>
          <w:spacing w:val="-16"/>
          <w:sz w:val="26"/>
        </w:rPr>
        <w:t xml:space="preserve"> </w:t>
      </w:r>
      <w:r>
        <w:rPr>
          <w:sz w:val="26"/>
        </w:rPr>
        <w:t>Where</w:t>
      </w:r>
      <w:r>
        <w:rPr>
          <w:spacing w:val="-16"/>
          <w:sz w:val="26"/>
        </w:rPr>
        <w:t xml:space="preserve"> </w:t>
      </w:r>
      <w:r>
        <w:rPr>
          <w:sz w:val="26"/>
        </w:rPr>
        <w:t>the</w:t>
      </w:r>
      <w:r>
        <w:rPr>
          <w:spacing w:val="-16"/>
          <w:sz w:val="26"/>
        </w:rPr>
        <w:t xml:space="preserve"> </w:t>
      </w:r>
      <w:r>
        <w:rPr>
          <w:sz w:val="26"/>
        </w:rPr>
        <w:t>state</w:t>
      </w:r>
      <w:r>
        <w:rPr>
          <w:spacing w:val="-16"/>
          <w:sz w:val="26"/>
        </w:rPr>
        <w:t xml:space="preserve"> </w:t>
      </w:r>
      <w:r>
        <w:rPr>
          <w:sz w:val="26"/>
        </w:rPr>
        <w:t>has</w:t>
      </w:r>
      <w:r>
        <w:rPr>
          <w:spacing w:val="-15"/>
          <w:sz w:val="26"/>
        </w:rPr>
        <w:t xml:space="preserve"> </w:t>
      </w:r>
      <w:r>
        <w:rPr>
          <w:sz w:val="26"/>
        </w:rPr>
        <w:t>enacted</w:t>
      </w:r>
      <w:r>
        <w:rPr>
          <w:spacing w:val="-16"/>
          <w:sz w:val="26"/>
        </w:rPr>
        <w:t xml:space="preserve"> </w:t>
      </w:r>
      <w:r>
        <w:rPr>
          <w:sz w:val="26"/>
        </w:rPr>
        <w:t>a</w:t>
      </w:r>
      <w:r>
        <w:rPr>
          <w:spacing w:val="-14"/>
          <w:sz w:val="26"/>
        </w:rPr>
        <w:t xml:space="preserve"> </w:t>
      </w:r>
      <w:r>
        <w:rPr>
          <w:sz w:val="26"/>
        </w:rPr>
        <w:t>law</w:t>
      </w:r>
      <w:r>
        <w:rPr>
          <w:spacing w:val="-13"/>
          <w:sz w:val="26"/>
        </w:rPr>
        <w:t xml:space="preserve"> </w:t>
      </w:r>
      <w:r>
        <w:rPr>
          <w:sz w:val="26"/>
        </w:rPr>
        <w:t>by</w:t>
      </w:r>
      <w:r>
        <w:rPr>
          <w:spacing w:val="-16"/>
          <w:sz w:val="26"/>
        </w:rPr>
        <w:t xml:space="preserve"> </w:t>
      </w:r>
      <w:r>
        <w:rPr>
          <w:sz w:val="26"/>
        </w:rPr>
        <w:t>which</w:t>
      </w:r>
      <w:r>
        <w:rPr>
          <w:spacing w:val="-13"/>
          <w:sz w:val="26"/>
        </w:rPr>
        <w:t xml:space="preserve"> </w:t>
      </w:r>
      <w:r>
        <w:rPr>
          <w:sz w:val="26"/>
        </w:rPr>
        <w:t>it</w:t>
      </w:r>
      <w:r>
        <w:rPr>
          <w:spacing w:val="-16"/>
          <w:sz w:val="26"/>
        </w:rPr>
        <w:t xml:space="preserve"> </w:t>
      </w:r>
      <w:r>
        <w:rPr>
          <w:sz w:val="26"/>
        </w:rPr>
        <w:t>claims</w:t>
      </w:r>
      <w:r>
        <w:rPr>
          <w:spacing w:val="-14"/>
          <w:sz w:val="26"/>
        </w:rPr>
        <w:t xml:space="preserve"> </w:t>
      </w:r>
      <w:r>
        <w:rPr>
          <w:sz w:val="26"/>
        </w:rPr>
        <w:t>to</w:t>
      </w:r>
      <w:r>
        <w:rPr>
          <w:spacing w:val="-16"/>
          <w:sz w:val="26"/>
        </w:rPr>
        <w:t xml:space="preserve"> </w:t>
      </w:r>
      <w:r>
        <w:rPr>
          <w:sz w:val="26"/>
        </w:rPr>
        <w:t>have regulated a secular activity associated with a religious practice, but not the religious practice, it becomes necessary to decide the issue, where the validity of</w:t>
      </w:r>
      <w:r>
        <w:rPr>
          <w:spacing w:val="12"/>
          <w:sz w:val="26"/>
        </w:rPr>
        <w:t xml:space="preserve"> </w:t>
      </w:r>
      <w:r>
        <w:rPr>
          <w:sz w:val="26"/>
        </w:rPr>
        <w:t>the</w:t>
      </w:r>
      <w:r>
        <w:rPr>
          <w:spacing w:val="14"/>
          <w:sz w:val="26"/>
        </w:rPr>
        <w:t xml:space="preserve"> </w:t>
      </w:r>
      <w:r>
        <w:rPr>
          <w:sz w:val="26"/>
        </w:rPr>
        <w:t>law</w:t>
      </w:r>
      <w:r>
        <w:rPr>
          <w:spacing w:val="11"/>
          <w:sz w:val="26"/>
        </w:rPr>
        <w:t xml:space="preserve"> </w:t>
      </w:r>
      <w:r>
        <w:rPr>
          <w:sz w:val="26"/>
        </w:rPr>
        <w:t>is</w:t>
      </w:r>
      <w:r>
        <w:rPr>
          <w:spacing w:val="12"/>
          <w:sz w:val="26"/>
        </w:rPr>
        <w:t xml:space="preserve"> </w:t>
      </w:r>
      <w:r>
        <w:rPr>
          <w:sz w:val="26"/>
        </w:rPr>
        <w:t>challenged.</w:t>
      </w:r>
      <w:r>
        <w:rPr>
          <w:spacing w:val="15"/>
          <w:sz w:val="26"/>
        </w:rPr>
        <w:t xml:space="preserve"> </w:t>
      </w:r>
      <w:r>
        <w:rPr>
          <w:sz w:val="26"/>
        </w:rPr>
        <w:t>Similarly,</w:t>
      </w:r>
      <w:r>
        <w:rPr>
          <w:spacing w:val="13"/>
          <w:sz w:val="26"/>
        </w:rPr>
        <w:t xml:space="preserve"> </w:t>
      </w:r>
      <w:r>
        <w:rPr>
          <w:sz w:val="26"/>
        </w:rPr>
        <w:t>Article</w:t>
      </w:r>
      <w:r>
        <w:rPr>
          <w:spacing w:val="12"/>
          <w:sz w:val="26"/>
        </w:rPr>
        <w:t xml:space="preserve"> </w:t>
      </w:r>
      <w:r>
        <w:rPr>
          <w:sz w:val="26"/>
        </w:rPr>
        <w:t>26(b)</w:t>
      </w:r>
      <w:r>
        <w:rPr>
          <w:spacing w:val="15"/>
          <w:sz w:val="26"/>
        </w:rPr>
        <w:t xml:space="preserve"> </w:t>
      </w:r>
      <w:r>
        <w:rPr>
          <w:sz w:val="26"/>
        </w:rPr>
        <w:t>speaks</w:t>
      </w:r>
      <w:r>
        <w:rPr>
          <w:spacing w:val="12"/>
          <w:sz w:val="26"/>
        </w:rPr>
        <w:t xml:space="preserve"> </w:t>
      </w:r>
      <w:r>
        <w:rPr>
          <w:sz w:val="26"/>
        </w:rPr>
        <w:t>of</w:t>
      </w:r>
      <w:r>
        <w:rPr>
          <w:spacing w:val="12"/>
          <w:sz w:val="26"/>
        </w:rPr>
        <w:t xml:space="preserve"> </w:t>
      </w:r>
      <w:r>
        <w:rPr>
          <w:sz w:val="26"/>
        </w:rPr>
        <w:t>“matters</w:t>
      </w:r>
      <w:r>
        <w:rPr>
          <w:spacing w:val="13"/>
          <w:sz w:val="26"/>
        </w:rPr>
        <w:t xml:space="preserve"> </w:t>
      </w:r>
      <w:r>
        <w:rPr>
          <w:sz w:val="26"/>
        </w:rPr>
        <w:t>of</w:t>
      </w:r>
      <w:r>
        <w:rPr>
          <w:spacing w:val="12"/>
          <w:sz w:val="26"/>
        </w:rPr>
        <w:t xml:space="preserve"> </w:t>
      </w:r>
      <w:r>
        <w:rPr>
          <w:sz w:val="26"/>
        </w:rPr>
        <w:t>religion”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when it recognises the right of a religious denomination to manage them. In</w:t>
      </w:r>
      <w:r>
        <w:rPr>
          <w:spacing w:val="-52"/>
          <w:sz w:val="26"/>
        </w:rPr>
        <w:t xml:space="preserve"> </w:t>
      </w:r>
      <w:r>
        <w:rPr>
          <w:sz w:val="26"/>
        </w:rPr>
        <w:t>the context of Article 26(b), this Court has embarked upon a course to decide in individual cases whether, what was said to be regulated by the state was a matter</w:t>
      </w:r>
      <w:r>
        <w:rPr>
          <w:spacing w:val="-17"/>
          <w:sz w:val="26"/>
        </w:rPr>
        <w:t xml:space="preserve"> </w:t>
      </w:r>
      <w:r>
        <w:rPr>
          <w:sz w:val="26"/>
        </w:rPr>
        <w:t>of</w:t>
      </w:r>
      <w:r>
        <w:rPr>
          <w:spacing w:val="-17"/>
          <w:sz w:val="26"/>
        </w:rPr>
        <w:t xml:space="preserve"> </w:t>
      </w:r>
      <w:r>
        <w:rPr>
          <w:sz w:val="26"/>
        </w:rPr>
        <w:t>religion</w:t>
      </w:r>
      <w:r>
        <w:rPr>
          <w:spacing w:val="-15"/>
          <w:sz w:val="26"/>
        </w:rPr>
        <w:t xml:space="preserve"> </w:t>
      </w:r>
      <w:r>
        <w:rPr>
          <w:sz w:val="26"/>
        </w:rPr>
        <w:t>which</w:t>
      </w:r>
      <w:r>
        <w:rPr>
          <w:spacing w:val="-17"/>
          <w:sz w:val="26"/>
        </w:rPr>
        <w:t xml:space="preserve"> </w:t>
      </w:r>
      <w:r>
        <w:rPr>
          <w:sz w:val="26"/>
        </w:rPr>
        <w:t>falls</w:t>
      </w:r>
      <w:r>
        <w:rPr>
          <w:spacing w:val="-14"/>
          <w:sz w:val="26"/>
        </w:rPr>
        <w:t xml:space="preserve"> </w:t>
      </w:r>
      <w:r>
        <w:rPr>
          <w:sz w:val="26"/>
        </w:rPr>
        <w:t>within</w:t>
      </w:r>
      <w:r>
        <w:rPr>
          <w:spacing w:val="-17"/>
          <w:sz w:val="26"/>
        </w:rPr>
        <w:t xml:space="preserve"> </w:t>
      </w:r>
      <w:r>
        <w:rPr>
          <w:sz w:val="26"/>
        </w:rPr>
        <w:t>the</w:t>
      </w:r>
      <w:r>
        <w:rPr>
          <w:spacing w:val="-17"/>
          <w:sz w:val="26"/>
        </w:rPr>
        <w:t xml:space="preserve"> </w:t>
      </w:r>
      <w:r>
        <w:rPr>
          <w:sz w:val="26"/>
        </w:rPr>
        <w:t>freedom</w:t>
      </w:r>
      <w:r>
        <w:rPr>
          <w:spacing w:val="-17"/>
          <w:sz w:val="26"/>
        </w:rPr>
        <w:t xml:space="preserve"> </w:t>
      </w:r>
      <w:r>
        <w:rPr>
          <w:sz w:val="26"/>
        </w:rPr>
        <w:t>guaranteed</w:t>
      </w:r>
      <w:r>
        <w:rPr>
          <w:spacing w:val="-17"/>
          <w:sz w:val="26"/>
        </w:rPr>
        <w:t xml:space="preserve"> </w:t>
      </w:r>
      <w:r>
        <w:rPr>
          <w:sz w:val="26"/>
        </w:rPr>
        <w:t>to</w:t>
      </w:r>
      <w:r>
        <w:rPr>
          <w:spacing w:val="-16"/>
          <w:sz w:val="26"/>
        </w:rPr>
        <w:t xml:space="preserve"> </w:t>
      </w:r>
      <w:r>
        <w:rPr>
          <w:sz w:val="26"/>
        </w:rPr>
        <w:t>the</w:t>
      </w:r>
      <w:r>
        <w:rPr>
          <w:spacing w:val="-17"/>
          <w:sz w:val="26"/>
        </w:rPr>
        <w:t xml:space="preserve"> </w:t>
      </w:r>
      <w:r>
        <w:rPr>
          <w:sz w:val="26"/>
        </w:rPr>
        <w:t>denomination. These</w:t>
      </w:r>
      <w:r>
        <w:rPr>
          <w:spacing w:val="-7"/>
          <w:sz w:val="26"/>
        </w:rPr>
        <w:t xml:space="preserve"> </w:t>
      </w:r>
      <w:r>
        <w:rPr>
          <w:sz w:val="26"/>
        </w:rPr>
        <w:t>compulsions</w:t>
      </w:r>
      <w:r>
        <w:rPr>
          <w:spacing w:val="-4"/>
          <w:sz w:val="26"/>
        </w:rPr>
        <w:t xml:space="preserve"> </w:t>
      </w:r>
      <w:r>
        <w:rPr>
          <w:sz w:val="26"/>
        </w:rPr>
        <w:t>nonetheless</w:t>
      </w:r>
      <w:r>
        <w:rPr>
          <w:spacing w:val="-7"/>
          <w:sz w:val="26"/>
        </w:rPr>
        <w:t xml:space="preserve"> </w:t>
      </w:r>
      <w:r>
        <w:rPr>
          <w:sz w:val="26"/>
        </w:rPr>
        <w:t>have</w:t>
      </w:r>
      <w:r>
        <w:rPr>
          <w:spacing w:val="-5"/>
          <w:sz w:val="26"/>
        </w:rPr>
        <w:t xml:space="preserve"> </w:t>
      </w:r>
      <w:r>
        <w:rPr>
          <w:sz w:val="26"/>
        </w:rPr>
        <w:t>led</w:t>
      </w:r>
      <w:r>
        <w:rPr>
          <w:spacing w:val="-7"/>
          <w:sz w:val="26"/>
        </w:rPr>
        <w:t xml:space="preserve"> </w:t>
      </w:r>
      <w:r>
        <w:rPr>
          <w:sz w:val="26"/>
        </w:rPr>
        <w:t>the</w:t>
      </w:r>
      <w:r>
        <w:rPr>
          <w:spacing w:val="-7"/>
          <w:sz w:val="26"/>
        </w:rPr>
        <w:t xml:space="preserve"> </w:t>
      </w:r>
      <w:r>
        <w:rPr>
          <w:sz w:val="26"/>
        </w:rPr>
        <w:t>court</w:t>
      </w:r>
      <w:r>
        <w:rPr>
          <w:spacing w:val="-7"/>
          <w:sz w:val="26"/>
        </w:rPr>
        <w:t xml:space="preserve"> </w:t>
      </w:r>
      <w:r>
        <w:rPr>
          <w:sz w:val="26"/>
        </w:rPr>
        <w:t>to</w:t>
      </w:r>
      <w:r>
        <w:rPr>
          <w:spacing w:val="-7"/>
          <w:sz w:val="26"/>
        </w:rPr>
        <w:t xml:space="preserve"> </w:t>
      </w:r>
      <w:r>
        <w:rPr>
          <w:sz w:val="26"/>
        </w:rPr>
        <w:t>don</w:t>
      </w:r>
      <w:r>
        <w:rPr>
          <w:spacing w:val="-3"/>
          <w:sz w:val="26"/>
        </w:rPr>
        <w:t xml:space="preserve"> </w:t>
      </w:r>
      <w:r>
        <w:rPr>
          <w:sz w:val="26"/>
        </w:rPr>
        <w:t>a</w:t>
      </w:r>
      <w:r>
        <w:rPr>
          <w:spacing w:val="-7"/>
          <w:sz w:val="26"/>
        </w:rPr>
        <w:t xml:space="preserve"> </w:t>
      </w:r>
      <w:r>
        <w:rPr>
          <w:sz w:val="26"/>
        </w:rPr>
        <w:t>theological</w:t>
      </w:r>
      <w:r>
        <w:rPr>
          <w:spacing w:val="-4"/>
          <w:sz w:val="26"/>
        </w:rPr>
        <w:t xml:space="preserve"> </w:t>
      </w:r>
      <w:r>
        <w:rPr>
          <w:sz w:val="26"/>
        </w:rPr>
        <w:t>mantle. The enquiry has moved from deciding what is essentially religious to what is</w:t>
      </w:r>
      <w:r>
        <w:rPr>
          <w:spacing w:val="-52"/>
          <w:sz w:val="26"/>
        </w:rPr>
        <w:t xml:space="preserve"> </w:t>
      </w:r>
      <w:r>
        <w:rPr>
          <w:sz w:val="26"/>
        </w:rPr>
        <w:t>an essential religious practice. Donning such a role is not an easy task when the Court is called upon to decide whethe</w:t>
      </w:r>
      <w:r>
        <w:rPr>
          <w:sz w:val="26"/>
        </w:rPr>
        <w:t>r a practice does nor does not form an essential part of a religious belief. Scriptures and customs merge with bewildering complexity into superstition and dogma. Separating the grain from the chaff involves a complex adjudicatory function. Decisions of th</w:t>
      </w:r>
      <w:r>
        <w:rPr>
          <w:sz w:val="26"/>
        </w:rPr>
        <w:t>e Court</w:t>
      </w:r>
      <w:r>
        <w:rPr>
          <w:spacing w:val="-30"/>
          <w:sz w:val="26"/>
        </w:rPr>
        <w:t xml:space="preserve"> </w:t>
      </w:r>
      <w:r>
        <w:rPr>
          <w:sz w:val="26"/>
        </w:rPr>
        <w:t>have attempted</w:t>
      </w:r>
      <w:r>
        <w:rPr>
          <w:spacing w:val="-14"/>
          <w:sz w:val="26"/>
        </w:rPr>
        <w:t xml:space="preserve"> </w:t>
      </w:r>
      <w:r>
        <w:rPr>
          <w:sz w:val="26"/>
        </w:rPr>
        <w:t>to</w:t>
      </w:r>
      <w:r>
        <w:rPr>
          <w:spacing w:val="-14"/>
          <w:sz w:val="26"/>
        </w:rPr>
        <w:t xml:space="preserve"> </w:t>
      </w:r>
      <w:r>
        <w:rPr>
          <w:sz w:val="26"/>
        </w:rPr>
        <w:t>bring</w:t>
      </w:r>
      <w:r>
        <w:rPr>
          <w:spacing w:val="-13"/>
          <w:sz w:val="26"/>
        </w:rPr>
        <w:t xml:space="preserve"> </w:t>
      </w:r>
      <w:r>
        <w:rPr>
          <w:sz w:val="26"/>
        </w:rPr>
        <w:t>in</w:t>
      </w:r>
      <w:r>
        <w:rPr>
          <w:spacing w:val="-11"/>
          <w:sz w:val="26"/>
        </w:rPr>
        <w:t xml:space="preserve"> </w:t>
      </w:r>
      <w:r>
        <w:rPr>
          <w:sz w:val="26"/>
        </w:rPr>
        <w:t>a</w:t>
      </w:r>
      <w:r>
        <w:rPr>
          <w:spacing w:val="-14"/>
          <w:sz w:val="26"/>
        </w:rPr>
        <w:t xml:space="preserve"> </w:t>
      </w:r>
      <w:r>
        <w:rPr>
          <w:sz w:val="26"/>
        </w:rPr>
        <w:t>measure</w:t>
      </w:r>
      <w:r>
        <w:rPr>
          <w:spacing w:val="-13"/>
          <w:sz w:val="26"/>
        </w:rPr>
        <w:t xml:space="preserve"> </w:t>
      </w:r>
      <w:r>
        <w:rPr>
          <w:sz w:val="26"/>
        </w:rPr>
        <w:t>of</w:t>
      </w:r>
      <w:r>
        <w:rPr>
          <w:spacing w:val="-14"/>
          <w:sz w:val="26"/>
        </w:rPr>
        <w:t xml:space="preserve"> </w:t>
      </w:r>
      <w:r>
        <w:rPr>
          <w:sz w:val="26"/>
        </w:rPr>
        <w:t>objectivity</w:t>
      </w:r>
      <w:r>
        <w:rPr>
          <w:spacing w:val="-13"/>
          <w:sz w:val="26"/>
        </w:rPr>
        <w:t xml:space="preserve"> </w:t>
      </w:r>
      <w:r>
        <w:rPr>
          <w:sz w:val="26"/>
        </w:rPr>
        <w:t>by</w:t>
      </w:r>
      <w:r>
        <w:rPr>
          <w:spacing w:val="-16"/>
          <w:sz w:val="26"/>
        </w:rPr>
        <w:t xml:space="preserve"> </w:t>
      </w:r>
      <w:r>
        <w:rPr>
          <w:sz w:val="26"/>
        </w:rPr>
        <w:t>holding</w:t>
      </w:r>
      <w:r>
        <w:rPr>
          <w:spacing w:val="-13"/>
          <w:sz w:val="26"/>
        </w:rPr>
        <w:t xml:space="preserve"> </w:t>
      </w:r>
      <w:r>
        <w:rPr>
          <w:sz w:val="26"/>
        </w:rPr>
        <w:t>that</w:t>
      </w:r>
      <w:r>
        <w:rPr>
          <w:spacing w:val="-14"/>
          <w:sz w:val="26"/>
        </w:rPr>
        <w:t xml:space="preserve"> </w:t>
      </w:r>
      <w:r>
        <w:rPr>
          <w:sz w:val="26"/>
        </w:rPr>
        <w:t>the</w:t>
      </w:r>
      <w:r>
        <w:rPr>
          <w:spacing w:val="-11"/>
          <w:sz w:val="26"/>
        </w:rPr>
        <w:t xml:space="preserve"> </w:t>
      </w:r>
      <w:r>
        <w:rPr>
          <w:sz w:val="26"/>
        </w:rPr>
        <w:t>Court</w:t>
      </w:r>
      <w:r>
        <w:rPr>
          <w:spacing w:val="-13"/>
          <w:sz w:val="26"/>
        </w:rPr>
        <w:t xml:space="preserve"> </w:t>
      </w:r>
      <w:r>
        <w:rPr>
          <w:sz w:val="26"/>
        </w:rPr>
        <w:t>has</w:t>
      </w:r>
      <w:r>
        <w:rPr>
          <w:spacing w:val="-14"/>
          <w:sz w:val="26"/>
        </w:rPr>
        <w:t xml:space="preserve"> </w:t>
      </w:r>
      <w:r>
        <w:rPr>
          <w:sz w:val="26"/>
        </w:rPr>
        <w:t>been called upon to decide on the basis of the tenets of the religion itself. But even that is not a consistent</w:t>
      </w:r>
      <w:r>
        <w:rPr>
          <w:spacing w:val="-7"/>
          <w:sz w:val="26"/>
        </w:rPr>
        <w:t xml:space="preserve"> </w:t>
      </w:r>
      <w:r>
        <w:rPr>
          <w:sz w:val="26"/>
        </w:rPr>
        <w:t>norm.</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before="1" w:line="480" w:lineRule="auto"/>
        <w:ind w:right="435" w:firstLine="0"/>
        <w:jc w:val="both"/>
        <w:rPr>
          <w:sz w:val="26"/>
        </w:rPr>
      </w:pPr>
      <w:r>
        <w:rPr>
          <w:sz w:val="26"/>
        </w:rPr>
        <w:t>Our conversations with the Constitution must be restructured to evolve both with the broadening of the content of liberty and dignity and the role of the Court as an enforcer of constitutional doctrine. The basic principle which must guide</w:t>
      </w:r>
      <w:r>
        <w:rPr>
          <w:spacing w:val="-10"/>
          <w:sz w:val="26"/>
        </w:rPr>
        <w:t xml:space="preserve"> </w:t>
      </w:r>
      <w:r>
        <w:rPr>
          <w:sz w:val="26"/>
        </w:rPr>
        <w:t>any</w:t>
      </w:r>
      <w:r>
        <w:rPr>
          <w:spacing w:val="-11"/>
          <w:sz w:val="26"/>
        </w:rPr>
        <w:t xml:space="preserve"> </w:t>
      </w:r>
      <w:r>
        <w:rPr>
          <w:sz w:val="26"/>
        </w:rPr>
        <w:t>analysis</w:t>
      </w:r>
      <w:r>
        <w:rPr>
          <w:spacing w:val="-9"/>
          <w:sz w:val="26"/>
        </w:rPr>
        <w:t xml:space="preserve"> </w:t>
      </w:r>
      <w:r>
        <w:rPr>
          <w:sz w:val="26"/>
        </w:rPr>
        <w:t>in</w:t>
      </w:r>
      <w:r>
        <w:rPr>
          <w:spacing w:val="-9"/>
          <w:sz w:val="26"/>
        </w:rPr>
        <w:t xml:space="preserve"> </w:t>
      </w:r>
      <w:r>
        <w:rPr>
          <w:sz w:val="26"/>
        </w:rPr>
        <w:t>this</w:t>
      </w:r>
      <w:r>
        <w:rPr>
          <w:spacing w:val="-9"/>
          <w:sz w:val="26"/>
        </w:rPr>
        <w:t xml:space="preserve"> </w:t>
      </w:r>
      <w:r>
        <w:rPr>
          <w:sz w:val="26"/>
        </w:rPr>
        <w:t>area</w:t>
      </w:r>
      <w:r>
        <w:rPr>
          <w:spacing w:val="-9"/>
          <w:sz w:val="26"/>
        </w:rPr>
        <w:t xml:space="preserve"> </w:t>
      </w:r>
      <w:r>
        <w:rPr>
          <w:sz w:val="26"/>
        </w:rPr>
        <w:t>is</w:t>
      </w:r>
      <w:r>
        <w:rPr>
          <w:spacing w:val="-9"/>
          <w:sz w:val="26"/>
        </w:rPr>
        <w:t xml:space="preserve"> </w:t>
      </w:r>
      <w:r>
        <w:rPr>
          <w:sz w:val="26"/>
        </w:rPr>
        <w:t>the</w:t>
      </w:r>
      <w:r>
        <w:rPr>
          <w:spacing w:val="-9"/>
          <w:sz w:val="26"/>
        </w:rPr>
        <w:t xml:space="preserve"> </w:t>
      </w:r>
      <w:r>
        <w:rPr>
          <w:sz w:val="26"/>
        </w:rPr>
        <w:t>dominance</w:t>
      </w:r>
      <w:r>
        <w:rPr>
          <w:spacing w:val="-9"/>
          <w:sz w:val="26"/>
        </w:rPr>
        <w:t xml:space="preserve"> </w:t>
      </w:r>
      <w:r>
        <w:rPr>
          <w:sz w:val="26"/>
        </w:rPr>
        <w:t>of</w:t>
      </w:r>
      <w:r>
        <w:rPr>
          <w:spacing w:val="-9"/>
          <w:sz w:val="26"/>
        </w:rPr>
        <w:t xml:space="preserve"> </w:t>
      </w:r>
      <w:r>
        <w:rPr>
          <w:sz w:val="26"/>
        </w:rPr>
        <w:t>the</w:t>
      </w:r>
      <w:r>
        <w:rPr>
          <w:spacing w:val="-7"/>
          <w:sz w:val="26"/>
        </w:rPr>
        <w:t xml:space="preserve"> </w:t>
      </w:r>
      <w:r>
        <w:rPr>
          <w:sz w:val="26"/>
        </w:rPr>
        <w:t>values</w:t>
      </w:r>
      <w:r>
        <w:rPr>
          <w:spacing w:val="-9"/>
          <w:sz w:val="26"/>
        </w:rPr>
        <w:t xml:space="preserve"> </w:t>
      </w:r>
      <w:r>
        <w:rPr>
          <w:sz w:val="26"/>
        </w:rPr>
        <w:t>of</w:t>
      </w:r>
      <w:r>
        <w:rPr>
          <w:spacing w:val="-7"/>
          <w:sz w:val="26"/>
        </w:rPr>
        <w:t xml:space="preserve"> </w:t>
      </w:r>
      <w:r>
        <w:rPr>
          <w:sz w:val="26"/>
        </w:rPr>
        <w:t>liberty,</w:t>
      </w:r>
      <w:r>
        <w:rPr>
          <w:spacing w:val="-9"/>
          <w:sz w:val="26"/>
        </w:rPr>
        <w:t xml:space="preserve"> </w:t>
      </w:r>
      <w:r>
        <w:rPr>
          <w:sz w:val="26"/>
        </w:rPr>
        <w:t>equality and fraternity as instruments in achieving individual dignity. Once individual dignity assumes the character of a shining star in the constellation of fundamental</w:t>
      </w:r>
      <w:r>
        <w:rPr>
          <w:spacing w:val="-7"/>
          <w:sz w:val="26"/>
        </w:rPr>
        <w:t xml:space="preserve"> </w:t>
      </w:r>
      <w:r>
        <w:rPr>
          <w:sz w:val="26"/>
        </w:rPr>
        <w:t>rights,</w:t>
      </w:r>
      <w:r>
        <w:rPr>
          <w:spacing w:val="-9"/>
          <w:sz w:val="26"/>
        </w:rPr>
        <w:t xml:space="preserve"> </w:t>
      </w:r>
      <w:r>
        <w:rPr>
          <w:sz w:val="26"/>
        </w:rPr>
        <w:t>the</w:t>
      </w:r>
      <w:r>
        <w:rPr>
          <w:spacing w:val="-8"/>
          <w:sz w:val="26"/>
        </w:rPr>
        <w:t xml:space="preserve"> </w:t>
      </w:r>
      <w:r>
        <w:rPr>
          <w:sz w:val="26"/>
        </w:rPr>
        <w:t>place</w:t>
      </w:r>
      <w:r>
        <w:rPr>
          <w:spacing w:val="-9"/>
          <w:sz w:val="26"/>
        </w:rPr>
        <w:t xml:space="preserve"> </w:t>
      </w:r>
      <w:r>
        <w:rPr>
          <w:sz w:val="26"/>
        </w:rPr>
        <w:t>of</w:t>
      </w:r>
      <w:r>
        <w:rPr>
          <w:spacing w:val="-8"/>
          <w:sz w:val="26"/>
        </w:rPr>
        <w:t xml:space="preserve"> </w:t>
      </w:r>
      <w:r>
        <w:rPr>
          <w:sz w:val="26"/>
        </w:rPr>
        <w:t>religion</w:t>
      </w:r>
      <w:r>
        <w:rPr>
          <w:spacing w:val="-9"/>
          <w:sz w:val="26"/>
        </w:rPr>
        <w:t xml:space="preserve"> </w:t>
      </w:r>
      <w:r>
        <w:rPr>
          <w:sz w:val="26"/>
        </w:rPr>
        <w:t>i</w:t>
      </w:r>
      <w:r>
        <w:rPr>
          <w:sz w:val="26"/>
        </w:rPr>
        <w:t>n</w:t>
      </w:r>
      <w:r>
        <w:rPr>
          <w:spacing w:val="-7"/>
          <w:sz w:val="26"/>
        </w:rPr>
        <w:t xml:space="preserve"> </w:t>
      </w:r>
      <w:r>
        <w:rPr>
          <w:sz w:val="26"/>
        </w:rPr>
        <w:t>public</w:t>
      </w:r>
      <w:r>
        <w:rPr>
          <w:spacing w:val="-6"/>
          <w:sz w:val="26"/>
        </w:rPr>
        <w:t xml:space="preserve"> </w:t>
      </w:r>
      <w:r>
        <w:rPr>
          <w:sz w:val="26"/>
        </w:rPr>
        <w:t>places</w:t>
      </w:r>
      <w:r>
        <w:rPr>
          <w:spacing w:val="-9"/>
          <w:sz w:val="26"/>
        </w:rPr>
        <w:t xml:space="preserve"> </w:t>
      </w:r>
      <w:r>
        <w:rPr>
          <w:sz w:val="26"/>
        </w:rPr>
        <w:t>must</w:t>
      </w:r>
      <w:r>
        <w:rPr>
          <w:spacing w:val="-8"/>
          <w:sz w:val="26"/>
        </w:rPr>
        <w:t xml:space="preserve"> </w:t>
      </w:r>
      <w:r>
        <w:rPr>
          <w:sz w:val="26"/>
        </w:rPr>
        <w:t>be</w:t>
      </w:r>
      <w:r>
        <w:rPr>
          <w:spacing w:val="-9"/>
          <w:sz w:val="26"/>
        </w:rPr>
        <w:t xml:space="preserve"> </w:t>
      </w:r>
      <w:r>
        <w:rPr>
          <w:sz w:val="26"/>
        </w:rPr>
        <w:t>conditioned</w:t>
      </w:r>
      <w:r>
        <w:rPr>
          <w:spacing w:val="-8"/>
          <w:sz w:val="26"/>
        </w:rPr>
        <w:t xml:space="preserve"> </w:t>
      </w:r>
      <w:r>
        <w:rPr>
          <w:sz w:val="26"/>
        </w:rPr>
        <w:t>by India’s unwavering commitment to a constitutional order based on</w:t>
      </w:r>
      <w:r>
        <w:rPr>
          <w:spacing w:val="27"/>
          <w:sz w:val="26"/>
        </w:rPr>
        <w:t xml:space="preserve"> </w:t>
      </w:r>
      <w:r>
        <w:rPr>
          <w:sz w:val="26"/>
        </w:rPr>
        <w:t>human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dignity. Practices which are destructive of liberty and those which make some citizens less equal than others can simply not be</w:t>
      </w:r>
      <w:r>
        <w:rPr>
          <w:sz w:val="26"/>
        </w:rPr>
        <w:t xml:space="preserve"> countenanced. To treat women as children of a lesser god is to blink at the Constitution itself. Among the fundamental duties of every citizen recognized by the Constitution is “to renounce practices derogatory to the dignity of women”.</w:t>
      </w:r>
      <w:r>
        <w:rPr>
          <w:position w:val="9"/>
          <w:sz w:val="17"/>
        </w:rPr>
        <w:t xml:space="preserve">5 </w:t>
      </w:r>
      <w:r>
        <w:rPr>
          <w:sz w:val="26"/>
        </w:rPr>
        <w:t>In speaking to th</w:t>
      </w:r>
      <w:r>
        <w:rPr>
          <w:sz w:val="26"/>
        </w:rPr>
        <w:t>e equality between individuals in matters of livelihood, health and remuneration for work, the Directive Principles speak to the conscience of the Constitution. To allow practices derogatory to the dignity of a woman in matters of faith and worship would p</w:t>
      </w:r>
      <w:r>
        <w:rPr>
          <w:sz w:val="26"/>
        </w:rPr>
        <w:t xml:space="preserve">ermit a conscious breach of the fundamental duties of every citizen. </w:t>
      </w:r>
      <w:r>
        <w:rPr>
          <w:spacing w:val="3"/>
          <w:sz w:val="26"/>
        </w:rPr>
        <w:t xml:space="preserve">We </w:t>
      </w:r>
      <w:r>
        <w:rPr>
          <w:sz w:val="26"/>
        </w:rPr>
        <w:t>cannot adopt an interpretation of the Constitution which has such an</w:t>
      </w:r>
      <w:r>
        <w:rPr>
          <w:spacing w:val="-7"/>
          <w:sz w:val="26"/>
        </w:rPr>
        <w:t xml:space="preserve"> </w:t>
      </w:r>
      <w:r>
        <w:rPr>
          <w:sz w:val="26"/>
        </w:rPr>
        <w:t>effect.</w:t>
      </w:r>
      <w:r>
        <w:rPr>
          <w:spacing w:val="-4"/>
          <w:sz w:val="26"/>
        </w:rPr>
        <w:t xml:space="preserve"> </w:t>
      </w:r>
      <w:r>
        <w:rPr>
          <w:sz w:val="26"/>
        </w:rPr>
        <w:t>Our</w:t>
      </w:r>
      <w:r>
        <w:rPr>
          <w:spacing w:val="-5"/>
          <w:sz w:val="26"/>
        </w:rPr>
        <w:t xml:space="preserve"> </w:t>
      </w:r>
      <w:r>
        <w:rPr>
          <w:sz w:val="26"/>
        </w:rPr>
        <w:t>inability</w:t>
      </w:r>
      <w:r>
        <w:rPr>
          <w:spacing w:val="-6"/>
          <w:sz w:val="26"/>
        </w:rPr>
        <w:t xml:space="preserve"> </w:t>
      </w:r>
      <w:r>
        <w:rPr>
          <w:sz w:val="26"/>
        </w:rPr>
        <w:t>to</w:t>
      </w:r>
      <w:r>
        <w:rPr>
          <w:spacing w:val="-4"/>
          <w:sz w:val="26"/>
        </w:rPr>
        <w:t xml:space="preserve"> </w:t>
      </w:r>
      <w:r>
        <w:rPr>
          <w:sz w:val="26"/>
        </w:rPr>
        <w:t>state</w:t>
      </w:r>
      <w:r>
        <w:rPr>
          <w:spacing w:val="-5"/>
          <w:sz w:val="26"/>
        </w:rPr>
        <w:t xml:space="preserve"> </w:t>
      </w:r>
      <w:r>
        <w:rPr>
          <w:sz w:val="26"/>
        </w:rPr>
        <w:t>this</w:t>
      </w:r>
      <w:r>
        <w:rPr>
          <w:spacing w:val="-5"/>
          <w:sz w:val="26"/>
        </w:rPr>
        <w:t xml:space="preserve"> </w:t>
      </w:r>
      <w:r>
        <w:rPr>
          <w:sz w:val="26"/>
        </w:rPr>
        <w:t>as</w:t>
      </w:r>
      <w:r>
        <w:rPr>
          <w:spacing w:val="-5"/>
          <w:sz w:val="26"/>
        </w:rPr>
        <w:t xml:space="preserve"> </w:t>
      </w:r>
      <w:r>
        <w:rPr>
          <w:sz w:val="26"/>
        </w:rPr>
        <w:t>a</w:t>
      </w:r>
      <w:r>
        <w:rPr>
          <w:spacing w:val="-4"/>
          <w:sz w:val="26"/>
        </w:rPr>
        <w:t xml:space="preserve"> </w:t>
      </w:r>
      <w:r>
        <w:rPr>
          <w:sz w:val="26"/>
        </w:rPr>
        <w:t>matter</w:t>
      </w:r>
      <w:r>
        <w:rPr>
          <w:spacing w:val="-4"/>
          <w:sz w:val="26"/>
        </w:rPr>
        <w:t xml:space="preserve"> </w:t>
      </w:r>
      <w:r>
        <w:rPr>
          <w:sz w:val="26"/>
        </w:rPr>
        <w:t>of</w:t>
      </w:r>
      <w:r>
        <w:rPr>
          <w:spacing w:val="-7"/>
          <w:sz w:val="26"/>
        </w:rPr>
        <w:t xml:space="preserve"> </w:t>
      </w:r>
      <w:r>
        <w:rPr>
          <w:sz w:val="26"/>
        </w:rPr>
        <w:t>constitutional</w:t>
      </w:r>
      <w:r>
        <w:rPr>
          <w:spacing w:val="-5"/>
          <w:sz w:val="26"/>
        </w:rPr>
        <w:t xml:space="preserve"> </w:t>
      </w:r>
      <w:r>
        <w:rPr>
          <w:sz w:val="26"/>
        </w:rPr>
        <w:t>doctrine</w:t>
      </w:r>
      <w:r>
        <w:rPr>
          <w:spacing w:val="-6"/>
          <w:sz w:val="26"/>
        </w:rPr>
        <w:t xml:space="preserve"> </w:t>
      </w:r>
      <w:r>
        <w:rPr>
          <w:sz w:val="26"/>
        </w:rPr>
        <w:t>is</w:t>
      </w:r>
      <w:r>
        <w:rPr>
          <w:spacing w:val="-7"/>
          <w:sz w:val="26"/>
        </w:rPr>
        <w:t xml:space="preserve"> </w:t>
      </w:r>
      <w:r>
        <w:rPr>
          <w:sz w:val="26"/>
        </w:rPr>
        <w:t xml:space="preserve">liable to lead us to positions of pretence or, worse still, hypocrisy. Both are willing allies to push critical issues under the carpet. If </w:t>
      </w:r>
      <w:r>
        <w:rPr>
          <w:spacing w:val="2"/>
          <w:sz w:val="26"/>
        </w:rPr>
        <w:t xml:space="preserve">we </w:t>
      </w:r>
      <w:r>
        <w:rPr>
          <w:sz w:val="26"/>
        </w:rPr>
        <w:t>are truly to emerge out of the</w:t>
      </w:r>
      <w:r>
        <w:rPr>
          <w:spacing w:val="-20"/>
          <w:sz w:val="26"/>
        </w:rPr>
        <w:t xml:space="preserve"> </w:t>
      </w:r>
      <w:r>
        <w:rPr>
          <w:sz w:val="26"/>
        </w:rPr>
        <w:t>grim</w:t>
      </w:r>
      <w:r>
        <w:rPr>
          <w:spacing w:val="-19"/>
          <w:sz w:val="26"/>
        </w:rPr>
        <w:t xml:space="preserve"> </w:t>
      </w:r>
      <w:r>
        <w:rPr>
          <w:sz w:val="26"/>
        </w:rPr>
        <w:t>shadows</w:t>
      </w:r>
      <w:r>
        <w:rPr>
          <w:spacing w:val="-20"/>
          <w:sz w:val="26"/>
        </w:rPr>
        <w:t xml:space="preserve"> </w:t>
      </w:r>
      <w:r>
        <w:rPr>
          <w:sz w:val="26"/>
        </w:rPr>
        <w:t>of</w:t>
      </w:r>
      <w:r>
        <w:rPr>
          <w:spacing w:val="-18"/>
          <w:sz w:val="26"/>
        </w:rPr>
        <w:t xml:space="preserve"> </w:t>
      </w:r>
      <w:r>
        <w:rPr>
          <w:sz w:val="26"/>
        </w:rPr>
        <w:t>a</w:t>
      </w:r>
      <w:r>
        <w:rPr>
          <w:spacing w:val="-20"/>
          <w:sz w:val="26"/>
        </w:rPr>
        <w:t xml:space="preserve"> </w:t>
      </w:r>
      <w:r>
        <w:rPr>
          <w:sz w:val="26"/>
        </w:rPr>
        <w:t>society</w:t>
      </w:r>
      <w:r>
        <w:rPr>
          <w:spacing w:val="-19"/>
          <w:sz w:val="26"/>
        </w:rPr>
        <w:t xml:space="preserve"> </w:t>
      </w:r>
      <w:r>
        <w:rPr>
          <w:sz w:val="26"/>
        </w:rPr>
        <w:t>which</w:t>
      </w:r>
      <w:r>
        <w:rPr>
          <w:spacing w:val="-19"/>
          <w:sz w:val="26"/>
        </w:rPr>
        <w:t xml:space="preserve"> </w:t>
      </w:r>
      <w:r>
        <w:rPr>
          <w:sz w:val="26"/>
        </w:rPr>
        <w:t>has</w:t>
      </w:r>
      <w:r>
        <w:rPr>
          <w:spacing w:val="-20"/>
          <w:sz w:val="26"/>
        </w:rPr>
        <w:t xml:space="preserve"> </w:t>
      </w:r>
      <w:r>
        <w:rPr>
          <w:sz w:val="26"/>
        </w:rPr>
        <w:t>subjugated</w:t>
      </w:r>
      <w:r>
        <w:rPr>
          <w:spacing w:val="-19"/>
          <w:sz w:val="26"/>
        </w:rPr>
        <w:t xml:space="preserve"> </w:t>
      </w:r>
      <w:r>
        <w:rPr>
          <w:sz w:val="26"/>
        </w:rPr>
        <w:t>groups</w:t>
      </w:r>
      <w:r>
        <w:rPr>
          <w:spacing w:val="-20"/>
          <w:sz w:val="26"/>
        </w:rPr>
        <w:t xml:space="preserve"> </w:t>
      </w:r>
      <w:r>
        <w:rPr>
          <w:sz w:val="26"/>
        </w:rPr>
        <w:t>of</w:t>
      </w:r>
      <w:r>
        <w:rPr>
          <w:spacing w:val="-16"/>
          <w:sz w:val="26"/>
        </w:rPr>
        <w:t xml:space="preserve"> </w:t>
      </w:r>
      <w:r>
        <w:rPr>
          <w:sz w:val="26"/>
        </w:rPr>
        <w:t>our</w:t>
      </w:r>
      <w:r>
        <w:rPr>
          <w:spacing w:val="-19"/>
          <w:sz w:val="26"/>
        </w:rPr>
        <w:t xml:space="preserve"> </w:t>
      </w:r>
      <w:r>
        <w:rPr>
          <w:sz w:val="26"/>
        </w:rPr>
        <w:t>citizens</w:t>
      </w:r>
      <w:r>
        <w:rPr>
          <w:spacing w:val="-20"/>
          <w:sz w:val="26"/>
        </w:rPr>
        <w:t xml:space="preserve"> </w:t>
      </w:r>
      <w:r>
        <w:rPr>
          <w:sz w:val="26"/>
        </w:rPr>
        <w:t>under the we</w:t>
      </w:r>
      <w:r>
        <w:rPr>
          <w:sz w:val="26"/>
        </w:rPr>
        <w:t>ight of discrimination for centuries, it is time that the Constitution is allowed to speak as it can only do: in a forthright manner as a compact of governance, for today and the</w:t>
      </w:r>
      <w:r>
        <w:rPr>
          <w:spacing w:val="-3"/>
          <w:sz w:val="26"/>
        </w:rPr>
        <w:t xml:space="preserve"> </w:t>
      </w:r>
      <w:r>
        <w:rPr>
          <w:sz w:val="26"/>
        </w:rPr>
        <w:t>future.</w:t>
      </w:r>
    </w:p>
    <w:p w:rsidR="003B2FC0" w:rsidRDefault="003B2FC0">
      <w:pPr>
        <w:rPr>
          <w:sz w:val="28"/>
        </w:rPr>
      </w:pPr>
    </w:p>
    <w:p w:rsidR="003B2FC0" w:rsidRDefault="003B2FC0">
      <w:pPr>
        <w:spacing w:before="6"/>
        <w:rPr>
          <w:sz w:val="32"/>
        </w:rPr>
      </w:pPr>
    </w:p>
    <w:p w:rsidR="003B2FC0" w:rsidRDefault="00052A49">
      <w:pPr>
        <w:pStyle w:val="ListParagraph"/>
        <w:numPr>
          <w:ilvl w:val="0"/>
          <w:numId w:val="39"/>
        </w:numPr>
        <w:tabs>
          <w:tab w:val="left" w:pos="1121"/>
        </w:tabs>
        <w:spacing w:line="480" w:lineRule="auto"/>
        <w:ind w:right="438" w:firstLine="0"/>
        <w:jc w:val="both"/>
        <w:rPr>
          <w:sz w:val="26"/>
        </w:rPr>
      </w:pPr>
      <w:r>
        <w:rPr>
          <w:sz w:val="26"/>
        </w:rPr>
        <w:t xml:space="preserve">Now it is in this background that it would be necessary to explore </w:t>
      </w:r>
      <w:r>
        <w:rPr>
          <w:sz w:val="26"/>
        </w:rPr>
        <w:t>the principles which emerge from the precedents of this Court which explain the content of Article 25(1) and Article</w:t>
      </w:r>
      <w:r>
        <w:rPr>
          <w:spacing w:val="1"/>
          <w:sz w:val="26"/>
        </w:rPr>
        <w:t xml:space="preserve"> </w:t>
      </w:r>
      <w:r>
        <w:rPr>
          <w:sz w:val="26"/>
        </w:rPr>
        <w:t>26.</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6"/>
        <w:rPr>
          <w:sz w:val="21"/>
        </w:rPr>
      </w:pPr>
      <w:r w:rsidRPr="003B2FC0">
        <w:pict>
          <v:line id="_x0000_s1134" style="position:absolute;z-index:251580928;mso-wrap-distance-left:0;mso-wrap-distance-right:0;mso-position-horizontal-relative:page" from="1in,14.75pt" to="216.05pt,14.75pt" strokeweight=".72pt">
            <w10:wrap type="topAndBottom" anchorx="page"/>
          </v:line>
        </w:pict>
      </w:r>
    </w:p>
    <w:p w:rsidR="003B2FC0" w:rsidRDefault="00052A49">
      <w:pPr>
        <w:spacing w:before="66"/>
        <w:ind w:left="400"/>
        <w:rPr>
          <w:sz w:val="18"/>
        </w:rPr>
      </w:pPr>
      <w:r>
        <w:rPr>
          <w:position w:val="6"/>
          <w:sz w:val="12"/>
        </w:rPr>
        <w:t xml:space="preserve">5 </w:t>
      </w:r>
      <w:r>
        <w:rPr>
          <w:sz w:val="18"/>
        </w:rPr>
        <w:t>Article 51A(e), The Constitution of India</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7"/>
        <w:rPr>
          <w:sz w:val="21"/>
        </w:rPr>
      </w:pPr>
    </w:p>
    <w:p w:rsidR="003B2FC0" w:rsidRDefault="00052A49">
      <w:pPr>
        <w:pStyle w:val="Heading1"/>
        <w:numPr>
          <w:ilvl w:val="0"/>
          <w:numId w:val="40"/>
        </w:numPr>
        <w:tabs>
          <w:tab w:val="left" w:pos="1120"/>
          <w:tab w:val="left" w:pos="1121"/>
        </w:tabs>
        <w:spacing w:before="92"/>
        <w:ind w:left="1120" w:hanging="720"/>
        <w:jc w:val="left"/>
      </w:pPr>
      <w:r>
        <w:t>History: Lord Ayyappa and the Sabarimala</w:t>
      </w:r>
      <w:r>
        <w:rPr>
          <w:spacing w:val="-2"/>
        </w:rPr>
        <w:t xml:space="preserve"> </w:t>
      </w:r>
      <w:r>
        <w:t>Temple</w:t>
      </w:r>
    </w:p>
    <w:p w:rsidR="003B2FC0" w:rsidRDefault="003B2FC0">
      <w:pPr>
        <w:spacing w:before="1"/>
        <w:rPr>
          <w:b/>
          <w:sz w:val="42"/>
        </w:rPr>
      </w:pPr>
    </w:p>
    <w:p w:rsidR="003B2FC0" w:rsidRDefault="00052A49">
      <w:pPr>
        <w:ind w:left="400"/>
        <w:rPr>
          <w:b/>
          <w:sz w:val="27"/>
        </w:rPr>
      </w:pPr>
      <w:r>
        <w:rPr>
          <w:b/>
          <w:sz w:val="27"/>
        </w:rPr>
        <w:t>Origins</w:t>
      </w:r>
    </w:p>
    <w:p w:rsidR="003B2FC0" w:rsidRDefault="003B2FC0">
      <w:pPr>
        <w:rPr>
          <w:b/>
          <w:sz w:val="30"/>
        </w:rPr>
      </w:pPr>
    </w:p>
    <w:p w:rsidR="003B2FC0" w:rsidRDefault="003B2FC0">
      <w:pPr>
        <w:spacing w:before="6"/>
        <w:rPr>
          <w:b/>
          <w:sz w:val="37"/>
        </w:rPr>
      </w:pPr>
    </w:p>
    <w:p w:rsidR="003B2FC0" w:rsidRDefault="00052A49">
      <w:pPr>
        <w:pStyle w:val="ListParagraph"/>
        <w:numPr>
          <w:ilvl w:val="0"/>
          <w:numId w:val="39"/>
        </w:numPr>
        <w:tabs>
          <w:tab w:val="left" w:pos="1121"/>
        </w:tabs>
        <w:spacing w:before="1" w:line="480" w:lineRule="auto"/>
        <w:ind w:right="434" w:firstLine="0"/>
        <w:jc w:val="both"/>
        <w:rPr>
          <w:sz w:val="26"/>
        </w:rPr>
      </w:pPr>
      <w:r>
        <w:rPr>
          <w:sz w:val="26"/>
        </w:rPr>
        <w:t>The Sabarimala Temple, devoted to Lord Ayyappa is a temple of great antiquity.</w:t>
      </w:r>
      <w:r>
        <w:rPr>
          <w:spacing w:val="-21"/>
          <w:sz w:val="26"/>
        </w:rPr>
        <w:t xml:space="preserve"> </w:t>
      </w:r>
      <w:r>
        <w:rPr>
          <w:sz w:val="26"/>
        </w:rPr>
        <w:t>The</w:t>
      </w:r>
      <w:r>
        <w:rPr>
          <w:spacing w:val="-22"/>
          <w:sz w:val="26"/>
        </w:rPr>
        <w:t xml:space="preserve"> </w:t>
      </w:r>
      <w:r>
        <w:rPr>
          <w:sz w:val="26"/>
        </w:rPr>
        <w:t>temple</w:t>
      </w:r>
      <w:r>
        <w:rPr>
          <w:spacing w:val="-19"/>
          <w:sz w:val="26"/>
        </w:rPr>
        <w:t xml:space="preserve"> </w:t>
      </w:r>
      <w:r>
        <w:rPr>
          <w:sz w:val="26"/>
        </w:rPr>
        <w:t>is</w:t>
      </w:r>
      <w:r>
        <w:rPr>
          <w:spacing w:val="-21"/>
          <w:sz w:val="26"/>
        </w:rPr>
        <w:t xml:space="preserve"> </w:t>
      </w:r>
      <w:r>
        <w:rPr>
          <w:sz w:val="26"/>
        </w:rPr>
        <w:t>situated</w:t>
      </w:r>
      <w:r>
        <w:rPr>
          <w:spacing w:val="-22"/>
          <w:sz w:val="26"/>
        </w:rPr>
        <w:t xml:space="preserve"> </w:t>
      </w:r>
      <w:r>
        <w:rPr>
          <w:sz w:val="26"/>
        </w:rPr>
        <w:t>over</w:t>
      </w:r>
      <w:r>
        <w:rPr>
          <w:spacing w:val="-21"/>
          <w:sz w:val="26"/>
        </w:rPr>
        <w:t xml:space="preserve"> </w:t>
      </w:r>
      <w:r>
        <w:rPr>
          <w:sz w:val="26"/>
        </w:rPr>
        <w:t>one</w:t>
      </w:r>
      <w:r>
        <w:rPr>
          <w:spacing w:val="-22"/>
          <w:sz w:val="26"/>
        </w:rPr>
        <w:t xml:space="preserve"> </w:t>
      </w:r>
      <w:r>
        <w:rPr>
          <w:sz w:val="26"/>
        </w:rPr>
        <w:t>of</w:t>
      </w:r>
      <w:r>
        <w:rPr>
          <w:spacing w:val="-21"/>
          <w:sz w:val="26"/>
        </w:rPr>
        <w:t xml:space="preserve"> </w:t>
      </w:r>
      <w:r>
        <w:rPr>
          <w:sz w:val="26"/>
        </w:rPr>
        <w:t>the</w:t>
      </w:r>
      <w:r>
        <w:rPr>
          <w:spacing w:val="-21"/>
          <w:sz w:val="26"/>
        </w:rPr>
        <w:t xml:space="preserve"> </w:t>
      </w:r>
      <w:r>
        <w:rPr>
          <w:sz w:val="26"/>
        </w:rPr>
        <w:t>eighteen</w:t>
      </w:r>
      <w:r>
        <w:rPr>
          <w:spacing w:val="-22"/>
          <w:sz w:val="26"/>
        </w:rPr>
        <w:t xml:space="preserve"> </w:t>
      </w:r>
      <w:r>
        <w:rPr>
          <w:sz w:val="26"/>
        </w:rPr>
        <w:t>mountains</w:t>
      </w:r>
      <w:r>
        <w:rPr>
          <w:spacing w:val="-21"/>
          <w:sz w:val="26"/>
        </w:rPr>
        <w:t xml:space="preserve"> </w:t>
      </w:r>
      <w:r>
        <w:rPr>
          <w:sz w:val="26"/>
        </w:rPr>
        <w:t>spread</w:t>
      </w:r>
      <w:r>
        <w:rPr>
          <w:spacing w:val="-19"/>
          <w:sz w:val="26"/>
        </w:rPr>
        <w:t xml:space="preserve"> </w:t>
      </w:r>
      <w:r>
        <w:rPr>
          <w:sz w:val="26"/>
        </w:rPr>
        <w:t>over the Western Ghats known as Sannidhanam. Situated in the district of Pathananthitta in Kerala, the temple ne</w:t>
      </w:r>
      <w:r>
        <w:rPr>
          <w:sz w:val="26"/>
        </w:rPr>
        <w:t>stles at a height of 1260 metres (4135 feet) above sea level. The faithful believe that Lord Ayyappa’s powers derive from his ascetism, in particular from his being celibate. Celibacy is a practice adopted</w:t>
      </w:r>
      <w:r>
        <w:rPr>
          <w:spacing w:val="-19"/>
          <w:sz w:val="26"/>
        </w:rPr>
        <w:t xml:space="preserve"> </w:t>
      </w:r>
      <w:r>
        <w:rPr>
          <w:sz w:val="26"/>
        </w:rPr>
        <w:t>by</w:t>
      </w:r>
      <w:r>
        <w:rPr>
          <w:spacing w:val="-19"/>
          <w:sz w:val="26"/>
        </w:rPr>
        <w:t xml:space="preserve"> </w:t>
      </w:r>
      <w:r>
        <w:rPr>
          <w:sz w:val="26"/>
        </w:rPr>
        <w:t>pilgrims</w:t>
      </w:r>
      <w:r>
        <w:rPr>
          <w:spacing w:val="-18"/>
          <w:sz w:val="26"/>
        </w:rPr>
        <w:t xml:space="preserve"> </w:t>
      </w:r>
      <w:r>
        <w:rPr>
          <w:sz w:val="26"/>
        </w:rPr>
        <w:t>before</w:t>
      </w:r>
      <w:r>
        <w:rPr>
          <w:spacing w:val="-19"/>
          <w:sz w:val="26"/>
        </w:rPr>
        <w:t xml:space="preserve"> </w:t>
      </w:r>
      <w:r>
        <w:rPr>
          <w:sz w:val="26"/>
        </w:rPr>
        <w:t>and</w:t>
      </w:r>
      <w:r>
        <w:rPr>
          <w:spacing w:val="-19"/>
          <w:sz w:val="26"/>
        </w:rPr>
        <w:t xml:space="preserve"> </w:t>
      </w:r>
      <w:r>
        <w:rPr>
          <w:sz w:val="26"/>
        </w:rPr>
        <w:t>during</w:t>
      </w:r>
      <w:r>
        <w:rPr>
          <w:spacing w:val="-18"/>
          <w:sz w:val="26"/>
        </w:rPr>
        <w:t xml:space="preserve"> </w:t>
      </w:r>
      <w:r>
        <w:rPr>
          <w:sz w:val="26"/>
        </w:rPr>
        <w:t>the</w:t>
      </w:r>
      <w:r>
        <w:rPr>
          <w:spacing w:val="-16"/>
          <w:sz w:val="26"/>
        </w:rPr>
        <w:t xml:space="preserve"> </w:t>
      </w:r>
      <w:r>
        <w:rPr>
          <w:sz w:val="26"/>
        </w:rPr>
        <w:t>pilgrimage.</w:t>
      </w:r>
      <w:r>
        <w:rPr>
          <w:spacing w:val="-18"/>
          <w:sz w:val="26"/>
        </w:rPr>
        <w:t xml:space="preserve"> </w:t>
      </w:r>
      <w:r>
        <w:rPr>
          <w:sz w:val="26"/>
        </w:rPr>
        <w:t>Thos</w:t>
      </w:r>
      <w:r>
        <w:rPr>
          <w:sz w:val="26"/>
        </w:rPr>
        <w:t>e</w:t>
      </w:r>
      <w:r>
        <w:rPr>
          <w:spacing w:val="-16"/>
          <w:sz w:val="26"/>
        </w:rPr>
        <w:t xml:space="preserve"> </w:t>
      </w:r>
      <w:r>
        <w:rPr>
          <w:sz w:val="26"/>
        </w:rPr>
        <w:t>who</w:t>
      </w:r>
      <w:r>
        <w:rPr>
          <w:spacing w:val="-19"/>
          <w:sz w:val="26"/>
        </w:rPr>
        <w:t xml:space="preserve"> </w:t>
      </w:r>
      <w:r>
        <w:rPr>
          <w:sz w:val="26"/>
        </w:rPr>
        <w:t>believe</w:t>
      </w:r>
      <w:r>
        <w:rPr>
          <w:spacing w:val="-18"/>
          <w:sz w:val="26"/>
        </w:rPr>
        <w:t xml:space="preserve"> </w:t>
      </w:r>
      <w:r>
        <w:rPr>
          <w:sz w:val="26"/>
        </w:rPr>
        <w:t>in</w:t>
      </w:r>
      <w:r>
        <w:rPr>
          <w:spacing w:val="-16"/>
          <w:sz w:val="26"/>
        </w:rPr>
        <w:t xml:space="preserve"> </w:t>
      </w:r>
      <w:r>
        <w:rPr>
          <w:sz w:val="26"/>
        </w:rPr>
        <w:t>Lord Ayyappa and offer prayer are expected to follow a strict ‘Vratham’ or vow over a period of forty one days which lays down a set of</w:t>
      </w:r>
      <w:r>
        <w:rPr>
          <w:spacing w:val="-12"/>
          <w:sz w:val="26"/>
        </w:rPr>
        <w:t xml:space="preserve"> </w:t>
      </w:r>
      <w:r>
        <w:rPr>
          <w:sz w:val="26"/>
        </w:rPr>
        <w:t>practices.</w:t>
      </w:r>
    </w:p>
    <w:p w:rsidR="003B2FC0" w:rsidRDefault="003B2FC0">
      <w:pPr>
        <w:rPr>
          <w:sz w:val="28"/>
        </w:rPr>
      </w:pPr>
    </w:p>
    <w:p w:rsidR="003B2FC0" w:rsidRDefault="003B2FC0">
      <w:pPr>
        <w:spacing w:before="2"/>
        <w:rPr>
          <w:sz w:val="24"/>
        </w:rPr>
      </w:pPr>
    </w:p>
    <w:p w:rsidR="003B2FC0" w:rsidRDefault="00052A49">
      <w:pPr>
        <w:pStyle w:val="ListParagraph"/>
        <w:numPr>
          <w:ilvl w:val="0"/>
          <w:numId w:val="39"/>
        </w:numPr>
        <w:tabs>
          <w:tab w:val="left" w:pos="1121"/>
        </w:tabs>
        <w:spacing w:line="477" w:lineRule="auto"/>
        <w:ind w:right="431" w:firstLine="0"/>
        <w:jc w:val="both"/>
        <w:rPr>
          <w:sz w:val="26"/>
        </w:rPr>
      </w:pPr>
      <w:r>
        <w:rPr>
          <w:sz w:val="26"/>
        </w:rPr>
        <w:t>The</w:t>
      </w:r>
      <w:r>
        <w:rPr>
          <w:spacing w:val="-6"/>
          <w:sz w:val="26"/>
        </w:rPr>
        <w:t xml:space="preserve"> </w:t>
      </w:r>
      <w:r>
        <w:rPr>
          <w:sz w:val="26"/>
        </w:rPr>
        <w:t>legend</w:t>
      </w:r>
      <w:r>
        <w:rPr>
          <w:spacing w:val="-5"/>
          <w:sz w:val="26"/>
        </w:rPr>
        <w:t xml:space="preserve"> </w:t>
      </w:r>
      <w:r>
        <w:rPr>
          <w:sz w:val="26"/>
        </w:rPr>
        <w:t>of</w:t>
      </w:r>
      <w:r>
        <w:rPr>
          <w:spacing w:val="-7"/>
          <w:sz w:val="26"/>
        </w:rPr>
        <w:t xml:space="preserve"> </w:t>
      </w:r>
      <w:r>
        <w:rPr>
          <w:sz w:val="26"/>
        </w:rPr>
        <w:t>Lord</w:t>
      </w:r>
      <w:r>
        <w:rPr>
          <w:spacing w:val="-4"/>
          <w:sz w:val="26"/>
        </w:rPr>
        <w:t xml:space="preserve"> </w:t>
      </w:r>
      <w:r>
        <w:rPr>
          <w:sz w:val="26"/>
        </w:rPr>
        <w:t>Ayyappa</w:t>
      </w:r>
      <w:r>
        <w:rPr>
          <w:spacing w:val="-5"/>
          <w:sz w:val="26"/>
        </w:rPr>
        <w:t xml:space="preserve"> </w:t>
      </w:r>
      <w:r>
        <w:rPr>
          <w:sz w:val="26"/>
        </w:rPr>
        <w:t>and</w:t>
      </w:r>
      <w:r>
        <w:rPr>
          <w:spacing w:val="-5"/>
          <w:sz w:val="26"/>
        </w:rPr>
        <w:t xml:space="preserve"> </w:t>
      </w:r>
      <w:r>
        <w:rPr>
          <w:sz w:val="26"/>
        </w:rPr>
        <w:t>the</w:t>
      </w:r>
      <w:r>
        <w:rPr>
          <w:spacing w:val="-4"/>
          <w:sz w:val="26"/>
        </w:rPr>
        <w:t xml:space="preserve"> </w:t>
      </w:r>
      <w:r>
        <w:rPr>
          <w:sz w:val="26"/>
        </w:rPr>
        <w:t>birth</w:t>
      </w:r>
      <w:r>
        <w:rPr>
          <w:spacing w:val="-2"/>
          <w:sz w:val="26"/>
        </w:rPr>
        <w:t xml:space="preserve"> </w:t>
      </w:r>
      <w:r>
        <w:rPr>
          <w:sz w:val="26"/>
        </w:rPr>
        <w:t>of</w:t>
      </w:r>
      <w:r>
        <w:rPr>
          <w:spacing w:val="-7"/>
          <w:sz w:val="26"/>
        </w:rPr>
        <w:t xml:space="preserve"> </w:t>
      </w:r>
      <w:r>
        <w:rPr>
          <w:sz w:val="26"/>
        </w:rPr>
        <w:t>the</w:t>
      </w:r>
      <w:r>
        <w:rPr>
          <w:spacing w:val="-5"/>
          <w:sz w:val="26"/>
        </w:rPr>
        <w:t xml:space="preserve"> </w:t>
      </w:r>
      <w:r>
        <w:rPr>
          <w:sz w:val="26"/>
        </w:rPr>
        <w:t>Sabarimala</w:t>
      </w:r>
      <w:r>
        <w:rPr>
          <w:spacing w:val="-5"/>
          <w:sz w:val="26"/>
        </w:rPr>
        <w:t xml:space="preserve"> </w:t>
      </w:r>
      <w:r>
        <w:rPr>
          <w:sz w:val="26"/>
        </w:rPr>
        <w:t>temple</w:t>
      </w:r>
      <w:r>
        <w:rPr>
          <w:spacing w:val="-7"/>
          <w:sz w:val="26"/>
        </w:rPr>
        <w:t xml:space="preserve"> </w:t>
      </w:r>
      <w:r>
        <w:rPr>
          <w:sz w:val="26"/>
        </w:rPr>
        <w:t>have been explained</w:t>
      </w:r>
      <w:r>
        <w:rPr>
          <w:position w:val="9"/>
          <w:sz w:val="17"/>
        </w:rPr>
        <w:t xml:space="preserve">6 </w:t>
      </w:r>
      <w:r>
        <w:rPr>
          <w:sz w:val="26"/>
        </w:rPr>
        <w:t>in the erudite submissions in this case. Although there are numerous Ayyappa Temples in India, the Sabarimala Temple depicts Lord Ayyappa as a “Naishtika Brahmacharya”: his powers derive specifically from abstention from sexual</w:t>
      </w:r>
      <w:r>
        <w:rPr>
          <w:spacing w:val="-4"/>
          <w:sz w:val="26"/>
        </w:rPr>
        <w:t xml:space="preserve"> </w:t>
      </w:r>
      <w:r>
        <w:rPr>
          <w:sz w:val="26"/>
        </w:rPr>
        <w:t>activities.</w:t>
      </w:r>
    </w:p>
    <w:p w:rsidR="003B2FC0" w:rsidRDefault="003B2FC0">
      <w:pPr>
        <w:rPr>
          <w:sz w:val="28"/>
        </w:rPr>
      </w:pPr>
    </w:p>
    <w:p w:rsidR="003B2FC0" w:rsidRDefault="003B2FC0">
      <w:pPr>
        <w:spacing w:before="7"/>
        <w:rPr>
          <w:sz w:val="24"/>
        </w:rPr>
      </w:pPr>
    </w:p>
    <w:p w:rsidR="003B2FC0" w:rsidRDefault="00052A49">
      <w:pPr>
        <w:spacing w:before="1" w:line="482" w:lineRule="auto"/>
        <w:ind w:left="400" w:right="441"/>
        <w:jc w:val="both"/>
        <w:rPr>
          <w:sz w:val="26"/>
        </w:rPr>
      </w:pPr>
      <w:r>
        <w:rPr>
          <w:sz w:val="26"/>
        </w:rPr>
        <w:t>The birth of Lord Ayyappa is described as arising from the union of Lord Shiva and Lord Vishnu (the form of Mohini). The divine beings left the boy in a</w:t>
      </w:r>
      <w:r>
        <w:rPr>
          <w:spacing w:val="69"/>
          <w:sz w:val="26"/>
        </w:rPr>
        <w:t xml:space="preserve"> </w:t>
      </w:r>
      <w:r>
        <w:rPr>
          <w:sz w:val="26"/>
        </w:rPr>
        <w:t>forest</w:t>
      </w:r>
    </w:p>
    <w:p w:rsidR="003B2FC0" w:rsidRDefault="003B2FC0">
      <w:pPr>
        <w:rPr>
          <w:sz w:val="20"/>
        </w:rPr>
      </w:pPr>
    </w:p>
    <w:p w:rsidR="003B2FC0" w:rsidRDefault="003B2FC0">
      <w:pPr>
        <w:spacing w:before="3"/>
        <w:rPr>
          <w:sz w:val="25"/>
        </w:rPr>
      </w:pPr>
      <w:r w:rsidRPr="003B2FC0">
        <w:pict>
          <v:line id="_x0000_s1133" style="position:absolute;z-index:251581952;mso-wrap-distance-left:0;mso-wrap-distance-right:0;mso-position-horizontal-relative:page" from="1in,16.9pt" to="216.05pt,16.9pt" strokeweight=".72pt">
            <w10:wrap type="topAndBottom" anchorx="page"/>
          </v:line>
        </w:pict>
      </w:r>
    </w:p>
    <w:p w:rsidR="003B2FC0" w:rsidRDefault="00052A49">
      <w:pPr>
        <w:spacing w:before="67"/>
        <w:ind w:left="542" w:right="437" w:hanging="142"/>
        <w:jc w:val="both"/>
        <w:rPr>
          <w:sz w:val="18"/>
        </w:rPr>
      </w:pPr>
      <w:r>
        <w:rPr>
          <w:position w:val="6"/>
          <w:sz w:val="12"/>
        </w:rPr>
        <w:t>6</w:t>
      </w:r>
      <w:r>
        <w:rPr>
          <w:spacing w:val="4"/>
          <w:position w:val="6"/>
          <w:sz w:val="12"/>
        </w:rPr>
        <w:t xml:space="preserve"> </w:t>
      </w:r>
      <w:r>
        <w:rPr>
          <w:sz w:val="18"/>
        </w:rPr>
        <w:t>Written</w:t>
      </w:r>
      <w:r>
        <w:rPr>
          <w:spacing w:val="-7"/>
          <w:sz w:val="18"/>
        </w:rPr>
        <w:t xml:space="preserve"> </w:t>
      </w:r>
      <w:r>
        <w:rPr>
          <w:sz w:val="18"/>
        </w:rPr>
        <w:t>Submissions</w:t>
      </w:r>
      <w:r>
        <w:rPr>
          <w:spacing w:val="-9"/>
          <w:sz w:val="18"/>
        </w:rPr>
        <w:t xml:space="preserve"> </w:t>
      </w:r>
      <w:r>
        <w:rPr>
          <w:sz w:val="18"/>
        </w:rPr>
        <w:t>by:</w:t>
      </w:r>
      <w:r>
        <w:rPr>
          <w:spacing w:val="-7"/>
          <w:sz w:val="18"/>
        </w:rPr>
        <w:t xml:space="preserve"> </w:t>
      </w:r>
      <w:r>
        <w:rPr>
          <w:sz w:val="18"/>
        </w:rPr>
        <w:t>Learned</w:t>
      </w:r>
      <w:r>
        <w:rPr>
          <w:spacing w:val="-7"/>
          <w:sz w:val="18"/>
        </w:rPr>
        <w:t xml:space="preserve"> </w:t>
      </w:r>
      <w:r>
        <w:rPr>
          <w:sz w:val="18"/>
        </w:rPr>
        <w:t>Senior</w:t>
      </w:r>
      <w:r>
        <w:rPr>
          <w:spacing w:val="-10"/>
          <w:sz w:val="18"/>
        </w:rPr>
        <w:t xml:space="preserve"> </w:t>
      </w:r>
      <w:r>
        <w:rPr>
          <w:sz w:val="18"/>
        </w:rPr>
        <w:t>Counsel</w:t>
      </w:r>
      <w:r>
        <w:rPr>
          <w:spacing w:val="-7"/>
          <w:sz w:val="18"/>
        </w:rPr>
        <w:t xml:space="preserve"> </w:t>
      </w:r>
      <w:r>
        <w:rPr>
          <w:sz w:val="18"/>
        </w:rPr>
        <w:t>Shri</w:t>
      </w:r>
      <w:r>
        <w:rPr>
          <w:spacing w:val="-7"/>
          <w:sz w:val="18"/>
        </w:rPr>
        <w:t xml:space="preserve"> </w:t>
      </w:r>
      <w:r>
        <w:rPr>
          <w:sz w:val="18"/>
        </w:rPr>
        <w:t>K.</w:t>
      </w:r>
      <w:r>
        <w:rPr>
          <w:spacing w:val="-9"/>
          <w:sz w:val="18"/>
        </w:rPr>
        <w:t xml:space="preserve"> </w:t>
      </w:r>
      <w:r>
        <w:rPr>
          <w:sz w:val="18"/>
        </w:rPr>
        <w:t>Parasaran,</w:t>
      </w:r>
      <w:r>
        <w:rPr>
          <w:spacing w:val="-10"/>
          <w:sz w:val="18"/>
        </w:rPr>
        <w:t xml:space="preserve"> </w:t>
      </w:r>
      <w:r>
        <w:rPr>
          <w:sz w:val="18"/>
        </w:rPr>
        <w:t>Learned</w:t>
      </w:r>
      <w:r>
        <w:rPr>
          <w:spacing w:val="-7"/>
          <w:sz w:val="18"/>
        </w:rPr>
        <w:t xml:space="preserve"> </w:t>
      </w:r>
      <w:r>
        <w:rPr>
          <w:sz w:val="18"/>
        </w:rPr>
        <w:t>Senior</w:t>
      </w:r>
      <w:r>
        <w:rPr>
          <w:spacing w:val="-8"/>
          <w:sz w:val="18"/>
        </w:rPr>
        <w:t xml:space="preserve"> </w:t>
      </w:r>
      <w:r>
        <w:rPr>
          <w:sz w:val="18"/>
        </w:rPr>
        <w:t>Counsel</w:t>
      </w:r>
      <w:r>
        <w:rPr>
          <w:spacing w:val="-9"/>
          <w:sz w:val="18"/>
        </w:rPr>
        <w:t xml:space="preserve"> </w:t>
      </w:r>
      <w:r>
        <w:rPr>
          <w:sz w:val="18"/>
        </w:rPr>
        <w:t>Dr.</w:t>
      </w:r>
      <w:r>
        <w:rPr>
          <w:spacing w:val="-8"/>
          <w:sz w:val="18"/>
        </w:rPr>
        <w:t xml:space="preserve"> </w:t>
      </w:r>
      <w:r>
        <w:rPr>
          <w:sz w:val="18"/>
        </w:rPr>
        <w:t>Abhishek</w:t>
      </w:r>
      <w:r>
        <w:rPr>
          <w:spacing w:val="-9"/>
          <w:sz w:val="18"/>
        </w:rPr>
        <w:t xml:space="preserve"> </w:t>
      </w:r>
      <w:r>
        <w:rPr>
          <w:sz w:val="18"/>
        </w:rPr>
        <w:t>Manu Singhvi for the Respondents; Non-Case Law Convenience Compilation filed by Advocate for Respondent No. 2; Learned Senior Counsel Indira Jaisingh and Learned Counsel R.P. Gupta for the</w:t>
      </w:r>
      <w:r>
        <w:rPr>
          <w:spacing w:val="-14"/>
          <w:sz w:val="18"/>
        </w:rPr>
        <w:t xml:space="preserve"> </w:t>
      </w:r>
      <w:r>
        <w:rPr>
          <w:sz w:val="18"/>
        </w:rPr>
        <w:t>Petitioners</w:t>
      </w:r>
    </w:p>
    <w:p w:rsidR="003B2FC0" w:rsidRDefault="003B2FC0">
      <w:pPr>
        <w:jc w:val="both"/>
        <w:rPr>
          <w:sz w:val="18"/>
        </w:rPr>
        <w:sectPr w:rsidR="003B2FC0">
          <w:headerReference w:type="default" r:id="rId342"/>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3"/>
        <w:jc w:val="both"/>
        <w:rPr>
          <w:sz w:val="26"/>
        </w:rPr>
      </w:pPr>
      <w:r>
        <w:rPr>
          <w:sz w:val="26"/>
        </w:rPr>
        <w:t xml:space="preserve">near River </w:t>
      </w:r>
      <w:r>
        <w:rPr>
          <w:sz w:val="26"/>
        </w:rPr>
        <w:t>Pampa. The Pandalam King, Rajasekara, while on a hunting trip in the forest along the banks of the River Pampa, heard the cries of a child. The King</w:t>
      </w:r>
      <w:r>
        <w:rPr>
          <w:spacing w:val="-9"/>
          <w:sz w:val="26"/>
        </w:rPr>
        <w:t xml:space="preserve"> </w:t>
      </w:r>
      <w:r>
        <w:rPr>
          <w:sz w:val="26"/>
        </w:rPr>
        <w:t>reached</w:t>
      </w:r>
      <w:r>
        <w:rPr>
          <w:spacing w:val="-7"/>
          <w:sz w:val="26"/>
        </w:rPr>
        <w:t xml:space="preserve"> </w:t>
      </w:r>
      <w:r>
        <w:rPr>
          <w:sz w:val="26"/>
        </w:rPr>
        <w:t>the</w:t>
      </w:r>
      <w:r>
        <w:rPr>
          <w:spacing w:val="-6"/>
          <w:sz w:val="26"/>
        </w:rPr>
        <w:t xml:space="preserve"> </w:t>
      </w:r>
      <w:r>
        <w:rPr>
          <w:sz w:val="26"/>
        </w:rPr>
        <w:t>banks</w:t>
      </w:r>
      <w:r>
        <w:rPr>
          <w:spacing w:val="-9"/>
          <w:sz w:val="26"/>
        </w:rPr>
        <w:t xml:space="preserve"> </w:t>
      </w:r>
      <w:r>
        <w:rPr>
          <w:sz w:val="26"/>
        </w:rPr>
        <w:t>of</w:t>
      </w:r>
      <w:r>
        <w:rPr>
          <w:spacing w:val="-4"/>
          <w:sz w:val="26"/>
        </w:rPr>
        <w:t xml:space="preserve"> </w:t>
      </w:r>
      <w:r>
        <w:rPr>
          <w:sz w:val="26"/>
        </w:rPr>
        <w:t>the</w:t>
      </w:r>
      <w:r>
        <w:rPr>
          <w:spacing w:val="-7"/>
          <w:sz w:val="26"/>
        </w:rPr>
        <w:t xml:space="preserve"> </w:t>
      </w:r>
      <w:r>
        <w:rPr>
          <w:sz w:val="26"/>
        </w:rPr>
        <w:t>river</w:t>
      </w:r>
      <w:r>
        <w:rPr>
          <w:spacing w:val="-7"/>
          <w:sz w:val="26"/>
        </w:rPr>
        <w:t xml:space="preserve"> </w:t>
      </w:r>
      <w:r>
        <w:rPr>
          <w:sz w:val="26"/>
        </w:rPr>
        <w:t>and</w:t>
      </w:r>
      <w:r>
        <w:rPr>
          <w:spacing w:val="-6"/>
          <w:sz w:val="26"/>
        </w:rPr>
        <w:t xml:space="preserve"> </w:t>
      </w:r>
      <w:r>
        <w:rPr>
          <w:sz w:val="26"/>
        </w:rPr>
        <w:t>found</w:t>
      </w:r>
      <w:r>
        <w:rPr>
          <w:spacing w:val="-9"/>
          <w:sz w:val="26"/>
        </w:rPr>
        <w:t xml:space="preserve"> </w:t>
      </w:r>
      <w:r>
        <w:rPr>
          <w:sz w:val="26"/>
        </w:rPr>
        <w:t>the</w:t>
      </w:r>
      <w:r>
        <w:rPr>
          <w:spacing w:val="-6"/>
          <w:sz w:val="26"/>
        </w:rPr>
        <w:t xml:space="preserve"> </w:t>
      </w:r>
      <w:r>
        <w:rPr>
          <w:sz w:val="26"/>
        </w:rPr>
        <w:t>child</w:t>
      </w:r>
      <w:r>
        <w:rPr>
          <w:spacing w:val="-7"/>
          <w:sz w:val="26"/>
        </w:rPr>
        <w:t xml:space="preserve"> </w:t>
      </w:r>
      <w:r>
        <w:rPr>
          <w:sz w:val="26"/>
        </w:rPr>
        <w:t>Ayyappa.</w:t>
      </w:r>
      <w:r>
        <w:rPr>
          <w:spacing w:val="-8"/>
          <w:sz w:val="26"/>
        </w:rPr>
        <w:t xml:space="preserve"> </w:t>
      </w:r>
      <w:r>
        <w:rPr>
          <w:sz w:val="26"/>
        </w:rPr>
        <w:t>The</w:t>
      </w:r>
      <w:r>
        <w:rPr>
          <w:spacing w:val="-9"/>
          <w:sz w:val="26"/>
        </w:rPr>
        <w:t xml:space="preserve"> </w:t>
      </w:r>
      <w:r>
        <w:rPr>
          <w:sz w:val="26"/>
        </w:rPr>
        <w:t>King</w:t>
      </w:r>
      <w:r>
        <w:rPr>
          <w:spacing w:val="-7"/>
          <w:sz w:val="26"/>
        </w:rPr>
        <w:t xml:space="preserve"> </w:t>
      </w:r>
      <w:r>
        <w:rPr>
          <w:sz w:val="26"/>
        </w:rPr>
        <w:t>took the</w:t>
      </w:r>
      <w:r>
        <w:rPr>
          <w:spacing w:val="-9"/>
          <w:sz w:val="26"/>
        </w:rPr>
        <w:t xml:space="preserve"> </w:t>
      </w:r>
      <w:r>
        <w:rPr>
          <w:sz w:val="26"/>
        </w:rPr>
        <w:t>child</w:t>
      </w:r>
      <w:r>
        <w:rPr>
          <w:spacing w:val="-9"/>
          <w:sz w:val="26"/>
        </w:rPr>
        <w:t xml:space="preserve"> </w:t>
      </w:r>
      <w:r>
        <w:rPr>
          <w:sz w:val="26"/>
        </w:rPr>
        <w:t>in</w:t>
      </w:r>
      <w:r>
        <w:rPr>
          <w:spacing w:val="-6"/>
          <w:sz w:val="26"/>
        </w:rPr>
        <w:t xml:space="preserve"> </w:t>
      </w:r>
      <w:r>
        <w:rPr>
          <w:sz w:val="26"/>
        </w:rPr>
        <w:t>and</w:t>
      </w:r>
      <w:r>
        <w:rPr>
          <w:spacing w:val="-9"/>
          <w:sz w:val="26"/>
        </w:rPr>
        <w:t xml:space="preserve"> </w:t>
      </w:r>
      <w:r>
        <w:rPr>
          <w:sz w:val="26"/>
        </w:rPr>
        <w:t>took</w:t>
      </w:r>
      <w:r>
        <w:rPr>
          <w:spacing w:val="-6"/>
          <w:sz w:val="26"/>
        </w:rPr>
        <w:t xml:space="preserve"> </w:t>
      </w:r>
      <w:r>
        <w:rPr>
          <w:sz w:val="26"/>
        </w:rPr>
        <w:t>him</w:t>
      </w:r>
      <w:r>
        <w:rPr>
          <w:spacing w:val="-9"/>
          <w:sz w:val="26"/>
        </w:rPr>
        <w:t xml:space="preserve"> </w:t>
      </w:r>
      <w:r>
        <w:rPr>
          <w:sz w:val="26"/>
        </w:rPr>
        <w:t>to</w:t>
      </w:r>
      <w:r>
        <w:rPr>
          <w:spacing w:val="-7"/>
          <w:sz w:val="26"/>
        </w:rPr>
        <w:t xml:space="preserve"> </w:t>
      </w:r>
      <w:r>
        <w:rPr>
          <w:sz w:val="26"/>
        </w:rPr>
        <w:t>the</w:t>
      </w:r>
      <w:r>
        <w:rPr>
          <w:spacing w:val="-6"/>
          <w:sz w:val="26"/>
        </w:rPr>
        <w:t xml:space="preserve"> </w:t>
      </w:r>
      <w:r>
        <w:rPr>
          <w:sz w:val="26"/>
        </w:rPr>
        <w:t>Palace,</w:t>
      </w:r>
      <w:r>
        <w:rPr>
          <w:spacing w:val="-7"/>
          <w:sz w:val="26"/>
        </w:rPr>
        <w:t xml:space="preserve"> </w:t>
      </w:r>
      <w:r>
        <w:rPr>
          <w:sz w:val="26"/>
        </w:rPr>
        <w:t>where</w:t>
      </w:r>
      <w:r>
        <w:rPr>
          <w:spacing w:val="-8"/>
          <w:sz w:val="26"/>
        </w:rPr>
        <w:t xml:space="preserve"> </w:t>
      </w:r>
      <w:r>
        <w:rPr>
          <w:sz w:val="26"/>
        </w:rPr>
        <w:t>the</w:t>
      </w:r>
      <w:r>
        <w:rPr>
          <w:spacing w:val="-9"/>
          <w:sz w:val="26"/>
        </w:rPr>
        <w:t xml:space="preserve"> </w:t>
      </w:r>
      <w:r>
        <w:rPr>
          <w:sz w:val="26"/>
        </w:rPr>
        <w:t>King</w:t>
      </w:r>
      <w:r>
        <w:rPr>
          <w:spacing w:val="-7"/>
          <w:sz w:val="26"/>
        </w:rPr>
        <w:t xml:space="preserve"> </w:t>
      </w:r>
      <w:r>
        <w:rPr>
          <w:sz w:val="26"/>
        </w:rPr>
        <w:t>briefed</w:t>
      </w:r>
      <w:r>
        <w:rPr>
          <w:spacing w:val="-6"/>
          <w:sz w:val="26"/>
        </w:rPr>
        <w:t xml:space="preserve"> </w:t>
      </w:r>
      <w:r>
        <w:rPr>
          <w:sz w:val="26"/>
        </w:rPr>
        <w:t>the</w:t>
      </w:r>
      <w:r>
        <w:rPr>
          <w:spacing w:val="-7"/>
          <w:sz w:val="26"/>
        </w:rPr>
        <w:t xml:space="preserve"> </w:t>
      </w:r>
      <w:r>
        <w:rPr>
          <w:sz w:val="26"/>
        </w:rPr>
        <w:t>Queen</w:t>
      </w:r>
      <w:r>
        <w:rPr>
          <w:spacing w:val="-8"/>
          <w:sz w:val="26"/>
        </w:rPr>
        <w:t xml:space="preserve"> </w:t>
      </w:r>
      <w:r>
        <w:rPr>
          <w:sz w:val="26"/>
        </w:rPr>
        <w:t>about the incident. The couple as well as the people of the Kingdom were happy by the arrival of the new child. Ayyappa, also called ‘Manikanta’ grew up in the palace and was trained in the martial arts and Vedas. T</w:t>
      </w:r>
      <w:r>
        <w:rPr>
          <w:sz w:val="26"/>
        </w:rPr>
        <w:t>he Guru responsible</w:t>
      </w:r>
      <w:r>
        <w:rPr>
          <w:spacing w:val="-36"/>
          <w:sz w:val="26"/>
        </w:rPr>
        <w:t xml:space="preserve"> </w:t>
      </w:r>
      <w:r>
        <w:rPr>
          <w:sz w:val="26"/>
        </w:rPr>
        <w:t>for Manikanta’s education concluded that the this was not an ordinary child, but a divine</w:t>
      </w:r>
      <w:r>
        <w:rPr>
          <w:spacing w:val="-2"/>
          <w:sz w:val="26"/>
        </w:rPr>
        <w:t xml:space="preserve"> </w:t>
      </w:r>
      <w:r>
        <w:rPr>
          <w:sz w:val="26"/>
        </w:rPr>
        <w:t>power.</w:t>
      </w:r>
    </w:p>
    <w:p w:rsidR="003B2FC0" w:rsidRDefault="003B2FC0">
      <w:pPr>
        <w:rPr>
          <w:sz w:val="28"/>
        </w:rPr>
      </w:pPr>
    </w:p>
    <w:p w:rsidR="003B2FC0" w:rsidRDefault="00052A49">
      <w:pPr>
        <w:spacing w:before="177" w:line="480" w:lineRule="auto"/>
        <w:ind w:left="400" w:right="434"/>
        <w:jc w:val="both"/>
        <w:rPr>
          <w:sz w:val="26"/>
        </w:rPr>
      </w:pPr>
      <w:r>
        <w:rPr>
          <w:sz w:val="26"/>
        </w:rPr>
        <w:t>Meanwhile,</w:t>
      </w:r>
      <w:r>
        <w:rPr>
          <w:spacing w:val="-10"/>
          <w:sz w:val="26"/>
        </w:rPr>
        <w:t xml:space="preserve"> </w:t>
      </w:r>
      <w:r>
        <w:rPr>
          <w:sz w:val="26"/>
        </w:rPr>
        <w:t>the</w:t>
      </w:r>
      <w:r>
        <w:rPr>
          <w:spacing w:val="-9"/>
          <w:sz w:val="26"/>
        </w:rPr>
        <w:t xml:space="preserve"> </w:t>
      </w:r>
      <w:r>
        <w:rPr>
          <w:sz w:val="26"/>
        </w:rPr>
        <w:t>Queen</w:t>
      </w:r>
      <w:r>
        <w:rPr>
          <w:spacing w:val="-9"/>
          <w:sz w:val="26"/>
        </w:rPr>
        <w:t xml:space="preserve"> </w:t>
      </w:r>
      <w:r>
        <w:rPr>
          <w:sz w:val="26"/>
        </w:rPr>
        <w:t>gave</w:t>
      </w:r>
      <w:r>
        <w:rPr>
          <w:spacing w:val="-10"/>
          <w:sz w:val="26"/>
        </w:rPr>
        <w:t xml:space="preserve"> </w:t>
      </w:r>
      <w:r>
        <w:rPr>
          <w:sz w:val="26"/>
        </w:rPr>
        <w:t>birth</w:t>
      </w:r>
      <w:r>
        <w:rPr>
          <w:spacing w:val="-9"/>
          <w:sz w:val="26"/>
        </w:rPr>
        <w:t xml:space="preserve"> </w:t>
      </w:r>
      <w:r>
        <w:rPr>
          <w:sz w:val="26"/>
        </w:rPr>
        <w:t>to</w:t>
      </w:r>
      <w:r>
        <w:rPr>
          <w:spacing w:val="-9"/>
          <w:sz w:val="26"/>
        </w:rPr>
        <w:t xml:space="preserve"> </w:t>
      </w:r>
      <w:r>
        <w:rPr>
          <w:sz w:val="26"/>
        </w:rPr>
        <w:t>a</w:t>
      </w:r>
      <w:r>
        <w:rPr>
          <w:spacing w:val="-10"/>
          <w:sz w:val="26"/>
        </w:rPr>
        <w:t xml:space="preserve"> </w:t>
      </w:r>
      <w:r>
        <w:rPr>
          <w:sz w:val="26"/>
        </w:rPr>
        <w:t>male</w:t>
      </w:r>
      <w:r>
        <w:rPr>
          <w:spacing w:val="-9"/>
          <w:sz w:val="26"/>
        </w:rPr>
        <w:t xml:space="preserve"> </w:t>
      </w:r>
      <w:r>
        <w:rPr>
          <w:sz w:val="26"/>
        </w:rPr>
        <w:t>child</w:t>
      </w:r>
      <w:r>
        <w:rPr>
          <w:spacing w:val="-9"/>
          <w:sz w:val="26"/>
        </w:rPr>
        <w:t xml:space="preserve"> </w:t>
      </w:r>
      <w:r>
        <w:rPr>
          <w:sz w:val="26"/>
        </w:rPr>
        <w:t>named</w:t>
      </w:r>
      <w:r>
        <w:rPr>
          <w:spacing w:val="-9"/>
          <w:sz w:val="26"/>
        </w:rPr>
        <w:t xml:space="preserve"> </w:t>
      </w:r>
      <w:r>
        <w:rPr>
          <w:sz w:val="26"/>
        </w:rPr>
        <w:t>Raja</w:t>
      </w:r>
      <w:r>
        <w:rPr>
          <w:spacing w:val="-8"/>
          <w:sz w:val="26"/>
        </w:rPr>
        <w:t xml:space="preserve"> </w:t>
      </w:r>
      <w:r>
        <w:rPr>
          <w:sz w:val="26"/>
        </w:rPr>
        <w:t>Rajan.</w:t>
      </w:r>
      <w:r>
        <w:rPr>
          <w:spacing w:val="-9"/>
          <w:sz w:val="26"/>
        </w:rPr>
        <w:t xml:space="preserve"> </w:t>
      </w:r>
      <w:r>
        <w:rPr>
          <w:sz w:val="26"/>
        </w:rPr>
        <w:t>Impressed with the talents of Manikanta, King Rajasekara decided to crown him, treating him as the elder child. He ordered the Minister to make arrangements for the coronation. However, the Minister, desiring the throne for himself, attempted to execute pl</w:t>
      </w:r>
      <w:r>
        <w:rPr>
          <w:sz w:val="26"/>
        </w:rPr>
        <w:t>ans to prevent the coronation, all of which failed. Having failed, the Minister approached the Queen to persuade her to ensure that her own biological child was crowned King. The Minister suggested that the Queen pretend that she was suffering from a sever</w:t>
      </w:r>
      <w:r>
        <w:rPr>
          <w:sz w:val="26"/>
        </w:rPr>
        <w:t>e headache, whereupon he would make the physician prescribe that the milk of a tigress be brought to cure her. To achieve this, he suggested that Manikanta should be sent to the</w:t>
      </w:r>
      <w:r>
        <w:rPr>
          <w:spacing w:val="-16"/>
          <w:sz w:val="26"/>
        </w:rPr>
        <w:t xml:space="preserve"> </w:t>
      </w:r>
      <w:r>
        <w:rPr>
          <w:sz w:val="26"/>
        </w:rPr>
        <w:t>forest.</w:t>
      </w:r>
    </w:p>
    <w:p w:rsidR="003B2FC0" w:rsidRDefault="003B2FC0">
      <w:pPr>
        <w:rPr>
          <w:sz w:val="28"/>
        </w:rPr>
      </w:pPr>
    </w:p>
    <w:p w:rsidR="003B2FC0" w:rsidRDefault="00052A49">
      <w:pPr>
        <w:pStyle w:val="ListParagraph"/>
        <w:numPr>
          <w:ilvl w:val="0"/>
          <w:numId w:val="39"/>
        </w:numPr>
        <w:tabs>
          <w:tab w:val="left" w:pos="1121"/>
        </w:tabs>
        <w:spacing w:before="180" w:line="480" w:lineRule="auto"/>
        <w:ind w:right="440" w:firstLine="0"/>
        <w:jc w:val="both"/>
        <w:rPr>
          <w:sz w:val="26"/>
        </w:rPr>
      </w:pPr>
      <w:r>
        <w:rPr>
          <w:sz w:val="26"/>
        </w:rPr>
        <w:t>Manikanta soon left for the forest after promising the King that he would return with the milk of a tigress. Manikanta set out on his journey after having refused an escort of men that the King had desired to accompanying him.</w:t>
      </w:r>
      <w:r>
        <w:rPr>
          <w:spacing w:val="70"/>
          <w:sz w:val="26"/>
        </w:rPr>
        <w:t xml:space="preserve"> </w:t>
      </w:r>
      <w:r>
        <w:rPr>
          <w:sz w:val="26"/>
        </w:rPr>
        <w:t>The</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5"/>
        <w:jc w:val="both"/>
        <w:rPr>
          <w:sz w:val="26"/>
        </w:rPr>
      </w:pPr>
      <w:r>
        <w:rPr>
          <w:sz w:val="26"/>
        </w:rPr>
        <w:t>King h</w:t>
      </w:r>
      <w:r>
        <w:rPr>
          <w:sz w:val="26"/>
        </w:rPr>
        <w:t>ad sent with Manikanta food and coconuts with three eyes, in</w:t>
      </w:r>
      <w:r>
        <w:rPr>
          <w:spacing w:val="46"/>
          <w:sz w:val="26"/>
        </w:rPr>
        <w:t xml:space="preserve"> </w:t>
      </w:r>
      <w:r>
        <w:rPr>
          <w:sz w:val="26"/>
        </w:rPr>
        <w:t>the remembrance of Lord Shiva. In the forest, Lord Shiva appeared before Manikanta</w:t>
      </w:r>
      <w:r>
        <w:rPr>
          <w:spacing w:val="-10"/>
          <w:sz w:val="26"/>
        </w:rPr>
        <w:t xml:space="preserve"> </w:t>
      </w:r>
      <w:r>
        <w:rPr>
          <w:sz w:val="26"/>
        </w:rPr>
        <w:t>and</w:t>
      </w:r>
      <w:r>
        <w:rPr>
          <w:spacing w:val="-9"/>
          <w:sz w:val="26"/>
        </w:rPr>
        <w:t xml:space="preserve"> </w:t>
      </w:r>
      <w:r>
        <w:rPr>
          <w:sz w:val="26"/>
        </w:rPr>
        <w:t>told</w:t>
      </w:r>
      <w:r>
        <w:rPr>
          <w:spacing w:val="-9"/>
          <w:sz w:val="26"/>
        </w:rPr>
        <w:t xml:space="preserve"> </w:t>
      </w:r>
      <w:r>
        <w:rPr>
          <w:sz w:val="26"/>
        </w:rPr>
        <w:t>him</w:t>
      </w:r>
      <w:r>
        <w:rPr>
          <w:spacing w:val="-9"/>
          <w:sz w:val="26"/>
        </w:rPr>
        <w:t xml:space="preserve"> </w:t>
      </w:r>
      <w:r>
        <w:rPr>
          <w:sz w:val="26"/>
        </w:rPr>
        <w:t>that</w:t>
      </w:r>
      <w:r>
        <w:rPr>
          <w:spacing w:val="-9"/>
          <w:sz w:val="26"/>
        </w:rPr>
        <w:t xml:space="preserve"> </w:t>
      </w:r>
      <w:r>
        <w:rPr>
          <w:sz w:val="26"/>
        </w:rPr>
        <w:t>though</w:t>
      </w:r>
      <w:r>
        <w:rPr>
          <w:spacing w:val="-9"/>
          <w:sz w:val="26"/>
        </w:rPr>
        <w:t xml:space="preserve"> </w:t>
      </w:r>
      <w:r>
        <w:rPr>
          <w:sz w:val="26"/>
        </w:rPr>
        <w:t>he</w:t>
      </w:r>
      <w:r>
        <w:rPr>
          <w:spacing w:val="-9"/>
          <w:sz w:val="26"/>
        </w:rPr>
        <w:t xml:space="preserve"> </w:t>
      </w:r>
      <w:r>
        <w:rPr>
          <w:sz w:val="26"/>
        </w:rPr>
        <w:t>had</w:t>
      </w:r>
      <w:r>
        <w:rPr>
          <w:spacing w:val="-7"/>
          <w:sz w:val="26"/>
        </w:rPr>
        <w:t xml:space="preserve"> </w:t>
      </w:r>
      <w:r>
        <w:rPr>
          <w:sz w:val="26"/>
        </w:rPr>
        <w:t>done</w:t>
      </w:r>
      <w:r>
        <w:rPr>
          <w:spacing w:val="-9"/>
          <w:sz w:val="26"/>
        </w:rPr>
        <w:t xml:space="preserve"> </w:t>
      </w:r>
      <w:r>
        <w:rPr>
          <w:sz w:val="26"/>
        </w:rPr>
        <w:t>his</w:t>
      </w:r>
      <w:r>
        <w:rPr>
          <w:spacing w:val="-9"/>
          <w:sz w:val="26"/>
        </w:rPr>
        <w:t xml:space="preserve"> </w:t>
      </w:r>
      <w:r>
        <w:rPr>
          <w:sz w:val="26"/>
        </w:rPr>
        <w:t>duty</w:t>
      </w:r>
      <w:r>
        <w:rPr>
          <w:spacing w:val="-11"/>
          <w:sz w:val="26"/>
        </w:rPr>
        <w:t xml:space="preserve"> </w:t>
      </w:r>
      <w:r>
        <w:rPr>
          <w:sz w:val="26"/>
        </w:rPr>
        <w:t>towards</w:t>
      </w:r>
      <w:r>
        <w:rPr>
          <w:spacing w:val="-9"/>
          <w:sz w:val="26"/>
        </w:rPr>
        <w:t xml:space="preserve"> </w:t>
      </w:r>
      <w:r>
        <w:rPr>
          <w:sz w:val="26"/>
        </w:rPr>
        <w:t>the</w:t>
      </w:r>
      <w:r>
        <w:rPr>
          <w:spacing w:val="-10"/>
          <w:sz w:val="26"/>
        </w:rPr>
        <w:t xml:space="preserve"> </w:t>
      </w:r>
      <w:r>
        <w:rPr>
          <w:sz w:val="26"/>
        </w:rPr>
        <w:t>devas,</w:t>
      </w:r>
      <w:r>
        <w:rPr>
          <w:spacing w:val="-9"/>
          <w:sz w:val="26"/>
        </w:rPr>
        <w:t xml:space="preserve"> </w:t>
      </w:r>
      <w:r>
        <w:rPr>
          <w:sz w:val="26"/>
        </w:rPr>
        <w:t xml:space="preserve">he was left with the task to ensure the King’s </w:t>
      </w:r>
      <w:r>
        <w:rPr>
          <w:sz w:val="26"/>
        </w:rPr>
        <w:t>comfort. Lord Shiva told Manikanta that he could go back to the Palace with Lord Indra in the form of a</w:t>
      </w:r>
      <w:r>
        <w:rPr>
          <w:spacing w:val="-29"/>
          <w:sz w:val="26"/>
        </w:rPr>
        <w:t xml:space="preserve"> </w:t>
      </w:r>
      <w:r>
        <w:rPr>
          <w:sz w:val="26"/>
        </w:rPr>
        <w:t>tiger.</w:t>
      </w:r>
    </w:p>
    <w:p w:rsidR="003B2FC0" w:rsidRDefault="003B2FC0">
      <w:pPr>
        <w:rPr>
          <w:sz w:val="28"/>
        </w:rPr>
      </w:pPr>
    </w:p>
    <w:p w:rsidR="003B2FC0" w:rsidRDefault="00052A49">
      <w:pPr>
        <w:spacing w:before="179" w:line="480" w:lineRule="auto"/>
        <w:ind w:left="400" w:right="434"/>
        <w:jc w:val="both"/>
        <w:rPr>
          <w:sz w:val="26"/>
        </w:rPr>
      </w:pPr>
      <w:r>
        <w:rPr>
          <w:sz w:val="26"/>
        </w:rPr>
        <w:t>When Manikanta was seated on the tiger, and all the female devatas in the disguise of tigresses started their journey to the palace, the schemer</w:t>
      </w:r>
      <w:r>
        <w:rPr>
          <w:sz w:val="26"/>
        </w:rPr>
        <w:t>s were frightened into confessing their plot. They were convinced of his divine origins and</w:t>
      </w:r>
      <w:r>
        <w:rPr>
          <w:spacing w:val="-10"/>
          <w:sz w:val="26"/>
        </w:rPr>
        <w:t xml:space="preserve"> </w:t>
      </w:r>
      <w:r>
        <w:rPr>
          <w:sz w:val="26"/>
        </w:rPr>
        <w:t>prayed</w:t>
      </w:r>
      <w:r>
        <w:rPr>
          <w:spacing w:val="-9"/>
          <w:sz w:val="26"/>
        </w:rPr>
        <w:t xml:space="preserve"> </w:t>
      </w:r>
      <w:r>
        <w:rPr>
          <w:sz w:val="26"/>
        </w:rPr>
        <w:t>for</w:t>
      </w:r>
      <w:r>
        <w:rPr>
          <w:spacing w:val="-9"/>
          <w:sz w:val="26"/>
        </w:rPr>
        <w:t xml:space="preserve"> </w:t>
      </w:r>
      <w:r>
        <w:rPr>
          <w:sz w:val="26"/>
        </w:rPr>
        <w:t>their</w:t>
      </w:r>
      <w:r>
        <w:rPr>
          <w:spacing w:val="-10"/>
          <w:sz w:val="26"/>
        </w:rPr>
        <w:t xml:space="preserve"> </w:t>
      </w:r>
      <w:r>
        <w:rPr>
          <w:sz w:val="26"/>
        </w:rPr>
        <w:t>own</w:t>
      </w:r>
      <w:r>
        <w:rPr>
          <w:spacing w:val="-7"/>
          <w:sz w:val="26"/>
        </w:rPr>
        <w:t xml:space="preserve"> </w:t>
      </w:r>
      <w:r>
        <w:rPr>
          <w:sz w:val="26"/>
        </w:rPr>
        <w:t>salvation</w:t>
      </w:r>
      <w:r>
        <w:rPr>
          <w:spacing w:val="-9"/>
          <w:sz w:val="26"/>
        </w:rPr>
        <w:t xml:space="preserve"> </w:t>
      </w:r>
      <w:r>
        <w:rPr>
          <w:sz w:val="26"/>
        </w:rPr>
        <w:t>and</w:t>
      </w:r>
      <w:r>
        <w:rPr>
          <w:spacing w:val="-10"/>
          <w:sz w:val="26"/>
        </w:rPr>
        <w:t xml:space="preserve"> </w:t>
      </w:r>
      <w:r>
        <w:rPr>
          <w:sz w:val="26"/>
        </w:rPr>
        <w:t>for</w:t>
      </w:r>
      <w:r>
        <w:rPr>
          <w:spacing w:val="-9"/>
          <w:sz w:val="26"/>
        </w:rPr>
        <w:t xml:space="preserve"> </w:t>
      </w:r>
      <w:r>
        <w:rPr>
          <w:sz w:val="26"/>
        </w:rPr>
        <w:t>the</w:t>
      </w:r>
      <w:r>
        <w:rPr>
          <w:spacing w:val="-9"/>
          <w:sz w:val="26"/>
        </w:rPr>
        <w:t xml:space="preserve"> </w:t>
      </w:r>
      <w:r>
        <w:rPr>
          <w:sz w:val="26"/>
        </w:rPr>
        <w:t>safety</w:t>
      </w:r>
      <w:r>
        <w:rPr>
          <w:spacing w:val="-10"/>
          <w:sz w:val="26"/>
        </w:rPr>
        <w:t xml:space="preserve"> </w:t>
      </w:r>
      <w:r>
        <w:rPr>
          <w:sz w:val="26"/>
        </w:rPr>
        <w:t>of</w:t>
      </w:r>
      <w:r>
        <w:rPr>
          <w:spacing w:val="-9"/>
          <w:sz w:val="26"/>
        </w:rPr>
        <w:t xml:space="preserve"> </w:t>
      </w:r>
      <w:r>
        <w:rPr>
          <w:sz w:val="26"/>
        </w:rPr>
        <w:t>the</w:t>
      </w:r>
      <w:r>
        <w:rPr>
          <w:spacing w:val="-7"/>
          <w:sz w:val="26"/>
        </w:rPr>
        <w:t xml:space="preserve"> </w:t>
      </w:r>
      <w:r>
        <w:rPr>
          <w:sz w:val="26"/>
        </w:rPr>
        <w:t>Kingdom.</w:t>
      </w:r>
      <w:r>
        <w:rPr>
          <w:spacing w:val="-8"/>
          <w:sz w:val="26"/>
        </w:rPr>
        <w:t xml:space="preserve"> </w:t>
      </w:r>
      <w:r>
        <w:rPr>
          <w:sz w:val="26"/>
        </w:rPr>
        <w:t>Manikanta disappeared. The King refused to eat anything till his return. Manikanta appeared in the</w:t>
      </w:r>
      <w:r>
        <w:rPr>
          <w:sz w:val="26"/>
        </w:rPr>
        <w:t xml:space="preserve"> form of a vision before the King. Filled with emotions of happiness,</w:t>
      </w:r>
      <w:r>
        <w:rPr>
          <w:spacing w:val="-15"/>
          <w:sz w:val="26"/>
        </w:rPr>
        <w:t xml:space="preserve"> </w:t>
      </w:r>
      <w:r>
        <w:rPr>
          <w:sz w:val="26"/>
        </w:rPr>
        <w:t>grief,</w:t>
      </w:r>
      <w:r>
        <w:rPr>
          <w:spacing w:val="-13"/>
          <w:sz w:val="26"/>
        </w:rPr>
        <w:t xml:space="preserve"> </w:t>
      </w:r>
      <w:r>
        <w:rPr>
          <w:sz w:val="26"/>
        </w:rPr>
        <w:t>fear,</w:t>
      </w:r>
      <w:r>
        <w:rPr>
          <w:spacing w:val="-13"/>
          <w:sz w:val="26"/>
        </w:rPr>
        <w:t xml:space="preserve"> </w:t>
      </w:r>
      <w:r>
        <w:rPr>
          <w:sz w:val="26"/>
        </w:rPr>
        <w:t>wonder</w:t>
      </w:r>
      <w:r>
        <w:rPr>
          <w:spacing w:val="-15"/>
          <w:sz w:val="26"/>
        </w:rPr>
        <w:t xml:space="preserve"> </w:t>
      </w:r>
      <w:r>
        <w:rPr>
          <w:sz w:val="26"/>
        </w:rPr>
        <w:t>and</w:t>
      </w:r>
      <w:r>
        <w:rPr>
          <w:spacing w:val="-14"/>
          <w:sz w:val="26"/>
        </w:rPr>
        <w:t xml:space="preserve"> </w:t>
      </w:r>
      <w:r>
        <w:rPr>
          <w:sz w:val="26"/>
        </w:rPr>
        <w:t>‘Bhakti,</w:t>
      </w:r>
      <w:r>
        <w:rPr>
          <w:spacing w:val="-11"/>
          <w:sz w:val="26"/>
        </w:rPr>
        <w:t xml:space="preserve"> </w:t>
      </w:r>
      <w:r>
        <w:rPr>
          <w:sz w:val="26"/>
        </w:rPr>
        <w:t>the</w:t>
      </w:r>
      <w:r>
        <w:rPr>
          <w:spacing w:val="-13"/>
          <w:sz w:val="26"/>
        </w:rPr>
        <w:t xml:space="preserve"> </w:t>
      </w:r>
      <w:r>
        <w:rPr>
          <w:sz w:val="26"/>
        </w:rPr>
        <w:t>King</w:t>
      </w:r>
      <w:r>
        <w:rPr>
          <w:spacing w:val="-15"/>
          <w:sz w:val="26"/>
        </w:rPr>
        <w:t xml:space="preserve"> </w:t>
      </w:r>
      <w:r>
        <w:rPr>
          <w:sz w:val="26"/>
        </w:rPr>
        <w:t>stood</w:t>
      </w:r>
      <w:r>
        <w:rPr>
          <w:spacing w:val="-14"/>
          <w:sz w:val="26"/>
        </w:rPr>
        <w:t xml:space="preserve"> </w:t>
      </w:r>
      <w:r>
        <w:rPr>
          <w:sz w:val="26"/>
        </w:rPr>
        <w:t>praying</w:t>
      </w:r>
      <w:r>
        <w:rPr>
          <w:spacing w:val="-14"/>
          <w:sz w:val="26"/>
        </w:rPr>
        <w:t xml:space="preserve"> </w:t>
      </w:r>
      <w:r>
        <w:rPr>
          <w:sz w:val="26"/>
        </w:rPr>
        <w:t>for</w:t>
      </w:r>
      <w:r>
        <w:rPr>
          <w:spacing w:val="-13"/>
          <w:sz w:val="26"/>
        </w:rPr>
        <w:t xml:space="preserve"> </w:t>
      </w:r>
      <w:r>
        <w:rPr>
          <w:sz w:val="26"/>
        </w:rPr>
        <w:t>mercy</w:t>
      </w:r>
      <w:r>
        <w:rPr>
          <w:spacing w:val="-17"/>
          <w:sz w:val="26"/>
        </w:rPr>
        <w:t xml:space="preserve"> </w:t>
      </w:r>
      <w:r>
        <w:rPr>
          <w:sz w:val="26"/>
        </w:rPr>
        <w:t>and the blessings of Manikanta. He repented in front of Manikanta for not having realized his divine power and for treating him merely as his child. The Lord lovingly embraced the King who prayed to bless him by freeing him from ego and the worldy cycle of</w:t>
      </w:r>
      <w:r>
        <w:rPr>
          <w:sz w:val="26"/>
        </w:rPr>
        <w:t xml:space="preserve"> rebirth. Manikanta granted him Moksha (salvation). He told the King that he was destined to return. The King implored Manikanta to allow</w:t>
      </w:r>
      <w:r>
        <w:rPr>
          <w:spacing w:val="-19"/>
          <w:sz w:val="26"/>
        </w:rPr>
        <w:t xml:space="preserve"> </w:t>
      </w:r>
      <w:r>
        <w:rPr>
          <w:sz w:val="26"/>
        </w:rPr>
        <w:t>him</w:t>
      </w:r>
      <w:r>
        <w:rPr>
          <w:spacing w:val="-16"/>
          <w:sz w:val="26"/>
        </w:rPr>
        <w:t xml:space="preserve"> </w:t>
      </w:r>
      <w:r>
        <w:rPr>
          <w:sz w:val="26"/>
        </w:rPr>
        <w:t>to</w:t>
      </w:r>
      <w:r>
        <w:rPr>
          <w:spacing w:val="-16"/>
          <w:sz w:val="26"/>
        </w:rPr>
        <w:t xml:space="preserve"> </w:t>
      </w:r>
      <w:r>
        <w:rPr>
          <w:sz w:val="26"/>
        </w:rPr>
        <w:t>build</w:t>
      </w:r>
      <w:r>
        <w:rPr>
          <w:spacing w:val="-16"/>
          <w:sz w:val="26"/>
        </w:rPr>
        <w:t xml:space="preserve"> </w:t>
      </w:r>
      <w:r>
        <w:rPr>
          <w:sz w:val="26"/>
        </w:rPr>
        <w:t>a</w:t>
      </w:r>
      <w:r>
        <w:rPr>
          <w:spacing w:val="-16"/>
          <w:sz w:val="26"/>
        </w:rPr>
        <w:t xml:space="preserve"> </w:t>
      </w:r>
      <w:r>
        <w:rPr>
          <w:sz w:val="26"/>
        </w:rPr>
        <w:t>temple</w:t>
      </w:r>
      <w:r>
        <w:rPr>
          <w:spacing w:val="-16"/>
          <w:sz w:val="26"/>
        </w:rPr>
        <w:t xml:space="preserve"> </w:t>
      </w:r>
      <w:r>
        <w:rPr>
          <w:sz w:val="26"/>
        </w:rPr>
        <w:t>and</w:t>
      </w:r>
      <w:r>
        <w:rPr>
          <w:spacing w:val="-16"/>
          <w:sz w:val="26"/>
        </w:rPr>
        <w:t xml:space="preserve"> </w:t>
      </w:r>
      <w:r>
        <w:rPr>
          <w:sz w:val="26"/>
        </w:rPr>
        <w:t>dedicate</w:t>
      </w:r>
      <w:r>
        <w:rPr>
          <w:spacing w:val="-16"/>
          <w:sz w:val="26"/>
        </w:rPr>
        <w:t xml:space="preserve"> </w:t>
      </w:r>
      <w:r>
        <w:rPr>
          <w:sz w:val="26"/>
        </w:rPr>
        <w:t>it</w:t>
      </w:r>
      <w:r>
        <w:rPr>
          <w:spacing w:val="-16"/>
          <w:sz w:val="26"/>
        </w:rPr>
        <w:t xml:space="preserve"> </w:t>
      </w:r>
      <w:r>
        <w:rPr>
          <w:sz w:val="26"/>
        </w:rPr>
        <w:t>to</w:t>
      </w:r>
      <w:r>
        <w:rPr>
          <w:spacing w:val="-17"/>
          <w:sz w:val="26"/>
        </w:rPr>
        <w:t xml:space="preserve"> </w:t>
      </w:r>
      <w:r>
        <w:rPr>
          <w:sz w:val="26"/>
        </w:rPr>
        <w:t>him.</w:t>
      </w:r>
      <w:r>
        <w:rPr>
          <w:spacing w:val="-16"/>
          <w:sz w:val="26"/>
        </w:rPr>
        <w:t xml:space="preserve"> </w:t>
      </w:r>
      <w:r>
        <w:rPr>
          <w:sz w:val="26"/>
        </w:rPr>
        <w:t>The</w:t>
      </w:r>
      <w:r>
        <w:rPr>
          <w:spacing w:val="-16"/>
          <w:sz w:val="26"/>
        </w:rPr>
        <w:t xml:space="preserve"> </w:t>
      </w:r>
      <w:r>
        <w:rPr>
          <w:sz w:val="26"/>
        </w:rPr>
        <w:t>Lord</w:t>
      </w:r>
      <w:r>
        <w:rPr>
          <w:spacing w:val="-16"/>
          <w:sz w:val="26"/>
        </w:rPr>
        <w:t xml:space="preserve"> </w:t>
      </w:r>
      <w:r>
        <w:rPr>
          <w:sz w:val="26"/>
        </w:rPr>
        <w:t>assented.</w:t>
      </w:r>
      <w:r>
        <w:rPr>
          <w:spacing w:val="-14"/>
          <w:sz w:val="26"/>
        </w:rPr>
        <w:t xml:space="preserve"> </w:t>
      </w:r>
      <w:r>
        <w:rPr>
          <w:sz w:val="26"/>
        </w:rPr>
        <w:t>Manikanta then enlightened the King on the path of</w:t>
      </w:r>
      <w:r>
        <w:rPr>
          <w:spacing w:val="-2"/>
          <w:sz w:val="26"/>
        </w:rPr>
        <w:t xml:space="preserve"> </w:t>
      </w:r>
      <w:r>
        <w:rPr>
          <w:sz w:val="26"/>
        </w:rPr>
        <w:t>Mo</w:t>
      </w:r>
      <w:r>
        <w:rPr>
          <w:sz w:val="26"/>
        </w:rPr>
        <w:t>ksha.</w:t>
      </w:r>
    </w:p>
    <w:p w:rsidR="003B2FC0" w:rsidRDefault="003B2FC0">
      <w:pPr>
        <w:rPr>
          <w:sz w:val="28"/>
        </w:rPr>
      </w:pPr>
    </w:p>
    <w:p w:rsidR="003B2FC0" w:rsidRDefault="00052A49">
      <w:pPr>
        <w:pStyle w:val="ListParagraph"/>
        <w:numPr>
          <w:ilvl w:val="0"/>
          <w:numId w:val="39"/>
        </w:numPr>
        <w:tabs>
          <w:tab w:val="left" w:pos="1121"/>
        </w:tabs>
        <w:spacing w:before="178" w:line="480" w:lineRule="auto"/>
        <w:ind w:right="437" w:firstLine="0"/>
        <w:jc w:val="both"/>
        <w:rPr>
          <w:sz w:val="26"/>
        </w:rPr>
      </w:pPr>
      <w:r>
        <w:rPr>
          <w:sz w:val="26"/>
        </w:rPr>
        <w:t>The</w:t>
      </w:r>
      <w:r>
        <w:rPr>
          <w:spacing w:val="-12"/>
          <w:sz w:val="26"/>
        </w:rPr>
        <w:t xml:space="preserve"> </w:t>
      </w:r>
      <w:r>
        <w:rPr>
          <w:sz w:val="26"/>
        </w:rPr>
        <w:t>Lord</w:t>
      </w:r>
      <w:r>
        <w:rPr>
          <w:spacing w:val="-12"/>
          <w:sz w:val="26"/>
        </w:rPr>
        <w:t xml:space="preserve"> </w:t>
      </w:r>
      <w:r>
        <w:rPr>
          <w:sz w:val="26"/>
        </w:rPr>
        <w:t>shot</w:t>
      </w:r>
      <w:r>
        <w:rPr>
          <w:spacing w:val="-12"/>
          <w:sz w:val="26"/>
        </w:rPr>
        <w:t xml:space="preserve"> </w:t>
      </w:r>
      <w:r>
        <w:rPr>
          <w:sz w:val="26"/>
        </w:rPr>
        <w:t>an</w:t>
      </w:r>
      <w:r>
        <w:rPr>
          <w:spacing w:val="-12"/>
          <w:sz w:val="26"/>
        </w:rPr>
        <w:t xml:space="preserve"> </w:t>
      </w:r>
      <w:r>
        <w:rPr>
          <w:sz w:val="26"/>
        </w:rPr>
        <w:t>arrow</w:t>
      </w:r>
      <w:r>
        <w:rPr>
          <w:spacing w:val="-10"/>
          <w:sz w:val="26"/>
        </w:rPr>
        <w:t xml:space="preserve"> </w:t>
      </w:r>
      <w:r>
        <w:rPr>
          <w:sz w:val="26"/>
        </w:rPr>
        <w:t>that</w:t>
      </w:r>
      <w:r>
        <w:rPr>
          <w:spacing w:val="-12"/>
          <w:sz w:val="26"/>
        </w:rPr>
        <w:t xml:space="preserve"> </w:t>
      </w:r>
      <w:r>
        <w:rPr>
          <w:sz w:val="26"/>
        </w:rPr>
        <w:t>fell</w:t>
      </w:r>
      <w:r>
        <w:rPr>
          <w:spacing w:val="-11"/>
          <w:sz w:val="26"/>
        </w:rPr>
        <w:t xml:space="preserve"> </w:t>
      </w:r>
      <w:r>
        <w:rPr>
          <w:sz w:val="26"/>
        </w:rPr>
        <w:t>at</w:t>
      </w:r>
      <w:r>
        <w:rPr>
          <w:spacing w:val="-12"/>
          <w:sz w:val="26"/>
        </w:rPr>
        <w:t xml:space="preserve"> </w:t>
      </w:r>
      <w:r>
        <w:rPr>
          <w:sz w:val="26"/>
        </w:rPr>
        <w:t>the</w:t>
      </w:r>
      <w:r>
        <w:rPr>
          <w:spacing w:val="-9"/>
          <w:sz w:val="26"/>
        </w:rPr>
        <w:t xml:space="preserve"> </w:t>
      </w:r>
      <w:r>
        <w:rPr>
          <w:sz w:val="26"/>
        </w:rPr>
        <w:t>pinnacle</w:t>
      </w:r>
      <w:r>
        <w:rPr>
          <w:spacing w:val="-11"/>
          <w:sz w:val="26"/>
        </w:rPr>
        <w:t xml:space="preserve"> </w:t>
      </w:r>
      <w:r>
        <w:rPr>
          <w:sz w:val="26"/>
        </w:rPr>
        <w:t>of</w:t>
      </w:r>
      <w:r>
        <w:rPr>
          <w:spacing w:val="-9"/>
          <w:sz w:val="26"/>
        </w:rPr>
        <w:t xml:space="preserve"> </w:t>
      </w:r>
      <w:r>
        <w:rPr>
          <w:sz w:val="26"/>
        </w:rPr>
        <w:t>Sabarimala</w:t>
      </w:r>
      <w:r>
        <w:rPr>
          <w:spacing w:val="-9"/>
          <w:sz w:val="26"/>
        </w:rPr>
        <w:t xml:space="preserve"> </w:t>
      </w:r>
      <w:r>
        <w:rPr>
          <w:sz w:val="26"/>
        </w:rPr>
        <w:t>and</w:t>
      </w:r>
      <w:r>
        <w:rPr>
          <w:spacing w:val="-12"/>
          <w:sz w:val="26"/>
        </w:rPr>
        <w:t xml:space="preserve"> </w:t>
      </w:r>
      <w:r>
        <w:rPr>
          <w:sz w:val="26"/>
        </w:rPr>
        <w:t>told</w:t>
      </w:r>
      <w:r>
        <w:rPr>
          <w:spacing w:val="-12"/>
          <w:sz w:val="26"/>
        </w:rPr>
        <w:t xml:space="preserve"> </w:t>
      </w:r>
      <w:r>
        <w:rPr>
          <w:sz w:val="26"/>
        </w:rPr>
        <w:t>the King that he could construct a temple at Sabarimala, north of the Holy river Pampa and install his deity there. Lord Ayyappa also explained how</w:t>
      </w:r>
      <w:r>
        <w:rPr>
          <w:spacing w:val="20"/>
          <w:sz w:val="26"/>
        </w:rPr>
        <w:t xml:space="preserve"> </w:t>
      </w:r>
      <w:r>
        <w:rPr>
          <w:sz w:val="26"/>
        </w:rPr>
        <w:t>the</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Sabarimala pilgrimage shall be undertaken, emphasizing the importance of the penance or ‘Vratham’ and what the devotees can attain by his ‘darshan’. But before</w:t>
      </w:r>
      <w:r>
        <w:rPr>
          <w:spacing w:val="-5"/>
          <w:sz w:val="26"/>
        </w:rPr>
        <w:t xml:space="preserve"> </w:t>
      </w:r>
      <w:r>
        <w:rPr>
          <w:sz w:val="26"/>
        </w:rPr>
        <w:t>the</w:t>
      </w:r>
      <w:r>
        <w:rPr>
          <w:spacing w:val="-5"/>
          <w:sz w:val="26"/>
        </w:rPr>
        <w:t xml:space="preserve"> </w:t>
      </w:r>
      <w:r>
        <w:rPr>
          <w:sz w:val="26"/>
        </w:rPr>
        <w:t>departure</w:t>
      </w:r>
      <w:r>
        <w:rPr>
          <w:spacing w:val="-2"/>
          <w:sz w:val="26"/>
        </w:rPr>
        <w:t xml:space="preserve"> </w:t>
      </w:r>
      <w:r>
        <w:rPr>
          <w:sz w:val="26"/>
        </w:rPr>
        <w:t>of</w:t>
      </w:r>
      <w:r>
        <w:rPr>
          <w:spacing w:val="-7"/>
          <w:sz w:val="26"/>
        </w:rPr>
        <w:t xml:space="preserve"> </w:t>
      </w:r>
      <w:r>
        <w:rPr>
          <w:sz w:val="26"/>
        </w:rPr>
        <w:t>the</w:t>
      </w:r>
      <w:r>
        <w:rPr>
          <w:spacing w:val="-5"/>
          <w:sz w:val="26"/>
        </w:rPr>
        <w:t xml:space="preserve"> </w:t>
      </w:r>
      <w:r>
        <w:rPr>
          <w:sz w:val="26"/>
        </w:rPr>
        <w:t>Lord,</w:t>
      </w:r>
      <w:r>
        <w:rPr>
          <w:spacing w:val="-7"/>
          <w:sz w:val="26"/>
        </w:rPr>
        <w:t xml:space="preserve"> </w:t>
      </w:r>
      <w:r>
        <w:rPr>
          <w:sz w:val="26"/>
        </w:rPr>
        <w:t>the</w:t>
      </w:r>
      <w:r>
        <w:rPr>
          <w:spacing w:val="-4"/>
          <w:sz w:val="26"/>
        </w:rPr>
        <w:t xml:space="preserve"> </w:t>
      </w:r>
      <w:r>
        <w:rPr>
          <w:sz w:val="26"/>
        </w:rPr>
        <w:t>King</w:t>
      </w:r>
      <w:r>
        <w:rPr>
          <w:spacing w:val="-2"/>
          <w:sz w:val="26"/>
        </w:rPr>
        <w:t xml:space="preserve"> </w:t>
      </w:r>
      <w:r>
        <w:rPr>
          <w:sz w:val="26"/>
        </w:rPr>
        <w:t>secured</w:t>
      </w:r>
      <w:r>
        <w:rPr>
          <w:spacing w:val="-5"/>
          <w:sz w:val="26"/>
        </w:rPr>
        <w:t xml:space="preserve"> </w:t>
      </w:r>
      <w:r>
        <w:rPr>
          <w:sz w:val="26"/>
        </w:rPr>
        <w:t>a</w:t>
      </w:r>
      <w:r>
        <w:rPr>
          <w:spacing w:val="-5"/>
          <w:sz w:val="26"/>
        </w:rPr>
        <w:t xml:space="preserve"> </w:t>
      </w:r>
      <w:r>
        <w:rPr>
          <w:sz w:val="26"/>
        </w:rPr>
        <w:t>promise</w:t>
      </w:r>
      <w:r>
        <w:rPr>
          <w:spacing w:val="-7"/>
          <w:sz w:val="26"/>
        </w:rPr>
        <w:t xml:space="preserve"> </w:t>
      </w:r>
      <w:r>
        <w:rPr>
          <w:sz w:val="26"/>
        </w:rPr>
        <w:t>from</w:t>
      </w:r>
      <w:r>
        <w:rPr>
          <w:spacing w:val="-6"/>
          <w:sz w:val="26"/>
        </w:rPr>
        <w:t xml:space="preserve"> </w:t>
      </w:r>
      <w:r>
        <w:rPr>
          <w:sz w:val="26"/>
        </w:rPr>
        <w:t>the</w:t>
      </w:r>
      <w:r>
        <w:rPr>
          <w:spacing w:val="-7"/>
          <w:sz w:val="26"/>
        </w:rPr>
        <w:t xml:space="preserve"> </w:t>
      </w:r>
      <w:r>
        <w:rPr>
          <w:sz w:val="26"/>
        </w:rPr>
        <w:t>Lord</w:t>
      </w:r>
      <w:r>
        <w:rPr>
          <w:spacing w:val="-7"/>
          <w:sz w:val="26"/>
        </w:rPr>
        <w:t xml:space="preserve"> </w:t>
      </w:r>
      <w:r>
        <w:rPr>
          <w:sz w:val="26"/>
        </w:rPr>
        <w:t>that on thai pongal on Janua</w:t>
      </w:r>
      <w:r>
        <w:rPr>
          <w:sz w:val="26"/>
        </w:rPr>
        <w:t>ry 14, every year, his personal jewelry will be adorned on his deity at</w:t>
      </w:r>
      <w:r>
        <w:rPr>
          <w:spacing w:val="-7"/>
          <w:sz w:val="26"/>
        </w:rPr>
        <w:t xml:space="preserve"> </w:t>
      </w:r>
      <w:r>
        <w:rPr>
          <w:sz w:val="26"/>
        </w:rPr>
        <w:t>Sabarimala.</w:t>
      </w:r>
    </w:p>
    <w:p w:rsidR="003B2FC0" w:rsidRDefault="003B2FC0">
      <w:pPr>
        <w:rPr>
          <w:sz w:val="26"/>
        </w:rPr>
      </w:pPr>
    </w:p>
    <w:p w:rsidR="003B2FC0" w:rsidRDefault="00052A49">
      <w:pPr>
        <w:ind w:left="400"/>
        <w:rPr>
          <w:b/>
          <w:sz w:val="27"/>
        </w:rPr>
      </w:pPr>
      <w:r>
        <w:rPr>
          <w:b/>
          <w:sz w:val="27"/>
        </w:rPr>
        <w:t>The Pilgrimage</w:t>
      </w:r>
    </w:p>
    <w:p w:rsidR="003B2FC0" w:rsidRDefault="003B2FC0">
      <w:pPr>
        <w:rPr>
          <w:b/>
          <w:sz w:val="30"/>
        </w:rPr>
      </w:pPr>
    </w:p>
    <w:p w:rsidR="003B2FC0" w:rsidRDefault="003B2FC0">
      <w:pPr>
        <w:spacing w:before="6"/>
        <w:rPr>
          <w:b/>
          <w:sz w:val="36"/>
        </w:rPr>
      </w:pPr>
    </w:p>
    <w:p w:rsidR="003B2FC0" w:rsidRDefault="00052A49">
      <w:pPr>
        <w:pStyle w:val="ListParagraph"/>
        <w:numPr>
          <w:ilvl w:val="0"/>
          <w:numId w:val="39"/>
        </w:numPr>
        <w:tabs>
          <w:tab w:val="left" w:pos="1120"/>
          <w:tab w:val="left" w:pos="1121"/>
        </w:tabs>
        <w:ind w:left="1120"/>
        <w:rPr>
          <w:sz w:val="26"/>
        </w:rPr>
      </w:pPr>
      <w:r>
        <w:rPr>
          <w:sz w:val="26"/>
        </w:rPr>
        <w:t>Sabarimala follows the system of being open</w:t>
      </w:r>
      <w:r>
        <w:rPr>
          <w:spacing w:val="-5"/>
          <w:sz w:val="26"/>
        </w:rPr>
        <w:t xml:space="preserve"> </w:t>
      </w:r>
      <w:r>
        <w:rPr>
          <w:sz w:val="26"/>
        </w:rPr>
        <w:t>for:</w:t>
      </w:r>
    </w:p>
    <w:p w:rsidR="003B2FC0" w:rsidRDefault="003B2FC0">
      <w:pPr>
        <w:rPr>
          <w:sz w:val="28"/>
        </w:rPr>
      </w:pPr>
    </w:p>
    <w:p w:rsidR="003B2FC0" w:rsidRDefault="003B2FC0">
      <w:pPr>
        <w:rPr>
          <w:sz w:val="24"/>
        </w:rPr>
      </w:pPr>
    </w:p>
    <w:p w:rsidR="003B2FC0" w:rsidRDefault="00052A49">
      <w:pPr>
        <w:pStyle w:val="ListParagraph"/>
        <w:numPr>
          <w:ilvl w:val="0"/>
          <w:numId w:val="37"/>
        </w:numPr>
        <w:tabs>
          <w:tab w:val="left" w:pos="761"/>
        </w:tabs>
        <w:spacing w:line="480" w:lineRule="auto"/>
        <w:ind w:right="442"/>
        <w:rPr>
          <w:sz w:val="26"/>
        </w:rPr>
      </w:pPr>
      <w:r>
        <w:rPr>
          <w:sz w:val="26"/>
        </w:rPr>
        <w:t>The month of Mandalam viz. 17 November to 26 December of the normal calendar years of each</w:t>
      </w:r>
      <w:r>
        <w:rPr>
          <w:spacing w:val="-1"/>
          <w:sz w:val="26"/>
        </w:rPr>
        <w:t xml:space="preserve"> </w:t>
      </w:r>
      <w:r>
        <w:rPr>
          <w:sz w:val="26"/>
        </w:rPr>
        <w:t>year;</w:t>
      </w:r>
    </w:p>
    <w:p w:rsidR="003B2FC0" w:rsidRDefault="00052A49">
      <w:pPr>
        <w:pStyle w:val="ListParagraph"/>
        <w:numPr>
          <w:ilvl w:val="0"/>
          <w:numId w:val="37"/>
        </w:numPr>
        <w:tabs>
          <w:tab w:val="left" w:pos="761"/>
        </w:tabs>
        <w:spacing w:line="480" w:lineRule="auto"/>
        <w:ind w:right="438"/>
        <w:rPr>
          <w:sz w:val="26"/>
        </w:rPr>
      </w:pPr>
      <w:r>
        <w:rPr>
          <w:sz w:val="26"/>
        </w:rPr>
        <w:t>For the first five days of each Malayalam month which communes approximately in the middle of each calendar month;</w:t>
      </w:r>
      <w:r>
        <w:rPr>
          <w:spacing w:val="-7"/>
          <w:sz w:val="26"/>
        </w:rPr>
        <w:t xml:space="preserve"> </w:t>
      </w:r>
      <w:r>
        <w:rPr>
          <w:sz w:val="26"/>
        </w:rPr>
        <w:t>and</w:t>
      </w:r>
    </w:p>
    <w:p w:rsidR="003B2FC0" w:rsidRDefault="00052A49">
      <w:pPr>
        <w:pStyle w:val="ListParagraph"/>
        <w:numPr>
          <w:ilvl w:val="0"/>
          <w:numId w:val="37"/>
        </w:numPr>
        <w:tabs>
          <w:tab w:val="left" w:pos="761"/>
        </w:tabs>
        <w:spacing w:before="2" w:line="480" w:lineRule="auto"/>
        <w:ind w:right="437"/>
        <w:rPr>
          <w:sz w:val="26"/>
        </w:rPr>
      </w:pPr>
      <w:r>
        <w:rPr>
          <w:sz w:val="26"/>
        </w:rPr>
        <w:t>For the period of Makar Sankranti, viz. approximately from January to mid January each</w:t>
      </w:r>
      <w:r>
        <w:rPr>
          <w:spacing w:val="1"/>
          <w:sz w:val="26"/>
        </w:rPr>
        <w:t xml:space="preserve"> </w:t>
      </w:r>
      <w:r>
        <w:rPr>
          <w:sz w:val="26"/>
        </w:rPr>
        <w:t>year.</w:t>
      </w:r>
    </w:p>
    <w:p w:rsidR="003B2FC0" w:rsidRDefault="003B2FC0">
      <w:pPr>
        <w:rPr>
          <w:sz w:val="28"/>
        </w:rPr>
      </w:pPr>
    </w:p>
    <w:p w:rsidR="003B2FC0" w:rsidRDefault="003B2FC0">
      <w:pPr>
        <w:spacing w:before="9"/>
        <w:rPr>
          <w:sz w:val="36"/>
        </w:rPr>
      </w:pPr>
    </w:p>
    <w:p w:rsidR="003B2FC0" w:rsidRDefault="00052A49">
      <w:pPr>
        <w:spacing w:before="1" w:line="480" w:lineRule="auto"/>
        <w:ind w:left="400" w:right="434"/>
        <w:jc w:val="both"/>
        <w:rPr>
          <w:sz w:val="26"/>
        </w:rPr>
      </w:pPr>
      <w:r>
        <w:rPr>
          <w:sz w:val="26"/>
        </w:rPr>
        <w:t>The</w:t>
      </w:r>
      <w:r>
        <w:rPr>
          <w:spacing w:val="-10"/>
          <w:sz w:val="26"/>
        </w:rPr>
        <w:t xml:space="preserve"> </w:t>
      </w:r>
      <w:r>
        <w:rPr>
          <w:sz w:val="26"/>
        </w:rPr>
        <w:t>followers</w:t>
      </w:r>
      <w:r>
        <w:rPr>
          <w:spacing w:val="-9"/>
          <w:sz w:val="26"/>
        </w:rPr>
        <w:t xml:space="preserve"> </w:t>
      </w:r>
      <w:r>
        <w:rPr>
          <w:sz w:val="26"/>
        </w:rPr>
        <w:t>of</w:t>
      </w:r>
      <w:r>
        <w:rPr>
          <w:spacing w:val="-8"/>
          <w:sz w:val="26"/>
        </w:rPr>
        <w:t xml:space="preserve"> </w:t>
      </w:r>
      <w:r>
        <w:rPr>
          <w:sz w:val="26"/>
        </w:rPr>
        <w:t>Lord</w:t>
      </w:r>
      <w:r>
        <w:rPr>
          <w:spacing w:val="-7"/>
          <w:sz w:val="26"/>
        </w:rPr>
        <w:t xml:space="preserve"> </w:t>
      </w:r>
      <w:r>
        <w:rPr>
          <w:sz w:val="26"/>
        </w:rPr>
        <w:t>Ayyappa</w:t>
      </w:r>
      <w:r>
        <w:rPr>
          <w:spacing w:val="-10"/>
          <w:sz w:val="26"/>
        </w:rPr>
        <w:t xml:space="preserve"> </w:t>
      </w:r>
      <w:r>
        <w:rPr>
          <w:sz w:val="26"/>
        </w:rPr>
        <w:t>undertake</w:t>
      </w:r>
      <w:r>
        <w:rPr>
          <w:spacing w:val="-7"/>
          <w:sz w:val="26"/>
        </w:rPr>
        <w:t xml:space="preserve"> </w:t>
      </w:r>
      <w:r>
        <w:rPr>
          <w:sz w:val="26"/>
        </w:rPr>
        <w:t>a</w:t>
      </w:r>
      <w:r>
        <w:rPr>
          <w:spacing w:val="-10"/>
          <w:sz w:val="26"/>
        </w:rPr>
        <w:t xml:space="preserve"> </w:t>
      </w:r>
      <w:r>
        <w:rPr>
          <w:sz w:val="26"/>
        </w:rPr>
        <w:t>holy</w:t>
      </w:r>
      <w:r>
        <w:rPr>
          <w:spacing w:val="-11"/>
          <w:sz w:val="26"/>
        </w:rPr>
        <w:t xml:space="preserve"> </w:t>
      </w:r>
      <w:r>
        <w:rPr>
          <w:sz w:val="26"/>
        </w:rPr>
        <w:t>Pilgrimage</w:t>
      </w:r>
      <w:r>
        <w:rPr>
          <w:spacing w:val="-8"/>
          <w:sz w:val="26"/>
        </w:rPr>
        <w:t xml:space="preserve"> </w:t>
      </w:r>
      <w:r>
        <w:rPr>
          <w:sz w:val="26"/>
        </w:rPr>
        <w:t>which</w:t>
      </w:r>
      <w:r>
        <w:rPr>
          <w:spacing w:val="-9"/>
          <w:sz w:val="26"/>
        </w:rPr>
        <w:t xml:space="preserve"> </w:t>
      </w:r>
      <w:r>
        <w:rPr>
          <w:sz w:val="26"/>
        </w:rPr>
        <w:t>culminates</w:t>
      </w:r>
      <w:r>
        <w:rPr>
          <w:spacing w:val="-9"/>
          <w:sz w:val="26"/>
        </w:rPr>
        <w:t xml:space="preserve"> </w:t>
      </w:r>
      <w:r>
        <w:rPr>
          <w:sz w:val="26"/>
        </w:rPr>
        <w:t>in a</w:t>
      </w:r>
      <w:r>
        <w:rPr>
          <w:spacing w:val="-19"/>
          <w:sz w:val="26"/>
        </w:rPr>
        <w:t xml:space="preserve"> </w:t>
      </w:r>
      <w:r>
        <w:rPr>
          <w:sz w:val="26"/>
        </w:rPr>
        <w:t>prayer</w:t>
      </w:r>
      <w:r>
        <w:rPr>
          <w:spacing w:val="-19"/>
          <w:sz w:val="26"/>
        </w:rPr>
        <w:t xml:space="preserve"> </w:t>
      </w:r>
      <w:r>
        <w:rPr>
          <w:sz w:val="26"/>
        </w:rPr>
        <w:t>at</w:t>
      </w:r>
      <w:r>
        <w:rPr>
          <w:spacing w:val="-16"/>
          <w:sz w:val="26"/>
        </w:rPr>
        <w:t xml:space="preserve"> </w:t>
      </w:r>
      <w:r>
        <w:rPr>
          <w:sz w:val="26"/>
        </w:rPr>
        <w:t>the</w:t>
      </w:r>
      <w:r>
        <w:rPr>
          <w:spacing w:val="-16"/>
          <w:sz w:val="26"/>
        </w:rPr>
        <w:t xml:space="preserve"> </w:t>
      </w:r>
      <w:r>
        <w:rPr>
          <w:sz w:val="26"/>
        </w:rPr>
        <w:t>holy</w:t>
      </w:r>
      <w:r>
        <w:rPr>
          <w:spacing w:val="-19"/>
          <w:sz w:val="26"/>
        </w:rPr>
        <w:t xml:space="preserve"> </w:t>
      </w:r>
      <w:r>
        <w:rPr>
          <w:sz w:val="26"/>
        </w:rPr>
        <w:t>shrine.</w:t>
      </w:r>
      <w:r>
        <w:rPr>
          <w:spacing w:val="-19"/>
          <w:sz w:val="26"/>
        </w:rPr>
        <w:t xml:space="preserve"> </w:t>
      </w:r>
      <w:r>
        <w:rPr>
          <w:sz w:val="26"/>
        </w:rPr>
        <w:t>The</w:t>
      </w:r>
      <w:r>
        <w:rPr>
          <w:spacing w:val="-16"/>
          <w:sz w:val="26"/>
        </w:rPr>
        <w:t xml:space="preserve"> </w:t>
      </w:r>
      <w:r>
        <w:rPr>
          <w:sz w:val="26"/>
        </w:rPr>
        <w:t>pilgrimage</w:t>
      </w:r>
      <w:r>
        <w:rPr>
          <w:spacing w:val="-16"/>
          <w:sz w:val="26"/>
        </w:rPr>
        <w:t xml:space="preserve"> </w:t>
      </w:r>
      <w:r>
        <w:rPr>
          <w:sz w:val="26"/>
        </w:rPr>
        <w:t>takes</w:t>
      </w:r>
      <w:r>
        <w:rPr>
          <w:spacing w:val="-17"/>
          <w:sz w:val="26"/>
        </w:rPr>
        <w:t xml:space="preserve"> </w:t>
      </w:r>
      <w:r>
        <w:rPr>
          <w:sz w:val="26"/>
        </w:rPr>
        <w:t>place</w:t>
      </w:r>
      <w:r>
        <w:rPr>
          <w:spacing w:val="-19"/>
          <w:sz w:val="26"/>
        </w:rPr>
        <w:t xml:space="preserve"> </w:t>
      </w:r>
      <w:r>
        <w:rPr>
          <w:sz w:val="26"/>
        </w:rPr>
        <w:t>in</w:t>
      </w:r>
      <w:r>
        <w:rPr>
          <w:spacing w:val="-16"/>
          <w:sz w:val="26"/>
        </w:rPr>
        <w:t xml:space="preserve"> </w:t>
      </w:r>
      <w:r>
        <w:rPr>
          <w:sz w:val="26"/>
        </w:rPr>
        <w:t>four</w:t>
      </w:r>
      <w:r>
        <w:rPr>
          <w:spacing w:val="-16"/>
          <w:sz w:val="26"/>
        </w:rPr>
        <w:t xml:space="preserve"> </w:t>
      </w:r>
      <w:r>
        <w:rPr>
          <w:sz w:val="26"/>
        </w:rPr>
        <w:t>stages.</w:t>
      </w:r>
      <w:r>
        <w:rPr>
          <w:spacing w:val="-16"/>
          <w:sz w:val="26"/>
        </w:rPr>
        <w:t xml:space="preserve"> </w:t>
      </w:r>
      <w:r>
        <w:rPr>
          <w:sz w:val="26"/>
        </w:rPr>
        <w:t>First,</w:t>
      </w:r>
      <w:r>
        <w:rPr>
          <w:spacing w:val="-19"/>
          <w:sz w:val="26"/>
        </w:rPr>
        <w:t xml:space="preserve"> </w:t>
      </w:r>
      <w:r>
        <w:rPr>
          <w:sz w:val="26"/>
        </w:rPr>
        <w:t>there is a formal initiation ceremony that begins a forty-one day Vratham. This is followed by another formal ceremony at the end of the Vrat</w:t>
      </w:r>
      <w:r>
        <w:rPr>
          <w:sz w:val="26"/>
        </w:rPr>
        <w:t>ham period, called the</w:t>
      </w:r>
      <w:r>
        <w:rPr>
          <w:spacing w:val="-5"/>
          <w:sz w:val="26"/>
        </w:rPr>
        <w:t xml:space="preserve"> </w:t>
      </w:r>
      <w:r>
        <w:rPr>
          <w:i/>
          <w:sz w:val="26"/>
        </w:rPr>
        <w:t>Irumuti</w:t>
      </w:r>
      <w:r>
        <w:rPr>
          <w:i/>
          <w:spacing w:val="-4"/>
          <w:sz w:val="26"/>
        </w:rPr>
        <w:t xml:space="preserve"> </w:t>
      </w:r>
      <w:r>
        <w:rPr>
          <w:i/>
          <w:sz w:val="26"/>
        </w:rPr>
        <w:t>Kattal</w:t>
      </w:r>
      <w:r>
        <w:rPr>
          <w:i/>
          <w:spacing w:val="-5"/>
          <w:sz w:val="26"/>
        </w:rPr>
        <w:t xml:space="preserve"> </w:t>
      </w:r>
      <w:r>
        <w:rPr>
          <w:sz w:val="26"/>
        </w:rPr>
        <w:t>(tying</w:t>
      </w:r>
      <w:r>
        <w:rPr>
          <w:spacing w:val="-4"/>
          <w:sz w:val="26"/>
        </w:rPr>
        <w:t xml:space="preserve"> </w:t>
      </w:r>
      <w:r>
        <w:rPr>
          <w:sz w:val="26"/>
        </w:rPr>
        <w:t>of</w:t>
      </w:r>
      <w:r>
        <w:rPr>
          <w:spacing w:val="-4"/>
          <w:sz w:val="26"/>
        </w:rPr>
        <w:t xml:space="preserve"> </w:t>
      </w:r>
      <w:r>
        <w:rPr>
          <w:sz w:val="26"/>
        </w:rPr>
        <w:t>bundle),</w:t>
      </w:r>
      <w:r>
        <w:rPr>
          <w:spacing w:val="-5"/>
          <w:sz w:val="26"/>
        </w:rPr>
        <w:t xml:space="preserve"> </w:t>
      </w:r>
      <w:r>
        <w:rPr>
          <w:sz w:val="26"/>
        </w:rPr>
        <w:t>after</w:t>
      </w:r>
      <w:r>
        <w:rPr>
          <w:spacing w:val="-2"/>
          <w:sz w:val="26"/>
        </w:rPr>
        <w:t xml:space="preserve"> </w:t>
      </w:r>
      <w:r>
        <w:rPr>
          <w:sz w:val="26"/>
        </w:rPr>
        <w:t>which</w:t>
      </w:r>
      <w:r>
        <w:rPr>
          <w:spacing w:val="-5"/>
          <w:sz w:val="26"/>
        </w:rPr>
        <w:t xml:space="preserve"> </w:t>
      </w:r>
      <w:r>
        <w:rPr>
          <w:sz w:val="26"/>
        </w:rPr>
        <w:t>the</w:t>
      </w:r>
      <w:r>
        <w:rPr>
          <w:spacing w:val="-6"/>
          <w:sz w:val="26"/>
        </w:rPr>
        <w:t xml:space="preserve"> </w:t>
      </w:r>
      <w:r>
        <w:rPr>
          <w:sz w:val="26"/>
        </w:rPr>
        <w:t>pilgrims</w:t>
      </w:r>
      <w:r>
        <w:rPr>
          <w:spacing w:val="-2"/>
          <w:sz w:val="26"/>
        </w:rPr>
        <w:t xml:space="preserve"> </w:t>
      </w:r>
      <w:r>
        <w:rPr>
          <w:sz w:val="26"/>
        </w:rPr>
        <w:t>set</w:t>
      </w:r>
      <w:r>
        <w:rPr>
          <w:spacing w:val="-3"/>
          <w:sz w:val="26"/>
        </w:rPr>
        <w:t xml:space="preserve"> </w:t>
      </w:r>
      <w:r>
        <w:rPr>
          <w:sz w:val="26"/>
        </w:rPr>
        <w:t>off</w:t>
      </w:r>
      <w:r>
        <w:rPr>
          <w:spacing w:val="-5"/>
          <w:sz w:val="26"/>
        </w:rPr>
        <w:t xml:space="preserve"> </w:t>
      </w:r>
      <w:r>
        <w:rPr>
          <w:sz w:val="26"/>
        </w:rPr>
        <w:t>for</w:t>
      </w:r>
      <w:r>
        <w:rPr>
          <w:spacing w:val="-4"/>
          <w:sz w:val="26"/>
        </w:rPr>
        <w:t xml:space="preserve"> </w:t>
      </w:r>
      <w:r>
        <w:rPr>
          <w:sz w:val="26"/>
        </w:rPr>
        <w:t>their</w:t>
      </w:r>
      <w:r>
        <w:rPr>
          <w:spacing w:val="-3"/>
          <w:sz w:val="26"/>
        </w:rPr>
        <w:t xml:space="preserve"> </w:t>
      </w:r>
      <w:r>
        <w:rPr>
          <w:sz w:val="26"/>
        </w:rPr>
        <w:t>yatra to the Ayyappa Temple at Sabarimala. This stage includes the physical travel to</w:t>
      </w:r>
      <w:r>
        <w:rPr>
          <w:spacing w:val="-16"/>
          <w:sz w:val="26"/>
        </w:rPr>
        <w:t xml:space="preserve"> </w:t>
      </w:r>
      <w:r>
        <w:rPr>
          <w:sz w:val="26"/>
        </w:rPr>
        <w:t>the</w:t>
      </w:r>
      <w:r>
        <w:rPr>
          <w:spacing w:val="-14"/>
          <w:sz w:val="26"/>
        </w:rPr>
        <w:t xml:space="preserve"> </w:t>
      </w:r>
      <w:r>
        <w:rPr>
          <w:sz w:val="26"/>
        </w:rPr>
        <w:t>pilgrimage</w:t>
      </w:r>
      <w:r>
        <w:rPr>
          <w:spacing w:val="-16"/>
          <w:sz w:val="26"/>
        </w:rPr>
        <w:t xml:space="preserve"> </w:t>
      </w:r>
      <w:r>
        <w:rPr>
          <w:sz w:val="26"/>
        </w:rPr>
        <w:t>site,</w:t>
      </w:r>
      <w:r>
        <w:rPr>
          <w:spacing w:val="-13"/>
          <w:sz w:val="26"/>
        </w:rPr>
        <w:t xml:space="preserve"> </w:t>
      </w:r>
      <w:r>
        <w:rPr>
          <w:sz w:val="26"/>
        </w:rPr>
        <w:t>bathing</w:t>
      </w:r>
      <w:r>
        <w:rPr>
          <w:spacing w:val="-16"/>
          <w:sz w:val="26"/>
        </w:rPr>
        <w:t xml:space="preserve"> </w:t>
      </w:r>
      <w:r>
        <w:rPr>
          <w:sz w:val="26"/>
        </w:rPr>
        <w:t>in</w:t>
      </w:r>
      <w:r>
        <w:rPr>
          <w:spacing w:val="-16"/>
          <w:sz w:val="26"/>
        </w:rPr>
        <w:t xml:space="preserve"> </w:t>
      </w:r>
      <w:r>
        <w:rPr>
          <w:sz w:val="26"/>
        </w:rPr>
        <w:t>the</w:t>
      </w:r>
      <w:r>
        <w:rPr>
          <w:spacing w:val="-15"/>
          <w:sz w:val="26"/>
        </w:rPr>
        <w:t xml:space="preserve"> </w:t>
      </w:r>
      <w:r>
        <w:rPr>
          <w:sz w:val="26"/>
        </w:rPr>
        <w:t>holy</w:t>
      </w:r>
      <w:r>
        <w:rPr>
          <w:spacing w:val="-19"/>
          <w:sz w:val="26"/>
        </w:rPr>
        <w:t xml:space="preserve"> </w:t>
      </w:r>
      <w:r>
        <w:rPr>
          <w:sz w:val="26"/>
        </w:rPr>
        <w:t>river</w:t>
      </w:r>
      <w:r>
        <w:rPr>
          <w:spacing w:val="-16"/>
          <w:sz w:val="26"/>
        </w:rPr>
        <w:t xml:space="preserve"> </w:t>
      </w:r>
      <w:r>
        <w:rPr>
          <w:sz w:val="26"/>
        </w:rPr>
        <w:t>Pampa</w:t>
      </w:r>
      <w:r>
        <w:rPr>
          <w:spacing w:val="-15"/>
          <w:sz w:val="26"/>
        </w:rPr>
        <w:t xml:space="preserve"> </w:t>
      </w:r>
      <w:r>
        <w:rPr>
          <w:sz w:val="26"/>
        </w:rPr>
        <w:t>at</w:t>
      </w:r>
      <w:r>
        <w:rPr>
          <w:spacing w:val="-14"/>
          <w:sz w:val="26"/>
        </w:rPr>
        <w:t xml:space="preserve"> </w:t>
      </w:r>
      <w:r>
        <w:rPr>
          <w:sz w:val="26"/>
        </w:rPr>
        <w:t>the</w:t>
      </w:r>
      <w:r>
        <w:rPr>
          <w:spacing w:val="-16"/>
          <w:sz w:val="26"/>
        </w:rPr>
        <w:t xml:space="preserve"> </w:t>
      </w:r>
      <w:r>
        <w:rPr>
          <w:sz w:val="26"/>
        </w:rPr>
        <w:t>foot</w:t>
      </w:r>
      <w:r>
        <w:rPr>
          <w:spacing w:val="-13"/>
          <w:sz w:val="26"/>
        </w:rPr>
        <w:t xml:space="preserve"> </w:t>
      </w:r>
      <w:r>
        <w:rPr>
          <w:sz w:val="26"/>
        </w:rPr>
        <w:t>of</w:t>
      </w:r>
      <w:r>
        <w:rPr>
          <w:spacing w:val="-14"/>
          <w:sz w:val="26"/>
        </w:rPr>
        <w:t xml:space="preserve"> </w:t>
      </w:r>
      <w:r>
        <w:rPr>
          <w:sz w:val="26"/>
        </w:rPr>
        <w:t>Mount</w:t>
      </w:r>
      <w:r>
        <w:rPr>
          <w:spacing w:val="-16"/>
          <w:sz w:val="26"/>
        </w:rPr>
        <w:t xml:space="preserve"> </w:t>
      </w:r>
      <w:r>
        <w:rPr>
          <w:sz w:val="26"/>
        </w:rPr>
        <w:t>Sabari</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and the climb up Mount Sabari. This involves a trek from the Pampa river, climbing 3000 feet to the Sannidhanam, which is a trek of around 13 Kms, or through forests which is a trek of 41 Kms. It ends with the pilgrim’s asce</w:t>
      </w:r>
      <w:r>
        <w:rPr>
          <w:sz w:val="26"/>
        </w:rPr>
        <w:t>nding the sacred” eighteen steps to the shrine for the first darshan or glimpse of the deity.</w:t>
      </w:r>
      <w:r>
        <w:rPr>
          <w:spacing w:val="-9"/>
          <w:sz w:val="26"/>
        </w:rPr>
        <w:t xml:space="preserve"> </w:t>
      </w:r>
      <w:r>
        <w:rPr>
          <w:sz w:val="26"/>
        </w:rPr>
        <w:t>The</w:t>
      </w:r>
      <w:r>
        <w:rPr>
          <w:spacing w:val="-7"/>
          <w:sz w:val="26"/>
        </w:rPr>
        <w:t xml:space="preserve"> </w:t>
      </w:r>
      <w:r>
        <w:rPr>
          <w:sz w:val="26"/>
        </w:rPr>
        <w:t>fourth</w:t>
      </w:r>
      <w:r>
        <w:rPr>
          <w:spacing w:val="-6"/>
          <w:sz w:val="26"/>
        </w:rPr>
        <w:t xml:space="preserve"> </w:t>
      </w:r>
      <w:r>
        <w:rPr>
          <w:sz w:val="26"/>
        </w:rPr>
        <w:t>stage</w:t>
      </w:r>
      <w:r>
        <w:rPr>
          <w:spacing w:val="-9"/>
          <w:sz w:val="26"/>
        </w:rPr>
        <w:t xml:space="preserve"> </w:t>
      </w:r>
      <w:r>
        <w:rPr>
          <w:sz w:val="26"/>
        </w:rPr>
        <w:t>is</w:t>
      </w:r>
      <w:r>
        <w:rPr>
          <w:spacing w:val="-9"/>
          <w:sz w:val="26"/>
        </w:rPr>
        <w:t xml:space="preserve"> </w:t>
      </w:r>
      <w:r>
        <w:rPr>
          <w:sz w:val="26"/>
        </w:rPr>
        <w:t>the</w:t>
      </w:r>
      <w:r>
        <w:rPr>
          <w:spacing w:val="-8"/>
          <w:sz w:val="26"/>
        </w:rPr>
        <w:t xml:space="preserve"> </w:t>
      </w:r>
      <w:r>
        <w:rPr>
          <w:sz w:val="26"/>
        </w:rPr>
        <w:t>return</w:t>
      </w:r>
      <w:r>
        <w:rPr>
          <w:spacing w:val="-7"/>
          <w:sz w:val="26"/>
        </w:rPr>
        <w:t xml:space="preserve"> </w:t>
      </w:r>
      <w:r>
        <w:rPr>
          <w:sz w:val="26"/>
        </w:rPr>
        <w:t>journey</w:t>
      </w:r>
      <w:r>
        <w:rPr>
          <w:spacing w:val="-9"/>
          <w:sz w:val="26"/>
        </w:rPr>
        <w:t xml:space="preserve"> </w:t>
      </w:r>
      <w:r>
        <w:rPr>
          <w:sz w:val="26"/>
        </w:rPr>
        <w:t>and</w:t>
      </w:r>
      <w:r>
        <w:rPr>
          <w:spacing w:val="-6"/>
          <w:sz w:val="26"/>
        </w:rPr>
        <w:t xml:space="preserve"> </w:t>
      </w:r>
      <w:r>
        <w:rPr>
          <w:sz w:val="26"/>
        </w:rPr>
        <w:t>the</w:t>
      </w:r>
      <w:r>
        <w:rPr>
          <w:spacing w:val="-7"/>
          <w:sz w:val="26"/>
        </w:rPr>
        <w:t xml:space="preserve"> </w:t>
      </w:r>
      <w:r>
        <w:rPr>
          <w:sz w:val="26"/>
        </w:rPr>
        <w:t>final</w:t>
      </w:r>
      <w:r>
        <w:rPr>
          <w:spacing w:val="-7"/>
          <w:sz w:val="26"/>
        </w:rPr>
        <w:t xml:space="preserve"> </w:t>
      </w:r>
      <w:r>
        <w:rPr>
          <w:sz w:val="26"/>
        </w:rPr>
        <w:t>incorporation</w:t>
      </w:r>
      <w:r>
        <w:rPr>
          <w:spacing w:val="-6"/>
          <w:sz w:val="26"/>
        </w:rPr>
        <w:t xml:space="preserve"> </w:t>
      </w:r>
      <w:r>
        <w:rPr>
          <w:sz w:val="26"/>
        </w:rPr>
        <w:t>back</w:t>
      </w:r>
      <w:r>
        <w:rPr>
          <w:spacing w:val="-9"/>
          <w:sz w:val="26"/>
        </w:rPr>
        <w:t xml:space="preserve"> </w:t>
      </w:r>
      <w:r>
        <w:rPr>
          <w:sz w:val="26"/>
        </w:rPr>
        <w:t>into life.</w:t>
      </w:r>
    </w:p>
    <w:p w:rsidR="003B2FC0" w:rsidRDefault="003B2FC0">
      <w:pPr>
        <w:rPr>
          <w:sz w:val="28"/>
        </w:rPr>
      </w:pPr>
    </w:p>
    <w:p w:rsidR="003B2FC0" w:rsidRDefault="003B2FC0">
      <w:pPr>
        <w:spacing w:before="9"/>
        <w:rPr>
          <w:sz w:val="32"/>
        </w:rPr>
      </w:pPr>
    </w:p>
    <w:p w:rsidR="003B2FC0" w:rsidRDefault="00052A49">
      <w:pPr>
        <w:spacing w:before="1" w:line="480" w:lineRule="auto"/>
        <w:ind w:left="400" w:right="434"/>
        <w:jc w:val="both"/>
        <w:rPr>
          <w:sz w:val="26"/>
        </w:rPr>
      </w:pPr>
      <w:r>
        <w:rPr>
          <w:sz w:val="26"/>
        </w:rPr>
        <w:t>Modern communications have made the task less arduous. In 1960, an access road</w:t>
      </w:r>
      <w:r>
        <w:rPr>
          <w:spacing w:val="-5"/>
          <w:sz w:val="26"/>
        </w:rPr>
        <w:t xml:space="preserve"> </w:t>
      </w:r>
      <w:r>
        <w:rPr>
          <w:sz w:val="26"/>
        </w:rPr>
        <w:t>was</w:t>
      </w:r>
      <w:r>
        <w:rPr>
          <w:spacing w:val="-7"/>
          <w:sz w:val="26"/>
        </w:rPr>
        <w:t xml:space="preserve"> </w:t>
      </w:r>
      <w:r>
        <w:rPr>
          <w:sz w:val="26"/>
        </w:rPr>
        <w:t>constructed</w:t>
      </w:r>
      <w:r>
        <w:rPr>
          <w:spacing w:val="-7"/>
          <w:sz w:val="26"/>
        </w:rPr>
        <w:t xml:space="preserve"> </w:t>
      </w:r>
      <w:r>
        <w:rPr>
          <w:sz w:val="26"/>
        </w:rPr>
        <w:t>for</w:t>
      </w:r>
      <w:r>
        <w:rPr>
          <w:spacing w:val="-7"/>
          <w:sz w:val="26"/>
        </w:rPr>
        <w:t xml:space="preserve"> </w:t>
      </w:r>
      <w:r>
        <w:rPr>
          <w:sz w:val="26"/>
        </w:rPr>
        <w:t>vehicles,</w:t>
      </w:r>
      <w:r>
        <w:rPr>
          <w:spacing w:val="-7"/>
          <w:sz w:val="26"/>
        </w:rPr>
        <w:t xml:space="preserve"> </w:t>
      </w:r>
      <w:r>
        <w:rPr>
          <w:sz w:val="26"/>
        </w:rPr>
        <w:t>so</w:t>
      </w:r>
      <w:r>
        <w:rPr>
          <w:spacing w:val="-8"/>
          <w:sz w:val="26"/>
        </w:rPr>
        <w:t xml:space="preserve"> </w:t>
      </w:r>
      <w:r>
        <w:rPr>
          <w:sz w:val="26"/>
        </w:rPr>
        <w:t>that</w:t>
      </w:r>
      <w:r>
        <w:rPr>
          <w:spacing w:val="-5"/>
          <w:sz w:val="26"/>
        </w:rPr>
        <w:t xml:space="preserve"> </w:t>
      </w:r>
      <w:r>
        <w:rPr>
          <w:sz w:val="26"/>
        </w:rPr>
        <w:t>a</w:t>
      </w:r>
      <w:r>
        <w:rPr>
          <w:spacing w:val="-7"/>
          <w:sz w:val="26"/>
        </w:rPr>
        <w:t xml:space="preserve"> </w:t>
      </w:r>
      <w:r>
        <w:rPr>
          <w:sz w:val="26"/>
        </w:rPr>
        <w:t>pilgrim</w:t>
      </w:r>
      <w:r>
        <w:rPr>
          <w:spacing w:val="-6"/>
          <w:sz w:val="26"/>
        </w:rPr>
        <w:t xml:space="preserve"> </w:t>
      </w:r>
      <w:r>
        <w:rPr>
          <w:sz w:val="26"/>
        </w:rPr>
        <w:t>can</w:t>
      </w:r>
      <w:r>
        <w:rPr>
          <w:spacing w:val="-7"/>
          <w:sz w:val="26"/>
        </w:rPr>
        <w:t xml:space="preserve"> </w:t>
      </w:r>
      <w:r>
        <w:rPr>
          <w:sz w:val="26"/>
        </w:rPr>
        <w:t>drive</w:t>
      </w:r>
      <w:r>
        <w:rPr>
          <w:spacing w:val="-7"/>
          <w:sz w:val="26"/>
        </w:rPr>
        <w:t xml:space="preserve"> </w:t>
      </w:r>
      <w:r>
        <w:rPr>
          <w:sz w:val="26"/>
        </w:rPr>
        <w:t>right</w:t>
      </w:r>
      <w:r>
        <w:rPr>
          <w:spacing w:val="-8"/>
          <w:sz w:val="26"/>
        </w:rPr>
        <w:t xml:space="preserve"> </w:t>
      </w:r>
      <w:r>
        <w:rPr>
          <w:sz w:val="26"/>
        </w:rPr>
        <w:t>up</w:t>
      </w:r>
      <w:r>
        <w:rPr>
          <w:spacing w:val="-7"/>
          <w:sz w:val="26"/>
        </w:rPr>
        <w:t xml:space="preserve"> </w:t>
      </w:r>
      <w:r>
        <w:rPr>
          <w:sz w:val="26"/>
        </w:rPr>
        <w:t>to</w:t>
      </w:r>
      <w:r>
        <w:rPr>
          <w:spacing w:val="-7"/>
          <w:sz w:val="26"/>
        </w:rPr>
        <w:t xml:space="preserve"> </w:t>
      </w:r>
      <w:r>
        <w:rPr>
          <w:sz w:val="26"/>
        </w:rPr>
        <w:t>the</w:t>
      </w:r>
      <w:r>
        <w:rPr>
          <w:spacing w:val="-7"/>
          <w:sz w:val="26"/>
        </w:rPr>
        <w:t xml:space="preserve"> </w:t>
      </w:r>
      <w:r>
        <w:rPr>
          <w:sz w:val="26"/>
        </w:rPr>
        <w:t>foot of</w:t>
      </w:r>
      <w:r>
        <w:rPr>
          <w:spacing w:val="-13"/>
          <w:sz w:val="26"/>
        </w:rPr>
        <w:t xml:space="preserve"> </w:t>
      </w:r>
      <w:r>
        <w:rPr>
          <w:sz w:val="26"/>
        </w:rPr>
        <w:t>Sabarimala.</w:t>
      </w:r>
      <w:r>
        <w:rPr>
          <w:spacing w:val="-12"/>
          <w:sz w:val="26"/>
        </w:rPr>
        <w:t xml:space="preserve"> </w:t>
      </w:r>
      <w:r>
        <w:rPr>
          <w:sz w:val="26"/>
        </w:rPr>
        <w:t>From</w:t>
      </w:r>
      <w:r>
        <w:rPr>
          <w:spacing w:val="-9"/>
          <w:sz w:val="26"/>
        </w:rPr>
        <w:t xml:space="preserve"> </w:t>
      </w:r>
      <w:r>
        <w:rPr>
          <w:sz w:val="26"/>
        </w:rPr>
        <w:t>here,</w:t>
      </w:r>
      <w:r>
        <w:rPr>
          <w:spacing w:val="-12"/>
          <w:sz w:val="26"/>
        </w:rPr>
        <w:t xml:space="preserve"> </w:t>
      </w:r>
      <w:r>
        <w:rPr>
          <w:sz w:val="26"/>
        </w:rPr>
        <w:t>the</w:t>
      </w:r>
      <w:r>
        <w:rPr>
          <w:spacing w:val="-9"/>
          <w:sz w:val="26"/>
        </w:rPr>
        <w:t xml:space="preserve"> </w:t>
      </w:r>
      <w:r>
        <w:rPr>
          <w:sz w:val="26"/>
        </w:rPr>
        <w:t>holy</w:t>
      </w:r>
      <w:r>
        <w:rPr>
          <w:spacing w:val="-14"/>
          <w:sz w:val="26"/>
        </w:rPr>
        <w:t xml:space="preserve"> </w:t>
      </w:r>
      <w:r>
        <w:rPr>
          <w:sz w:val="26"/>
        </w:rPr>
        <w:t>summit</w:t>
      </w:r>
      <w:r>
        <w:rPr>
          <w:spacing w:val="-9"/>
          <w:sz w:val="26"/>
        </w:rPr>
        <w:t xml:space="preserve"> </w:t>
      </w:r>
      <w:r>
        <w:rPr>
          <w:sz w:val="26"/>
        </w:rPr>
        <w:t>is</w:t>
      </w:r>
      <w:r>
        <w:rPr>
          <w:spacing w:val="-11"/>
          <w:sz w:val="26"/>
        </w:rPr>
        <w:t xml:space="preserve"> </w:t>
      </w:r>
      <w:r>
        <w:rPr>
          <w:sz w:val="26"/>
        </w:rPr>
        <w:t>just</w:t>
      </w:r>
      <w:r>
        <w:rPr>
          <w:spacing w:val="-13"/>
          <w:sz w:val="26"/>
        </w:rPr>
        <w:t xml:space="preserve"> </w:t>
      </w:r>
      <w:r>
        <w:rPr>
          <w:sz w:val="26"/>
        </w:rPr>
        <w:t>8</w:t>
      </w:r>
      <w:r>
        <w:rPr>
          <w:spacing w:val="-12"/>
          <w:sz w:val="26"/>
        </w:rPr>
        <w:t xml:space="preserve"> </w:t>
      </w:r>
      <w:r>
        <w:rPr>
          <w:sz w:val="26"/>
        </w:rPr>
        <w:t>kms</w:t>
      </w:r>
      <w:r>
        <w:rPr>
          <w:spacing w:val="-9"/>
          <w:sz w:val="26"/>
        </w:rPr>
        <w:t xml:space="preserve"> </w:t>
      </w:r>
      <w:r>
        <w:rPr>
          <w:sz w:val="26"/>
        </w:rPr>
        <w:t>away.</w:t>
      </w:r>
      <w:r>
        <w:rPr>
          <w:spacing w:val="-11"/>
          <w:sz w:val="26"/>
        </w:rPr>
        <w:t xml:space="preserve"> </w:t>
      </w:r>
      <w:r>
        <w:rPr>
          <w:sz w:val="26"/>
        </w:rPr>
        <w:t>The</w:t>
      </w:r>
      <w:r>
        <w:rPr>
          <w:spacing w:val="-12"/>
          <w:sz w:val="26"/>
        </w:rPr>
        <w:t xml:space="preserve"> </w:t>
      </w:r>
      <w:r>
        <w:rPr>
          <w:sz w:val="26"/>
        </w:rPr>
        <w:t>Kerala</w:t>
      </w:r>
      <w:r>
        <w:rPr>
          <w:spacing w:val="-12"/>
          <w:sz w:val="26"/>
        </w:rPr>
        <w:t xml:space="preserve"> </w:t>
      </w:r>
      <w:r>
        <w:rPr>
          <w:sz w:val="26"/>
        </w:rPr>
        <w:t>State Transport Corporation runs special buses during the season of pilgrimage.</w:t>
      </w:r>
      <w:r>
        <w:rPr>
          <w:spacing w:val="-22"/>
          <w:sz w:val="26"/>
        </w:rPr>
        <w:t xml:space="preserve"> </w:t>
      </w:r>
      <w:r>
        <w:rPr>
          <w:sz w:val="26"/>
        </w:rPr>
        <w:t>The buses connect Pampa directly with almost all the main cities in Kerala, Tamil Nadu and</w:t>
      </w:r>
      <w:r>
        <w:rPr>
          <w:spacing w:val="-3"/>
          <w:sz w:val="26"/>
        </w:rPr>
        <w:t xml:space="preserve"> </w:t>
      </w:r>
      <w:r>
        <w:rPr>
          <w:sz w:val="26"/>
        </w:rPr>
        <w:t>Karnataka.</w:t>
      </w:r>
    </w:p>
    <w:p w:rsidR="003B2FC0" w:rsidRDefault="003B2FC0">
      <w:pPr>
        <w:rPr>
          <w:sz w:val="28"/>
        </w:rPr>
      </w:pPr>
    </w:p>
    <w:p w:rsidR="003B2FC0" w:rsidRDefault="003B2FC0">
      <w:pPr>
        <w:spacing w:before="8"/>
        <w:rPr>
          <w:sz w:val="32"/>
        </w:rPr>
      </w:pPr>
    </w:p>
    <w:p w:rsidR="003B2FC0" w:rsidRDefault="00052A49">
      <w:pPr>
        <w:pStyle w:val="ListParagraph"/>
        <w:numPr>
          <w:ilvl w:val="0"/>
          <w:numId w:val="39"/>
        </w:numPr>
        <w:tabs>
          <w:tab w:val="left" w:pos="1121"/>
        </w:tabs>
        <w:spacing w:before="1" w:line="480" w:lineRule="auto"/>
        <w:ind w:right="435" w:firstLine="0"/>
        <w:jc w:val="both"/>
        <w:rPr>
          <w:sz w:val="26"/>
        </w:rPr>
      </w:pPr>
      <w:r>
        <w:rPr>
          <w:sz w:val="26"/>
        </w:rPr>
        <w:t>The pilgrimage has three distinctive features: (i) It is almost exclusiv</w:t>
      </w:r>
      <w:r>
        <w:rPr>
          <w:sz w:val="26"/>
        </w:rPr>
        <w:t>ely</w:t>
      </w:r>
      <w:r>
        <w:rPr>
          <w:spacing w:val="-28"/>
          <w:sz w:val="26"/>
        </w:rPr>
        <w:t xml:space="preserve"> </w:t>
      </w:r>
      <w:r>
        <w:rPr>
          <w:sz w:val="26"/>
        </w:rPr>
        <w:t>a male-centric</w:t>
      </w:r>
      <w:r>
        <w:rPr>
          <w:spacing w:val="-8"/>
          <w:sz w:val="26"/>
        </w:rPr>
        <w:t xml:space="preserve"> </w:t>
      </w:r>
      <w:r>
        <w:rPr>
          <w:sz w:val="26"/>
        </w:rPr>
        <w:t>pilgrimage</w:t>
      </w:r>
      <w:r>
        <w:rPr>
          <w:spacing w:val="-7"/>
          <w:sz w:val="26"/>
        </w:rPr>
        <w:t xml:space="preserve"> </w:t>
      </w:r>
      <w:r>
        <w:rPr>
          <w:sz w:val="26"/>
        </w:rPr>
        <w:t>that</w:t>
      </w:r>
      <w:r>
        <w:rPr>
          <w:spacing w:val="-6"/>
          <w:sz w:val="26"/>
        </w:rPr>
        <w:t xml:space="preserve"> </w:t>
      </w:r>
      <w:r>
        <w:rPr>
          <w:sz w:val="26"/>
        </w:rPr>
        <w:t>bars</w:t>
      </w:r>
      <w:r>
        <w:rPr>
          <w:spacing w:val="-2"/>
          <w:sz w:val="26"/>
        </w:rPr>
        <w:t xml:space="preserve"> </w:t>
      </w:r>
      <w:r>
        <w:rPr>
          <w:sz w:val="26"/>
        </w:rPr>
        <w:t>women</w:t>
      </w:r>
      <w:r>
        <w:rPr>
          <w:spacing w:val="-5"/>
          <w:sz w:val="26"/>
        </w:rPr>
        <w:t xml:space="preserve"> </w:t>
      </w:r>
      <w:r>
        <w:rPr>
          <w:sz w:val="26"/>
        </w:rPr>
        <w:t>between</w:t>
      </w:r>
      <w:r>
        <w:rPr>
          <w:spacing w:val="-7"/>
          <w:sz w:val="26"/>
        </w:rPr>
        <w:t xml:space="preserve"> </w:t>
      </w:r>
      <w:r>
        <w:rPr>
          <w:sz w:val="26"/>
        </w:rPr>
        <w:t>the</w:t>
      </w:r>
      <w:r>
        <w:rPr>
          <w:spacing w:val="-5"/>
          <w:sz w:val="26"/>
        </w:rPr>
        <w:t xml:space="preserve"> </w:t>
      </w:r>
      <w:r>
        <w:rPr>
          <w:sz w:val="26"/>
        </w:rPr>
        <w:t>ages</w:t>
      </w:r>
      <w:r>
        <w:rPr>
          <w:spacing w:val="-8"/>
          <w:sz w:val="26"/>
        </w:rPr>
        <w:t xml:space="preserve"> </w:t>
      </w:r>
      <w:r>
        <w:rPr>
          <w:sz w:val="26"/>
        </w:rPr>
        <w:t>of</w:t>
      </w:r>
      <w:r>
        <w:rPr>
          <w:spacing w:val="-4"/>
          <w:sz w:val="26"/>
        </w:rPr>
        <w:t xml:space="preserve"> </w:t>
      </w:r>
      <w:r>
        <w:rPr>
          <w:sz w:val="26"/>
        </w:rPr>
        <w:t>ten</w:t>
      </w:r>
      <w:r>
        <w:rPr>
          <w:spacing w:val="-8"/>
          <w:sz w:val="26"/>
        </w:rPr>
        <w:t xml:space="preserve"> </w:t>
      </w:r>
      <w:r>
        <w:rPr>
          <w:sz w:val="26"/>
        </w:rPr>
        <w:t>and</w:t>
      </w:r>
      <w:r>
        <w:rPr>
          <w:spacing w:val="-7"/>
          <w:sz w:val="26"/>
        </w:rPr>
        <w:t xml:space="preserve"> </w:t>
      </w:r>
      <w:r>
        <w:rPr>
          <w:sz w:val="26"/>
        </w:rPr>
        <w:t>fifty</w:t>
      </w:r>
      <w:r>
        <w:rPr>
          <w:spacing w:val="-8"/>
          <w:sz w:val="26"/>
        </w:rPr>
        <w:t xml:space="preserve"> </w:t>
      </w:r>
      <w:r>
        <w:rPr>
          <w:sz w:val="26"/>
        </w:rPr>
        <w:t>from participating in the rituals; (ii) Though the worshippers of Lord Ayyappa fall broadly within the Hindu tradition, yet males of all ages may participate on an equal</w:t>
      </w:r>
      <w:r>
        <w:rPr>
          <w:spacing w:val="-7"/>
          <w:sz w:val="26"/>
        </w:rPr>
        <w:t xml:space="preserve"> </w:t>
      </w:r>
      <w:r>
        <w:rPr>
          <w:sz w:val="26"/>
        </w:rPr>
        <w:t>footin</w:t>
      </w:r>
      <w:r>
        <w:rPr>
          <w:sz w:val="26"/>
        </w:rPr>
        <w:t>g,</w:t>
      </w:r>
      <w:r>
        <w:rPr>
          <w:spacing w:val="-7"/>
          <w:sz w:val="26"/>
        </w:rPr>
        <w:t xml:space="preserve"> </w:t>
      </w:r>
      <w:r>
        <w:rPr>
          <w:sz w:val="26"/>
        </w:rPr>
        <w:t>regardless</w:t>
      </w:r>
      <w:r>
        <w:rPr>
          <w:spacing w:val="-9"/>
          <w:sz w:val="26"/>
        </w:rPr>
        <w:t xml:space="preserve"> </w:t>
      </w:r>
      <w:r>
        <w:rPr>
          <w:sz w:val="26"/>
        </w:rPr>
        <w:t>of</w:t>
      </w:r>
      <w:r>
        <w:rPr>
          <w:spacing w:val="-6"/>
          <w:sz w:val="26"/>
        </w:rPr>
        <w:t xml:space="preserve"> </w:t>
      </w:r>
      <w:r>
        <w:rPr>
          <w:sz w:val="26"/>
        </w:rPr>
        <w:t>caste,</w:t>
      </w:r>
      <w:r>
        <w:rPr>
          <w:spacing w:val="-5"/>
          <w:sz w:val="26"/>
        </w:rPr>
        <w:t xml:space="preserve"> </w:t>
      </w:r>
      <w:r>
        <w:rPr>
          <w:sz w:val="26"/>
        </w:rPr>
        <w:t>creed</w:t>
      </w:r>
      <w:r>
        <w:rPr>
          <w:spacing w:val="-7"/>
          <w:sz w:val="26"/>
        </w:rPr>
        <w:t xml:space="preserve"> </w:t>
      </w:r>
      <w:r>
        <w:rPr>
          <w:sz w:val="26"/>
        </w:rPr>
        <w:t>or</w:t>
      </w:r>
      <w:r>
        <w:rPr>
          <w:spacing w:val="-9"/>
          <w:sz w:val="26"/>
        </w:rPr>
        <w:t xml:space="preserve"> </w:t>
      </w:r>
      <w:r>
        <w:rPr>
          <w:sz w:val="26"/>
        </w:rPr>
        <w:t>religion.</w:t>
      </w:r>
      <w:r>
        <w:rPr>
          <w:spacing w:val="-6"/>
          <w:sz w:val="26"/>
        </w:rPr>
        <w:t xml:space="preserve"> </w:t>
      </w:r>
      <w:r>
        <w:rPr>
          <w:sz w:val="26"/>
        </w:rPr>
        <w:t>Muslims</w:t>
      </w:r>
      <w:r>
        <w:rPr>
          <w:spacing w:val="-9"/>
          <w:sz w:val="26"/>
        </w:rPr>
        <w:t xml:space="preserve"> </w:t>
      </w:r>
      <w:r>
        <w:rPr>
          <w:sz w:val="26"/>
        </w:rPr>
        <w:t>and</w:t>
      </w:r>
      <w:r>
        <w:rPr>
          <w:spacing w:val="-9"/>
          <w:sz w:val="26"/>
        </w:rPr>
        <w:t xml:space="preserve"> </w:t>
      </w:r>
      <w:r>
        <w:rPr>
          <w:sz w:val="26"/>
        </w:rPr>
        <w:t>Christians</w:t>
      </w:r>
      <w:r>
        <w:rPr>
          <w:spacing w:val="-6"/>
          <w:sz w:val="26"/>
        </w:rPr>
        <w:t xml:space="preserve"> </w:t>
      </w:r>
      <w:r>
        <w:rPr>
          <w:sz w:val="26"/>
        </w:rPr>
        <w:t>are also known to undertake this pilgrimage, enjoying the same equality; and (iii) The actual journey to the pilgrimage site is preceded by a preparatory period</w:t>
      </w:r>
      <w:r>
        <w:rPr>
          <w:spacing w:val="-42"/>
          <w:sz w:val="26"/>
        </w:rPr>
        <w:t xml:space="preserve"> </w:t>
      </w:r>
      <w:r>
        <w:rPr>
          <w:sz w:val="26"/>
        </w:rPr>
        <w:t>of forty-one</w:t>
      </w:r>
      <w:r>
        <w:rPr>
          <w:spacing w:val="27"/>
          <w:sz w:val="26"/>
        </w:rPr>
        <w:t xml:space="preserve"> </w:t>
      </w:r>
      <w:r>
        <w:rPr>
          <w:sz w:val="26"/>
        </w:rPr>
        <w:t>days.</w:t>
      </w:r>
      <w:r>
        <w:rPr>
          <w:spacing w:val="28"/>
          <w:sz w:val="26"/>
        </w:rPr>
        <w:t xml:space="preserve"> </w:t>
      </w:r>
      <w:r>
        <w:rPr>
          <w:sz w:val="26"/>
        </w:rPr>
        <w:t>During</w:t>
      </w:r>
      <w:r>
        <w:rPr>
          <w:spacing w:val="28"/>
          <w:sz w:val="26"/>
        </w:rPr>
        <w:t xml:space="preserve"> </w:t>
      </w:r>
      <w:r>
        <w:rPr>
          <w:sz w:val="26"/>
        </w:rPr>
        <w:t>this</w:t>
      </w:r>
      <w:r>
        <w:rPr>
          <w:spacing w:val="30"/>
          <w:sz w:val="26"/>
        </w:rPr>
        <w:t xml:space="preserve"> </w:t>
      </w:r>
      <w:r>
        <w:rPr>
          <w:sz w:val="26"/>
        </w:rPr>
        <w:t>period,</w:t>
      </w:r>
      <w:r>
        <w:rPr>
          <w:spacing w:val="28"/>
          <w:sz w:val="26"/>
        </w:rPr>
        <w:t xml:space="preserve"> </w:t>
      </w:r>
      <w:r>
        <w:rPr>
          <w:sz w:val="26"/>
        </w:rPr>
        <w:t>pilgrims</w:t>
      </w:r>
      <w:r>
        <w:rPr>
          <w:spacing w:val="28"/>
          <w:sz w:val="26"/>
        </w:rPr>
        <w:t xml:space="preserve"> </w:t>
      </w:r>
      <w:r>
        <w:rPr>
          <w:sz w:val="26"/>
        </w:rPr>
        <w:t>are</w:t>
      </w:r>
      <w:r>
        <w:rPr>
          <w:spacing w:val="29"/>
          <w:sz w:val="26"/>
        </w:rPr>
        <w:t xml:space="preserve"> </w:t>
      </w:r>
      <w:r>
        <w:rPr>
          <w:sz w:val="26"/>
        </w:rPr>
        <w:t>obliged</w:t>
      </w:r>
      <w:r>
        <w:rPr>
          <w:spacing w:val="28"/>
          <w:sz w:val="26"/>
        </w:rPr>
        <w:t xml:space="preserve"> </w:t>
      </w:r>
      <w:r>
        <w:rPr>
          <w:sz w:val="26"/>
        </w:rPr>
        <w:t>to</w:t>
      </w:r>
      <w:r>
        <w:rPr>
          <w:spacing w:val="30"/>
          <w:sz w:val="26"/>
        </w:rPr>
        <w:t xml:space="preserve"> </w:t>
      </w:r>
      <w:r>
        <w:rPr>
          <w:sz w:val="26"/>
        </w:rPr>
        <w:t>wear</w:t>
      </w:r>
      <w:r>
        <w:rPr>
          <w:spacing w:val="28"/>
          <w:sz w:val="26"/>
        </w:rPr>
        <w:t xml:space="preserve"> </w:t>
      </w:r>
      <w:r>
        <w:rPr>
          <w:sz w:val="26"/>
        </w:rPr>
        <w:t>black</w:t>
      </w:r>
      <w:r>
        <w:rPr>
          <w:spacing w:val="28"/>
          <w:sz w:val="26"/>
        </w:rPr>
        <w:t xml:space="preserve"> </w:t>
      </w:r>
      <w:r>
        <w:rPr>
          <w:sz w:val="26"/>
        </w:rPr>
        <w:t>clothes</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Pr>
          <w:sz w:val="26"/>
        </w:rPr>
      </w:pPr>
      <w:r>
        <w:rPr>
          <w:sz w:val="26"/>
        </w:rPr>
        <w:t>and the ‘mala’ with which they are initiated, and they must observe celibacy, abstinence from meat and intoxicants.</w:t>
      </w:r>
    </w:p>
    <w:p w:rsidR="003B2FC0" w:rsidRDefault="003B2FC0">
      <w:pPr>
        <w:rPr>
          <w:sz w:val="28"/>
        </w:rPr>
      </w:pPr>
    </w:p>
    <w:p w:rsidR="003B2FC0" w:rsidRDefault="003B2FC0">
      <w:pPr>
        <w:spacing w:before="10"/>
        <w:rPr>
          <w:sz w:val="23"/>
        </w:rPr>
      </w:pPr>
    </w:p>
    <w:p w:rsidR="003B2FC0" w:rsidRDefault="00052A49">
      <w:pPr>
        <w:pStyle w:val="ListParagraph"/>
        <w:numPr>
          <w:ilvl w:val="0"/>
          <w:numId w:val="39"/>
        </w:numPr>
        <w:tabs>
          <w:tab w:val="left" w:pos="1121"/>
        </w:tabs>
        <w:spacing w:before="1" w:line="480" w:lineRule="auto"/>
        <w:ind w:right="434" w:firstLine="0"/>
        <w:jc w:val="both"/>
        <w:rPr>
          <w:sz w:val="26"/>
        </w:rPr>
      </w:pPr>
      <w:r>
        <w:rPr>
          <w:sz w:val="26"/>
        </w:rPr>
        <w:t>Traditionally though the Vratham period extended over forty-one</w:t>
      </w:r>
      <w:r>
        <w:rPr>
          <w:sz w:val="26"/>
        </w:rPr>
        <w:t xml:space="preserve"> days, nowadays shorter periods are permitted. While it is expected that for first time initiaties observe the forty-one day Vratham, others shorten the term to two weeks</w:t>
      </w:r>
      <w:r>
        <w:rPr>
          <w:spacing w:val="-10"/>
          <w:sz w:val="26"/>
        </w:rPr>
        <w:t xml:space="preserve"> </w:t>
      </w:r>
      <w:r>
        <w:rPr>
          <w:sz w:val="26"/>
        </w:rPr>
        <w:t>or</w:t>
      </w:r>
      <w:r>
        <w:rPr>
          <w:spacing w:val="-7"/>
          <w:sz w:val="26"/>
        </w:rPr>
        <w:t xml:space="preserve"> </w:t>
      </w:r>
      <w:r>
        <w:rPr>
          <w:sz w:val="26"/>
        </w:rPr>
        <w:t>even</w:t>
      </w:r>
      <w:r>
        <w:rPr>
          <w:spacing w:val="-9"/>
          <w:sz w:val="26"/>
        </w:rPr>
        <w:t xml:space="preserve"> </w:t>
      </w:r>
      <w:r>
        <w:rPr>
          <w:sz w:val="26"/>
        </w:rPr>
        <w:t>six</w:t>
      </w:r>
      <w:r>
        <w:rPr>
          <w:spacing w:val="-11"/>
          <w:sz w:val="26"/>
        </w:rPr>
        <w:t xml:space="preserve"> </w:t>
      </w:r>
      <w:r>
        <w:rPr>
          <w:sz w:val="26"/>
        </w:rPr>
        <w:t>days.</w:t>
      </w:r>
      <w:r>
        <w:rPr>
          <w:spacing w:val="-7"/>
          <w:sz w:val="26"/>
        </w:rPr>
        <w:t xml:space="preserve"> </w:t>
      </w:r>
      <w:r>
        <w:rPr>
          <w:sz w:val="26"/>
        </w:rPr>
        <w:t>A</w:t>
      </w:r>
      <w:r>
        <w:rPr>
          <w:spacing w:val="-9"/>
          <w:sz w:val="26"/>
        </w:rPr>
        <w:t xml:space="preserve"> </w:t>
      </w:r>
      <w:r>
        <w:rPr>
          <w:sz w:val="26"/>
        </w:rPr>
        <w:t>key</w:t>
      </w:r>
      <w:r>
        <w:rPr>
          <w:spacing w:val="-9"/>
          <w:sz w:val="26"/>
        </w:rPr>
        <w:t xml:space="preserve"> </w:t>
      </w:r>
      <w:r>
        <w:rPr>
          <w:sz w:val="26"/>
        </w:rPr>
        <w:t>essential</w:t>
      </w:r>
      <w:r>
        <w:rPr>
          <w:spacing w:val="-9"/>
          <w:sz w:val="26"/>
        </w:rPr>
        <w:t xml:space="preserve"> </w:t>
      </w:r>
      <w:r>
        <w:rPr>
          <w:sz w:val="26"/>
        </w:rPr>
        <w:t>of</w:t>
      </w:r>
      <w:r>
        <w:rPr>
          <w:spacing w:val="-7"/>
          <w:sz w:val="26"/>
        </w:rPr>
        <w:t xml:space="preserve"> </w:t>
      </w:r>
      <w:r>
        <w:rPr>
          <w:sz w:val="26"/>
        </w:rPr>
        <w:t>the</w:t>
      </w:r>
      <w:r>
        <w:rPr>
          <w:spacing w:val="-9"/>
          <w:sz w:val="26"/>
        </w:rPr>
        <w:t xml:space="preserve"> </w:t>
      </w:r>
      <w:r>
        <w:rPr>
          <w:sz w:val="26"/>
        </w:rPr>
        <w:t>Vratham</w:t>
      </w:r>
      <w:r>
        <w:rPr>
          <w:spacing w:val="-9"/>
          <w:sz w:val="26"/>
        </w:rPr>
        <w:t xml:space="preserve"> </w:t>
      </w:r>
      <w:r>
        <w:rPr>
          <w:sz w:val="26"/>
        </w:rPr>
        <w:t>is</w:t>
      </w:r>
      <w:r>
        <w:rPr>
          <w:spacing w:val="-7"/>
          <w:sz w:val="26"/>
        </w:rPr>
        <w:t xml:space="preserve"> </w:t>
      </w:r>
      <w:r>
        <w:rPr>
          <w:sz w:val="26"/>
        </w:rPr>
        <w:t>a</w:t>
      </w:r>
      <w:r>
        <w:rPr>
          <w:spacing w:val="-6"/>
          <w:sz w:val="26"/>
        </w:rPr>
        <w:t xml:space="preserve"> </w:t>
      </w:r>
      <w:r>
        <w:rPr>
          <w:i/>
          <w:sz w:val="26"/>
        </w:rPr>
        <w:t>sathvic</w:t>
      </w:r>
      <w:r>
        <w:rPr>
          <w:i/>
          <w:spacing w:val="-8"/>
          <w:sz w:val="26"/>
        </w:rPr>
        <w:t xml:space="preserve"> </w:t>
      </w:r>
      <w:r>
        <w:rPr>
          <w:sz w:val="26"/>
        </w:rPr>
        <w:t>lifestyle</w:t>
      </w:r>
      <w:r>
        <w:rPr>
          <w:spacing w:val="-9"/>
          <w:sz w:val="26"/>
        </w:rPr>
        <w:t xml:space="preserve"> </w:t>
      </w:r>
      <w:r>
        <w:rPr>
          <w:sz w:val="26"/>
        </w:rPr>
        <w:t xml:space="preserve">and </w:t>
      </w:r>
      <w:r>
        <w:rPr>
          <w:i/>
          <w:sz w:val="26"/>
        </w:rPr>
        <w:t>brahmacha</w:t>
      </w:r>
      <w:r>
        <w:rPr>
          <w:i/>
          <w:sz w:val="26"/>
        </w:rPr>
        <w:t>rya</w:t>
      </w:r>
      <w:r>
        <w:rPr>
          <w:sz w:val="26"/>
        </w:rPr>
        <w:t>. This is believed to be a step towards a pure body and mind an effort to be aloof from the materialistic world, by taking a step towards the path of</w:t>
      </w:r>
      <w:r>
        <w:rPr>
          <w:spacing w:val="-2"/>
          <w:sz w:val="26"/>
        </w:rPr>
        <w:t xml:space="preserve"> </w:t>
      </w:r>
      <w:r>
        <w:rPr>
          <w:sz w:val="26"/>
        </w:rPr>
        <w:t>devotion.</w:t>
      </w:r>
    </w:p>
    <w:p w:rsidR="003B2FC0" w:rsidRDefault="003B2FC0">
      <w:pPr>
        <w:spacing w:before="1"/>
        <w:rPr>
          <w:sz w:val="26"/>
        </w:rPr>
      </w:pPr>
    </w:p>
    <w:p w:rsidR="003B2FC0" w:rsidRDefault="00052A49">
      <w:pPr>
        <w:ind w:left="400"/>
        <w:jc w:val="both"/>
        <w:rPr>
          <w:sz w:val="26"/>
        </w:rPr>
      </w:pPr>
      <w:r>
        <w:rPr>
          <w:sz w:val="26"/>
        </w:rPr>
        <w:t>The Vratham or penance entails:</w:t>
      </w:r>
    </w:p>
    <w:p w:rsidR="003B2FC0" w:rsidRDefault="003B2FC0">
      <w:pPr>
        <w:rPr>
          <w:sz w:val="28"/>
        </w:rPr>
      </w:pPr>
    </w:p>
    <w:p w:rsidR="003B2FC0" w:rsidRDefault="003B2FC0">
      <w:pPr>
        <w:spacing w:before="1"/>
        <w:rPr>
          <w:sz w:val="24"/>
        </w:rPr>
      </w:pPr>
    </w:p>
    <w:p w:rsidR="003B2FC0" w:rsidRDefault="00052A49">
      <w:pPr>
        <w:pStyle w:val="ListParagraph"/>
        <w:numPr>
          <w:ilvl w:val="0"/>
          <w:numId w:val="36"/>
        </w:numPr>
        <w:tabs>
          <w:tab w:val="left" w:pos="1121"/>
        </w:tabs>
        <w:jc w:val="both"/>
        <w:rPr>
          <w:sz w:val="26"/>
        </w:rPr>
      </w:pPr>
      <w:r>
        <w:rPr>
          <w:sz w:val="26"/>
        </w:rPr>
        <w:t>Abstaining from physical relations with a</w:t>
      </w:r>
      <w:r>
        <w:rPr>
          <w:spacing w:val="-5"/>
          <w:sz w:val="26"/>
        </w:rPr>
        <w:t xml:space="preserve"> </w:t>
      </w:r>
      <w:r>
        <w:rPr>
          <w:sz w:val="26"/>
        </w:rPr>
        <w:t>spouse;</w:t>
      </w:r>
    </w:p>
    <w:p w:rsidR="003B2FC0" w:rsidRDefault="003B2FC0">
      <w:pPr>
        <w:rPr>
          <w:sz w:val="26"/>
        </w:rPr>
      </w:pPr>
    </w:p>
    <w:p w:rsidR="003B2FC0" w:rsidRDefault="00052A49">
      <w:pPr>
        <w:pStyle w:val="ListParagraph"/>
        <w:numPr>
          <w:ilvl w:val="0"/>
          <w:numId w:val="36"/>
        </w:numPr>
        <w:tabs>
          <w:tab w:val="left" w:pos="1121"/>
        </w:tabs>
        <w:jc w:val="both"/>
        <w:rPr>
          <w:sz w:val="26"/>
        </w:rPr>
      </w:pPr>
      <w:r>
        <w:rPr>
          <w:sz w:val="26"/>
        </w:rPr>
        <w:t xml:space="preserve">Abstention from intoxicating drinks, smoking and </w:t>
      </w:r>
      <w:r>
        <w:rPr>
          <w:i/>
          <w:sz w:val="26"/>
        </w:rPr>
        <w:t>tamasic</w:t>
      </w:r>
      <w:r>
        <w:rPr>
          <w:i/>
          <w:spacing w:val="-6"/>
          <w:sz w:val="26"/>
        </w:rPr>
        <w:t xml:space="preserve"> </w:t>
      </w:r>
      <w:r>
        <w:rPr>
          <w:sz w:val="26"/>
        </w:rPr>
        <w:t>food;</w:t>
      </w:r>
    </w:p>
    <w:p w:rsidR="003B2FC0" w:rsidRDefault="003B2FC0">
      <w:pPr>
        <w:spacing w:before="11"/>
        <w:rPr>
          <w:sz w:val="25"/>
        </w:rPr>
      </w:pPr>
    </w:p>
    <w:p w:rsidR="003B2FC0" w:rsidRDefault="00052A49">
      <w:pPr>
        <w:pStyle w:val="ListParagraph"/>
        <w:numPr>
          <w:ilvl w:val="0"/>
          <w:numId w:val="36"/>
        </w:numPr>
        <w:tabs>
          <w:tab w:val="left" w:pos="1121"/>
        </w:tabs>
        <w:jc w:val="both"/>
        <w:rPr>
          <w:sz w:val="26"/>
        </w:rPr>
      </w:pPr>
      <w:r>
        <w:rPr>
          <w:sz w:val="26"/>
        </w:rPr>
        <w:t>Living in isolation from the rest of the</w:t>
      </w:r>
      <w:r>
        <w:rPr>
          <w:spacing w:val="-12"/>
          <w:sz w:val="26"/>
        </w:rPr>
        <w:t xml:space="preserve"> </w:t>
      </w:r>
      <w:r>
        <w:rPr>
          <w:sz w:val="26"/>
        </w:rPr>
        <w:t>family;</w:t>
      </w:r>
    </w:p>
    <w:p w:rsidR="003B2FC0" w:rsidRDefault="003B2FC0">
      <w:pPr>
        <w:rPr>
          <w:sz w:val="26"/>
        </w:rPr>
      </w:pPr>
    </w:p>
    <w:p w:rsidR="003B2FC0" w:rsidRDefault="00052A49">
      <w:pPr>
        <w:pStyle w:val="ListParagraph"/>
        <w:numPr>
          <w:ilvl w:val="0"/>
          <w:numId w:val="36"/>
        </w:numPr>
        <w:tabs>
          <w:tab w:val="left" w:pos="1120"/>
          <w:tab w:val="left" w:pos="1121"/>
        </w:tabs>
        <w:spacing w:line="480" w:lineRule="auto"/>
        <w:ind w:right="1180"/>
        <w:rPr>
          <w:sz w:val="26"/>
        </w:rPr>
      </w:pPr>
      <w:r>
        <w:rPr>
          <w:sz w:val="26"/>
        </w:rPr>
        <w:t>Refraining from interacting with women in daily life including those in the</w:t>
      </w:r>
      <w:r>
        <w:rPr>
          <w:spacing w:val="-3"/>
          <w:sz w:val="26"/>
        </w:rPr>
        <w:t xml:space="preserve"> </w:t>
      </w:r>
      <w:r>
        <w:rPr>
          <w:sz w:val="26"/>
        </w:rPr>
        <w:t>family;</w:t>
      </w:r>
    </w:p>
    <w:p w:rsidR="003B2FC0" w:rsidRDefault="00052A49">
      <w:pPr>
        <w:pStyle w:val="ListParagraph"/>
        <w:numPr>
          <w:ilvl w:val="0"/>
          <w:numId w:val="36"/>
        </w:numPr>
        <w:tabs>
          <w:tab w:val="left" w:pos="1121"/>
        </w:tabs>
        <w:jc w:val="both"/>
        <w:rPr>
          <w:sz w:val="26"/>
        </w:rPr>
      </w:pPr>
      <w:r>
        <w:rPr>
          <w:sz w:val="26"/>
        </w:rPr>
        <w:t>Cooking one’s own</w:t>
      </w:r>
      <w:r>
        <w:rPr>
          <w:spacing w:val="-2"/>
          <w:sz w:val="26"/>
        </w:rPr>
        <w:t xml:space="preserve"> </w:t>
      </w:r>
      <w:r>
        <w:rPr>
          <w:sz w:val="26"/>
        </w:rPr>
        <w:t>food;</w:t>
      </w:r>
    </w:p>
    <w:p w:rsidR="003B2FC0" w:rsidRDefault="003B2FC0">
      <w:pPr>
        <w:spacing w:before="1"/>
        <w:rPr>
          <w:sz w:val="26"/>
        </w:rPr>
      </w:pPr>
    </w:p>
    <w:p w:rsidR="003B2FC0" w:rsidRDefault="00052A49">
      <w:pPr>
        <w:pStyle w:val="ListParagraph"/>
        <w:numPr>
          <w:ilvl w:val="0"/>
          <w:numId w:val="36"/>
        </w:numPr>
        <w:tabs>
          <w:tab w:val="left" w:pos="1121"/>
        </w:tabs>
        <w:spacing w:before="1"/>
        <w:jc w:val="both"/>
        <w:rPr>
          <w:sz w:val="26"/>
        </w:rPr>
      </w:pPr>
      <w:r>
        <w:rPr>
          <w:sz w:val="26"/>
        </w:rPr>
        <w:t>Maintaining hygiene including bat</w:t>
      </w:r>
      <w:r>
        <w:rPr>
          <w:sz w:val="26"/>
        </w:rPr>
        <w:t>hing twice a day before</w:t>
      </w:r>
      <w:r>
        <w:rPr>
          <w:spacing w:val="-11"/>
          <w:sz w:val="26"/>
        </w:rPr>
        <w:t xml:space="preserve"> </w:t>
      </w:r>
      <w:r>
        <w:rPr>
          <w:sz w:val="26"/>
        </w:rPr>
        <w:t>prayers;</w:t>
      </w:r>
    </w:p>
    <w:p w:rsidR="003B2FC0" w:rsidRDefault="003B2FC0">
      <w:pPr>
        <w:spacing w:before="11"/>
        <w:rPr>
          <w:sz w:val="25"/>
        </w:rPr>
      </w:pPr>
    </w:p>
    <w:p w:rsidR="003B2FC0" w:rsidRDefault="00052A49">
      <w:pPr>
        <w:pStyle w:val="ListParagraph"/>
        <w:numPr>
          <w:ilvl w:val="0"/>
          <w:numId w:val="36"/>
        </w:numPr>
        <w:tabs>
          <w:tab w:val="left" w:pos="1121"/>
        </w:tabs>
        <w:jc w:val="both"/>
        <w:rPr>
          <w:sz w:val="26"/>
        </w:rPr>
      </w:pPr>
      <w:r>
        <w:rPr>
          <w:sz w:val="26"/>
        </w:rPr>
        <w:t>Wearing a black mundu and upper</w:t>
      </w:r>
      <w:r>
        <w:rPr>
          <w:spacing w:val="-3"/>
          <w:sz w:val="26"/>
        </w:rPr>
        <w:t xml:space="preserve"> </w:t>
      </w:r>
      <w:r>
        <w:rPr>
          <w:sz w:val="26"/>
        </w:rPr>
        <w:t>garments;</w:t>
      </w:r>
    </w:p>
    <w:p w:rsidR="003B2FC0" w:rsidRDefault="003B2FC0">
      <w:pPr>
        <w:spacing w:before="11"/>
        <w:rPr>
          <w:sz w:val="25"/>
        </w:rPr>
      </w:pPr>
    </w:p>
    <w:p w:rsidR="003B2FC0" w:rsidRDefault="00052A49">
      <w:pPr>
        <w:pStyle w:val="ListParagraph"/>
        <w:numPr>
          <w:ilvl w:val="0"/>
          <w:numId w:val="36"/>
        </w:numPr>
        <w:tabs>
          <w:tab w:val="left" w:pos="1121"/>
        </w:tabs>
        <w:jc w:val="both"/>
        <w:rPr>
          <w:sz w:val="26"/>
        </w:rPr>
      </w:pPr>
      <w:r>
        <w:rPr>
          <w:sz w:val="26"/>
        </w:rPr>
        <w:t>Partaking of one meal a day;</w:t>
      </w:r>
      <w:r>
        <w:rPr>
          <w:spacing w:val="-4"/>
          <w:sz w:val="26"/>
        </w:rPr>
        <w:t xml:space="preserve"> </w:t>
      </w:r>
      <w:r>
        <w:rPr>
          <w:sz w:val="26"/>
        </w:rPr>
        <w:t>and</w:t>
      </w:r>
    </w:p>
    <w:p w:rsidR="003B2FC0" w:rsidRDefault="003B2FC0">
      <w:pPr>
        <w:spacing w:before="11"/>
        <w:rPr>
          <w:sz w:val="25"/>
        </w:rPr>
      </w:pPr>
    </w:p>
    <w:p w:rsidR="003B2FC0" w:rsidRDefault="00052A49">
      <w:pPr>
        <w:pStyle w:val="ListParagraph"/>
        <w:numPr>
          <w:ilvl w:val="0"/>
          <w:numId w:val="36"/>
        </w:numPr>
        <w:tabs>
          <w:tab w:val="left" w:pos="1121"/>
        </w:tabs>
        <w:jc w:val="both"/>
        <w:rPr>
          <w:sz w:val="26"/>
        </w:rPr>
      </w:pPr>
      <w:r>
        <w:rPr>
          <w:sz w:val="26"/>
        </w:rPr>
        <w:t>Walking</w:t>
      </w:r>
      <w:r>
        <w:rPr>
          <w:spacing w:val="-2"/>
          <w:sz w:val="26"/>
        </w:rPr>
        <w:t xml:space="preserve"> </w:t>
      </w:r>
      <w:r>
        <w:rPr>
          <w:sz w:val="26"/>
        </w:rPr>
        <w:t>barefoot.</w:t>
      </w:r>
    </w:p>
    <w:p w:rsidR="003B2FC0" w:rsidRDefault="003B2FC0">
      <w:pPr>
        <w:jc w:val="both"/>
        <w:rPr>
          <w:sz w:val="26"/>
        </w:rPr>
        <w:sectPr w:rsidR="003B2FC0">
          <w:pgSz w:w="11910" w:h="16840"/>
          <w:pgMar w:top="1080" w:right="980" w:bottom="1200" w:left="1040" w:header="708" w:footer="1000" w:gutter="0"/>
          <w:cols w:space="720"/>
        </w:sectPr>
      </w:pPr>
    </w:p>
    <w:p w:rsidR="003B2FC0" w:rsidRDefault="003B2FC0">
      <w:pPr>
        <w:rPr>
          <w:sz w:val="20"/>
        </w:rPr>
      </w:pPr>
    </w:p>
    <w:p w:rsidR="003B2FC0" w:rsidRDefault="003B2FC0">
      <w:pPr>
        <w:rPr>
          <w:sz w:val="20"/>
        </w:rPr>
      </w:pPr>
    </w:p>
    <w:p w:rsidR="003B2FC0" w:rsidRDefault="003B2FC0">
      <w:pPr>
        <w:rPr>
          <w:sz w:val="20"/>
        </w:rPr>
      </w:pPr>
    </w:p>
    <w:p w:rsidR="003B2FC0" w:rsidRDefault="00052A49">
      <w:pPr>
        <w:spacing w:before="250" w:line="480" w:lineRule="auto"/>
        <w:ind w:left="400" w:right="435"/>
        <w:jc w:val="both"/>
        <w:rPr>
          <w:sz w:val="26"/>
        </w:rPr>
      </w:pPr>
      <w:r>
        <w:rPr>
          <w:sz w:val="26"/>
        </w:rPr>
        <w:t>The penance is to be carried out in the manner prescribed. Maintaining</w:t>
      </w:r>
      <w:r>
        <w:rPr>
          <w:spacing w:val="-30"/>
          <w:sz w:val="26"/>
        </w:rPr>
        <w:t xml:space="preserve"> </w:t>
      </w:r>
      <w:r>
        <w:rPr>
          <w:sz w:val="26"/>
        </w:rPr>
        <w:t>oneself as</w:t>
      </w:r>
      <w:r>
        <w:rPr>
          <w:spacing w:val="-5"/>
          <w:sz w:val="26"/>
        </w:rPr>
        <w:t xml:space="preserve"> </w:t>
      </w:r>
      <w:r>
        <w:rPr>
          <w:sz w:val="26"/>
        </w:rPr>
        <w:t>‘pure</w:t>
      </w:r>
      <w:r>
        <w:rPr>
          <w:spacing w:val="-5"/>
          <w:sz w:val="26"/>
        </w:rPr>
        <w:t xml:space="preserve"> </w:t>
      </w:r>
      <w:r>
        <w:rPr>
          <w:sz w:val="26"/>
        </w:rPr>
        <w:t>and</w:t>
      </w:r>
      <w:r>
        <w:rPr>
          <w:spacing w:val="-6"/>
          <w:sz w:val="26"/>
        </w:rPr>
        <w:t xml:space="preserve"> </w:t>
      </w:r>
      <w:r>
        <w:rPr>
          <w:sz w:val="26"/>
        </w:rPr>
        <w:t>unpolluted’,</w:t>
      </w:r>
      <w:r>
        <w:rPr>
          <w:spacing w:val="-5"/>
          <w:sz w:val="26"/>
        </w:rPr>
        <w:t xml:space="preserve"> </w:t>
      </w:r>
      <w:r>
        <w:rPr>
          <w:sz w:val="26"/>
        </w:rPr>
        <w:t>i</w:t>
      </w:r>
      <w:r>
        <w:rPr>
          <w:sz w:val="26"/>
        </w:rPr>
        <w:t>t</w:t>
      </w:r>
      <w:r>
        <w:rPr>
          <w:spacing w:val="-5"/>
          <w:sz w:val="26"/>
        </w:rPr>
        <w:t xml:space="preserve"> </w:t>
      </w:r>
      <w:r>
        <w:rPr>
          <w:sz w:val="26"/>
        </w:rPr>
        <w:t>is</w:t>
      </w:r>
      <w:r>
        <w:rPr>
          <w:spacing w:val="-5"/>
          <w:sz w:val="26"/>
        </w:rPr>
        <w:t xml:space="preserve"> </w:t>
      </w:r>
      <w:r>
        <w:rPr>
          <w:sz w:val="26"/>
        </w:rPr>
        <w:t>believed,</w:t>
      </w:r>
      <w:r>
        <w:rPr>
          <w:spacing w:val="-3"/>
          <w:sz w:val="26"/>
        </w:rPr>
        <w:t xml:space="preserve"> </w:t>
      </w:r>
      <w:r>
        <w:rPr>
          <w:sz w:val="26"/>
        </w:rPr>
        <w:t>would</w:t>
      </w:r>
      <w:r>
        <w:rPr>
          <w:spacing w:val="-5"/>
          <w:sz w:val="26"/>
        </w:rPr>
        <w:t xml:space="preserve"> </w:t>
      </w:r>
      <w:r>
        <w:rPr>
          <w:sz w:val="26"/>
        </w:rPr>
        <w:t>lead</w:t>
      </w:r>
      <w:r>
        <w:rPr>
          <w:spacing w:val="-5"/>
          <w:sz w:val="26"/>
        </w:rPr>
        <w:t xml:space="preserve"> </w:t>
      </w:r>
      <w:r>
        <w:rPr>
          <w:sz w:val="26"/>
        </w:rPr>
        <w:t>to</w:t>
      </w:r>
      <w:r>
        <w:rPr>
          <w:spacing w:val="-5"/>
          <w:sz w:val="26"/>
        </w:rPr>
        <w:t xml:space="preserve"> </w:t>
      </w:r>
      <w:r>
        <w:rPr>
          <w:sz w:val="26"/>
        </w:rPr>
        <w:t>the</w:t>
      </w:r>
      <w:r>
        <w:rPr>
          <w:spacing w:val="-5"/>
          <w:sz w:val="26"/>
        </w:rPr>
        <w:t xml:space="preserve"> </w:t>
      </w:r>
      <w:r>
        <w:rPr>
          <w:sz w:val="26"/>
        </w:rPr>
        <w:t>path</w:t>
      </w:r>
      <w:r>
        <w:rPr>
          <w:spacing w:val="-5"/>
          <w:sz w:val="26"/>
        </w:rPr>
        <w:t xml:space="preserve"> </w:t>
      </w:r>
      <w:r>
        <w:rPr>
          <w:sz w:val="26"/>
        </w:rPr>
        <w:t>towards</w:t>
      </w:r>
      <w:r>
        <w:rPr>
          <w:spacing w:val="-5"/>
          <w:sz w:val="26"/>
        </w:rPr>
        <w:t xml:space="preserve"> </w:t>
      </w:r>
      <w:r>
        <w:rPr>
          <w:sz w:val="26"/>
        </w:rPr>
        <w:t>attaining Godhead or to be one with Lord</w:t>
      </w:r>
      <w:r>
        <w:rPr>
          <w:spacing w:val="-4"/>
          <w:sz w:val="26"/>
        </w:rPr>
        <w:t xml:space="preserve"> </w:t>
      </w:r>
      <w:r>
        <w:rPr>
          <w:sz w:val="26"/>
        </w:rPr>
        <w:t>Ayyappa.</w:t>
      </w:r>
    </w:p>
    <w:p w:rsidR="003B2FC0" w:rsidRDefault="003B2FC0">
      <w:pPr>
        <w:rPr>
          <w:sz w:val="28"/>
        </w:rPr>
      </w:pPr>
    </w:p>
    <w:p w:rsidR="003B2FC0" w:rsidRDefault="003B2FC0">
      <w:pPr>
        <w:spacing w:before="11"/>
        <w:rPr>
          <w:sz w:val="23"/>
        </w:rPr>
      </w:pPr>
    </w:p>
    <w:p w:rsidR="003B2FC0" w:rsidRDefault="00052A49">
      <w:pPr>
        <w:pStyle w:val="Heading1"/>
        <w:numPr>
          <w:ilvl w:val="0"/>
          <w:numId w:val="40"/>
        </w:numPr>
        <w:tabs>
          <w:tab w:val="left" w:pos="1120"/>
          <w:tab w:val="left" w:pos="1121"/>
        </w:tabs>
        <w:ind w:left="1120" w:hanging="720"/>
        <w:jc w:val="left"/>
      </w:pPr>
      <w:r>
        <w:t>Temple entry and the exclusion of</w:t>
      </w:r>
      <w:r>
        <w:rPr>
          <w:spacing w:val="-12"/>
        </w:rPr>
        <w:t xml:space="preserve"> </w:t>
      </w:r>
      <w:r>
        <w:t>women</w:t>
      </w:r>
    </w:p>
    <w:p w:rsidR="003B2FC0" w:rsidRDefault="003B2FC0">
      <w:pPr>
        <w:rPr>
          <w:b/>
          <w:sz w:val="30"/>
        </w:rPr>
      </w:pPr>
    </w:p>
    <w:p w:rsidR="003B2FC0" w:rsidRDefault="003B2FC0">
      <w:pPr>
        <w:spacing w:before="8"/>
        <w:rPr>
          <w:b/>
          <w:sz w:val="39"/>
        </w:rPr>
      </w:pPr>
    </w:p>
    <w:p w:rsidR="003B2FC0" w:rsidRDefault="00052A49">
      <w:pPr>
        <w:spacing w:line="480" w:lineRule="auto"/>
        <w:ind w:left="400" w:right="439"/>
        <w:jc w:val="both"/>
        <w:rPr>
          <w:sz w:val="26"/>
        </w:rPr>
      </w:pPr>
      <w:r>
        <w:rPr>
          <w:sz w:val="26"/>
        </w:rPr>
        <w:t>Before proceeding to analyse the questions in this reference, it would be necessary to outline the history of the case bearing upon the controversy.</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7" w:firstLine="0"/>
        <w:jc w:val="both"/>
        <w:rPr>
          <w:sz w:val="26"/>
        </w:rPr>
      </w:pPr>
      <w:r>
        <w:rPr>
          <w:sz w:val="26"/>
        </w:rPr>
        <w:t>Two</w:t>
      </w:r>
      <w:r>
        <w:rPr>
          <w:spacing w:val="-12"/>
          <w:sz w:val="26"/>
        </w:rPr>
        <w:t xml:space="preserve"> </w:t>
      </w:r>
      <w:r>
        <w:rPr>
          <w:sz w:val="26"/>
        </w:rPr>
        <w:t>notifications</w:t>
      </w:r>
      <w:r>
        <w:rPr>
          <w:spacing w:val="-12"/>
          <w:sz w:val="26"/>
        </w:rPr>
        <w:t xml:space="preserve"> </w:t>
      </w:r>
      <w:r>
        <w:rPr>
          <w:sz w:val="26"/>
        </w:rPr>
        <w:t>were</w:t>
      </w:r>
      <w:r>
        <w:rPr>
          <w:spacing w:val="-11"/>
          <w:sz w:val="26"/>
        </w:rPr>
        <w:t xml:space="preserve"> </w:t>
      </w:r>
      <w:r>
        <w:rPr>
          <w:sz w:val="26"/>
        </w:rPr>
        <w:t>issued</w:t>
      </w:r>
      <w:r>
        <w:rPr>
          <w:spacing w:val="-13"/>
          <w:sz w:val="26"/>
        </w:rPr>
        <w:t xml:space="preserve"> </w:t>
      </w:r>
      <w:r>
        <w:rPr>
          <w:sz w:val="26"/>
        </w:rPr>
        <w:t>by</w:t>
      </w:r>
      <w:r>
        <w:rPr>
          <w:spacing w:val="-14"/>
          <w:sz w:val="26"/>
        </w:rPr>
        <w:t xml:space="preserve"> </w:t>
      </w:r>
      <w:r>
        <w:rPr>
          <w:sz w:val="26"/>
        </w:rPr>
        <w:t>the</w:t>
      </w:r>
      <w:r>
        <w:rPr>
          <w:spacing w:val="-13"/>
          <w:sz w:val="26"/>
        </w:rPr>
        <w:t xml:space="preserve"> </w:t>
      </w:r>
      <w:r>
        <w:rPr>
          <w:sz w:val="26"/>
        </w:rPr>
        <w:t>Travancore</w:t>
      </w:r>
      <w:r>
        <w:rPr>
          <w:spacing w:val="-12"/>
          <w:sz w:val="26"/>
        </w:rPr>
        <w:t xml:space="preserve"> </w:t>
      </w:r>
      <w:r>
        <w:rPr>
          <w:sz w:val="26"/>
        </w:rPr>
        <w:t>Devaswom</w:t>
      </w:r>
      <w:r>
        <w:rPr>
          <w:spacing w:val="-12"/>
          <w:sz w:val="26"/>
        </w:rPr>
        <w:t xml:space="preserve"> </w:t>
      </w:r>
      <w:r>
        <w:rPr>
          <w:sz w:val="26"/>
        </w:rPr>
        <w:t>Board</w:t>
      </w:r>
      <w:r>
        <w:rPr>
          <w:spacing w:val="-9"/>
          <w:sz w:val="26"/>
        </w:rPr>
        <w:t xml:space="preserve"> </w:t>
      </w:r>
      <w:r>
        <w:rPr>
          <w:sz w:val="26"/>
        </w:rPr>
        <w:t>which read as</w:t>
      </w:r>
      <w:r>
        <w:rPr>
          <w:spacing w:val="-1"/>
          <w:sz w:val="26"/>
        </w:rPr>
        <w:t xml:space="preserve"> </w:t>
      </w:r>
      <w:r>
        <w:rPr>
          <w:sz w:val="26"/>
        </w:rPr>
        <w:t>follows:</w:t>
      </w:r>
    </w:p>
    <w:p w:rsidR="003B2FC0" w:rsidRDefault="00052A49">
      <w:pPr>
        <w:spacing w:before="198"/>
        <w:ind w:left="3098"/>
        <w:rPr>
          <w:sz w:val="21"/>
        </w:rPr>
      </w:pPr>
      <w:r>
        <w:rPr>
          <w:sz w:val="21"/>
        </w:rPr>
        <w:t xml:space="preserve">Notification dated </w:t>
      </w:r>
      <w:r>
        <w:rPr>
          <w:sz w:val="21"/>
        </w:rPr>
        <w:t>21 October 1955</w:t>
      </w:r>
    </w:p>
    <w:p w:rsidR="003B2FC0" w:rsidRDefault="003B2FC0">
      <w:pPr>
        <w:spacing w:before="6"/>
        <w:rPr>
          <w:sz w:val="20"/>
        </w:rPr>
      </w:pPr>
    </w:p>
    <w:p w:rsidR="003B2FC0" w:rsidRDefault="00052A49">
      <w:pPr>
        <w:spacing w:line="276" w:lineRule="auto"/>
        <w:ind w:left="1840" w:right="2281"/>
        <w:jc w:val="both"/>
        <w:rPr>
          <w:sz w:val="14"/>
        </w:rPr>
      </w:pPr>
      <w:r>
        <w:rPr>
          <w:sz w:val="21"/>
        </w:rPr>
        <w:t>“In accordance with the fundamental principle underlying the prathishta (installation) of the venerable, holy and ancient temple of Sabarimala, Ayyappans who had not observed the usual vows as well as women who had attained maturity were n</w:t>
      </w:r>
      <w:r>
        <w:rPr>
          <w:sz w:val="21"/>
        </w:rPr>
        <w:t>ot in the habit of entering the above mentioned temple for Darshan (worship) by stepping the Pathinettampadi. But of late, there seems to have been a deviation from this custom and</w:t>
      </w:r>
      <w:r>
        <w:rPr>
          <w:spacing w:val="-13"/>
          <w:sz w:val="21"/>
        </w:rPr>
        <w:t xml:space="preserve"> </w:t>
      </w:r>
      <w:r>
        <w:rPr>
          <w:sz w:val="21"/>
        </w:rPr>
        <w:t>practice.</w:t>
      </w:r>
      <w:r>
        <w:rPr>
          <w:spacing w:val="-13"/>
          <w:sz w:val="21"/>
        </w:rPr>
        <w:t xml:space="preserve"> </w:t>
      </w:r>
      <w:r>
        <w:rPr>
          <w:sz w:val="21"/>
        </w:rPr>
        <w:t>In</w:t>
      </w:r>
      <w:r>
        <w:rPr>
          <w:spacing w:val="-12"/>
          <w:sz w:val="21"/>
        </w:rPr>
        <w:t xml:space="preserve"> </w:t>
      </w:r>
      <w:r>
        <w:rPr>
          <w:sz w:val="21"/>
        </w:rPr>
        <w:t>order</w:t>
      </w:r>
      <w:r>
        <w:rPr>
          <w:spacing w:val="-13"/>
          <w:sz w:val="21"/>
        </w:rPr>
        <w:t xml:space="preserve"> </w:t>
      </w:r>
      <w:r>
        <w:rPr>
          <w:sz w:val="21"/>
        </w:rPr>
        <w:t>to</w:t>
      </w:r>
      <w:r>
        <w:rPr>
          <w:spacing w:val="-12"/>
          <w:sz w:val="21"/>
        </w:rPr>
        <w:t xml:space="preserve"> </w:t>
      </w:r>
      <w:r>
        <w:rPr>
          <w:sz w:val="21"/>
        </w:rPr>
        <w:t>maintain</w:t>
      </w:r>
      <w:r>
        <w:rPr>
          <w:spacing w:val="-12"/>
          <w:sz w:val="21"/>
        </w:rPr>
        <w:t xml:space="preserve"> </w:t>
      </w:r>
      <w:r>
        <w:rPr>
          <w:sz w:val="21"/>
        </w:rPr>
        <w:t>the</w:t>
      </w:r>
      <w:r>
        <w:rPr>
          <w:spacing w:val="-12"/>
          <w:sz w:val="21"/>
        </w:rPr>
        <w:t xml:space="preserve"> </w:t>
      </w:r>
      <w:r>
        <w:rPr>
          <w:sz w:val="21"/>
        </w:rPr>
        <w:t>sanctity</w:t>
      </w:r>
      <w:r>
        <w:rPr>
          <w:spacing w:val="-15"/>
          <w:sz w:val="21"/>
        </w:rPr>
        <w:t xml:space="preserve"> </w:t>
      </w:r>
      <w:r>
        <w:rPr>
          <w:sz w:val="21"/>
        </w:rPr>
        <w:t>and</w:t>
      </w:r>
      <w:r>
        <w:rPr>
          <w:spacing w:val="-13"/>
          <w:sz w:val="21"/>
        </w:rPr>
        <w:t xml:space="preserve"> </w:t>
      </w:r>
      <w:r>
        <w:rPr>
          <w:sz w:val="21"/>
        </w:rPr>
        <w:t>dignity</w:t>
      </w:r>
      <w:r>
        <w:rPr>
          <w:spacing w:val="-15"/>
          <w:sz w:val="21"/>
        </w:rPr>
        <w:t xml:space="preserve"> </w:t>
      </w:r>
      <w:r>
        <w:rPr>
          <w:sz w:val="21"/>
        </w:rPr>
        <w:t>of</w:t>
      </w:r>
      <w:r>
        <w:rPr>
          <w:spacing w:val="-11"/>
          <w:sz w:val="21"/>
        </w:rPr>
        <w:t xml:space="preserve"> </w:t>
      </w:r>
      <w:r>
        <w:rPr>
          <w:sz w:val="21"/>
        </w:rPr>
        <w:t>this great temple and keep up the past traditions, it is hereby notified</w:t>
      </w:r>
      <w:r>
        <w:rPr>
          <w:spacing w:val="-15"/>
          <w:sz w:val="21"/>
        </w:rPr>
        <w:t xml:space="preserve"> </w:t>
      </w:r>
      <w:r>
        <w:rPr>
          <w:sz w:val="21"/>
        </w:rPr>
        <w:t>that</w:t>
      </w:r>
      <w:r>
        <w:rPr>
          <w:spacing w:val="-15"/>
          <w:sz w:val="21"/>
        </w:rPr>
        <w:t xml:space="preserve"> </w:t>
      </w:r>
      <w:r>
        <w:rPr>
          <w:sz w:val="21"/>
        </w:rPr>
        <w:t>Ayyappans</w:t>
      </w:r>
      <w:r>
        <w:rPr>
          <w:spacing w:val="-14"/>
          <w:sz w:val="21"/>
        </w:rPr>
        <w:t xml:space="preserve"> </w:t>
      </w:r>
      <w:r>
        <w:rPr>
          <w:sz w:val="21"/>
        </w:rPr>
        <w:t>who</w:t>
      </w:r>
      <w:r>
        <w:rPr>
          <w:spacing w:val="-14"/>
          <w:sz w:val="21"/>
        </w:rPr>
        <w:t xml:space="preserve"> </w:t>
      </w:r>
      <w:r>
        <w:rPr>
          <w:sz w:val="21"/>
        </w:rPr>
        <w:t>do</w:t>
      </w:r>
      <w:r>
        <w:rPr>
          <w:spacing w:val="-14"/>
          <w:sz w:val="21"/>
        </w:rPr>
        <w:t xml:space="preserve"> </w:t>
      </w:r>
      <w:r>
        <w:rPr>
          <w:sz w:val="21"/>
        </w:rPr>
        <w:t>not</w:t>
      </w:r>
      <w:r>
        <w:rPr>
          <w:spacing w:val="-16"/>
          <w:sz w:val="21"/>
        </w:rPr>
        <w:t xml:space="preserve"> </w:t>
      </w:r>
      <w:r>
        <w:rPr>
          <w:sz w:val="21"/>
        </w:rPr>
        <w:t>observe</w:t>
      </w:r>
      <w:r>
        <w:rPr>
          <w:spacing w:val="-14"/>
          <w:sz w:val="21"/>
        </w:rPr>
        <w:t xml:space="preserve"> </w:t>
      </w:r>
      <w:r>
        <w:rPr>
          <w:sz w:val="21"/>
        </w:rPr>
        <w:t>the</w:t>
      </w:r>
      <w:r>
        <w:rPr>
          <w:spacing w:val="-14"/>
          <w:sz w:val="21"/>
        </w:rPr>
        <w:t xml:space="preserve"> </w:t>
      </w:r>
      <w:r>
        <w:rPr>
          <w:sz w:val="21"/>
        </w:rPr>
        <w:t>usual</w:t>
      </w:r>
      <w:r>
        <w:rPr>
          <w:spacing w:val="-13"/>
          <w:sz w:val="21"/>
        </w:rPr>
        <w:t xml:space="preserve"> </w:t>
      </w:r>
      <w:r>
        <w:rPr>
          <w:sz w:val="21"/>
        </w:rPr>
        <w:t>Vrithams are prohibited from entering the temple by stepping the Pathinettampadi</w:t>
      </w:r>
      <w:r>
        <w:rPr>
          <w:spacing w:val="-10"/>
          <w:sz w:val="21"/>
        </w:rPr>
        <w:t xml:space="preserve"> </w:t>
      </w:r>
      <w:r>
        <w:rPr>
          <w:sz w:val="21"/>
        </w:rPr>
        <w:t>and</w:t>
      </w:r>
      <w:r>
        <w:rPr>
          <w:spacing w:val="-9"/>
          <w:sz w:val="21"/>
        </w:rPr>
        <w:t xml:space="preserve"> </w:t>
      </w:r>
      <w:r>
        <w:rPr>
          <w:sz w:val="21"/>
        </w:rPr>
        <w:t>women</w:t>
      </w:r>
      <w:r>
        <w:rPr>
          <w:spacing w:val="-9"/>
          <w:sz w:val="21"/>
        </w:rPr>
        <w:t xml:space="preserve"> </w:t>
      </w:r>
      <w:r>
        <w:rPr>
          <w:sz w:val="21"/>
        </w:rPr>
        <w:t>between</w:t>
      </w:r>
      <w:r>
        <w:rPr>
          <w:spacing w:val="-9"/>
          <w:sz w:val="21"/>
        </w:rPr>
        <w:t xml:space="preserve"> </w:t>
      </w:r>
      <w:r>
        <w:rPr>
          <w:sz w:val="21"/>
        </w:rPr>
        <w:t>the</w:t>
      </w:r>
      <w:r>
        <w:rPr>
          <w:spacing w:val="-10"/>
          <w:sz w:val="21"/>
        </w:rPr>
        <w:t xml:space="preserve"> </w:t>
      </w:r>
      <w:r>
        <w:rPr>
          <w:sz w:val="21"/>
        </w:rPr>
        <w:t>ages</w:t>
      </w:r>
      <w:r>
        <w:rPr>
          <w:spacing w:val="-9"/>
          <w:sz w:val="21"/>
        </w:rPr>
        <w:t xml:space="preserve"> </w:t>
      </w:r>
      <w:r>
        <w:rPr>
          <w:sz w:val="21"/>
        </w:rPr>
        <w:t>of</w:t>
      </w:r>
      <w:r>
        <w:rPr>
          <w:spacing w:val="-8"/>
          <w:sz w:val="21"/>
        </w:rPr>
        <w:t xml:space="preserve"> </w:t>
      </w:r>
      <w:r>
        <w:rPr>
          <w:sz w:val="21"/>
        </w:rPr>
        <w:t>ten</w:t>
      </w:r>
      <w:r>
        <w:rPr>
          <w:spacing w:val="-9"/>
          <w:sz w:val="21"/>
        </w:rPr>
        <w:t xml:space="preserve"> </w:t>
      </w:r>
      <w:r>
        <w:rPr>
          <w:sz w:val="21"/>
        </w:rPr>
        <w:t>and</w:t>
      </w:r>
      <w:r>
        <w:rPr>
          <w:spacing w:val="-9"/>
          <w:sz w:val="21"/>
        </w:rPr>
        <w:t xml:space="preserve"> </w:t>
      </w:r>
      <w:r>
        <w:rPr>
          <w:sz w:val="21"/>
        </w:rPr>
        <w:t>fifty- five are forb</w:t>
      </w:r>
      <w:r>
        <w:rPr>
          <w:sz w:val="21"/>
        </w:rPr>
        <w:t>idden from entering the</w:t>
      </w:r>
      <w:r>
        <w:rPr>
          <w:spacing w:val="-12"/>
          <w:sz w:val="21"/>
        </w:rPr>
        <w:t xml:space="preserve"> </w:t>
      </w:r>
      <w:r>
        <w:rPr>
          <w:sz w:val="21"/>
        </w:rPr>
        <w:t>temple.”</w:t>
      </w:r>
      <w:r>
        <w:rPr>
          <w:position w:val="7"/>
          <w:sz w:val="14"/>
        </w:rPr>
        <w:t>7</w:t>
      </w:r>
    </w:p>
    <w:p w:rsidR="003B2FC0" w:rsidRDefault="003B2FC0">
      <w:pPr>
        <w:rPr>
          <w:sz w:val="24"/>
        </w:rPr>
      </w:pPr>
    </w:p>
    <w:p w:rsidR="003B2FC0" w:rsidRDefault="003B2FC0">
      <w:pPr>
        <w:spacing w:before="8"/>
        <w:rPr>
          <w:sz w:val="34"/>
        </w:rPr>
      </w:pPr>
    </w:p>
    <w:p w:rsidR="003B2FC0" w:rsidRDefault="00052A49">
      <w:pPr>
        <w:ind w:left="1861" w:right="2304"/>
        <w:jc w:val="center"/>
        <w:rPr>
          <w:sz w:val="21"/>
        </w:rPr>
      </w:pPr>
      <w:r>
        <w:rPr>
          <w:sz w:val="21"/>
        </w:rPr>
        <w:t>Notification dated 27 November 1956</w:t>
      </w:r>
    </w:p>
    <w:p w:rsidR="003B2FC0" w:rsidRDefault="003B2FC0">
      <w:pPr>
        <w:rPr>
          <w:sz w:val="20"/>
        </w:rPr>
      </w:pPr>
    </w:p>
    <w:p w:rsidR="003B2FC0" w:rsidRDefault="003B2FC0">
      <w:pPr>
        <w:rPr>
          <w:sz w:val="20"/>
        </w:rPr>
      </w:pPr>
    </w:p>
    <w:p w:rsidR="003B2FC0" w:rsidRDefault="003B2FC0">
      <w:pPr>
        <w:spacing w:before="2"/>
        <w:rPr>
          <w:sz w:val="27"/>
        </w:rPr>
      </w:pPr>
      <w:r w:rsidRPr="003B2FC0">
        <w:pict>
          <v:line id="_x0000_s1132" style="position:absolute;z-index:251582976;mso-wrap-distance-left:0;mso-wrap-distance-right:0;mso-position-horizontal-relative:page" from="1in,18pt" to="216.05pt,18pt" strokeweight=".72pt">
            <w10:wrap type="topAndBottom" anchorx="page"/>
          </v:line>
        </w:pict>
      </w:r>
    </w:p>
    <w:p w:rsidR="003B2FC0" w:rsidRDefault="00052A49">
      <w:pPr>
        <w:spacing w:before="67"/>
        <w:ind w:left="580" w:right="430" w:hanging="180"/>
        <w:jc w:val="both"/>
        <w:rPr>
          <w:sz w:val="18"/>
        </w:rPr>
      </w:pPr>
      <w:r>
        <w:rPr>
          <w:position w:val="6"/>
          <w:sz w:val="12"/>
        </w:rPr>
        <w:t xml:space="preserve">7 </w:t>
      </w:r>
      <w:r>
        <w:rPr>
          <w:sz w:val="18"/>
        </w:rPr>
        <w:t>The Kerala High Court in S Mahendran v The Secretary, Travancore Devaswom Board, Thiruvananthapuram, recorded that women between ten and fifty were excluded from the Sabarimala temple. The Petitioners and Respondents in the present case accept that women b</w:t>
      </w:r>
      <w:r>
        <w:rPr>
          <w:sz w:val="18"/>
        </w:rPr>
        <w:t>etween the age of ten and fifty are excluded.</w:t>
      </w:r>
    </w:p>
    <w:p w:rsidR="003B2FC0" w:rsidRDefault="003B2FC0">
      <w:pPr>
        <w:jc w:val="both"/>
        <w:rPr>
          <w:sz w:val="18"/>
        </w:rPr>
        <w:sectPr w:rsidR="003B2FC0">
          <w:headerReference w:type="default" r:id="rId343"/>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0"/>
        <w:jc w:val="both"/>
        <w:rPr>
          <w:sz w:val="21"/>
        </w:rPr>
      </w:pPr>
      <w:r>
        <w:rPr>
          <w:sz w:val="21"/>
        </w:rPr>
        <w:t>“In accordance with the fundamental principle underlying the prathishta (installation) of the venerable, holy and ancient temple of Sabarimala, Ayyappans who had not observed the usual vows as well as women who had attained maturity were not in the habit o</w:t>
      </w:r>
      <w:r>
        <w:rPr>
          <w:sz w:val="21"/>
        </w:rPr>
        <w:t>f entering the above-mentioned temple for Darshan (worship) by stepping the Pathinettampadi. But of late, there seems to have been a deviation from this custom and</w:t>
      </w:r>
      <w:r>
        <w:rPr>
          <w:spacing w:val="-13"/>
          <w:sz w:val="21"/>
        </w:rPr>
        <w:t xml:space="preserve"> </w:t>
      </w:r>
      <w:r>
        <w:rPr>
          <w:sz w:val="21"/>
        </w:rPr>
        <w:t>practice.</w:t>
      </w:r>
      <w:r>
        <w:rPr>
          <w:spacing w:val="-13"/>
          <w:sz w:val="21"/>
        </w:rPr>
        <w:t xml:space="preserve"> </w:t>
      </w:r>
      <w:r>
        <w:rPr>
          <w:sz w:val="21"/>
        </w:rPr>
        <w:t>In</w:t>
      </w:r>
      <w:r>
        <w:rPr>
          <w:spacing w:val="-12"/>
          <w:sz w:val="21"/>
        </w:rPr>
        <w:t xml:space="preserve"> </w:t>
      </w:r>
      <w:r>
        <w:rPr>
          <w:sz w:val="21"/>
        </w:rPr>
        <w:t>order</w:t>
      </w:r>
      <w:r>
        <w:rPr>
          <w:spacing w:val="-13"/>
          <w:sz w:val="21"/>
        </w:rPr>
        <w:t xml:space="preserve"> </w:t>
      </w:r>
      <w:r>
        <w:rPr>
          <w:sz w:val="21"/>
        </w:rPr>
        <w:t>to</w:t>
      </w:r>
      <w:r>
        <w:rPr>
          <w:spacing w:val="-12"/>
          <w:sz w:val="21"/>
        </w:rPr>
        <w:t xml:space="preserve"> </w:t>
      </w:r>
      <w:r>
        <w:rPr>
          <w:sz w:val="21"/>
        </w:rPr>
        <w:t>maintain</w:t>
      </w:r>
      <w:r>
        <w:rPr>
          <w:spacing w:val="-12"/>
          <w:sz w:val="21"/>
        </w:rPr>
        <w:t xml:space="preserve"> </w:t>
      </w:r>
      <w:r>
        <w:rPr>
          <w:sz w:val="21"/>
        </w:rPr>
        <w:t>the</w:t>
      </w:r>
      <w:r>
        <w:rPr>
          <w:spacing w:val="-12"/>
          <w:sz w:val="21"/>
        </w:rPr>
        <w:t xml:space="preserve"> </w:t>
      </w:r>
      <w:r>
        <w:rPr>
          <w:sz w:val="21"/>
        </w:rPr>
        <w:t>sanctity</w:t>
      </w:r>
      <w:r>
        <w:rPr>
          <w:spacing w:val="-15"/>
          <w:sz w:val="21"/>
        </w:rPr>
        <w:t xml:space="preserve"> </w:t>
      </w:r>
      <w:r>
        <w:rPr>
          <w:sz w:val="21"/>
        </w:rPr>
        <w:t>and</w:t>
      </w:r>
      <w:r>
        <w:rPr>
          <w:spacing w:val="-13"/>
          <w:sz w:val="21"/>
        </w:rPr>
        <w:t xml:space="preserve"> </w:t>
      </w:r>
      <w:r>
        <w:rPr>
          <w:sz w:val="21"/>
        </w:rPr>
        <w:t>dignity</w:t>
      </w:r>
      <w:r>
        <w:rPr>
          <w:spacing w:val="-15"/>
          <w:sz w:val="21"/>
        </w:rPr>
        <w:t xml:space="preserve"> </w:t>
      </w:r>
      <w:r>
        <w:rPr>
          <w:sz w:val="21"/>
        </w:rPr>
        <w:t>of</w:t>
      </w:r>
      <w:r>
        <w:rPr>
          <w:spacing w:val="-11"/>
          <w:sz w:val="21"/>
        </w:rPr>
        <w:t xml:space="preserve"> </w:t>
      </w:r>
      <w:r>
        <w:rPr>
          <w:sz w:val="21"/>
        </w:rPr>
        <w:t>this great temple and keep up the</w:t>
      </w:r>
      <w:r>
        <w:rPr>
          <w:sz w:val="21"/>
        </w:rPr>
        <w:t xml:space="preserve"> past traditions, it is hereby notified that Ayyappans who do not observe the usual Vritham (vows) are prohibited from entering the temple by stepping</w:t>
      </w:r>
      <w:r>
        <w:rPr>
          <w:spacing w:val="-36"/>
          <w:sz w:val="21"/>
        </w:rPr>
        <w:t xml:space="preserve"> </w:t>
      </w:r>
      <w:r>
        <w:rPr>
          <w:sz w:val="21"/>
        </w:rPr>
        <w:t>the pathinettampadi and women between the ages of ten and fifty five are forbidden from entering the</w:t>
      </w:r>
      <w:r>
        <w:rPr>
          <w:spacing w:val="-11"/>
          <w:sz w:val="21"/>
        </w:rPr>
        <w:t xml:space="preserve"> </w:t>
      </w:r>
      <w:r>
        <w:rPr>
          <w:sz w:val="21"/>
        </w:rPr>
        <w:t>temp</w:t>
      </w:r>
      <w:r>
        <w:rPr>
          <w:sz w:val="21"/>
        </w:rPr>
        <w:t>le.”</w:t>
      </w: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4"/>
        <w:rPr>
          <w:sz w:val="30"/>
        </w:rPr>
      </w:pPr>
    </w:p>
    <w:p w:rsidR="003B2FC0" w:rsidRDefault="00052A49">
      <w:pPr>
        <w:spacing w:line="480" w:lineRule="auto"/>
        <w:ind w:left="400" w:right="438"/>
        <w:jc w:val="both"/>
        <w:rPr>
          <w:sz w:val="26"/>
        </w:rPr>
      </w:pPr>
      <w:r>
        <w:rPr>
          <w:sz w:val="26"/>
        </w:rPr>
        <w:t>In 1965, the Kerala Hindu Places of Public Worship (Authorization of Entry)</w:t>
      </w:r>
      <w:r>
        <w:rPr>
          <w:spacing w:val="-41"/>
          <w:sz w:val="26"/>
        </w:rPr>
        <w:t xml:space="preserve"> </w:t>
      </w:r>
      <w:r>
        <w:rPr>
          <w:sz w:val="26"/>
        </w:rPr>
        <w:t>Act 1965</w:t>
      </w:r>
      <w:r>
        <w:rPr>
          <w:position w:val="9"/>
          <w:sz w:val="17"/>
        </w:rPr>
        <w:t xml:space="preserve">8 </w:t>
      </w:r>
      <w:r>
        <w:rPr>
          <w:sz w:val="26"/>
        </w:rPr>
        <w:t>was enacted. The preamble to the Act lays down that the Act has been enacted to make better provisions for entry of all classes and sections of</w:t>
      </w:r>
      <w:r>
        <w:rPr>
          <w:spacing w:val="-33"/>
          <w:sz w:val="26"/>
        </w:rPr>
        <w:t xml:space="preserve"> </w:t>
      </w:r>
      <w:r>
        <w:rPr>
          <w:sz w:val="26"/>
        </w:rPr>
        <w:t>Hindu into places</w:t>
      </w:r>
      <w:r>
        <w:rPr>
          <w:sz w:val="26"/>
        </w:rPr>
        <w:t xml:space="preserve"> of public worship. Section 2 contains</w:t>
      </w:r>
      <w:r>
        <w:rPr>
          <w:spacing w:val="-2"/>
          <w:sz w:val="26"/>
        </w:rPr>
        <w:t xml:space="preserve"> </w:t>
      </w:r>
      <w:r>
        <w:rPr>
          <w:sz w:val="26"/>
        </w:rPr>
        <w:t>definitions:</w:t>
      </w:r>
    </w:p>
    <w:p w:rsidR="003B2FC0" w:rsidRDefault="00052A49">
      <w:pPr>
        <w:spacing w:before="194" w:line="276" w:lineRule="auto"/>
        <w:ind w:left="1840" w:right="2281"/>
        <w:jc w:val="both"/>
        <w:rPr>
          <w:sz w:val="21"/>
        </w:rPr>
      </w:pPr>
      <w:r>
        <w:rPr>
          <w:sz w:val="21"/>
        </w:rPr>
        <w:t>“Section 2. Definitions:- In this Act, unless the context otherwise requires, -</w:t>
      </w:r>
    </w:p>
    <w:p w:rsidR="003B2FC0" w:rsidRDefault="00052A49">
      <w:pPr>
        <w:pStyle w:val="ListParagraph"/>
        <w:numPr>
          <w:ilvl w:val="1"/>
          <w:numId w:val="39"/>
        </w:numPr>
        <w:tabs>
          <w:tab w:val="left" w:pos="2157"/>
        </w:tabs>
        <w:spacing w:before="201" w:line="276" w:lineRule="auto"/>
        <w:ind w:left="1840" w:right="2286" w:firstLine="0"/>
        <w:jc w:val="both"/>
        <w:rPr>
          <w:sz w:val="21"/>
        </w:rPr>
      </w:pPr>
      <w:r>
        <w:rPr>
          <w:sz w:val="21"/>
        </w:rPr>
        <w:t>“Hindu” includes a person professing the Buddhist, Sikh or Jaina</w:t>
      </w:r>
      <w:r>
        <w:rPr>
          <w:spacing w:val="-2"/>
          <w:sz w:val="21"/>
        </w:rPr>
        <w:t xml:space="preserve"> </w:t>
      </w:r>
      <w:r>
        <w:rPr>
          <w:sz w:val="21"/>
        </w:rPr>
        <w:t>religion;</w:t>
      </w:r>
    </w:p>
    <w:p w:rsidR="003B2FC0" w:rsidRDefault="00052A49">
      <w:pPr>
        <w:pStyle w:val="ListParagraph"/>
        <w:numPr>
          <w:ilvl w:val="1"/>
          <w:numId w:val="39"/>
        </w:numPr>
        <w:tabs>
          <w:tab w:val="left" w:pos="2148"/>
        </w:tabs>
        <w:spacing w:before="200" w:line="276" w:lineRule="auto"/>
        <w:ind w:left="1840" w:right="2280" w:firstLine="0"/>
        <w:jc w:val="both"/>
        <w:rPr>
          <w:sz w:val="21"/>
        </w:rPr>
      </w:pPr>
      <w:r>
        <w:rPr>
          <w:sz w:val="21"/>
        </w:rPr>
        <w:t>“place</w:t>
      </w:r>
      <w:r>
        <w:rPr>
          <w:spacing w:val="-10"/>
          <w:sz w:val="21"/>
        </w:rPr>
        <w:t xml:space="preserve"> </w:t>
      </w:r>
      <w:r>
        <w:rPr>
          <w:sz w:val="21"/>
        </w:rPr>
        <w:t>of</w:t>
      </w:r>
      <w:r>
        <w:rPr>
          <w:spacing w:val="-11"/>
          <w:sz w:val="21"/>
        </w:rPr>
        <w:t xml:space="preserve"> </w:t>
      </w:r>
      <w:r>
        <w:rPr>
          <w:sz w:val="21"/>
        </w:rPr>
        <w:t>public</w:t>
      </w:r>
      <w:r>
        <w:rPr>
          <w:spacing w:val="-9"/>
          <w:sz w:val="21"/>
        </w:rPr>
        <w:t xml:space="preserve"> </w:t>
      </w:r>
      <w:r>
        <w:rPr>
          <w:sz w:val="21"/>
        </w:rPr>
        <w:t>worship”</w:t>
      </w:r>
      <w:r>
        <w:rPr>
          <w:spacing w:val="-10"/>
          <w:sz w:val="21"/>
        </w:rPr>
        <w:t xml:space="preserve"> </w:t>
      </w:r>
      <w:r>
        <w:rPr>
          <w:sz w:val="21"/>
        </w:rPr>
        <w:t>means</w:t>
      </w:r>
      <w:r>
        <w:rPr>
          <w:spacing w:val="-12"/>
          <w:sz w:val="21"/>
        </w:rPr>
        <w:t xml:space="preserve"> </w:t>
      </w:r>
      <w:r>
        <w:rPr>
          <w:sz w:val="21"/>
        </w:rPr>
        <w:t>a</w:t>
      </w:r>
      <w:r>
        <w:rPr>
          <w:spacing w:val="-10"/>
          <w:sz w:val="21"/>
        </w:rPr>
        <w:t xml:space="preserve"> </w:t>
      </w:r>
      <w:r>
        <w:rPr>
          <w:sz w:val="21"/>
        </w:rPr>
        <w:t>place,</w:t>
      </w:r>
      <w:r>
        <w:rPr>
          <w:spacing w:val="-10"/>
          <w:sz w:val="21"/>
        </w:rPr>
        <w:t xml:space="preserve"> </w:t>
      </w:r>
      <w:r>
        <w:rPr>
          <w:sz w:val="21"/>
        </w:rPr>
        <w:t>by</w:t>
      </w:r>
      <w:r>
        <w:rPr>
          <w:spacing w:val="-9"/>
          <w:sz w:val="21"/>
        </w:rPr>
        <w:t xml:space="preserve"> </w:t>
      </w:r>
      <w:r>
        <w:rPr>
          <w:sz w:val="21"/>
        </w:rPr>
        <w:t>whatever</w:t>
      </w:r>
      <w:r>
        <w:rPr>
          <w:spacing w:val="-10"/>
          <w:sz w:val="21"/>
        </w:rPr>
        <w:t xml:space="preserve"> </w:t>
      </w:r>
      <w:r>
        <w:rPr>
          <w:sz w:val="21"/>
        </w:rPr>
        <w:t>name known or to whomsoever belonging, which is dedicated to, or for</w:t>
      </w:r>
      <w:r>
        <w:rPr>
          <w:spacing w:val="-11"/>
          <w:sz w:val="21"/>
        </w:rPr>
        <w:t xml:space="preserve"> </w:t>
      </w:r>
      <w:r>
        <w:rPr>
          <w:sz w:val="21"/>
        </w:rPr>
        <w:t>the</w:t>
      </w:r>
      <w:r>
        <w:rPr>
          <w:spacing w:val="-9"/>
          <w:sz w:val="21"/>
        </w:rPr>
        <w:t xml:space="preserve"> </w:t>
      </w:r>
      <w:r>
        <w:rPr>
          <w:sz w:val="21"/>
        </w:rPr>
        <w:t>benefit</w:t>
      </w:r>
      <w:r>
        <w:rPr>
          <w:spacing w:val="-12"/>
          <w:sz w:val="21"/>
        </w:rPr>
        <w:t xml:space="preserve"> </w:t>
      </w:r>
      <w:r>
        <w:rPr>
          <w:sz w:val="21"/>
        </w:rPr>
        <w:t>of,</w:t>
      </w:r>
      <w:r>
        <w:rPr>
          <w:spacing w:val="-11"/>
          <w:sz w:val="21"/>
        </w:rPr>
        <w:t xml:space="preserve"> </w:t>
      </w:r>
      <w:r>
        <w:rPr>
          <w:sz w:val="21"/>
        </w:rPr>
        <w:t>or</w:t>
      </w:r>
      <w:r>
        <w:rPr>
          <w:spacing w:val="-11"/>
          <w:sz w:val="21"/>
        </w:rPr>
        <w:t xml:space="preserve"> </w:t>
      </w:r>
      <w:r>
        <w:rPr>
          <w:sz w:val="21"/>
        </w:rPr>
        <w:t>is</w:t>
      </w:r>
      <w:r>
        <w:rPr>
          <w:spacing w:val="-10"/>
          <w:sz w:val="21"/>
        </w:rPr>
        <w:t xml:space="preserve"> </w:t>
      </w:r>
      <w:r>
        <w:rPr>
          <w:sz w:val="21"/>
        </w:rPr>
        <w:t>used</w:t>
      </w:r>
      <w:r>
        <w:rPr>
          <w:spacing w:val="-11"/>
          <w:sz w:val="21"/>
        </w:rPr>
        <w:t xml:space="preserve"> </w:t>
      </w:r>
      <w:r>
        <w:rPr>
          <w:sz w:val="21"/>
        </w:rPr>
        <w:t>generally</w:t>
      </w:r>
      <w:r>
        <w:rPr>
          <w:spacing w:val="-12"/>
          <w:sz w:val="21"/>
        </w:rPr>
        <w:t xml:space="preserve"> </w:t>
      </w:r>
      <w:r>
        <w:rPr>
          <w:sz w:val="21"/>
        </w:rPr>
        <w:t>by,</w:t>
      </w:r>
      <w:r>
        <w:rPr>
          <w:spacing w:val="-10"/>
          <w:sz w:val="21"/>
        </w:rPr>
        <w:t xml:space="preserve"> </w:t>
      </w:r>
      <w:r>
        <w:rPr>
          <w:sz w:val="21"/>
        </w:rPr>
        <w:t>Hindus</w:t>
      </w:r>
      <w:r>
        <w:rPr>
          <w:spacing w:val="-10"/>
          <w:sz w:val="21"/>
        </w:rPr>
        <w:t xml:space="preserve"> </w:t>
      </w:r>
      <w:r>
        <w:rPr>
          <w:sz w:val="21"/>
        </w:rPr>
        <w:t>or</w:t>
      </w:r>
      <w:r>
        <w:rPr>
          <w:spacing w:val="-11"/>
          <w:sz w:val="21"/>
        </w:rPr>
        <w:t xml:space="preserve"> </w:t>
      </w:r>
      <w:r>
        <w:rPr>
          <w:sz w:val="21"/>
        </w:rPr>
        <w:t>any</w:t>
      </w:r>
      <w:r>
        <w:rPr>
          <w:spacing w:val="-12"/>
          <w:sz w:val="21"/>
        </w:rPr>
        <w:t xml:space="preserve"> </w:t>
      </w:r>
      <w:r>
        <w:rPr>
          <w:sz w:val="21"/>
        </w:rPr>
        <w:t>section or</w:t>
      </w:r>
      <w:r>
        <w:rPr>
          <w:spacing w:val="-9"/>
          <w:sz w:val="21"/>
        </w:rPr>
        <w:t xml:space="preserve"> </w:t>
      </w:r>
      <w:r>
        <w:rPr>
          <w:sz w:val="21"/>
        </w:rPr>
        <w:t>class</w:t>
      </w:r>
      <w:r>
        <w:rPr>
          <w:spacing w:val="-7"/>
          <w:sz w:val="21"/>
        </w:rPr>
        <w:t xml:space="preserve"> </w:t>
      </w:r>
      <w:r>
        <w:rPr>
          <w:sz w:val="21"/>
        </w:rPr>
        <w:t>thereof,</w:t>
      </w:r>
      <w:r>
        <w:rPr>
          <w:spacing w:val="-8"/>
          <w:sz w:val="21"/>
        </w:rPr>
        <w:t xml:space="preserve"> </w:t>
      </w:r>
      <w:r>
        <w:rPr>
          <w:sz w:val="21"/>
        </w:rPr>
        <w:t>for</w:t>
      </w:r>
      <w:r>
        <w:rPr>
          <w:spacing w:val="-8"/>
          <w:sz w:val="21"/>
        </w:rPr>
        <w:t xml:space="preserve"> </w:t>
      </w:r>
      <w:r>
        <w:rPr>
          <w:sz w:val="21"/>
        </w:rPr>
        <w:t>the</w:t>
      </w:r>
      <w:r>
        <w:rPr>
          <w:spacing w:val="-8"/>
          <w:sz w:val="21"/>
        </w:rPr>
        <w:t xml:space="preserve"> </w:t>
      </w:r>
      <w:r>
        <w:rPr>
          <w:sz w:val="21"/>
        </w:rPr>
        <w:t>performance</w:t>
      </w:r>
      <w:r>
        <w:rPr>
          <w:spacing w:val="-7"/>
          <w:sz w:val="21"/>
        </w:rPr>
        <w:t xml:space="preserve"> </w:t>
      </w:r>
      <w:r>
        <w:rPr>
          <w:sz w:val="21"/>
        </w:rPr>
        <w:t>of</w:t>
      </w:r>
      <w:r>
        <w:rPr>
          <w:spacing w:val="-6"/>
          <w:sz w:val="21"/>
        </w:rPr>
        <w:t xml:space="preserve"> </w:t>
      </w:r>
      <w:r>
        <w:rPr>
          <w:sz w:val="21"/>
        </w:rPr>
        <w:t>any</w:t>
      </w:r>
      <w:r>
        <w:rPr>
          <w:spacing w:val="-10"/>
          <w:sz w:val="21"/>
        </w:rPr>
        <w:t xml:space="preserve"> </w:t>
      </w:r>
      <w:r>
        <w:rPr>
          <w:sz w:val="21"/>
        </w:rPr>
        <w:t>religious</w:t>
      </w:r>
      <w:r>
        <w:rPr>
          <w:spacing w:val="-10"/>
          <w:sz w:val="21"/>
        </w:rPr>
        <w:t xml:space="preserve"> </w:t>
      </w:r>
      <w:r>
        <w:rPr>
          <w:sz w:val="21"/>
        </w:rPr>
        <w:t>service</w:t>
      </w:r>
      <w:r>
        <w:rPr>
          <w:spacing w:val="-7"/>
          <w:sz w:val="21"/>
        </w:rPr>
        <w:t xml:space="preserve"> </w:t>
      </w:r>
      <w:r>
        <w:rPr>
          <w:sz w:val="21"/>
        </w:rPr>
        <w:t>or for offering prayers therein, and includes all la</w:t>
      </w:r>
      <w:r>
        <w:rPr>
          <w:sz w:val="21"/>
        </w:rPr>
        <w:t>nds and subsidiary shrines, mutts, devasthanams, namaskara mandapams</w:t>
      </w:r>
      <w:r>
        <w:rPr>
          <w:spacing w:val="-7"/>
          <w:sz w:val="21"/>
        </w:rPr>
        <w:t xml:space="preserve"> </w:t>
      </w:r>
      <w:r>
        <w:rPr>
          <w:sz w:val="21"/>
        </w:rPr>
        <w:t>and</w:t>
      </w:r>
      <w:r>
        <w:rPr>
          <w:spacing w:val="-7"/>
          <w:sz w:val="21"/>
        </w:rPr>
        <w:t xml:space="preserve"> </w:t>
      </w:r>
      <w:r>
        <w:rPr>
          <w:sz w:val="21"/>
        </w:rPr>
        <w:t>nalambalams</w:t>
      </w:r>
      <w:r>
        <w:rPr>
          <w:spacing w:val="-7"/>
          <w:sz w:val="21"/>
        </w:rPr>
        <w:t xml:space="preserve"> </w:t>
      </w:r>
      <w:r>
        <w:rPr>
          <w:sz w:val="21"/>
        </w:rPr>
        <w:t>appurtenant</w:t>
      </w:r>
      <w:r>
        <w:rPr>
          <w:spacing w:val="-7"/>
          <w:sz w:val="21"/>
        </w:rPr>
        <w:t xml:space="preserve"> </w:t>
      </w:r>
      <w:r>
        <w:rPr>
          <w:sz w:val="21"/>
        </w:rPr>
        <w:t>or</w:t>
      </w:r>
      <w:r>
        <w:rPr>
          <w:spacing w:val="-8"/>
          <w:sz w:val="21"/>
        </w:rPr>
        <w:t xml:space="preserve"> </w:t>
      </w:r>
      <w:r>
        <w:rPr>
          <w:sz w:val="21"/>
        </w:rPr>
        <w:t>attached</w:t>
      </w:r>
      <w:r>
        <w:rPr>
          <w:spacing w:val="-7"/>
          <w:sz w:val="21"/>
        </w:rPr>
        <w:t xml:space="preserve"> </w:t>
      </w:r>
      <w:r>
        <w:rPr>
          <w:sz w:val="21"/>
        </w:rPr>
        <w:t>to</w:t>
      </w:r>
      <w:r>
        <w:rPr>
          <w:spacing w:val="-6"/>
          <w:sz w:val="21"/>
        </w:rPr>
        <w:t xml:space="preserve"> </w:t>
      </w:r>
      <w:r>
        <w:rPr>
          <w:sz w:val="21"/>
        </w:rPr>
        <w:t>any such place, and also any sacred tanks, wells, springs and water</w:t>
      </w:r>
      <w:r>
        <w:rPr>
          <w:spacing w:val="-10"/>
          <w:sz w:val="21"/>
        </w:rPr>
        <w:t xml:space="preserve"> </w:t>
      </w:r>
      <w:r>
        <w:rPr>
          <w:sz w:val="21"/>
        </w:rPr>
        <w:t>courses</w:t>
      </w:r>
      <w:r>
        <w:rPr>
          <w:spacing w:val="-9"/>
          <w:sz w:val="21"/>
        </w:rPr>
        <w:t xml:space="preserve"> </w:t>
      </w:r>
      <w:r>
        <w:rPr>
          <w:sz w:val="21"/>
        </w:rPr>
        <w:t>the</w:t>
      </w:r>
      <w:r>
        <w:rPr>
          <w:spacing w:val="-8"/>
          <w:sz w:val="21"/>
        </w:rPr>
        <w:t xml:space="preserve"> </w:t>
      </w:r>
      <w:r>
        <w:rPr>
          <w:sz w:val="21"/>
        </w:rPr>
        <w:t>waters</w:t>
      </w:r>
      <w:r>
        <w:rPr>
          <w:spacing w:val="-11"/>
          <w:sz w:val="21"/>
        </w:rPr>
        <w:t xml:space="preserve"> </w:t>
      </w:r>
      <w:r>
        <w:rPr>
          <w:sz w:val="21"/>
        </w:rPr>
        <w:t>of</w:t>
      </w:r>
      <w:r>
        <w:rPr>
          <w:spacing w:val="-7"/>
          <w:sz w:val="21"/>
        </w:rPr>
        <w:t xml:space="preserve"> </w:t>
      </w:r>
      <w:r>
        <w:rPr>
          <w:sz w:val="21"/>
        </w:rPr>
        <w:t>which</w:t>
      </w:r>
      <w:r>
        <w:rPr>
          <w:spacing w:val="-8"/>
          <w:sz w:val="21"/>
        </w:rPr>
        <w:t xml:space="preserve"> </w:t>
      </w:r>
      <w:r>
        <w:rPr>
          <w:sz w:val="21"/>
        </w:rPr>
        <w:t>are</w:t>
      </w:r>
      <w:r>
        <w:rPr>
          <w:spacing w:val="-8"/>
          <w:sz w:val="21"/>
        </w:rPr>
        <w:t xml:space="preserve"> </w:t>
      </w:r>
      <w:r>
        <w:rPr>
          <w:sz w:val="21"/>
        </w:rPr>
        <w:t>worshipped,</w:t>
      </w:r>
      <w:r>
        <w:rPr>
          <w:spacing w:val="-9"/>
          <w:sz w:val="21"/>
        </w:rPr>
        <w:t xml:space="preserve"> </w:t>
      </w:r>
      <w:r>
        <w:rPr>
          <w:sz w:val="21"/>
        </w:rPr>
        <w:t>or</w:t>
      </w:r>
      <w:r>
        <w:rPr>
          <w:spacing w:val="-9"/>
          <w:sz w:val="21"/>
        </w:rPr>
        <w:t xml:space="preserve"> </w:t>
      </w:r>
      <w:r>
        <w:rPr>
          <w:sz w:val="21"/>
        </w:rPr>
        <w:t>are</w:t>
      </w:r>
      <w:r>
        <w:rPr>
          <w:spacing w:val="-9"/>
          <w:sz w:val="21"/>
        </w:rPr>
        <w:t xml:space="preserve"> </w:t>
      </w:r>
      <w:r>
        <w:rPr>
          <w:sz w:val="21"/>
        </w:rPr>
        <w:t>used for bathing or for worship, but does not include a</w:t>
      </w:r>
      <w:r>
        <w:rPr>
          <w:spacing w:val="-22"/>
          <w:sz w:val="21"/>
        </w:rPr>
        <w:t xml:space="preserve"> </w:t>
      </w:r>
      <w:r>
        <w:rPr>
          <w:sz w:val="21"/>
        </w:rPr>
        <w:t>“sreekoil”;</w:t>
      </w:r>
    </w:p>
    <w:p w:rsidR="003B2FC0" w:rsidRDefault="00052A49">
      <w:pPr>
        <w:pStyle w:val="ListParagraph"/>
        <w:numPr>
          <w:ilvl w:val="1"/>
          <w:numId w:val="39"/>
        </w:numPr>
        <w:tabs>
          <w:tab w:val="left" w:pos="2141"/>
        </w:tabs>
        <w:spacing w:before="200" w:line="276" w:lineRule="auto"/>
        <w:ind w:left="1840" w:right="2280" w:firstLine="0"/>
        <w:jc w:val="both"/>
        <w:rPr>
          <w:sz w:val="21"/>
        </w:rPr>
      </w:pPr>
      <w:r>
        <w:rPr>
          <w:sz w:val="21"/>
        </w:rPr>
        <w:t>“section or class” includes any division, sub-division,</w:t>
      </w:r>
      <w:r>
        <w:rPr>
          <w:spacing w:val="-37"/>
          <w:sz w:val="21"/>
        </w:rPr>
        <w:t xml:space="preserve"> </w:t>
      </w:r>
      <w:r>
        <w:rPr>
          <w:sz w:val="21"/>
        </w:rPr>
        <w:t>caste, sub-caste, sect or denomination</w:t>
      </w:r>
      <w:r>
        <w:rPr>
          <w:spacing w:val="-9"/>
          <w:sz w:val="21"/>
        </w:rPr>
        <w:t xml:space="preserve"> </w:t>
      </w:r>
      <w:r>
        <w:rPr>
          <w:sz w:val="21"/>
        </w:rPr>
        <w:t>whatsoever.”</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pPr>
      <w:r>
        <w:pict>
          <v:line id="_x0000_s1131" style="position:absolute;z-index:251584000;mso-wrap-distance-left:0;mso-wrap-distance-right:0;mso-position-horizontal-relative:page" from="1in,15.2pt" to="216.05pt,15.2pt" strokeweight=".72pt">
            <w10:wrap type="topAndBottom" anchorx="page"/>
          </v:line>
        </w:pict>
      </w:r>
    </w:p>
    <w:p w:rsidR="003B2FC0" w:rsidRDefault="00052A49">
      <w:pPr>
        <w:spacing w:before="66"/>
        <w:ind w:left="400"/>
        <w:rPr>
          <w:sz w:val="18"/>
        </w:rPr>
      </w:pPr>
      <w:r>
        <w:rPr>
          <w:position w:val="6"/>
          <w:sz w:val="12"/>
        </w:rPr>
        <w:t xml:space="preserve">8 </w:t>
      </w:r>
      <w:r>
        <w:rPr>
          <w:sz w:val="18"/>
        </w:rPr>
        <w:t>The “1965 Act”</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Pr>
          <w:sz w:val="26"/>
        </w:rPr>
      </w:pPr>
      <w:r>
        <w:rPr>
          <w:sz w:val="26"/>
        </w:rPr>
        <w:t>Section 3 provides for places of publi</w:t>
      </w:r>
      <w:r>
        <w:rPr>
          <w:sz w:val="26"/>
        </w:rPr>
        <w:t>c worship to be open to all sections and classes of Hindus:</w:t>
      </w:r>
    </w:p>
    <w:p w:rsidR="003B2FC0" w:rsidRDefault="00052A49">
      <w:pPr>
        <w:spacing w:before="200" w:line="273" w:lineRule="auto"/>
        <w:ind w:left="1840" w:right="2286"/>
        <w:jc w:val="both"/>
        <w:rPr>
          <w:sz w:val="21"/>
        </w:rPr>
      </w:pPr>
      <w:r>
        <w:rPr>
          <w:sz w:val="21"/>
        </w:rPr>
        <w:t>“Section 3. Places of public worship to be open to all section and classes of Hindus:-</w:t>
      </w:r>
    </w:p>
    <w:p w:rsidR="003B2FC0" w:rsidRDefault="00052A49">
      <w:pPr>
        <w:spacing w:before="203" w:line="276" w:lineRule="auto"/>
        <w:ind w:left="1840" w:right="2281"/>
        <w:jc w:val="both"/>
        <w:rPr>
          <w:sz w:val="21"/>
        </w:rPr>
      </w:pPr>
      <w:r>
        <w:rPr>
          <w:sz w:val="21"/>
        </w:rPr>
        <w:t>Notwithstanding</w:t>
      </w:r>
      <w:r>
        <w:rPr>
          <w:spacing w:val="-15"/>
          <w:sz w:val="21"/>
        </w:rPr>
        <w:t xml:space="preserve"> </w:t>
      </w:r>
      <w:r>
        <w:rPr>
          <w:sz w:val="21"/>
        </w:rPr>
        <w:t>anything</w:t>
      </w:r>
      <w:r>
        <w:rPr>
          <w:spacing w:val="-15"/>
          <w:sz w:val="21"/>
        </w:rPr>
        <w:t xml:space="preserve"> </w:t>
      </w:r>
      <w:r>
        <w:rPr>
          <w:sz w:val="21"/>
        </w:rPr>
        <w:t>to</w:t>
      </w:r>
      <w:r>
        <w:rPr>
          <w:spacing w:val="-16"/>
          <w:sz w:val="21"/>
        </w:rPr>
        <w:t xml:space="preserve"> </w:t>
      </w:r>
      <w:r>
        <w:rPr>
          <w:sz w:val="21"/>
        </w:rPr>
        <w:t>the</w:t>
      </w:r>
      <w:r>
        <w:rPr>
          <w:spacing w:val="-15"/>
          <w:sz w:val="21"/>
        </w:rPr>
        <w:t xml:space="preserve"> </w:t>
      </w:r>
      <w:r>
        <w:rPr>
          <w:sz w:val="21"/>
        </w:rPr>
        <w:t>contrary</w:t>
      </w:r>
      <w:r>
        <w:rPr>
          <w:spacing w:val="-18"/>
          <w:sz w:val="21"/>
        </w:rPr>
        <w:t xml:space="preserve"> </w:t>
      </w:r>
      <w:r>
        <w:rPr>
          <w:sz w:val="21"/>
        </w:rPr>
        <w:t>contained</w:t>
      </w:r>
      <w:r>
        <w:rPr>
          <w:spacing w:val="-16"/>
          <w:sz w:val="21"/>
        </w:rPr>
        <w:t xml:space="preserve"> </w:t>
      </w:r>
      <w:r>
        <w:rPr>
          <w:sz w:val="21"/>
        </w:rPr>
        <w:t>in</w:t>
      </w:r>
      <w:r>
        <w:rPr>
          <w:spacing w:val="-18"/>
          <w:sz w:val="21"/>
        </w:rPr>
        <w:t xml:space="preserve"> </w:t>
      </w:r>
      <w:r>
        <w:rPr>
          <w:sz w:val="21"/>
        </w:rPr>
        <w:t>any</w:t>
      </w:r>
      <w:r>
        <w:rPr>
          <w:spacing w:val="-18"/>
          <w:sz w:val="21"/>
        </w:rPr>
        <w:t xml:space="preserve"> </w:t>
      </w:r>
      <w:r>
        <w:rPr>
          <w:sz w:val="21"/>
        </w:rPr>
        <w:t>other law for the time being in force or any custom or usage or any instrument having effect by virtue of any such law or any decree</w:t>
      </w:r>
      <w:r>
        <w:rPr>
          <w:spacing w:val="-6"/>
          <w:sz w:val="21"/>
        </w:rPr>
        <w:t xml:space="preserve"> </w:t>
      </w:r>
      <w:r>
        <w:rPr>
          <w:sz w:val="21"/>
        </w:rPr>
        <w:t>or</w:t>
      </w:r>
      <w:r>
        <w:rPr>
          <w:spacing w:val="-7"/>
          <w:sz w:val="21"/>
        </w:rPr>
        <w:t xml:space="preserve"> </w:t>
      </w:r>
      <w:r>
        <w:rPr>
          <w:sz w:val="21"/>
        </w:rPr>
        <w:t>order</w:t>
      </w:r>
      <w:r>
        <w:rPr>
          <w:spacing w:val="-6"/>
          <w:sz w:val="21"/>
        </w:rPr>
        <w:t xml:space="preserve"> </w:t>
      </w:r>
      <w:r>
        <w:rPr>
          <w:sz w:val="21"/>
        </w:rPr>
        <w:t>of</w:t>
      </w:r>
      <w:r>
        <w:rPr>
          <w:spacing w:val="-5"/>
          <w:sz w:val="21"/>
        </w:rPr>
        <w:t xml:space="preserve"> </w:t>
      </w:r>
      <w:r>
        <w:rPr>
          <w:sz w:val="21"/>
        </w:rPr>
        <w:t>court,</w:t>
      </w:r>
      <w:r>
        <w:rPr>
          <w:spacing w:val="-6"/>
          <w:sz w:val="21"/>
        </w:rPr>
        <w:t xml:space="preserve"> </w:t>
      </w:r>
      <w:r>
        <w:rPr>
          <w:sz w:val="21"/>
        </w:rPr>
        <w:t>every</w:t>
      </w:r>
      <w:r>
        <w:rPr>
          <w:spacing w:val="-7"/>
          <w:sz w:val="21"/>
        </w:rPr>
        <w:t xml:space="preserve"> </w:t>
      </w:r>
      <w:r>
        <w:rPr>
          <w:sz w:val="21"/>
        </w:rPr>
        <w:t>place</w:t>
      </w:r>
      <w:r>
        <w:rPr>
          <w:spacing w:val="-6"/>
          <w:sz w:val="21"/>
        </w:rPr>
        <w:t xml:space="preserve"> </w:t>
      </w:r>
      <w:r>
        <w:rPr>
          <w:sz w:val="21"/>
        </w:rPr>
        <w:t>of</w:t>
      </w:r>
      <w:r>
        <w:rPr>
          <w:spacing w:val="-5"/>
          <w:sz w:val="21"/>
        </w:rPr>
        <w:t xml:space="preserve"> </w:t>
      </w:r>
      <w:r>
        <w:rPr>
          <w:sz w:val="21"/>
        </w:rPr>
        <w:t>public</w:t>
      </w:r>
      <w:r>
        <w:rPr>
          <w:spacing w:val="-5"/>
          <w:sz w:val="21"/>
        </w:rPr>
        <w:t xml:space="preserve"> </w:t>
      </w:r>
      <w:r>
        <w:rPr>
          <w:sz w:val="21"/>
        </w:rPr>
        <w:t>worship</w:t>
      </w:r>
      <w:r>
        <w:rPr>
          <w:spacing w:val="-6"/>
          <w:sz w:val="21"/>
        </w:rPr>
        <w:t xml:space="preserve"> </w:t>
      </w:r>
      <w:r>
        <w:rPr>
          <w:sz w:val="21"/>
        </w:rPr>
        <w:t>which</w:t>
      </w:r>
      <w:r>
        <w:rPr>
          <w:spacing w:val="-8"/>
          <w:sz w:val="21"/>
        </w:rPr>
        <w:t xml:space="preserve"> </w:t>
      </w:r>
      <w:r>
        <w:rPr>
          <w:sz w:val="21"/>
        </w:rPr>
        <w:t>is open to Hindus generally or to any section or class thereof, shal</w:t>
      </w:r>
      <w:r>
        <w:rPr>
          <w:sz w:val="21"/>
        </w:rPr>
        <w:t>l be open to all sections and classes of Hindus; and no Hindu of whatsoever section or class shall, in any manner, be prevented,</w:t>
      </w:r>
      <w:r>
        <w:rPr>
          <w:spacing w:val="-14"/>
          <w:sz w:val="21"/>
        </w:rPr>
        <w:t xml:space="preserve"> </w:t>
      </w:r>
      <w:r>
        <w:rPr>
          <w:sz w:val="21"/>
        </w:rPr>
        <w:t>obstructed</w:t>
      </w:r>
      <w:r>
        <w:rPr>
          <w:spacing w:val="-12"/>
          <w:sz w:val="21"/>
        </w:rPr>
        <w:t xml:space="preserve"> </w:t>
      </w:r>
      <w:r>
        <w:rPr>
          <w:sz w:val="21"/>
        </w:rPr>
        <w:t>or</w:t>
      </w:r>
      <w:r>
        <w:rPr>
          <w:spacing w:val="-13"/>
          <w:sz w:val="21"/>
        </w:rPr>
        <w:t xml:space="preserve"> </w:t>
      </w:r>
      <w:r>
        <w:rPr>
          <w:sz w:val="21"/>
        </w:rPr>
        <w:t>discouraged</w:t>
      </w:r>
      <w:r>
        <w:rPr>
          <w:spacing w:val="-12"/>
          <w:sz w:val="21"/>
        </w:rPr>
        <w:t xml:space="preserve"> </w:t>
      </w:r>
      <w:r>
        <w:rPr>
          <w:sz w:val="21"/>
        </w:rPr>
        <w:t>from</w:t>
      </w:r>
      <w:r>
        <w:rPr>
          <w:spacing w:val="-11"/>
          <w:sz w:val="21"/>
        </w:rPr>
        <w:t xml:space="preserve"> </w:t>
      </w:r>
      <w:r>
        <w:rPr>
          <w:sz w:val="21"/>
        </w:rPr>
        <w:t>entering</w:t>
      </w:r>
      <w:r>
        <w:rPr>
          <w:spacing w:val="-13"/>
          <w:sz w:val="21"/>
        </w:rPr>
        <w:t xml:space="preserve"> </w:t>
      </w:r>
      <w:r>
        <w:rPr>
          <w:sz w:val="21"/>
        </w:rPr>
        <w:t>such</w:t>
      </w:r>
      <w:r>
        <w:rPr>
          <w:spacing w:val="-12"/>
          <w:sz w:val="21"/>
        </w:rPr>
        <w:t xml:space="preserve"> </w:t>
      </w:r>
      <w:r>
        <w:rPr>
          <w:sz w:val="21"/>
        </w:rPr>
        <w:t>place of public worship, or from worshipping or offering prayers thereat, or perfo</w:t>
      </w:r>
      <w:r>
        <w:rPr>
          <w:sz w:val="21"/>
        </w:rPr>
        <w:t>rming any religious service therein, in the like manner</w:t>
      </w:r>
      <w:r>
        <w:rPr>
          <w:spacing w:val="-14"/>
          <w:sz w:val="21"/>
        </w:rPr>
        <w:t xml:space="preserve"> </w:t>
      </w:r>
      <w:r>
        <w:rPr>
          <w:sz w:val="21"/>
        </w:rPr>
        <w:t>and</w:t>
      </w:r>
      <w:r>
        <w:rPr>
          <w:spacing w:val="-13"/>
          <w:sz w:val="21"/>
        </w:rPr>
        <w:t xml:space="preserve"> </w:t>
      </w:r>
      <w:r>
        <w:rPr>
          <w:sz w:val="21"/>
        </w:rPr>
        <w:t>to</w:t>
      </w:r>
      <w:r>
        <w:rPr>
          <w:spacing w:val="-13"/>
          <w:sz w:val="21"/>
        </w:rPr>
        <w:t xml:space="preserve"> </w:t>
      </w:r>
      <w:r>
        <w:rPr>
          <w:sz w:val="21"/>
        </w:rPr>
        <w:t>the</w:t>
      </w:r>
      <w:r>
        <w:rPr>
          <w:spacing w:val="-13"/>
          <w:sz w:val="21"/>
        </w:rPr>
        <w:t xml:space="preserve"> </w:t>
      </w:r>
      <w:r>
        <w:rPr>
          <w:sz w:val="21"/>
        </w:rPr>
        <w:t>like</w:t>
      </w:r>
      <w:r>
        <w:rPr>
          <w:spacing w:val="-13"/>
          <w:sz w:val="21"/>
        </w:rPr>
        <w:t xml:space="preserve"> </w:t>
      </w:r>
      <w:r>
        <w:rPr>
          <w:sz w:val="21"/>
        </w:rPr>
        <w:t>extent</w:t>
      </w:r>
      <w:r>
        <w:rPr>
          <w:spacing w:val="-14"/>
          <w:sz w:val="21"/>
        </w:rPr>
        <w:t xml:space="preserve"> </w:t>
      </w:r>
      <w:r>
        <w:rPr>
          <w:sz w:val="21"/>
        </w:rPr>
        <w:t>as</w:t>
      </w:r>
      <w:r>
        <w:rPr>
          <w:spacing w:val="-13"/>
          <w:sz w:val="21"/>
        </w:rPr>
        <w:t xml:space="preserve"> </w:t>
      </w:r>
      <w:r>
        <w:rPr>
          <w:sz w:val="21"/>
        </w:rPr>
        <w:t>any</w:t>
      </w:r>
      <w:r>
        <w:rPr>
          <w:spacing w:val="-15"/>
          <w:sz w:val="21"/>
        </w:rPr>
        <w:t xml:space="preserve"> </w:t>
      </w:r>
      <w:r>
        <w:rPr>
          <w:sz w:val="21"/>
        </w:rPr>
        <w:t>other</w:t>
      </w:r>
      <w:r>
        <w:rPr>
          <w:spacing w:val="-14"/>
          <w:sz w:val="21"/>
        </w:rPr>
        <w:t xml:space="preserve"> </w:t>
      </w:r>
      <w:r>
        <w:rPr>
          <w:sz w:val="21"/>
        </w:rPr>
        <w:t>Hindu</w:t>
      </w:r>
      <w:r>
        <w:rPr>
          <w:spacing w:val="-13"/>
          <w:sz w:val="21"/>
        </w:rPr>
        <w:t xml:space="preserve"> </w:t>
      </w:r>
      <w:r>
        <w:rPr>
          <w:sz w:val="21"/>
        </w:rPr>
        <w:t>of</w:t>
      </w:r>
      <w:r>
        <w:rPr>
          <w:spacing w:val="-14"/>
          <w:sz w:val="21"/>
        </w:rPr>
        <w:t xml:space="preserve"> </w:t>
      </w:r>
      <w:r>
        <w:rPr>
          <w:sz w:val="21"/>
        </w:rPr>
        <w:t>whatsoever section or class may enter, worship, pray or</w:t>
      </w:r>
      <w:r>
        <w:rPr>
          <w:spacing w:val="-18"/>
          <w:sz w:val="21"/>
        </w:rPr>
        <w:t xml:space="preserve"> </w:t>
      </w:r>
      <w:r>
        <w:rPr>
          <w:sz w:val="21"/>
        </w:rPr>
        <w:t>perform:</w:t>
      </w:r>
    </w:p>
    <w:p w:rsidR="003B2FC0" w:rsidRDefault="00052A49">
      <w:pPr>
        <w:spacing w:before="201" w:line="276" w:lineRule="auto"/>
        <w:ind w:left="1840" w:right="2282"/>
        <w:jc w:val="both"/>
        <w:rPr>
          <w:sz w:val="21"/>
        </w:rPr>
      </w:pPr>
      <w:r>
        <w:rPr>
          <w:sz w:val="21"/>
        </w:rPr>
        <w:t>Provided that in the case of a place of public worship which is a temple founded for the b</w:t>
      </w:r>
      <w:r>
        <w:rPr>
          <w:sz w:val="21"/>
        </w:rPr>
        <w:t>enefit of any religious denomination or section thereof, the provisions of this section, shall be subject to the right of that religious denomination or section as the case may be, to manage its own affairs in matters of religion.”</w:t>
      </w:r>
    </w:p>
    <w:p w:rsidR="003B2FC0" w:rsidRDefault="003B2FC0">
      <w:pPr>
        <w:rPr>
          <w:sz w:val="24"/>
        </w:rPr>
      </w:pPr>
    </w:p>
    <w:p w:rsidR="003B2FC0" w:rsidRDefault="003B2FC0">
      <w:pPr>
        <w:rPr>
          <w:sz w:val="24"/>
        </w:rPr>
      </w:pPr>
    </w:p>
    <w:p w:rsidR="003B2FC0" w:rsidRDefault="00052A49">
      <w:pPr>
        <w:spacing w:before="150"/>
        <w:ind w:left="400"/>
        <w:rPr>
          <w:sz w:val="26"/>
        </w:rPr>
      </w:pPr>
      <w:r>
        <w:rPr>
          <w:sz w:val="26"/>
        </w:rPr>
        <w:t>Section 4 deals with the power to make regulations:</w:t>
      </w:r>
    </w:p>
    <w:p w:rsidR="003B2FC0" w:rsidRDefault="003B2FC0">
      <w:pPr>
        <w:rPr>
          <w:sz w:val="28"/>
        </w:rPr>
      </w:pPr>
    </w:p>
    <w:p w:rsidR="003B2FC0" w:rsidRDefault="00052A49">
      <w:pPr>
        <w:spacing w:before="174" w:line="276" w:lineRule="auto"/>
        <w:ind w:left="1840" w:right="2284"/>
        <w:jc w:val="both"/>
        <w:rPr>
          <w:sz w:val="21"/>
        </w:rPr>
      </w:pPr>
      <w:r>
        <w:rPr>
          <w:sz w:val="21"/>
        </w:rPr>
        <w:t>“Section 4. Power to make regulations for the maintenance of order and decorum and the due performance of rites and ceremonies in places of public worship:-</w:t>
      </w:r>
    </w:p>
    <w:p w:rsidR="003B2FC0" w:rsidRDefault="00052A49">
      <w:pPr>
        <w:pStyle w:val="ListParagraph"/>
        <w:numPr>
          <w:ilvl w:val="2"/>
          <w:numId w:val="39"/>
        </w:numPr>
        <w:tabs>
          <w:tab w:val="left" w:pos="2191"/>
        </w:tabs>
        <w:spacing w:before="202" w:line="276" w:lineRule="auto"/>
        <w:ind w:right="2281" w:firstLine="0"/>
        <w:jc w:val="both"/>
        <w:rPr>
          <w:sz w:val="21"/>
        </w:rPr>
      </w:pPr>
      <w:r>
        <w:rPr>
          <w:sz w:val="21"/>
        </w:rPr>
        <w:t>The trustee or any other person in charge of a</w:t>
      </w:r>
      <w:r>
        <w:rPr>
          <w:sz w:val="21"/>
        </w:rPr>
        <w:t>ny place public worship shall have power, subject to the control of the competent authority and any rules which may be made by</w:t>
      </w:r>
      <w:r>
        <w:rPr>
          <w:spacing w:val="-33"/>
          <w:sz w:val="21"/>
        </w:rPr>
        <w:t xml:space="preserve"> </w:t>
      </w:r>
      <w:r>
        <w:rPr>
          <w:sz w:val="21"/>
        </w:rPr>
        <w:t>that authority,</w:t>
      </w:r>
      <w:r>
        <w:rPr>
          <w:spacing w:val="-13"/>
          <w:sz w:val="21"/>
        </w:rPr>
        <w:t xml:space="preserve"> </w:t>
      </w:r>
      <w:r>
        <w:rPr>
          <w:sz w:val="21"/>
        </w:rPr>
        <w:t>to</w:t>
      </w:r>
      <w:r>
        <w:rPr>
          <w:spacing w:val="-12"/>
          <w:sz w:val="21"/>
        </w:rPr>
        <w:t xml:space="preserve"> </w:t>
      </w:r>
      <w:r>
        <w:rPr>
          <w:sz w:val="21"/>
        </w:rPr>
        <w:t>make</w:t>
      </w:r>
      <w:r>
        <w:rPr>
          <w:spacing w:val="-12"/>
          <w:sz w:val="21"/>
        </w:rPr>
        <w:t xml:space="preserve"> </w:t>
      </w:r>
      <w:r>
        <w:rPr>
          <w:sz w:val="21"/>
        </w:rPr>
        <w:t>regulations</w:t>
      </w:r>
      <w:r>
        <w:rPr>
          <w:spacing w:val="-12"/>
          <w:sz w:val="21"/>
        </w:rPr>
        <w:t xml:space="preserve"> </w:t>
      </w:r>
      <w:r>
        <w:rPr>
          <w:sz w:val="21"/>
        </w:rPr>
        <w:t>for</w:t>
      </w:r>
      <w:r>
        <w:rPr>
          <w:spacing w:val="-13"/>
          <w:sz w:val="21"/>
        </w:rPr>
        <w:t xml:space="preserve"> </w:t>
      </w:r>
      <w:r>
        <w:rPr>
          <w:sz w:val="21"/>
        </w:rPr>
        <w:t>the</w:t>
      </w:r>
      <w:r>
        <w:rPr>
          <w:spacing w:val="-12"/>
          <w:sz w:val="21"/>
        </w:rPr>
        <w:t xml:space="preserve"> </w:t>
      </w:r>
      <w:r>
        <w:rPr>
          <w:sz w:val="21"/>
        </w:rPr>
        <w:t>maintenance</w:t>
      </w:r>
      <w:r>
        <w:rPr>
          <w:spacing w:val="-12"/>
          <w:sz w:val="21"/>
        </w:rPr>
        <w:t xml:space="preserve"> </w:t>
      </w:r>
      <w:r>
        <w:rPr>
          <w:sz w:val="21"/>
        </w:rPr>
        <w:t>of</w:t>
      </w:r>
      <w:r>
        <w:rPr>
          <w:spacing w:val="-12"/>
          <w:sz w:val="21"/>
        </w:rPr>
        <w:t xml:space="preserve"> </w:t>
      </w:r>
      <w:r>
        <w:rPr>
          <w:sz w:val="21"/>
        </w:rPr>
        <w:t>order</w:t>
      </w:r>
      <w:r>
        <w:rPr>
          <w:spacing w:val="-13"/>
          <w:sz w:val="21"/>
        </w:rPr>
        <w:t xml:space="preserve"> </w:t>
      </w:r>
      <w:r>
        <w:rPr>
          <w:sz w:val="21"/>
        </w:rPr>
        <w:t>and the decorum in the place of public worship and the due obser</w:t>
      </w:r>
      <w:r>
        <w:rPr>
          <w:sz w:val="21"/>
        </w:rPr>
        <w:t>vance of the religious rites and ceremonies performed therein:</w:t>
      </w:r>
    </w:p>
    <w:p w:rsidR="003B2FC0" w:rsidRDefault="00052A49">
      <w:pPr>
        <w:spacing w:before="200" w:line="276" w:lineRule="auto"/>
        <w:ind w:left="1840" w:right="2282"/>
        <w:jc w:val="both"/>
        <w:rPr>
          <w:sz w:val="21"/>
        </w:rPr>
      </w:pPr>
      <w:r>
        <w:rPr>
          <w:sz w:val="21"/>
        </w:rPr>
        <w:t>Provided that no regulation made under this sub-section shall discriminate in any manner whatsoever, against any Hindu on the ground that he belongs to a particular section or class.</w:t>
      </w:r>
    </w:p>
    <w:p w:rsidR="003B2FC0" w:rsidRDefault="00052A49">
      <w:pPr>
        <w:pStyle w:val="ListParagraph"/>
        <w:numPr>
          <w:ilvl w:val="2"/>
          <w:numId w:val="39"/>
        </w:numPr>
        <w:tabs>
          <w:tab w:val="left" w:pos="2155"/>
        </w:tabs>
        <w:spacing w:before="199" w:line="276" w:lineRule="auto"/>
        <w:ind w:right="2281" w:firstLine="0"/>
        <w:jc w:val="both"/>
        <w:rPr>
          <w:sz w:val="21"/>
        </w:rPr>
      </w:pPr>
      <w:r>
        <w:rPr>
          <w:sz w:val="21"/>
        </w:rPr>
        <w:t>The compet</w:t>
      </w:r>
      <w:r>
        <w:rPr>
          <w:sz w:val="21"/>
        </w:rPr>
        <w:t>ent authority referred to in sub-section (1) shall be,-</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pStyle w:val="ListParagraph"/>
        <w:numPr>
          <w:ilvl w:val="3"/>
          <w:numId w:val="39"/>
        </w:numPr>
        <w:tabs>
          <w:tab w:val="left" w:pos="2095"/>
        </w:tabs>
        <w:spacing w:before="94" w:line="276" w:lineRule="auto"/>
        <w:ind w:right="2282" w:firstLine="0"/>
        <w:jc w:val="both"/>
        <w:rPr>
          <w:sz w:val="21"/>
        </w:rPr>
      </w:pPr>
      <w:r>
        <w:rPr>
          <w:sz w:val="21"/>
        </w:rPr>
        <w:t>in relation to a place of public worship situated in any area to which Part I of the Travancore-Cochin Hindu Religious Institutions Act, 1950 (Travancore-Cochin Act XV of 1930), extends, the Travancore Devaswom</w:t>
      </w:r>
      <w:r>
        <w:rPr>
          <w:spacing w:val="-9"/>
          <w:sz w:val="21"/>
        </w:rPr>
        <w:t xml:space="preserve"> </w:t>
      </w:r>
      <w:r>
        <w:rPr>
          <w:sz w:val="21"/>
        </w:rPr>
        <w:t>Board;</w:t>
      </w:r>
    </w:p>
    <w:p w:rsidR="003B2FC0" w:rsidRDefault="00052A49">
      <w:pPr>
        <w:pStyle w:val="ListParagraph"/>
        <w:numPr>
          <w:ilvl w:val="3"/>
          <w:numId w:val="39"/>
        </w:numPr>
        <w:tabs>
          <w:tab w:val="left" w:pos="2140"/>
        </w:tabs>
        <w:spacing w:before="200" w:line="276" w:lineRule="auto"/>
        <w:ind w:right="2283" w:firstLine="0"/>
        <w:jc w:val="both"/>
        <w:rPr>
          <w:sz w:val="21"/>
        </w:rPr>
      </w:pPr>
      <w:r>
        <w:rPr>
          <w:sz w:val="21"/>
        </w:rPr>
        <w:t>in relation to a place of public worsh</w:t>
      </w:r>
      <w:r>
        <w:rPr>
          <w:sz w:val="21"/>
        </w:rPr>
        <w:t>ip situated in any area to</w:t>
      </w:r>
      <w:r>
        <w:rPr>
          <w:spacing w:val="-4"/>
          <w:sz w:val="21"/>
        </w:rPr>
        <w:t xml:space="preserve"> </w:t>
      </w:r>
      <w:r>
        <w:rPr>
          <w:sz w:val="21"/>
        </w:rPr>
        <w:t>which</w:t>
      </w:r>
      <w:r>
        <w:rPr>
          <w:spacing w:val="-6"/>
          <w:sz w:val="21"/>
        </w:rPr>
        <w:t xml:space="preserve"> </w:t>
      </w:r>
      <w:r>
        <w:rPr>
          <w:sz w:val="21"/>
        </w:rPr>
        <w:t>Part</w:t>
      </w:r>
      <w:r>
        <w:rPr>
          <w:spacing w:val="-5"/>
          <w:sz w:val="21"/>
        </w:rPr>
        <w:t xml:space="preserve"> </w:t>
      </w:r>
      <w:r>
        <w:rPr>
          <w:sz w:val="21"/>
        </w:rPr>
        <w:t>II</w:t>
      </w:r>
      <w:r>
        <w:rPr>
          <w:spacing w:val="-5"/>
          <w:sz w:val="21"/>
        </w:rPr>
        <w:t xml:space="preserve"> </w:t>
      </w:r>
      <w:r>
        <w:rPr>
          <w:sz w:val="21"/>
        </w:rPr>
        <w:t>of</w:t>
      </w:r>
      <w:r>
        <w:rPr>
          <w:spacing w:val="-2"/>
          <w:sz w:val="21"/>
        </w:rPr>
        <w:t xml:space="preserve"> </w:t>
      </w:r>
      <w:r>
        <w:rPr>
          <w:sz w:val="21"/>
        </w:rPr>
        <w:t>the</w:t>
      </w:r>
      <w:r>
        <w:rPr>
          <w:spacing w:val="-3"/>
          <w:sz w:val="21"/>
        </w:rPr>
        <w:t xml:space="preserve"> </w:t>
      </w:r>
      <w:r>
        <w:rPr>
          <w:sz w:val="21"/>
        </w:rPr>
        <w:t>said</w:t>
      </w:r>
      <w:r>
        <w:rPr>
          <w:spacing w:val="-6"/>
          <w:sz w:val="21"/>
        </w:rPr>
        <w:t xml:space="preserve"> </w:t>
      </w:r>
      <w:r>
        <w:rPr>
          <w:sz w:val="21"/>
        </w:rPr>
        <w:t>Act</w:t>
      </w:r>
      <w:r>
        <w:rPr>
          <w:spacing w:val="-5"/>
          <w:sz w:val="21"/>
        </w:rPr>
        <w:t xml:space="preserve"> </w:t>
      </w:r>
      <w:r>
        <w:rPr>
          <w:sz w:val="21"/>
        </w:rPr>
        <w:t>extends,</w:t>
      </w:r>
      <w:r>
        <w:rPr>
          <w:spacing w:val="-5"/>
          <w:sz w:val="21"/>
        </w:rPr>
        <w:t xml:space="preserve"> </w:t>
      </w:r>
      <w:r>
        <w:rPr>
          <w:sz w:val="21"/>
        </w:rPr>
        <w:t>the</w:t>
      </w:r>
      <w:r>
        <w:rPr>
          <w:spacing w:val="-3"/>
          <w:sz w:val="21"/>
        </w:rPr>
        <w:t xml:space="preserve"> </w:t>
      </w:r>
      <w:r>
        <w:rPr>
          <w:sz w:val="21"/>
        </w:rPr>
        <w:t>Cochin</w:t>
      </w:r>
      <w:r>
        <w:rPr>
          <w:spacing w:val="-6"/>
          <w:sz w:val="21"/>
        </w:rPr>
        <w:t xml:space="preserve"> </w:t>
      </w:r>
      <w:r>
        <w:rPr>
          <w:sz w:val="21"/>
        </w:rPr>
        <w:t>Devaswom Board;</w:t>
      </w:r>
      <w:r>
        <w:rPr>
          <w:spacing w:val="-2"/>
          <w:sz w:val="21"/>
        </w:rPr>
        <w:t xml:space="preserve"> </w:t>
      </w:r>
      <w:r>
        <w:rPr>
          <w:sz w:val="21"/>
        </w:rPr>
        <w:t>and</w:t>
      </w:r>
    </w:p>
    <w:p w:rsidR="003B2FC0" w:rsidRDefault="00052A49">
      <w:pPr>
        <w:pStyle w:val="ListParagraph"/>
        <w:numPr>
          <w:ilvl w:val="3"/>
          <w:numId w:val="39"/>
        </w:numPr>
        <w:tabs>
          <w:tab w:val="left" w:pos="2176"/>
        </w:tabs>
        <w:spacing w:before="201" w:line="273" w:lineRule="auto"/>
        <w:ind w:right="2286" w:firstLine="0"/>
        <w:rPr>
          <w:sz w:val="21"/>
        </w:rPr>
      </w:pPr>
      <w:r>
        <w:rPr>
          <w:sz w:val="21"/>
        </w:rPr>
        <w:t>in</w:t>
      </w:r>
      <w:r>
        <w:rPr>
          <w:spacing w:val="-5"/>
          <w:sz w:val="21"/>
        </w:rPr>
        <w:t xml:space="preserve"> </w:t>
      </w:r>
      <w:r>
        <w:rPr>
          <w:sz w:val="21"/>
        </w:rPr>
        <w:t>relation</w:t>
      </w:r>
      <w:r>
        <w:rPr>
          <w:spacing w:val="-4"/>
          <w:sz w:val="21"/>
        </w:rPr>
        <w:t xml:space="preserve"> </w:t>
      </w:r>
      <w:r>
        <w:rPr>
          <w:sz w:val="21"/>
        </w:rPr>
        <w:t>to</w:t>
      </w:r>
      <w:r>
        <w:rPr>
          <w:spacing w:val="-4"/>
          <w:sz w:val="21"/>
        </w:rPr>
        <w:t xml:space="preserve"> </w:t>
      </w:r>
      <w:r>
        <w:rPr>
          <w:sz w:val="21"/>
        </w:rPr>
        <w:t>a</w:t>
      </w:r>
      <w:r>
        <w:rPr>
          <w:spacing w:val="-5"/>
          <w:sz w:val="21"/>
        </w:rPr>
        <w:t xml:space="preserve"> </w:t>
      </w:r>
      <w:r>
        <w:rPr>
          <w:sz w:val="21"/>
        </w:rPr>
        <w:t>place</w:t>
      </w:r>
      <w:r>
        <w:rPr>
          <w:spacing w:val="-4"/>
          <w:sz w:val="21"/>
        </w:rPr>
        <w:t xml:space="preserve"> </w:t>
      </w:r>
      <w:r>
        <w:rPr>
          <w:sz w:val="21"/>
        </w:rPr>
        <w:t>of</w:t>
      </w:r>
      <w:r>
        <w:rPr>
          <w:spacing w:val="-5"/>
          <w:sz w:val="21"/>
        </w:rPr>
        <w:t xml:space="preserve"> </w:t>
      </w:r>
      <w:r>
        <w:rPr>
          <w:sz w:val="21"/>
        </w:rPr>
        <w:t>public</w:t>
      </w:r>
      <w:r>
        <w:rPr>
          <w:spacing w:val="-5"/>
          <w:sz w:val="21"/>
        </w:rPr>
        <w:t xml:space="preserve"> </w:t>
      </w:r>
      <w:r>
        <w:rPr>
          <w:sz w:val="21"/>
        </w:rPr>
        <w:t>worship</w:t>
      </w:r>
      <w:r>
        <w:rPr>
          <w:spacing w:val="-4"/>
          <w:sz w:val="21"/>
        </w:rPr>
        <w:t xml:space="preserve"> </w:t>
      </w:r>
      <w:r>
        <w:rPr>
          <w:sz w:val="21"/>
        </w:rPr>
        <w:t>situated</w:t>
      </w:r>
      <w:r>
        <w:rPr>
          <w:spacing w:val="-4"/>
          <w:sz w:val="21"/>
        </w:rPr>
        <w:t xml:space="preserve"> </w:t>
      </w:r>
      <w:r>
        <w:rPr>
          <w:sz w:val="21"/>
        </w:rPr>
        <w:t>in</w:t>
      </w:r>
      <w:r>
        <w:rPr>
          <w:spacing w:val="-7"/>
          <w:sz w:val="21"/>
        </w:rPr>
        <w:t xml:space="preserve"> </w:t>
      </w:r>
      <w:r>
        <w:rPr>
          <w:sz w:val="21"/>
        </w:rPr>
        <w:t>any</w:t>
      </w:r>
      <w:r>
        <w:rPr>
          <w:spacing w:val="-6"/>
          <w:sz w:val="21"/>
        </w:rPr>
        <w:t xml:space="preserve"> </w:t>
      </w:r>
      <w:r>
        <w:rPr>
          <w:sz w:val="21"/>
        </w:rPr>
        <w:t>other area in the State of Kerala, the</w:t>
      </w:r>
      <w:r>
        <w:rPr>
          <w:spacing w:val="-13"/>
          <w:sz w:val="21"/>
        </w:rPr>
        <w:t xml:space="preserve"> </w:t>
      </w:r>
      <w:r>
        <w:rPr>
          <w:sz w:val="21"/>
        </w:rPr>
        <w:t>Government.”</w:t>
      </w:r>
    </w:p>
    <w:p w:rsidR="003B2FC0" w:rsidRDefault="003B2FC0">
      <w:pPr>
        <w:rPr>
          <w:sz w:val="24"/>
        </w:rPr>
      </w:pPr>
    </w:p>
    <w:p w:rsidR="003B2FC0" w:rsidRDefault="003B2FC0">
      <w:pPr>
        <w:rPr>
          <w:sz w:val="24"/>
        </w:rPr>
      </w:pPr>
    </w:p>
    <w:p w:rsidR="003B2FC0" w:rsidRDefault="00052A49">
      <w:pPr>
        <w:spacing w:before="152" w:line="477" w:lineRule="auto"/>
        <w:ind w:left="400" w:right="432"/>
        <w:jc w:val="both"/>
        <w:rPr>
          <w:sz w:val="26"/>
        </w:rPr>
      </w:pPr>
      <w:r>
        <w:rPr>
          <w:sz w:val="26"/>
        </w:rPr>
        <w:t>The State of Kerala in exercise of the power under Section 4 framed the</w:t>
      </w:r>
      <w:r>
        <w:rPr>
          <w:spacing w:val="-47"/>
          <w:sz w:val="26"/>
        </w:rPr>
        <w:t xml:space="preserve"> </w:t>
      </w:r>
      <w:r>
        <w:rPr>
          <w:sz w:val="26"/>
        </w:rPr>
        <w:t>Kerala Hindu Places of Public Worship (Authorization of Entry) Rules 1965.</w:t>
      </w:r>
      <w:r>
        <w:rPr>
          <w:position w:val="9"/>
          <w:sz w:val="17"/>
        </w:rPr>
        <w:t xml:space="preserve">9 </w:t>
      </w:r>
      <w:r>
        <w:rPr>
          <w:sz w:val="26"/>
        </w:rPr>
        <w:t>Rule 3 of the 1965 Rules is extracted</w:t>
      </w:r>
      <w:r>
        <w:rPr>
          <w:spacing w:val="-4"/>
          <w:sz w:val="26"/>
        </w:rPr>
        <w:t xml:space="preserve"> </w:t>
      </w:r>
      <w:r>
        <w:rPr>
          <w:sz w:val="26"/>
        </w:rPr>
        <w:t>below:</w:t>
      </w:r>
    </w:p>
    <w:p w:rsidR="003B2FC0" w:rsidRDefault="00052A49">
      <w:pPr>
        <w:spacing w:before="203" w:line="276" w:lineRule="auto"/>
        <w:ind w:left="1840" w:right="2103"/>
        <w:jc w:val="both"/>
        <w:rPr>
          <w:sz w:val="21"/>
        </w:rPr>
      </w:pPr>
      <w:r>
        <w:rPr>
          <w:sz w:val="21"/>
        </w:rPr>
        <w:t xml:space="preserve">“Rule 3. The classes of persons mentioned here under shall not </w:t>
      </w:r>
      <w:r>
        <w:rPr>
          <w:sz w:val="21"/>
        </w:rPr>
        <w:t>be</w:t>
      </w:r>
      <w:r>
        <w:rPr>
          <w:spacing w:val="-14"/>
          <w:sz w:val="21"/>
        </w:rPr>
        <w:t xml:space="preserve"> </w:t>
      </w:r>
      <w:r>
        <w:rPr>
          <w:sz w:val="21"/>
        </w:rPr>
        <w:t>entitled</w:t>
      </w:r>
      <w:r>
        <w:rPr>
          <w:spacing w:val="-14"/>
          <w:sz w:val="21"/>
        </w:rPr>
        <w:t xml:space="preserve"> </w:t>
      </w:r>
      <w:r>
        <w:rPr>
          <w:sz w:val="21"/>
        </w:rPr>
        <w:t>to</w:t>
      </w:r>
      <w:r>
        <w:rPr>
          <w:spacing w:val="-13"/>
          <w:sz w:val="21"/>
        </w:rPr>
        <w:t xml:space="preserve"> </w:t>
      </w:r>
      <w:r>
        <w:rPr>
          <w:sz w:val="21"/>
        </w:rPr>
        <w:t>offer</w:t>
      </w:r>
      <w:r>
        <w:rPr>
          <w:spacing w:val="-15"/>
          <w:sz w:val="21"/>
        </w:rPr>
        <w:t xml:space="preserve"> </w:t>
      </w:r>
      <w:r>
        <w:rPr>
          <w:sz w:val="21"/>
        </w:rPr>
        <w:t>worship</w:t>
      </w:r>
      <w:r>
        <w:rPr>
          <w:spacing w:val="-17"/>
          <w:sz w:val="21"/>
        </w:rPr>
        <w:t xml:space="preserve"> </w:t>
      </w:r>
      <w:r>
        <w:rPr>
          <w:sz w:val="21"/>
        </w:rPr>
        <w:t>in</w:t>
      </w:r>
      <w:r>
        <w:rPr>
          <w:spacing w:val="-14"/>
          <w:sz w:val="21"/>
        </w:rPr>
        <w:t xml:space="preserve"> </w:t>
      </w:r>
      <w:r>
        <w:rPr>
          <w:sz w:val="21"/>
        </w:rPr>
        <w:t>any</w:t>
      </w:r>
      <w:r>
        <w:rPr>
          <w:spacing w:val="-17"/>
          <w:sz w:val="21"/>
        </w:rPr>
        <w:t xml:space="preserve"> </w:t>
      </w:r>
      <w:r>
        <w:rPr>
          <w:sz w:val="21"/>
        </w:rPr>
        <w:t>place</w:t>
      </w:r>
      <w:r>
        <w:rPr>
          <w:spacing w:val="-14"/>
          <w:sz w:val="21"/>
        </w:rPr>
        <w:t xml:space="preserve"> </w:t>
      </w:r>
      <w:r>
        <w:rPr>
          <w:sz w:val="21"/>
        </w:rPr>
        <w:t>of</w:t>
      </w:r>
      <w:r>
        <w:rPr>
          <w:spacing w:val="-13"/>
          <w:sz w:val="21"/>
        </w:rPr>
        <w:t xml:space="preserve"> </w:t>
      </w:r>
      <w:r>
        <w:rPr>
          <w:sz w:val="21"/>
        </w:rPr>
        <w:t>public</w:t>
      </w:r>
      <w:r>
        <w:rPr>
          <w:spacing w:val="-13"/>
          <w:sz w:val="21"/>
        </w:rPr>
        <w:t xml:space="preserve"> </w:t>
      </w:r>
      <w:r>
        <w:rPr>
          <w:sz w:val="21"/>
        </w:rPr>
        <w:t>worship</w:t>
      </w:r>
      <w:r>
        <w:rPr>
          <w:spacing w:val="-17"/>
          <w:sz w:val="21"/>
        </w:rPr>
        <w:t xml:space="preserve"> </w:t>
      </w:r>
      <w:r>
        <w:rPr>
          <w:sz w:val="21"/>
        </w:rPr>
        <w:t>or</w:t>
      </w:r>
      <w:r>
        <w:rPr>
          <w:spacing w:val="-15"/>
          <w:sz w:val="21"/>
        </w:rPr>
        <w:t xml:space="preserve"> </w:t>
      </w:r>
      <w:r>
        <w:rPr>
          <w:sz w:val="21"/>
        </w:rPr>
        <w:t>bathe in or use the water of any sacred tank, well, spring or water course appurtenant to a place of public worship whether situate within</w:t>
      </w:r>
      <w:r>
        <w:rPr>
          <w:spacing w:val="-5"/>
          <w:sz w:val="21"/>
        </w:rPr>
        <w:t xml:space="preserve"> </w:t>
      </w:r>
      <w:r>
        <w:rPr>
          <w:sz w:val="21"/>
        </w:rPr>
        <w:t>or</w:t>
      </w:r>
      <w:r>
        <w:rPr>
          <w:spacing w:val="-5"/>
          <w:sz w:val="21"/>
        </w:rPr>
        <w:t xml:space="preserve"> </w:t>
      </w:r>
      <w:r>
        <w:rPr>
          <w:sz w:val="21"/>
        </w:rPr>
        <w:t>outside</w:t>
      </w:r>
      <w:r>
        <w:rPr>
          <w:spacing w:val="-3"/>
          <w:sz w:val="21"/>
        </w:rPr>
        <w:t xml:space="preserve"> </w:t>
      </w:r>
      <w:r>
        <w:rPr>
          <w:sz w:val="21"/>
        </w:rPr>
        <w:t>precincts</w:t>
      </w:r>
      <w:r>
        <w:rPr>
          <w:spacing w:val="-7"/>
          <w:sz w:val="21"/>
        </w:rPr>
        <w:t xml:space="preserve"> </w:t>
      </w:r>
      <w:r>
        <w:rPr>
          <w:sz w:val="21"/>
        </w:rPr>
        <w:t>thereof,</w:t>
      </w:r>
      <w:r>
        <w:rPr>
          <w:spacing w:val="-5"/>
          <w:sz w:val="21"/>
        </w:rPr>
        <w:t xml:space="preserve"> </w:t>
      </w:r>
      <w:r>
        <w:rPr>
          <w:sz w:val="21"/>
        </w:rPr>
        <w:t>or</w:t>
      </w:r>
      <w:r>
        <w:rPr>
          <w:spacing w:val="-5"/>
          <w:sz w:val="21"/>
        </w:rPr>
        <w:t xml:space="preserve"> </w:t>
      </w:r>
      <w:r>
        <w:rPr>
          <w:sz w:val="21"/>
        </w:rPr>
        <w:t>any</w:t>
      </w:r>
      <w:r>
        <w:rPr>
          <w:spacing w:val="-6"/>
          <w:sz w:val="21"/>
        </w:rPr>
        <w:t xml:space="preserve"> </w:t>
      </w:r>
      <w:r>
        <w:rPr>
          <w:sz w:val="21"/>
        </w:rPr>
        <w:t>sacred</w:t>
      </w:r>
      <w:r>
        <w:rPr>
          <w:spacing w:val="-5"/>
          <w:sz w:val="21"/>
        </w:rPr>
        <w:t xml:space="preserve"> </w:t>
      </w:r>
      <w:r>
        <w:rPr>
          <w:sz w:val="21"/>
        </w:rPr>
        <w:t>place</w:t>
      </w:r>
      <w:r>
        <w:rPr>
          <w:spacing w:val="-4"/>
          <w:sz w:val="21"/>
        </w:rPr>
        <w:t xml:space="preserve"> </w:t>
      </w:r>
      <w:r>
        <w:rPr>
          <w:sz w:val="21"/>
        </w:rPr>
        <w:t>incl</w:t>
      </w:r>
      <w:r>
        <w:rPr>
          <w:sz w:val="21"/>
        </w:rPr>
        <w:t>uding a hill or hill lock, or a road, street or pathways which is requisite for obtaining access to the place of public</w:t>
      </w:r>
      <w:r>
        <w:rPr>
          <w:spacing w:val="-10"/>
          <w:sz w:val="21"/>
        </w:rPr>
        <w:t xml:space="preserve"> </w:t>
      </w:r>
      <w:r>
        <w:rPr>
          <w:sz w:val="21"/>
        </w:rPr>
        <w:t>worship-</w:t>
      </w:r>
    </w:p>
    <w:p w:rsidR="003B2FC0" w:rsidRDefault="00052A49">
      <w:pPr>
        <w:pStyle w:val="ListParagraph"/>
        <w:numPr>
          <w:ilvl w:val="0"/>
          <w:numId w:val="35"/>
        </w:numPr>
        <w:tabs>
          <w:tab w:val="left" w:pos="2155"/>
        </w:tabs>
        <w:spacing w:before="199"/>
        <w:ind w:hanging="314"/>
        <w:jc w:val="both"/>
        <w:rPr>
          <w:sz w:val="21"/>
        </w:rPr>
      </w:pPr>
      <w:r>
        <w:rPr>
          <w:sz w:val="21"/>
        </w:rPr>
        <w:t>Persons who are not</w:t>
      </w:r>
      <w:r>
        <w:rPr>
          <w:spacing w:val="-9"/>
          <w:sz w:val="21"/>
        </w:rPr>
        <w:t xml:space="preserve"> </w:t>
      </w:r>
      <w:r>
        <w:rPr>
          <w:sz w:val="21"/>
        </w:rPr>
        <w:t>Hindus.</w:t>
      </w:r>
    </w:p>
    <w:p w:rsidR="003B2FC0" w:rsidRDefault="003B2FC0">
      <w:pPr>
        <w:spacing w:before="6"/>
        <w:rPr>
          <w:sz w:val="20"/>
        </w:rPr>
      </w:pPr>
    </w:p>
    <w:p w:rsidR="003B2FC0" w:rsidRDefault="00052A49">
      <w:pPr>
        <w:pStyle w:val="ListParagraph"/>
        <w:numPr>
          <w:ilvl w:val="0"/>
          <w:numId w:val="35"/>
        </w:numPr>
        <w:tabs>
          <w:tab w:val="left" w:pos="2143"/>
        </w:tabs>
        <w:spacing w:before="1" w:line="276" w:lineRule="auto"/>
        <w:ind w:left="1840" w:right="2101" w:firstLine="0"/>
        <w:rPr>
          <w:b/>
          <w:sz w:val="21"/>
        </w:rPr>
      </w:pPr>
      <w:r>
        <w:rPr>
          <w:b/>
          <w:sz w:val="21"/>
        </w:rPr>
        <w:t>Women</w:t>
      </w:r>
      <w:r>
        <w:rPr>
          <w:b/>
          <w:spacing w:val="-13"/>
          <w:sz w:val="21"/>
        </w:rPr>
        <w:t xml:space="preserve"> </w:t>
      </w:r>
      <w:r>
        <w:rPr>
          <w:b/>
          <w:sz w:val="21"/>
        </w:rPr>
        <w:t>at</w:t>
      </w:r>
      <w:r>
        <w:rPr>
          <w:b/>
          <w:spacing w:val="-13"/>
          <w:sz w:val="21"/>
        </w:rPr>
        <w:t xml:space="preserve"> </w:t>
      </w:r>
      <w:r>
        <w:rPr>
          <w:b/>
          <w:sz w:val="21"/>
        </w:rPr>
        <w:t>such</w:t>
      </w:r>
      <w:r>
        <w:rPr>
          <w:b/>
          <w:spacing w:val="-12"/>
          <w:sz w:val="21"/>
        </w:rPr>
        <w:t xml:space="preserve"> </w:t>
      </w:r>
      <w:r>
        <w:rPr>
          <w:b/>
          <w:sz w:val="21"/>
        </w:rPr>
        <w:t>time</w:t>
      </w:r>
      <w:r>
        <w:rPr>
          <w:b/>
          <w:spacing w:val="-15"/>
          <w:sz w:val="21"/>
        </w:rPr>
        <w:t xml:space="preserve"> </w:t>
      </w:r>
      <w:r>
        <w:rPr>
          <w:b/>
          <w:sz w:val="21"/>
        </w:rPr>
        <w:t>during</w:t>
      </w:r>
      <w:r>
        <w:rPr>
          <w:b/>
          <w:spacing w:val="-14"/>
          <w:sz w:val="21"/>
        </w:rPr>
        <w:t xml:space="preserve"> </w:t>
      </w:r>
      <w:r>
        <w:rPr>
          <w:b/>
          <w:sz w:val="21"/>
        </w:rPr>
        <w:t>which</w:t>
      </w:r>
      <w:r>
        <w:rPr>
          <w:b/>
          <w:spacing w:val="-12"/>
          <w:sz w:val="21"/>
        </w:rPr>
        <w:t xml:space="preserve"> </w:t>
      </w:r>
      <w:r>
        <w:rPr>
          <w:b/>
          <w:sz w:val="21"/>
        </w:rPr>
        <w:t>they</w:t>
      </w:r>
      <w:r>
        <w:rPr>
          <w:b/>
          <w:spacing w:val="-17"/>
          <w:sz w:val="21"/>
        </w:rPr>
        <w:t xml:space="preserve"> </w:t>
      </w:r>
      <w:r>
        <w:rPr>
          <w:b/>
          <w:sz w:val="21"/>
        </w:rPr>
        <w:t>are</w:t>
      </w:r>
      <w:r>
        <w:rPr>
          <w:b/>
          <w:spacing w:val="-12"/>
          <w:sz w:val="21"/>
        </w:rPr>
        <w:t xml:space="preserve"> </w:t>
      </w:r>
      <w:r>
        <w:rPr>
          <w:b/>
          <w:sz w:val="21"/>
        </w:rPr>
        <w:t>not</w:t>
      </w:r>
      <w:r>
        <w:rPr>
          <w:b/>
          <w:spacing w:val="-13"/>
          <w:sz w:val="21"/>
        </w:rPr>
        <w:t xml:space="preserve"> </w:t>
      </w:r>
      <w:r>
        <w:rPr>
          <w:b/>
          <w:sz w:val="21"/>
        </w:rPr>
        <w:t>by</w:t>
      </w:r>
      <w:r>
        <w:rPr>
          <w:b/>
          <w:spacing w:val="-16"/>
          <w:sz w:val="21"/>
        </w:rPr>
        <w:t xml:space="preserve"> </w:t>
      </w:r>
      <w:r>
        <w:rPr>
          <w:b/>
          <w:sz w:val="21"/>
        </w:rPr>
        <w:t>custom and usage allowed to enter a place of public</w:t>
      </w:r>
      <w:r>
        <w:rPr>
          <w:b/>
          <w:spacing w:val="-11"/>
          <w:sz w:val="21"/>
        </w:rPr>
        <w:t xml:space="preserve"> </w:t>
      </w:r>
      <w:r>
        <w:rPr>
          <w:b/>
          <w:sz w:val="21"/>
        </w:rPr>
        <w:t>worship.</w:t>
      </w:r>
    </w:p>
    <w:p w:rsidR="003B2FC0" w:rsidRDefault="00052A49">
      <w:pPr>
        <w:pStyle w:val="ListParagraph"/>
        <w:numPr>
          <w:ilvl w:val="0"/>
          <w:numId w:val="35"/>
        </w:numPr>
        <w:tabs>
          <w:tab w:val="left" w:pos="2160"/>
        </w:tabs>
        <w:spacing w:before="200" w:line="276" w:lineRule="auto"/>
        <w:ind w:left="1840" w:right="2105" w:firstLine="0"/>
        <w:rPr>
          <w:sz w:val="21"/>
        </w:rPr>
      </w:pPr>
      <w:r>
        <w:rPr>
          <w:sz w:val="21"/>
        </w:rPr>
        <w:t>Persons under pollution arising out of birth or death in their families.</w:t>
      </w:r>
    </w:p>
    <w:p w:rsidR="003B2FC0" w:rsidRDefault="00052A49">
      <w:pPr>
        <w:pStyle w:val="ListParagraph"/>
        <w:numPr>
          <w:ilvl w:val="0"/>
          <w:numId w:val="35"/>
        </w:numPr>
        <w:tabs>
          <w:tab w:val="left" w:pos="2155"/>
        </w:tabs>
        <w:spacing w:before="201"/>
        <w:ind w:hanging="314"/>
        <w:jc w:val="both"/>
        <w:rPr>
          <w:sz w:val="21"/>
        </w:rPr>
      </w:pPr>
      <w:r>
        <w:rPr>
          <w:sz w:val="21"/>
        </w:rPr>
        <w:t>Drunken or disorderly</w:t>
      </w:r>
      <w:r>
        <w:rPr>
          <w:spacing w:val="-6"/>
          <w:sz w:val="21"/>
        </w:rPr>
        <w:t xml:space="preserve"> </w:t>
      </w:r>
      <w:r>
        <w:rPr>
          <w:sz w:val="21"/>
        </w:rPr>
        <w:t>persons.</w:t>
      </w:r>
    </w:p>
    <w:p w:rsidR="003B2FC0" w:rsidRDefault="003B2FC0">
      <w:pPr>
        <w:spacing w:before="6"/>
        <w:rPr>
          <w:sz w:val="20"/>
        </w:rPr>
      </w:pPr>
    </w:p>
    <w:p w:rsidR="003B2FC0" w:rsidRDefault="00052A49">
      <w:pPr>
        <w:pStyle w:val="ListParagraph"/>
        <w:numPr>
          <w:ilvl w:val="0"/>
          <w:numId w:val="35"/>
        </w:numPr>
        <w:tabs>
          <w:tab w:val="left" w:pos="2146"/>
        </w:tabs>
        <w:spacing w:before="1"/>
        <w:ind w:left="2145" w:hanging="305"/>
        <w:jc w:val="both"/>
        <w:rPr>
          <w:sz w:val="21"/>
        </w:rPr>
      </w:pPr>
      <w:r>
        <w:rPr>
          <w:sz w:val="21"/>
        </w:rPr>
        <w:t>Persons</w:t>
      </w:r>
      <w:r>
        <w:rPr>
          <w:spacing w:val="-11"/>
          <w:sz w:val="21"/>
        </w:rPr>
        <w:t xml:space="preserve"> </w:t>
      </w:r>
      <w:r>
        <w:rPr>
          <w:sz w:val="21"/>
        </w:rPr>
        <w:t>suffering</w:t>
      </w:r>
      <w:r>
        <w:rPr>
          <w:spacing w:val="-10"/>
          <w:sz w:val="21"/>
        </w:rPr>
        <w:t xml:space="preserve"> </w:t>
      </w:r>
      <w:r>
        <w:rPr>
          <w:sz w:val="21"/>
        </w:rPr>
        <w:t>from</w:t>
      </w:r>
      <w:r>
        <w:rPr>
          <w:spacing w:val="-9"/>
          <w:sz w:val="21"/>
        </w:rPr>
        <w:t xml:space="preserve"> </w:t>
      </w:r>
      <w:r>
        <w:rPr>
          <w:sz w:val="21"/>
        </w:rPr>
        <w:t>any</w:t>
      </w:r>
      <w:r>
        <w:rPr>
          <w:spacing w:val="-13"/>
          <w:sz w:val="21"/>
        </w:rPr>
        <w:t xml:space="preserve"> </w:t>
      </w:r>
      <w:r>
        <w:rPr>
          <w:sz w:val="21"/>
        </w:rPr>
        <w:t>loathsome</w:t>
      </w:r>
      <w:r>
        <w:rPr>
          <w:spacing w:val="-11"/>
          <w:sz w:val="21"/>
        </w:rPr>
        <w:t xml:space="preserve"> </w:t>
      </w:r>
      <w:r>
        <w:rPr>
          <w:sz w:val="21"/>
        </w:rPr>
        <w:t>or</w:t>
      </w:r>
      <w:r>
        <w:rPr>
          <w:spacing w:val="-11"/>
          <w:sz w:val="21"/>
        </w:rPr>
        <w:t xml:space="preserve"> </w:t>
      </w:r>
      <w:r>
        <w:rPr>
          <w:sz w:val="21"/>
        </w:rPr>
        <w:t>contagious</w:t>
      </w:r>
      <w:r>
        <w:rPr>
          <w:spacing w:val="-11"/>
          <w:sz w:val="21"/>
        </w:rPr>
        <w:t xml:space="preserve"> </w:t>
      </w:r>
      <w:r>
        <w:rPr>
          <w:sz w:val="21"/>
        </w:rPr>
        <w:t>disease.</w:t>
      </w:r>
    </w:p>
    <w:p w:rsidR="003B2FC0" w:rsidRDefault="003B2FC0">
      <w:pPr>
        <w:spacing w:before="5"/>
        <w:rPr>
          <w:sz w:val="20"/>
        </w:rPr>
      </w:pPr>
    </w:p>
    <w:p w:rsidR="003B2FC0" w:rsidRDefault="00052A49">
      <w:pPr>
        <w:pStyle w:val="ListParagraph"/>
        <w:numPr>
          <w:ilvl w:val="0"/>
          <w:numId w:val="35"/>
        </w:numPr>
        <w:tabs>
          <w:tab w:val="left" w:pos="2143"/>
        </w:tabs>
        <w:spacing w:before="1" w:line="276" w:lineRule="auto"/>
        <w:ind w:left="1840" w:right="2104" w:firstLine="0"/>
        <w:jc w:val="both"/>
        <w:rPr>
          <w:sz w:val="21"/>
        </w:rPr>
      </w:pPr>
      <w:r>
        <w:rPr>
          <w:sz w:val="21"/>
        </w:rPr>
        <w:t>Persons of unsound mind except when taken for worship under proper control and with the permission of the executive authority of the place of public worship</w:t>
      </w:r>
      <w:r>
        <w:rPr>
          <w:spacing w:val="-9"/>
          <w:sz w:val="21"/>
        </w:rPr>
        <w:t xml:space="preserve"> </w:t>
      </w:r>
      <w:r>
        <w:rPr>
          <w:sz w:val="21"/>
        </w:rPr>
        <w:t>concerned.</w:t>
      </w:r>
    </w:p>
    <w:p w:rsidR="003B2FC0" w:rsidRDefault="00052A49">
      <w:pPr>
        <w:pStyle w:val="ListParagraph"/>
        <w:numPr>
          <w:ilvl w:val="0"/>
          <w:numId w:val="35"/>
        </w:numPr>
        <w:tabs>
          <w:tab w:val="left" w:pos="2227"/>
        </w:tabs>
        <w:spacing w:before="199" w:line="276" w:lineRule="auto"/>
        <w:ind w:left="1840" w:right="2105" w:firstLine="0"/>
        <w:rPr>
          <w:sz w:val="21"/>
        </w:rPr>
      </w:pPr>
      <w:r>
        <w:rPr>
          <w:sz w:val="21"/>
        </w:rPr>
        <w:t>Professional beggars when their entry is solely for the purpose of</w:t>
      </w:r>
      <w:r>
        <w:rPr>
          <w:spacing w:val="-2"/>
          <w:sz w:val="21"/>
        </w:rPr>
        <w:t xml:space="preserve"> </w:t>
      </w:r>
      <w:r>
        <w:rPr>
          <w:sz w:val="21"/>
        </w:rPr>
        <w:t>begging.”</w:t>
      </w:r>
    </w:p>
    <w:p w:rsidR="003B2FC0" w:rsidRDefault="00052A49">
      <w:pPr>
        <w:spacing w:before="200"/>
        <w:ind w:left="1840"/>
        <w:jc w:val="both"/>
        <w:rPr>
          <w:sz w:val="21"/>
        </w:rPr>
      </w:pPr>
      <w:r>
        <w:rPr>
          <w:sz w:val="21"/>
        </w:rPr>
        <w:t>(Emphasis Supplied)</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3"/>
        <w:rPr>
          <w:sz w:val="17"/>
        </w:rPr>
      </w:pPr>
      <w:r w:rsidRPr="003B2FC0">
        <w:pict>
          <v:line id="_x0000_s1130" style="position:absolute;z-index:251585024;mso-wrap-distance-left:0;mso-wrap-distance-right:0;mso-position-horizontal-relative:page" from="1in,12.3pt" to="216.05pt,12.3pt" strokeweight=".72pt">
            <w10:wrap type="topAndBottom" anchorx="page"/>
          </v:line>
        </w:pict>
      </w:r>
    </w:p>
    <w:p w:rsidR="003B2FC0" w:rsidRDefault="00052A49">
      <w:pPr>
        <w:spacing w:before="66"/>
        <w:ind w:left="400"/>
        <w:rPr>
          <w:sz w:val="18"/>
        </w:rPr>
      </w:pPr>
      <w:r>
        <w:rPr>
          <w:position w:val="6"/>
          <w:sz w:val="12"/>
        </w:rPr>
        <w:t xml:space="preserve">9 </w:t>
      </w:r>
      <w:r>
        <w:rPr>
          <w:sz w:val="18"/>
        </w:rPr>
        <w:t>The “1965 Rules”</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4" w:firstLine="0"/>
        <w:jc w:val="both"/>
        <w:rPr>
          <w:sz w:val="26"/>
        </w:rPr>
      </w:pPr>
      <w:r>
        <w:rPr>
          <w:sz w:val="26"/>
        </w:rPr>
        <w:t>The legality of banning the entry of women above the age of ten and below the age of fifty to offer worship at Sabarimala shrine was sought to be answered in 1992 by a Division Bench of the High Court of Kerala in</w:t>
      </w:r>
      <w:r>
        <w:rPr>
          <w:spacing w:val="17"/>
          <w:sz w:val="26"/>
        </w:rPr>
        <w:t xml:space="preserve"> </w:t>
      </w:r>
      <w:r>
        <w:rPr>
          <w:b/>
          <w:sz w:val="26"/>
        </w:rPr>
        <w:t xml:space="preserve">S Mahendran </w:t>
      </w:r>
      <w:r>
        <w:rPr>
          <w:sz w:val="26"/>
        </w:rPr>
        <w:t xml:space="preserve">v </w:t>
      </w:r>
      <w:r>
        <w:rPr>
          <w:b/>
          <w:sz w:val="26"/>
        </w:rPr>
        <w:t>The Secretary, Travancore De</w:t>
      </w:r>
      <w:r>
        <w:rPr>
          <w:b/>
          <w:sz w:val="26"/>
        </w:rPr>
        <w:t xml:space="preserve">vaswom Board, Thiruvananthapuram </w:t>
      </w:r>
      <w:r>
        <w:rPr>
          <w:sz w:val="26"/>
        </w:rPr>
        <w:t>(</w:t>
      </w:r>
      <w:r>
        <w:rPr>
          <w:b/>
          <w:sz w:val="26"/>
        </w:rPr>
        <w:t>“Mahendran”</w:t>
      </w:r>
      <w:r>
        <w:rPr>
          <w:sz w:val="26"/>
        </w:rPr>
        <w:t>).</w:t>
      </w:r>
      <w:r>
        <w:rPr>
          <w:position w:val="9"/>
          <w:sz w:val="17"/>
        </w:rPr>
        <w:t xml:space="preserve">10 </w:t>
      </w:r>
      <w:r>
        <w:rPr>
          <w:sz w:val="26"/>
        </w:rPr>
        <w:t xml:space="preserve">A public interest litigation was entertained by the High Court on the basis of a petition addressed by one </w:t>
      </w:r>
      <w:r>
        <w:rPr>
          <w:spacing w:val="4"/>
          <w:sz w:val="26"/>
        </w:rPr>
        <w:t xml:space="preserve">S. </w:t>
      </w:r>
      <w:r>
        <w:rPr>
          <w:sz w:val="26"/>
        </w:rPr>
        <w:t>Mahendran.</w:t>
      </w:r>
      <w:r>
        <w:rPr>
          <w:spacing w:val="-15"/>
          <w:sz w:val="26"/>
        </w:rPr>
        <w:t xml:space="preserve"> </w:t>
      </w:r>
      <w:r>
        <w:rPr>
          <w:sz w:val="26"/>
        </w:rPr>
        <w:t>Upholding</w:t>
      </w:r>
      <w:r>
        <w:rPr>
          <w:spacing w:val="-14"/>
          <w:sz w:val="26"/>
        </w:rPr>
        <w:t xml:space="preserve"> </w:t>
      </w:r>
      <w:r>
        <w:rPr>
          <w:sz w:val="26"/>
        </w:rPr>
        <w:t>the</w:t>
      </w:r>
      <w:r>
        <w:rPr>
          <w:spacing w:val="-15"/>
          <w:sz w:val="26"/>
        </w:rPr>
        <w:t xml:space="preserve"> </w:t>
      </w:r>
      <w:r>
        <w:rPr>
          <w:sz w:val="26"/>
        </w:rPr>
        <w:t>exclusion</w:t>
      </w:r>
      <w:r>
        <w:rPr>
          <w:spacing w:val="-14"/>
          <w:sz w:val="26"/>
        </w:rPr>
        <w:t xml:space="preserve"> </w:t>
      </w:r>
      <w:r>
        <w:rPr>
          <w:sz w:val="26"/>
        </w:rPr>
        <w:t>of</w:t>
      </w:r>
      <w:r>
        <w:rPr>
          <w:spacing w:val="-12"/>
          <w:sz w:val="26"/>
        </w:rPr>
        <w:t xml:space="preserve"> </w:t>
      </w:r>
      <w:r>
        <w:rPr>
          <w:sz w:val="26"/>
        </w:rPr>
        <w:t>women</w:t>
      </w:r>
      <w:r>
        <w:rPr>
          <w:spacing w:val="-14"/>
          <w:sz w:val="26"/>
        </w:rPr>
        <w:t xml:space="preserve"> </w:t>
      </w:r>
      <w:r>
        <w:rPr>
          <w:sz w:val="26"/>
        </w:rPr>
        <w:t>from</w:t>
      </w:r>
      <w:r>
        <w:rPr>
          <w:spacing w:val="-14"/>
          <w:sz w:val="26"/>
        </w:rPr>
        <w:t xml:space="preserve"> </w:t>
      </w:r>
      <w:r>
        <w:rPr>
          <w:sz w:val="26"/>
        </w:rPr>
        <w:t>the</w:t>
      </w:r>
      <w:r>
        <w:rPr>
          <w:spacing w:val="-15"/>
          <w:sz w:val="26"/>
        </w:rPr>
        <w:t xml:space="preserve"> </w:t>
      </w:r>
      <w:r>
        <w:rPr>
          <w:sz w:val="26"/>
        </w:rPr>
        <w:t>ceremonies</w:t>
      </w:r>
      <w:r>
        <w:rPr>
          <w:spacing w:val="-14"/>
          <w:sz w:val="26"/>
        </w:rPr>
        <w:t xml:space="preserve"> </w:t>
      </w:r>
      <w:r>
        <w:rPr>
          <w:sz w:val="26"/>
        </w:rPr>
        <w:t>and</w:t>
      </w:r>
      <w:r>
        <w:rPr>
          <w:spacing w:val="-15"/>
          <w:sz w:val="26"/>
        </w:rPr>
        <w:t xml:space="preserve"> </w:t>
      </w:r>
      <w:r>
        <w:rPr>
          <w:sz w:val="26"/>
        </w:rPr>
        <w:t>prayer at the shrine, the Hi</w:t>
      </w:r>
      <w:r>
        <w:rPr>
          <w:sz w:val="26"/>
        </w:rPr>
        <w:t>gh Court</w:t>
      </w:r>
      <w:r>
        <w:rPr>
          <w:spacing w:val="-3"/>
          <w:sz w:val="26"/>
        </w:rPr>
        <w:t xml:space="preserve"> </w:t>
      </w:r>
      <w:r>
        <w:rPr>
          <w:sz w:val="26"/>
        </w:rPr>
        <w:t>concluded:</w:t>
      </w:r>
    </w:p>
    <w:p w:rsidR="003B2FC0" w:rsidRDefault="00052A49">
      <w:pPr>
        <w:spacing w:before="193"/>
        <w:ind w:left="1898"/>
        <w:rPr>
          <w:sz w:val="21"/>
        </w:rPr>
      </w:pPr>
      <w:r>
        <w:rPr>
          <w:sz w:val="21"/>
        </w:rPr>
        <w:t>“44. Our conclusions are as follows:</w:t>
      </w:r>
    </w:p>
    <w:p w:rsidR="003B2FC0" w:rsidRDefault="003B2FC0">
      <w:pPr>
        <w:spacing w:before="8"/>
        <w:rPr>
          <w:sz w:val="20"/>
        </w:rPr>
      </w:pPr>
    </w:p>
    <w:p w:rsidR="003B2FC0" w:rsidRDefault="00052A49">
      <w:pPr>
        <w:pStyle w:val="ListParagraph"/>
        <w:numPr>
          <w:ilvl w:val="0"/>
          <w:numId w:val="34"/>
        </w:numPr>
        <w:tabs>
          <w:tab w:val="left" w:pos="2198"/>
        </w:tabs>
        <w:spacing w:line="276" w:lineRule="auto"/>
        <w:ind w:right="2284" w:firstLine="0"/>
        <w:jc w:val="both"/>
        <w:rPr>
          <w:sz w:val="21"/>
        </w:rPr>
      </w:pPr>
      <w:r>
        <w:rPr>
          <w:sz w:val="21"/>
        </w:rPr>
        <w:t>The restriction imposed on women aged above 10 and below</w:t>
      </w:r>
      <w:r>
        <w:rPr>
          <w:spacing w:val="-12"/>
          <w:sz w:val="21"/>
        </w:rPr>
        <w:t xml:space="preserve"> </w:t>
      </w:r>
      <w:r>
        <w:rPr>
          <w:sz w:val="21"/>
        </w:rPr>
        <w:t>50</w:t>
      </w:r>
      <w:r>
        <w:rPr>
          <w:spacing w:val="-10"/>
          <w:sz w:val="21"/>
        </w:rPr>
        <w:t xml:space="preserve"> </w:t>
      </w:r>
      <w:r>
        <w:rPr>
          <w:sz w:val="21"/>
        </w:rPr>
        <w:t>from</w:t>
      </w:r>
      <w:r>
        <w:rPr>
          <w:spacing w:val="-8"/>
          <w:sz w:val="21"/>
        </w:rPr>
        <w:t xml:space="preserve"> </w:t>
      </w:r>
      <w:r>
        <w:rPr>
          <w:sz w:val="21"/>
        </w:rPr>
        <w:t>trekking</w:t>
      </w:r>
      <w:r>
        <w:rPr>
          <w:spacing w:val="-11"/>
          <w:sz w:val="21"/>
        </w:rPr>
        <w:t xml:space="preserve"> </w:t>
      </w:r>
      <w:r>
        <w:rPr>
          <w:sz w:val="21"/>
        </w:rPr>
        <w:t>the</w:t>
      </w:r>
      <w:r>
        <w:rPr>
          <w:spacing w:val="-10"/>
          <w:sz w:val="21"/>
        </w:rPr>
        <w:t xml:space="preserve"> </w:t>
      </w:r>
      <w:r>
        <w:rPr>
          <w:sz w:val="21"/>
        </w:rPr>
        <w:t>holy</w:t>
      </w:r>
      <w:r>
        <w:rPr>
          <w:spacing w:val="-12"/>
          <w:sz w:val="21"/>
        </w:rPr>
        <w:t xml:space="preserve"> </w:t>
      </w:r>
      <w:r>
        <w:rPr>
          <w:sz w:val="21"/>
        </w:rPr>
        <w:t>hills</w:t>
      </w:r>
      <w:r>
        <w:rPr>
          <w:spacing w:val="-11"/>
          <w:sz w:val="21"/>
        </w:rPr>
        <w:t xml:space="preserve"> </w:t>
      </w:r>
      <w:r>
        <w:rPr>
          <w:sz w:val="21"/>
        </w:rPr>
        <w:t>of</w:t>
      </w:r>
      <w:r>
        <w:rPr>
          <w:spacing w:val="-9"/>
          <w:sz w:val="21"/>
        </w:rPr>
        <w:t xml:space="preserve"> </w:t>
      </w:r>
      <w:r>
        <w:rPr>
          <w:sz w:val="21"/>
        </w:rPr>
        <w:t>Sabarimala</w:t>
      </w:r>
      <w:r>
        <w:rPr>
          <w:spacing w:val="-11"/>
          <w:sz w:val="21"/>
        </w:rPr>
        <w:t xml:space="preserve"> </w:t>
      </w:r>
      <w:r>
        <w:rPr>
          <w:sz w:val="21"/>
        </w:rPr>
        <w:t>and</w:t>
      </w:r>
      <w:r>
        <w:rPr>
          <w:spacing w:val="-10"/>
          <w:sz w:val="21"/>
        </w:rPr>
        <w:t xml:space="preserve"> </w:t>
      </w:r>
      <w:r>
        <w:rPr>
          <w:sz w:val="21"/>
        </w:rPr>
        <w:t>offering worship at Sabarimala Shrine is in accordance with the usage prevalent from time</w:t>
      </w:r>
      <w:r>
        <w:rPr>
          <w:spacing w:val="-4"/>
          <w:sz w:val="21"/>
        </w:rPr>
        <w:t xml:space="preserve"> </w:t>
      </w:r>
      <w:r>
        <w:rPr>
          <w:sz w:val="21"/>
        </w:rPr>
        <w:t>immemorial.</w:t>
      </w:r>
    </w:p>
    <w:p w:rsidR="003B2FC0" w:rsidRDefault="00052A49">
      <w:pPr>
        <w:pStyle w:val="ListParagraph"/>
        <w:numPr>
          <w:ilvl w:val="0"/>
          <w:numId w:val="34"/>
        </w:numPr>
        <w:tabs>
          <w:tab w:val="left" w:pos="2182"/>
        </w:tabs>
        <w:spacing w:before="200" w:line="273" w:lineRule="auto"/>
        <w:ind w:right="2280" w:firstLine="0"/>
        <w:jc w:val="both"/>
        <w:rPr>
          <w:sz w:val="21"/>
        </w:rPr>
      </w:pPr>
      <w:r>
        <w:rPr>
          <w:sz w:val="21"/>
        </w:rPr>
        <w:t>Such restriction imposed by the Devaswom Board is not violative of Articles 15, 25 and 26 of the Constitution of</w:t>
      </w:r>
      <w:r>
        <w:rPr>
          <w:spacing w:val="-19"/>
          <w:sz w:val="21"/>
        </w:rPr>
        <w:t xml:space="preserve"> </w:t>
      </w:r>
      <w:r>
        <w:rPr>
          <w:sz w:val="21"/>
        </w:rPr>
        <w:t>India.</w:t>
      </w:r>
    </w:p>
    <w:p w:rsidR="003B2FC0" w:rsidRDefault="00052A49">
      <w:pPr>
        <w:pStyle w:val="ListParagraph"/>
        <w:numPr>
          <w:ilvl w:val="0"/>
          <w:numId w:val="34"/>
        </w:numPr>
        <w:tabs>
          <w:tab w:val="left" w:pos="2191"/>
        </w:tabs>
        <w:spacing w:before="203" w:line="276" w:lineRule="auto"/>
        <w:ind w:right="2281" w:firstLine="0"/>
        <w:jc w:val="both"/>
        <w:rPr>
          <w:sz w:val="14"/>
        </w:rPr>
      </w:pPr>
      <w:r>
        <w:rPr>
          <w:sz w:val="21"/>
        </w:rPr>
        <w:t>Such restriction is also not violative of the provisions of Hindu Place of Public Worship (Authorisation of Entry) Act, 1965</w:t>
      </w:r>
      <w:r>
        <w:rPr>
          <w:sz w:val="21"/>
        </w:rPr>
        <w:t xml:space="preserve"> since there is no restriction between one section and another section or between one class and another class among the Hindus in the matter of entry to a temple whereas the prohibition is only in respect of women of a particular age group and not women as</w:t>
      </w:r>
      <w:r>
        <w:rPr>
          <w:sz w:val="21"/>
        </w:rPr>
        <w:t xml:space="preserve"> a</w:t>
      </w:r>
      <w:r>
        <w:rPr>
          <w:spacing w:val="-9"/>
          <w:sz w:val="21"/>
        </w:rPr>
        <w:t xml:space="preserve"> </w:t>
      </w:r>
      <w:r>
        <w:rPr>
          <w:sz w:val="21"/>
        </w:rPr>
        <w:t>class.”</w:t>
      </w:r>
      <w:r>
        <w:rPr>
          <w:position w:val="7"/>
          <w:sz w:val="14"/>
        </w:rPr>
        <w:t>11</w:t>
      </w:r>
    </w:p>
    <w:p w:rsidR="003B2FC0" w:rsidRDefault="00052A49">
      <w:pPr>
        <w:spacing w:before="199"/>
        <w:ind w:left="400"/>
        <w:rPr>
          <w:sz w:val="26"/>
        </w:rPr>
      </w:pPr>
      <w:r>
        <w:rPr>
          <w:sz w:val="26"/>
        </w:rPr>
        <w:t>The High Court issued the following directions:-</w:t>
      </w:r>
    </w:p>
    <w:p w:rsidR="003B2FC0" w:rsidRDefault="00052A49">
      <w:pPr>
        <w:spacing w:before="200" w:line="276" w:lineRule="auto"/>
        <w:ind w:left="1840" w:right="2281"/>
        <w:jc w:val="both"/>
        <w:rPr>
          <w:sz w:val="21"/>
        </w:rPr>
      </w:pPr>
      <w:r>
        <w:rPr>
          <w:sz w:val="21"/>
        </w:rPr>
        <w:t>“In the light of the aforesaid conclusions we direct the first respondent, the Travancore Devaswom Board, not to permit women above the age of 10 and below the age of 50 to trek the holy hills o</w:t>
      </w:r>
      <w:r>
        <w:rPr>
          <w:sz w:val="21"/>
        </w:rPr>
        <w:t>f Sabarimala in connection with the pilgrimage to the Sabarimala temple and from offering worship at Sabarimala Shrine during any period of the year. We also direct the 3rd respondent, Government of Kerala, to render all necessary assistance inclusive of p</w:t>
      </w:r>
      <w:r>
        <w:rPr>
          <w:sz w:val="21"/>
        </w:rPr>
        <w:t>olice and to see that the direction which we have issued to the Devaswom Board is implemented and complied with.”</w:t>
      </w:r>
    </w:p>
    <w:p w:rsidR="003B2FC0" w:rsidRDefault="003B2FC0">
      <w:pPr>
        <w:rPr>
          <w:sz w:val="20"/>
        </w:rPr>
      </w:pPr>
    </w:p>
    <w:p w:rsidR="003B2FC0" w:rsidRDefault="003B2FC0">
      <w:pPr>
        <w:spacing w:before="3"/>
        <w:rPr>
          <w:sz w:val="18"/>
        </w:rPr>
      </w:pPr>
      <w:r w:rsidRPr="003B2FC0">
        <w:pict>
          <v:line id="_x0000_s1129" style="position:absolute;z-index:251586048;mso-wrap-distance-left:0;mso-wrap-distance-right:0;mso-position-horizontal-relative:page" from="1in,12.85pt" to="216.05pt,12.85pt" strokeweight=".72pt">
            <w10:wrap type="topAndBottom" anchorx="page"/>
          </v:line>
        </w:pict>
      </w:r>
    </w:p>
    <w:p w:rsidR="003B2FC0" w:rsidRDefault="00052A49">
      <w:pPr>
        <w:spacing w:before="66" w:line="210" w:lineRule="exact"/>
        <w:ind w:left="400"/>
        <w:rPr>
          <w:sz w:val="18"/>
        </w:rPr>
      </w:pPr>
      <w:r>
        <w:rPr>
          <w:position w:val="6"/>
          <w:sz w:val="12"/>
        </w:rPr>
        <w:t xml:space="preserve">10 </w:t>
      </w:r>
      <w:r>
        <w:rPr>
          <w:sz w:val="18"/>
        </w:rPr>
        <w:t>AIR 1993 Ker 42</w:t>
      </w:r>
    </w:p>
    <w:p w:rsidR="003B2FC0" w:rsidRDefault="00052A49">
      <w:pPr>
        <w:spacing w:line="210" w:lineRule="exact"/>
        <w:ind w:left="400"/>
        <w:rPr>
          <w:sz w:val="18"/>
        </w:rPr>
      </w:pPr>
      <w:r>
        <w:rPr>
          <w:position w:val="6"/>
          <w:sz w:val="12"/>
        </w:rPr>
        <w:t xml:space="preserve">11 </w:t>
      </w:r>
      <w:r>
        <w:rPr>
          <w:sz w:val="18"/>
        </w:rPr>
        <w:t>Ibid, at page 57</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Heading1"/>
        <w:numPr>
          <w:ilvl w:val="0"/>
          <w:numId w:val="40"/>
        </w:numPr>
        <w:tabs>
          <w:tab w:val="left" w:pos="1120"/>
          <w:tab w:val="left" w:pos="1121"/>
        </w:tabs>
        <w:spacing w:before="92"/>
        <w:ind w:left="1120" w:hanging="720"/>
        <w:jc w:val="left"/>
      </w:pPr>
      <w:r>
        <w:t>The reference</w:t>
      </w:r>
    </w:p>
    <w:p w:rsidR="003B2FC0" w:rsidRDefault="003B2FC0">
      <w:pPr>
        <w:rPr>
          <w:b/>
          <w:sz w:val="30"/>
        </w:rPr>
      </w:pPr>
    </w:p>
    <w:p w:rsidR="003B2FC0" w:rsidRDefault="00052A49">
      <w:pPr>
        <w:pStyle w:val="ListParagraph"/>
        <w:numPr>
          <w:ilvl w:val="0"/>
          <w:numId w:val="39"/>
        </w:numPr>
        <w:tabs>
          <w:tab w:val="left" w:pos="1121"/>
        </w:tabs>
        <w:spacing w:before="177" w:line="480" w:lineRule="auto"/>
        <w:ind w:right="435" w:firstLine="0"/>
        <w:jc w:val="both"/>
        <w:rPr>
          <w:sz w:val="26"/>
        </w:rPr>
      </w:pPr>
      <w:r>
        <w:rPr>
          <w:sz w:val="26"/>
        </w:rPr>
        <w:t>When</w:t>
      </w:r>
      <w:r>
        <w:rPr>
          <w:spacing w:val="-14"/>
          <w:sz w:val="26"/>
        </w:rPr>
        <w:t xml:space="preserve"> </w:t>
      </w:r>
      <w:r>
        <w:rPr>
          <w:sz w:val="26"/>
        </w:rPr>
        <w:t>the</w:t>
      </w:r>
      <w:r>
        <w:rPr>
          <w:spacing w:val="-14"/>
          <w:sz w:val="26"/>
        </w:rPr>
        <w:t xml:space="preserve"> </w:t>
      </w:r>
      <w:r>
        <w:rPr>
          <w:sz w:val="26"/>
        </w:rPr>
        <w:t>present</w:t>
      </w:r>
      <w:r>
        <w:rPr>
          <w:spacing w:val="-14"/>
          <w:sz w:val="26"/>
        </w:rPr>
        <w:t xml:space="preserve"> </w:t>
      </w:r>
      <w:r>
        <w:rPr>
          <w:sz w:val="26"/>
        </w:rPr>
        <w:t>case</w:t>
      </w:r>
      <w:r>
        <w:rPr>
          <w:spacing w:val="-15"/>
          <w:sz w:val="26"/>
        </w:rPr>
        <w:t xml:space="preserve"> </w:t>
      </w:r>
      <w:r>
        <w:rPr>
          <w:sz w:val="26"/>
        </w:rPr>
        <w:t>came</w:t>
      </w:r>
      <w:r>
        <w:rPr>
          <w:spacing w:val="-14"/>
          <w:sz w:val="26"/>
        </w:rPr>
        <w:t xml:space="preserve"> </w:t>
      </w:r>
      <w:r>
        <w:rPr>
          <w:sz w:val="26"/>
        </w:rPr>
        <w:t>up</w:t>
      </w:r>
      <w:r>
        <w:rPr>
          <w:spacing w:val="-14"/>
          <w:sz w:val="26"/>
        </w:rPr>
        <w:t xml:space="preserve"> </w:t>
      </w:r>
      <w:r>
        <w:rPr>
          <w:sz w:val="26"/>
        </w:rPr>
        <w:t>before</w:t>
      </w:r>
      <w:r>
        <w:rPr>
          <w:spacing w:val="-14"/>
          <w:sz w:val="26"/>
        </w:rPr>
        <w:t xml:space="preserve"> </w:t>
      </w:r>
      <w:r>
        <w:rPr>
          <w:sz w:val="26"/>
        </w:rPr>
        <w:t>a</w:t>
      </w:r>
      <w:r>
        <w:rPr>
          <w:spacing w:val="-14"/>
          <w:sz w:val="26"/>
        </w:rPr>
        <w:t xml:space="preserve"> </w:t>
      </w:r>
      <w:r>
        <w:rPr>
          <w:sz w:val="26"/>
        </w:rPr>
        <w:t>three</w:t>
      </w:r>
      <w:r>
        <w:rPr>
          <w:spacing w:val="-14"/>
          <w:sz w:val="26"/>
        </w:rPr>
        <w:t xml:space="preserve"> </w:t>
      </w:r>
      <w:r>
        <w:rPr>
          <w:sz w:val="26"/>
        </w:rPr>
        <w:t>judge</w:t>
      </w:r>
      <w:r>
        <w:rPr>
          <w:spacing w:val="-14"/>
          <w:sz w:val="26"/>
        </w:rPr>
        <w:t xml:space="preserve"> </w:t>
      </w:r>
      <w:r>
        <w:rPr>
          <w:sz w:val="26"/>
        </w:rPr>
        <w:t>Bench</w:t>
      </w:r>
      <w:r>
        <w:rPr>
          <w:spacing w:val="-14"/>
          <w:sz w:val="26"/>
        </w:rPr>
        <w:t xml:space="preserve"> </w:t>
      </w:r>
      <w:r>
        <w:rPr>
          <w:sz w:val="26"/>
        </w:rPr>
        <w:t>of</w:t>
      </w:r>
      <w:r>
        <w:rPr>
          <w:spacing w:val="-14"/>
          <w:sz w:val="26"/>
        </w:rPr>
        <w:t xml:space="preserve"> </w:t>
      </w:r>
      <w:r>
        <w:rPr>
          <w:sz w:val="26"/>
        </w:rPr>
        <w:t>this</w:t>
      </w:r>
      <w:r>
        <w:rPr>
          <w:spacing w:val="-14"/>
          <w:sz w:val="26"/>
        </w:rPr>
        <w:t xml:space="preserve"> </w:t>
      </w:r>
      <w:r>
        <w:rPr>
          <w:sz w:val="26"/>
        </w:rPr>
        <w:t>Court, by an order dated 13 October 2017, the following questions were referred to a larger</w:t>
      </w:r>
      <w:r>
        <w:rPr>
          <w:spacing w:val="-2"/>
          <w:sz w:val="26"/>
        </w:rPr>
        <w:t xml:space="preserve"> </w:t>
      </w:r>
      <w:r>
        <w:rPr>
          <w:sz w:val="26"/>
        </w:rPr>
        <w:t>bench:</w:t>
      </w:r>
    </w:p>
    <w:p w:rsidR="003B2FC0" w:rsidRDefault="00052A49">
      <w:pPr>
        <w:spacing w:before="197" w:line="276" w:lineRule="auto"/>
        <w:ind w:left="1840" w:right="2281"/>
        <w:jc w:val="both"/>
        <w:rPr>
          <w:sz w:val="21"/>
        </w:rPr>
      </w:pPr>
      <w:r>
        <w:rPr>
          <w:sz w:val="21"/>
        </w:rPr>
        <w:t xml:space="preserve">“1 Whether the exclusionary practice which is based upon a biological factor exclusive to the female gender amounts to "discrimination" and thereby violates </w:t>
      </w:r>
      <w:r>
        <w:rPr>
          <w:sz w:val="21"/>
        </w:rPr>
        <w:t>the very core of Articles 14,</w:t>
      </w:r>
      <w:r>
        <w:rPr>
          <w:spacing w:val="-16"/>
          <w:sz w:val="21"/>
        </w:rPr>
        <w:t xml:space="preserve"> </w:t>
      </w:r>
      <w:r>
        <w:rPr>
          <w:sz w:val="21"/>
        </w:rPr>
        <w:t>15</w:t>
      </w:r>
      <w:r>
        <w:rPr>
          <w:spacing w:val="-15"/>
          <w:sz w:val="21"/>
        </w:rPr>
        <w:t xml:space="preserve"> </w:t>
      </w:r>
      <w:r>
        <w:rPr>
          <w:sz w:val="21"/>
        </w:rPr>
        <w:t>and</w:t>
      </w:r>
      <w:r>
        <w:rPr>
          <w:spacing w:val="-14"/>
          <w:sz w:val="21"/>
        </w:rPr>
        <w:t xml:space="preserve"> </w:t>
      </w:r>
      <w:r>
        <w:rPr>
          <w:sz w:val="21"/>
        </w:rPr>
        <w:t>17</w:t>
      </w:r>
      <w:r>
        <w:rPr>
          <w:spacing w:val="-15"/>
          <w:sz w:val="21"/>
        </w:rPr>
        <w:t xml:space="preserve"> </w:t>
      </w:r>
      <w:r>
        <w:rPr>
          <w:sz w:val="21"/>
        </w:rPr>
        <w:t>and</w:t>
      </w:r>
      <w:r>
        <w:rPr>
          <w:spacing w:val="-14"/>
          <w:sz w:val="21"/>
        </w:rPr>
        <w:t xml:space="preserve"> </w:t>
      </w:r>
      <w:r>
        <w:rPr>
          <w:sz w:val="21"/>
        </w:rPr>
        <w:t>not</w:t>
      </w:r>
      <w:r>
        <w:rPr>
          <w:spacing w:val="-16"/>
          <w:sz w:val="21"/>
        </w:rPr>
        <w:t xml:space="preserve"> </w:t>
      </w:r>
      <w:r>
        <w:rPr>
          <w:sz w:val="21"/>
        </w:rPr>
        <w:t>protected</w:t>
      </w:r>
      <w:r>
        <w:rPr>
          <w:spacing w:val="-14"/>
          <w:sz w:val="21"/>
        </w:rPr>
        <w:t xml:space="preserve"> </w:t>
      </w:r>
      <w:r>
        <w:rPr>
          <w:sz w:val="21"/>
        </w:rPr>
        <w:t>by</w:t>
      </w:r>
      <w:r>
        <w:rPr>
          <w:spacing w:val="-18"/>
          <w:sz w:val="21"/>
        </w:rPr>
        <w:t xml:space="preserve"> </w:t>
      </w:r>
      <w:r>
        <w:rPr>
          <w:sz w:val="21"/>
        </w:rPr>
        <w:t>‘morality’</w:t>
      </w:r>
      <w:r>
        <w:rPr>
          <w:spacing w:val="-11"/>
          <w:sz w:val="21"/>
        </w:rPr>
        <w:t xml:space="preserve"> </w:t>
      </w:r>
      <w:r>
        <w:rPr>
          <w:sz w:val="21"/>
        </w:rPr>
        <w:t>as</w:t>
      </w:r>
      <w:r>
        <w:rPr>
          <w:spacing w:val="-15"/>
          <w:sz w:val="21"/>
        </w:rPr>
        <w:t xml:space="preserve"> </w:t>
      </w:r>
      <w:r>
        <w:rPr>
          <w:sz w:val="21"/>
        </w:rPr>
        <w:t>used</w:t>
      </w:r>
      <w:r>
        <w:rPr>
          <w:spacing w:val="-16"/>
          <w:sz w:val="21"/>
        </w:rPr>
        <w:t xml:space="preserve"> </w:t>
      </w:r>
      <w:r>
        <w:rPr>
          <w:sz w:val="21"/>
        </w:rPr>
        <w:t>in</w:t>
      </w:r>
      <w:r>
        <w:rPr>
          <w:spacing w:val="-15"/>
          <w:sz w:val="21"/>
        </w:rPr>
        <w:t xml:space="preserve"> </w:t>
      </w:r>
      <w:r>
        <w:rPr>
          <w:sz w:val="21"/>
        </w:rPr>
        <w:t>Articles 25 and 26 of the</w:t>
      </w:r>
      <w:r>
        <w:rPr>
          <w:spacing w:val="-5"/>
          <w:sz w:val="21"/>
        </w:rPr>
        <w:t xml:space="preserve"> </w:t>
      </w:r>
      <w:r>
        <w:rPr>
          <w:sz w:val="21"/>
        </w:rPr>
        <w:t>Constitution?</w:t>
      </w:r>
    </w:p>
    <w:p w:rsidR="003B2FC0" w:rsidRDefault="00052A49">
      <w:pPr>
        <w:pStyle w:val="ListParagraph"/>
        <w:numPr>
          <w:ilvl w:val="1"/>
          <w:numId w:val="37"/>
        </w:numPr>
        <w:tabs>
          <w:tab w:val="left" w:pos="2083"/>
        </w:tabs>
        <w:spacing w:before="201" w:line="276" w:lineRule="auto"/>
        <w:ind w:right="2284" w:firstLine="0"/>
        <w:jc w:val="both"/>
        <w:rPr>
          <w:sz w:val="21"/>
        </w:rPr>
      </w:pPr>
      <w:r>
        <w:rPr>
          <w:sz w:val="21"/>
        </w:rPr>
        <w:t>Whether the practice of excluding such women constitutes an</w:t>
      </w:r>
      <w:r>
        <w:rPr>
          <w:spacing w:val="-9"/>
          <w:sz w:val="21"/>
        </w:rPr>
        <w:t xml:space="preserve"> </w:t>
      </w:r>
      <w:r>
        <w:rPr>
          <w:sz w:val="21"/>
        </w:rPr>
        <w:t>"essential</w:t>
      </w:r>
      <w:r>
        <w:rPr>
          <w:spacing w:val="-9"/>
          <w:sz w:val="21"/>
        </w:rPr>
        <w:t xml:space="preserve"> </w:t>
      </w:r>
      <w:r>
        <w:rPr>
          <w:sz w:val="21"/>
        </w:rPr>
        <w:t>religious</w:t>
      </w:r>
      <w:r>
        <w:rPr>
          <w:spacing w:val="-9"/>
          <w:sz w:val="21"/>
        </w:rPr>
        <w:t xml:space="preserve"> </w:t>
      </w:r>
      <w:r>
        <w:rPr>
          <w:sz w:val="21"/>
        </w:rPr>
        <w:t>practice"</w:t>
      </w:r>
      <w:r>
        <w:rPr>
          <w:spacing w:val="-9"/>
          <w:sz w:val="21"/>
        </w:rPr>
        <w:t xml:space="preserve"> </w:t>
      </w:r>
      <w:r>
        <w:rPr>
          <w:sz w:val="21"/>
        </w:rPr>
        <w:t>under</w:t>
      </w:r>
      <w:r>
        <w:rPr>
          <w:spacing w:val="-10"/>
          <w:sz w:val="21"/>
        </w:rPr>
        <w:t xml:space="preserve"> </w:t>
      </w:r>
      <w:r>
        <w:rPr>
          <w:sz w:val="21"/>
        </w:rPr>
        <w:t>Article</w:t>
      </w:r>
      <w:r>
        <w:rPr>
          <w:spacing w:val="-9"/>
          <w:sz w:val="21"/>
        </w:rPr>
        <w:t xml:space="preserve"> </w:t>
      </w:r>
      <w:r>
        <w:rPr>
          <w:sz w:val="21"/>
        </w:rPr>
        <w:t>25</w:t>
      </w:r>
      <w:r>
        <w:rPr>
          <w:spacing w:val="-9"/>
          <w:sz w:val="21"/>
        </w:rPr>
        <w:t xml:space="preserve"> </w:t>
      </w:r>
      <w:r>
        <w:rPr>
          <w:sz w:val="21"/>
        </w:rPr>
        <w:t>and</w:t>
      </w:r>
      <w:r>
        <w:rPr>
          <w:spacing w:val="-10"/>
          <w:sz w:val="21"/>
        </w:rPr>
        <w:t xml:space="preserve"> </w:t>
      </w:r>
      <w:r>
        <w:rPr>
          <w:sz w:val="21"/>
        </w:rPr>
        <w:t>whether</w:t>
      </w:r>
      <w:r>
        <w:rPr>
          <w:spacing w:val="-10"/>
          <w:sz w:val="21"/>
        </w:rPr>
        <w:t xml:space="preserve"> </w:t>
      </w:r>
      <w:r>
        <w:rPr>
          <w:sz w:val="21"/>
        </w:rPr>
        <w:t>a religious i</w:t>
      </w:r>
      <w:r>
        <w:rPr>
          <w:sz w:val="21"/>
        </w:rPr>
        <w:t>nstitution can assert a claim in that regard under the umbrella of right to manage its own affairs in the matters of religion?</w:t>
      </w:r>
    </w:p>
    <w:p w:rsidR="003B2FC0" w:rsidRDefault="00052A49">
      <w:pPr>
        <w:pStyle w:val="ListParagraph"/>
        <w:numPr>
          <w:ilvl w:val="1"/>
          <w:numId w:val="37"/>
        </w:numPr>
        <w:tabs>
          <w:tab w:val="left" w:pos="2086"/>
        </w:tabs>
        <w:spacing w:before="200" w:line="276" w:lineRule="auto"/>
        <w:ind w:right="2283" w:firstLine="0"/>
        <w:jc w:val="both"/>
        <w:rPr>
          <w:sz w:val="21"/>
        </w:rPr>
      </w:pPr>
      <w:r>
        <w:rPr>
          <w:sz w:val="21"/>
        </w:rPr>
        <w:t>Whether Ayyappa Temple has a denominational character and, if so, is it permissible on the part of a 'religious denomination' man</w:t>
      </w:r>
      <w:r>
        <w:rPr>
          <w:sz w:val="21"/>
        </w:rPr>
        <w:t>aged by a statutory board and financed under Article 290-A of the Constitution of India out of Consolidated Fund of Kerala and Tamil Nadu can indulge in such practices violating constitutional principles/ morality embedded in Articles 14, 15(3), 39(a) and</w:t>
      </w:r>
      <w:r>
        <w:rPr>
          <w:spacing w:val="-15"/>
          <w:sz w:val="21"/>
        </w:rPr>
        <w:t xml:space="preserve"> </w:t>
      </w:r>
      <w:r>
        <w:rPr>
          <w:sz w:val="21"/>
        </w:rPr>
        <w:t>51-A(e)?</w:t>
      </w:r>
    </w:p>
    <w:p w:rsidR="003B2FC0" w:rsidRDefault="00052A49">
      <w:pPr>
        <w:pStyle w:val="ListParagraph"/>
        <w:numPr>
          <w:ilvl w:val="1"/>
          <w:numId w:val="37"/>
        </w:numPr>
        <w:tabs>
          <w:tab w:val="left" w:pos="2088"/>
        </w:tabs>
        <w:spacing w:before="200" w:line="276" w:lineRule="auto"/>
        <w:ind w:right="2280" w:firstLine="0"/>
        <w:jc w:val="both"/>
        <w:rPr>
          <w:sz w:val="21"/>
        </w:rPr>
      </w:pPr>
      <w:r>
        <w:rPr>
          <w:sz w:val="21"/>
        </w:rPr>
        <w:t>Whether Rule 3 of Kerala Hindu Places of Public Worship (Authorisation of Entry) Rules permits 'religious denomination' to</w:t>
      </w:r>
      <w:r>
        <w:rPr>
          <w:spacing w:val="-9"/>
          <w:sz w:val="21"/>
        </w:rPr>
        <w:t xml:space="preserve"> </w:t>
      </w:r>
      <w:r>
        <w:rPr>
          <w:sz w:val="21"/>
        </w:rPr>
        <w:t>ban</w:t>
      </w:r>
      <w:r>
        <w:rPr>
          <w:spacing w:val="-8"/>
          <w:sz w:val="21"/>
        </w:rPr>
        <w:t xml:space="preserve"> </w:t>
      </w:r>
      <w:r>
        <w:rPr>
          <w:sz w:val="21"/>
        </w:rPr>
        <w:t>entry</w:t>
      </w:r>
      <w:r>
        <w:rPr>
          <w:spacing w:val="-11"/>
          <w:sz w:val="21"/>
        </w:rPr>
        <w:t xml:space="preserve"> </w:t>
      </w:r>
      <w:r>
        <w:rPr>
          <w:sz w:val="21"/>
        </w:rPr>
        <w:t>of</w:t>
      </w:r>
      <w:r>
        <w:rPr>
          <w:spacing w:val="-7"/>
          <w:sz w:val="21"/>
        </w:rPr>
        <w:t xml:space="preserve"> </w:t>
      </w:r>
      <w:r>
        <w:rPr>
          <w:sz w:val="21"/>
        </w:rPr>
        <w:t>women</w:t>
      </w:r>
      <w:r>
        <w:rPr>
          <w:spacing w:val="-9"/>
          <w:sz w:val="21"/>
        </w:rPr>
        <w:t xml:space="preserve"> </w:t>
      </w:r>
      <w:r>
        <w:rPr>
          <w:sz w:val="21"/>
        </w:rPr>
        <w:t>between</w:t>
      </w:r>
      <w:r>
        <w:rPr>
          <w:spacing w:val="-9"/>
          <w:sz w:val="21"/>
        </w:rPr>
        <w:t xml:space="preserve"> </w:t>
      </w:r>
      <w:r>
        <w:rPr>
          <w:sz w:val="21"/>
        </w:rPr>
        <w:t>the</w:t>
      </w:r>
      <w:r>
        <w:rPr>
          <w:spacing w:val="-8"/>
          <w:sz w:val="21"/>
        </w:rPr>
        <w:t xml:space="preserve"> </w:t>
      </w:r>
      <w:r>
        <w:rPr>
          <w:sz w:val="21"/>
        </w:rPr>
        <w:t>age</w:t>
      </w:r>
      <w:r>
        <w:rPr>
          <w:spacing w:val="-8"/>
          <w:sz w:val="21"/>
        </w:rPr>
        <w:t xml:space="preserve"> </w:t>
      </w:r>
      <w:r>
        <w:rPr>
          <w:sz w:val="21"/>
        </w:rPr>
        <w:t>of</w:t>
      </w:r>
      <w:r>
        <w:rPr>
          <w:spacing w:val="-7"/>
          <w:sz w:val="21"/>
        </w:rPr>
        <w:t xml:space="preserve"> </w:t>
      </w:r>
      <w:r>
        <w:rPr>
          <w:sz w:val="21"/>
        </w:rPr>
        <w:t>10</w:t>
      </w:r>
      <w:r>
        <w:rPr>
          <w:spacing w:val="-8"/>
          <w:sz w:val="21"/>
        </w:rPr>
        <w:t xml:space="preserve"> </w:t>
      </w:r>
      <w:r>
        <w:rPr>
          <w:sz w:val="21"/>
        </w:rPr>
        <w:t>to</w:t>
      </w:r>
      <w:r>
        <w:rPr>
          <w:spacing w:val="-12"/>
          <w:sz w:val="21"/>
        </w:rPr>
        <w:t xml:space="preserve"> </w:t>
      </w:r>
      <w:r>
        <w:rPr>
          <w:sz w:val="21"/>
        </w:rPr>
        <w:t>50</w:t>
      </w:r>
      <w:r>
        <w:rPr>
          <w:spacing w:val="-8"/>
          <w:sz w:val="21"/>
        </w:rPr>
        <w:t xml:space="preserve"> </w:t>
      </w:r>
      <w:r>
        <w:rPr>
          <w:sz w:val="21"/>
        </w:rPr>
        <w:t>years?</w:t>
      </w:r>
      <w:r>
        <w:rPr>
          <w:spacing w:val="-11"/>
          <w:sz w:val="21"/>
        </w:rPr>
        <w:t xml:space="preserve"> </w:t>
      </w:r>
      <w:r>
        <w:rPr>
          <w:sz w:val="21"/>
        </w:rPr>
        <w:t>And if so, would it not play foul of Articles 14 and 15(3) of the Constitution by restricting entry of women on the ground of sex?</w:t>
      </w:r>
    </w:p>
    <w:p w:rsidR="003B2FC0" w:rsidRDefault="00052A49">
      <w:pPr>
        <w:pStyle w:val="ListParagraph"/>
        <w:numPr>
          <w:ilvl w:val="1"/>
          <w:numId w:val="37"/>
        </w:numPr>
        <w:tabs>
          <w:tab w:val="left" w:pos="2062"/>
        </w:tabs>
        <w:spacing w:before="202" w:line="276" w:lineRule="auto"/>
        <w:ind w:right="2280" w:firstLine="0"/>
        <w:jc w:val="both"/>
        <w:rPr>
          <w:sz w:val="21"/>
        </w:rPr>
      </w:pPr>
      <w:r>
        <w:rPr>
          <w:sz w:val="21"/>
        </w:rPr>
        <w:t>Whether</w:t>
      </w:r>
      <w:r>
        <w:rPr>
          <w:spacing w:val="-11"/>
          <w:sz w:val="21"/>
        </w:rPr>
        <w:t xml:space="preserve"> </w:t>
      </w:r>
      <w:r>
        <w:rPr>
          <w:sz w:val="21"/>
        </w:rPr>
        <w:t>Rule</w:t>
      </w:r>
      <w:r>
        <w:rPr>
          <w:spacing w:val="-8"/>
          <w:sz w:val="21"/>
        </w:rPr>
        <w:t xml:space="preserve"> </w:t>
      </w:r>
      <w:r>
        <w:rPr>
          <w:sz w:val="21"/>
        </w:rPr>
        <w:t>3(b)</w:t>
      </w:r>
      <w:r>
        <w:rPr>
          <w:spacing w:val="-9"/>
          <w:sz w:val="21"/>
        </w:rPr>
        <w:t xml:space="preserve"> </w:t>
      </w:r>
      <w:r>
        <w:rPr>
          <w:sz w:val="21"/>
        </w:rPr>
        <w:t>of</w:t>
      </w:r>
      <w:r>
        <w:rPr>
          <w:spacing w:val="-9"/>
          <w:sz w:val="21"/>
        </w:rPr>
        <w:t xml:space="preserve"> </w:t>
      </w:r>
      <w:r>
        <w:rPr>
          <w:sz w:val="21"/>
        </w:rPr>
        <w:t>Kerala</w:t>
      </w:r>
      <w:r>
        <w:rPr>
          <w:spacing w:val="-11"/>
          <w:sz w:val="21"/>
        </w:rPr>
        <w:t xml:space="preserve"> </w:t>
      </w:r>
      <w:r>
        <w:rPr>
          <w:sz w:val="21"/>
        </w:rPr>
        <w:t>Hindu</w:t>
      </w:r>
      <w:r>
        <w:rPr>
          <w:spacing w:val="-8"/>
          <w:sz w:val="21"/>
        </w:rPr>
        <w:t xml:space="preserve"> </w:t>
      </w:r>
      <w:r>
        <w:rPr>
          <w:sz w:val="21"/>
        </w:rPr>
        <w:t>Places</w:t>
      </w:r>
      <w:r>
        <w:rPr>
          <w:spacing w:val="-7"/>
          <w:sz w:val="21"/>
        </w:rPr>
        <w:t xml:space="preserve"> </w:t>
      </w:r>
      <w:r>
        <w:rPr>
          <w:sz w:val="21"/>
        </w:rPr>
        <w:t>of</w:t>
      </w:r>
      <w:r>
        <w:rPr>
          <w:spacing w:val="-7"/>
          <w:sz w:val="21"/>
        </w:rPr>
        <w:t xml:space="preserve"> </w:t>
      </w:r>
      <w:r>
        <w:rPr>
          <w:sz w:val="21"/>
        </w:rPr>
        <w:t>Public</w:t>
      </w:r>
      <w:r>
        <w:rPr>
          <w:spacing w:val="-13"/>
          <w:sz w:val="21"/>
        </w:rPr>
        <w:t xml:space="preserve"> </w:t>
      </w:r>
      <w:r>
        <w:rPr>
          <w:sz w:val="21"/>
        </w:rPr>
        <w:t>Worship (Authorization of Entry) Rules, 1965 is ultra vires the Kerala Hin</w:t>
      </w:r>
      <w:r>
        <w:rPr>
          <w:sz w:val="21"/>
        </w:rPr>
        <w:t>du Places of Public Worship (Authorisation of Entry) Act, 1965</w:t>
      </w:r>
      <w:r>
        <w:rPr>
          <w:spacing w:val="-4"/>
          <w:sz w:val="21"/>
        </w:rPr>
        <w:t xml:space="preserve"> </w:t>
      </w:r>
      <w:r>
        <w:rPr>
          <w:sz w:val="21"/>
        </w:rPr>
        <w:t>and,</w:t>
      </w:r>
      <w:r>
        <w:rPr>
          <w:spacing w:val="-5"/>
          <w:sz w:val="21"/>
        </w:rPr>
        <w:t xml:space="preserve"> </w:t>
      </w:r>
      <w:r>
        <w:rPr>
          <w:sz w:val="21"/>
        </w:rPr>
        <w:t>if</w:t>
      </w:r>
      <w:r>
        <w:rPr>
          <w:spacing w:val="-3"/>
          <w:sz w:val="21"/>
        </w:rPr>
        <w:t xml:space="preserve"> </w:t>
      </w:r>
      <w:r>
        <w:rPr>
          <w:sz w:val="21"/>
        </w:rPr>
        <w:t>treated</w:t>
      </w:r>
      <w:r>
        <w:rPr>
          <w:spacing w:val="-4"/>
          <w:sz w:val="21"/>
        </w:rPr>
        <w:t xml:space="preserve"> </w:t>
      </w:r>
      <w:r>
        <w:rPr>
          <w:sz w:val="21"/>
        </w:rPr>
        <w:t>to</w:t>
      </w:r>
      <w:r>
        <w:rPr>
          <w:spacing w:val="-4"/>
          <w:sz w:val="21"/>
        </w:rPr>
        <w:t xml:space="preserve"> </w:t>
      </w:r>
      <w:r>
        <w:rPr>
          <w:sz w:val="21"/>
        </w:rPr>
        <w:t>be</w:t>
      </w:r>
      <w:r>
        <w:rPr>
          <w:spacing w:val="-3"/>
          <w:sz w:val="21"/>
        </w:rPr>
        <w:t xml:space="preserve"> </w:t>
      </w:r>
      <w:r>
        <w:rPr>
          <w:sz w:val="21"/>
        </w:rPr>
        <w:t>intra</w:t>
      </w:r>
      <w:r>
        <w:rPr>
          <w:spacing w:val="-5"/>
          <w:sz w:val="21"/>
        </w:rPr>
        <w:t xml:space="preserve"> </w:t>
      </w:r>
      <w:r>
        <w:rPr>
          <w:sz w:val="21"/>
        </w:rPr>
        <w:t>vires,</w:t>
      </w:r>
      <w:r>
        <w:rPr>
          <w:spacing w:val="-5"/>
          <w:sz w:val="21"/>
        </w:rPr>
        <w:t xml:space="preserve"> </w:t>
      </w:r>
      <w:r>
        <w:rPr>
          <w:sz w:val="21"/>
        </w:rPr>
        <w:t>whether</w:t>
      </w:r>
      <w:r>
        <w:rPr>
          <w:spacing w:val="-4"/>
          <w:sz w:val="21"/>
        </w:rPr>
        <w:t xml:space="preserve"> </w:t>
      </w:r>
      <w:r>
        <w:rPr>
          <w:sz w:val="21"/>
        </w:rPr>
        <w:t>it</w:t>
      </w:r>
      <w:r>
        <w:rPr>
          <w:spacing w:val="-6"/>
          <w:sz w:val="21"/>
        </w:rPr>
        <w:t xml:space="preserve"> </w:t>
      </w:r>
      <w:r>
        <w:rPr>
          <w:sz w:val="21"/>
        </w:rPr>
        <w:t>will</w:t>
      </w:r>
      <w:r>
        <w:rPr>
          <w:spacing w:val="-3"/>
          <w:sz w:val="21"/>
        </w:rPr>
        <w:t xml:space="preserve"> </w:t>
      </w:r>
      <w:r>
        <w:rPr>
          <w:sz w:val="21"/>
        </w:rPr>
        <w:t>be</w:t>
      </w:r>
      <w:r>
        <w:rPr>
          <w:spacing w:val="-4"/>
          <w:sz w:val="21"/>
        </w:rPr>
        <w:t xml:space="preserve"> </w:t>
      </w:r>
      <w:r>
        <w:rPr>
          <w:sz w:val="21"/>
        </w:rPr>
        <w:t>violative of the provisions of Part III of the</w:t>
      </w:r>
      <w:r>
        <w:rPr>
          <w:spacing w:val="-8"/>
          <w:sz w:val="21"/>
        </w:rPr>
        <w:t xml:space="preserve"> </w:t>
      </w:r>
      <w:r>
        <w:rPr>
          <w:sz w:val="21"/>
        </w:rPr>
        <w:t>Constitution?”</w:t>
      </w:r>
    </w:p>
    <w:p w:rsidR="003B2FC0" w:rsidRDefault="003B2FC0">
      <w:pPr>
        <w:rPr>
          <w:sz w:val="24"/>
        </w:rPr>
      </w:pPr>
    </w:p>
    <w:p w:rsidR="003B2FC0" w:rsidRDefault="003B2FC0">
      <w:pPr>
        <w:rPr>
          <w:sz w:val="24"/>
        </w:rPr>
      </w:pPr>
    </w:p>
    <w:p w:rsidR="003B2FC0" w:rsidRDefault="00052A49">
      <w:pPr>
        <w:spacing w:before="194"/>
        <w:ind w:left="400"/>
        <w:jc w:val="both"/>
        <w:rPr>
          <w:sz w:val="26"/>
        </w:rPr>
      </w:pPr>
      <w:r>
        <w:rPr>
          <w:sz w:val="26"/>
        </w:rPr>
        <w:t>It is these questions that we have been called upon to answer.</w:t>
      </w:r>
    </w:p>
    <w:p w:rsidR="003B2FC0" w:rsidRDefault="003B2FC0">
      <w:pPr>
        <w:jc w:val="both"/>
        <w:rPr>
          <w:sz w:val="26"/>
        </w:rPr>
        <w:sectPr w:rsidR="003B2FC0">
          <w:headerReference w:type="default" r:id="rId344"/>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Heading1"/>
        <w:numPr>
          <w:ilvl w:val="0"/>
          <w:numId w:val="40"/>
        </w:numPr>
        <w:tabs>
          <w:tab w:val="left" w:pos="1120"/>
          <w:tab w:val="left" w:pos="1121"/>
        </w:tabs>
        <w:spacing w:before="92"/>
        <w:ind w:left="1120" w:hanging="648"/>
        <w:jc w:val="left"/>
      </w:pPr>
      <w:r>
        <w:t>Submissions</w:t>
      </w:r>
    </w:p>
    <w:p w:rsidR="003B2FC0" w:rsidRDefault="003B2FC0">
      <w:pPr>
        <w:rPr>
          <w:b/>
          <w:sz w:val="30"/>
        </w:rPr>
      </w:pPr>
    </w:p>
    <w:p w:rsidR="003B2FC0" w:rsidRDefault="00052A49">
      <w:pPr>
        <w:spacing w:before="177" w:line="480" w:lineRule="auto"/>
        <w:ind w:left="400" w:right="441"/>
        <w:jc w:val="both"/>
        <w:rPr>
          <w:sz w:val="26"/>
        </w:rPr>
      </w:pPr>
      <w:r>
        <w:rPr>
          <w:sz w:val="26"/>
        </w:rPr>
        <w:t>The Petitioners challenge the exclusion of women between the age group ten and fifty from the Sabarimala Temple as unconstitutional.</w:t>
      </w:r>
    </w:p>
    <w:p w:rsidR="003B2FC0" w:rsidRDefault="003B2FC0">
      <w:pPr>
        <w:rPr>
          <w:sz w:val="28"/>
        </w:rPr>
      </w:pPr>
    </w:p>
    <w:p w:rsidR="003B2FC0" w:rsidRDefault="003B2FC0">
      <w:pPr>
        <w:spacing w:before="2"/>
        <w:rPr>
          <w:sz w:val="32"/>
        </w:rPr>
      </w:pPr>
    </w:p>
    <w:p w:rsidR="003B2FC0" w:rsidRDefault="00052A49">
      <w:pPr>
        <w:spacing w:line="480" w:lineRule="auto"/>
        <w:ind w:left="400" w:right="438"/>
        <w:jc w:val="both"/>
        <w:rPr>
          <w:sz w:val="26"/>
        </w:rPr>
      </w:pPr>
      <w:r>
        <w:rPr>
          <w:sz w:val="26"/>
        </w:rPr>
        <w:t xml:space="preserve">Mr </w:t>
      </w:r>
      <w:r>
        <w:rPr>
          <w:b/>
          <w:sz w:val="26"/>
        </w:rPr>
        <w:t>Ravi Prakash Gupta</w:t>
      </w:r>
      <w:r>
        <w:rPr>
          <w:sz w:val="26"/>
        </w:rPr>
        <w:t>,</w:t>
      </w:r>
      <w:r>
        <w:rPr>
          <w:position w:val="9"/>
          <w:sz w:val="17"/>
        </w:rPr>
        <w:t xml:space="preserve">12 </w:t>
      </w:r>
      <w:r>
        <w:rPr>
          <w:sz w:val="26"/>
        </w:rPr>
        <w:t>learned Counsel submitted that the exclusion of women between the age group of ten and fifty from the Sabarimala Temple is unconstitutional on the following grounds:</w:t>
      </w:r>
    </w:p>
    <w:p w:rsidR="003B2FC0" w:rsidRDefault="00052A49">
      <w:pPr>
        <w:pStyle w:val="ListParagraph"/>
        <w:numPr>
          <w:ilvl w:val="0"/>
          <w:numId w:val="33"/>
        </w:numPr>
        <w:tabs>
          <w:tab w:val="left" w:pos="1120"/>
          <w:tab w:val="left" w:pos="1121"/>
        </w:tabs>
        <w:spacing w:before="201" w:line="480" w:lineRule="auto"/>
        <w:ind w:right="434"/>
        <w:rPr>
          <w:sz w:val="26"/>
        </w:rPr>
      </w:pPr>
      <w:r>
        <w:rPr>
          <w:sz w:val="26"/>
        </w:rPr>
        <w:t>The</w:t>
      </w:r>
      <w:r>
        <w:rPr>
          <w:spacing w:val="-10"/>
          <w:sz w:val="26"/>
        </w:rPr>
        <w:t xml:space="preserve"> </w:t>
      </w:r>
      <w:r>
        <w:rPr>
          <w:sz w:val="26"/>
        </w:rPr>
        <w:t>devotees</w:t>
      </w:r>
      <w:r>
        <w:rPr>
          <w:spacing w:val="-9"/>
          <w:sz w:val="26"/>
        </w:rPr>
        <w:t xml:space="preserve"> </w:t>
      </w:r>
      <w:r>
        <w:rPr>
          <w:sz w:val="26"/>
        </w:rPr>
        <w:t>of</w:t>
      </w:r>
      <w:r>
        <w:rPr>
          <w:spacing w:val="-9"/>
          <w:sz w:val="26"/>
        </w:rPr>
        <w:t xml:space="preserve"> </w:t>
      </w:r>
      <w:r>
        <w:rPr>
          <w:sz w:val="26"/>
        </w:rPr>
        <w:t>Lord</w:t>
      </w:r>
      <w:r>
        <w:rPr>
          <w:spacing w:val="-7"/>
          <w:sz w:val="26"/>
        </w:rPr>
        <w:t xml:space="preserve"> </w:t>
      </w:r>
      <w:r>
        <w:rPr>
          <w:sz w:val="26"/>
        </w:rPr>
        <w:t>Ayyappa</w:t>
      </w:r>
      <w:r>
        <w:rPr>
          <w:spacing w:val="-9"/>
          <w:sz w:val="26"/>
        </w:rPr>
        <w:t xml:space="preserve"> </w:t>
      </w:r>
      <w:r>
        <w:rPr>
          <w:sz w:val="26"/>
        </w:rPr>
        <w:t>do</w:t>
      </w:r>
      <w:r>
        <w:rPr>
          <w:spacing w:val="-10"/>
          <w:sz w:val="26"/>
        </w:rPr>
        <w:t xml:space="preserve"> </w:t>
      </w:r>
      <w:r>
        <w:rPr>
          <w:sz w:val="26"/>
        </w:rPr>
        <w:t>not</w:t>
      </w:r>
      <w:r>
        <w:rPr>
          <w:spacing w:val="-9"/>
          <w:sz w:val="26"/>
        </w:rPr>
        <w:t xml:space="preserve"> </w:t>
      </w:r>
      <w:r>
        <w:rPr>
          <w:sz w:val="26"/>
        </w:rPr>
        <w:t>constitute</w:t>
      </w:r>
      <w:r>
        <w:rPr>
          <w:spacing w:val="-9"/>
          <w:sz w:val="26"/>
        </w:rPr>
        <w:t xml:space="preserve"> </w:t>
      </w:r>
      <w:r>
        <w:rPr>
          <w:sz w:val="26"/>
        </w:rPr>
        <w:t>a</w:t>
      </w:r>
      <w:r>
        <w:rPr>
          <w:spacing w:val="-9"/>
          <w:sz w:val="26"/>
        </w:rPr>
        <w:t xml:space="preserve"> </w:t>
      </w:r>
      <w:r>
        <w:rPr>
          <w:sz w:val="26"/>
        </w:rPr>
        <w:t>religious</w:t>
      </w:r>
      <w:r>
        <w:rPr>
          <w:spacing w:val="-9"/>
          <w:sz w:val="26"/>
        </w:rPr>
        <w:t xml:space="preserve"> </w:t>
      </w:r>
      <w:r>
        <w:rPr>
          <w:sz w:val="26"/>
        </w:rPr>
        <w:t>denomination under Article 26 o</w:t>
      </w:r>
      <w:r>
        <w:rPr>
          <w:sz w:val="26"/>
        </w:rPr>
        <w:t>f the</w:t>
      </w:r>
      <w:r>
        <w:rPr>
          <w:spacing w:val="-4"/>
          <w:sz w:val="26"/>
        </w:rPr>
        <w:t xml:space="preserve"> </w:t>
      </w:r>
      <w:r>
        <w:rPr>
          <w:sz w:val="26"/>
        </w:rPr>
        <w:t>Constitution;</w:t>
      </w:r>
    </w:p>
    <w:p w:rsidR="003B2FC0" w:rsidRDefault="00052A49">
      <w:pPr>
        <w:pStyle w:val="ListParagraph"/>
        <w:numPr>
          <w:ilvl w:val="0"/>
          <w:numId w:val="33"/>
        </w:numPr>
        <w:tabs>
          <w:tab w:val="left" w:pos="1120"/>
          <w:tab w:val="left" w:pos="1121"/>
        </w:tabs>
        <w:spacing w:line="480" w:lineRule="auto"/>
        <w:ind w:right="441"/>
        <w:rPr>
          <w:sz w:val="26"/>
        </w:rPr>
      </w:pPr>
      <w:r>
        <w:rPr>
          <w:sz w:val="26"/>
        </w:rPr>
        <w:t xml:space="preserve">The restriction of entry of women into Sabarimala temple does </w:t>
      </w:r>
      <w:r>
        <w:rPr>
          <w:spacing w:val="-4"/>
          <w:sz w:val="26"/>
        </w:rPr>
        <w:t xml:space="preserve">not </w:t>
      </w:r>
      <w:r>
        <w:rPr>
          <w:sz w:val="26"/>
        </w:rPr>
        <w:t>constitute an Essential Religious</w:t>
      </w:r>
      <w:r>
        <w:rPr>
          <w:spacing w:val="-3"/>
          <w:sz w:val="26"/>
        </w:rPr>
        <w:t xml:space="preserve"> </w:t>
      </w:r>
      <w:r>
        <w:rPr>
          <w:sz w:val="26"/>
        </w:rPr>
        <w:t>Practice;</w:t>
      </w:r>
    </w:p>
    <w:p w:rsidR="003B2FC0" w:rsidRDefault="00052A49">
      <w:pPr>
        <w:pStyle w:val="ListParagraph"/>
        <w:numPr>
          <w:ilvl w:val="0"/>
          <w:numId w:val="33"/>
        </w:numPr>
        <w:tabs>
          <w:tab w:val="left" w:pos="1120"/>
          <w:tab w:val="left" w:pos="1121"/>
        </w:tabs>
        <w:spacing w:before="2" w:line="480" w:lineRule="auto"/>
        <w:ind w:right="435"/>
        <w:rPr>
          <w:sz w:val="26"/>
        </w:rPr>
      </w:pPr>
      <w:r>
        <w:rPr>
          <w:sz w:val="26"/>
        </w:rPr>
        <w:t xml:space="preserve">The right under Article 26 and Article 25 must be read harmoniously </w:t>
      </w:r>
      <w:r>
        <w:rPr>
          <w:spacing w:val="-7"/>
          <w:sz w:val="26"/>
        </w:rPr>
        <w:t xml:space="preserve">as </w:t>
      </w:r>
      <w:r>
        <w:rPr>
          <w:sz w:val="26"/>
        </w:rPr>
        <w:t xml:space="preserve">laid down in </w:t>
      </w:r>
      <w:r>
        <w:rPr>
          <w:b/>
          <w:sz w:val="26"/>
        </w:rPr>
        <w:t>Devaru</w:t>
      </w:r>
      <w:r>
        <w:rPr>
          <w:sz w:val="26"/>
        </w:rPr>
        <w:t>;</w:t>
      </w:r>
      <w:r>
        <w:rPr>
          <w:spacing w:val="1"/>
          <w:sz w:val="26"/>
        </w:rPr>
        <w:t xml:space="preserve"> </w:t>
      </w:r>
      <w:r>
        <w:rPr>
          <w:sz w:val="26"/>
        </w:rPr>
        <w:t>and</w:t>
      </w:r>
    </w:p>
    <w:p w:rsidR="003B2FC0" w:rsidRDefault="00052A49">
      <w:pPr>
        <w:pStyle w:val="ListParagraph"/>
        <w:numPr>
          <w:ilvl w:val="0"/>
          <w:numId w:val="33"/>
        </w:numPr>
        <w:tabs>
          <w:tab w:val="left" w:pos="1120"/>
          <w:tab w:val="left" w:pos="1121"/>
        </w:tabs>
        <w:spacing w:line="480" w:lineRule="auto"/>
        <w:ind w:right="434"/>
        <w:rPr>
          <w:sz w:val="26"/>
        </w:rPr>
      </w:pPr>
      <w:r>
        <w:rPr>
          <w:sz w:val="26"/>
        </w:rPr>
        <w:t>That</w:t>
      </w:r>
      <w:r>
        <w:rPr>
          <w:spacing w:val="-9"/>
          <w:sz w:val="26"/>
        </w:rPr>
        <w:t xml:space="preserve"> </w:t>
      </w:r>
      <w:r>
        <w:rPr>
          <w:sz w:val="26"/>
        </w:rPr>
        <w:t>Rule</w:t>
      </w:r>
      <w:r>
        <w:rPr>
          <w:spacing w:val="-8"/>
          <w:sz w:val="26"/>
        </w:rPr>
        <w:t xml:space="preserve"> </w:t>
      </w:r>
      <w:r>
        <w:rPr>
          <w:sz w:val="26"/>
        </w:rPr>
        <w:t>3(b)</w:t>
      </w:r>
      <w:r>
        <w:rPr>
          <w:spacing w:val="-7"/>
          <w:sz w:val="26"/>
        </w:rPr>
        <w:t xml:space="preserve"> </w:t>
      </w:r>
      <w:r>
        <w:rPr>
          <w:sz w:val="26"/>
        </w:rPr>
        <w:t>of</w:t>
      </w:r>
      <w:r>
        <w:rPr>
          <w:spacing w:val="-6"/>
          <w:sz w:val="26"/>
        </w:rPr>
        <w:t xml:space="preserve"> </w:t>
      </w:r>
      <w:r>
        <w:rPr>
          <w:sz w:val="26"/>
        </w:rPr>
        <w:t>the</w:t>
      </w:r>
      <w:r>
        <w:rPr>
          <w:spacing w:val="-7"/>
          <w:sz w:val="26"/>
        </w:rPr>
        <w:t xml:space="preserve"> </w:t>
      </w:r>
      <w:r>
        <w:rPr>
          <w:sz w:val="26"/>
        </w:rPr>
        <w:t>1965</w:t>
      </w:r>
      <w:r>
        <w:rPr>
          <w:spacing w:val="-7"/>
          <w:sz w:val="26"/>
        </w:rPr>
        <w:t xml:space="preserve"> </w:t>
      </w:r>
      <w:r>
        <w:rPr>
          <w:sz w:val="26"/>
        </w:rPr>
        <w:t>Rules</w:t>
      </w:r>
      <w:r>
        <w:rPr>
          <w:spacing w:val="-6"/>
          <w:sz w:val="26"/>
        </w:rPr>
        <w:t xml:space="preserve"> </w:t>
      </w:r>
      <w:r>
        <w:rPr>
          <w:sz w:val="26"/>
        </w:rPr>
        <w:t>is</w:t>
      </w:r>
      <w:r>
        <w:rPr>
          <w:spacing w:val="-6"/>
          <w:sz w:val="26"/>
        </w:rPr>
        <w:t xml:space="preserve"> </w:t>
      </w:r>
      <w:r>
        <w:rPr>
          <w:i/>
          <w:sz w:val="26"/>
        </w:rPr>
        <w:t>ultra</w:t>
      </w:r>
      <w:r>
        <w:rPr>
          <w:i/>
          <w:spacing w:val="-7"/>
          <w:sz w:val="26"/>
        </w:rPr>
        <w:t xml:space="preserve"> </w:t>
      </w:r>
      <w:r>
        <w:rPr>
          <w:i/>
          <w:sz w:val="26"/>
        </w:rPr>
        <w:t>vires</w:t>
      </w:r>
      <w:r>
        <w:rPr>
          <w:i/>
          <w:spacing w:val="-8"/>
          <w:sz w:val="26"/>
        </w:rPr>
        <w:t xml:space="preserve"> </w:t>
      </w:r>
      <w:r>
        <w:rPr>
          <w:sz w:val="26"/>
        </w:rPr>
        <w:t>the</w:t>
      </w:r>
      <w:r>
        <w:rPr>
          <w:spacing w:val="-9"/>
          <w:sz w:val="26"/>
        </w:rPr>
        <w:t xml:space="preserve"> </w:t>
      </w:r>
      <w:r>
        <w:rPr>
          <w:sz w:val="26"/>
        </w:rPr>
        <w:t>1965</w:t>
      </w:r>
      <w:r>
        <w:rPr>
          <w:spacing w:val="-7"/>
          <w:sz w:val="26"/>
        </w:rPr>
        <w:t xml:space="preserve"> </w:t>
      </w:r>
      <w:r>
        <w:rPr>
          <w:sz w:val="26"/>
        </w:rPr>
        <w:t>Act</w:t>
      </w:r>
      <w:r>
        <w:rPr>
          <w:spacing w:val="-6"/>
          <w:sz w:val="26"/>
        </w:rPr>
        <w:t xml:space="preserve"> </w:t>
      </w:r>
      <w:r>
        <w:rPr>
          <w:sz w:val="26"/>
        </w:rPr>
        <w:t>and</w:t>
      </w:r>
      <w:r>
        <w:rPr>
          <w:spacing w:val="-5"/>
          <w:sz w:val="26"/>
        </w:rPr>
        <w:t xml:space="preserve"> </w:t>
      </w:r>
      <w:r>
        <w:rPr>
          <w:sz w:val="26"/>
        </w:rPr>
        <w:t>Article</w:t>
      </w:r>
      <w:r>
        <w:rPr>
          <w:spacing w:val="-7"/>
          <w:sz w:val="26"/>
        </w:rPr>
        <w:t xml:space="preserve"> </w:t>
      </w:r>
      <w:r>
        <w:rPr>
          <w:sz w:val="26"/>
        </w:rPr>
        <w:t>14 and 15 of the</w:t>
      </w:r>
      <w:r>
        <w:rPr>
          <w:spacing w:val="-3"/>
          <w:sz w:val="26"/>
        </w:rPr>
        <w:t xml:space="preserve"> </w:t>
      </w:r>
      <w:r>
        <w:rPr>
          <w:sz w:val="26"/>
        </w:rPr>
        <w:t>Constitution.</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9"/>
        <w:rPr>
          <w:sz w:val="14"/>
        </w:rPr>
      </w:pPr>
      <w:r w:rsidRPr="003B2FC0">
        <w:pict>
          <v:line id="_x0000_s1128" style="position:absolute;z-index:251587072;mso-wrap-distance-left:0;mso-wrap-distance-right:0;mso-position-horizontal-relative:page" from="1in,10.85pt" to="216.05pt,10.85pt" strokeweight=".72pt">
            <w10:wrap type="topAndBottom" anchorx="page"/>
          </v:line>
        </w:pict>
      </w:r>
    </w:p>
    <w:p w:rsidR="003B2FC0" w:rsidRDefault="00052A49">
      <w:pPr>
        <w:spacing w:before="66"/>
        <w:ind w:left="400"/>
        <w:rPr>
          <w:sz w:val="18"/>
        </w:rPr>
      </w:pPr>
      <w:r>
        <w:rPr>
          <w:position w:val="6"/>
          <w:sz w:val="12"/>
        </w:rPr>
        <w:t xml:space="preserve">12 </w:t>
      </w:r>
      <w:r>
        <w:rPr>
          <w:sz w:val="18"/>
        </w:rPr>
        <w:t>Appearing for the Petitioners – Indian Young Lawyer’s Association</w:t>
      </w:r>
    </w:p>
    <w:p w:rsidR="003B2FC0" w:rsidRDefault="003B2FC0">
      <w:pPr>
        <w:rPr>
          <w:sz w:val="18"/>
        </w:rPr>
        <w:sectPr w:rsidR="003B2FC0">
          <w:headerReference w:type="default" r:id="rId345"/>
          <w:pgSz w:w="11910" w:h="16840"/>
          <w:pgMar w:top="1080" w:right="980" w:bottom="1200" w:left="1040" w:header="708" w:footer="1000" w:gutter="0"/>
          <w:cols w:space="720"/>
        </w:sectPr>
      </w:pPr>
    </w:p>
    <w:p w:rsidR="003B2FC0" w:rsidRDefault="003B2FC0">
      <w:pPr>
        <w:spacing w:before="10"/>
        <w:rPr>
          <w:sz w:val="20"/>
        </w:rPr>
      </w:pPr>
    </w:p>
    <w:p w:rsidR="003B2FC0" w:rsidRDefault="00052A49">
      <w:pPr>
        <w:spacing w:before="97" w:line="480" w:lineRule="auto"/>
        <w:ind w:left="400" w:right="434"/>
        <w:rPr>
          <w:sz w:val="26"/>
        </w:rPr>
      </w:pPr>
      <w:r>
        <w:rPr>
          <w:sz w:val="26"/>
        </w:rPr>
        <w:t xml:space="preserve">Ms </w:t>
      </w:r>
      <w:r>
        <w:rPr>
          <w:b/>
          <w:sz w:val="26"/>
        </w:rPr>
        <w:t>Indira Jaising</w:t>
      </w:r>
      <w:r>
        <w:rPr>
          <w:sz w:val="26"/>
        </w:rPr>
        <w:t>,</w:t>
      </w:r>
      <w:r>
        <w:rPr>
          <w:position w:val="9"/>
          <w:sz w:val="17"/>
        </w:rPr>
        <w:t xml:space="preserve">13 </w:t>
      </w:r>
      <w:r>
        <w:rPr>
          <w:sz w:val="26"/>
        </w:rPr>
        <w:t>learned Senior Counsel, submits that the exclusion from the Sabarimala temple is unconstitutional:</w:t>
      </w:r>
    </w:p>
    <w:p w:rsidR="003B2FC0" w:rsidRDefault="00052A49">
      <w:pPr>
        <w:pStyle w:val="ListParagraph"/>
        <w:numPr>
          <w:ilvl w:val="0"/>
          <w:numId w:val="32"/>
        </w:numPr>
        <w:tabs>
          <w:tab w:val="left" w:pos="1121"/>
        </w:tabs>
        <w:spacing w:before="201" w:line="480" w:lineRule="auto"/>
        <w:ind w:right="437"/>
        <w:jc w:val="both"/>
        <w:rPr>
          <w:sz w:val="26"/>
        </w:rPr>
      </w:pPr>
      <w:r>
        <w:rPr>
          <w:sz w:val="26"/>
        </w:rPr>
        <w:t>The exclusionary practice is based on physiological factors exclusive to the female gender and this violates Articles 14, 15 and 21 of the Constitution;</w:t>
      </w:r>
    </w:p>
    <w:p w:rsidR="003B2FC0" w:rsidRDefault="00052A49">
      <w:pPr>
        <w:pStyle w:val="ListParagraph"/>
        <w:numPr>
          <w:ilvl w:val="0"/>
          <w:numId w:val="32"/>
        </w:numPr>
        <w:tabs>
          <w:tab w:val="left" w:pos="1121"/>
        </w:tabs>
        <w:spacing w:line="480" w:lineRule="auto"/>
        <w:ind w:right="441"/>
        <w:jc w:val="both"/>
        <w:rPr>
          <w:sz w:val="26"/>
        </w:rPr>
      </w:pPr>
      <w:r>
        <w:rPr>
          <w:sz w:val="26"/>
        </w:rPr>
        <w:t xml:space="preserve">The </w:t>
      </w:r>
      <w:r>
        <w:rPr>
          <w:sz w:val="26"/>
        </w:rPr>
        <w:t>practice of exclusion based on menstruation constitutes a form of untouchability and is prohibited by Article 17 of the</w:t>
      </w:r>
      <w:r>
        <w:rPr>
          <w:spacing w:val="-6"/>
          <w:sz w:val="26"/>
        </w:rPr>
        <w:t xml:space="preserve"> </w:t>
      </w:r>
      <w:r>
        <w:rPr>
          <w:sz w:val="26"/>
        </w:rPr>
        <w:t>Constitution;</w:t>
      </w:r>
    </w:p>
    <w:p w:rsidR="003B2FC0" w:rsidRDefault="00052A49">
      <w:pPr>
        <w:pStyle w:val="ListParagraph"/>
        <w:numPr>
          <w:ilvl w:val="0"/>
          <w:numId w:val="32"/>
        </w:numPr>
        <w:tabs>
          <w:tab w:val="left" w:pos="1121"/>
        </w:tabs>
        <w:spacing w:line="480" w:lineRule="auto"/>
        <w:ind w:right="436"/>
        <w:jc w:val="both"/>
        <w:rPr>
          <w:sz w:val="26"/>
        </w:rPr>
      </w:pPr>
      <w:r>
        <w:rPr>
          <w:sz w:val="26"/>
        </w:rPr>
        <w:t>The</w:t>
      </w:r>
      <w:r>
        <w:rPr>
          <w:spacing w:val="-11"/>
          <w:sz w:val="26"/>
        </w:rPr>
        <w:t xml:space="preserve"> </w:t>
      </w:r>
      <w:r>
        <w:rPr>
          <w:sz w:val="26"/>
        </w:rPr>
        <w:t>devotees</w:t>
      </w:r>
      <w:r>
        <w:rPr>
          <w:spacing w:val="-10"/>
          <w:sz w:val="26"/>
        </w:rPr>
        <w:t xml:space="preserve"> </w:t>
      </w:r>
      <w:r>
        <w:rPr>
          <w:sz w:val="26"/>
        </w:rPr>
        <w:t>of</w:t>
      </w:r>
      <w:r>
        <w:rPr>
          <w:spacing w:val="-10"/>
          <w:sz w:val="26"/>
        </w:rPr>
        <w:t xml:space="preserve"> </w:t>
      </w:r>
      <w:r>
        <w:rPr>
          <w:sz w:val="26"/>
        </w:rPr>
        <w:t>Lord</w:t>
      </w:r>
      <w:r>
        <w:rPr>
          <w:spacing w:val="-8"/>
          <w:sz w:val="26"/>
        </w:rPr>
        <w:t xml:space="preserve"> </w:t>
      </w:r>
      <w:r>
        <w:rPr>
          <w:sz w:val="26"/>
        </w:rPr>
        <w:t>Ayyappa</w:t>
      </w:r>
      <w:r>
        <w:rPr>
          <w:spacing w:val="-11"/>
          <w:sz w:val="26"/>
        </w:rPr>
        <w:t xml:space="preserve"> </w:t>
      </w:r>
      <w:r>
        <w:rPr>
          <w:sz w:val="26"/>
        </w:rPr>
        <w:t>do</w:t>
      </w:r>
      <w:r>
        <w:rPr>
          <w:spacing w:val="-10"/>
          <w:sz w:val="26"/>
        </w:rPr>
        <w:t xml:space="preserve"> </w:t>
      </w:r>
      <w:r>
        <w:rPr>
          <w:sz w:val="26"/>
        </w:rPr>
        <w:t>not</w:t>
      </w:r>
      <w:r>
        <w:rPr>
          <w:spacing w:val="-10"/>
          <w:sz w:val="26"/>
        </w:rPr>
        <w:t xml:space="preserve"> </w:t>
      </w:r>
      <w:r>
        <w:rPr>
          <w:sz w:val="26"/>
        </w:rPr>
        <w:t>constitute</w:t>
      </w:r>
      <w:r>
        <w:rPr>
          <w:spacing w:val="-10"/>
          <w:sz w:val="26"/>
        </w:rPr>
        <w:t xml:space="preserve"> </w:t>
      </w:r>
      <w:r>
        <w:rPr>
          <w:sz w:val="26"/>
        </w:rPr>
        <w:t>a</w:t>
      </w:r>
      <w:r>
        <w:rPr>
          <w:spacing w:val="-11"/>
          <w:sz w:val="26"/>
        </w:rPr>
        <w:t xml:space="preserve"> </w:t>
      </w:r>
      <w:r>
        <w:rPr>
          <w:sz w:val="26"/>
        </w:rPr>
        <w:t>religious</w:t>
      </w:r>
      <w:r>
        <w:rPr>
          <w:spacing w:val="-10"/>
          <w:sz w:val="26"/>
        </w:rPr>
        <w:t xml:space="preserve"> </w:t>
      </w:r>
      <w:r>
        <w:rPr>
          <w:sz w:val="26"/>
        </w:rPr>
        <w:t>denomination under Article 26 of the</w:t>
      </w:r>
      <w:r>
        <w:rPr>
          <w:spacing w:val="-4"/>
          <w:sz w:val="26"/>
        </w:rPr>
        <w:t xml:space="preserve"> </w:t>
      </w:r>
      <w:r>
        <w:rPr>
          <w:sz w:val="26"/>
        </w:rPr>
        <w:t>Constitution;</w:t>
      </w:r>
    </w:p>
    <w:p w:rsidR="003B2FC0" w:rsidRDefault="00052A49">
      <w:pPr>
        <w:pStyle w:val="ListParagraph"/>
        <w:numPr>
          <w:ilvl w:val="0"/>
          <w:numId w:val="32"/>
        </w:numPr>
        <w:tabs>
          <w:tab w:val="left" w:pos="1121"/>
        </w:tabs>
        <w:spacing w:before="1" w:line="480" w:lineRule="auto"/>
        <w:ind w:right="438"/>
        <w:jc w:val="both"/>
        <w:rPr>
          <w:sz w:val="26"/>
        </w:rPr>
      </w:pPr>
      <w:r>
        <w:rPr>
          <w:sz w:val="26"/>
        </w:rPr>
        <w:t>The practice of excluding women from the Sabarimala temple does not constitute an Essential Religious</w:t>
      </w:r>
      <w:r>
        <w:rPr>
          <w:spacing w:val="-3"/>
          <w:sz w:val="26"/>
        </w:rPr>
        <w:t xml:space="preserve"> </w:t>
      </w:r>
      <w:r>
        <w:rPr>
          <w:sz w:val="26"/>
        </w:rPr>
        <w:t>Practice;</w:t>
      </w:r>
    </w:p>
    <w:p w:rsidR="003B2FC0" w:rsidRDefault="00052A49">
      <w:pPr>
        <w:pStyle w:val="ListParagraph"/>
        <w:numPr>
          <w:ilvl w:val="0"/>
          <w:numId w:val="32"/>
        </w:numPr>
        <w:tabs>
          <w:tab w:val="left" w:pos="1121"/>
        </w:tabs>
        <w:spacing w:line="480" w:lineRule="auto"/>
        <w:ind w:right="441"/>
        <w:jc w:val="both"/>
        <w:rPr>
          <w:sz w:val="26"/>
        </w:rPr>
      </w:pPr>
      <w:r>
        <w:rPr>
          <w:sz w:val="26"/>
        </w:rPr>
        <w:t>That the impugned custom of excluding women falls within the ambit of ‘laws in force’ in Article 13 and is constitutionally invalid;</w:t>
      </w:r>
      <w:r>
        <w:rPr>
          <w:spacing w:val="-17"/>
          <w:sz w:val="26"/>
        </w:rPr>
        <w:t xml:space="preserve"> </w:t>
      </w:r>
      <w:r>
        <w:rPr>
          <w:sz w:val="26"/>
        </w:rPr>
        <w:t>and</w:t>
      </w:r>
    </w:p>
    <w:p w:rsidR="003B2FC0" w:rsidRDefault="00052A49">
      <w:pPr>
        <w:pStyle w:val="ListParagraph"/>
        <w:numPr>
          <w:ilvl w:val="0"/>
          <w:numId w:val="32"/>
        </w:numPr>
        <w:tabs>
          <w:tab w:val="left" w:pos="1120"/>
          <w:tab w:val="left" w:pos="1121"/>
        </w:tabs>
        <w:spacing w:line="298" w:lineRule="exact"/>
        <w:rPr>
          <w:sz w:val="26"/>
        </w:rPr>
      </w:pPr>
      <w:r>
        <w:rPr>
          <w:sz w:val="26"/>
        </w:rPr>
        <w:t>That Ru</w:t>
      </w:r>
      <w:r>
        <w:rPr>
          <w:sz w:val="26"/>
        </w:rPr>
        <w:t xml:space="preserve">le 3(b) of the 1965 Rules is </w:t>
      </w:r>
      <w:r>
        <w:rPr>
          <w:i/>
          <w:sz w:val="26"/>
        </w:rPr>
        <w:t xml:space="preserve">ultra vires </w:t>
      </w:r>
      <w:r>
        <w:rPr>
          <w:sz w:val="26"/>
        </w:rPr>
        <w:t>the 1965</w:t>
      </w:r>
      <w:r>
        <w:rPr>
          <w:spacing w:val="-3"/>
          <w:sz w:val="26"/>
        </w:rPr>
        <w:t xml:space="preserve"> </w:t>
      </w:r>
      <w:r>
        <w:rPr>
          <w:sz w:val="26"/>
        </w:rPr>
        <w:t>Act.</w:t>
      </w:r>
    </w:p>
    <w:p w:rsidR="003B2FC0" w:rsidRDefault="003B2FC0">
      <w:pPr>
        <w:rPr>
          <w:sz w:val="28"/>
        </w:rPr>
      </w:pPr>
    </w:p>
    <w:p w:rsidR="003B2FC0" w:rsidRDefault="003B2FC0">
      <w:pPr>
        <w:rPr>
          <w:sz w:val="28"/>
        </w:rPr>
      </w:pPr>
    </w:p>
    <w:p w:rsidR="003B2FC0" w:rsidRDefault="003B2FC0">
      <w:pPr>
        <w:spacing w:before="3"/>
        <w:rPr>
          <w:sz w:val="27"/>
        </w:rPr>
      </w:pPr>
    </w:p>
    <w:p w:rsidR="003B2FC0" w:rsidRDefault="00052A49">
      <w:pPr>
        <w:spacing w:line="480" w:lineRule="auto"/>
        <w:ind w:left="400" w:right="434"/>
        <w:rPr>
          <w:sz w:val="26"/>
        </w:rPr>
      </w:pPr>
      <w:r>
        <w:rPr>
          <w:sz w:val="26"/>
        </w:rPr>
        <w:t xml:space="preserve">Mr </w:t>
      </w:r>
      <w:r>
        <w:rPr>
          <w:b/>
          <w:sz w:val="26"/>
        </w:rPr>
        <w:t>Raju Ramachandran</w:t>
      </w:r>
      <w:r>
        <w:rPr>
          <w:sz w:val="26"/>
        </w:rPr>
        <w:t>, learned Senior Counsel who has assisted the Court as Amicus Curiae made the following submissions:</w:t>
      </w:r>
    </w:p>
    <w:p w:rsidR="003B2FC0" w:rsidRDefault="00052A49">
      <w:pPr>
        <w:pStyle w:val="ListParagraph"/>
        <w:numPr>
          <w:ilvl w:val="0"/>
          <w:numId w:val="31"/>
        </w:numPr>
        <w:tabs>
          <w:tab w:val="left" w:pos="1121"/>
        </w:tabs>
        <w:spacing w:before="202" w:line="480" w:lineRule="auto"/>
        <w:ind w:right="435"/>
        <w:jc w:val="both"/>
        <w:rPr>
          <w:sz w:val="26"/>
        </w:rPr>
      </w:pPr>
      <w:r>
        <w:rPr>
          <w:sz w:val="26"/>
        </w:rPr>
        <w:t>That</w:t>
      </w:r>
      <w:r>
        <w:rPr>
          <w:spacing w:val="-5"/>
          <w:sz w:val="26"/>
        </w:rPr>
        <w:t xml:space="preserve"> </w:t>
      </w:r>
      <w:r>
        <w:rPr>
          <w:sz w:val="26"/>
        </w:rPr>
        <w:t>the</w:t>
      </w:r>
      <w:r>
        <w:rPr>
          <w:spacing w:val="-5"/>
          <w:sz w:val="26"/>
        </w:rPr>
        <w:t xml:space="preserve"> </w:t>
      </w:r>
      <w:r>
        <w:rPr>
          <w:sz w:val="26"/>
        </w:rPr>
        <w:t>right</w:t>
      </w:r>
      <w:r>
        <w:rPr>
          <w:spacing w:val="-2"/>
          <w:sz w:val="26"/>
        </w:rPr>
        <w:t xml:space="preserve"> </w:t>
      </w:r>
      <w:r>
        <w:rPr>
          <w:sz w:val="26"/>
        </w:rPr>
        <w:t>of</w:t>
      </w:r>
      <w:r>
        <w:rPr>
          <w:spacing w:val="-5"/>
          <w:sz w:val="26"/>
        </w:rPr>
        <w:t xml:space="preserve"> </w:t>
      </w:r>
      <w:r>
        <w:rPr>
          <w:sz w:val="26"/>
        </w:rPr>
        <w:t>a</w:t>
      </w:r>
      <w:r>
        <w:rPr>
          <w:spacing w:val="-2"/>
          <w:sz w:val="26"/>
        </w:rPr>
        <w:t xml:space="preserve"> </w:t>
      </w:r>
      <w:r>
        <w:rPr>
          <w:sz w:val="26"/>
        </w:rPr>
        <w:t>woman</w:t>
      </w:r>
      <w:r>
        <w:rPr>
          <w:spacing w:val="-4"/>
          <w:sz w:val="26"/>
        </w:rPr>
        <w:t xml:space="preserve"> </w:t>
      </w:r>
      <w:r>
        <w:rPr>
          <w:sz w:val="26"/>
        </w:rPr>
        <w:t>to</w:t>
      </w:r>
      <w:r>
        <w:rPr>
          <w:spacing w:val="-2"/>
          <w:sz w:val="26"/>
        </w:rPr>
        <w:t xml:space="preserve"> </w:t>
      </w:r>
      <w:r>
        <w:rPr>
          <w:sz w:val="26"/>
        </w:rPr>
        <w:t>worship</w:t>
      </w:r>
      <w:r>
        <w:rPr>
          <w:spacing w:val="-4"/>
          <w:sz w:val="26"/>
        </w:rPr>
        <w:t xml:space="preserve"> </w:t>
      </w:r>
      <w:r>
        <w:rPr>
          <w:sz w:val="26"/>
        </w:rPr>
        <w:t>is</w:t>
      </w:r>
      <w:r>
        <w:rPr>
          <w:spacing w:val="-4"/>
          <w:sz w:val="26"/>
        </w:rPr>
        <w:t xml:space="preserve"> </w:t>
      </w:r>
      <w:r>
        <w:rPr>
          <w:sz w:val="26"/>
        </w:rPr>
        <w:t>an</w:t>
      </w:r>
      <w:r>
        <w:rPr>
          <w:spacing w:val="-2"/>
          <w:sz w:val="26"/>
        </w:rPr>
        <w:t xml:space="preserve"> </w:t>
      </w:r>
      <w:r>
        <w:rPr>
          <w:sz w:val="26"/>
        </w:rPr>
        <w:t>essential</w:t>
      </w:r>
      <w:r>
        <w:rPr>
          <w:spacing w:val="-4"/>
          <w:sz w:val="26"/>
        </w:rPr>
        <w:t xml:space="preserve"> </w:t>
      </w:r>
      <w:r>
        <w:rPr>
          <w:sz w:val="26"/>
        </w:rPr>
        <w:t>aspect</w:t>
      </w:r>
      <w:r>
        <w:rPr>
          <w:spacing w:val="-4"/>
          <w:sz w:val="26"/>
        </w:rPr>
        <w:t xml:space="preserve"> </w:t>
      </w:r>
      <w:r>
        <w:rPr>
          <w:sz w:val="26"/>
        </w:rPr>
        <w:t>of</w:t>
      </w:r>
      <w:r>
        <w:rPr>
          <w:spacing w:val="-2"/>
          <w:sz w:val="26"/>
        </w:rPr>
        <w:t xml:space="preserve"> </w:t>
      </w:r>
      <w:r>
        <w:rPr>
          <w:sz w:val="26"/>
        </w:rPr>
        <w:t>her</w:t>
      </w:r>
      <w:r>
        <w:rPr>
          <w:spacing w:val="-4"/>
          <w:sz w:val="26"/>
        </w:rPr>
        <w:t xml:space="preserve"> </w:t>
      </w:r>
      <w:r>
        <w:rPr>
          <w:sz w:val="26"/>
        </w:rPr>
        <w:t>right</w:t>
      </w:r>
      <w:r>
        <w:rPr>
          <w:spacing w:val="-4"/>
          <w:sz w:val="26"/>
        </w:rPr>
        <w:t xml:space="preserve"> </w:t>
      </w:r>
      <w:r>
        <w:rPr>
          <w:sz w:val="26"/>
        </w:rPr>
        <w:t>to worship under Article</w:t>
      </w:r>
      <w:r>
        <w:rPr>
          <w:spacing w:val="2"/>
          <w:sz w:val="26"/>
        </w:rPr>
        <w:t xml:space="preserve"> </w:t>
      </w:r>
      <w:r>
        <w:rPr>
          <w:sz w:val="26"/>
        </w:rPr>
        <w:t>25;</w:t>
      </w:r>
    </w:p>
    <w:p w:rsidR="003B2FC0" w:rsidRDefault="00052A49">
      <w:pPr>
        <w:pStyle w:val="ListParagraph"/>
        <w:numPr>
          <w:ilvl w:val="0"/>
          <w:numId w:val="31"/>
        </w:numPr>
        <w:tabs>
          <w:tab w:val="left" w:pos="1121"/>
        </w:tabs>
        <w:spacing w:line="480" w:lineRule="auto"/>
        <w:ind w:right="440"/>
        <w:jc w:val="both"/>
        <w:rPr>
          <w:sz w:val="26"/>
        </w:rPr>
      </w:pPr>
      <w:r>
        <w:rPr>
          <w:sz w:val="26"/>
        </w:rPr>
        <w:t xml:space="preserve">That the exclusion of women from Sabarimala temple amounts </w:t>
      </w:r>
      <w:r>
        <w:rPr>
          <w:spacing w:val="-6"/>
          <w:sz w:val="26"/>
        </w:rPr>
        <w:t xml:space="preserve">to </w:t>
      </w:r>
      <w:r>
        <w:rPr>
          <w:sz w:val="26"/>
        </w:rPr>
        <w:t>discrimination prohibited under Article 15(1) of the</w:t>
      </w:r>
      <w:r>
        <w:rPr>
          <w:spacing w:val="-7"/>
          <w:sz w:val="26"/>
        </w:rPr>
        <w:t xml:space="preserve"> </w:t>
      </w:r>
      <w:r>
        <w:rPr>
          <w:sz w:val="26"/>
        </w:rPr>
        <w:t>Constitution;</w:t>
      </w:r>
    </w:p>
    <w:p w:rsidR="003B2FC0" w:rsidRDefault="003B2FC0">
      <w:pPr>
        <w:spacing w:line="480" w:lineRule="auto"/>
        <w:jc w:val="both"/>
        <w:rPr>
          <w:sz w:val="26"/>
        </w:rPr>
        <w:sectPr w:rsidR="003B2FC0">
          <w:footerReference w:type="default" r:id="rId346"/>
          <w:pgSz w:w="11910" w:h="16840"/>
          <w:pgMar w:top="1080" w:right="980" w:bottom="1740" w:left="1040" w:header="708" w:footer="1559" w:gutter="0"/>
          <w:pgNumType w:start="37"/>
          <w:cols w:space="720"/>
        </w:sectPr>
      </w:pPr>
    </w:p>
    <w:p w:rsidR="003B2FC0" w:rsidRDefault="003B2FC0">
      <w:pPr>
        <w:spacing w:before="10"/>
        <w:rPr>
          <w:sz w:val="21"/>
        </w:rPr>
      </w:pPr>
    </w:p>
    <w:p w:rsidR="003B2FC0" w:rsidRDefault="00052A49">
      <w:pPr>
        <w:pStyle w:val="ListParagraph"/>
        <w:numPr>
          <w:ilvl w:val="0"/>
          <w:numId w:val="31"/>
        </w:numPr>
        <w:tabs>
          <w:tab w:val="left" w:pos="1120"/>
          <w:tab w:val="left" w:pos="1121"/>
        </w:tabs>
        <w:spacing w:before="91" w:line="480" w:lineRule="auto"/>
        <w:ind w:right="437"/>
        <w:rPr>
          <w:sz w:val="26"/>
        </w:rPr>
      </w:pPr>
      <w:r>
        <w:rPr>
          <w:sz w:val="26"/>
        </w:rPr>
        <w:t>That compulsory disclosure of menstrual status by women is a violation of their right to privacy under Article 21 of the</w:t>
      </w:r>
      <w:r>
        <w:rPr>
          <w:spacing w:val="-8"/>
          <w:sz w:val="26"/>
        </w:rPr>
        <w:t xml:space="preserve"> </w:t>
      </w:r>
      <w:r>
        <w:rPr>
          <w:sz w:val="26"/>
        </w:rPr>
        <w:t>Constitution;</w:t>
      </w:r>
    </w:p>
    <w:p w:rsidR="003B2FC0" w:rsidRDefault="00052A49">
      <w:pPr>
        <w:pStyle w:val="ListParagraph"/>
        <w:numPr>
          <w:ilvl w:val="0"/>
          <w:numId w:val="31"/>
        </w:numPr>
        <w:tabs>
          <w:tab w:val="left" w:pos="1120"/>
          <w:tab w:val="left" w:pos="1121"/>
        </w:tabs>
        <w:spacing w:line="298" w:lineRule="exact"/>
        <w:rPr>
          <w:sz w:val="26"/>
        </w:rPr>
      </w:pPr>
      <w:r>
        <w:rPr>
          <w:sz w:val="26"/>
        </w:rPr>
        <w:t>The term ‘morality’ in Article 25 and 26 embodies constitutional</w:t>
      </w:r>
      <w:r>
        <w:rPr>
          <w:spacing w:val="-19"/>
          <w:sz w:val="26"/>
        </w:rPr>
        <w:t xml:space="preserve"> </w:t>
      </w:r>
      <w:r>
        <w:rPr>
          <w:sz w:val="26"/>
        </w:rPr>
        <w:t>morality;</w:t>
      </w:r>
    </w:p>
    <w:p w:rsidR="003B2FC0" w:rsidRDefault="003B2FC0">
      <w:pPr>
        <w:rPr>
          <w:sz w:val="26"/>
        </w:rPr>
      </w:pPr>
    </w:p>
    <w:p w:rsidR="003B2FC0" w:rsidRDefault="00052A49">
      <w:pPr>
        <w:pStyle w:val="ListParagraph"/>
        <w:numPr>
          <w:ilvl w:val="0"/>
          <w:numId w:val="31"/>
        </w:numPr>
        <w:tabs>
          <w:tab w:val="left" w:pos="1120"/>
          <w:tab w:val="left" w:pos="1121"/>
        </w:tabs>
        <w:rPr>
          <w:sz w:val="26"/>
        </w:rPr>
      </w:pPr>
      <w:r>
        <w:rPr>
          <w:sz w:val="26"/>
        </w:rPr>
        <w:t xml:space="preserve">That Rule 3(b) of </w:t>
      </w:r>
      <w:r>
        <w:rPr>
          <w:sz w:val="26"/>
        </w:rPr>
        <w:t xml:space="preserve">the 1965 Rules is </w:t>
      </w:r>
      <w:r>
        <w:rPr>
          <w:i/>
          <w:sz w:val="26"/>
        </w:rPr>
        <w:t xml:space="preserve">ultra vires </w:t>
      </w:r>
      <w:r>
        <w:rPr>
          <w:sz w:val="26"/>
        </w:rPr>
        <w:t>the 1965</w:t>
      </w:r>
      <w:r>
        <w:rPr>
          <w:spacing w:val="-2"/>
          <w:sz w:val="26"/>
        </w:rPr>
        <w:t xml:space="preserve"> </w:t>
      </w:r>
      <w:r>
        <w:rPr>
          <w:sz w:val="26"/>
        </w:rPr>
        <w:t>Act;</w:t>
      </w:r>
    </w:p>
    <w:p w:rsidR="003B2FC0" w:rsidRDefault="003B2FC0">
      <w:pPr>
        <w:spacing w:before="2"/>
        <w:rPr>
          <w:sz w:val="26"/>
        </w:rPr>
      </w:pPr>
    </w:p>
    <w:p w:rsidR="003B2FC0" w:rsidRDefault="00052A49">
      <w:pPr>
        <w:pStyle w:val="ListParagraph"/>
        <w:numPr>
          <w:ilvl w:val="0"/>
          <w:numId w:val="31"/>
        </w:numPr>
        <w:tabs>
          <w:tab w:val="left" w:pos="1120"/>
          <w:tab w:val="left" w:pos="1121"/>
        </w:tabs>
        <w:spacing w:line="480" w:lineRule="auto"/>
        <w:ind w:right="436"/>
        <w:rPr>
          <w:sz w:val="26"/>
        </w:rPr>
      </w:pPr>
      <w:r>
        <w:rPr>
          <w:sz w:val="26"/>
        </w:rPr>
        <w:t>The</w:t>
      </w:r>
      <w:r>
        <w:rPr>
          <w:spacing w:val="-11"/>
          <w:sz w:val="26"/>
        </w:rPr>
        <w:t xml:space="preserve"> </w:t>
      </w:r>
      <w:r>
        <w:rPr>
          <w:sz w:val="26"/>
        </w:rPr>
        <w:t>devotees</w:t>
      </w:r>
      <w:r>
        <w:rPr>
          <w:spacing w:val="-10"/>
          <w:sz w:val="26"/>
        </w:rPr>
        <w:t xml:space="preserve"> </w:t>
      </w:r>
      <w:r>
        <w:rPr>
          <w:sz w:val="26"/>
        </w:rPr>
        <w:t>of</w:t>
      </w:r>
      <w:r>
        <w:rPr>
          <w:spacing w:val="-10"/>
          <w:sz w:val="26"/>
        </w:rPr>
        <w:t xml:space="preserve"> </w:t>
      </w:r>
      <w:r>
        <w:rPr>
          <w:sz w:val="26"/>
        </w:rPr>
        <w:t>Lord</w:t>
      </w:r>
      <w:r>
        <w:rPr>
          <w:spacing w:val="-9"/>
          <w:sz w:val="26"/>
        </w:rPr>
        <w:t xml:space="preserve"> </w:t>
      </w:r>
      <w:r>
        <w:rPr>
          <w:sz w:val="26"/>
        </w:rPr>
        <w:t>Ayyappa</w:t>
      </w:r>
      <w:r>
        <w:rPr>
          <w:spacing w:val="-10"/>
          <w:sz w:val="26"/>
        </w:rPr>
        <w:t xml:space="preserve"> </w:t>
      </w:r>
      <w:r>
        <w:rPr>
          <w:sz w:val="26"/>
        </w:rPr>
        <w:t>do</w:t>
      </w:r>
      <w:r>
        <w:rPr>
          <w:spacing w:val="-10"/>
          <w:sz w:val="26"/>
        </w:rPr>
        <w:t xml:space="preserve"> </w:t>
      </w:r>
      <w:r>
        <w:rPr>
          <w:sz w:val="26"/>
        </w:rPr>
        <w:t>not</w:t>
      </w:r>
      <w:r>
        <w:rPr>
          <w:spacing w:val="-11"/>
          <w:sz w:val="26"/>
        </w:rPr>
        <w:t xml:space="preserve"> </w:t>
      </w:r>
      <w:r>
        <w:rPr>
          <w:sz w:val="26"/>
        </w:rPr>
        <w:t>constitute</w:t>
      </w:r>
      <w:r>
        <w:rPr>
          <w:spacing w:val="-10"/>
          <w:sz w:val="26"/>
        </w:rPr>
        <w:t xml:space="preserve"> </w:t>
      </w:r>
      <w:r>
        <w:rPr>
          <w:sz w:val="26"/>
        </w:rPr>
        <w:t>a</w:t>
      </w:r>
      <w:r>
        <w:rPr>
          <w:spacing w:val="-10"/>
          <w:sz w:val="26"/>
        </w:rPr>
        <w:t xml:space="preserve"> </w:t>
      </w:r>
      <w:r>
        <w:rPr>
          <w:sz w:val="26"/>
        </w:rPr>
        <w:t>religious</w:t>
      </w:r>
      <w:r>
        <w:rPr>
          <w:spacing w:val="-11"/>
          <w:sz w:val="26"/>
        </w:rPr>
        <w:t xml:space="preserve"> </w:t>
      </w:r>
      <w:r>
        <w:rPr>
          <w:sz w:val="26"/>
        </w:rPr>
        <w:t>denomination under Article 26 of the</w:t>
      </w:r>
      <w:r>
        <w:rPr>
          <w:spacing w:val="-4"/>
          <w:sz w:val="26"/>
        </w:rPr>
        <w:t xml:space="preserve"> </w:t>
      </w:r>
      <w:r>
        <w:rPr>
          <w:sz w:val="26"/>
        </w:rPr>
        <w:t>Constitution;</w:t>
      </w:r>
    </w:p>
    <w:p w:rsidR="003B2FC0" w:rsidRDefault="00052A49">
      <w:pPr>
        <w:pStyle w:val="ListParagraph"/>
        <w:numPr>
          <w:ilvl w:val="0"/>
          <w:numId w:val="31"/>
        </w:numPr>
        <w:tabs>
          <w:tab w:val="left" w:pos="1120"/>
          <w:tab w:val="left" w:pos="1121"/>
        </w:tabs>
        <w:spacing w:line="480" w:lineRule="auto"/>
        <w:ind w:right="439"/>
        <w:rPr>
          <w:sz w:val="26"/>
        </w:rPr>
      </w:pPr>
      <w:r>
        <w:rPr>
          <w:sz w:val="26"/>
        </w:rPr>
        <w:t>The practice of excluding women from the Sabarimala temple does not constitute an Essential Religious</w:t>
      </w:r>
      <w:r>
        <w:rPr>
          <w:spacing w:val="-3"/>
          <w:sz w:val="26"/>
        </w:rPr>
        <w:t xml:space="preserve"> </w:t>
      </w:r>
      <w:r>
        <w:rPr>
          <w:sz w:val="26"/>
        </w:rPr>
        <w:t>Practice;</w:t>
      </w:r>
    </w:p>
    <w:p w:rsidR="003B2FC0" w:rsidRDefault="00052A49">
      <w:pPr>
        <w:pStyle w:val="ListParagraph"/>
        <w:numPr>
          <w:ilvl w:val="0"/>
          <w:numId w:val="31"/>
        </w:numPr>
        <w:tabs>
          <w:tab w:val="left" w:pos="1120"/>
          <w:tab w:val="left" w:pos="1121"/>
        </w:tabs>
        <w:spacing w:line="480" w:lineRule="auto"/>
        <w:ind w:right="441"/>
        <w:rPr>
          <w:sz w:val="26"/>
        </w:rPr>
      </w:pPr>
      <w:r>
        <w:rPr>
          <w:sz w:val="26"/>
        </w:rPr>
        <w:t>The prohibition against untouchability in Article 17 extends to the denial of entry to women between the age group ten and</w:t>
      </w:r>
      <w:r>
        <w:rPr>
          <w:spacing w:val="-8"/>
          <w:sz w:val="26"/>
        </w:rPr>
        <w:t xml:space="preserve"> </w:t>
      </w:r>
      <w:r>
        <w:rPr>
          <w:sz w:val="26"/>
        </w:rPr>
        <w:t>fifty;</w:t>
      </w:r>
    </w:p>
    <w:p w:rsidR="003B2FC0" w:rsidRDefault="00052A49">
      <w:pPr>
        <w:pStyle w:val="ListParagraph"/>
        <w:numPr>
          <w:ilvl w:val="0"/>
          <w:numId w:val="31"/>
        </w:numPr>
        <w:tabs>
          <w:tab w:val="left" w:pos="1120"/>
          <w:tab w:val="left" w:pos="1121"/>
        </w:tabs>
        <w:spacing w:line="482" w:lineRule="auto"/>
        <w:ind w:right="441"/>
        <w:rPr>
          <w:sz w:val="26"/>
        </w:rPr>
      </w:pPr>
      <w:r>
        <w:rPr>
          <w:sz w:val="26"/>
        </w:rPr>
        <w:t>A deity is not a juristic person for the purpose of rights enshrined in Part III of the Constitution;</w:t>
      </w:r>
      <w:r>
        <w:rPr>
          <w:spacing w:val="-1"/>
          <w:sz w:val="26"/>
        </w:rPr>
        <w:t xml:space="preserve"> </w:t>
      </w:r>
      <w:r>
        <w:rPr>
          <w:sz w:val="26"/>
        </w:rPr>
        <w:t>and</w:t>
      </w:r>
    </w:p>
    <w:p w:rsidR="003B2FC0" w:rsidRDefault="00052A49">
      <w:pPr>
        <w:pStyle w:val="ListParagraph"/>
        <w:numPr>
          <w:ilvl w:val="0"/>
          <w:numId w:val="31"/>
        </w:numPr>
        <w:tabs>
          <w:tab w:val="left" w:pos="1120"/>
          <w:tab w:val="left" w:pos="1121"/>
        </w:tabs>
        <w:spacing w:line="480" w:lineRule="auto"/>
        <w:ind w:right="441"/>
        <w:rPr>
          <w:sz w:val="26"/>
        </w:rPr>
      </w:pPr>
      <w:r>
        <w:rPr>
          <w:sz w:val="26"/>
        </w:rPr>
        <w:t xml:space="preserve">That there is no requirement of trial as the recordings by the High Court in </w:t>
      </w:r>
      <w:r>
        <w:rPr>
          <w:b/>
          <w:sz w:val="26"/>
        </w:rPr>
        <w:t xml:space="preserve">Mahendran </w:t>
      </w:r>
      <w:r>
        <w:rPr>
          <w:sz w:val="26"/>
        </w:rPr>
        <w:t>are</w:t>
      </w:r>
      <w:r>
        <w:rPr>
          <w:spacing w:val="-1"/>
          <w:sz w:val="26"/>
        </w:rPr>
        <w:t xml:space="preserve"> </w:t>
      </w:r>
      <w:r>
        <w:rPr>
          <w:sz w:val="26"/>
        </w:rPr>
        <w:t>sufficient.</w:t>
      </w:r>
    </w:p>
    <w:p w:rsidR="003B2FC0" w:rsidRDefault="003B2FC0">
      <w:pPr>
        <w:rPr>
          <w:sz w:val="28"/>
        </w:rPr>
      </w:pPr>
    </w:p>
    <w:p w:rsidR="003B2FC0" w:rsidRDefault="003B2FC0">
      <w:pPr>
        <w:rPr>
          <w:sz w:val="28"/>
        </w:rPr>
      </w:pPr>
    </w:p>
    <w:p w:rsidR="003B2FC0" w:rsidRDefault="003B2FC0">
      <w:pPr>
        <w:spacing w:before="3"/>
        <w:rPr>
          <w:sz w:val="26"/>
        </w:rPr>
      </w:pPr>
    </w:p>
    <w:p w:rsidR="003B2FC0" w:rsidRDefault="00052A49">
      <w:pPr>
        <w:ind w:left="400"/>
        <w:rPr>
          <w:sz w:val="26"/>
        </w:rPr>
      </w:pPr>
      <w:r>
        <w:rPr>
          <w:sz w:val="26"/>
        </w:rPr>
        <w:t xml:space="preserve">Mr </w:t>
      </w:r>
      <w:r>
        <w:rPr>
          <w:b/>
          <w:sz w:val="26"/>
        </w:rPr>
        <w:t>P V Surendranath</w:t>
      </w:r>
      <w:r>
        <w:rPr>
          <w:sz w:val="26"/>
        </w:rPr>
        <w:t>,</w:t>
      </w:r>
      <w:r>
        <w:rPr>
          <w:position w:val="9"/>
          <w:sz w:val="17"/>
        </w:rPr>
        <w:t xml:space="preserve">14 </w:t>
      </w:r>
      <w:r>
        <w:rPr>
          <w:sz w:val="26"/>
        </w:rPr>
        <w:t>learned Senior Counsel submitted thus:</w:t>
      </w:r>
    </w:p>
    <w:p w:rsidR="003B2FC0" w:rsidRDefault="003B2FC0">
      <w:pPr>
        <w:spacing w:before="6"/>
        <w:rPr>
          <w:sz w:val="43"/>
        </w:rPr>
      </w:pPr>
    </w:p>
    <w:p w:rsidR="003B2FC0" w:rsidRDefault="00052A49">
      <w:pPr>
        <w:pStyle w:val="ListParagraph"/>
        <w:numPr>
          <w:ilvl w:val="0"/>
          <w:numId w:val="30"/>
        </w:numPr>
        <w:tabs>
          <w:tab w:val="left" w:pos="1120"/>
          <w:tab w:val="left" w:pos="1121"/>
        </w:tabs>
        <w:spacing w:line="480" w:lineRule="auto"/>
        <w:ind w:right="438"/>
        <w:rPr>
          <w:sz w:val="26"/>
        </w:rPr>
      </w:pPr>
      <w:r>
        <w:rPr>
          <w:sz w:val="26"/>
        </w:rPr>
        <w:t>There is no proven custom of excluding women from the Sabarimala temple;</w:t>
      </w:r>
    </w:p>
    <w:p w:rsidR="003B2FC0" w:rsidRDefault="00052A49">
      <w:pPr>
        <w:pStyle w:val="ListParagraph"/>
        <w:numPr>
          <w:ilvl w:val="0"/>
          <w:numId w:val="30"/>
        </w:numPr>
        <w:tabs>
          <w:tab w:val="left" w:pos="1120"/>
          <w:tab w:val="left" w:pos="1121"/>
        </w:tabs>
        <w:spacing w:line="480" w:lineRule="auto"/>
        <w:ind w:right="440"/>
        <w:rPr>
          <w:sz w:val="26"/>
        </w:rPr>
      </w:pPr>
      <w:r>
        <w:rPr>
          <w:sz w:val="26"/>
        </w:rPr>
        <w:t>The practice of exclusion violates Article 14, 15, 25 and 51 of the Constitution; and</w:t>
      </w:r>
    </w:p>
    <w:p w:rsidR="003B2FC0" w:rsidRDefault="003B2FC0">
      <w:pPr>
        <w:spacing w:line="480" w:lineRule="auto"/>
        <w:rPr>
          <w:sz w:val="26"/>
        </w:rPr>
        <w:sectPr w:rsidR="003B2FC0">
          <w:footerReference w:type="default" r:id="rId347"/>
          <w:pgSz w:w="11910" w:h="16840"/>
          <w:pgMar w:top="1080" w:right="980" w:bottom="1740" w:left="1040" w:header="708" w:footer="1559" w:gutter="0"/>
          <w:cols w:space="720"/>
        </w:sectPr>
      </w:pPr>
    </w:p>
    <w:p w:rsidR="003B2FC0" w:rsidRDefault="003B2FC0">
      <w:pPr>
        <w:spacing w:before="10"/>
        <w:rPr>
          <w:sz w:val="21"/>
        </w:rPr>
      </w:pPr>
    </w:p>
    <w:p w:rsidR="003B2FC0" w:rsidRDefault="00052A49">
      <w:pPr>
        <w:pStyle w:val="ListParagraph"/>
        <w:numPr>
          <w:ilvl w:val="0"/>
          <w:numId w:val="30"/>
        </w:numPr>
        <w:tabs>
          <w:tab w:val="left" w:pos="1120"/>
          <w:tab w:val="left" w:pos="1121"/>
        </w:tabs>
        <w:spacing w:before="91" w:line="480" w:lineRule="auto"/>
        <w:ind w:right="435"/>
        <w:rPr>
          <w:sz w:val="26"/>
        </w:rPr>
      </w:pPr>
      <w:r>
        <w:rPr>
          <w:sz w:val="26"/>
        </w:rPr>
        <w:t>In the case of a conflict between fundamental rights and customs, the former would prevail in accordance with Article 13 of the</w:t>
      </w:r>
      <w:r>
        <w:rPr>
          <w:spacing w:val="-9"/>
          <w:sz w:val="26"/>
        </w:rPr>
        <w:t xml:space="preserve"> </w:t>
      </w:r>
      <w:r>
        <w:rPr>
          <w:sz w:val="26"/>
        </w:rPr>
        <w:t>Constitution.</w:t>
      </w:r>
    </w:p>
    <w:p w:rsidR="003B2FC0" w:rsidRDefault="003B2FC0">
      <w:pPr>
        <w:rPr>
          <w:sz w:val="28"/>
        </w:rPr>
      </w:pPr>
    </w:p>
    <w:p w:rsidR="003B2FC0" w:rsidRDefault="003B2FC0">
      <w:pPr>
        <w:spacing w:before="10"/>
        <w:rPr>
          <w:sz w:val="28"/>
        </w:rPr>
      </w:pPr>
    </w:p>
    <w:p w:rsidR="003B2FC0" w:rsidRDefault="00052A49">
      <w:pPr>
        <w:ind w:left="400"/>
        <w:rPr>
          <w:sz w:val="26"/>
        </w:rPr>
      </w:pPr>
      <w:r>
        <w:rPr>
          <w:sz w:val="26"/>
        </w:rPr>
        <w:t xml:space="preserve">Mr </w:t>
      </w:r>
      <w:r>
        <w:rPr>
          <w:b/>
          <w:sz w:val="26"/>
        </w:rPr>
        <w:t>Jaideep Gupta</w:t>
      </w:r>
      <w:r>
        <w:rPr>
          <w:sz w:val="26"/>
        </w:rPr>
        <w:t>,</w:t>
      </w:r>
      <w:r>
        <w:rPr>
          <w:position w:val="9"/>
          <w:sz w:val="17"/>
        </w:rPr>
        <w:t xml:space="preserve">15 </w:t>
      </w:r>
      <w:r>
        <w:rPr>
          <w:sz w:val="26"/>
        </w:rPr>
        <w:t>learned Senior Counsel submitted:</w:t>
      </w:r>
    </w:p>
    <w:p w:rsidR="003B2FC0" w:rsidRDefault="003B2FC0">
      <w:pPr>
        <w:spacing w:before="3"/>
        <w:rPr>
          <w:sz w:val="43"/>
        </w:rPr>
      </w:pPr>
    </w:p>
    <w:p w:rsidR="003B2FC0" w:rsidRDefault="00052A49">
      <w:pPr>
        <w:pStyle w:val="ListParagraph"/>
        <w:numPr>
          <w:ilvl w:val="0"/>
          <w:numId w:val="29"/>
        </w:numPr>
        <w:tabs>
          <w:tab w:val="left" w:pos="1121"/>
        </w:tabs>
        <w:spacing w:line="480" w:lineRule="auto"/>
        <w:ind w:right="434"/>
        <w:jc w:val="both"/>
        <w:rPr>
          <w:sz w:val="26"/>
        </w:rPr>
      </w:pPr>
      <w:r>
        <w:rPr>
          <w:sz w:val="26"/>
        </w:rPr>
        <w:t>The State Government of Kerala stands by the affidavit fi</w:t>
      </w:r>
      <w:r>
        <w:rPr>
          <w:sz w:val="26"/>
        </w:rPr>
        <w:t>led on 13 November 2007 wherein the State Government was not in favour of any discrimination against</w:t>
      </w:r>
      <w:r>
        <w:rPr>
          <w:spacing w:val="-1"/>
          <w:sz w:val="26"/>
        </w:rPr>
        <w:t xml:space="preserve"> </w:t>
      </w:r>
      <w:r>
        <w:rPr>
          <w:sz w:val="26"/>
        </w:rPr>
        <w:t>women;</w:t>
      </w:r>
    </w:p>
    <w:p w:rsidR="003B2FC0" w:rsidRDefault="00052A49">
      <w:pPr>
        <w:pStyle w:val="ListParagraph"/>
        <w:numPr>
          <w:ilvl w:val="0"/>
          <w:numId w:val="29"/>
        </w:numPr>
        <w:tabs>
          <w:tab w:val="left" w:pos="1120"/>
          <w:tab w:val="left" w:pos="1121"/>
        </w:tabs>
        <w:spacing w:before="2" w:line="480" w:lineRule="auto"/>
        <w:ind w:right="440"/>
        <w:rPr>
          <w:sz w:val="26"/>
        </w:rPr>
      </w:pPr>
      <w:r>
        <w:rPr>
          <w:sz w:val="26"/>
        </w:rPr>
        <w:t>That women fall within the ambit of ‘section or class’ in Section 3 of the 1965</w:t>
      </w:r>
      <w:r>
        <w:rPr>
          <w:spacing w:val="-2"/>
          <w:sz w:val="26"/>
        </w:rPr>
        <w:t xml:space="preserve"> </w:t>
      </w:r>
      <w:r>
        <w:rPr>
          <w:sz w:val="26"/>
        </w:rPr>
        <w:t>Act;</w:t>
      </w:r>
    </w:p>
    <w:p w:rsidR="003B2FC0" w:rsidRDefault="00052A49">
      <w:pPr>
        <w:pStyle w:val="ListParagraph"/>
        <w:numPr>
          <w:ilvl w:val="0"/>
          <w:numId w:val="29"/>
        </w:numPr>
        <w:tabs>
          <w:tab w:val="left" w:pos="1120"/>
          <w:tab w:val="left" w:pos="1121"/>
        </w:tabs>
        <w:spacing w:line="480" w:lineRule="auto"/>
        <w:ind w:right="440"/>
        <w:rPr>
          <w:sz w:val="26"/>
        </w:rPr>
      </w:pPr>
      <w:r>
        <w:rPr>
          <w:sz w:val="26"/>
        </w:rPr>
        <w:t>Article 17 must be given a broad interpretation which prohibits</w:t>
      </w:r>
      <w:r>
        <w:rPr>
          <w:sz w:val="26"/>
        </w:rPr>
        <w:t xml:space="preserve"> the exclusion of</w:t>
      </w:r>
      <w:r>
        <w:rPr>
          <w:spacing w:val="-1"/>
          <w:sz w:val="26"/>
        </w:rPr>
        <w:t xml:space="preserve"> </w:t>
      </w:r>
      <w:r>
        <w:rPr>
          <w:sz w:val="26"/>
        </w:rPr>
        <w:t>women;</w:t>
      </w:r>
    </w:p>
    <w:p w:rsidR="003B2FC0" w:rsidRDefault="00052A49">
      <w:pPr>
        <w:pStyle w:val="ListParagraph"/>
        <w:numPr>
          <w:ilvl w:val="0"/>
          <w:numId w:val="29"/>
        </w:numPr>
        <w:tabs>
          <w:tab w:val="left" w:pos="1120"/>
          <w:tab w:val="left" w:pos="1121"/>
        </w:tabs>
        <w:spacing w:line="299" w:lineRule="exact"/>
        <w:rPr>
          <w:sz w:val="26"/>
        </w:rPr>
      </w:pPr>
      <w:r>
        <w:rPr>
          <w:sz w:val="26"/>
        </w:rPr>
        <w:t xml:space="preserve">That Rule 3(b) of the 1965 Rules is </w:t>
      </w:r>
      <w:r>
        <w:rPr>
          <w:i/>
          <w:sz w:val="26"/>
        </w:rPr>
        <w:t xml:space="preserve">ultra vires </w:t>
      </w:r>
      <w:r>
        <w:rPr>
          <w:sz w:val="26"/>
        </w:rPr>
        <w:t>the 1965</w:t>
      </w:r>
      <w:r>
        <w:rPr>
          <w:spacing w:val="-4"/>
          <w:sz w:val="26"/>
        </w:rPr>
        <w:t xml:space="preserve"> </w:t>
      </w:r>
      <w:r>
        <w:rPr>
          <w:sz w:val="26"/>
        </w:rPr>
        <w:t>Act;</w:t>
      </w:r>
    </w:p>
    <w:p w:rsidR="003B2FC0" w:rsidRDefault="003B2FC0">
      <w:pPr>
        <w:spacing w:before="1"/>
        <w:rPr>
          <w:sz w:val="26"/>
        </w:rPr>
      </w:pPr>
    </w:p>
    <w:p w:rsidR="003B2FC0" w:rsidRDefault="00052A49">
      <w:pPr>
        <w:pStyle w:val="ListParagraph"/>
        <w:numPr>
          <w:ilvl w:val="0"/>
          <w:numId w:val="29"/>
        </w:numPr>
        <w:tabs>
          <w:tab w:val="left" w:pos="1120"/>
          <w:tab w:val="left" w:pos="1121"/>
        </w:tabs>
        <w:spacing w:before="1" w:line="480" w:lineRule="auto"/>
        <w:ind w:right="436"/>
        <w:rPr>
          <w:sz w:val="26"/>
        </w:rPr>
      </w:pPr>
      <w:r>
        <w:rPr>
          <w:sz w:val="26"/>
        </w:rPr>
        <w:t>The</w:t>
      </w:r>
      <w:r>
        <w:rPr>
          <w:spacing w:val="-11"/>
          <w:sz w:val="26"/>
        </w:rPr>
        <w:t xml:space="preserve"> </w:t>
      </w:r>
      <w:r>
        <w:rPr>
          <w:sz w:val="26"/>
        </w:rPr>
        <w:t>devotees</w:t>
      </w:r>
      <w:r>
        <w:rPr>
          <w:spacing w:val="-10"/>
          <w:sz w:val="26"/>
        </w:rPr>
        <w:t xml:space="preserve"> </w:t>
      </w:r>
      <w:r>
        <w:rPr>
          <w:sz w:val="26"/>
        </w:rPr>
        <w:t>of</w:t>
      </w:r>
      <w:r>
        <w:rPr>
          <w:spacing w:val="-10"/>
          <w:sz w:val="26"/>
        </w:rPr>
        <w:t xml:space="preserve"> </w:t>
      </w:r>
      <w:r>
        <w:rPr>
          <w:sz w:val="26"/>
        </w:rPr>
        <w:t>Lord</w:t>
      </w:r>
      <w:r>
        <w:rPr>
          <w:spacing w:val="-9"/>
          <w:sz w:val="26"/>
        </w:rPr>
        <w:t xml:space="preserve"> </w:t>
      </w:r>
      <w:r>
        <w:rPr>
          <w:sz w:val="26"/>
        </w:rPr>
        <w:t>Ayyappa</w:t>
      </w:r>
      <w:r>
        <w:rPr>
          <w:spacing w:val="-10"/>
          <w:sz w:val="26"/>
        </w:rPr>
        <w:t xml:space="preserve"> </w:t>
      </w:r>
      <w:r>
        <w:rPr>
          <w:sz w:val="26"/>
        </w:rPr>
        <w:t>do</w:t>
      </w:r>
      <w:r>
        <w:rPr>
          <w:spacing w:val="-10"/>
          <w:sz w:val="26"/>
        </w:rPr>
        <w:t xml:space="preserve"> </w:t>
      </w:r>
      <w:r>
        <w:rPr>
          <w:sz w:val="26"/>
        </w:rPr>
        <w:t>not</w:t>
      </w:r>
      <w:r>
        <w:rPr>
          <w:spacing w:val="-11"/>
          <w:sz w:val="26"/>
        </w:rPr>
        <w:t xml:space="preserve"> </w:t>
      </w:r>
      <w:r>
        <w:rPr>
          <w:sz w:val="26"/>
        </w:rPr>
        <w:t>constitute</w:t>
      </w:r>
      <w:r>
        <w:rPr>
          <w:spacing w:val="-10"/>
          <w:sz w:val="26"/>
        </w:rPr>
        <w:t xml:space="preserve"> </w:t>
      </w:r>
      <w:r>
        <w:rPr>
          <w:sz w:val="26"/>
        </w:rPr>
        <w:t>a</w:t>
      </w:r>
      <w:r>
        <w:rPr>
          <w:spacing w:val="-10"/>
          <w:sz w:val="26"/>
        </w:rPr>
        <w:t xml:space="preserve"> </w:t>
      </w:r>
      <w:r>
        <w:rPr>
          <w:sz w:val="26"/>
        </w:rPr>
        <w:t>religious</w:t>
      </w:r>
      <w:r>
        <w:rPr>
          <w:spacing w:val="-11"/>
          <w:sz w:val="26"/>
        </w:rPr>
        <w:t xml:space="preserve"> </w:t>
      </w:r>
      <w:r>
        <w:rPr>
          <w:sz w:val="26"/>
        </w:rPr>
        <w:t>denomination under Article 26 of the</w:t>
      </w:r>
      <w:r>
        <w:rPr>
          <w:spacing w:val="-4"/>
          <w:sz w:val="26"/>
        </w:rPr>
        <w:t xml:space="preserve"> </w:t>
      </w:r>
      <w:r>
        <w:rPr>
          <w:sz w:val="26"/>
        </w:rPr>
        <w:t>Constitution;</w:t>
      </w:r>
    </w:p>
    <w:p w:rsidR="003B2FC0" w:rsidRDefault="00052A49">
      <w:pPr>
        <w:pStyle w:val="ListParagraph"/>
        <w:numPr>
          <w:ilvl w:val="0"/>
          <w:numId w:val="29"/>
        </w:numPr>
        <w:tabs>
          <w:tab w:val="left" w:pos="1120"/>
          <w:tab w:val="left" w:pos="1121"/>
        </w:tabs>
        <w:spacing w:line="480" w:lineRule="auto"/>
        <w:ind w:right="439"/>
        <w:rPr>
          <w:sz w:val="26"/>
        </w:rPr>
      </w:pPr>
      <w:r>
        <w:rPr>
          <w:sz w:val="26"/>
        </w:rPr>
        <w:t>The practice of excluding women from the Sabarimala temple does not constitute an Essential Religious Practice;</w:t>
      </w:r>
      <w:r>
        <w:rPr>
          <w:spacing w:val="1"/>
          <w:sz w:val="26"/>
        </w:rPr>
        <w:t xml:space="preserve"> </w:t>
      </w:r>
      <w:r>
        <w:rPr>
          <w:sz w:val="26"/>
        </w:rPr>
        <w:t>and</w:t>
      </w:r>
    </w:p>
    <w:p w:rsidR="003B2FC0" w:rsidRDefault="00052A49">
      <w:pPr>
        <w:pStyle w:val="ListParagraph"/>
        <w:numPr>
          <w:ilvl w:val="0"/>
          <w:numId w:val="29"/>
        </w:numPr>
        <w:tabs>
          <w:tab w:val="left" w:pos="1120"/>
          <w:tab w:val="left" w:pos="1121"/>
        </w:tabs>
        <w:spacing w:line="480" w:lineRule="auto"/>
        <w:ind w:right="440"/>
        <w:rPr>
          <w:sz w:val="26"/>
        </w:rPr>
      </w:pPr>
      <w:r>
        <w:rPr>
          <w:sz w:val="26"/>
        </w:rPr>
        <w:t>That the impugned custom of excluding women falls within the ambit of Article 13 and is constitutionally</w:t>
      </w:r>
      <w:r>
        <w:rPr>
          <w:spacing w:val="-8"/>
          <w:sz w:val="26"/>
        </w:rPr>
        <w:t xml:space="preserve"> </w:t>
      </w:r>
      <w:r>
        <w:rPr>
          <w:sz w:val="26"/>
        </w:rPr>
        <w:t>invalid.</w:t>
      </w:r>
    </w:p>
    <w:p w:rsidR="003B2FC0" w:rsidRDefault="003B2FC0">
      <w:pPr>
        <w:spacing w:line="480" w:lineRule="auto"/>
        <w:rPr>
          <w:sz w:val="26"/>
        </w:rPr>
        <w:sectPr w:rsidR="003B2FC0">
          <w:footerReference w:type="default" r:id="rId348"/>
          <w:pgSz w:w="11910" w:h="16840"/>
          <w:pgMar w:top="1080" w:right="980" w:bottom="1740" w:left="1040" w:header="708" w:footer="1559"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The</w:t>
      </w:r>
      <w:r>
        <w:rPr>
          <w:spacing w:val="-12"/>
          <w:sz w:val="26"/>
        </w:rPr>
        <w:t xml:space="preserve"> </w:t>
      </w:r>
      <w:r>
        <w:rPr>
          <w:b/>
          <w:sz w:val="26"/>
        </w:rPr>
        <w:t>Respondents</w:t>
      </w:r>
      <w:r>
        <w:rPr>
          <w:b/>
          <w:spacing w:val="-11"/>
          <w:sz w:val="26"/>
        </w:rPr>
        <w:t xml:space="preserve"> </w:t>
      </w:r>
      <w:r>
        <w:rPr>
          <w:sz w:val="26"/>
        </w:rPr>
        <w:t>submitted</w:t>
      </w:r>
      <w:r>
        <w:rPr>
          <w:spacing w:val="-12"/>
          <w:sz w:val="26"/>
        </w:rPr>
        <w:t xml:space="preserve"> </w:t>
      </w:r>
      <w:r>
        <w:rPr>
          <w:sz w:val="26"/>
        </w:rPr>
        <w:t>that</w:t>
      </w:r>
      <w:r>
        <w:rPr>
          <w:spacing w:val="-12"/>
          <w:sz w:val="26"/>
        </w:rPr>
        <w:t xml:space="preserve"> </w:t>
      </w:r>
      <w:r>
        <w:rPr>
          <w:sz w:val="26"/>
        </w:rPr>
        <w:t>the</w:t>
      </w:r>
      <w:r>
        <w:rPr>
          <w:spacing w:val="-12"/>
          <w:sz w:val="26"/>
        </w:rPr>
        <w:t xml:space="preserve"> </w:t>
      </w:r>
      <w:r>
        <w:rPr>
          <w:sz w:val="26"/>
        </w:rPr>
        <w:t>practice</w:t>
      </w:r>
      <w:r>
        <w:rPr>
          <w:spacing w:val="-12"/>
          <w:sz w:val="26"/>
        </w:rPr>
        <w:t xml:space="preserve"> </w:t>
      </w:r>
      <w:r>
        <w:rPr>
          <w:sz w:val="26"/>
        </w:rPr>
        <w:t>of</w:t>
      </w:r>
      <w:r>
        <w:rPr>
          <w:spacing w:val="-12"/>
          <w:sz w:val="26"/>
        </w:rPr>
        <w:t xml:space="preserve"> </w:t>
      </w:r>
      <w:r>
        <w:rPr>
          <w:sz w:val="26"/>
        </w:rPr>
        <w:t>excluding</w:t>
      </w:r>
      <w:r>
        <w:rPr>
          <w:spacing w:val="-9"/>
          <w:sz w:val="26"/>
        </w:rPr>
        <w:t xml:space="preserve"> </w:t>
      </w:r>
      <w:r>
        <w:rPr>
          <w:sz w:val="26"/>
        </w:rPr>
        <w:t>women</w:t>
      </w:r>
      <w:r>
        <w:rPr>
          <w:spacing w:val="-12"/>
          <w:sz w:val="26"/>
        </w:rPr>
        <w:t xml:space="preserve"> </w:t>
      </w:r>
      <w:r>
        <w:rPr>
          <w:sz w:val="26"/>
        </w:rPr>
        <w:t>between</w:t>
      </w:r>
      <w:r>
        <w:rPr>
          <w:spacing w:val="-9"/>
          <w:sz w:val="26"/>
        </w:rPr>
        <w:t xml:space="preserve"> </w:t>
      </w:r>
      <w:r>
        <w:rPr>
          <w:sz w:val="26"/>
        </w:rPr>
        <w:t>the age group of ten and fifty from the Sabarimala temple is constitutionally permissible.</w:t>
      </w:r>
    </w:p>
    <w:p w:rsidR="003B2FC0" w:rsidRDefault="003B2FC0">
      <w:pPr>
        <w:rPr>
          <w:sz w:val="28"/>
        </w:rPr>
      </w:pPr>
    </w:p>
    <w:p w:rsidR="003B2FC0" w:rsidRDefault="003B2FC0">
      <w:pPr>
        <w:spacing w:before="4"/>
        <w:rPr>
          <w:sz w:val="32"/>
        </w:rPr>
      </w:pPr>
    </w:p>
    <w:p w:rsidR="003B2FC0" w:rsidRDefault="00052A49">
      <w:pPr>
        <w:spacing w:line="480" w:lineRule="auto"/>
        <w:ind w:left="400" w:right="438"/>
        <w:jc w:val="both"/>
        <w:rPr>
          <w:sz w:val="26"/>
        </w:rPr>
      </w:pPr>
      <w:r>
        <w:rPr>
          <w:b/>
          <w:sz w:val="26"/>
        </w:rPr>
        <w:t>Dr. Abhishek Manu Singhvi</w:t>
      </w:r>
      <w:r>
        <w:rPr>
          <w:sz w:val="26"/>
        </w:rPr>
        <w:t>,</w:t>
      </w:r>
      <w:r>
        <w:rPr>
          <w:position w:val="9"/>
          <w:sz w:val="17"/>
        </w:rPr>
        <w:t xml:space="preserve">16 </w:t>
      </w:r>
      <w:r>
        <w:rPr>
          <w:sz w:val="26"/>
        </w:rPr>
        <w:t>learned Senior Counsel submitted that the practice of excluding women between the age group of ten and fifty from the Sabarimala temple is constitutional and valid:</w:t>
      </w:r>
    </w:p>
    <w:p w:rsidR="003B2FC0" w:rsidRDefault="00052A49">
      <w:pPr>
        <w:pStyle w:val="ListParagraph"/>
        <w:numPr>
          <w:ilvl w:val="0"/>
          <w:numId w:val="28"/>
        </w:numPr>
        <w:tabs>
          <w:tab w:val="left" w:pos="1121"/>
        </w:tabs>
        <w:spacing w:before="199" w:line="482" w:lineRule="auto"/>
        <w:ind w:right="437"/>
        <w:jc w:val="both"/>
        <w:rPr>
          <w:sz w:val="26"/>
        </w:rPr>
      </w:pPr>
      <w:r>
        <w:rPr>
          <w:sz w:val="26"/>
        </w:rPr>
        <w:t>The exclusion of women is not based on gender and satisfies the test of intelligible differentia and nexus to the object sought to be</w:t>
      </w:r>
      <w:r>
        <w:rPr>
          <w:spacing w:val="-12"/>
          <w:sz w:val="26"/>
        </w:rPr>
        <w:t xml:space="preserve"> </w:t>
      </w:r>
      <w:r>
        <w:rPr>
          <w:sz w:val="26"/>
        </w:rPr>
        <w:t>achieved;</w:t>
      </w:r>
    </w:p>
    <w:p w:rsidR="003B2FC0" w:rsidRDefault="00052A49">
      <w:pPr>
        <w:pStyle w:val="ListParagraph"/>
        <w:numPr>
          <w:ilvl w:val="0"/>
          <w:numId w:val="28"/>
        </w:numPr>
        <w:tabs>
          <w:tab w:val="left" w:pos="1121"/>
        </w:tabs>
        <w:spacing w:line="480" w:lineRule="auto"/>
        <w:ind w:right="440"/>
        <w:jc w:val="both"/>
        <w:rPr>
          <w:sz w:val="26"/>
        </w:rPr>
      </w:pPr>
      <w:r>
        <w:rPr>
          <w:sz w:val="26"/>
        </w:rPr>
        <w:t>That Article 17 is inapplicable to the case at hand as the Article is restricted to prohibiting caste and religi</w:t>
      </w:r>
      <w:r>
        <w:rPr>
          <w:sz w:val="26"/>
        </w:rPr>
        <w:t>on-based</w:t>
      </w:r>
      <w:r>
        <w:rPr>
          <w:spacing w:val="-5"/>
          <w:sz w:val="26"/>
        </w:rPr>
        <w:t xml:space="preserve"> </w:t>
      </w:r>
      <w:r>
        <w:rPr>
          <w:sz w:val="26"/>
        </w:rPr>
        <w:t>untouchability;</w:t>
      </w:r>
    </w:p>
    <w:p w:rsidR="003B2FC0" w:rsidRDefault="00052A49">
      <w:pPr>
        <w:pStyle w:val="ListParagraph"/>
        <w:numPr>
          <w:ilvl w:val="0"/>
          <w:numId w:val="28"/>
        </w:numPr>
        <w:tabs>
          <w:tab w:val="left" w:pos="1121"/>
        </w:tabs>
        <w:spacing w:line="480" w:lineRule="auto"/>
        <w:ind w:right="439"/>
        <w:jc w:val="both"/>
        <w:rPr>
          <w:sz w:val="26"/>
        </w:rPr>
      </w:pPr>
      <w:r>
        <w:rPr>
          <w:sz w:val="26"/>
        </w:rPr>
        <w:t>The Sabarimala temple is a denominational temple and the exclusion of women is in exercise of denomination rights under Article 26 of the Constitution;</w:t>
      </w:r>
    </w:p>
    <w:p w:rsidR="003B2FC0" w:rsidRDefault="00052A49">
      <w:pPr>
        <w:pStyle w:val="ListParagraph"/>
        <w:numPr>
          <w:ilvl w:val="0"/>
          <w:numId w:val="28"/>
        </w:numPr>
        <w:tabs>
          <w:tab w:val="left" w:pos="1121"/>
        </w:tabs>
        <w:spacing w:line="482" w:lineRule="auto"/>
        <w:ind w:right="435"/>
        <w:jc w:val="both"/>
        <w:rPr>
          <w:sz w:val="26"/>
        </w:rPr>
      </w:pPr>
      <w:r>
        <w:rPr>
          <w:sz w:val="26"/>
        </w:rPr>
        <w:t>Articles 25 and 26 of the Constitution protect religious matters including cere</w:t>
      </w:r>
      <w:r>
        <w:rPr>
          <w:sz w:val="26"/>
        </w:rPr>
        <w:t>monial</w:t>
      </w:r>
      <w:r>
        <w:rPr>
          <w:spacing w:val="-13"/>
          <w:sz w:val="26"/>
        </w:rPr>
        <w:t xml:space="preserve"> </w:t>
      </w:r>
      <w:r>
        <w:rPr>
          <w:sz w:val="26"/>
        </w:rPr>
        <w:t>issues</w:t>
      </w:r>
      <w:r>
        <w:rPr>
          <w:spacing w:val="-12"/>
          <w:sz w:val="26"/>
        </w:rPr>
        <w:t xml:space="preserve"> </w:t>
      </w:r>
      <w:r>
        <w:rPr>
          <w:sz w:val="26"/>
        </w:rPr>
        <w:t>and</w:t>
      </w:r>
      <w:r>
        <w:rPr>
          <w:spacing w:val="-12"/>
          <w:sz w:val="26"/>
        </w:rPr>
        <w:t xml:space="preserve"> </w:t>
      </w:r>
      <w:r>
        <w:rPr>
          <w:sz w:val="26"/>
        </w:rPr>
        <w:t>the</w:t>
      </w:r>
      <w:r>
        <w:rPr>
          <w:spacing w:val="-12"/>
          <w:sz w:val="26"/>
        </w:rPr>
        <w:t xml:space="preserve"> </w:t>
      </w:r>
      <w:r>
        <w:rPr>
          <w:sz w:val="26"/>
        </w:rPr>
        <w:t>exclusion</w:t>
      </w:r>
      <w:r>
        <w:rPr>
          <w:spacing w:val="-12"/>
          <w:sz w:val="26"/>
        </w:rPr>
        <w:t xml:space="preserve"> </w:t>
      </w:r>
      <w:r>
        <w:rPr>
          <w:sz w:val="26"/>
        </w:rPr>
        <w:t>of</w:t>
      </w:r>
      <w:r>
        <w:rPr>
          <w:spacing w:val="-9"/>
          <w:sz w:val="26"/>
        </w:rPr>
        <w:t xml:space="preserve"> </w:t>
      </w:r>
      <w:r>
        <w:rPr>
          <w:sz w:val="26"/>
        </w:rPr>
        <w:t>women</w:t>
      </w:r>
      <w:r>
        <w:rPr>
          <w:spacing w:val="-12"/>
          <w:sz w:val="26"/>
        </w:rPr>
        <w:t xml:space="preserve"> </w:t>
      </w:r>
      <w:r>
        <w:rPr>
          <w:sz w:val="26"/>
        </w:rPr>
        <w:t>is</w:t>
      </w:r>
      <w:r>
        <w:rPr>
          <w:spacing w:val="-11"/>
          <w:sz w:val="26"/>
        </w:rPr>
        <w:t xml:space="preserve"> </w:t>
      </w:r>
      <w:r>
        <w:rPr>
          <w:sz w:val="26"/>
        </w:rPr>
        <w:t>an</w:t>
      </w:r>
      <w:r>
        <w:rPr>
          <w:spacing w:val="-12"/>
          <w:sz w:val="26"/>
        </w:rPr>
        <w:t xml:space="preserve"> </w:t>
      </w:r>
      <w:r>
        <w:rPr>
          <w:sz w:val="26"/>
        </w:rPr>
        <w:t>exercise</w:t>
      </w:r>
      <w:r>
        <w:rPr>
          <w:spacing w:val="-12"/>
          <w:sz w:val="26"/>
        </w:rPr>
        <w:t xml:space="preserve"> </w:t>
      </w:r>
      <w:r>
        <w:rPr>
          <w:sz w:val="26"/>
        </w:rPr>
        <w:t>of</w:t>
      </w:r>
      <w:r>
        <w:rPr>
          <w:spacing w:val="-9"/>
          <w:sz w:val="26"/>
        </w:rPr>
        <w:t xml:space="preserve"> </w:t>
      </w:r>
      <w:r>
        <w:rPr>
          <w:sz w:val="26"/>
        </w:rPr>
        <w:t>this</w:t>
      </w:r>
      <w:r>
        <w:rPr>
          <w:spacing w:val="-12"/>
          <w:sz w:val="26"/>
        </w:rPr>
        <w:t xml:space="preserve"> </w:t>
      </w:r>
      <w:r>
        <w:rPr>
          <w:sz w:val="26"/>
        </w:rPr>
        <w:t>right;</w:t>
      </w:r>
    </w:p>
    <w:p w:rsidR="003B2FC0" w:rsidRDefault="00052A49">
      <w:pPr>
        <w:pStyle w:val="ListParagraph"/>
        <w:numPr>
          <w:ilvl w:val="0"/>
          <w:numId w:val="28"/>
        </w:numPr>
        <w:tabs>
          <w:tab w:val="left" w:pos="1121"/>
        </w:tabs>
        <w:spacing w:line="295" w:lineRule="exact"/>
        <w:jc w:val="both"/>
        <w:rPr>
          <w:sz w:val="26"/>
        </w:rPr>
      </w:pPr>
      <w:r>
        <w:rPr>
          <w:sz w:val="26"/>
        </w:rPr>
        <w:t>That</w:t>
      </w:r>
      <w:r>
        <w:rPr>
          <w:spacing w:val="-13"/>
          <w:sz w:val="26"/>
        </w:rPr>
        <w:t xml:space="preserve"> </w:t>
      </w:r>
      <w:r>
        <w:rPr>
          <w:sz w:val="26"/>
        </w:rPr>
        <w:t>Article</w:t>
      </w:r>
      <w:r>
        <w:rPr>
          <w:spacing w:val="-11"/>
          <w:sz w:val="26"/>
        </w:rPr>
        <w:t xml:space="preserve"> </w:t>
      </w:r>
      <w:r>
        <w:rPr>
          <w:sz w:val="26"/>
        </w:rPr>
        <w:t>13</w:t>
      </w:r>
      <w:r>
        <w:rPr>
          <w:spacing w:val="-12"/>
          <w:sz w:val="26"/>
        </w:rPr>
        <w:t xml:space="preserve"> </w:t>
      </w:r>
      <w:r>
        <w:rPr>
          <w:sz w:val="26"/>
        </w:rPr>
        <w:t>of</w:t>
      </w:r>
      <w:r>
        <w:rPr>
          <w:spacing w:val="-12"/>
          <w:sz w:val="26"/>
        </w:rPr>
        <w:t xml:space="preserve"> </w:t>
      </w:r>
      <w:r>
        <w:rPr>
          <w:sz w:val="26"/>
        </w:rPr>
        <w:t>the</w:t>
      </w:r>
      <w:r>
        <w:rPr>
          <w:spacing w:val="-12"/>
          <w:sz w:val="26"/>
        </w:rPr>
        <w:t xml:space="preserve"> </w:t>
      </w:r>
      <w:r>
        <w:rPr>
          <w:sz w:val="26"/>
        </w:rPr>
        <w:t>Constitution</w:t>
      </w:r>
      <w:r>
        <w:rPr>
          <w:spacing w:val="-12"/>
          <w:sz w:val="26"/>
        </w:rPr>
        <w:t xml:space="preserve"> </w:t>
      </w:r>
      <w:r>
        <w:rPr>
          <w:sz w:val="26"/>
        </w:rPr>
        <w:t>does</w:t>
      </w:r>
      <w:r>
        <w:rPr>
          <w:spacing w:val="-12"/>
          <w:sz w:val="26"/>
        </w:rPr>
        <w:t xml:space="preserve"> </w:t>
      </w:r>
      <w:r>
        <w:rPr>
          <w:sz w:val="26"/>
        </w:rPr>
        <w:t>not</w:t>
      </w:r>
      <w:r>
        <w:rPr>
          <w:spacing w:val="-9"/>
          <w:sz w:val="26"/>
        </w:rPr>
        <w:t xml:space="preserve"> </w:t>
      </w:r>
      <w:r>
        <w:rPr>
          <w:sz w:val="26"/>
        </w:rPr>
        <w:t>apply</w:t>
      </w:r>
      <w:r>
        <w:rPr>
          <w:spacing w:val="-14"/>
          <w:sz w:val="26"/>
        </w:rPr>
        <w:t xml:space="preserve"> </w:t>
      </w:r>
      <w:r>
        <w:rPr>
          <w:sz w:val="26"/>
        </w:rPr>
        <w:t>to</w:t>
      </w:r>
      <w:r>
        <w:rPr>
          <w:spacing w:val="-12"/>
          <w:sz w:val="26"/>
        </w:rPr>
        <w:t xml:space="preserve"> </w:t>
      </w:r>
      <w:r>
        <w:rPr>
          <w:sz w:val="26"/>
        </w:rPr>
        <w:t>the</w:t>
      </w:r>
      <w:r>
        <w:rPr>
          <w:spacing w:val="-12"/>
          <w:sz w:val="26"/>
        </w:rPr>
        <w:t xml:space="preserve"> </w:t>
      </w:r>
      <w:r>
        <w:rPr>
          <w:sz w:val="26"/>
        </w:rPr>
        <w:t>present</w:t>
      </w:r>
      <w:r>
        <w:rPr>
          <w:spacing w:val="-12"/>
          <w:sz w:val="26"/>
        </w:rPr>
        <w:t xml:space="preserve"> </w:t>
      </w:r>
      <w:r>
        <w:rPr>
          <w:sz w:val="26"/>
        </w:rPr>
        <w:t>case;</w:t>
      </w:r>
      <w:r>
        <w:rPr>
          <w:spacing w:val="-9"/>
          <w:sz w:val="26"/>
        </w:rPr>
        <w:t xml:space="preserve"> </w:t>
      </w:r>
      <w:r>
        <w:rPr>
          <w:sz w:val="26"/>
        </w:rPr>
        <w:t>and</w:t>
      </w:r>
    </w:p>
    <w:p w:rsidR="003B2FC0" w:rsidRDefault="003B2FC0">
      <w:pPr>
        <w:spacing w:before="5"/>
        <w:rPr>
          <w:sz w:val="25"/>
        </w:rPr>
      </w:pPr>
    </w:p>
    <w:p w:rsidR="003B2FC0" w:rsidRDefault="00052A49">
      <w:pPr>
        <w:pStyle w:val="ListParagraph"/>
        <w:numPr>
          <w:ilvl w:val="0"/>
          <w:numId w:val="28"/>
        </w:numPr>
        <w:tabs>
          <w:tab w:val="left" w:pos="1121"/>
        </w:tabs>
        <w:spacing w:before="1"/>
        <w:jc w:val="both"/>
        <w:rPr>
          <w:sz w:val="26"/>
        </w:rPr>
      </w:pPr>
      <w:r>
        <w:rPr>
          <w:sz w:val="26"/>
        </w:rPr>
        <w:t>That a separate trial would be required for the determination of</w:t>
      </w:r>
      <w:r>
        <w:rPr>
          <w:spacing w:val="-10"/>
          <w:sz w:val="26"/>
        </w:rPr>
        <w:t xml:space="preserve"> </w:t>
      </w:r>
      <w:r>
        <w:rPr>
          <w:sz w:val="26"/>
        </w:rPr>
        <w:t>facts.</w:t>
      </w:r>
    </w:p>
    <w:p w:rsidR="003B2FC0" w:rsidRDefault="003B2FC0">
      <w:pPr>
        <w:jc w:val="both"/>
        <w:rPr>
          <w:sz w:val="26"/>
        </w:rPr>
        <w:sectPr w:rsidR="003B2FC0">
          <w:footerReference w:type="default" r:id="rId349"/>
          <w:pgSz w:w="11910" w:h="16840"/>
          <w:pgMar w:top="1080" w:right="980" w:bottom="1740" w:left="1040" w:header="708" w:footer="1559" w:gutter="0"/>
          <w:cols w:space="720"/>
        </w:sectPr>
      </w:pPr>
    </w:p>
    <w:p w:rsidR="003B2FC0" w:rsidRDefault="003B2FC0">
      <w:pPr>
        <w:spacing w:before="10"/>
        <w:rPr>
          <w:sz w:val="20"/>
        </w:rPr>
      </w:pPr>
    </w:p>
    <w:p w:rsidR="003B2FC0" w:rsidRDefault="00052A49">
      <w:pPr>
        <w:spacing w:before="97" w:line="480" w:lineRule="auto"/>
        <w:ind w:left="400" w:right="434"/>
        <w:rPr>
          <w:sz w:val="26"/>
        </w:rPr>
      </w:pPr>
      <w:r>
        <w:rPr>
          <w:sz w:val="26"/>
        </w:rPr>
        <w:t xml:space="preserve">Shri </w:t>
      </w:r>
      <w:r>
        <w:rPr>
          <w:b/>
          <w:sz w:val="26"/>
        </w:rPr>
        <w:t>K Parasaran</w:t>
      </w:r>
      <w:r>
        <w:rPr>
          <w:sz w:val="26"/>
        </w:rPr>
        <w:t>,</w:t>
      </w:r>
      <w:r>
        <w:rPr>
          <w:position w:val="9"/>
          <w:sz w:val="17"/>
        </w:rPr>
        <w:t xml:space="preserve">17 </w:t>
      </w:r>
      <w:r>
        <w:rPr>
          <w:sz w:val="26"/>
        </w:rPr>
        <w:t>learned Senior Counsel submitted that the exclusion from the Sabarimala temple is constitutionally permissible:</w:t>
      </w:r>
    </w:p>
    <w:p w:rsidR="003B2FC0" w:rsidRDefault="00052A49">
      <w:pPr>
        <w:pStyle w:val="ListParagraph"/>
        <w:numPr>
          <w:ilvl w:val="0"/>
          <w:numId w:val="27"/>
        </w:numPr>
        <w:tabs>
          <w:tab w:val="left" w:pos="1120"/>
          <w:tab w:val="left" w:pos="1121"/>
        </w:tabs>
        <w:spacing w:before="201" w:line="480" w:lineRule="auto"/>
        <w:ind w:right="438"/>
        <w:rPr>
          <w:sz w:val="26"/>
        </w:rPr>
      </w:pPr>
      <w:r>
        <w:rPr>
          <w:sz w:val="26"/>
        </w:rPr>
        <w:t>There</w:t>
      </w:r>
      <w:r>
        <w:rPr>
          <w:spacing w:val="-10"/>
          <w:sz w:val="26"/>
        </w:rPr>
        <w:t xml:space="preserve"> </w:t>
      </w:r>
      <w:r>
        <w:rPr>
          <w:sz w:val="26"/>
        </w:rPr>
        <w:t>exists</w:t>
      </w:r>
      <w:r>
        <w:rPr>
          <w:spacing w:val="-10"/>
          <w:sz w:val="26"/>
        </w:rPr>
        <w:t xml:space="preserve"> </w:t>
      </w:r>
      <w:r>
        <w:rPr>
          <w:sz w:val="26"/>
        </w:rPr>
        <w:t>an</w:t>
      </w:r>
      <w:r>
        <w:rPr>
          <w:spacing w:val="-10"/>
          <w:sz w:val="26"/>
        </w:rPr>
        <w:t xml:space="preserve"> </w:t>
      </w:r>
      <w:r>
        <w:rPr>
          <w:sz w:val="26"/>
        </w:rPr>
        <w:t>independent</w:t>
      </w:r>
      <w:r>
        <w:rPr>
          <w:spacing w:val="-10"/>
          <w:sz w:val="26"/>
        </w:rPr>
        <w:t xml:space="preserve"> </w:t>
      </w:r>
      <w:r>
        <w:rPr>
          <w:sz w:val="26"/>
        </w:rPr>
        <w:t>custom</w:t>
      </w:r>
      <w:r>
        <w:rPr>
          <w:spacing w:val="-10"/>
          <w:sz w:val="26"/>
        </w:rPr>
        <w:t xml:space="preserve"> </w:t>
      </w:r>
      <w:r>
        <w:rPr>
          <w:sz w:val="26"/>
        </w:rPr>
        <w:t>that</w:t>
      </w:r>
      <w:r>
        <w:rPr>
          <w:spacing w:val="-8"/>
          <w:sz w:val="26"/>
        </w:rPr>
        <w:t xml:space="preserve"> </w:t>
      </w:r>
      <w:r>
        <w:rPr>
          <w:sz w:val="26"/>
        </w:rPr>
        <w:t>permits</w:t>
      </w:r>
      <w:r>
        <w:rPr>
          <w:spacing w:val="-9"/>
          <w:sz w:val="26"/>
        </w:rPr>
        <w:t xml:space="preserve"> </w:t>
      </w:r>
      <w:r>
        <w:rPr>
          <w:sz w:val="26"/>
        </w:rPr>
        <w:t>the</w:t>
      </w:r>
      <w:r>
        <w:rPr>
          <w:spacing w:val="-10"/>
          <w:sz w:val="26"/>
        </w:rPr>
        <w:t xml:space="preserve"> </w:t>
      </w:r>
      <w:r>
        <w:rPr>
          <w:sz w:val="26"/>
        </w:rPr>
        <w:t>exclusion</w:t>
      </w:r>
      <w:r>
        <w:rPr>
          <w:spacing w:val="-8"/>
          <w:sz w:val="26"/>
        </w:rPr>
        <w:t xml:space="preserve"> </w:t>
      </w:r>
      <w:r>
        <w:rPr>
          <w:sz w:val="26"/>
        </w:rPr>
        <w:t>of</w:t>
      </w:r>
      <w:r>
        <w:rPr>
          <w:spacing w:val="-10"/>
          <w:sz w:val="26"/>
        </w:rPr>
        <w:t xml:space="preserve"> </w:t>
      </w:r>
      <w:r>
        <w:rPr>
          <w:sz w:val="26"/>
        </w:rPr>
        <w:t>women from the Sabarimala</w:t>
      </w:r>
      <w:r>
        <w:rPr>
          <w:spacing w:val="3"/>
          <w:sz w:val="26"/>
        </w:rPr>
        <w:t xml:space="preserve"> </w:t>
      </w:r>
      <w:r>
        <w:rPr>
          <w:sz w:val="26"/>
        </w:rPr>
        <w:t>temple;</w:t>
      </w:r>
    </w:p>
    <w:p w:rsidR="003B2FC0" w:rsidRDefault="00052A49">
      <w:pPr>
        <w:pStyle w:val="ListParagraph"/>
        <w:numPr>
          <w:ilvl w:val="0"/>
          <w:numId w:val="27"/>
        </w:numPr>
        <w:tabs>
          <w:tab w:val="left" w:pos="1121"/>
        </w:tabs>
        <w:spacing w:line="480" w:lineRule="auto"/>
        <w:ind w:right="431"/>
        <w:jc w:val="both"/>
        <w:rPr>
          <w:sz w:val="26"/>
        </w:rPr>
      </w:pPr>
      <w:r>
        <w:rPr>
          <w:sz w:val="26"/>
        </w:rPr>
        <w:t>The right to exclude women of a particular age group from the temple flows from the religious rights of the devotees under Article 25 of the Constitution and the character of the deity as a Naishtika</w:t>
      </w:r>
      <w:r>
        <w:rPr>
          <w:spacing w:val="-33"/>
          <w:sz w:val="26"/>
        </w:rPr>
        <w:t xml:space="preserve"> </w:t>
      </w:r>
      <w:r>
        <w:rPr>
          <w:sz w:val="26"/>
        </w:rPr>
        <w:t>Brahmacharya;</w:t>
      </w:r>
    </w:p>
    <w:p w:rsidR="003B2FC0" w:rsidRDefault="00052A49">
      <w:pPr>
        <w:pStyle w:val="ListParagraph"/>
        <w:numPr>
          <w:ilvl w:val="0"/>
          <w:numId w:val="27"/>
        </w:numPr>
        <w:tabs>
          <w:tab w:val="left" w:pos="1120"/>
          <w:tab w:val="left" w:pos="1121"/>
        </w:tabs>
        <w:spacing w:line="299" w:lineRule="exact"/>
        <w:rPr>
          <w:sz w:val="26"/>
        </w:rPr>
      </w:pPr>
      <w:r>
        <w:rPr>
          <w:sz w:val="26"/>
        </w:rPr>
        <w:t>The custom is protected under Rule 3(b) th</w:t>
      </w:r>
      <w:r>
        <w:rPr>
          <w:sz w:val="26"/>
        </w:rPr>
        <w:t>e 1965 Rules;</w:t>
      </w:r>
      <w:r>
        <w:rPr>
          <w:spacing w:val="-8"/>
          <w:sz w:val="26"/>
        </w:rPr>
        <w:t xml:space="preserve"> </w:t>
      </w:r>
      <w:r>
        <w:rPr>
          <w:sz w:val="26"/>
        </w:rPr>
        <w:t>and</w:t>
      </w:r>
    </w:p>
    <w:p w:rsidR="003B2FC0" w:rsidRDefault="003B2FC0">
      <w:pPr>
        <w:spacing w:before="10"/>
        <w:rPr>
          <w:sz w:val="25"/>
        </w:rPr>
      </w:pPr>
    </w:p>
    <w:p w:rsidR="003B2FC0" w:rsidRDefault="00052A49">
      <w:pPr>
        <w:pStyle w:val="ListParagraph"/>
        <w:numPr>
          <w:ilvl w:val="0"/>
          <w:numId w:val="27"/>
        </w:numPr>
        <w:tabs>
          <w:tab w:val="left" w:pos="1120"/>
          <w:tab w:val="left" w:pos="1121"/>
        </w:tabs>
        <w:spacing w:line="482" w:lineRule="auto"/>
        <w:ind w:right="439"/>
        <w:rPr>
          <w:sz w:val="26"/>
        </w:rPr>
      </w:pPr>
      <w:r>
        <w:rPr>
          <w:sz w:val="26"/>
        </w:rPr>
        <w:t>That the notion of equality is enshrined in Article 25, and consequently, Article 14 and 15 are inapplicable to the present</w:t>
      </w:r>
      <w:r>
        <w:rPr>
          <w:spacing w:val="-6"/>
          <w:sz w:val="26"/>
        </w:rPr>
        <w:t xml:space="preserve"> </w:t>
      </w:r>
      <w:r>
        <w:rPr>
          <w:sz w:val="26"/>
        </w:rPr>
        <w:t>case.</w:t>
      </w:r>
    </w:p>
    <w:p w:rsidR="003B2FC0" w:rsidRDefault="003B2FC0">
      <w:pPr>
        <w:rPr>
          <w:sz w:val="28"/>
        </w:rPr>
      </w:pPr>
    </w:p>
    <w:p w:rsidR="003B2FC0" w:rsidRDefault="003B2FC0">
      <w:pPr>
        <w:spacing w:before="10"/>
        <w:rPr>
          <w:sz w:val="28"/>
        </w:rPr>
      </w:pPr>
    </w:p>
    <w:p w:rsidR="003B2FC0" w:rsidRDefault="00052A49">
      <w:pPr>
        <w:spacing w:line="482" w:lineRule="auto"/>
        <w:ind w:left="400" w:right="434"/>
        <w:rPr>
          <w:sz w:val="26"/>
        </w:rPr>
      </w:pPr>
      <w:r>
        <w:rPr>
          <w:sz w:val="26"/>
        </w:rPr>
        <w:t>Mr</w:t>
      </w:r>
      <w:r>
        <w:rPr>
          <w:spacing w:val="-17"/>
          <w:sz w:val="26"/>
        </w:rPr>
        <w:t xml:space="preserve"> </w:t>
      </w:r>
      <w:r>
        <w:rPr>
          <w:b/>
          <w:sz w:val="26"/>
        </w:rPr>
        <w:t>K</w:t>
      </w:r>
      <w:r>
        <w:rPr>
          <w:b/>
          <w:spacing w:val="-20"/>
          <w:sz w:val="26"/>
        </w:rPr>
        <w:t xml:space="preserve"> </w:t>
      </w:r>
      <w:r>
        <w:rPr>
          <w:b/>
          <w:sz w:val="26"/>
        </w:rPr>
        <w:t>Ramamoorthy</w:t>
      </w:r>
      <w:r>
        <w:rPr>
          <w:sz w:val="26"/>
        </w:rPr>
        <w:t>,</w:t>
      </w:r>
      <w:r>
        <w:rPr>
          <w:spacing w:val="-17"/>
          <w:sz w:val="26"/>
        </w:rPr>
        <w:t xml:space="preserve"> </w:t>
      </w:r>
      <w:r>
        <w:rPr>
          <w:sz w:val="26"/>
        </w:rPr>
        <w:t>learned</w:t>
      </w:r>
      <w:r>
        <w:rPr>
          <w:spacing w:val="-19"/>
          <w:sz w:val="26"/>
        </w:rPr>
        <w:t xml:space="preserve"> </w:t>
      </w:r>
      <w:r>
        <w:rPr>
          <w:sz w:val="26"/>
        </w:rPr>
        <w:t>Senior</w:t>
      </w:r>
      <w:r>
        <w:rPr>
          <w:spacing w:val="-20"/>
          <w:sz w:val="26"/>
        </w:rPr>
        <w:t xml:space="preserve"> </w:t>
      </w:r>
      <w:r>
        <w:rPr>
          <w:sz w:val="26"/>
        </w:rPr>
        <w:t>Counsel</w:t>
      </w:r>
      <w:r>
        <w:rPr>
          <w:spacing w:val="-15"/>
          <w:sz w:val="26"/>
        </w:rPr>
        <w:t xml:space="preserve"> </w:t>
      </w:r>
      <w:r>
        <w:rPr>
          <w:sz w:val="26"/>
        </w:rPr>
        <w:t>who</w:t>
      </w:r>
      <w:r>
        <w:rPr>
          <w:spacing w:val="-17"/>
          <w:sz w:val="26"/>
        </w:rPr>
        <w:t xml:space="preserve"> </w:t>
      </w:r>
      <w:r>
        <w:rPr>
          <w:sz w:val="26"/>
        </w:rPr>
        <w:t>assisted</w:t>
      </w:r>
      <w:r>
        <w:rPr>
          <w:spacing w:val="-20"/>
          <w:sz w:val="26"/>
        </w:rPr>
        <w:t xml:space="preserve"> </w:t>
      </w:r>
      <w:r>
        <w:rPr>
          <w:sz w:val="26"/>
        </w:rPr>
        <w:t>the</w:t>
      </w:r>
      <w:r>
        <w:rPr>
          <w:spacing w:val="-17"/>
          <w:sz w:val="26"/>
        </w:rPr>
        <w:t xml:space="preserve"> </w:t>
      </w:r>
      <w:r>
        <w:rPr>
          <w:sz w:val="26"/>
        </w:rPr>
        <w:t>Court</w:t>
      </w:r>
      <w:r>
        <w:rPr>
          <w:spacing w:val="-19"/>
          <w:sz w:val="26"/>
        </w:rPr>
        <w:t xml:space="preserve"> </w:t>
      </w:r>
      <w:r>
        <w:rPr>
          <w:sz w:val="26"/>
        </w:rPr>
        <w:t>as</w:t>
      </w:r>
      <w:r>
        <w:rPr>
          <w:spacing w:val="-17"/>
          <w:sz w:val="26"/>
        </w:rPr>
        <w:t xml:space="preserve"> </w:t>
      </w:r>
      <w:r>
        <w:rPr>
          <w:sz w:val="26"/>
        </w:rPr>
        <w:t>Amicus Curiae made the following</w:t>
      </w:r>
      <w:r>
        <w:rPr>
          <w:spacing w:val="-2"/>
          <w:sz w:val="26"/>
        </w:rPr>
        <w:t xml:space="preserve"> </w:t>
      </w:r>
      <w:r>
        <w:rPr>
          <w:sz w:val="26"/>
        </w:rPr>
        <w:t>submi</w:t>
      </w:r>
      <w:r>
        <w:rPr>
          <w:sz w:val="26"/>
        </w:rPr>
        <w:t>ssions:</w:t>
      </w:r>
    </w:p>
    <w:p w:rsidR="003B2FC0" w:rsidRDefault="00052A49">
      <w:pPr>
        <w:pStyle w:val="ListParagraph"/>
        <w:numPr>
          <w:ilvl w:val="0"/>
          <w:numId w:val="26"/>
        </w:numPr>
        <w:tabs>
          <w:tab w:val="left" w:pos="1120"/>
          <w:tab w:val="left" w:pos="1121"/>
        </w:tabs>
        <w:spacing w:before="195" w:line="480" w:lineRule="auto"/>
        <w:ind w:right="443"/>
        <w:rPr>
          <w:sz w:val="26"/>
        </w:rPr>
      </w:pPr>
      <w:r>
        <w:rPr>
          <w:sz w:val="26"/>
        </w:rPr>
        <w:t>That the exclusion of women between the age group ten and fifty does not violate the rights of the Petitioners under Article 25;</w:t>
      </w:r>
      <w:r>
        <w:rPr>
          <w:spacing w:val="-10"/>
          <w:sz w:val="26"/>
        </w:rPr>
        <w:t xml:space="preserve"> </w:t>
      </w:r>
      <w:r>
        <w:rPr>
          <w:sz w:val="26"/>
        </w:rPr>
        <w:t>and</w:t>
      </w:r>
    </w:p>
    <w:p w:rsidR="003B2FC0" w:rsidRDefault="00052A49">
      <w:pPr>
        <w:pStyle w:val="ListParagraph"/>
        <w:numPr>
          <w:ilvl w:val="0"/>
          <w:numId w:val="26"/>
        </w:numPr>
        <w:tabs>
          <w:tab w:val="left" w:pos="1120"/>
          <w:tab w:val="left" w:pos="1121"/>
        </w:tabs>
        <w:spacing w:line="298" w:lineRule="exact"/>
        <w:rPr>
          <w:sz w:val="26"/>
        </w:rPr>
      </w:pPr>
      <w:r>
        <w:rPr>
          <w:sz w:val="26"/>
        </w:rPr>
        <w:t>The practice of exclusion is protected under Article</w:t>
      </w:r>
      <w:r>
        <w:rPr>
          <w:spacing w:val="-8"/>
          <w:sz w:val="26"/>
        </w:rPr>
        <w:t xml:space="preserve"> </w:t>
      </w:r>
      <w:r>
        <w:rPr>
          <w:sz w:val="26"/>
        </w:rPr>
        <w:t>25.</w:t>
      </w:r>
    </w:p>
    <w:p w:rsidR="003B2FC0" w:rsidRDefault="003B2FC0">
      <w:pPr>
        <w:rPr>
          <w:sz w:val="28"/>
        </w:rPr>
      </w:pPr>
    </w:p>
    <w:p w:rsidR="003B2FC0" w:rsidRDefault="003B2FC0">
      <w:pPr>
        <w:rPr>
          <w:sz w:val="28"/>
        </w:rPr>
      </w:pPr>
    </w:p>
    <w:p w:rsidR="003B2FC0" w:rsidRDefault="003B2FC0">
      <w:pPr>
        <w:spacing w:before="6"/>
        <w:rPr>
          <w:sz w:val="35"/>
        </w:rPr>
      </w:pPr>
    </w:p>
    <w:p w:rsidR="003B2FC0" w:rsidRDefault="00052A49">
      <w:pPr>
        <w:spacing w:line="480" w:lineRule="auto"/>
        <w:ind w:left="400" w:right="346"/>
        <w:rPr>
          <w:sz w:val="26"/>
        </w:rPr>
      </w:pPr>
      <w:r>
        <w:rPr>
          <w:sz w:val="26"/>
        </w:rPr>
        <w:t xml:space="preserve">Mr </w:t>
      </w:r>
      <w:r>
        <w:rPr>
          <w:b/>
          <w:sz w:val="26"/>
        </w:rPr>
        <w:t>K Radhakrishnan</w:t>
      </w:r>
      <w:r>
        <w:rPr>
          <w:sz w:val="26"/>
        </w:rPr>
        <w:t>,</w:t>
      </w:r>
      <w:r>
        <w:rPr>
          <w:position w:val="9"/>
          <w:sz w:val="17"/>
        </w:rPr>
        <w:t xml:space="preserve">18 </w:t>
      </w:r>
      <w:r>
        <w:rPr>
          <w:sz w:val="26"/>
        </w:rPr>
        <w:t>learned Senior Counsel submitted that the exclusion of women between the ages ten and fifty is permissible:</w:t>
      </w:r>
    </w:p>
    <w:p w:rsidR="003B2FC0" w:rsidRDefault="00052A49">
      <w:pPr>
        <w:pStyle w:val="ListParagraph"/>
        <w:numPr>
          <w:ilvl w:val="0"/>
          <w:numId w:val="25"/>
        </w:numPr>
        <w:tabs>
          <w:tab w:val="left" w:pos="1120"/>
          <w:tab w:val="left" w:pos="1121"/>
        </w:tabs>
        <w:spacing w:before="201"/>
        <w:rPr>
          <w:sz w:val="26"/>
        </w:rPr>
      </w:pPr>
      <w:r>
        <w:rPr>
          <w:sz w:val="26"/>
        </w:rPr>
        <w:t>The impugned practice constitutes an Essential Religious Practice;</w:t>
      </w:r>
      <w:r>
        <w:rPr>
          <w:spacing w:val="-3"/>
          <w:sz w:val="26"/>
        </w:rPr>
        <w:t xml:space="preserve"> </w:t>
      </w:r>
      <w:r>
        <w:rPr>
          <w:sz w:val="26"/>
        </w:rPr>
        <w:t>and</w:t>
      </w:r>
    </w:p>
    <w:p w:rsidR="003B2FC0" w:rsidRDefault="003B2FC0">
      <w:pPr>
        <w:rPr>
          <w:sz w:val="26"/>
        </w:rPr>
        <w:sectPr w:rsidR="003B2FC0">
          <w:footerReference w:type="default" r:id="rId350"/>
          <w:pgSz w:w="11910" w:h="16840"/>
          <w:pgMar w:top="1080" w:right="980" w:bottom="1960" w:left="1040" w:header="708" w:footer="1768" w:gutter="0"/>
          <w:cols w:space="720"/>
        </w:sectPr>
      </w:pPr>
    </w:p>
    <w:p w:rsidR="003B2FC0" w:rsidRDefault="003B2FC0">
      <w:pPr>
        <w:spacing w:before="10"/>
        <w:rPr>
          <w:sz w:val="21"/>
        </w:rPr>
      </w:pPr>
    </w:p>
    <w:p w:rsidR="003B2FC0" w:rsidRDefault="00052A49">
      <w:pPr>
        <w:pStyle w:val="ListParagraph"/>
        <w:numPr>
          <w:ilvl w:val="0"/>
          <w:numId w:val="25"/>
        </w:numPr>
        <w:tabs>
          <w:tab w:val="left" w:pos="1120"/>
          <w:tab w:val="left" w:pos="1121"/>
        </w:tabs>
        <w:spacing w:before="91"/>
        <w:rPr>
          <w:sz w:val="26"/>
        </w:rPr>
      </w:pPr>
      <w:r>
        <w:rPr>
          <w:sz w:val="26"/>
        </w:rPr>
        <w:t>The prohibition of untouchability enshrined in Article 17 is</w:t>
      </w:r>
      <w:r>
        <w:rPr>
          <w:spacing w:val="-10"/>
          <w:sz w:val="26"/>
        </w:rPr>
        <w:t xml:space="preserve"> </w:t>
      </w:r>
      <w:r>
        <w:rPr>
          <w:sz w:val="26"/>
        </w:rPr>
        <w:t>inapplicable.</w:t>
      </w:r>
    </w:p>
    <w:p w:rsidR="003B2FC0" w:rsidRDefault="003B2FC0">
      <w:pPr>
        <w:rPr>
          <w:sz w:val="28"/>
        </w:rPr>
      </w:pPr>
    </w:p>
    <w:p w:rsidR="003B2FC0" w:rsidRDefault="003B2FC0">
      <w:pPr>
        <w:rPr>
          <w:sz w:val="28"/>
        </w:rPr>
      </w:pPr>
    </w:p>
    <w:p w:rsidR="003B2FC0" w:rsidRDefault="003B2FC0">
      <w:pPr>
        <w:spacing w:before="10"/>
        <w:rPr>
          <w:sz w:val="26"/>
        </w:rPr>
      </w:pPr>
    </w:p>
    <w:p w:rsidR="003B2FC0" w:rsidRDefault="00052A49">
      <w:pPr>
        <w:ind w:left="400"/>
        <w:rPr>
          <w:sz w:val="26"/>
        </w:rPr>
      </w:pPr>
      <w:r>
        <w:rPr>
          <w:sz w:val="26"/>
        </w:rPr>
        <w:t xml:space="preserve">Mr </w:t>
      </w:r>
      <w:r>
        <w:rPr>
          <w:b/>
          <w:sz w:val="26"/>
        </w:rPr>
        <w:t>V Giri</w:t>
      </w:r>
      <w:r>
        <w:rPr>
          <w:sz w:val="26"/>
        </w:rPr>
        <w:t>,</w:t>
      </w:r>
      <w:r>
        <w:rPr>
          <w:position w:val="9"/>
          <w:sz w:val="17"/>
        </w:rPr>
        <w:t xml:space="preserve">19 </w:t>
      </w:r>
      <w:r>
        <w:rPr>
          <w:sz w:val="26"/>
        </w:rPr>
        <w:t>learned Senior Counsel submitted thus:</w:t>
      </w:r>
    </w:p>
    <w:p w:rsidR="003B2FC0" w:rsidRDefault="003B2FC0">
      <w:pPr>
        <w:spacing w:before="3"/>
        <w:rPr>
          <w:sz w:val="43"/>
        </w:rPr>
      </w:pPr>
    </w:p>
    <w:p w:rsidR="003B2FC0" w:rsidRDefault="00052A49">
      <w:pPr>
        <w:spacing w:before="1" w:line="480" w:lineRule="auto"/>
        <w:ind w:left="1211" w:right="436" w:hanging="812"/>
        <w:jc w:val="both"/>
        <w:rPr>
          <w:sz w:val="26"/>
        </w:rPr>
      </w:pPr>
      <w:r>
        <w:rPr>
          <w:sz w:val="26"/>
        </w:rPr>
        <w:t>i.      The exclusion of women constitutes an Essential Religious Practice and is in accordance with character of the deity as a Naishtika Brahmacharya.</w:t>
      </w:r>
    </w:p>
    <w:p w:rsidR="003B2FC0" w:rsidRDefault="003B2FC0">
      <w:pPr>
        <w:rPr>
          <w:sz w:val="28"/>
        </w:rPr>
      </w:pPr>
    </w:p>
    <w:p w:rsidR="003B2FC0" w:rsidRDefault="003B2FC0">
      <w:pPr>
        <w:spacing w:before="9"/>
        <w:rPr>
          <w:sz w:val="28"/>
        </w:rPr>
      </w:pPr>
    </w:p>
    <w:p w:rsidR="003B2FC0" w:rsidRDefault="00052A49">
      <w:pPr>
        <w:spacing w:before="1" w:line="480" w:lineRule="auto"/>
        <w:ind w:left="400" w:right="434"/>
        <w:jc w:val="both"/>
        <w:rPr>
          <w:sz w:val="26"/>
        </w:rPr>
      </w:pPr>
      <w:r>
        <w:rPr>
          <w:sz w:val="26"/>
        </w:rPr>
        <w:t xml:space="preserve">Mr </w:t>
      </w:r>
      <w:r>
        <w:rPr>
          <w:b/>
          <w:sz w:val="26"/>
        </w:rPr>
        <w:t>J Sai Deepak</w:t>
      </w:r>
      <w:r>
        <w:rPr>
          <w:sz w:val="26"/>
        </w:rPr>
        <w:t>,</w:t>
      </w:r>
      <w:r>
        <w:rPr>
          <w:position w:val="9"/>
          <w:sz w:val="17"/>
        </w:rPr>
        <w:t xml:space="preserve">20 </w:t>
      </w:r>
      <w:r>
        <w:rPr>
          <w:sz w:val="26"/>
        </w:rPr>
        <w:t>learned Counsel submitted that the deity has constitutional rights and that the pr</w:t>
      </w:r>
      <w:r>
        <w:rPr>
          <w:sz w:val="26"/>
        </w:rPr>
        <w:t>actice of excluding women between the age group of ten and fifty from worship at the Sabarimala temple is constitutional and permissible:</w:t>
      </w:r>
    </w:p>
    <w:p w:rsidR="003B2FC0" w:rsidRDefault="00052A49">
      <w:pPr>
        <w:pStyle w:val="ListParagraph"/>
        <w:numPr>
          <w:ilvl w:val="0"/>
          <w:numId w:val="24"/>
        </w:numPr>
        <w:tabs>
          <w:tab w:val="left" w:pos="1211"/>
          <w:tab w:val="left" w:pos="1212"/>
        </w:tabs>
        <w:spacing w:before="200" w:line="480" w:lineRule="auto"/>
        <w:ind w:right="439" w:hanging="811"/>
        <w:rPr>
          <w:sz w:val="26"/>
        </w:rPr>
      </w:pPr>
      <w:r>
        <w:rPr>
          <w:sz w:val="26"/>
        </w:rPr>
        <w:t>The impugned practice is based on the character of the deity as a Naishtika</w:t>
      </w:r>
      <w:r>
        <w:rPr>
          <w:spacing w:val="-2"/>
          <w:sz w:val="26"/>
        </w:rPr>
        <w:t xml:space="preserve"> </w:t>
      </w:r>
      <w:r>
        <w:rPr>
          <w:sz w:val="26"/>
        </w:rPr>
        <w:t>Brahmacharya;</w:t>
      </w:r>
    </w:p>
    <w:p w:rsidR="003B2FC0" w:rsidRDefault="00052A49">
      <w:pPr>
        <w:pStyle w:val="ListParagraph"/>
        <w:numPr>
          <w:ilvl w:val="0"/>
          <w:numId w:val="24"/>
        </w:numPr>
        <w:tabs>
          <w:tab w:val="left" w:pos="1211"/>
          <w:tab w:val="left" w:pos="1212"/>
        </w:tabs>
        <w:spacing w:line="482" w:lineRule="auto"/>
        <w:ind w:right="438" w:hanging="811"/>
        <w:rPr>
          <w:sz w:val="26"/>
        </w:rPr>
      </w:pPr>
      <w:r>
        <w:rPr>
          <w:sz w:val="26"/>
        </w:rPr>
        <w:t>Given the form of the deity,</w:t>
      </w:r>
      <w:r>
        <w:rPr>
          <w:sz w:val="26"/>
        </w:rPr>
        <w:t xml:space="preserve"> the practice constitutes an Essential Religious</w:t>
      </w:r>
      <w:r>
        <w:rPr>
          <w:spacing w:val="-2"/>
          <w:sz w:val="26"/>
        </w:rPr>
        <w:t xml:space="preserve"> </w:t>
      </w:r>
      <w:r>
        <w:rPr>
          <w:sz w:val="26"/>
        </w:rPr>
        <w:t>Practice;</w:t>
      </w:r>
    </w:p>
    <w:p w:rsidR="003B2FC0" w:rsidRDefault="00052A49">
      <w:pPr>
        <w:pStyle w:val="ListParagraph"/>
        <w:numPr>
          <w:ilvl w:val="0"/>
          <w:numId w:val="24"/>
        </w:numPr>
        <w:tabs>
          <w:tab w:val="left" w:pos="1211"/>
          <w:tab w:val="left" w:pos="1212"/>
        </w:tabs>
        <w:spacing w:line="480" w:lineRule="auto"/>
        <w:ind w:right="436" w:hanging="811"/>
        <w:rPr>
          <w:sz w:val="26"/>
        </w:rPr>
      </w:pPr>
      <w:r>
        <w:rPr>
          <w:sz w:val="26"/>
        </w:rPr>
        <w:t>The</w:t>
      </w:r>
      <w:r>
        <w:rPr>
          <w:spacing w:val="-15"/>
          <w:sz w:val="26"/>
        </w:rPr>
        <w:t xml:space="preserve"> </w:t>
      </w:r>
      <w:r>
        <w:rPr>
          <w:sz w:val="26"/>
        </w:rPr>
        <w:t>devotees</w:t>
      </w:r>
      <w:r>
        <w:rPr>
          <w:spacing w:val="-14"/>
          <w:sz w:val="26"/>
        </w:rPr>
        <w:t xml:space="preserve"> </w:t>
      </w:r>
      <w:r>
        <w:rPr>
          <w:sz w:val="26"/>
        </w:rPr>
        <w:t>of</w:t>
      </w:r>
      <w:r>
        <w:rPr>
          <w:spacing w:val="-15"/>
          <w:sz w:val="26"/>
        </w:rPr>
        <w:t xml:space="preserve"> </w:t>
      </w:r>
      <w:r>
        <w:rPr>
          <w:sz w:val="26"/>
        </w:rPr>
        <w:t>Lord</w:t>
      </w:r>
      <w:r>
        <w:rPr>
          <w:spacing w:val="-12"/>
          <w:sz w:val="26"/>
        </w:rPr>
        <w:t xml:space="preserve"> </w:t>
      </w:r>
      <w:r>
        <w:rPr>
          <w:sz w:val="26"/>
        </w:rPr>
        <w:t>Ayyappa</w:t>
      </w:r>
      <w:r>
        <w:rPr>
          <w:spacing w:val="-15"/>
          <w:sz w:val="26"/>
        </w:rPr>
        <w:t xml:space="preserve"> </w:t>
      </w:r>
      <w:r>
        <w:rPr>
          <w:sz w:val="26"/>
        </w:rPr>
        <w:t>constitute</w:t>
      </w:r>
      <w:r>
        <w:rPr>
          <w:spacing w:val="-14"/>
          <w:sz w:val="26"/>
        </w:rPr>
        <w:t xml:space="preserve"> </w:t>
      </w:r>
      <w:r>
        <w:rPr>
          <w:sz w:val="26"/>
        </w:rPr>
        <w:t>a</w:t>
      </w:r>
      <w:r>
        <w:rPr>
          <w:spacing w:val="-12"/>
          <w:sz w:val="26"/>
        </w:rPr>
        <w:t xml:space="preserve"> </w:t>
      </w:r>
      <w:r>
        <w:rPr>
          <w:sz w:val="26"/>
        </w:rPr>
        <w:t>religious</w:t>
      </w:r>
      <w:r>
        <w:rPr>
          <w:spacing w:val="-15"/>
          <w:sz w:val="26"/>
        </w:rPr>
        <w:t xml:space="preserve"> </w:t>
      </w:r>
      <w:r>
        <w:rPr>
          <w:sz w:val="26"/>
        </w:rPr>
        <w:t>denomination</w:t>
      </w:r>
      <w:r>
        <w:rPr>
          <w:spacing w:val="-14"/>
          <w:sz w:val="26"/>
        </w:rPr>
        <w:t xml:space="preserve"> </w:t>
      </w:r>
      <w:r>
        <w:rPr>
          <w:sz w:val="26"/>
        </w:rPr>
        <w:t>under Article 26 of the</w:t>
      </w:r>
      <w:r>
        <w:rPr>
          <w:spacing w:val="-6"/>
          <w:sz w:val="26"/>
        </w:rPr>
        <w:t xml:space="preserve"> </w:t>
      </w:r>
      <w:r>
        <w:rPr>
          <w:sz w:val="26"/>
        </w:rPr>
        <w:t>Constitution;</w:t>
      </w:r>
    </w:p>
    <w:p w:rsidR="003B2FC0" w:rsidRDefault="00052A49">
      <w:pPr>
        <w:pStyle w:val="ListParagraph"/>
        <w:numPr>
          <w:ilvl w:val="0"/>
          <w:numId w:val="24"/>
        </w:numPr>
        <w:tabs>
          <w:tab w:val="left" w:pos="1211"/>
          <w:tab w:val="left" w:pos="1212"/>
          <w:tab w:val="left" w:pos="1938"/>
          <w:tab w:val="left" w:pos="2504"/>
          <w:tab w:val="left" w:pos="3763"/>
          <w:tab w:val="left" w:pos="4514"/>
          <w:tab w:val="left" w:pos="4936"/>
          <w:tab w:val="left" w:pos="6457"/>
          <w:tab w:val="left" w:pos="7530"/>
          <w:tab w:val="left" w:pos="7923"/>
          <w:tab w:val="left" w:pos="8273"/>
          <w:tab w:val="left" w:pos="9228"/>
        </w:tabs>
        <w:spacing w:line="480" w:lineRule="auto"/>
        <w:ind w:right="439" w:hanging="811"/>
        <w:rPr>
          <w:sz w:val="26"/>
        </w:rPr>
      </w:pPr>
      <w:r>
        <w:rPr>
          <w:sz w:val="26"/>
        </w:rPr>
        <w:t>That</w:t>
      </w:r>
      <w:r>
        <w:rPr>
          <w:sz w:val="26"/>
        </w:rPr>
        <w:tab/>
        <w:t>the</w:t>
      </w:r>
      <w:r>
        <w:rPr>
          <w:sz w:val="26"/>
        </w:rPr>
        <w:tab/>
        <w:t>presiding</w:t>
      </w:r>
      <w:r>
        <w:rPr>
          <w:sz w:val="26"/>
        </w:rPr>
        <w:tab/>
        <w:t>deity</w:t>
      </w:r>
      <w:r>
        <w:rPr>
          <w:sz w:val="26"/>
        </w:rPr>
        <w:tab/>
        <w:t>of</w:t>
      </w:r>
      <w:r>
        <w:rPr>
          <w:sz w:val="26"/>
        </w:rPr>
        <w:tab/>
        <w:t>Sabarimala</w:t>
      </w:r>
      <w:r>
        <w:rPr>
          <w:sz w:val="26"/>
        </w:rPr>
        <w:tab/>
        <w:t>Temple</w:t>
      </w:r>
      <w:r>
        <w:rPr>
          <w:sz w:val="26"/>
        </w:rPr>
        <w:tab/>
        <w:t>is</w:t>
      </w:r>
      <w:r>
        <w:rPr>
          <w:sz w:val="26"/>
        </w:rPr>
        <w:tab/>
        <w:t>a</w:t>
      </w:r>
      <w:r>
        <w:rPr>
          <w:sz w:val="26"/>
        </w:rPr>
        <w:tab/>
        <w:t>bearer</w:t>
      </w:r>
      <w:r>
        <w:rPr>
          <w:sz w:val="26"/>
        </w:rPr>
        <w:tab/>
      </w:r>
      <w:r>
        <w:rPr>
          <w:spacing w:val="-9"/>
          <w:sz w:val="26"/>
        </w:rPr>
        <w:t xml:space="preserve">of </w:t>
      </w:r>
      <w:r>
        <w:rPr>
          <w:sz w:val="26"/>
        </w:rPr>
        <w:t>constitutional rights under Articles 21 and 25 of the</w:t>
      </w:r>
      <w:r>
        <w:rPr>
          <w:spacing w:val="-7"/>
          <w:sz w:val="26"/>
        </w:rPr>
        <w:t xml:space="preserve"> </w:t>
      </w:r>
      <w:r>
        <w:rPr>
          <w:sz w:val="26"/>
        </w:rPr>
        <w:t>Constitution;</w:t>
      </w:r>
    </w:p>
    <w:p w:rsidR="003B2FC0" w:rsidRDefault="00052A49">
      <w:pPr>
        <w:pStyle w:val="ListParagraph"/>
        <w:numPr>
          <w:ilvl w:val="0"/>
          <w:numId w:val="24"/>
        </w:numPr>
        <w:tabs>
          <w:tab w:val="left" w:pos="1211"/>
          <w:tab w:val="left" w:pos="1212"/>
        </w:tabs>
        <w:spacing w:line="480" w:lineRule="auto"/>
        <w:ind w:right="433" w:hanging="811"/>
        <w:rPr>
          <w:sz w:val="26"/>
        </w:rPr>
      </w:pPr>
      <w:r>
        <w:rPr>
          <w:sz w:val="26"/>
        </w:rPr>
        <w:t>Article 17 of the Constitution has no applicability as it applies only to untouchability based on caste and religion; and</w:t>
      </w:r>
    </w:p>
    <w:p w:rsidR="003B2FC0" w:rsidRDefault="003B2FC0">
      <w:pPr>
        <w:spacing w:line="480" w:lineRule="auto"/>
        <w:rPr>
          <w:sz w:val="26"/>
        </w:rPr>
        <w:sectPr w:rsidR="003B2FC0">
          <w:footerReference w:type="default" r:id="rId351"/>
          <w:pgSz w:w="11910" w:h="16840"/>
          <w:pgMar w:top="1080" w:right="980" w:bottom="1960" w:left="1040" w:header="708" w:footer="1768" w:gutter="0"/>
          <w:cols w:space="720"/>
        </w:sectPr>
      </w:pPr>
    </w:p>
    <w:p w:rsidR="003B2FC0" w:rsidRDefault="003B2FC0">
      <w:pPr>
        <w:spacing w:before="10"/>
        <w:rPr>
          <w:sz w:val="21"/>
        </w:rPr>
      </w:pPr>
    </w:p>
    <w:p w:rsidR="003B2FC0" w:rsidRDefault="00052A49">
      <w:pPr>
        <w:pStyle w:val="ListParagraph"/>
        <w:numPr>
          <w:ilvl w:val="0"/>
          <w:numId w:val="24"/>
        </w:numPr>
        <w:tabs>
          <w:tab w:val="left" w:pos="1211"/>
          <w:tab w:val="left" w:pos="1212"/>
        </w:tabs>
        <w:spacing w:before="91" w:line="480" w:lineRule="auto"/>
        <w:ind w:right="432" w:hanging="811"/>
        <w:rPr>
          <w:sz w:val="26"/>
        </w:rPr>
      </w:pPr>
      <w:r>
        <w:rPr>
          <w:sz w:val="26"/>
        </w:rPr>
        <w:t>The impugned Rules and Act flow from the right of the denomination under Article 26 and are constitutionally</w:t>
      </w:r>
      <w:r>
        <w:rPr>
          <w:spacing w:val="-3"/>
          <w:sz w:val="26"/>
        </w:rPr>
        <w:t xml:space="preserve"> </w:t>
      </w:r>
      <w:r>
        <w:rPr>
          <w:sz w:val="26"/>
        </w:rPr>
        <w:t>valid.</w:t>
      </w:r>
    </w:p>
    <w:p w:rsidR="003B2FC0" w:rsidRDefault="003B2FC0">
      <w:pPr>
        <w:spacing w:before="6"/>
        <w:rPr>
          <w:sz w:val="39"/>
        </w:rPr>
      </w:pPr>
    </w:p>
    <w:p w:rsidR="003B2FC0" w:rsidRDefault="00052A49">
      <w:pPr>
        <w:spacing w:line="480" w:lineRule="auto"/>
        <w:ind w:left="400"/>
        <w:rPr>
          <w:sz w:val="26"/>
        </w:rPr>
      </w:pPr>
      <w:r>
        <w:rPr>
          <w:sz w:val="26"/>
        </w:rPr>
        <w:t xml:space="preserve">Mr </w:t>
      </w:r>
      <w:r>
        <w:rPr>
          <w:b/>
          <w:sz w:val="26"/>
        </w:rPr>
        <w:t>V K Biju</w:t>
      </w:r>
      <w:r>
        <w:rPr>
          <w:sz w:val="26"/>
        </w:rPr>
        <w:t>,</w:t>
      </w:r>
      <w:r>
        <w:rPr>
          <w:position w:val="9"/>
          <w:sz w:val="17"/>
        </w:rPr>
        <w:t xml:space="preserve">21 </w:t>
      </w:r>
      <w:r>
        <w:rPr>
          <w:sz w:val="26"/>
        </w:rPr>
        <w:t>learned Counsel submitted that the exclusion is constitutionally permissible:</w:t>
      </w:r>
    </w:p>
    <w:p w:rsidR="003B2FC0" w:rsidRDefault="00052A49">
      <w:pPr>
        <w:pStyle w:val="ListParagraph"/>
        <w:numPr>
          <w:ilvl w:val="0"/>
          <w:numId w:val="23"/>
        </w:numPr>
        <w:tabs>
          <w:tab w:val="left" w:pos="1211"/>
          <w:tab w:val="left" w:pos="1212"/>
        </w:tabs>
        <w:spacing w:before="199" w:line="480" w:lineRule="auto"/>
        <w:ind w:right="441" w:hanging="811"/>
        <w:rPr>
          <w:sz w:val="26"/>
        </w:rPr>
      </w:pPr>
      <w:r>
        <w:rPr>
          <w:sz w:val="26"/>
        </w:rPr>
        <w:t>That the right of the deity as a juristic person sitting as a Naishtika Brahmacharya cannot be</w:t>
      </w:r>
      <w:r>
        <w:rPr>
          <w:spacing w:val="-4"/>
          <w:sz w:val="26"/>
        </w:rPr>
        <w:t xml:space="preserve"> </w:t>
      </w:r>
      <w:r>
        <w:rPr>
          <w:sz w:val="26"/>
        </w:rPr>
        <w:t>questioned;</w:t>
      </w:r>
    </w:p>
    <w:p w:rsidR="003B2FC0" w:rsidRDefault="00052A49">
      <w:pPr>
        <w:pStyle w:val="ListParagraph"/>
        <w:numPr>
          <w:ilvl w:val="0"/>
          <w:numId w:val="23"/>
        </w:numPr>
        <w:tabs>
          <w:tab w:val="left" w:pos="1211"/>
          <w:tab w:val="left" w:pos="1212"/>
        </w:tabs>
        <w:spacing w:line="482" w:lineRule="auto"/>
        <w:ind w:right="440" w:hanging="811"/>
        <w:rPr>
          <w:sz w:val="26"/>
        </w:rPr>
      </w:pPr>
      <w:r>
        <w:rPr>
          <w:sz w:val="26"/>
        </w:rPr>
        <w:t>That the exclusion is protected under Article 25 and 26 of the Constitu</w:t>
      </w:r>
      <w:r>
        <w:rPr>
          <w:sz w:val="26"/>
        </w:rPr>
        <w:t>tion; and</w:t>
      </w:r>
    </w:p>
    <w:p w:rsidR="003B2FC0" w:rsidRDefault="00052A49">
      <w:pPr>
        <w:pStyle w:val="ListParagraph"/>
        <w:numPr>
          <w:ilvl w:val="0"/>
          <w:numId w:val="23"/>
        </w:numPr>
        <w:tabs>
          <w:tab w:val="left" w:pos="1211"/>
          <w:tab w:val="left" w:pos="1212"/>
        </w:tabs>
        <w:spacing w:line="480" w:lineRule="auto"/>
        <w:ind w:right="438" w:hanging="811"/>
        <w:rPr>
          <w:sz w:val="26"/>
        </w:rPr>
      </w:pPr>
      <w:r>
        <w:rPr>
          <w:sz w:val="26"/>
        </w:rPr>
        <w:t xml:space="preserve">The issue at hand cannot be decided without a determination of </w:t>
      </w:r>
      <w:r>
        <w:rPr>
          <w:spacing w:val="-3"/>
          <w:sz w:val="26"/>
        </w:rPr>
        <w:t xml:space="preserve">facts </w:t>
      </w:r>
      <w:r>
        <w:rPr>
          <w:sz w:val="26"/>
        </w:rPr>
        <w:t>that would take place at</w:t>
      </w:r>
      <w:r>
        <w:rPr>
          <w:spacing w:val="-2"/>
          <w:sz w:val="26"/>
        </w:rPr>
        <w:t xml:space="preserve"> </w:t>
      </w:r>
      <w:r>
        <w:rPr>
          <w:sz w:val="26"/>
        </w:rPr>
        <w:t>trial.</w:t>
      </w:r>
    </w:p>
    <w:p w:rsidR="003B2FC0" w:rsidRDefault="003B2FC0">
      <w:pPr>
        <w:rPr>
          <w:sz w:val="28"/>
        </w:rPr>
      </w:pPr>
    </w:p>
    <w:p w:rsidR="003B2FC0" w:rsidRDefault="003B2FC0">
      <w:pPr>
        <w:spacing w:before="5"/>
        <w:rPr>
          <w:sz w:val="28"/>
        </w:rPr>
      </w:pPr>
    </w:p>
    <w:p w:rsidR="003B2FC0" w:rsidRDefault="00052A49">
      <w:pPr>
        <w:tabs>
          <w:tab w:val="left" w:pos="928"/>
          <w:tab w:val="left" w:pos="1892"/>
          <w:tab w:val="left" w:pos="4694"/>
          <w:tab w:val="left" w:pos="5788"/>
          <w:tab w:val="left" w:pos="6968"/>
          <w:tab w:val="left" w:pos="7848"/>
          <w:tab w:val="left" w:pos="8436"/>
        </w:tabs>
        <w:spacing w:before="1" w:line="480" w:lineRule="auto"/>
        <w:ind w:left="400" w:right="437"/>
        <w:rPr>
          <w:sz w:val="26"/>
        </w:rPr>
      </w:pPr>
      <w:r>
        <w:rPr>
          <w:sz w:val="26"/>
        </w:rPr>
        <w:t>Mr</w:t>
      </w:r>
      <w:r>
        <w:rPr>
          <w:sz w:val="26"/>
        </w:rPr>
        <w:tab/>
      </w:r>
      <w:r>
        <w:rPr>
          <w:b/>
          <w:sz w:val="26"/>
        </w:rPr>
        <w:t>Gopal</w:t>
      </w:r>
      <w:r>
        <w:rPr>
          <w:b/>
          <w:sz w:val="26"/>
        </w:rPr>
        <w:tab/>
        <w:t>Sankaranarayanan</w:t>
      </w:r>
      <w:r>
        <w:rPr>
          <w:sz w:val="26"/>
        </w:rPr>
        <w:t>,</w:t>
      </w:r>
      <w:r>
        <w:rPr>
          <w:position w:val="9"/>
          <w:sz w:val="17"/>
        </w:rPr>
        <w:t>22</w:t>
      </w:r>
      <w:r>
        <w:rPr>
          <w:position w:val="9"/>
          <w:sz w:val="17"/>
        </w:rPr>
        <w:tab/>
      </w:r>
      <w:r>
        <w:rPr>
          <w:sz w:val="26"/>
        </w:rPr>
        <w:t>learned</w:t>
      </w:r>
      <w:r>
        <w:rPr>
          <w:sz w:val="26"/>
        </w:rPr>
        <w:tab/>
        <w:t>Counsel</w:t>
      </w:r>
      <w:r>
        <w:rPr>
          <w:sz w:val="26"/>
        </w:rPr>
        <w:tab/>
        <w:t>made</w:t>
      </w:r>
      <w:r>
        <w:rPr>
          <w:sz w:val="26"/>
        </w:rPr>
        <w:tab/>
        <w:t>the</w:t>
      </w:r>
      <w:r>
        <w:rPr>
          <w:sz w:val="26"/>
        </w:rPr>
        <w:tab/>
      </w:r>
      <w:r>
        <w:rPr>
          <w:spacing w:val="-3"/>
          <w:sz w:val="26"/>
        </w:rPr>
        <w:t xml:space="preserve">following </w:t>
      </w:r>
      <w:r>
        <w:rPr>
          <w:sz w:val="26"/>
        </w:rPr>
        <w:t>submissions:</w:t>
      </w:r>
    </w:p>
    <w:p w:rsidR="003B2FC0" w:rsidRDefault="00052A49">
      <w:pPr>
        <w:pStyle w:val="ListParagraph"/>
        <w:numPr>
          <w:ilvl w:val="0"/>
          <w:numId w:val="22"/>
        </w:numPr>
        <w:tabs>
          <w:tab w:val="left" w:pos="1480"/>
          <w:tab w:val="left" w:pos="1481"/>
        </w:tabs>
        <w:spacing w:before="198"/>
        <w:rPr>
          <w:sz w:val="26"/>
        </w:rPr>
      </w:pPr>
      <w:r>
        <w:rPr>
          <w:sz w:val="26"/>
        </w:rPr>
        <w:t>That Article 25 is not applicable to the present</w:t>
      </w:r>
      <w:r>
        <w:rPr>
          <w:spacing w:val="-7"/>
          <w:sz w:val="26"/>
        </w:rPr>
        <w:t xml:space="preserve"> </w:t>
      </w:r>
      <w:r>
        <w:rPr>
          <w:sz w:val="26"/>
        </w:rPr>
        <w:t>case;</w:t>
      </w:r>
    </w:p>
    <w:p w:rsidR="003B2FC0" w:rsidRDefault="003B2FC0">
      <w:pPr>
        <w:spacing w:before="11"/>
        <w:rPr>
          <w:sz w:val="25"/>
        </w:rPr>
      </w:pPr>
    </w:p>
    <w:p w:rsidR="003B2FC0" w:rsidRDefault="00052A49">
      <w:pPr>
        <w:pStyle w:val="ListParagraph"/>
        <w:numPr>
          <w:ilvl w:val="0"/>
          <w:numId w:val="22"/>
        </w:numPr>
        <w:tabs>
          <w:tab w:val="left" w:pos="1480"/>
          <w:tab w:val="left" w:pos="1481"/>
        </w:tabs>
        <w:spacing w:line="482" w:lineRule="auto"/>
        <w:ind w:right="435"/>
        <w:jc w:val="both"/>
        <w:rPr>
          <w:sz w:val="26"/>
        </w:rPr>
      </w:pPr>
      <w:r>
        <w:rPr>
          <w:sz w:val="26"/>
        </w:rPr>
        <w:t>That</w:t>
      </w:r>
      <w:r>
        <w:rPr>
          <w:spacing w:val="-19"/>
          <w:sz w:val="26"/>
        </w:rPr>
        <w:t xml:space="preserve"> </w:t>
      </w:r>
      <w:r>
        <w:rPr>
          <w:sz w:val="26"/>
        </w:rPr>
        <w:t>the</w:t>
      </w:r>
      <w:r>
        <w:rPr>
          <w:spacing w:val="-19"/>
          <w:sz w:val="26"/>
        </w:rPr>
        <w:t xml:space="preserve"> </w:t>
      </w:r>
      <w:r>
        <w:rPr>
          <w:sz w:val="26"/>
        </w:rPr>
        <w:t>d</w:t>
      </w:r>
      <w:r>
        <w:rPr>
          <w:sz w:val="26"/>
        </w:rPr>
        <w:t>evotees</w:t>
      </w:r>
      <w:r>
        <w:rPr>
          <w:spacing w:val="-19"/>
          <w:sz w:val="26"/>
        </w:rPr>
        <w:t xml:space="preserve"> </w:t>
      </w:r>
      <w:r>
        <w:rPr>
          <w:sz w:val="26"/>
        </w:rPr>
        <w:t>of</w:t>
      </w:r>
      <w:r>
        <w:rPr>
          <w:spacing w:val="-16"/>
          <w:sz w:val="26"/>
        </w:rPr>
        <w:t xml:space="preserve"> </w:t>
      </w:r>
      <w:r>
        <w:rPr>
          <w:sz w:val="26"/>
        </w:rPr>
        <w:t>Lord</w:t>
      </w:r>
      <w:r>
        <w:rPr>
          <w:spacing w:val="-19"/>
          <w:sz w:val="26"/>
        </w:rPr>
        <w:t xml:space="preserve"> </w:t>
      </w:r>
      <w:r>
        <w:rPr>
          <w:sz w:val="26"/>
        </w:rPr>
        <w:t>Ayyappa</w:t>
      </w:r>
      <w:r>
        <w:rPr>
          <w:spacing w:val="-17"/>
          <w:sz w:val="26"/>
        </w:rPr>
        <w:t xml:space="preserve"> </w:t>
      </w:r>
      <w:r>
        <w:rPr>
          <w:sz w:val="26"/>
        </w:rPr>
        <w:t>constitute</w:t>
      </w:r>
      <w:r>
        <w:rPr>
          <w:spacing w:val="-19"/>
          <w:sz w:val="26"/>
        </w:rPr>
        <w:t xml:space="preserve"> </w:t>
      </w:r>
      <w:r>
        <w:rPr>
          <w:sz w:val="26"/>
        </w:rPr>
        <w:t>a</w:t>
      </w:r>
      <w:r>
        <w:rPr>
          <w:spacing w:val="-19"/>
          <w:sz w:val="26"/>
        </w:rPr>
        <w:t xml:space="preserve"> </w:t>
      </w:r>
      <w:r>
        <w:rPr>
          <w:sz w:val="26"/>
        </w:rPr>
        <w:t>religious</w:t>
      </w:r>
      <w:r>
        <w:rPr>
          <w:spacing w:val="-16"/>
          <w:sz w:val="26"/>
        </w:rPr>
        <w:t xml:space="preserve"> </w:t>
      </w:r>
      <w:r>
        <w:rPr>
          <w:sz w:val="26"/>
        </w:rPr>
        <w:t>denomination under Article 26 of the Constitution;</w:t>
      </w:r>
      <w:r>
        <w:rPr>
          <w:spacing w:val="-3"/>
          <w:sz w:val="26"/>
        </w:rPr>
        <w:t xml:space="preserve"> </w:t>
      </w:r>
      <w:r>
        <w:rPr>
          <w:sz w:val="26"/>
        </w:rPr>
        <w:t>and</w:t>
      </w:r>
    </w:p>
    <w:p w:rsidR="003B2FC0" w:rsidRDefault="00052A49">
      <w:pPr>
        <w:pStyle w:val="ListParagraph"/>
        <w:numPr>
          <w:ilvl w:val="0"/>
          <w:numId w:val="22"/>
        </w:numPr>
        <w:tabs>
          <w:tab w:val="left" w:pos="1480"/>
          <w:tab w:val="left" w:pos="1481"/>
        </w:tabs>
        <w:spacing w:line="480" w:lineRule="auto"/>
        <w:ind w:right="433"/>
        <w:jc w:val="both"/>
        <w:rPr>
          <w:sz w:val="26"/>
        </w:rPr>
      </w:pPr>
      <w:r>
        <w:rPr>
          <w:sz w:val="26"/>
        </w:rPr>
        <w:t>The 1965 Act does not apply to the Sabarimala temple; In any case, the proviso to Rule 3 of the 1965 Rules protects the rights of religious denominations.</w:t>
      </w:r>
    </w:p>
    <w:p w:rsidR="003B2FC0" w:rsidRDefault="003B2FC0">
      <w:pPr>
        <w:spacing w:line="480" w:lineRule="auto"/>
        <w:jc w:val="both"/>
        <w:rPr>
          <w:sz w:val="26"/>
        </w:rPr>
        <w:sectPr w:rsidR="003B2FC0">
          <w:footerReference w:type="default" r:id="rId352"/>
          <w:pgSz w:w="11910" w:h="16840"/>
          <w:pgMar w:top="1080" w:right="980" w:bottom="1960" w:left="1040" w:header="708" w:footer="1768" w:gutter="0"/>
          <w:cols w:space="720"/>
        </w:sectPr>
      </w:pPr>
    </w:p>
    <w:p w:rsidR="003B2FC0" w:rsidRDefault="003B2FC0">
      <w:pPr>
        <w:spacing w:before="10"/>
        <w:rPr>
          <w:sz w:val="21"/>
        </w:rPr>
      </w:pPr>
    </w:p>
    <w:p w:rsidR="003B2FC0" w:rsidRDefault="00052A49">
      <w:pPr>
        <w:pStyle w:val="Heading1"/>
        <w:numPr>
          <w:ilvl w:val="0"/>
          <w:numId w:val="40"/>
        </w:numPr>
        <w:tabs>
          <w:tab w:val="left" w:pos="1120"/>
          <w:tab w:val="left" w:pos="1121"/>
        </w:tabs>
        <w:spacing w:before="92"/>
        <w:ind w:left="1120" w:hanging="720"/>
        <w:jc w:val="left"/>
      </w:pPr>
      <w:r>
        <w:t>Essential Religious</w:t>
      </w:r>
      <w:r>
        <w:rPr>
          <w:spacing w:val="-10"/>
        </w:rPr>
        <w:t xml:space="preserve"> </w:t>
      </w:r>
      <w:r>
        <w:t>Practices</w:t>
      </w:r>
    </w:p>
    <w:p w:rsidR="003B2FC0" w:rsidRDefault="003B2FC0">
      <w:pPr>
        <w:rPr>
          <w:b/>
          <w:sz w:val="30"/>
        </w:rPr>
      </w:pPr>
    </w:p>
    <w:p w:rsidR="003B2FC0" w:rsidRDefault="003B2FC0">
      <w:pPr>
        <w:rPr>
          <w:b/>
          <w:sz w:val="30"/>
        </w:rPr>
      </w:pPr>
    </w:p>
    <w:p w:rsidR="003B2FC0" w:rsidRDefault="003B2FC0">
      <w:pPr>
        <w:spacing w:before="8"/>
        <w:rPr>
          <w:b/>
          <w:sz w:val="30"/>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 xml:space="preserve">The doctrine of essential religious practices was first articulated in 1954, in </w:t>
      </w:r>
      <w:r>
        <w:rPr>
          <w:b/>
          <w:sz w:val="26"/>
        </w:rPr>
        <w:t xml:space="preserve">Commissioner, Hindu Religious Endowments, Madras </w:t>
      </w:r>
      <w:r>
        <w:rPr>
          <w:sz w:val="26"/>
        </w:rPr>
        <w:t xml:space="preserve">v </w:t>
      </w:r>
      <w:r>
        <w:rPr>
          <w:b/>
          <w:spacing w:val="-5"/>
          <w:sz w:val="26"/>
        </w:rPr>
        <w:t xml:space="preserve">Sri </w:t>
      </w:r>
      <w:r>
        <w:rPr>
          <w:b/>
          <w:sz w:val="26"/>
        </w:rPr>
        <w:t>Lakshmindra Thirtha Swamiar of Shirur Mutt</w:t>
      </w:r>
      <w:r>
        <w:rPr>
          <w:position w:val="9"/>
          <w:sz w:val="17"/>
        </w:rPr>
        <w:t xml:space="preserve">23 </w:t>
      </w:r>
      <w:r>
        <w:rPr>
          <w:sz w:val="26"/>
        </w:rPr>
        <w:t>(“</w:t>
      </w:r>
      <w:r>
        <w:rPr>
          <w:b/>
          <w:sz w:val="26"/>
        </w:rPr>
        <w:t>Shirur Mutt</w:t>
      </w:r>
      <w:r>
        <w:rPr>
          <w:sz w:val="26"/>
        </w:rPr>
        <w:t>”). A seven judge</w:t>
      </w:r>
      <w:r>
        <w:rPr>
          <w:spacing w:val="-15"/>
          <w:sz w:val="26"/>
        </w:rPr>
        <w:t xml:space="preserve"> </w:t>
      </w:r>
      <w:r>
        <w:rPr>
          <w:sz w:val="26"/>
        </w:rPr>
        <w:t>Bench</w:t>
      </w:r>
      <w:r>
        <w:rPr>
          <w:spacing w:val="-14"/>
          <w:sz w:val="26"/>
        </w:rPr>
        <w:t xml:space="preserve"> </w:t>
      </w:r>
      <w:r>
        <w:rPr>
          <w:sz w:val="26"/>
        </w:rPr>
        <w:t>of</w:t>
      </w:r>
      <w:r>
        <w:rPr>
          <w:spacing w:val="-16"/>
          <w:sz w:val="26"/>
        </w:rPr>
        <w:t xml:space="preserve"> </w:t>
      </w:r>
      <w:r>
        <w:rPr>
          <w:sz w:val="26"/>
        </w:rPr>
        <w:t>this</w:t>
      </w:r>
      <w:r>
        <w:rPr>
          <w:spacing w:val="-16"/>
          <w:sz w:val="26"/>
        </w:rPr>
        <w:t xml:space="preserve"> </w:t>
      </w:r>
      <w:r>
        <w:rPr>
          <w:sz w:val="26"/>
        </w:rPr>
        <w:t>Court</w:t>
      </w:r>
      <w:r>
        <w:rPr>
          <w:spacing w:val="-16"/>
          <w:sz w:val="26"/>
        </w:rPr>
        <w:t xml:space="preserve"> </w:t>
      </w:r>
      <w:r>
        <w:rPr>
          <w:sz w:val="26"/>
        </w:rPr>
        <w:t>considered</w:t>
      </w:r>
      <w:r>
        <w:rPr>
          <w:spacing w:val="-16"/>
          <w:sz w:val="26"/>
        </w:rPr>
        <w:t xml:space="preserve"> </w:t>
      </w:r>
      <w:r>
        <w:rPr>
          <w:sz w:val="26"/>
        </w:rPr>
        <w:t>a</w:t>
      </w:r>
      <w:r>
        <w:rPr>
          <w:spacing w:val="-14"/>
          <w:sz w:val="26"/>
        </w:rPr>
        <w:t xml:space="preserve"> </w:t>
      </w:r>
      <w:r>
        <w:rPr>
          <w:sz w:val="26"/>
        </w:rPr>
        <w:t>challenge</w:t>
      </w:r>
      <w:r>
        <w:rPr>
          <w:spacing w:val="-15"/>
          <w:sz w:val="26"/>
        </w:rPr>
        <w:t xml:space="preserve"> </w:t>
      </w:r>
      <w:r>
        <w:rPr>
          <w:sz w:val="26"/>
        </w:rPr>
        <w:t>to</w:t>
      </w:r>
      <w:r>
        <w:rPr>
          <w:spacing w:val="-16"/>
          <w:sz w:val="26"/>
        </w:rPr>
        <w:t xml:space="preserve"> </w:t>
      </w:r>
      <w:r>
        <w:rPr>
          <w:sz w:val="26"/>
        </w:rPr>
        <w:t>the</w:t>
      </w:r>
      <w:r>
        <w:rPr>
          <w:spacing w:val="-14"/>
          <w:sz w:val="26"/>
        </w:rPr>
        <w:t xml:space="preserve"> </w:t>
      </w:r>
      <w:r>
        <w:rPr>
          <w:sz w:val="26"/>
        </w:rPr>
        <w:t>Madras</w:t>
      </w:r>
      <w:r>
        <w:rPr>
          <w:spacing w:val="-17"/>
          <w:sz w:val="26"/>
        </w:rPr>
        <w:t xml:space="preserve"> </w:t>
      </w:r>
      <w:r>
        <w:rPr>
          <w:sz w:val="26"/>
        </w:rPr>
        <w:t>Hindu</w:t>
      </w:r>
      <w:r>
        <w:rPr>
          <w:spacing w:val="-14"/>
          <w:sz w:val="26"/>
        </w:rPr>
        <w:t xml:space="preserve"> </w:t>
      </w:r>
      <w:r>
        <w:rPr>
          <w:sz w:val="26"/>
        </w:rPr>
        <w:t xml:space="preserve">Religious and Charitable Endowments Act 1951, which empowered </w:t>
      </w:r>
      <w:r>
        <w:rPr>
          <w:sz w:val="26"/>
        </w:rPr>
        <w:t>a statutory commissioner to frame and settle a scheme if they had reason to believe that the religious institution was mismanaging funds. The Petitioner, the mathadhipati (superior) of the Shirur Mutt monastery, claimed that the law interfered with his rig</w:t>
      </w:r>
      <w:r>
        <w:rPr>
          <w:sz w:val="26"/>
        </w:rPr>
        <w:t>ht to manage the religious affairs of the monastery, and therefore violated Article 26(b) of the</w:t>
      </w:r>
      <w:r>
        <w:rPr>
          <w:spacing w:val="-4"/>
          <w:sz w:val="26"/>
        </w:rPr>
        <w:t xml:space="preserve"> </w:t>
      </w:r>
      <w:r>
        <w:rPr>
          <w:sz w:val="26"/>
        </w:rPr>
        <w:t>Constitution.</w:t>
      </w:r>
    </w:p>
    <w:p w:rsidR="003B2FC0" w:rsidRDefault="003B2FC0">
      <w:pPr>
        <w:rPr>
          <w:sz w:val="28"/>
        </w:rPr>
      </w:pPr>
    </w:p>
    <w:p w:rsidR="003B2FC0" w:rsidRDefault="003B2FC0">
      <w:pPr>
        <w:spacing w:before="5"/>
        <w:rPr>
          <w:sz w:val="28"/>
        </w:rPr>
      </w:pPr>
    </w:p>
    <w:p w:rsidR="003B2FC0" w:rsidRDefault="00052A49">
      <w:pPr>
        <w:spacing w:line="480" w:lineRule="auto"/>
        <w:ind w:left="400" w:right="440"/>
        <w:jc w:val="both"/>
        <w:rPr>
          <w:sz w:val="26"/>
        </w:rPr>
      </w:pPr>
      <w:r>
        <w:rPr>
          <w:sz w:val="26"/>
        </w:rPr>
        <w:t>Justice B K Mukherjea, writing for the Court, noted that Article 26(b) allowed a religious denomination to ‘manage its own affairs in matters of religion’ and framed a question on the ambit of ‘matters of religion’:</w:t>
      </w:r>
    </w:p>
    <w:p w:rsidR="003B2FC0" w:rsidRDefault="00052A49">
      <w:pPr>
        <w:spacing w:before="198" w:line="276" w:lineRule="auto"/>
        <w:ind w:left="1840" w:right="2281"/>
        <w:jc w:val="both"/>
        <w:rPr>
          <w:sz w:val="21"/>
        </w:rPr>
      </w:pPr>
      <w:r>
        <w:rPr>
          <w:sz w:val="21"/>
        </w:rPr>
        <w:t>“16.The language undoubtedly suggests th</w:t>
      </w:r>
      <w:r>
        <w:rPr>
          <w:sz w:val="21"/>
        </w:rPr>
        <w:t xml:space="preserve">at there could be other affairs of a religious denomination or a section thereof which are not matters of religion and to which the guarantee given by this clause would not apply. </w:t>
      </w:r>
      <w:r>
        <w:rPr>
          <w:b/>
          <w:sz w:val="21"/>
        </w:rPr>
        <w:t>The question is, where is</w:t>
      </w:r>
      <w:r>
        <w:rPr>
          <w:b/>
          <w:spacing w:val="-14"/>
          <w:sz w:val="21"/>
        </w:rPr>
        <w:t xml:space="preserve"> </w:t>
      </w:r>
      <w:r>
        <w:rPr>
          <w:b/>
          <w:sz w:val="21"/>
        </w:rPr>
        <w:t>the</w:t>
      </w:r>
      <w:r>
        <w:rPr>
          <w:b/>
          <w:spacing w:val="-13"/>
          <w:sz w:val="21"/>
        </w:rPr>
        <w:t xml:space="preserve"> </w:t>
      </w:r>
      <w:r>
        <w:rPr>
          <w:b/>
          <w:sz w:val="21"/>
        </w:rPr>
        <w:t>line</w:t>
      </w:r>
      <w:r>
        <w:rPr>
          <w:b/>
          <w:spacing w:val="-15"/>
          <w:sz w:val="21"/>
        </w:rPr>
        <w:t xml:space="preserve"> </w:t>
      </w:r>
      <w:r>
        <w:rPr>
          <w:b/>
          <w:sz w:val="21"/>
        </w:rPr>
        <w:t>to</w:t>
      </w:r>
      <w:r>
        <w:rPr>
          <w:b/>
          <w:spacing w:val="-15"/>
          <w:sz w:val="21"/>
        </w:rPr>
        <w:t xml:space="preserve"> </w:t>
      </w:r>
      <w:r>
        <w:rPr>
          <w:b/>
          <w:sz w:val="21"/>
        </w:rPr>
        <w:t>be</w:t>
      </w:r>
      <w:r>
        <w:rPr>
          <w:b/>
          <w:spacing w:val="-16"/>
          <w:sz w:val="21"/>
        </w:rPr>
        <w:t xml:space="preserve"> </w:t>
      </w:r>
      <w:r>
        <w:rPr>
          <w:b/>
          <w:sz w:val="21"/>
        </w:rPr>
        <w:t>drawn</w:t>
      </w:r>
      <w:r>
        <w:rPr>
          <w:b/>
          <w:spacing w:val="-15"/>
          <w:sz w:val="21"/>
        </w:rPr>
        <w:t xml:space="preserve"> </w:t>
      </w:r>
      <w:r>
        <w:rPr>
          <w:b/>
          <w:sz w:val="21"/>
        </w:rPr>
        <w:t>between</w:t>
      </w:r>
      <w:r>
        <w:rPr>
          <w:b/>
          <w:spacing w:val="-15"/>
          <w:sz w:val="21"/>
        </w:rPr>
        <w:t xml:space="preserve"> </w:t>
      </w:r>
      <w:r>
        <w:rPr>
          <w:b/>
          <w:sz w:val="21"/>
        </w:rPr>
        <w:t>what</w:t>
      </w:r>
      <w:r>
        <w:rPr>
          <w:b/>
          <w:spacing w:val="-14"/>
          <w:sz w:val="21"/>
        </w:rPr>
        <w:t xml:space="preserve"> </w:t>
      </w:r>
      <w:r>
        <w:rPr>
          <w:b/>
          <w:sz w:val="21"/>
        </w:rPr>
        <w:t>are</w:t>
      </w:r>
      <w:r>
        <w:rPr>
          <w:b/>
          <w:spacing w:val="-14"/>
          <w:sz w:val="21"/>
        </w:rPr>
        <w:t xml:space="preserve"> </w:t>
      </w:r>
      <w:r>
        <w:rPr>
          <w:b/>
          <w:sz w:val="21"/>
        </w:rPr>
        <w:t>matters</w:t>
      </w:r>
      <w:r>
        <w:rPr>
          <w:b/>
          <w:spacing w:val="-16"/>
          <w:sz w:val="21"/>
        </w:rPr>
        <w:t xml:space="preserve"> </w:t>
      </w:r>
      <w:r>
        <w:rPr>
          <w:b/>
          <w:sz w:val="21"/>
        </w:rPr>
        <w:t>of</w:t>
      </w:r>
      <w:r>
        <w:rPr>
          <w:b/>
          <w:spacing w:val="-13"/>
          <w:sz w:val="21"/>
        </w:rPr>
        <w:t xml:space="preserve"> </w:t>
      </w:r>
      <w:r>
        <w:rPr>
          <w:b/>
          <w:sz w:val="21"/>
        </w:rPr>
        <w:t>r</w:t>
      </w:r>
      <w:r>
        <w:rPr>
          <w:b/>
          <w:sz w:val="21"/>
        </w:rPr>
        <w:t>eligion and what are</w:t>
      </w:r>
      <w:r>
        <w:rPr>
          <w:b/>
          <w:spacing w:val="-6"/>
          <w:sz w:val="21"/>
        </w:rPr>
        <w:t xml:space="preserve"> </w:t>
      </w:r>
      <w:r>
        <w:rPr>
          <w:b/>
          <w:sz w:val="21"/>
        </w:rPr>
        <w:t>not?</w:t>
      </w:r>
      <w:r>
        <w:rPr>
          <w:sz w:val="21"/>
        </w:rPr>
        <w:t>”</w:t>
      </w:r>
    </w:p>
    <w:p w:rsidR="003B2FC0" w:rsidRDefault="00052A49">
      <w:pPr>
        <w:spacing w:before="201"/>
        <w:ind w:left="1840"/>
        <w:jc w:val="both"/>
        <w:rPr>
          <w:sz w:val="21"/>
        </w:rPr>
      </w:pPr>
      <w:r>
        <w:rPr>
          <w:sz w:val="21"/>
        </w:rPr>
        <w:t>(Emphasis</w:t>
      </w:r>
      <w:r>
        <w:rPr>
          <w:spacing w:val="-3"/>
          <w:sz w:val="21"/>
        </w:rPr>
        <w:t xml:space="preserve"> </w:t>
      </w:r>
      <w:r>
        <w:rPr>
          <w:sz w:val="21"/>
        </w:rPr>
        <w:t>supplied)</w:t>
      </w:r>
    </w:p>
    <w:p w:rsidR="003B2FC0" w:rsidRDefault="003B2FC0">
      <w:pPr>
        <w:jc w:val="both"/>
        <w:rPr>
          <w:sz w:val="21"/>
        </w:rPr>
        <w:sectPr w:rsidR="003B2FC0">
          <w:headerReference w:type="default" r:id="rId353"/>
          <w:footerReference w:type="default" r:id="rId354"/>
          <w:pgSz w:w="11910" w:h="16840"/>
          <w:pgMar w:top="1080" w:right="980" w:bottom="1740" w:left="1040" w:header="708" w:footer="1559"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 xml:space="preserve">The Court cited with approval the judgment of the High Court of Australia in </w:t>
      </w:r>
      <w:r>
        <w:rPr>
          <w:b/>
          <w:sz w:val="26"/>
        </w:rPr>
        <w:t xml:space="preserve">Adelaide Company of Jehovah’s Witnesses Incorporated </w:t>
      </w:r>
      <w:r>
        <w:rPr>
          <w:sz w:val="26"/>
        </w:rPr>
        <w:t xml:space="preserve">v </w:t>
      </w:r>
      <w:r>
        <w:rPr>
          <w:b/>
          <w:sz w:val="26"/>
        </w:rPr>
        <w:t>The Commonwealth of Australia</w:t>
      </w:r>
      <w:r>
        <w:rPr>
          <w:position w:val="9"/>
          <w:sz w:val="17"/>
        </w:rPr>
        <w:t>24</w:t>
      </w:r>
      <w:r>
        <w:rPr>
          <w:sz w:val="26"/>
        </w:rPr>
        <w:t>, which held that the Constitution protected not only “liberty of opinion” but also “acts done in pursuance of religious belief as part of religion.” The court noted the importance of both religious belief and the practice th</w:t>
      </w:r>
      <w:r>
        <w:rPr>
          <w:sz w:val="26"/>
        </w:rPr>
        <w:t>at stems from it, and provided an expansive definition of ‘religion’:</w:t>
      </w:r>
    </w:p>
    <w:p w:rsidR="003B2FC0" w:rsidRDefault="00052A49">
      <w:pPr>
        <w:spacing w:before="194" w:line="276" w:lineRule="auto"/>
        <w:ind w:left="1840" w:right="2281"/>
        <w:jc w:val="both"/>
        <w:rPr>
          <w:sz w:val="21"/>
        </w:rPr>
      </w:pPr>
      <w:r>
        <w:rPr>
          <w:sz w:val="21"/>
        </w:rPr>
        <w:t>“A religion undoubtedly has its basis in a system of beliefs or doctrines which are regarded by those who profess that religion as conducive to their spiritual well-being, but it would n</w:t>
      </w:r>
      <w:r>
        <w:rPr>
          <w:sz w:val="21"/>
        </w:rPr>
        <w:t>ot be correct to say that religion is nothing else but a</w:t>
      </w:r>
      <w:r>
        <w:rPr>
          <w:spacing w:val="-38"/>
          <w:sz w:val="21"/>
        </w:rPr>
        <w:t xml:space="preserve"> </w:t>
      </w:r>
      <w:r>
        <w:rPr>
          <w:sz w:val="21"/>
        </w:rPr>
        <w:t>doctrine or belief...</w:t>
      </w:r>
      <w:r>
        <w:rPr>
          <w:b/>
          <w:sz w:val="21"/>
        </w:rPr>
        <w:t>The guarantee under our Constitution not only protects the freedom of religious opinion but it protects also acts done in pursuance of a religion and this is</w:t>
      </w:r>
      <w:r>
        <w:rPr>
          <w:b/>
          <w:spacing w:val="-34"/>
          <w:sz w:val="21"/>
        </w:rPr>
        <w:t xml:space="preserve"> </w:t>
      </w:r>
      <w:r>
        <w:rPr>
          <w:b/>
          <w:sz w:val="21"/>
        </w:rPr>
        <w:t>made clear by the us</w:t>
      </w:r>
      <w:r>
        <w:rPr>
          <w:b/>
          <w:sz w:val="21"/>
        </w:rPr>
        <w:t>e of the expression "practice of religion" in article</w:t>
      </w:r>
      <w:r>
        <w:rPr>
          <w:b/>
          <w:spacing w:val="-2"/>
          <w:sz w:val="21"/>
        </w:rPr>
        <w:t xml:space="preserve"> </w:t>
      </w:r>
      <w:r>
        <w:rPr>
          <w:b/>
          <w:sz w:val="21"/>
        </w:rPr>
        <w:t>25</w:t>
      </w:r>
      <w:r>
        <w:rPr>
          <w:sz w:val="21"/>
        </w:rPr>
        <w:t>.”</w:t>
      </w:r>
    </w:p>
    <w:p w:rsidR="003B2FC0" w:rsidRDefault="00052A49">
      <w:pPr>
        <w:spacing w:before="1"/>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85" w:line="480" w:lineRule="auto"/>
        <w:ind w:left="400" w:right="434"/>
        <w:jc w:val="both"/>
        <w:rPr>
          <w:sz w:val="26"/>
        </w:rPr>
      </w:pPr>
      <w:r>
        <w:rPr>
          <w:sz w:val="26"/>
        </w:rPr>
        <w:t>Drawing a distinction between religious and secular practices, the court held that:</w:t>
      </w:r>
    </w:p>
    <w:p w:rsidR="003B2FC0" w:rsidRDefault="00052A49">
      <w:pPr>
        <w:spacing w:before="197" w:line="276" w:lineRule="auto"/>
        <w:ind w:left="1840" w:right="2281"/>
        <w:jc w:val="both"/>
        <w:rPr>
          <w:sz w:val="21"/>
        </w:rPr>
      </w:pPr>
      <w:r>
        <w:rPr>
          <w:sz w:val="21"/>
        </w:rPr>
        <w:t>“...</w:t>
      </w:r>
      <w:r>
        <w:rPr>
          <w:b/>
          <w:sz w:val="21"/>
        </w:rPr>
        <w:t>What constitutes the essential part of a religion is primarily to be ascertained with r</w:t>
      </w:r>
      <w:r>
        <w:rPr>
          <w:b/>
          <w:sz w:val="21"/>
        </w:rPr>
        <w:t>eference to the</w:t>
      </w:r>
      <w:r>
        <w:rPr>
          <w:b/>
          <w:spacing w:val="-43"/>
          <w:sz w:val="21"/>
        </w:rPr>
        <w:t xml:space="preserve"> </w:t>
      </w:r>
      <w:r>
        <w:rPr>
          <w:b/>
          <w:sz w:val="21"/>
        </w:rPr>
        <w:t xml:space="preserve">doctrines of that religion itself. </w:t>
      </w:r>
      <w:r>
        <w:rPr>
          <w:sz w:val="21"/>
        </w:rPr>
        <w:t>If the tenets of any religious sect of the Hindus prescribe that offerings of food should be given to the idol</w:t>
      </w:r>
      <w:r>
        <w:rPr>
          <w:spacing w:val="-11"/>
          <w:sz w:val="21"/>
        </w:rPr>
        <w:t xml:space="preserve"> </w:t>
      </w:r>
      <w:r>
        <w:rPr>
          <w:sz w:val="21"/>
        </w:rPr>
        <w:t>at</w:t>
      </w:r>
      <w:r>
        <w:rPr>
          <w:spacing w:val="-11"/>
          <w:sz w:val="21"/>
        </w:rPr>
        <w:t xml:space="preserve"> </w:t>
      </w:r>
      <w:r>
        <w:rPr>
          <w:sz w:val="21"/>
        </w:rPr>
        <w:t>particular</w:t>
      </w:r>
      <w:r>
        <w:rPr>
          <w:spacing w:val="-11"/>
          <w:sz w:val="21"/>
        </w:rPr>
        <w:t xml:space="preserve"> </w:t>
      </w:r>
      <w:r>
        <w:rPr>
          <w:sz w:val="21"/>
        </w:rPr>
        <w:t>hours</w:t>
      </w:r>
      <w:r>
        <w:rPr>
          <w:spacing w:val="-11"/>
          <w:sz w:val="21"/>
        </w:rPr>
        <w:t xml:space="preserve"> </w:t>
      </w:r>
      <w:r>
        <w:rPr>
          <w:sz w:val="21"/>
        </w:rPr>
        <w:t>of</w:t>
      </w:r>
      <w:r>
        <w:rPr>
          <w:spacing w:val="-9"/>
          <w:sz w:val="21"/>
        </w:rPr>
        <w:t xml:space="preserve"> </w:t>
      </w:r>
      <w:r>
        <w:rPr>
          <w:sz w:val="21"/>
        </w:rPr>
        <w:t>the</w:t>
      </w:r>
      <w:r>
        <w:rPr>
          <w:spacing w:val="-10"/>
          <w:sz w:val="21"/>
        </w:rPr>
        <w:t xml:space="preserve"> </w:t>
      </w:r>
      <w:r>
        <w:rPr>
          <w:sz w:val="21"/>
        </w:rPr>
        <w:t>day…all</w:t>
      </w:r>
      <w:r>
        <w:rPr>
          <w:spacing w:val="-11"/>
          <w:sz w:val="21"/>
        </w:rPr>
        <w:t xml:space="preserve"> </w:t>
      </w:r>
      <w:r>
        <w:rPr>
          <w:sz w:val="21"/>
        </w:rPr>
        <w:t>these</w:t>
      </w:r>
      <w:r>
        <w:rPr>
          <w:spacing w:val="-10"/>
          <w:sz w:val="21"/>
        </w:rPr>
        <w:t xml:space="preserve"> </w:t>
      </w:r>
      <w:r>
        <w:rPr>
          <w:sz w:val="21"/>
        </w:rPr>
        <w:t>would</w:t>
      </w:r>
      <w:r>
        <w:rPr>
          <w:spacing w:val="-13"/>
          <w:sz w:val="21"/>
        </w:rPr>
        <w:t xml:space="preserve"> </w:t>
      </w:r>
      <w:r>
        <w:rPr>
          <w:sz w:val="21"/>
        </w:rPr>
        <w:t>be</w:t>
      </w:r>
      <w:r>
        <w:rPr>
          <w:spacing w:val="-10"/>
          <w:sz w:val="21"/>
        </w:rPr>
        <w:t xml:space="preserve"> </w:t>
      </w:r>
      <w:r>
        <w:rPr>
          <w:sz w:val="21"/>
        </w:rPr>
        <w:t>regarded as parts of religion and the mere f</w:t>
      </w:r>
      <w:r>
        <w:rPr>
          <w:sz w:val="21"/>
        </w:rPr>
        <w:t xml:space="preserve">act that they involve expenditure of money or employment of priests and servants or the use of marketable commodities would not make them secular activities partaking of a commercial or economic character; all of them are religious practices and should be </w:t>
      </w:r>
      <w:r>
        <w:rPr>
          <w:sz w:val="21"/>
        </w:rPr>
        <w:t>regarded as matters of religion within the meaning of Article 26(b).”</w:t>
      </w:r>
    </w:p>
    <w:p w:rsidR="003B2FC0" w:rsidRDefault="00052A49">
      <w:pPr>
        <w:spacing w:before="2"/>
        <w:ind w:left="1840"/>
        <w:jc w:val="both"/>
        <w:rPr>
          <w:sz w:val="21"/>
        </w:rPr>
      </w:pPr>
      <w:r>
        <w:rPr>
          <w:sz w:val="21"/>
        </w:rPr>
        <w:t>(Emphasis supplied)</w:t>
      </w:r>
    </w:p>
    <w:p w:rsidR="003B2FC0" w:rsidRDefault="003B2FC0">
      <w:pPr>
        <w:jc w:val="both"/>
        <w:rPr>
          <w:sz w:val="21"/>
        </w:rPr>
        <w:sectPr w:rsidR="003B2FC0">
          <w:footerReference w:type="default" r:id="rId355"/>
          <w:pgSz w:w="11910" w:h="16840"/>
          <w:pgMar w:top="1080" w:right="980" w:bottom="1740" w:left="1040" w:header="708" w:footer="1559"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The Court ruled that the freedom of religion guaranteed by the Constitution applied to freedom of both religious belief and practice. To distinguish between the religious and the secular, the Court looked to the religion itself, and noted that the views of</w:t>
      </w:r>
      <w:r>
        <w:rPr>
          <w:sz w:val="26"/>
        </w:rPr>
        <w:t xml:space="preserve"> adherents were crucial to the analysis of what constituted ‘essential’ aspects of religion.</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 xml:space="preserve">This approach was followed in </w:t>
      </w:r>
      <w:r>
        <w:rPr>
          <w:b/>
          <w:sz w:val="26"/>
        </w:rPr>
        <w:t xml:space="preserve">Ratilal Panachand Gandhi </w:t>
      </w:r>
      <w:r>
        <w:rPr>
          <w:sz w:val="26"/>
        </w:rPr>
        <w:t xml:space="preserve">v </w:t>
      </w:r>
      <w:r>
        <w:rPr>
          <w:b/>
          <w:sz w:val="26"/>
        </w:rPr>
        <w:t>State of Bombay</w:t>
      </w:r>
      <w:r>
        <w:rPr>
          <w:position w:val="9"/>
          <w:sz w:val="17"/>
        </w:rPr>
        <w:t xml:space="preserve">25 </w:t>
      </w:r>
      <w:r>
        <w:rPr>
          <w:sz w:val="26"/>
        </w:rPr>
        <w:t>(“</w:t>
      </w:r>
      <w:r>
        <w:rPr>
          <w:b/>
          <w:sz w:val="26"/>
        </w:rPr>
        <w:t>Ratilal</w:t>
      </w:r>
      <w:r>
        <w:rPr>
          <w:sz w:val="26"/>
        </w:rPr>
        <w:t>”), where a Constitution Bench of this Court considered the constitutionality</w:t>
      </w:r>
      <w:r>
        <w:rPr>
          <w:sz w:val="26"/>
        </w:rPr>
        <w:t xml:space="preserve"> of the Bombay Public Trusts Act, 1950. The Act sought to regulate</w:t>
      </w:r>
      <w:r>
        <w:rPr>
          <w:spacing w:val="-15"/>
          <w:sz w:val="26"/>
        </w:rPr>
        <w:t xml:space="preserve"> </w:t>
      </w:r>
      <w:r>
        <w:rPr>
          <w:sz w:val="26"/>
        </w:rPr>
        <w:t>and</w:t>
      </w:r>
      <w:r>
        <w:rPr>
          <w:spacing w:val="-14"/>
          <w:sz w:val="26"/>
        </w:rPr>
        <w:t xml:space="preserve"> </w:t>
      </w:r>
      <w:r>
        <w:rPr>
          <w:sz w:val="26"/>
        </w:rPr>
        <w:t>make</w:t>
      </w:r>
      <w:r>
        <w:rPr>
          <w:spacing w:val="-14"/>
          <w:sz w:val="26"/>
        </w:rPr>
        <w:t xml:space="preserve"> </w:t>
      </w:r>
      <w:r>
        <w:rPr>
          <w:sz w:val="26"/>
        </w:rPr>
        <w:t>provisions</w:t>
      </w:r>
      <w:r>
        <w:rPr>
          <w:spacing w:val="-14"/>
          <w:sz w:val="26"/>
        </w:rPr>
        <w:t xml:space="preserve"> </w:t>
      </w:r>
      <w:r>
        <w:rPr>
          <w:sz w:val="26"/>
        </w:rPr>
        <w:t>for</w:t>
      </w:r>
      <w:r>
        <w:rPr>
          <w:spacing w:val="-14"/>
          <w:sz w:val="26"/>
        </w:rPr>
        <w:t xml:space="preserve"> </w:t>
      </w:r>
      <w:r>
        <w:rPr>
          <w:sz w:val="26"/>
        </w:rPr>
        <w:t>the</w:t>
      </w:r>
      <w:r>
        <w:rPr>
          <w:spacing w:val="-14"/>
          <w:sz w:val="26"/>
        </w:rPr>
        <w:t xml:space="preserve"> </w:t>
      </w:r>
      <w:r>
        <w:rPr>
          <w:sz w:val="26"/>
        </w:rPr>
        <w:t>administration</w:t>
      </w:r>
      <w:r>
        <w:rPr>
          <w:spacing w:val="-14"/>
          <w:sz w:val="26"/>
        </w:rPr>
        <w:t xml:space="preserve"> </w:t>
      </w:r>
      <w:r>
        <w:rPr>
          <w:sz w:val="26"/>
        </w:rPr>
        <w:t>of</w:t>
      </w:r>
      <w:r>
        <w:rPr>
          <w:spacing w:val="-14"/>
          <w:sz w:val="26"/>
        </w:rPr>
        <w:t xml:space="preserve"> </w:t>
      </w:r>
      <w:r>
        <w:rPr>
          <w:sz w:val="26"/>
        </w:rPr>
        <w:t>public</w:t>
      </w:r>
      <w:r>
        <w:rPr>
          <w:spacing w:val="-14"/>
          <w:sz w:val="26"/>
        </w:rPr>
        <w:t xml:space="preserve"> </w:t>
      </w:r>
      <w:r>
        <w:rPr>
          <w:sz w:val="26"/>
        </w:rPr>
        <w:t>and</w:t>
      </w:r>
      <w:r>
        <w:rPr>
          <w:spacing w:val="-14"/>
          <w:sz w:val="26"/>
        </w:rPr>
        <w:t xml:space="preserve"> </w:t>
      </w:r>
      <w:r>
        <w:rPr>
          <w:sz w:val="26"/>
        </w:rPr>
        <w:t>religious</w:t>
      </w:r>
      <w:r>
        <w:rPr>
          <w:spacing w:val="-14"/>
          <w:sz w:val="26"/>
        </w:rPr>
        <w:t xml:space="preserve"> </w:t>
      </w:r>
      <w:r>
        <w:rPr>
          <w:sz w:val="26"/>
        </w:rPr>
        <w:t>trusts in</w:t>
      </w:r>
      <w:r>
        <w:rPr>
          <w:spacing w:val="-7"/>
          <w:sz w:val="26"/>
        </w:rPr>
        <w:t xml:space="preserve"> </w:t>
      </w:r>
      <w:r>
        <w:rPr>
          <w:sz w:val="26"/>
        </w:rPr>
        <w:t>the</w:t>
      </w:r>
      <w:r>
        <w:rPr>
          <w:spacing w:val="-7"/>
          <w:sz w:val="26"/>
        </w:rPr>
        <w:t xml:space="preserve"> </w:t>
      </w:r>
      <w:r>
        <w:rPr>
          <w:sz w:val="26"/>
        </w:rPr>
        <w:t>State</w:t>
      </w:r>
      <w:r>
        <w:rPr>
          <w:spacing w:val="-7"/>
          <w:sz w:val="26"/>
        </w:rPr>
        <w:t xml:space="preserve"> </w:t>
      </w:r>
      <w:r>
        <w:rPr>
          <w:sz w:val="26"/>
        </w:rPr>
        <w:t>of</w:t>
      </w:r>
      <w:r>
        <w:rPr>
          <w:spacing w:val="-3"/>
          <w:sz w:val="26"/>
        </w:rPr>
        <w:t xml:space="preserve"> </w:t>
      </w:r>
      <w:r>
        <w:rPr>
          <w:sz w:val="26"/>
        </w:rPr>
        <w:t>Bombay.</w:t>
      </w:r>
      <w:r>
        <w:rPr>
          <w:spacing w:val="-7"/>
          <w:sz w:val="26"/>
        </w:rPr>
        <w:t xml:space="preserve"> </w:t>
      </w:r>
      <w:r>
        <w:rPr>
          <w:sz w:val="26"/>
        </w:rPr>
        <w:t>The</w:t>
      </w:r>
      <w:r>
        <w:rPr>
          <w:spacing w:val="-7"/>
          <w:sz w:val="26"/>
        </w:rPr>
        <w:t xml:space="preserve"> </w:t>
      </w:r>
      <w:r>
        <w:rPr>
          <w:sz w:val="26"/>
        </w:rPr>
        <w:t>Petitioners</w:t>
      </w:r>
      <w:r>
        <w:rPr>
          <w:spacing w:val="-6"/>
          <w:sz w:val="26"/>
        </w:rPr>
        <w:t xml:space="preserve"> </w:t>
      </w:r>
      <w:r>
        <w:rPr>
          <w:sz w:val="26"/>
        </w:rPr>
        <w:t>challenged</w:t>
      </w:r>
      <w:r>
        <w:rPr>
          <w:spacing w:val="-7"/>
          <w:sz w:val="26"/>
        </w:rPr>
        <w:t xml:space="preserve"> </w:t>
      </w:r>
      <w:r>
        <w:rPr>
          <w:sz w:val="26"/>
        </w:rPr>
        <w:t>the</w:t>
      </w:r>
      <w:r>
        <w:rPr>
          <w:spacing w:val="-4"/>
          <w:sz w:val="26"/>
        </w:rPr>
        <w:t xml:space="preserve"> </w:t>
      </w:r>
      <w:r>
        <w:rPr>
          <w:sz w:val="26"/>
        </w:rPr>
        <w:t>validity</w:t>
      </w:r>
      <w:r>
        <w:rPr>
          <w:spacing w:val="-6"/>
          <w:sz w:val="26"/>
        </w:rPr>
        <w:t xml:space="preserve"> </w:t>
      </w:r>
      <w:r>
        <w:rPr>
          <w:sz w:val="26"/>
        </w:rPr>
        <w:t>of</w:t>
      </w:r>
      <w:r>
        <w:rPr>
          <w:spacing w:val="-7"/>
          <w:sz w:val="26"/>
        </w:rPr>
        <w:t xml:space="preserve"> </w:t>
      </w:r>
      <w:r>
        <w:rPr>
          <w:sz w:val="26"/>
        </w:rPr>
        <w:t>the</w:t>
      </w:r>
      <w:r>
        <w:rPr>
          <w:spacing w:val="-7"/>
          <w:sz w:val="26"/>
        </w:rPr>
        <w:t xml:space="preserve"> </w:t>
      </w:r>
      <w:r>
        <w:rPr>
          <w:sz w:val="26"/>
        </w:rPr>
        <w:t>Act</w:t>
      </w:r>
      <w:r>
        <w:rPr>
          <w:spacing w:val="-7"/>
          <w:sz w:val="26"/>
        </w:rPr>
        <w:t xml:space="preserve"> </w:t>
      </w:r>
      <w:r>
        <w:rPr>
          <w:sz w:val="26"/>
        </w:rPr>
        <w:t>on</w:t>
      </w:r>
      <w:r>
        <w:rPr>
          <w:spacing w:val="-6"/>
          <w:sz w:val="26"/>
        </w:rPr>
        <w:t xml:space="preserve"> </w:t>
      </w:r>
      <w:r>
        <w:rPr>
          <w:sz w:val="26"/>
        </w:rPr>
        <w:t xml:space="preserve">the grounds that it interfered with their freedom of conscience, their right to freely profess, practise and propagate their religion, and their right to manage their religious affairs under Articles 25 and 26 of the Constitution. Justice B </w:t>
      </w:r>
      <w:r>
        <w:rPr>
          <w:spacing w:val="-11"/>
          <w:sz w:val="26"/>
        </w:rPr>
        <w:t xml:space="preserve">K </w:t>
      </w:r>
      <w:r>
        <w:rPr>
          <w:sz w:val="26"/>
        </w:rPr>
        <w:t>Mukherjea, sp</w:t>
      </w:r>
      <w:r>
        <w:rPr>
          <w:sz w:val="26"/>
        </w:rPr>
        <w:t>eaking for a Constitution Bench of this Court, expounded upon the meaning and scope of Article</w:t>
      </w:r>
      <w:r>
        <w:rPr>
          <w:spacing w:val="-5"/>
          <w:sz w:val="26"/>
        </w:rPr>
        <w:t xml:space="preserve"> </w:t>
      </w:r>
      <w:r>
        <w:rPr>
          <w:sz w:val="26"/>
        </w:rPr>
        <w:t>25:</w:t>
      </w:r>
    </w:p>
    <w:p w:rsidR="003B2FC0" w:rsidRDefault="00052A49">
      <w:pPr>
        <w:spacing w:before="195" w:line="276" w:lineRule="auto"/>
        <w:ind w:left="1840" w:right="2281"/>
        <w:jc w:val="both"/>
        <w:rPr>
          <w:sz w:val="21"/>
        </w:rPr>
      </w:pPr>
      <w:r>
        <w:rPr>
          <w:sz w:val="21"/>
        </w:rPr>
        <w:t>“10...Subject to the restrictions which this article imposes, every person has a fundamental right under our Constitution not merely to entertain such religi</w:t>
      </w:r>
      <w:r>
        <w:rPr>
          <w:sz w:val="21"/>
        </w:rPr>
        <w:t>ous belief as may be approved of by his judgment or conscience but to exhibit his belief and ideas in such overt acts as are enjoined or sanctioned</w:t>
      </w:r>
      <w:r>
        <w:rPr>
          <w:spacing w:val="-11"/>
          <w:sz w:val="21"/>
        </w:rPr>
        <w:t xml:space="preserve"> </w:t>
      </w:r>
      <w:r>
        <w:rPr>
          <w:sz w:val="21"/>
        </w:rPr>
        <w:t>by</w:t>
      </w:r>
      <w:r>
        <w:rPr>
          <w:spacing w:val="-12"/>
          <w:sz w:val="21"/>
        </w:rPr>
        <w:t xml:space="preserve"> </w:t>
      </w:r>
      <w:r>
        <w:rPr>
          <w:sz w:val="21"/>
        </w:rPr>
        <w:t>his</w:t>
      </w:r>
      <w:r>
        <w:rPr>
          <w:spacing w:val="-10"/>
          <w:sz w:val="21"/>
        </w:rPr>
        <w:t xml:space="preserve"> </w:t>
      </w:r>
      <w:r>
        <w:rPr>
          <w:sz w:val="21"/>
        </w:rPr>
        <w:t>religion</w:t>
      </w:r>
      <w:r>
        <w:rPr>
          <w:spacing w:val="-9"/>
          <w:sz w:val="21"/>
        </w:rPr>
        <w:t xml:space="preserve"> </w:t>
      </w:r>
      <w:r>
        <w:rPr>
          <w:sz w:val="21"/>
        </w:rPr>
        <w:t>and</w:t>
      </w:r>
      <w:r>
        <w:rPr>
          <w:spacing w:val="-9"/>
          <w:sz w:val="21"/>
        </w:rPr>
        <w:t xml:space="preserve"> </w:t>
      </w:r>
      <w:r>
        <w:rPr>
          <w:sz w:val="21"/>
        </w:rPr>
        <w:t>further</w:t>
      </w:r>
      <w:r>
        <w:rPr>
          <w:spacing w:val="-10"/>
          <w:sz w:val="21"/>
        </w:rPr>
        <w:t xml:space="preserve"> </w:t>
      </w:r>
      <w:r>
        <w:rPr>
          <w:sz w:val="21"/>
        </w:rPr>
        <w:t>to</w:t>
      </w:r>
      <w:r>
        <w:rPr>
          <w:spacing w:val="-10"/>
          <w:sz w:val="21"/>
        </w:rPr>
        <w:t xml:space="preserve"> </w:t>
      </w:r>
      <w:r>
        <w:rPr>
          <w:sz w:val="21"/>
        </w:rPr>
        <w:t>propagate</w:t>
      </w:r>
      <w:r>
        <w:rPr>
          <w:spacing w:val="-11"/>
          <w:sz w:val="21"/>
        </w:rPr>
        <w:t xml:space="preserve"> </w:t>
      </w:r>
      <w:r>
        <w:rPr>
          <w:sz w:val="21"/>
        </w:rPr>
        <w:t>his</w:t>
      </w:r>
      <w:r>
        <w:rPr>
          <w:spacing w:val="-10"/>
          <w:sz w:val="21"/>
        </w:rPr>
        <w:t xml:space="preserve"> </w:t>
      </w:r>
      <w:r>
        <w:rPr>
          <w:sz w:val="21"/>
        </w:rPr>
        <w:t>religious views for the edification of</w:t>
      </w:r>
      <w:r>
        <w:rPr>
          <w:spacing w:val="-9"/>
          <w:sz w:val="21"/>
        </w:rPr>
        <w:t xml:space="preserve"> </w:t>
      </w:r>
      <w:r>
        <w:rPr>
          <w:sz w:val="21"/>
        </w:rPr>
        <w:t>others.”</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2"/>
        <w:rPr>
          <w:sz w:val="15"/>
        </w:rPr>
      </w:pPr>
      <w:r w:rsidRPr="003B2FC0">
        <w:pict>
          <v:line id="_x0000_s1127" style="position:absolute;z-index:251588096;mso-wrap-distance-left:0;mso-wrap-distance-right:0;mso-position-horizontal-relative:page" from="1in,11.1pt" to="216.05pt,11.1pt" strokeweight=".72pt">
            <w10:wrap type="topAndBottom" anchorx="page"/>
          </v:line>
        </w:pict>
      </w:r>
    </w:p>
    <w:p w:rsidR="003B2FC0" w:rsidRDefault="00052A49">
      <w:pPr>
        <w:spacing w:before="66"/>
        <w:ind w:left="400"/>
        <w:rPr>
          <w:sz w:val="18"/>
        </w:rPr>
      </w:pPr>
      <w:r>
        <w:rPr>
          <w:position w:val="6"/>
          <w:sz w:val="12"/>
        </w:rPr>
        <w:t xml:space="preserve">25 </w:t>
      </w:r>
      <w:r>
        <w:rPr>
          <w:sz w:val="18"/>
        </w:rPr>
        <w:t>195</w:t>
      </w:r>
      <w:r>
        <w:rPr>
          <w:sz w:val="18"/>
        </w:rPr>
        <w:t>4 SCR 1055</w:t>
      </w:r>
    </w:p>
    <w:p w:rsidR="003B2FC0" w:rsidRDefault="003B2FC0">
      <w:pPr>
        <w:rPr>
          <w:sz w:val="18"/>
        </w:rPr>
        <w:sectPr w:rsidR="003B2FC0">
          <w:footerReference w:type="default" r:id="rId356"/>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 xml:space="preserve">Speaking with reference to Article 26, Justice Mukherjea reiterated the broad view taken by the Court in </w:t>
      </w:r>
      <w:r>
        <w:rPr>
          <w:b/>
          <w:sz w:val="26"/>
        </w:rPr>
        <w:t xml:space="preserve">Shirur Mutt </w:t>
      </w:r>
      <w:r>
        <w:rPr>
          <w:sz w:val="26"/>
        </w:rPr>
        <w:t>– that religious denominations had ‘complete autonomy’ to decide which religious practices were essential for them:</w:t>
      </w:r>
    </w:p>
    <w:p w:rsidR="003B2FC0" w:rsidRDefault="00052A49">
      <w:pPr>
        <w:spacing w:before="199" w:line="276" w:lineRule="auto"/>
        <w:ind w:left="1840" w:right="2282"/>
        <w:jc w:val="both"/>
        <w:rPr>
          <w:sz w:val="21"/>
        </w:rPr>
      </w:pPr>
      <w:r>
        <w:rPr>
          <w:sz w:val="21"/>
        </w:rPr>
        <w:t>“Religious practices or performances of acts in pursuance of religious beliefs are as much a part of religion as faith or belief in particul</w:t>
      </w:r>
      <w:r>
        <w:rPr>
          <w:sz w:val="21"/>
        </w:rPr>
        <w:t>ar doctrines …</w:t>
      </w:r>
    </w:p>
    <w:p w:rsidR="003B2FC0" w:rsidRDefault="00052A49">
      <w:pPr>
        <w:spacing w:before="200" w:line="276" w:lineRule="auto"/>
        <w:ind w:left="1840" w:right="2281"/>
        <w:jc w:val="both"/>
        <w:rPr>
          <w:sz w:val="21"/>
        </w:rPr>
      </w:pPr>
      <w:r>
        <w:rPr>
          <w:sz w:val="21"/>
        </w:rPr>
        <w:t>23…No</w:t>
      </w:r>
      <w:r>
        <w:rPr>
          <w:spacing w:val="-13"/>
          <w:sz w:val="21"/>
        </w:rPr>
        <w:t xml:space="preserve"> </w:t>
      </w:r>
      <w:r>
        <w:rPr>
          <w:sz w:val="21"/>
        </w:rPr>
        <w:t>outside</w:t>
      </w:r>
      <w:r>
        <w:rPr>
          <w:spacing w:val="-12"/>
          <w:sz w:val="21"/>
        </w:rPr>
        <w:t xml:space="preserve"> </w:t>
      </w:r>
      <w:r>
        <w:rPr>
          <w:sz w:val="21"/>
        </w:rPr>
        <w:t>authority</w:t>
      </w:r>
      <w:r>
        <w:rPr>
          <w:spacing w:val="-15"/>
          <w:sz w:val="21"/>
        </w:rPr>
        <w:t xml:space="preserve"> </w:t>
      </w:r>
      <w:r>
        <w:rPr>
          <w:sz w:val="21"/>
        </w:rPr>
        <w:t>has</w:t>
      </w:r>
      <w:r>
        <w:rPr>
          <w:spacing w:val="-12"/>
          <w:sz w:val="21"/>
        </w:rPr>
        <w:t xml:space="preserve"> </w:t>
      </w:r>
      <w:r>
        <w:rPr>
          <w:sz w:val="21"/>
        </w:rPr>
        <w:t>any</w:t>
      </w:r>
      <w:r>
        <w:rPr>
          <w:spacing w:val="-15"/>
          <w:sz w:val="21"/>
        </w:rPr>
        <w:t xml:space="preserve"> </w:t>
      </w:r>
      <w:r>
        <w:rPr>
          <w:sz w:val="21"/>
        </w:rPr>
        <w:t>right</w:t>
      </w:r>
      <w:r>
        <w:rPr>
          <w:spacing w:val="-13"/>
          <w:sz w:val="21"/>
        </w:rPr>
        <w:t xml:space="preserve"> </w:t>
      </w:r>
      <w:r>
        <w:rPr>
          <w:sz w:val="21"/>
        </w:rPr>
        <w:t>to</w:t>
      </w:r>
      <w:r>
        <w:rPr>
          <w:spacing w:val="-12"/>
          <w:sz w:val="21"/>
        </w:rPr>
        <w:t xml:space="preserve"> </w:t>
      </w:r>
      <w:r>
        <w:rPr>
          <w:sz w:val="21"/>
        </w:rPr>
        <w:t>say</w:t>
      </w:r>
      <w:r>
        <w:rPr>
          <w:spacing w:val="-12"/>
          <w:sz w:val="21"/>
        </w:rPr>
        <w:t xml:space="preserve"> </w:t>
      </w:r>
      <w:r>
        <w:rPr>
          <w:sz w:val="21"/>
        </w:rPr>
        <w:t>that</w:t>
      </w:r>
      <w:r>
        <w:rPr>
          <w:spacing w:val="-11"/>
          <w:sz w:val="21"/>
        </w:rPr>
        <w:t xml:space="preserve"> </w:t>
      </w:r>
      <w:r>
        <w:rPr>
          <w:sz w:val="21"/>
        </w:rPr>
        <w:t>these</w:t>
      </w:r>
      <w:r>
        <w:rPr>
          <w:spacing w:val="-12"/>
          <w:sz w:val="21"/>
        </w:rPr>
        <w:t xml:space="preserve"> </w:t>
      </w:r>
      <w:r>
        <w:rPr>
          <w:sz w:val="21"/>
        </w:rPr>
        <w:t>are</w:t>
      </w:r>
      <w:r>
        <w:rPr>
          <w:spacing w:val="-14"/>
          <w:sz w:val="21"/>
        </w:rPr>
        <w:t xml:space="preserve"> </w:t>
      </w:r>
      <w:r>
        <w:rPr>
          <w:sz w:val="21"/>
        </w:rPr>
        <w:t>not essential parts of religion and it is not open to the secular authority of the State to restrict or prohibit them in any manner they like under the guise of administering the tr</w:t>
      </w:r>
      <w:r>
        <w:rPr>
          <w:sz w:val="21"/>
        </w:rPr>
        <w:t>ust</w:t>
      </w:r>
      <w:r>
        <w:rPr>
          <w:spacing w:val="-26"/>
          <w:sz w:val="21"/>
        </w:rPr>
        <w:t xml:space="preserve"> </w:t>
      </w:r>
      <w:r>
        <w:rPr>
          <w:sz w:val="21"/>
        </w:rPr>
        <w:t>estate.”</w:t>
      </w:r>
    </w:p>
    <w:p w:rsidR="003B2FC0" w:rsidRDefault="003B2FC0">
      <w:pPr>
        <w:rPr>
          <w:sz w:val="24"/>
        </w:rPr>
      </w:pPr>
    </w:p>
    <w:p w:rsidR="003B2FC0" w:rsidRDefault="003B2FC0">
      <w:pPr>
        <w:rPr>
          <w:sz w:val="24"/>
        </w:rPr>
      </w:pPr>
    </w:p>
    <w:p w:rsidR="003B2FC0" w:rsidRDefault="00052A49">
      <w:pPr>
        <w:spacing w:before="148" w:line="482" w:lineRule="auto"/>
        <w:ind w:left="400" w:right="438"/>
        <w:jc w:val="both"/>
        <w:rPr>
          <w:sz w:val="26"/>
        </w:rPr>
      </w:pPr>
      <w:r>
        <w:rPr>
          <w:sz w:val="26"/>
        </w:rPr>
        <w:t>The</w:t>
      </w:r>
      <w:r>
        <w:rPr>
          <w:spacing w:val="-19"/>
          <w:sz w:val="26"/>
        </w:rPr>
        <w:t xml:space="preserve"> </w:t>
      </w:r>
      <w:r>
        <w:rPr>
          <w:sz w:val="26"/>
        </w:rPr>
        <w:t>Court,</w:t>
      </w:r>
      <w:r>
        <w:rPr>
          <w:spacing w:val="-19"/>
          <w:sz w:val="26"/>
        </w:rPr>
        <w:t xml:space="preserve"> </w:t>
      </w:r>
      <w:r>
        <w:rPr>
          <w:sz w:val="26"/>
        </w:rPr>
        <w:t>however,</w:t>
      </w:r>
      <w:r>
        <w:rPr>
          <w:spacing w:val="-15"/>
          <w:sz w:val="26"/>
        </w:rPr>
        <w:t xml:space="preserve"> </w:t>
      </w:r>
      <w:r>
        <w:rPr>
          <w:sz w:val="26"/>
        </w:rPr>
        <w:t>recognized</w:t>
      </w:r>
      <w:r>
        <w:rPr>
          <w:spacing w:val="-19"/>
          <w:sz w:val="26"/>
        </w:rPr>
        <w:t xml:space="preserve"> </w:t>
      </w:r>
      <w:r>
        <w:rPr>
          <w:sz w:val="26"/>
        </w:rPr>
        <w:t>the</w:t>
      </w:r>
      <w:r>
        <w:rPr>
          <w:spacing w:val="-19"/>
          <w:sz w:val="26"/>
        </w:rPr>
        <w:t xml:space="preserve"> </w:t>
      </w:r>
      <w:r>
        <w:rPr>
          <w:sz w:val="26"/>
        </w:rPr>
        <w:t>limited</w:t>
      </w:r>
      <w:r>
        <w:rPr>
          <w:spacing w:val="-18"/>
          <w:sz w:val="26"/>
        </w:rPr>
        <w:t xml:space="preserve"> </w:t>
      </w:r>
      <w:r>
        <w:rPr>
          <w:sz w:val="26"/>
        </w:rPr>
        <w:t>role</w:t>
      </w:r>
      <w:r>
        <w:rPr>
          <w:spacing w:val="-16"/>
          <w:sz w:val="26"/>
        </w:rPr>
        <w:t xml:space="preserve"> </w:t>
      </w:r>
      <w:r>
        <w:rPr>
          <w:sz w:val="26"/>
        </w:rPr>
        <w:t>of</w:t>
      </w:r>
      <w:r>
        <w:rPr>
          <w:spacing w:val="-19"/>
          <w:sz w:val="26"/>
        </w:rPr>
        <w:t xml:space="preserve"> </w:t>
      </w:r>
      <w:r>
        <w:rPr>
          <w:sz w:val="26"/>
        </w:rPr>
        <w:t>the</w:t>
      </w:r>
      <w:r>
        <w:rPr>
          <w:spacing w:val="-16"/>
          <w:sz w:val="26"/>
        </w:rPr>
        <w:t xml:space="preserve"> </w:t>
      </w:r>
      <w:r>
        <w:rPr>
          <w:sz w:val="26"/>
        </w:rPr>
        <w:t>Court</w:t>
      </w:r>
      <w:r>
        <w:rPr>
          <w:spacing w:val="-19"/>
          <w:sz w:val="26"/>
        </w:rPr>
        <w:t xml:space="preserve"> </w:t>
      </w:r>
      <w:r>
        <w:rPr>
          <w:sz w:val="26"/>
        </w:rPr>
        <w:t>in</w:t>
      </w:r>
      <w:r>
        <w:rPr>
          <w:spacing w:val="-19"/>
          <w:sz w:val="26"/>
        </w:rPr>
        <w:t xml:space="preserve"> </w:t>
      </w:r>
      <w:r>
        <w:rPr>
          <w:sz w:val="26"/>
        </w:rPr>
        <w:t>the</w:t>
      </w:r>
      <w:r>
        <w:rPr>
          <w:spacing w:val="-18"/>
          <w:sz w:val="26"/>
        </w:rPr>
        <w:t xml:space="preserve"> </w:t>
      </w:r>
      <w:r>
        <w:rPr>
          <w:sz w:val="26"/>
        </w:rPr>
        <w:t>determination of such a</w:t>
      </w:r>
      <w:r>
        <w:rPr>
          <w:spacing w:val="-1"/>
          <w:sz w:val="26"/>
        </w:rPr>
        <w:t xml:space="preserve"> </w:t>
      </w:r>
      <w:r>
        <w:rPr>
          <w:sz w:val="26"/>
        </w:rPr>
        <w:t>question:</w:t>
      </w:r>
    </w:p>
    <w:p w:rsidR="003B2FC0" w:rsidRDefault="00052A49">
      <w:pPr>
        <w:spacing w:before="194" w:line="276" w:lineRule="auto"/>
        <w:ind w:left="1840" w:right="2281"/>
        <w:jc w:val="both"/>
        <w:rPr>
          <w:sz w:val="21"/>
        </w:rPr>
      </w:pPr>
      <w:r>
        <w:rPr>
          <w:sz w:val="21"/>
        </w:rPr>
        <w:t xml:space="preserve">“The distinction between matters of religion and those of secular administration of religious properties may, at times, appear to be a thin one. </w:t>
      </w:r>
      <w:r>
        <w:rPr>
          <w:b/>
          <w:sz w:val="21"/>
        </w:rPr>
        <w:t>But in cases of doubt …the court should take a common sense view and be actuated by considerations of practical</w:t>
      </w:r>
      <w:r>
        <w:rPr>
          <w:b/>
          <w:sz w:val="21"/>
        </w:rPr>
        <w:t xml:space="preserve"> necessity</w:t>
      </w:r>
      <w:r>
        <w:rPr>
          <w:sz w:val="21"/>
        </w:rPr>
        <w:t>.”</w:t>
      </w:r>
    </w:p>
    <w:p w:rsidR="003B2FC0" w:rsidRDefault="00052A49">
      <w:pPr>
        <w:spacing w:before="1"/>
        <w:ind w:left="1840"/>
        <w:rPr>
          <w:sz w:val="21"/>
        </w:rPr>
      </w:pPr>
      <w:r>
        <w:rPr>
          <w:sz w:val="21"/>
        </w:rPr>
        <w:t>(Emphasis supplied)</w:t>
      </w:r>
    </w:p>
    <w:p w:rsidR="003B2FC0" w:rsidRDefault="003B2FC0">
      <w:pPr>
        <w:rPr>
          <w:sz w:val="24"/>
        </w:rPr>
      </w:pP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1"/>
        <w:rPr>
          <w:sz w:val="20"/>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 xml:space="preserve">The late 1950s witnessed two cases that were central to the evolution of the essential practices doctrine. In </w:t>
      </w:r>
      <w:r>
        <w:rPr>
          <w:b/>
          <w:sz w:val="26"/>
        </w:rPr>
        <w:t xml:space="preserve">Sri Venkataramana Devaru </w:t>
      </w:r>
      <w:r>
        <w:rPr>
          <w:sz w:val="26"/>
        </w:rPr>
        <w:t xml:space="preserve">v </w:t>
      </w:r>
      <w:r>
        <w:rPr>
          <w:b/>
          <w:sz w:val="26"/>
        </w:rPr>
        <w:t>State of Mysore</w:t>
      </w:r>
      <w:r>
        <w:rPr>
          <w:position w:val="9"/>
          <w:sz w:val="17"/>
        </w:rPr>
        <w:t xml:space="preserve">26 </w:t>
      </w:r>
      <w:r>
        <w:rPr>
          <w:sz w:val="26"/>
        </w:rPr>
        <w:t>(“</w:t>
      </w:r>
      <w:r>
        <w:rPr>
          <w:b/>
          <w:sz w:val="26"/>
        </w:rPr>
        <w:t>Devaru</w:t>
      </w:r>
      <w:r>
        <w:rPr>
          <w:sz w:val="26"/>
        </w:rPr>
        <w:t>”), a Constitution Bench of this Court considered the constitutionality of the Madras Temple Entry Authorisation Act, 1947, which sought to reform the practice of religious exclusion of Dalits from a denominational</w:t>
      </w:r>
      <w:r>
        <w:rPr>
          <w:spacing w:val="12"/>
          <w:sz w:val="26"/>
        </w:rPr>
        <w:t xml:space="preserve"> </w:t>
      </w:r>
      <w:r>
        <w:rPr>
          <w:sz w:val="26"/>
        </w:rPr>
        <w:t>temple</w:t>
      </w:r>
      <w:r>
        <w:rPr>
          <w:spacing w:val="11"/>
          <w:sz w:val="26"/>
        </w:rPr>
        <w:t xml:space="preserve"> </w:t>
      </w:r>
      <w:r>
        <w:rPr>
          <w:sz w:val="26"/>
        </w:rPr>
        <w:t>founded</w:t>
      </w:r>
      <w:r>
        <w:rPr>
          <w:spacing w:val="11"/>
          <w:sz w:val="26"/>
        </w:rPr>
        <w:t xml:space="preserve"> </w:t>
      </w:r>
      <w:r>
        <w:rPr>
          <w:sz w:val="26"/>
        </w:rPr>
        <w:t>by</w:t>
      </w:r>
      <w:r>
        <w:rPr>
          <w:spacing w:val="11"/>
          <w:sz w:val="26"/>
        </w:rPr>
        <w:t xml:space="preserve"> </w:t>
      </w:r>
      <w:r>
        <w:rPr>
          <w:sz w:val="26"/>
        </w:rPr>
        <w:t>the</w:t>
      </w:r>
      <w:r>
        <w:rPr>
          <w:spacing w:val="13"/>
          <w:sz w:val="26"/>
        </w:rPr>
        <w:t xml:space="preserve"> </w:t>
      </w:r>
      <w:r>
        <w:rPr>
          <w:sz w:val="26"/>
        </w:rPr>
        <w:t>Gowda</w:t>
      </w:r>
      <w:r>
        <w:rPr>
          <w:spacing w:val="13"/>
          <w:sz w:val="26"/>
        </w:rPr>
        <w:t xml:space="preserve"> </w:t>
      </w:r>
      <w:r>
        <w:rPr>
          <w:sz w:val="26"/>
        </w:rPr>
        <w:t>Saraswat</w:t>
      </w:r>
      <w:r>
        <w:rPr>
          <w:spacing w:val="13"/>
          <w:sz w:val="26"/>
        </w:rPr>
        <w:t xml:space="preserve"> </w:t>
      </w:r>
      <w:r>
        <w:rPr>
          <w:sz w:val="26"/>
        </w:rPr>
        <w:t>Brah</w:t>
      </w:r>
      <w:r>
        <w:rPr>
          <w:sz w:val="26"/>
        </w:rPr>
        <w:t>mins.</w:t>
      </w:r>
      <w:r>
        <w:rPr>
          <w:spacing w:val="11"/>
          <w:sz w:val="26"/>
        </w:rPr>
        <w:t xml:space="preserve"> </w:t>
      </w:r>
      <w:r>
        <w:rPr>
          <w:sz w:val="26"/>
        </w:rPr>
        <w:t>The</w:t>
      </w:r>
      <w:r>
        <w:rPr>
          <w:spacing w:val="13"/>
          <w:sz w:val="26"/>
        </w:rPr>
        <w:t xml:space="preserve"> </w:t>
      </w:r>
      <w:r>
        <w:rPr>
          <w:sz w:val="26"/>
        </w:rPr>
        <w:t>Court</w:t>
      </w:r>
    </w:p>
    <w:p w:rsidR="003B2FC0" w:rsidRDefault="003B2FC0">
      <w:pPr>
        <w:spacing w:before="1"/>
        <w:rPr>
          <w:sz w:val="18"/>
        </w:rPr>
      </w:pPr>
      <w:r w:rsidRPr="003B2FC0">
        <w:pict>
          <v:line id="_x0000_s1126" style="position:absolute;z-index:251589120;mso-wrap-distance-left:0;mso-wrap-distance-right:0;mso-position-horizontal-relative:page" from="1in,12.8pt" to="216.05pt,12.8pt" strokeweight=".72pt">
            <w10:wrap type="topAndBottom" anchorx="page"/>
          </v:line>
        </w:pict>
      </w:r>
    </w:p>
    <w:p w:rsidR="003B2FC0" w:rsidRDefault="00052A49">
      <w:pPr>
        <w:spacing w:before="66"/>
        <w:ind w:left="400"/>
        <w:rPr>
          <w:sz w:val="18"/>
        </w:rPr>
      </w:pPr>
      <w:r>
        <w:rPr>
          <w:position w:val="6"/>
          <w:sz w:val="12"/>
        </w:rPr>
        <w:t xml:space="preserve">26 </w:t>
      </w:r>
      <w:r>
        <w:rPr>
          <w:sz w:val="18"/>
        </w:rPr>
        <w:t>(1958) SCR 895</w:t>
      </w:r>
    </w:p>
    <w:p w:rsidR="003B2FC0" w:rsidRDefault="003B2FC0">
      <w:pPr>
        <w:rPr>
          <w:sz w:val="18"/>
        </w:rPr>
        <w:sectPr w:rsidR="003B2FC0">
          <w:footerReference w:type="default" r:id="rId357"/>
          <w:pgSz w:w="11910" w:h="16840"/>
          <w:pgMar w:top="1080" w:right="980" w:bottom="1200" w:left="1040" w:header="708" w:footer="1000" w:gutter="0"/>
          <w:pgNumType w:start="47"/>
          <w:cols w:space="720"/>
        </w:sectPr>
      </w:pPr>
    </w:p>
    <w:p w:rsidR="003B2FC0" w:rsidRDefault="003B2FC0">
      <w:pPr>
        <w:spacing w:before="10"/>
        <w:rPr>
          <w:sz w:val="21"/>
        </w:rPr>
      </w:pPr>
    </w:p>
    <w:p w:rsidR="003B2FC0" w:rsidRDefault="00052A49">
      <w:pPr>
        <w:spacing w:before="91" w:line="480" w:lineRule="auto"/>
        <w:ind w:left="400" w:right="438"/>
        <w:jc w:val="both"/>
        <w:rPr>
          <w:sz w:val="26"/>
        </w:rPr>
      </w:pPr>
      <w:r>
        <w:rPr>
          <w:sz w:val="26"/>
        </w:rPr>
        <w:t>accepted the claim that the temple was a denominational temple founded for the benefit of the Gowda Saraswats, and proceeded to examine whether exercising the right of a religious denomination under Article 26(b), they were ‘entitled to exclude other commu</w:t>
      </w:r>
      <w:r>
        <w:rPr>
          <w:sz w:val="26"/>
        </w:rPr>
        <w:t>nities from entering into it for worship on the ground that it was a matter of religion.’</w:t>
      </w:r>
    </w:p>
    <w:p w:rsidR="003B2FC0" w:rsidRDefault="003B2FC0">
      <w:pPr>
        <w:rPr>
          <w:sz w:val="28"/>
        </w:rPr>
      </w:pPr>
    </w:p>
    <w:p w:rsidR="003B2FC0" w:rsidRDefault="003B2FC0">
      <w:pPr>
        <w:spacing w:before="10"/>
        <w:rPr>
          <w:sz w:val="32"/>
        </w:rPr>
      </w:pPr>
    </w:p>
    <w:p w:rsidR="003B2FC0" w:rsidRDefault="00052A49">
      <w:pPr>
        <w:spacing w:line="480" w:lineRule="auto"/>
        <w:ind w:left="400" w:right="431"/>
        <w:jc w:val="both"/>
        <w:rPr>
          <w:sz w:val="26"/>
        </w:rPr>
      </w:pPr>
      <w:r>
        <w:rPr>
          <w:sz w:val="26"/>
        </w:rPr>
        <w:t>Rather than allowing the religious denomination ‘complete autonomy in the matter of deciding as to what rites and ceremonies are essential’, the Court examined scri</w:t>
      </w:r>
      <w:r>
        <w:rPr>
          <w:sz w:val="26"/>
        </w:rPr>
        <w:t>pture and precedent to determine whether the exclusion of a person from entering into a temple for worship was a matter of religion under Hindu Ceremonial Law. Justice Venkatarama Aiyar reviewed ancient literature, the practice of Hindus, and the role of t</w:t>
      </w:r>
      <w:r>
        <w:rPr>
          <w:sz w:val="26"/>
        </w:rPr>
        <w:t>emples in that practice, and concluded on behalf of the Court that:</w:t>
      </w:r>
    </w:p>
    <w:p w:rsidR="003B2FC0" w:rsidRDefault="00052A49">
      <w:pPr>
        <w:spacing w:before="198" w:line="276" w:lineRule="auto"/>
        <w:ind w:left="1840" w:right="2279"/>
        <w:jc w:val="both"/>
        <w:rPr>
          <w:sz w:val="21"/>
        </w:rPr>
      </w:pPr>
      <w:r>
        <w:rPr>
          <w:sz w:val="21"/>
        </w:rPr>
        <w:t>“18…Thus,</w:t>
      </w:r>
      <w:r>
        <w:rPr>
          <w:spacing w:val="-16"/>
          <w:sz w:val="21"/>
        </w:rPr>
        <w:t xml:space="preserve"> </w:t>
      </w:r>
      <w:r>
        <w:rPr>
          <w:b/>
          <w:sz w:val="21"/>
        </w:rPr>
        <w:t>under</w:t>
      </w:r>
      <w:r>
        <w:rPr>
          <w:b/>
          <w:spacing w:val="-16"/>
          <w:sz w:val="21"/>
        </w:rPr>
        <w:t xml:space="preserve"> </w:t>
      </w:r>
      <w:r>
        <w:rPr>
          <w:b/>
          <w:sz w:val="21"/>
        </w:rPr>
        <w:t>the</w:t>
      </w:r>
      <w:r>
        <w:rPr>
          <w:b/>
          <w:spacing w:val="-15"/>
          <w:sz w:val="21"/>
        </w:rPr>
        <w:t xml:space="preserve"> </w:t>
      </w:r>
      <w:r>
        <w:rPr>
          <w:b/>
          <w:sz w:val="21"/>
        </w:rPr>
        <w:t>ceremonial</w:t>
      </w:r>
      <w:r>
        <w:rPr>
          <w:b/>
          <w:spacing w:val="-17"/>
          <w:sz w:val="21"/>
        </w:rPr>
        <w:t xml:space="preserve"> </w:t>
      </w:r>
      <w:r>
        <w:rPr>
          <w:b/>
          <w:sz w:val="21"/>
        </w:rPr>
        <w:t>law</w:t>
      </w:r>
      <w:r>
        <w:rPr>
          <w:b/>
          <w:spacing w:val="-12"/>
          <w:sz w:val="21"/>
        </w:rPr>
        <w:t xml:space="preserve"> </w:t>
      </w:r>
      <w:r>
        <w:rPr>
          <w:b/>
          <w:sz w:val="21"/>
        </w:rPr>
        <w:t>pertaining</w:t>
      </w:r>
      <w:r>
        <w:rPr>
          <w:b/>
          <w:spacing w:val="-15"/>
          <w:sz w:val="21"/>
        </w:rPr>
        <w:t xml:space="preserve"> </w:t>
      </w:r>
      <w:r>
        <w:rPr>
          <w:b/>
          <w:sz w:val="21"/>
        </w:rPr>
        <w:t>to</w:t>
      </w:r>
      <w:r>
        <w:rPr>
          <w:b/>
          <w:spacing w:val="-15"/>
          <w:sz w:val="21"/>
        </w:rPr>
        <w:t xml:space="preserve"> </w:t>
      </w:r>
      <w:r>
        <w:rPr>
          <w:b/>
          <w:sz w:val="21"/>
        </w:rPr>
        <w:t>temples</w:t>
      </w:r>
      <w:r>
        <w:rPr>
          <w:sz w:val="21"/>
        </w:rPr>
        <w:t>, who are entitled to enter them for worship and where they are entitled to stand and worship and how the worship is to be conducted</w:t>
      </w:r>
      <w:r>
        <w:rPr>
          <w:sz w:val="21"/>
        </w:rPr>
        <w:t xml:space="preserve"> are all matters of religion.” (Emphasis</w:t>
      </w:r>
      <w:r>
        <w:rPr>
          <w:spacing w:val="-20"/>
          <w:sz w:val="21"/>
        </w:rPr>
        <w:t xml:space="preserve"> </w:t>
      </w:r>
      <w:r>
        <w:rPr>
          <w:sz w:val="21"/>
        </w:rPr>
        <w:t>supplied)</w:t>
      </w:r>
    </w:p>
    <w:p w:rsidR="003B2FC0" w:rsidRDefault="003B2FC0">
      <w:pPr>
        <w:rPr>
          <w:sz w:val="24"/>
        </w:rPr>
      </w:pPr>
    </w:p>
    <w:p w:rsidR="003B2FC0" w:rsidRDefault="003B2FC0">
      <w:pPr>
        <w:rPr>
          <w:sz w:val="24"/>
        </w:rPr>
      </w:pPr>
    </w:p>
    <w:p w:rsidR="003B2FC0" w:rsidRDefault="00052A49">
      <w:pPr>
        <w:spacing w:before="149" w:line="480" w:lineRule="auto"/>
        <w:ind w:left="400" w:right="436"/>
        <w:jc w:val="both"/>
        <w:rPr>
          <w:sz w:val="26"/>
        </w:rPr>
      </w:pPr>
      <w:r>
        <w:rPr>
          <w:sz w:val="26"/>
        </w:rPr>
        <w:t>This firmly established the Court’s role in determining what constituted ‘essential’</w:t>
      </w:r>
      <w:r>
        <w:rPr>
          <w:spacing w:val="-18"/>
          <w:sz w:val="26"/>
        </w:rPr>
        <w:t xml:space="preserve"> </w:t>
      </w:r>
      <w:r>
        <w:rPr>
          <w:sz w:val="26"/>
        </w:rPr>
        <w:t>religious</w:t>
      </w:r>
      <w:r>
        <w:rPr>
          <w:spacing w:val="-18"/>
          <w:sz w:val="26"/>
        </w:rPr>
        <w:t xml:space="preserve"> </w:t>
      </w:r>
      <w:r>
        <w:rPr>
          <w:sz w:val="26"/>
        </w:rPr>
        <w:t>practices.</w:t>
      </w:r>
      <w:r>
        <w:rPr>
          <w:spacing w:val="-19"/>
          <w:sz w:val="26"/>
        </w:rPr>
        <w:t xml:space="preserve"> </w:t>
      </w:r>
      <w:r>
        <w:rPr>
          <w:sz w:val="26"/>
        </w:rPr>
        <w:t>However,</w:t>
      </w:r>
      <w:r>
        <w:rPr>
          <w:spacing w:val="-17"/>
          <w:sz w:val="26"/>
        </w:rPr>
        <w:t xml:space="preserve"> </w:t>
      </w:r>
      <w:r>
        <w:rPr>
          <w:sz w:val="26"/>
        </w:rPr>
        <w:t>the</w:t>
      </w:r>
      <w:r>
        <w:rPr>
          <w:spacing w:val="-16"/>
          <w:sz w:val="26"/>
        </w:rPr>
        <w:t xml:space="preserve"> </w:t>
      </w:r>
      <w:r>
        <w:rPr>
          <w:sz w:val="26"/>
        </w:rPr>
        <w:t>matter</w:t>
      </w:r>
      <w:r>
        <w:rPr>
          <w:spacing w:val="-19"/>
          <w:sz w:val="26"/>
        </w:rPr>
        <w:t xml:space="preserve"> </w:t>
      </w:r>
      <w:r>
        <w:rPr>
          <w:sz w:val="26"/>
        </w:rPr>
        <w:t>did</w:t>
      </w:r>
      <w:r>
        <w:rPr>
          <w:spacing w:val="-17"/>
          <w:sz w:val="26"/>
        </w:rPr>
        <w:t xml:space="preserve"> </w:t>
      </w:r>
      <w:r>
        <w:rPr>
          <w:sz w:val="26"/>
        </w:rPr>
        <w:t>not</w:t>
      </w:r>
      <w:r>
        <w:rPr>
          <w:spacing w:val="-19"/>
          <w:sz w:val="26"/>
        </w:rPr>
        <w:t xml:space="preserve"> </w:t>
      </w:r>
      <w:r>
        <w:rPr>
          <w:sz w:val="26"/>
        </w:rPr>
        <w:t>end</w:t>
      </w:r>
      <w:r>
        <w:rPr>
          <w:spacing w:val="-18"/>
          <w:sz w:val="26"/>
        </w:rPr>
        <w:t xml:space="preserve"> </w:t>
      </w:r>
      <w:r>
        <w:rPr>
          <w:sz w:val="26"/>
        </w:rPr>
        <w:t>here.</w:t>
      </w:r>
      <w:r>
        <w:rPr>
          <w:spacing w:val="-17"/>
          <w:sz w:val="26"/>
        </w:rPr>
        <w:t xml:space="preserve"> </w:t>
      </w:r>
      <w:r>
        <w:rPr>
          <w:sz w:val="26"/>
        </w:rPr>
        <w:t>The</w:t>
      </w:r>
      <w:r>
        <w:rPr>
          <w:spacing w:val="-18"/>
          <w:sz w:val="26"/>
        </w:rPr>
        <w:t xml:space="preserve"> </w:t>
      </w:r>
      <w:r>
        <w:rPr>
          <w:sz w:val="26"/>
        </w:rPr>
        <w:t>Gowda Saraswats</w:t>
      </w:r>
      <w:r>
        <w:rPr>
          <w:spacing w:val="-9"/>
          <w:sz w:val="26"/>
        </w:rPr>
        <w:t xml:space="preserve"> </w:t>
      </w:r>
      <w:r>
        <w:rPr>
          <w:sz w:val="26"/>
        </w:rPr>
        <w:t>claimed</w:t>
      </w:r>
      <w:r>
        <w:rPr>
          <w:spacing w:val="-8"/>
          <w:sz w:val="26"/>
        </w:rPr>
        <w:t xml:space="preserve"> </w:t>
      </w:r>
      <w:r>
        <w:rPr>
          <w:sz w:val="26"/>
        </w:rPr>
        <w:t>their</w:t>
      </w:r>
      <w:r>
        <w:rPr>
          <w:spacing w:val="-8"/>
          <w:sz w:val="26"/>
        </w:rPr>
        <w:t xml:space="preserve"> </w:t>
      </w:r>
      <w:r>
        <w:rPr>
          <w:sz w:val="26"/>
        </w:rPr>
        <w:t>right</w:t>
      </w:r>
      <w:r>
        <w:rPr>
          <w:spacing w:val="-7"/>
          <w:sz w:val="26"/>
        </w:rPr>
        <w:t xml:space="preserve"> </w:t>
      </w:r>
      <w:r>
        <w:rPr>
          <w:sz w:val="26"/>
        </w:rPr>
        <w:t>to</w:t>
      </w:r>
      <w:r>
        <w:rPr>
          <w:spacing w:val="-6"/>
          <w:sz w:val="26"/>
        </w:rPr>
        <w:t xml:space="preserve"> </w:t>
      </w:r>
      <w:r>
        <w:rPr>
          <w:sz w:val="26"/>
        </w:rPr>
        <w:t>manage</w:t>
      </w:r>
      <w:r>
        <w:rPr>
          <w:spacing w:val="-8"/>
          <w:sz w:val="26"/>
        </w:rPr>
        <w:t xml:space="preserve"> </w:t>
      </w:r>
      <w:r>
        <w:rPr>
          <w:sz w:val="26"/>
        </w:rPr>
        <w:t>their</w:t>
      </w:r>
      <w:r>
        <w:rPr>
          <w:spacing w:val="-8"/>
          <w:sz w:val="26"/>
        </w:rPr>
        <w:t xml:space="preserve"> </w:t>
      </w:r>
      <w:r>
        <w:rPr>
          <w:sz w:val="26"/>
        </w:rPr>
        <w:t>own</w:t>
      </w:r>
      <w:r>
        <w:rPr>
          <w:spacing w:val="-9"/>
          <w:sz w:val="26"/>
        </w:rPr>
        <w:t xml:space="preserve"> </w:t>
      </w:r>
      <w:r>
        <w:rPr>
          <w:sz w:val="26"/>
        </w:rPr>
        <w:t>religious</w:t>
      </w:r>
      <w:r>
        <w:rPr>
          <w:spacing w:val="-6"/>
          <w:sz w:val="26"/>
        </w:rPr>
        <w:t xml:space="preserve"> </w:t>
      </w:r>
      <w:r>
        <w:rPr>
          <w:sz w:val="26"/>
        </w:rPr>
        <w:t>affairs</w:t>
      </w:r>
      <w:r>
        <w:rPr>
          <w:spacing w:val="-8"/>
          <w:sz w:val="26"/>
        </w:rPr>
        <w:t xml:space="preserve"> </w:t>
      </w:r>
      <w:r>
        <w:rPr>
          <w:sz w:val="26"/>
        </w:rPr>
        <w:t>under</w:t>
      </w:r>
      <w:r>
        <w:rPr>
          <w:spacing w:val="-7"/>
          <w:sz w:val="26"/>
        </w:rPr>
        <w:t xml:space="preserve"> </w:t>
      </w:r>
      <w:r>
        <w:rPr>
          <w:sz w:val="26"/>
        </w:rPr>
        <w:t>Article 26(b), whereas the State claimed that it had a constitutional mandate to throw open Hindu temples ‘to all classes and sections of Hindus’ under Article 25(2)(b). Noting that the two are “apparently in conflict”, the Court c</w:t>
      </w:r>
      <w:r>
        <w:rPr>
          <w:sz w:val="26"/>
        </w:rPr>
        <w:t>onsidered whether</w:t>
      </w:r>
      <w:r>
        <w:rPr>
          <w:spacing w:val="56"/>
          <w:sz w:val="26"/>
        </w:rPr>
        <w:t xml:space="preserve"> </w:t>
      </w:r>
      <w:r>
        <w:rPr>
          <w:sz w:val="26"/>
        </w:rPr>
        <w:t>the</w:t>
      </w:r>
      <w:r>
        <w:rPr>
          <w:spacing w:val="57"/>
          <w:sz w:val="26"/>
        </w:rPr>
        <w:t xml:space="preserve"> </w:t>
      </w:r>
      <w:r>
        <w:rPr>
          <w:sz w:val="26"/>
        </w:rPr>
        <w:t>right</w:t>
      </w:r>
      <w:r>
        <w:rPr>
          <w:spacing w:val="57"/>
          <w:sz w:val="26"/>
        </w:rPr>
        <w:t xml:space="preserve"> </w:t>
      </w:r>
      <w:r>
        <w:rPr>
          <w:sz w:val="26"/>
        </w:rPr>
        <w:t>of</w:t>
      </w:r>
      <w:r>
        <w:rPr>
          <w:spacing w:val="57"/>
          <w:sz w:val="26"/>
        </w:rPr>
        <w:t xml:space="preserve"> </w:t>
      </w:r>
      <w:r>
        <w:rPr>
          <w:sz w:val="26"/>
        </w:rPr>
        <w:t>a</w:t>
      </w:r>
      <w:r>
        <w:rPr>
          <w:spacing w:val="55"/>
          <w:sz w:val="26"/>
        </w:rPr>
        <w:t xml:space="preserve"> </w:t>
      </w:r>
      <w:r>
        <w:rPr>
          <w:sz w:val="26"/>
        </w:rPr>
        <w:t>religious</w:t>
      </w:r>
      <w:r>
        <w:rPr>
          <w:spacing w:val="57"/>
          <w:sz w:val="26"/>
        </w:rPr>
        <w:t xml:space="preserve"> </w:t>
      </w:r>
      <w:r>
        <w:rPr>
          <w:sz w:val="26"/>
        </w:rPr>
        <w:t>denomination</w:t>
      </w:r>
      <w:r>
        <w:rPr>
          <w:spacing w:val="57"/>
          <w:sz w:val="26"/>
        </w:rPr>
        <w:t xml:space="preserve"> </w:t>
      </w:r>
      <w:r>
        <w:rPr>
          <w:sz w:val="26"/>
        </w:rPr>
        <w:t>to</w:t>
      </w:r>
      <w:r>
        <w:rPr>
          <w:spacing w:val="55"/>
          <w:sz w:val="26"/>
        </w:rPr>
        <w:t xml:space="preserve"> </w:t>
      </w:r>
      <w:r>
        <w:rPr>
          <w:sz w:val="26"/>
        </w:rPr>
        <w:t>manage</w:t>
      </w:r>
      <w:r>
        <w:rPr>
          <w:spacing w:val="55"/>
          <w:sz w:val="26"/>
        </w:rPr>
        <w:t xml:space="preserve"> </w:t>
      </w:r>
      <w:r>
        <w:rPr>
          <w:sz w:val="26"/>
        </w:rPr>
        <w:t>its</w:t>
      </w:r>
      <w:r>
        <w:rPr>
          <w:spacing w:val="55"/>
          <w:sz w:val="26"/>
        </w:rPr>
        <w:t xml:space="preserve"> </w:t>
      </w:r>
      <w:r>
        <w:rPr>
          <w:sz w:val="26"/>
        </w:rPr>
        <w:t>own</w:t>
      </w:r>
      <w:r>
        <w:rPr>
          <w:spacing w:val="58"/>
          <w:sz w:val="26"/>
        </w:rPr>
        <w:t xml:space="preserve"> </w:t>
      </w:r>
      <w:r>
        <w:rPr>
          <w:sz w:val="26"/>
        </w:rPr>
        <w:t>affairs</w:t>
      </w:r>
      <w:r>
        <w:rPr>
          <w:spacing w:val="55"/>
          <w:sz w:val="26"/>
        </w:rPr>
        <w:t xml:space="preserve"> </w:t>
      </w:r>
      <w:r>
        <w:rPr>
          <w:sz w:val="26"/>
        </w:rPr>
        <w:t>in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matters of religion guaranteed under Article 26(b) was subject to, and could be controlled by, a law protected by Article 25(2)(b), throwing open a Hind</w:t>
      </w:r>
      <w:r>
        <w:rPr>
          <w:sz w:val="26"/>
        </w:rPr>
        <w:t>u public temple to all classes and sections of Hindus:</w:t>
      </w:r>
    </w:p>
    <w:p w:rsidR="003B2FC0" w:rsidRDefault="00052A49">
      <w:pPr>
        <w:spacing w:before="200" w:line="276" w:lineRule="auto"/>
        <w:ind w:left="1840" w:right="2281"/>
        <w:jc w:val="both"/>
        <w:rPr>
          <w:sz w:val="21"/>
        </w:rPr>
      </w:pPr>
      <w:r>
        <w:rPr>
          <w:sz w:val="21"/>
        </w:rPr>
        <w:t>“Article</w:t>
      </w:r>
      <w:r>
        <w:rPr>
          <w:spacing w:val="-10"/>
          <w:sz w:val="21"/>
        </w:rPr>
        <w:t xml:space="preserve"> </w:t>
      </w:r>
      <w:r>
        <w:rPr>
          <w:sz w:val="21"/>
        </w:rPr>
        <w:t>26,</w:t>
      </w:r>
      <w:r>
        <w:rPr>
          <w:spacing w:val="-11"/>
          <w:sz w:val="21"/>
        </w:rPr>
        <w:t xml:space="preserve"> </w:t>
      </w:r>
      <w:r>
        <w:rPr>
          <w:sz w:val="21"/>
        </w:rPr>
        <w:t>it</w:t>
      </w:r>
      <w:r>
        <w:rPr>
          <w:spacing w:val="-11"/>
          <w:sz w:val="21"/>
        </w:rPr>
        <w:t xml:space="preserve"> </w:t>
      </w:r>
      <w:r>
        <w:rPr>
          <w:sz w:val="21"/>
        </w:rPr>
        <w:t>was</w:t>
      </w:r>
      <w:r>
        <w:rPr>
          <w:spacing w:val="-9"/>
          <w:sz w:val="21"/>
        </w:rPr>
        <w:t xml:space="preserve"> </w:t>
      </w:r>
      <w:r>
        <w:rPr>
          <w:sz w:val="21"/>
        </w:rPr>
        <w:t>contended,</w:t>
      </w:r>
      <w:r>
        <w:rPr>
          <w:spacing w:val="-11"/>
          <w:sz w:val="21"/>
        </w:rPr>
        <w:t xml:space="preserve"> </w:t>
      </w:r>
      <w:r>
        <w:rPr>
          <w:sz w:val="21"/>
        </w:rPr>
        <w:t>should</w:t>
      </w:r>
      <w:r>
        <w:rPr>
          <w:spacing w:val="-10"/>
          <w:sz w:val="21"/>
        </w:rPr>
        <w:t xml:space="preserve"> </w:t>
      </w:r>
      <w:r>
        <w:rPr>
          <w:sz w:val="21"/>
        </w:rPr>
        <w:t>therefore</w:t>
      </w:r>
      <w:r>
        <w:rPr>
          <w:spacing w:val="-10"/>
          <w:sz w:val="21"/>
        </w:rPr>
        <w:t xml:space="preserve"> </w:t>
      </w:r>
      <w:r>
        <w:rPr>
          <w:sz w:val="21"/>
        </w:rPr>
        <w:t>be</w:t>
      </w:r>
      <w:r>
        <w:rPr>
          <w:spacing w:val="-9"/>
          <w:sz w:val="21"/>
        </w:rPr>
        <w:t xml:space="preserve"> </w:t>
      </w:r>
      <w:r>
        <w:rPr>
          <w:sz w:val="21"/>
        </w:rPr>
        <w:t>construed</w:t>
      </w:r>
      <w:r>
        <w:rPr>
          <w:spacing w:val="-10"/>
          <w:sz w:val="21"/>
        </w:rPr>
        <w:t xml:space="preserve"> </w:t>
      </w:r>
      <w:r>
        <w:rPr>
          <w:sz w:val="21"/>
        </w:rPr>
        <w:t>as falling wholly outside Art. 25(2)(b), which should be limited to institutions other than denominational ones… The answer to this</w:t>
      </w:r>
      <w:r>
        <w:rPr>
          <w:spacing w:val="-14"/>
          <w:sz w:val="21"/>
        </w:rPr>
        <w:t xml:space="preserve"> </w:t>
      </w:r>
      <w:r>
        <w:rPr>
          <w:sz w:val="21"/>
        </w:rPr>
        <w:t>contention</w:t>
      </w:r>
      <w:r>
        <w:rPr>
          <w:spacing w:val="-14"/>
          <w:sz w:val="21"/>
        </w:rPr>
        <w:t xml:space="preserve"> </w:t>
      </w:r>
      <w:r>
        <w:rPr>
          <w:sz w:val="21"/>
        </w:rPr>
        <w:t>is</w:t>
      </w:r>
      <w:r>
        <w:rPr>
          <w:spacing w:val="-13"/>
          <w:sz w:val="21"/>
        </w:rPr>
        <w:t xml:space="preserve"> </w:t>
      </w:r>
      <w:r>
        <w:rPr>
          <w:sz w:val="21"/>
        </w:rPr>
        <w:t>that</w:t>
      </w:r>
      <w:r>
        <w:rPr>
          <w:spacing w:val="-15"/>
          <w:sz w:val="21"/>
        </w:rPr>
        <w:t xml:space="preserve"> </w:t>
      </w:r>
      <w:r>
        <w:rPr>
          <w:sz w:val="21"/>
        </w:rPr>
        <w:t>it</w:t>
      </w:r>
      <w:r>
        <w:rPr>
          <w:spacing w:val="-14"/>
          <w:sz w:val="21"/>
        </w:rPr>
        <w:t xml:space="preserve"> </w:t>
      </w:r>
      <w:r>
        <w:rPr>
          <w:sz w:val="21"/>
        </w:rPr>
        <w:t>is</w:t>
      </w:r>
      <w:r>
        <w:rPr>
          <w:spacing w:val="-14"/>
          <w:sz w:val="21"/>
        </w:rPr>
        <w:t xml:space="preserve"> </w:t>
      </w:r>
      <w:r>
        <w:rPr>
          <w:sz w:val="21"/>
        </w:rPr>
        <w:t>impossible</w:t>
      </w:r>
      <w:r>
        <w:rPr>
          <w:spacing w:val="-14"/>
          <w:sz w:val="21"/>
        </w:rPr>
        <w:t xml:space="preserve"> </w:t>
      </w:r>
      <w:r>
        <w:rPr>
          <w:sz w:val="21"/>
        </w:rPr>
        <w:t>to</w:t>
      </w:r>
      <w:r>
        <w:rPr>
          <w:spacing w:val="-13"/>
          <w:sz w:val="21"/>
        </w:rPr>
        <w:t xml:space="preserve"> </w:t>
      </w:r>
      <w:r>
        <w:rPr>
          <w:sz w:val="21"/>
        </w:rPr>
        <w:t>read</w:t>
      </w:r>
      <w:r>
        <w:rPr>
          <w:spacing w:val="-16"/>
          <w:sz w:val="21"/>
        </w:rPr>
        <w:t xml:space="preserve"> </w:t>
      </w:r>
      <w:r>
        <w:rPr>
          <w:sz w:val="21"/>
        </w:rPr>
        <w:t>any</w:t>
      </w:r>
      <w:r>
        <w:rPr>
          <w:spacing w:val="-15"/>
          <w:sz w:val="21"/>
        </w:rPr>
        <w:t xml:space="preserve"> </w:t>
      </w:r>
      <w:r>
        <w:rPr>
          <w:sz w:val="21"/>
        </w:rPr>
        <w:t>such</w:t>
      </w:r>
      <w:r>
        <w:rPr>
          <w:spacing w:val="-14"/>
          <w:sz w:val="21"/>
        </w:rPr>
        <w:t xml:space="preserve"> </w:t>
      </w:r>
      <w:r>
        <w:rPr>
          <w:sz w:val="21"/>
        </w:rPr>
        <w:t xml:space="preserve">limitation into the language of Art. 25(2)(b). It applies in terms to all religious institutions of a public character without qualification or reserve. As already stated, public institutions would mean </w:t>
      </w:r>
      <w:r>
        <w:rPr>
          <w:sz w:val="21"/>
        </w:rPr>
        <w:t>not</w:t>
      </w:r>
      <w:r>
        <w:rPr>
          <w:spacing w:val="-6"/>
          <w:sz w:val="21"/>
        </w:rPr>
        <w:t xml:space="preserve"> </w:t>
      </w:r>
      <w:r>
        <w:rPr>
          <w:sz w:val="21"/>
        </w:rPr>
        <w:t>merely</w:t>
      </w:r>
      <w:r>
        <w:rPr>
          <w:spacing w:val="-6"/>
          <w:sz w:val="21"/>
        </w:rPr>
        <w:t xml:space="preserve"> </w:t>
      </w:r>
      <w:r>
        <w:rPr>
          <w:sz w:val="21"/>
        </w:rPr>
        <w:t>temples</w:t>
      </w:r>
      <w:r>
        <w:rPr>
          <w:spacing w:val="-4"/>
          <w:sz w:val="21"/>
        </w:rPr>
        <w:t xml:space="preserve"> </w:t>
      </w:r>
      <w:r>
        <w:rPr>
          <w:sz w:val="21"/>
        </w:rPr>
        <w:t>dedicated</w:t>
      </w:r>
      <w:r>
        <w:rPr>
          <w:spacing w:val="-4"/>
          <w:sz w:val="21"/>
        </w:rPr>
        <w:t xml:space="preserve"> </w:t>
      </w:r>
      <w:r>
        <w:rPr>
          <w:sz w:val="21"/>
        </w:rPr>
        <w:t>to</w:t>
      </w:r>
      <w:r>
        <w:rPr>
          <w:spacing w:val="-4"/>
          <w:sz w:val="21"/>
        </w:rPr>
        <w:t xml:space="preserve"> </w:t>
      </w:r>
      <w:r>
        <w:rPr>
          <w:sz w:val="21"/>
        </w:rPr>
        <w:t>the</w:t>
      </w:r>
      <w:r>
        <w:rPr>
          <w:spacing w:val="-3"/>
          <w:sz w:val="21"/>
        </w:rPr>
        <w:t xml:space="preserve"> </w:t>
      </w:r>
      <w:r>
        <w:rPr>
          <w:sz w:val="21"/>
        </w:rPr>
        <w:t>public</w:t>
      </w:r>
      <w:r>
        <w:rPr>
          <w:spacing w:val="-5"/>
          <w:sz w:val="21"/>
        </w:rPr>
        <w:t xml:space="preserve"> </w:t>
      </w:r>
      <w:r>
        <w:rPr>
          <w:sz w:val="21"/>
        </w:rPr>
        <w:t>as</w:t>
      </w:r>
      <w:r>
        <w:rPr>
          <w:spacing w:val="-4"/>
          <w:sz w:val="21"/>
        </w:rPr>
        <w:t xml:space="preserve"> </w:t>
      </w:r>
      <w:r>
        <w:rPr>
          <w:sz w:val="21"/>
        </w:rPr>
        <w:t>a</w:t>
      </w:r>
      <w:r>
        <w:rPr>
          <w:spacing w:val="-4"/>
          <w:sz w:val="21"/>
        </w:rPr>
        <w:t xml:space="preserve"> </w:t>
      </w:r>
      <w:r>
        <w:rPr>
          <w:sz w:val="21"/>
        </w:rPr>
        <w:t>whole</w:t>
      </w:r>
      <w:r>
        <w:rPr>
          <w:spacing w:val="-5"/>
          <w:sz w:val="21"/>
        </w:rPr>
        <w:t xml:space="preserve"> </w:t>
      </w:r>
      <w:r>
        <w:rPr>
          <w:sz w:val="21"/>
        </w:rPr>
        <w:t>but</w:t>
      </w:r>
      <w:r>
        <w:rPr>
          <w:spacing w:val="-5"/>
          <w:sz w:val="21"/>
        </w:rPr>
        <w:t xml:space="preserve"> </w:t>
      </w:r>
      <w:r>
        <w:rPr>
          <w:sz w:val="21"/>
        </w:rPr>
        <w:t>also those founded for the benefit of sections thereof, and denominational temples would be comprised therein. The language of the Article being plain and unambiguous, it is not open to us to read i</w:t>
      </w:r>
      <w:r>
        <w:rPr>
          <w:sz w:val="21"/>
        </w:rPr>
        <w:t>nto it limitations which are not there,</w:t>
      </w:r>
      <w:r>
        <w:rPr>
          <w:spacing w:val="-38"/>
          <w:sz w:val="21"/>
        </w:rPr>
        <w:t xml:space="preserve"> </w:t>
      </w:r>
      <w:r>
        <w:rPr>
          <w:sz w:val="21"/>
        </w:rPr>
        <w:t>based on a priori reasoning as to the probable intention of the Legislature. Such intention can be gathered only from the words actually used in the statute; and in a Court of law, what is</w:t>
      </w:r>
      <w:r>
        <w:rPr>
          <w:spacing w:val="-7"/>
          <w:sz w:val="21"/>
        </w:rPr>
        <w:t xml:space="preserve"> </w:t>
      </w:r>
      <w:r>
        <w:rPr>
          <w:sz w:val="21"/>
        </w:rPr>
        <w:t>unexpressed</w:t>
      </w:r>
      <w:r>
        <w:rPr>
          <w:spacing w:val="-6"/>
          <w:sz w:val="21"/>
        </w:rPr>
        <w:t xml:space="preserve"> </w:t>
      </w:r>
      <w:r>
        <w:rPr>
          <w:sz w:val="21"/>
        </w:rPr>
        <w:t>has</w:t>
      </w:r>
      <w:r>
        <w:rPr>
          <w:spacing w:val="-6"/>
          <w:sz w:val="21"/>
        </w:rPr>
        <w:t xml:space="preserve"> </w:t>
      </w:r>
      <w:r>
        <w:rPr>
          <w:sz w:val="21"/>
        </w:rPr>
        <w:t>the</w:t>
      </w:r>
      <w:r>
        <w:rPr>
          <w:spacing w:val="-6"/>
          <w:sz w:val="21"/>
        </w:rPr>
        <w:t xml:space="preserve"> </w:t>
      </w:r>
      <w:r>
        <w:rPr>
          <w:sz w:val="21"/>
        </w:rPr>
        <w:t>same</w:t>
      </w:r>
      <w:r>
        <w:rPr>
          <w:spacing w:val="-6"/>
          <w:sz w:val="21"/>
        </w:rPr>
        <w:t xml:space="preserve"> </w:t>
      </w:r>
      <w:r>
        <w:rPr>
          <w:sz w:val="21"/>
        </w:rPr>
        <w:t>va</w:t>
      </w:r>
      <w:r>
        <w:rPr>
          <w:sz w:val="21"/>
        </w:rPr>
        <w:t>lue</w:t>
      </w:r>
      <w:r>
        <w:rPr>
          <w:spacing w:val="-7"/>
          <w:sz w:val="21"/>
        </w:rPr>
        <w:t xml:space="preserve"> </w:t>
      </w:r>
      <w:r>
        <w:rPr>
          <w:sz w:val="21"/>
        </w:rPr>
        <w:t>as</w:t>
      </w:r>
      <w:r>
        <w:rPr>
          <w:spacing w:val="-6"/>
          <w:sz w:val="21"/>
        </w:rPr>
        <w:t xml:space="preserve"> </w:t>
      </w:r>
      <w:r>
        <w:rPr>
          <w:sz w:val="21"/>
        </w:rPr>
        <w:t>what</w:t>
      </w:r>
      <w:r>
        <w:rPr>
          <w:spacing w:val="-5"/>
          <w:sz w:val="21"/>
        </w:rPr>
        <w:t xml:space="preserve"> </w:t>
      </w:r>
      <w:r>
        <w:rPr>
          <w:sz w:val="21"/>
        </w:rPr>
        <w:t>is</w:t>
      </w:r>
      <w:r>
        <w:rPr>
          <w:spacing w:val="-8"/>
          <w:sz w:val="21"/>
        </w:rPr>
        <w:t xml:space="preserve"> </w:t>
      </w:r>
      <w:r>
        <w:rPr>
          <w:sz w:val="21"/>
        </w:rPr>
        <w:t>unintended.</w:t>
      </w:r>
      <w:r>
        <w:rPr>
          <w:spacing w:val="-12"/>
          <w:sz w:val="21"/>
        </w:rPr>
        <w:t xml:space="preserve"> </w:t>
      </w:r>
      <w:r>
        <w:rPr>
          <w:sz w:val="21"/>
        </w:rPr>
        <w:t>We must therefore hold that denominational institutions are within Art.</w:t>
      </w:r>
      <w:r>
        <w:rPr>
          <w:spacing w:val="-3"/>
          <w:sz w:val="21"/>
        </w:rPr>
        <w:t xml:space="preserve"> </w:t>
      </w:r>
      <w:r>
        <w:rPr>
          <w:sz w:val="21"/>
        </w:rPr>
        <w:t>25(2)(b).”</w:t>
      </w:r>
    </w:p>
    <w:p w:rsidR="003B2FC0" w:rsidRDefault="003B2FC0">
      <w:pPr>
        <w:rPr>
          <w:sz w:val="24"/>
        </w:rPr>
      </w:pPr>
    </w:p>
    <w:p w:rsidR="003B2FC0" w:rsidRDefault="003B2FC0">
      <w:pPr>
        <w:spacing w:before="9"/>
        <w:rPr>
          <w:sz w:val="24"/>
        </w:rPr>
      </w:pPr>
    </w:p>
    <w:p w:rsidR="003B2FC0" w:rsidRDefault="00052A49">
      <w:pPr>
        <w:spacing w:before="1" w:line="480" w:lineRule="auto"/>
        <w:ind w:left="400" w:right="431"/>
        <w:jc w:val="both"/>
        <w:rPr>
          <w:sz w:val="26"/>
        </w:rPr>
      </w:pPr>
      <w:r>
        <w:rPr>
          <w:sz w:val="26"/>
        </w:rPr>
        <w:t>Applying the doctrine of harmonious construction, the Court held that the protection under Article 25(2)(b) vanishes in its entirety if it is held that Article 26(b) allows no exceptions or is not subject to Article 25(2)(b):</w:t>
      </w:r>
    </w:p>
    <w:p w:rsidR="003B2FC0" w:rsidRDefault="00052A49">
      <w:pPr>
        <w:spacing w:before="199" w:line="276" w:lineRule="auto"/>
        <w:ind w:left="1840" w:right="2281"/>
        <w:jc w:val="both"/>
        <w:rPr>
          <w:sz w:val="21"/>
        </w:rPr>
      </w:pPr>
      <w:r>
        <w:rPr>
          <w:sz w:val="21"/>
        </w:rPr>
        <w:t>“If</w:t>
      </w:r>
      <w:r>
        <w:rPr>
          <w:spacing w:val="-13"/>
          <w:sz w:val="21"/>
        </w:rPr>
        <w:t xml:space="preserve"> </w:t>
      </w:r>
      <w:r>
        <w:rPr>
          <w:sz w:val="21"/>
        </w:rPr>
        <w:t>the</w:t>
      </w:r>
      <w:r>
        <w:rPr>
          <w:spacing w:val="-14"/>
          <w:sz w:val="21"/>
        </w:rPr>
        <w:t xml:space="preserve"> </w:t>
      </w:r>
      <w:r>
        <w:rPr>
          <w:sz w:val="21"/>
        </w:rPr>
        <w:t>denominational</w:t>
      </w:r>
      <w:r>
        <w:rPr>
          <w:spacing w:val="-12"/>
          <w:sz w:val="21"/>
        </w:rPr>
        <w:t xml:space="preserve"> </w:t>
      </w:r>
      <w:r>
        <w:rPr>
          <w:sz w:val="21"/>
        </w:rPr>
        <w:t>rights</w:t>
      </w:r>
      <w:r>
        <w:rPr>
          <w:spacing w:val="-14"/>
          <w:sz w:val="21"/>
        </w:rPr>
        <w:t xml:space="preserve"> </w:t>
      </w:r>
      <w:r>
        <w:rPr>
          <w:sz w:val="21"/>
        </w:rPr>
        <w:t>are</w:t>
      </w:r>
      <w:r>
        <w:rPr>
          <w:spacing w:val="-13"/>
          <w:sz w:val="21"/>
        </w:rPr>
        <w:t xml:space="preserve"> </w:t>
      </w:r>
      <w:r>
        <w:rPr>
          <w:sz w:val="21"/>
        </w:rPr>
        <w:t>such</w:t>
      </w:r>
      <w:r>
        <w:rPr>
          <w:spacing w:val="-14"/>
          <w:sz w:val="21"/>
        </w:rPr>
        <w:t xml:space="preserve"> </w:t>
      </w:r>
      <w:r>
        <w:rPr>
          <w:sz w:val="21"/>
        </w:rPr>
        <w:t>that</w:t>
      </w:r>
      <w:r>
        <w:rPr>
          <w:spacing w:val="-14"/>
          <w:sz w:val="21"/>
        </w:rPr>
        <w:t xml:space="preserve"> </w:t>
      </w:r>
      <w:r>
        <w:rPr>
          <w:sz w:val="21"/>
        </w:rPr>
        <w:t>to</w:t>
      </w:r>
      <w:r>
        <w:rPr>
          <w:spacing w:val="-14"/>
          <w:sz w:val="21"/>
        </w:rPr>
        <w:t xml:space="preserve"> </w:t>
      </w:r>
      <w:r>
        <w:rPr>
          <w:sz w:val="21"/>
        </w:rPr>
        <w:t>give</w:t>
      </w:r>
      <w:r>
        <w:rPr>
          <w:spacing w:val="-13"/>
          <w:sz w:val="21"/>
        </w:rPr>
        <w:t xml:space="preserve"> </w:t>
      </w:r>
      <w:r>
        <w:rPr>
          <w:sz w:val="21"/>
        </w:rPr>
        <w:t>effect</w:t>
      </w:r>
      <w:r>
        <w:rPr>
          <w:spacing w:val="-15"/>
          <w:sz w:val="21"/>
        </w:rPr>
        <w:t xml:space="preserve"> </w:t>
      </w:r>
      <w:r>
        <w:rPr>
          <w:sz w:val="21"/>
        </w:rPr>
        <w:t>to</w:t>
      </w:r>
      <w:r>
        <w:rPr>
          <w:spacing w:val="-13"/>
          <w:sz w:val="21"/>
        </w:rPr>
        <w:t xml:space="preserve"> </w:t>
      </w:r>
      <w:r>
        <w:rPr>
          <w:sz w:val="21"/>
        </w:rPr>
        <w:t>them would substantially reduce the right conferred by Art. 25(2)(b), then of course, on our conclusion that Art. 25(2)(b) prevails as against Art. 26(b), the denominational rights must vanish. But where that is not the posi</w:t>
      </w:r>
      <w:r>
        <w:rPr>
          <w:sz w:val="21"/>
        </w:rPr>
        <w:t>tion, and after giving effect to the rights of the denomination what is left to the public of the right of</w:t>
      </w:r>
      <w:r>
        <w:rPr>
          <w:spacing w:val="-3"/>
          <w:sz w:val="21"/>
        </w:rPr>
        <w:t xml:space="preserve"> </w:t>
      </w:r>
      <w:r>
        <w:rPr>
          <w:sz w:val="21"/>
        </w:rPr>
        <w:t>worship</w:t>
      </w:r>
      <w:r>
        <w:rPr>
          <w:spacing w:val="-6"/>
          <w:sz w:val="21"/>
        </w:rPr>
        <w:t xml:space="preserve"> </w:t>
      </w:r>
      <w:r>
        <w:rPr>
          <w:sz w:val="21"/>
        </w:rPr>
        <w:t>is</w:t>
      </w:r>
      <w:r>
        <w:rPr>
          <w:spacing w:val="-4"/>
          <w:sz w:val="21"/>
        </w:rPr>
        <w:t xml:space="preserve"> </w:t>
      </w:r>
      <w:r>
        <w:rPr>
          <w:sz w:val="21"/>
        </w:rPr>
        <w:t>something</w:t>
      </w:r>
      <w:r>
        <w:rPr>
          <w:spacing w:val="-6"/>
          <w:sz w:val="21"/>
        </w:rPr>
        <w:t xml:space="preserve"> </w:t>
      </w:r>
      <w:r>
        <w:rPr>
          <w:sz w:val="21"/>
        </w:rPr>
        <w:t>substantial</w:t>
      </w:r>
      <w:r>
        <w:rPr>
          <w:spacing w:val="-5"/>
          <w:sz w:val="21"/>
        </w:rPr>
        <w:t xml:space="preserve"> </w:t>
      </w:r>
      <w:r>
        <w:rPr>
          <w:sz w:val="21"/>
        </w:rPr>
        <w:t>and</w:t>
      </w:r>
      <w:r>
        <w:rPr>
          <w:spacing w:val="-7"/>
          <w:sz w:val="21"/>
        </w:rPr>
        <w:t xml:space="preserve"> </w:t>
      </w:r>
      <w:r>
        <w:rPr>
          <w:sz w:val="21"/>
        </w:rPr>
        <w:t>not</w:t>
      </w:r>
      <w:r>
        <w:rPr>
          <w:spacing w:val="-7"/>
          <w:sz w:val="21"/>
        </w:rPr>
        <w:t xml:space="preserve"> </w:t>
      </w:r>
      <w:r>
        <w:rPr>
          <w:sz w:val="21"/>
        </w:rPr>
        <w:t>merely</w:t>
      </w:r>
      <w:r>
        <w:rPr>
          <w:spacing w:val="-6"/>
          <w:sz w:val="21"/>
        </w:rPr>
        <w:t xml:space="preserve"> </w:t>
      </w:r>
      <w:r>
        <w:rPr>
          <w:sz w:val="21"/>
        </w:rPr>
        <w:t>the</w:t>
      </w:r>
      <w:r>
        <w:rPr>
          <w:spacing w:val="-4"/>
          <w:sz w:val="21"/>
        </w:rPr>
        <w:t xml:space="preserve"> </w:t>
      </w:r>
      <w:r>
        <w:rPr>
          <w:sz w:val="21"/>
        </w:rPr>
        <w:t>husk</w:t>
      </w:r>
      <w:r>
        <w:rPr>
          <w:spacing w:val="-2"/>
          <w:sz w:val="21"/>
        </w:rPr>
        <w:t xml:space="preserve"> </w:t>
      </w:r>
      <w:r>
        <w:rPr>
          <w:sz w:val="21"/>
        </w:rPr>
        <w:t>of it, there is no reason why we should not so construe Art. 25(2)(b) as to give effect to A</w:t>
      </w:r>
      <w:r>
        <w:rPr>
          <w:sz w:val="21"/>
        </w:rPr>
        <w:t>rt. 26(b) and recognise the rights of the denomination in respect of matters which are strictly denominational, leaving the rights of the public in other respects</w:t>
      </w:r>
      <w:r>
        <w:rPr>
          <w:spacing w:val="-2"/>
          <w:sz w:val="21"/>
        </w:rPr>
        <w:t xml:space="preserve"> </w:t>
      </w:r>
      <w:r>
        <w:rPr>
          <w:sz w:val="21"/>
        </w:rPr>
        <w:t>unaffected.”</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1" w:firstLine="0"/>
        <w:jc w:val="both"/>
        <w:rPr>
          <w:sz w:val="26"/>
        </w:rPr>
      </w:pPr>
      <w:r>
        <w:rPr>
          <w:sz w:val="26"/>
        </w:rPr>
        <w:t>This case marked a nuance of the essential practices doctrine</w:t>
      </w:r>
      <w:r>
        <w:rPr>
          <w:sz w:val="26"/>
        </w:rPr>
        <w:t xml:space="preserve"> laid down in </w:t>
      </w:r>
      <w:r>
        <w:rPr>
          <w:b/>
          <w:sz w:val="26"/>
        </w:rPr>
        <w:t>Shirur Mutt</w:t>
      </w:r>
      <w:r>
        <w:rPr>
          <w:sz w:val="26"/>
        </w:rPr>
        <w:t xml:space="preserve">, where a denomination was granted ‘complete autonomy’ to determine which practices it considered to be essential. In </w:t>
      </w:r>
      <w:r>
        <w:rPr>
          <w:b/>
          <w:sz w:val="26"/>
        </w:rPr>
        <w:t>Shirur Mutt</w:t>
      </w:r>
      <w:r>
        <w:rPr>
          <w:sz w:val="26"/>
        </w:rPr>
        <w:t>, the autonomy to decide what is essential to religion was coupled with the definition of religion its</w:t>
      </w:r>
      <w:r>
        <w:rPr>
          <w:sz w:val="26"/>
        </w:rPr>
        <w:t xml:space="preserve">elf, which was to comprehend belief and practice. In </w:t>
      </w:r>
      <w:r>
        <w:rPr>
          <w:b/>
          <w:sz w:val="26"/>
        </w:rPr>
        <w:t>Devaru</w:t>
      </w:r>
      <w:r>
        <w:rPr>
          <w:sz w:val="26"/>
        </w:rPr>
        <w:t>, the Court laid down a crucial precedent in carving out its role in examining the essentiality</w:t>
      </w:r>
      <w:r>
        <w:rPr>
          <w:spacing w:val="-9"/>
          <w:sz w:val="26"/>
        </w:rPr>
        <w:t xml:space="preserve"> </w:t>
      </w:r>
      <w:r>
        <w:rPr>
          <w:sz w:val="26"/>
        </w:rPr>
        <w:t>of</w:t>
      </w:r>
      <w:r>
        <w:rPr>
          <w:spacing w:val="-4"/>
          <w:sz w:val="26"/>
        </w:rPr>
        <w:t xml:space="preserve"> </w:t>
      </w:r>
      <w:r>
        <w:rPr>
          <w:sz w:val="26"/>
        </w:rPr>
        <w:t>such</w:t>
      </w:r>
      <w:r>
        <w:rPr>
          <w:spacing w:val="-7"/>
          <w:sz w:val="26"/>
        </w:rPr>
        <w:t xml:space="preserve"> </w:t>
      </w:r>
      <w:r>
        <w:rPr>
          <w:sz w:val="26"/>
        </w:rPr>
        <w:t>practices.</w:t>
      </w:r>
      <w:r>
        <w:rPr>
          <w:spacing w:val="-7"/>
          <w:sz w:val="26"/>
        </w:rPr>
        <w:t xml:space="preserve"> </w:t>
      </w:r>
      <w:r>
        <w:rPr>
          <w:sz w:val="26"/>
        </w:rPr>
        <w:t>While</w:t>
      </w:r>
      <w:r>
        <w:rPr>
          <w:spacing w:val="-6"/>
          <w:sz w:val="26"/>
        </w:rPr>
        <w:t xml:space="preserve"> </w:t>
      </w:r>
      <w:r>
        <w:rPr>
          <w:sz w:val="26"/>
        </w:rPr>
        <w:t>the</w:t>
      </w:r>
      <w:r>
        <w:rPr>
          <w:spacing w:val="-7"/>
          <w:sz w:val="26"/>
        </w:rPr>
        <w:t xml:space="preserve"> </w:t>
      </w:r>
      <w:r>
        <w:rPr>
          <w:sz w:val="26"/>
        </w:rPr>
        <w:t>Court</w:t>
      </w:r>
      <w:r>
        <w:rPr>
          <w:spacing w:val="-4"/>
          <w:sz w:val="26"/>
        </w:rPr>
        <w:t xml:space="preserve"> </w:t>
      </w:r>
      <w:r>
        <w:rPr>
          <w:sz w:val="26"/>
        </w:rPr>
        <w:t>would</w:t>
      </w:r>
      <w:r>
        <w:rPr>
          <w:spacing w:val="-7"/>
          <w:sz w:val="26"/>
        </w:rPr>
        <w:t xml:space="preserve"> </w:t>
      </w:r>
      <w:r>
        <w:rPr>
          <w:sz w:val="26"/>
        </w:rPr>
        <w:t>take</w:t>
      </w:r>
      <w:r>
        <w:rPr>
          <w:spacing w:val="-6"/>
          <w:sz w:val="26"/>
        </w:rPr>
        <w:t xml:space="preserve"> </w:t>
      </w:r>
      <w:r>
        <w:rPr>
          <w:sz w:val="26"/>
        </w:rPr>
        <w:t>into</w:t>
      </w:r>
      <w:r>
        <w:rPr>
          <w:spacing w:val="-4"/>
          <w:sz w:val="26"/>
        </w:rPr>
        <w:t xml:space="preserve"> </w:t>
      </w:r>
      <w:r>
        <w:rPr>
          <w:sz w:val="26"/>
        </w:rPr>
        <w:t>consideration</w:t>
      </w:r>
      <w:r>
        <w:rPr>
          <w:spacing w:val="-7"/>
          <w:sz w:val="26"/>
        </w:rPr>
        <w:t xml:space="preserve"> </w:t>
      </w:r>
      <w:r>
        <w:rPr>
          <w:sz w:val="26"/>
        </w:rPr>
        <w:t>the views of a religious community in determining whether a practice qualified as essential, this would not be determinative.</w:t>
      </w:r>
    </w:p>
    <w:p w:rsidR="003B2FC0" w:rsidRDefault="003B2FC0">
      <w:pPr>
        <w:rPr>
          <w:sz w:val="28"/>
        </w:rPr>
      </w:pPr>
    </w:p>
    <w:p w:rsidR="003B2FC0" w:rsidRDefault="003B2FC0">
      <w:pPr>
        <w:spacing w:before="11"/>
        <w:rPr>
          <w:sz w:val="32"/>
        </w:rPr>
      </w:pPr>
    </w:p>
    <w:p w:rsidR="003B2FC0" w:rsidRDefault="00052A49">
      <w:pPr>
        <w:spacing w:line="480" w:lineRule="auto"/>
        <w:ind w:left="400" w:right="435"/>
        <w:jc w:val="both"/>
        <w:rPr>
          <w:sz w:val="26"/>
        </w:rPr>
      </w:pPr>
      <w:r>
        <w:rPr>
          <w:sz w:val="26"/>
        </w:rPr>
        <w:t xml:space="preserve">Prior to </w:t>
      </w:r>
      <w:r>
        <w:rPr>
          <w:b/>
          <w:sz w:val="26"/>
        </w:rPr>
        <w:t>Devaru</w:t>
      </w:r>
      <w:r>
        <w:rPr>
          <w:sz w:val="26"/>
        </w:rPr>
        <w:t>, this Court used the word ‘essential’ to distinguish between religious and secular practices in order to circumscribe the extent of state intervention in religious matters. The shift in judicial approach took place when ‘essentially religious’ (as distinc</w:t>
      </w:r>
      <w:r>
        <w:rPr>
          <w:sz w:val="26"/>
        </w:rPr>
        <w:t>t from the secular) became conflated with ‘essential to religion.’ The Court’s enquiry into the essentiality of the practice in question represented a shift in the test, which now enjoined upon the Court the duty to decide which religious practices would b</w:t>
      </w:r>
      <w:r>
        <w:rPr>
          <w:sz w:val="26"/>
        </w:rPr>
        <w:t>e afforded constitutional protection,</w:t>
      </w:r>
      <w:r>
        <w:rPr>
          <w:spacing w:val="-13"/>
          <w:sz w:val="26"/>
        </w:rPr>
        <w:t xml:space="preserve"> </w:t>
      </w:r>
      <w:r>
        <w:rPr>
          <w:sz w:val="26"/>
        </w:rPr>
        <w:t>based</w:t>
      </w:r>
      <w:r>
        <w:rPr>
          <w:spacing w:val="-13"/>
          <w:sz w:val="26"/>
        </w:rPr>
        <w:t xml:space="preserve"> </w:t>
      </w:r>
      <w:r>
        <w:rPr>
          <w:sz w:val="26"/>
        </w:rPr>
        <w:t>on</w:t>
      </w:r>
      <w:r>
        <w:rPr>
          <w:spacing w:val="-10"/>
          <w:sz w:val="26"/>
        </w:rPr>
        <w:t xml:space="preserve"> </w:t>
      </w:r>
      <w:r>
        <w:rPr>
          <w:sz w:val="26"/>
        </w:rPr>
        <w:t>the</w:t>
      </w:r>
      <w:r>
        <w:rPr>
          <w:spacing w:val="-14"/>
          <w:sz w:val="26"/>
        </w:rPr>
        <w:t xml:space="preserve"> </w:t>
      </w:r>
      <w:r>
        <w:rPr>
          <w:sz w:val="26"/>
        </w:rPr>
        <w:t>determination</w:t>
      </w:r>
      <w:r>
        <w:rPr>
          <w:spacing w:val="-10"/>
          <w:sz w:val="26"/>
        </w:rPr>
        <w:t xml:space="preserve"> </w:t>
      </w:r>
      <w:r>
        <w:rPr>
          <w:sz w:val="26"/>
        </w:rPr>
        <w:t>of</w:t>
      </w:r>
      <w:r>
        <w:rPr>
          <w:spacing w:val="-10"/>
          <w:sz w:val="26"/>
        </w:rPr>
        <w:t xml:space="preserve"> </w:t>
      </w:r>
      <w:r>
        <w:rPr>
          <w:sz w:val="26"/>
        </w:rPr>
        <w:t>what</w:t>
      </w:r>
      <w:r>
        <w:rPr>
          <w:spacing w:val="-14"/>
          <w:sz w:val="26"/>
        </w:rPr>
        <w:t xml:space="preserve"> </w:t>
      </w:r>
      <w:r>
        <w:rPr>
          <w:sz w:val="26"/>
        </w:rPr>
        <w:t>constitutes</w:t>
      </w:r>
      <w:r>
        <w:rPr>
          <w:spacing w:val="-13"/>
          <w:sz w:val="26"/>
        </w:rPr>
        <w:t xml:space="preserve"> </w:t>
      </w:r>
      <w:r>
        <w:rPr>
          <w:sz w:val="26"/>
        </w:rPr>
        <w:t>an</w:t>
      </w:r>
      <w:r>
        <w:rPr>
          <w:spacing w:val="-13"/>
          <w:sz w:val="26"/>
        </w:rPr>
        <w:t xml:space="preserve"> </w:t>
      </w:r>
      <w:r>
        <w:rPr>
          <w:sz w:val="26"/>
        </w:rPr>
        <w:t>essential</w:t>
      </w:r>
      <w:r>
        <w:rPr>
          <w:spacing w:val="-13"/>
          <w:sz w:val="26"/>
        </w:rPr>
        <w:t xml:space="preserve"> </w:t>
      </w:r>
      <w:r>
        <w:rPr>
          <w:sz w:val="26"/>
        </w:rPr>
        <w:t>religious practice.</w:t>
      </w:r>
    </w:p>
    <w:p w:rsidR="003B2FC0" w:rsidRDefault="003B2FC0">
      <w:pPr>
        <w:rPr>
          <w:sz w:val="28"/>
        </w:rPr>
      </w:pPr>
    </w:p>
    <w:p w:rsidR="003B2FC0" w:rsidRDefault="003B2FC0">
      <w:pPr>
        <w:spacing w:before="3"/>
        <w:rPr>
          <w:sz w:val="32"/>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 xml:space="preserve">In </w:t>
      </w:r>
      <w:r>
        <w:rPr>
          <w:b/>
          <w:sz w:val="26"/>
        </w:rPr>
        <w:t xml:space="preserve">Mohd. Hanif Quareshi </w:t>
      </w:r>
      <w:r>
        <w:rPr>
          <w:sz w:val="26"/>
        </w:rPr>
        <w:t xml:space="preserve">v </w:t>
      </w:r>
      <w:r>
        <w:rPr>
          <w:b/>
          <w:sz w:val="26"/>
        </w:rPr>
        <w:t>State of Bihar</w:t>
      </w:r>
      <w:r>
        <w:rPr>
          <w:position w:val="9"/>
          <w:sz w:val="17"/>
        </w:rPr>
        <w:t xml:space="preserve">27 </w:t>
      </w:r>
      <w:r>
        <w:rPr>
          <w:sz w:val="26"/>
        </w:rPr>
        <w:t>(“</w:t>
      </w:r>
      <w:r>
        <w:rPr>
          <w:b/>
          <w:sz w:val="26"/>
        </w:rPr>
        <w:t>Qureshi</w:t>
      </w:r>
      <w:r>
        <w:rPr>
          <w:sz w:val="26"/>
        </w:rPr>
        <w:t>”), a Constitution Bench</w:t>
      </w:r>
      <w:r>
        <w:rPr>
          <w:spacing w:val="13"/>
          <w:sz w:val="26"/>
        </w:rPr>
        <w:t xml:space="preserve"> </w:t>
      </w:r>
      <w:r>
        <w:rPr>
          <w:sz w:val="26"/>
        </w:rPr>
        <w:t>of</w:t>
      </w:r>
      <w:r>
        <w:rPr>
          <w:spacing w:val="14"/>
          <w:sz w:val="26"/>
        </w:rPr>
        <w:t xml:space="preserve"> </w:t>
      </w:r>
      <w:r>
        <w:rPr>
          <w:sz w:val="26"/>
        </w:rPr>
        <w:t>this</w:t>
      </w:r>
      <w:r>
        <w:rPr>
          <w:spacing w:val="14"/>
          <w:sz w:val="26"/>
        </w:rPr>
        <w:t xml:space="preserve"> </w:t>
      </w:r>
      <w:r>
        <w:rPr>
          <w:sz w:val="26"/>
        </w:rPr>
        <w:t>Court</w:t>
      </w:r>
      <w:r>
        <w:rPr>
          <w:spacing w:val="13"/>
          <w:sz w:val="26"/>
        </w:rPr>
        <w:t xml:space="preserve"> </w:t>
      </w:r>
      <w:r>
        <w:rPr>
          <w:sz w:val="26"/>
        </w:rPr>
        <w:t>considered</w:t>
      </w:r>
      <w:r>
        <w:rPr>
          <w:spacing w:val="17"/>
          <w:sz w:val="26"/>
        </w:rPr>
        <w:t xml:space="preserve"> </w:t>
      </w:r>
      <w:r>
        <w:rPr>
          <w:sz w:val="26"/>
        </w:rPr>
        <w:t>whether</w:t>
      </w:r>
      <w:r>
        <w:rPr>
          <w:spacing w:val="14"/>
          <w:sz w:val="26"/>
        </w:rPr>
        <w:t xml:space="preserve"> </w:t>
      </w:r>
      <w:r>
        <w:rPr>
          <w:sz w:val="26"/>
        </w:rPr>
        <w:t>laws</w:t>
      </w:r>
      <w:r>
        <w:rPr>
          <w:spacing w:val="14"/>
          <w:sz w:val="26"/>
        </w:rPr>
        <w:t xml:space="preserve"> </w:t>
      </w:r>
      <w:r>
        <w:rPr>
          <w:sz w:val="26"/>
        </w:rPr>
        <w:t>prohibiting</w:t>
      </w:r>
      <w:r>
        <w:rPr>
          <w:spacing w:val="16"/>
          <w:sz w:val="26"/>
        </w:rPr>
        <w:t xml:space="preserve"> </w:t>
      </w:r>
      <w:r>
        <w:rPr>
          <w:sz w:val="26"/>
        </w:rPr>
        <w:t>cattle</w:t>
      </w:r>
      <w:r>
        <w:rPr>
          <w:spacing w:val="14"/>
          <w:sz w:val="26"/>
        </w:rPr>
        <w:t xml:space="preserve"> </w:t>
      </w:r>
      <w:r>
        <w:rPr>
          <w:sz w:val="26"/>
        </w:rPr>
        <w:t>slaughter</w:t>
      </w:r>
    </w:p>
    <w:p w:rsidR="003B2FC0" w:rsidRDefault="003B2FC0">
      <w:pPr>
        <w:spacing w:before="10"/>
        <w:rPr>
          <w:sz w:val="20"/>
        </w:rPr>
      </w:pPr>
      <w:r w:rsidRPr="003B2FC0">
        <w:pict>
          <v:line id="_x0000_s1125" style="position:absolute;z-index:251590144;mso-wrap-distance-left:0;mso-wrap-distance-right:0;mso-position-horizontal-relative:page" from="1in,14.35pt" to="216.05pt,14.35pt" strokeweight=".72pt">
            <w10:wrap type="topAndBottom" anchorx="page"/>
          </v:line>
        </w:pict>
      </w:r>
    </w:p>
    <w:p w:rsidR="003B2FC0" w:rsidRDefault="00052A49">
      <w:pPr>
        <w:spacing w:before="66"/>
        <w:ind w:left="400"/>
        <w:rPr>
          <w:sz w:val="18"/>
        </w:rPr>
      </w:pPr>
      <w:r>
        <w:rPr>
          <w:position w:val="6"/>
          <w:sz w:val="12"/>
        </w:rPr>
        <w:t>27</w:t>
      </w:r>
      <w:r>
        <w:rPr>
          <w:sz w:val="18"/>
        </w:rPr>
        <w:t>(1959) SCR 629</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infringed upon the fundamental right to religion of the Petitioners, who were members</w:t>
      </w:r>
      <w:r>
        <w:rPr>
          <w:spacing w:val="-11"/>
          <w:sz w:val="26"/>
        </w:rPr>
        <w:t xml:space="preserve"> </w:t>
      </w:r>
      <w:r>
        <w:rPr>
          <w:sz w:val="26"/>
        </w:rPr>
        <w:t>of</w:t>
      </w:r>
      <w:r>
        <w:rPr>
          <w:spacing w:val="-12"/>
          <w:sz w:val="26"/>
        </w:rPr>
        <w:t xml:space="preserve"> </w:t>
      </w:r>
      <w:r>
        <w:rPr>
          <w:sz w:val="26"/>
        </w:rPr>
        <w:t>the</w:t>
      </w:r>
      <w:r>
        <w:rPr>
          <w:spacing w:val="-9"/>
          <w:sz w:val="26"/>
        </w:rPr>
        <w:t xml:space="preserve"> </w:t>
      </w:r>
      <w:r>
        <w:rPr>
          <w:sz w:val="26"/>
        </w:rPr>
        <w:t>Muslim</w:t>
      </w:r>
      <w:r>
        <w:rPr>
          <w:spacing w:val="-11"/>
          <w:sz w:val="26"/>
        </w:rPr>
        <w:t xml:space="preserve"> </w:t>
      </w:r>
      <w:r>
        <w:rPr>
          <w:sz w:val="26"/>
        </w:rPr>
        <w:t>Qureshi</w:t>
      </w:r>
      <w:r>
        <w:rPr>
          <w:spacing w:val="-11"/>
          <w:sz w:val="26"/>
        </w:rPr>
        <w:t xml:space="preserve"> </w:t>
      </w:r>
      <w:r>
        <w:rPr>
          <w:sz w:val="26"/>
        </w:rPr>
        <w:t>Community.</w:t>
      </w:r>
      <w:r>
        <w:rPr>
          <w:spacing w:val="-11"/>
          <w:sz w:val="26"/>
        </w:rPr>
        <w:t xml:space="preserve"> </w:t>
      </w:r>
      <w:r>
        <w:rPr>
          <w:sz w:val="26"/>
        </w:rPr>
        <w:t>The</w:t>
      </w:r>
      <w:r>
        <w:rPr>
          <w:spacing w:val="-12"/>
          <w:sz w:val="26"/>
        </w:rPr>
        <w:t xml:space="preserve"> </w:t>
      </w:r>
      <w:r>
        <w:rPr>
          <w:sz w:val="26"/>
        </w:rPr>
        <w:t>Petitioners</w:t>
      </w:r>
      <w:r>
        <w:rPr>
          <w:spacing w:val="-11"/>
          <w:sz w:val="26"/>
        </w:rPr>
        <w:t xml:space="preserve"> </w:t>
      </w:r>
      <w:r>
        <w:rPr>
          <w:sz w:val="26"/>
        </w:rPr>
        <w:t>claimed</w:t>
      </w:r>
      <w:r>
        <w:rPr>
          <w:spacing w:val="-12"/>
          <w:sz w:val="26"/>
        </w:rPr>
        <w:t xml:space="preserve"> </w:t>
      </w:r>
      <w:r>
        <w:rPr>
          <w:sz w:val="26"/>
        </w:rPr>
        <w:t>that</w:t>
      </w:r>
      <w:r>
        <w:rPr>
          <w:spacing w:val="-12"/>
          <w:sz w:val="26"/>
        </w:rPr>
        <w:t xml:space="preserve"> </w:t>
      </w:r>
      <w:r>
        <w:rPr>
          <w:sz w:val="26"/>
        </w:rPr>
        <w:t xml:space="preserve">these laws were violative of Article 25 of the Constitution </w:t>
      </w:r>
      <w:r>
        <w:rPr>
          <w:sz w:val="26"/>
        </w:rPr>
        <w:t>as Muslims were compelled by their religion to sacrifice cows at Bakr-Id. The Court placed reliance upon Islamic religious texts to determine that the sacrificing of cows at Bakr-Id was not an essential practice for</w:t>
      </w:r>
      <w:r>
        <w:rPr>
          <w:spacing w:val="-2"/>
          <w:sz w:val="26"/>
        </w:rPr>
        <w:t xml:space="preserve"> </w:t>
      </w:r>
      <w:r>
        <w:rPr>
          <w:sz w:val="26"/>
        </w:rPr>
        <w:t>Muslims:</w:t>
      </w:r>
    </w:p>
    <w:p w:rsidR="003B2FC0" w:rsidRDefault="00052A49">
      <w:pPr>
        <w:spacing w:before="199" w:line="276" w:lineRule="auto"/>
        <w:ind w:left="1840" w:right="2289"/>
        <w:jc w:val="both"/>
        <w:rPr>
          <w:sz w:val="20"/>
        </w:rPr>
      </w:pPr>
      <w:r>
        <w:rPr>
          <w:sz w:val="20"/>
        </w:rPr>
        <w:t>“13...No reference is made in t</w:t>
      </w:r>
      <w:r>
        <w:rPr>
          <w:sz w:val="20"/>
        </w:rPr>
        <w:t>he petition to any particular Surah of the Holy Quran which, in terms, requires the sacrifice of a cow...What the Holy book enjoins is that people should pray unto the Lord and make sacrifice...It is therefore, optional for a Muslim to sacrifice a goat for</w:t>
      </w:r>
      <w:r>
        <w:rPr>
          <w:sz w:val="20"/>
        </w:rPr>
        <w:t xml:space="preserve"> one person or a cow or a camel for seven persons. </w:t>
      </w:r>
      <w:r>
        <w:rPr>
          <w:b/>
          <w:sz w:val="20"/>
        </w:rPr>
        <w:t>It does not appear to be obligatory that a person must</w:t>
      </w:r>
      <w:r>
        <w:rPr>
          <w:b/>
          <w:spacing w:val="-5"/>
          <w:sz w:val="20"/>
        </w:rPr>
        <w:t xml:space="preserve"> </w:t>
      </w:r>
      <w:r>
        <w:rPr>
          <w:b/>
          <w:sz w:val="20"/>
        </w:rPr>
        <w:t>sacrifice</w:t>
      </w:r>
      <w:r>
        <w:rPr>
          <w:b/>
          <w:spacing w:val="-6"/>
          <w:sz w:val="20"/>
        </w:rPr>
        <w:t xml:space="preserve"> </w:t>
      </w:r>
      <w:r>
        <w:rPr>
          <w:b/>
          <w:sz w:val="20"/>
        </w:rPr>
        <w:t>a</w:t>
      </w:r>
      <w:r>
        <w:rPr>
          <w:b/>
          <w:spacing w:val="-5"/>
          <w:sz w:val="20"/>
        </w:rPr>
        <w:t xml:space="preserve"> </w:t>
      </w:r>
      <w:r>
        <w:rPr>
          <w:b/>
          <w:sz w:val="20"/>
        </w:rPr>
        <w:t>cow.</w:t>
      </w:r>
      <w:r>
        <w:rPr>
          <w:b/>
          <w:spacing w:val="-5"/>
          <w:sz w:val="20"/>
        </w:rPr>
        <w:t xml:space="preserve"> </w:t>
      </w:r>
      <w:r>
        <w:rPr>
          <w:b/>
          <w:sz w:val="20"/>
        </w:rPr>
        <w:t>The</w:t>
      </w:r>
      <w:r>
        <w:rPr>
          <w:b/>
          <w:spacing w:val="-7"/>
          <w:sz w:val="20"/>
        </w:rPr>
        <w:t xml:space="preserve"> </w:t>
      </w:r>
      <w:r>
        <w:rPr>
          <w:b/>
          <w:sz w:val="20"/>
        </w:rPr>
        <w:t>very</w:t>
      </w:r>
      <w:r>
        <w:rPr>
          <w:b/>
          <w:spacing w:val="-8"/>
          <w:sz w:val="20"/>
        </w:rPr>
        <w:t xml:space="preserve"> </w:t>
      </w:r>
      <w:r>
        <w:rPr>
          <w:b/>
          <w:sz w:val="20"/>
        </w:rPr>
        <w:t>fact</w:t>
      </w:r>
      <w:r>
        <w:rPr>
          <w:b/>
          <w:spacing w:val="-4"/>
          <w:sz w:val="20"/>
        </w:rPr>
        <w:t xml:space="preserve"> </w:t>
      </w:r>
      <w:r>
        <w:rPr>
          <w:b/>
          <w:sz w:val="20"/>
        </w:rPr>
        <w:t>of</w:t>
      </w:r>
      <w:r>
        <w:rPr>
          <w:b/>
          <w:spacing w:val="-5"/>
          <w:sz w:val="20"/>
        </w:rPr>
        <w:t xml:space="preserve"> </w:t>
      </w:r>
      <w:r>
        <w:rPr>
          <w:b/>
          <w:sz w:val="20"/>
        </w:rPr>
        <w:t>an</w:t>
      </w:r>
      <w:r>
        <w:rPr>
          <w:b/>
          <w:spacing w:val="-5"/>
          <w:sz w:val="20"/>
        </w:rPr>
        <w:t xml:space="preserve"> </w:t>
      </w:r>
      <w:r>
        <w:rPr>
          <w:b/>
          <w:sz w:val="20"/>
        </w:rPr>
        <w:t>option</w:t>
      </w:r>
      <w:r>
        <w:rPr>
          <w:b/>
          <w:spacing w:val="-3"/>
          <w:sz w:val="20"/>
        </w:rPr>
        <w:t xml:space="preserve"> </w:t>
      </w:r>
      <w:r>
        <w:rPr>
          <w:b/>
          <w:sz w:val="20"/>
        </w:rPr>
        <w:t>seems</w:t>
      </w:r>
      <w:r>
        <w:rPr>
          <w:b/>
          <w:spacing w:val="-5"/>
          <w:sz w:val="20"/>
        </w:rPr>
        <w:t xml:space="preserve"> </w:t>
      </w:r>
      <w:r>
        <w:rPr>
          <w:b/>
          <w:sz w:val="20"/>
        </w:rPr>
        <w:t>to</w:t>
      </w:r>
      <w:r>
        <w:rPr>
          <w:b/>
          <w:spacing w:val="-5"/>
          <w:sz w:val="20"/>
        </w:rPr>
        <w:t xml:space="preserve"> </w:t>
      </w:r>
      <w:r>
        <w:rPr>
          <w:b/>
          <w:sz w:val="20"/>
        </w:rPr>
        <w:t>run counter to the notion of an obligatory</w:t>
      </w:r>
      <w:r>
        <w:rPr>
          <w:b/>
          <w:spacing w:val="-7"/>
          <w:sz w:val="20"/>
        </w:rPr>
        <w:t xml:space="preserve"> </w:t>
      </w:r>
      <w:r>
        <w:rPr>
          <w:b/>
          <w:sz w:val="20"/>
        </w:rPr>
        <w:t>duty</w:t>
      </w:r>
      <w:r>
        <w:rPr>
          <w:sz w:val="20"/>
        </w:rPr>
        <w:t>…”</w:t>
      </w:r>
    </w:p>
    <w:p w:rsidR="003B2FC0" w:rsidRDefault="00052A49">
      <w:pPr>
        <w:spacing w:before="1"/>
        <w:ind w:left="1840"/>
        <w:rPr>
          <w:sz w:val="20"/>
        </w:rPr>
      </w:pPr>
      <w:r>
        <w:rPr>
          <w:sz w:val="20"/>
        </w:rPr>
        <w:t>(Emphasis supplied)</w:t>
      </w:r>
    </w:p>
    <w:p w:rsidR="003B2FC0" w:rsidRDefault="003B2FC0"/>
    <w:p w:rsidR="003B2FC0" w:rsidRDefault="003B2FC0"/>
    <w:p w:rsidR="003B2FC0" w:rsidRDefault="00052A49">
      <w:pPr>
        <w:spacing w:before="182" w:line="480" w:lineRule="auto"/>
        <w:ind w:left="400" w:right="438"/>
        <w:jc w:val="both"/>
        <w:rPr>
          <w:sz w:val="26"/>
        </w:rPr>
      </w:pPr>
      <w:r>
        <w:rPr>
          <w:sz w:val="26"/>
        </w:rPr>
        <w:t>In response to the claim that Muslims had been sacrificing cows since time immemorial and that this practice was sanctioned by their religion and was therefore protected by Article 25, the Court observed that:</w:t>
      </w:r>
    </w:p>
    <w:p w:rsidR="003B2FC0" w:rsidRDefault="00052A49">
      <w:pPr>
        <w:spacing w:before="200" w:line="276" w:lineRule="auto"/>
        <w:ind w:left="1840" w:right="2281"/>
        <w:jc w:val="both"/>
        <w:rPr>
          <w:sz w:val="21"/>
        </w:rPr>
      </w:pPr>
      <w:r>
        <w:rPr>
          <w:sz w:val="21"/>
        </w:rPr>
        <w:t>“13…It is part of the known history of India t</w:t>
      </w:r>
      <w:r>
        <w:rPr>
          <w:sz w:val="21"/>
        </w:rPr>
        <w:t>hat the Moghul Emperor Babar saw the wisdom of prohibiting the slaughter of cows as and by way of religious sacrifice and directed his son Humayun to follow this example...</w:t>
      </w:r>
      <w:r>
        <w:rPr>
          <w:b/>
          <w:sz w:val="21"/>
        </w:rPr>
        <w:t>We have, however, no material on the record before us which will enable us to say, i</w:t>
      </w:r>
      <w:r>
        <w:rPr>
          <w:b/>
          <w:sz w:val="21"/>
        </w:rPr>
        <w:t xml:space="preserve">n the face of the foregoing facts, that the sacrifice of a cow on that day is an obligatory overt act for a Mussalman to exhibit his religious belief and idea. </w:t>
      </w:r>
      <w:r>
        <w:rPr>
          <w:sz w:val="21"/>
        </w:rPr>
        <w:t>In the premises, it is not possible for us to uphold this claim of the petitioners.”</w:t>
      </w:r>
    </w:p>
    <w:p w:rsidR="003B2FC0" w:rsidRDefault="00052A49">
      <w:pPr>
        <w:spacing w:before="200"/>
        <w:ind w:left="1840"/>
        <w:jc w:val="both"/>
        <w:rPr>
          <w:sz w:val="21"/>
        </w:rPr>
      </w:pPr>
      <w:r>
        <w:rPr>
          <w:sz w:val="21"/>
        </w:rPr>
        <w:t>(Emphasis s</w:t>
      </w:r>
      <w:r>
        <w:rPr>
          <w:sz w:val="21"/>
        </w:rPr>
        <w:t>upplied)</w:t>
      </w:r>
    </w:p>
    <w:p w:rsidR="003B2FC0" w:rsidRDefault="003B2FC0">
      <w:pPr>
        <w:jc w:val="both"/>
        <w:rPr>
          <w:sz w:val="21"/>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5"/>
        <w:jc w:val="both"/>
        <w:rPr>
          <w:sz w:val="26"/>
        </w:rPr>
      </w:pPr>
      <w:r>
        <w:rPr>
          <w:sz w:val="26"/>
        </w:rPr>
        <w:t>The Court looked to the texts and scriptures of the religious community to conclude</w:t>
      </w:r>
      <w:r>
        <w:rPr>
          <w:spacing w:val="-19"/>
          <w:sz w:val="26"/>
        </w:rPr>
        <w:t xml:space="preserve"> </w:t>
      </w:r>
      <w:r>
        <w:rPr>
          <w:sz w:val="26"/>
        </w:rPr>
        <w:t>that</w:t>
      </w:r>
      <w:r>
        <w:rPr>
          <w:spacing w:val="-19"/>
          <w:sz w:val="26"/>
        </w:rPr>
        <w:t xml:space="preserve"> </w:t>
      </w:r>
      <w:r>
        <w:rPr>
          <w:sz w:val="26"/>
        </w:rPr>
        <w:t>the</w:t>
      </w:r>
      <w:r>
        <w:rPr>
          <w:spacing w:val="-19"/>
          <w:sz w:val="26"/>
        </w:rPr>
        <w:t xml:space="preserve"> </w:t>
      </w:r>
      <w:r>
        <w:rPr>
          <w:sz w:val="26"/>
        </w:rPr>
        <w:t>practice</w:t>
      </w:r>
      <w:r>
        <w:rPr>
          <w:spacing w:val="-19"/>
          <w:sz w:val="26"/>
        </w:rPr>
        <w:t xml:space="preserve"> </w:t>
      </w:r>
      <w:r>
        <w:rPr>
          <w:sz w:val="26"/>
        </w:rPr>
        <w:t>claimed</w:t>
      </w:r>
      <w:r>
        <w:rPr>
          <w:spacing w:val="-19"/>
          <w:sz w:val="26"/>
        </w:rPr>
        <w:t xml:space="preserve"> </w:t>
      </w:r>
      <w:r>
        <w:rPr>
          <w:sz w:val="26"/>
        </w:rPr>
        <w:t>to</w:t>
      </w:r>
      <w:r>
        <w:rPr>
          <w:spacing w:val="-19"/>
          <w:sz w:val="26"/>
        </w:rPr>
        <w:t xml:space="preserve"> </w:t>
      </w:r>
      <w:r>
        <w:rPr>
          <w:sz w:val="26"/>
        </w:rPr>
        <w:t>be</w:t>
      </w:r>
      <w:r>
        <w:rPr>
          <w:spacing w:val="-19"/>
          <w:sz w:val="26"/>
        </w:rPr>
        <w:t xml:space="preserve"> </w:t>
      </w:r>
      <w:r>
        <w:rPr>
          <w:sz w:val="26"/>
        </w:rPr>
        <w:t>essential</w:t>
      </w:r>
      <w:r>
        <w:rPr>
          <w:spacing w:val="-16"/>
          <w:sz w:val="26"/>
        </w:rPr>
        <w:t xml:space="preserve"> </w:t>
      </w:r>
      <w:r>
        <w:rPr>
          <w:sz w:val="26"/>
        </w:rPr>
        <w:t>was</w:t>
      </w:r>
      <w:r>
        <w:rPr>
          <w:spacing w:val="-19"/>
          <w:sz w:val="26"/>
        </w:rPr>
        <w:t xml:space="preserve"> </w:t>
      </w:r>
      <w:r>
        <w:rPr>
          <w:sz w:val="26"/>
        </w:rPr>
        <w:t>not</w:t>
      </w:r>
      <w:r>
        <w:rPr>
          <w:spacing w:val="-19"/>
          <w:sz w:val="26"/>
        </w:rPr>
        <w:t xml:space="preserve"> </w:t>
      </w:r>
      <w:r>
        <w:rPr>
          <w:sz w:val="26"/>
        </w:rPr>
        <w:t>supported</w:t>
      </w:r>
      <w:r>
        <w:rPr>
          <w:spacing w:val="-19"/>
          <w:sz w:val="26"/>
        </w:rPr>
        <w:t xml:space="preserve"> </w:t>
      </w:r>
      <w:r>
        <w:rPr>
          <w:sz w:val="26"/>
        </w:rPr>
        <w:t>by</w:t>
      </w:r>
      <w:r>
        <w:rPr>
          <w:spacing w:val="-21"/>
          <w:sz w:val="26"/>
        </w:rPr>
        <w:t xml:space="preserve"> </w:t>
      </w:r>
      <w:r>
        <w:rPr>
          <w:sz w:val="26"/>
        </w:rPr>
        <w:t>religious tenets.</w:t>
      </w:r>
    </w:p>
    <w:p w:rsidR="003B2FC0" w:rsidRDefault="003B2FC0">
      <w:pPr>
        <w:rPr>
          <w:sz w:val="28"/>
        </w:rPr>
      </w:pPr>
    </w:p>
    <w:p w:rsidR="003B2FC0" w:rsidRDefault="003B2FC0">
      <w:pPr>
        <w:spacing w:before="4"/>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 xml:space="preserve">In </w:t>
      </w:r>
      <w:r>
        <w:rPr>
          <w:b/>
          <w:sz w:val="26"/>
        </w:rPr>
        <w:t xml:space="preserve">Durgah Committee, Ajmer </w:t>
      </w:r>
      <w:r>
        <w:rPr>
          <w:sz w:val="26"/>
        </w:rPr>
        <w:t xml:space="preserve">v </w:t>
      </w:r>
      <w:r>
        <w:rPr>
          <w:b/>
          <w:sz w:val="26"/>
        </w:rPr>
        <w:t>Syed Hussain Ali</w:t>
      </w:r>
      <w:r>
        <w:rPr>
          <w:position w:val="9"/>
          <w:sz w:val="17"/>
        </w:rPr>
        <w:t xml:space="preserve">28 </w:t>
      </w:r>
      <w:r>
        <w:rPr>
          <w:sz w:val="26"/>
        </w:rPr>
        <w:t>(“</w:t>
      </w:r>
      <w:r>
        <w:rPr>
          <w:b/>
          <w:sz w:val="26"/>
        </w:rPr>
        <w:t>Durgah Committee</w:t>
      </w:r>
      <w:r>
        <w:rPr>
          <w:sz w:val="26"/>
        </w:rPr>
        <w:t>”), a Constitution Bench of this Court considered a challenge to the Durgah Khawaja Saheb Act, 1955, which provided for the constitution of a Committee to manage a Muslim Durgah. The Respondents, who were khadims</w:t>
      </w:r>
      <w:r>
        <w:rPr>
          <w:position w:val="9"/>
          <w:sz w:val="17"/>
        </w:rPr>
        <w:t xml:space="preserve">29 </w:t>
      </w:r>
      <w:r>
        <w:rPr>
          <w:sz w:val="26"/>
        </w:rPr>
        <w:t xml:space="preserve">of the Durgah, contended </w:t>
      </w:r>
      <w:r>
        <w:rPr>
          <w:sz w:val="26"/>
        </w:rPr>
        <w:t>that the Act barred them from managing the</w:t>
      </w:r>
      <w:r>
        <w:rPr>
          <w:spacing w:val="-15"/>
          <w:sz w:val="26"/>
        </w:rPr>
        <w:t xml:space="preserve"> </w:t>
      </w:r>
      <w:r>
        <w:rPr>
          <w:sz w:val="26"/>
        </w:rPr>
        <w:t>Durgah</w:t>
      </w:r>
      <w:r>
        <w:rPr>
          <w:spacing w:val="-14"/>
          <w:sz w:val="26"/>
        </w:rPr>
        <w:t xml:space="preserve"> </w:t>
      </w:r>
      <w:r>
        <w:rPr>
          <w:sz w:val="26"/>
        </w:rPr>
        <w:t>and</w:t>
      </w:r>
      <w:r>
        <w:rPr>
          <w:spacing w:val="-14"/>
          <w:sz w:val="26"/>
        </w:rPr>
        <w:t xml:space="preserve"> </w:t>
      </w:r>
      <w:r>
        <w:rPr>
          <w:sz w:val="26"/>
        </w:rPr>
        <w:t>receiving</w:t>
      </w:r>
      <w:r>
        <w:rPr>
          <w:spacing w:val="-14"/>
          <w:sz w:val="26"/>
        </w:rPr>
        <w:t xml:space="preserve"> </w:t>
      </w:r>
      <w:r>
        <w:rPr>
          <w:sz w:val="26"/>
        </w:rPr>
        <w:t>offerings</w:t>
      </w:r>
      <w:r>
        <w:rPr>
          <w:spacing w:val="-14"/>
          <w:sz w:val="26"/>
        </w:rPr>
        <w:t xml:space="preserve"> </w:t>
      </w:r>
      <w:r>
        <w:rPr>
          <w:sz w:val="26"/>
        </w:rPr>
        <w:t>from</w:t>
      </w:r>
      <w:r>
        <w:rPr>
          <w:spacing w:val="-14"/>
          <w:sz w:val="26"/>
        </w:rPr>
        <w:t xml:space="preserve"> </w:t>
      </w:r>
      <w:r>
        <w:rPr>
          <w:sz w:val="26"/>
        </w:rPr>
        <w:t>pilgrims,</w:t>
      </w:r>
      <w:r>
        <w:rPr>
          <w:spacing w:val="-14"/>
          <w:sz w:val="26"/>
        </w:rPr>
        <w:t xml:space="preserve"> </w:t>
      </w:r>
      <w:r>
        <w:rPr>
          <w:sz w:val="26"/>
        </w:rPr>
        <w:t>and</w:t>
      </w:r>
      <w:r>
        <w:rPr>
          <w:spacing w:val="-14"/>
          <w:sz w:val="26"/>
        </w:rPr>
        <w:t xml:space="preserve"> </w:t>
      </w:r>
      <w:r>
        <w:rPr>
          <w:sz w:val="26"/>
        </w:rPr>
        <w:t>hence</w:t>
      </w:r>
      <w:r>
        <w:rPr>
          <w:spacing w:val="-14"/>
          <w:sz w:val="26"/>
        </w:rPr>
        <w:t xml:space="preserve"> </w:t>
      </w:r>
      <w:r>
        <w:rPr>
          <w:sz w:val="26"/>
        </w:rPr>
        <w:t>infringed</w:t>
      </w:r>
      <w:r>
        <w:rPr>
          <w:spacing w:val="-14"/>
          <w:sz w:val="26"/>
        </w:rPr>
        <w:t xml:space="preserve"> </w:t>
      </w:r>
      <w:r>
        <w:rPr>
          <w:sz w:val="26"/>
        </w:rPr>
        <w:t>upon</w:t>
      </w:r>
      <w:r>
        <w:rPr>
          <w:spacing w:val="-14"/>
          <w:sz w:val="26"/>
        </w:rPr>
        <w:t xml:space="preserve"> </w:t>
      </w:r>
      <w:r>
        <w:rPr>
          <w:sz w:val="26"/>
        </w:rPr>
        <w:t>their rights</w:t>
      </w:r>
      <w:r>
        <w:rPr>
          <w:spacing w:val="-12"/>
          <w:sz w:val="26"/>
        </w:rPr>
        <w:t xml:space="preserve"> </w:t>
      </w:r>
      <w:r>
        <w:rPr>
          <w:sz w:val="26"/>
        </w:rPr>
        <w:t>under</w:t>
      </w:r>
      <w:r>
        <w:rPr>
          <w:spacing w:val="-9"/>
          <w:sz w:val="26"/>
        </w:rPr>
        <w:t xml:space="preserve"> </w:t>
      </w:r>
      <w:r>
        <w:rPr>
          <w:sz w:val="26"/>
        </w:rPr>
        <w:t>Article</w:t>
      </w:r>
      <w:r>
        <w:rPr>
          <w:spacing w:val="-9"/>
          <w:sz w:val="26"/>
        </w:rPr>
        <w:t xml:space="preserve"> </w:t>
      </w:r>
      <w:r>
        <w:rPr>
          <w:sz w:val="26"/>
        </w:rPr>
        <w:t>26</w:t>
      </w:r>
      <w:r>
        <w:rPr>
          <w:spacing w:val="-11"/>
          <w:sz w:val="26"/>
        </w:rPr>
        <w:t xml:space="preserve"> </w:t>
      </w:r>
      <w:r>
        <w:rPr>
          <w:sz w:val="26"/>
        </w:rPr>
        <w:t>as</w:t>
      </w:r>
      <w:r>
        <w:rPr>
          <w:spacing w:val="-9"/>
          <w:sz w:val="26"/>
        </w:rPr>
        <w:t xml:space="preserve"> </w:t>
      </w:r>
      <w:r>
        <w:rPr>
          <w:sz w:val="26"/>
        </w:rPr>
        <w:t>Muslims</w:t>
      </w:r>
      <w:r>
        <w:rPr>
          <w:spacing w:val="-9"/>
          <w:sz w:val="26"/>
        </w:rPr>
        <w:t xml:space="preserve"> </w:t>
      </w:r>
      <w:r>
        <w:rPr>
          <w:sz w:val="26"/>
        </w:rPr>
        <w:t>belonging</w:t>
      </w:r>
      <w:r>
        <w:rPr>
          <w:spacing w:val="-12"/>
          <w:sz w:val="26"/>
        </w:rPr>
        <w:t xml:space="preserve"> </w:t>
      </w:r>
      <w:r>
        <w:rPr>
          <w:sz w:val="26"/>
        </w:rPr>
        <w:t>to</w:t>
      </w:r>
      <w:r>
        <w:rPr>
          <w:spacing w:val="-11"/>
          <w:sz w:val="26"/>
        </w:rPr>
        <w:t xml:space="preserve"> </w:t>
      </w:r>
      <w:r>
        <w:rPr>
          <w:sz w:val="26"/>
        </w:rPr>
        <w:t>the</w:t>
      </w:r>
      <w:r>
        <w:rPr>
          <w:spacing w:val="-12"/>
          <w:sz w:val="26"/>
        </w:rPr>
        <w:t xml:space="preserve"> </w:t>
      </w:r>
      <w:r>
        <w:rPr>
          <w:sz w:val="26"/>
        </w:rPr>
        <w:t>Soofi</w:t>
      </w:r>
      <w:r>
        <w:rPr>
          <w:spacing w:val="-12"/>
          <w:sz w:val="26"/>
        </w:rPr>
        <w:t xml:space="preserve"> </w:t>
      </w:r>
      <w:r>
        <w:rPr>
          <w:sz w:val="26"/>
        </w:rPr>
        <w:t>Chishtia</w:t>
      </w:r>
      <w:r>
        <w:rPr>
          <w:spacing w:val="-11"/>
          <w:sz w:val="26"/>
        </w:rPr>
        <w:t xml:space="preserve"> </w:t>
      </w:r>
      <w:r>
        <w:rPr>
          <w:sz w:val="26"/>
        </w:rPr>
        <w:t>Order.</w:t>
      </w:r>
      <w:r>
        <w:rPr>
          <w:spacing w:val="-10"/>
          <w:sz w:val="26"/>
        </w:rPr>
        <w:t xml:space="preserve"> </w:t>
      </w:r>
      <w:r>
        <w:rPr>
          <w:sz w:val="26"/>
        </w:rPr>
        <w:t>Rather than making a reference to scriptures, Justice Gajendra</w:t>
      </w:r>
      <w:r>
        <w:rPr>
          <w:sz w:val="26"/>
        </w:rPr>
        <w:t>gadkar, writing for the Court, considered the history of the Ajmer shrine to determine that the right to administer the property never vested in the</w:t>
      </w:r>
      <w:r>
        <w:rPr>
          <w:spacing w:val="-1"/>
          <w:sz w:val="26"/>
        </w:rPr>
        <w:t xml:space="preserve"> </w:t>
      </w:r>
      <w:r>
        <w:rPr>
          <w:sz w:val="26"/>
        </w:rPr>
        <w:t>Respondents:</w:t>
      </w:r>
    </w:p>
    <w:p w:rsidR="003B2FC0" w:rsidRDefault="00052A49">
      <w:pPr>
        <w:spacing w:before="193" w:line="276" w:lineRule="auto"/>
        <w:ind w:left="1840" w:right="2281"/>
        <w:jc w:val="both"/>
        <w:rPr>
          <w:sz w:val="21"/>
        </w:rPr>
      </w:pPr>
      <w:r>
        <w:rPr>
          <w:sz w:val="21"/>
        </w:rPr>
        <w:t>“22. Thus it would be clear that from the middle of the 16th Century to the middle of the 20th</w:t>
      </w:r>
      <w:r>
        <w:rPr>
          <w:sz w:val="21"/>
        </w:rPr>
        <w:t xml:space="preserve"> Century the administration and management of the Durgah Endowment has been true to the same pattern. The said administration has been treated</w:t>
      </w:r>
      <w:r>
        <w:rPr>
          <w:spacing w:val="-35"/>
          <w:sz w:val="21"/>
        </w:rPr>
        <w:t xml:space="preserve"> </w:t>
      </w:r>
      <w:r>
        <w:rPr>
          <w:sz w:val="21"/>
        </w:rPr>
        <w:t>as a matter with which the State is concerned and it has been</w:t>
      </w:r>
      <w:r>
        <w:rPr>
          <w:spacing w:val="-37"/>
          <w:sz w:val="21"/>
        </w:rPr>
        <w:t xml:space="preserve"> </w:t>
      </w:r>
      <w:r>
        <w:rPr>
          <w:sz w:val="21"/>
        </w:rPr>
        <w:t>left in charge of the Mutawallis who were appointed</w:t>
      </w:r>
      <w:r>
        <w:rPr>
          <w:sz w:val="21"/>
        </w:rPr>
        <w:t xml:space="preserve"> from time to time by the State and even removed when they were found to be guilty of misconduct or when it was felt that their work was unsatisfactory.”</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17"/>
        </w:rPr>
      </w:pPr>
      <w:r w:rsidRPr="003B2FC0">
        <w:pict>
          <v:line id="_x0000_s1124" style="position:absolute;z-index:251591168;mso-wrap-distance-left:0;mso-wrap-distance-right:0;mso-position-horizontal-relative:page" from="1in,12.15pt" to="216.05pt,12.15pt" strokeweight=".72pt">
            <w10:wrap type="topAndBottom" anchorx="page"/>
          </v:line>
        </w:pict>
      </w:r>
    </w:p>
    <w:p w:rsidR="003B2FC0" w:rsidRDefault="00052A49">
      <w:pPr>
        <w:spacing w:before="67" w:line="209" w:lineRule="exact"/>
        <w:ind w:left="400"/>
        <w:rPr>
          <w:sz w:val="18"/>
        </w:rPr>
      </w:pPr>
      <w:r>
        <w:rPr>
          <w:position w:val="6"/>
          <w:sz w:val="12"/>
        </w:rPr>
        <w:t xml:space="preserve">28 </w:t>
      </w:r>
      <w:r>
        <w:rPr>
          <w:sz w:val="18"/>
        </w:rPr>
        <w:t>(1962) 1 SCR 383</w:t>
      </w:r>
    </w:p>
    <w:p w:rsidR="003B2FC0" w:rsidRDefault="00052A49">
      <w:pPr>
        <w:ind w:left="580" w:right="441" w:hanging="180"/>
        <w:jc w:val="both"/>
        <w:rPr>
          <w:sz w:val="18"/>
        </w:rPr>
      </w:pPr>
      <w:r>
        <w:rPr>
          <w:position w:val="6"/>
          <w:sz w:val="12"/>
        </w:rPr>
        <w:t xml:space="preserve">29 </w:t>
      </w:r>
      <w:r>
        <w:rPr>
          <w:sz w:val="18"/>
        </w:rPr>
        <w:t>According to the khadims, they were descendants of two followers of the twelfth century Sufi saint Khwaja Moinuddin Chisti, whose tomb at Ajmer is known as the Durgah Khwaja Saheb. The khadims also claimed they belonged to a religious denomination known as</w:t>
      </w:r>
      <w:r>
        <w:rPr>
          <w:sz w:val="18"/>
        </w:rPr>
        <w:t xml:space="preserve"> the Chishtia Sufis.</w:t>
      </w:r>
    </w:p>
    <w:p w:rsidR="003B2FC0" w:rsidRDefault="003B2FC0">
      <w:pPr>
        <w:jc w:val="both"/>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8"/>
        <w:jc w:val="both"/>
        <w:rPr>
          <w:sz w:val="26"/>
        </w:rPr>
      </w:pPr>
      <w:r>
        <w:rPr>
          <w:sz w:val="26"/>
        </w:rPr>
        <w:t>Before parting with the judgment, Justice Gajendragadkar issued an important “note of caution”:</w:t>
      </w:r>
    </w:p>
    <w:p w:rsidR="003B2FC0" w:rsidRDefault="00052A49">
      <w:pPr>
        <w:spacing w:before="200" w:line="276" w:lineRule="auto"/>
        <w:ind w:left="1840" w:right="2278"/>
        <w:jc w:val="both"/>
        <w:rPr>
          <w:sz w:val="21"/>
        </w:rPr>
      </w:pPr>
      <w:r>
        <w:rPr>
          <w:sz w:val="21"/>
        </w:rPr>
        <w:t>“33…</w:t>
      </w:r>
      <w:r>
        <w:rPr>
          <w:b/>
          <w:sz w:val="21"/>
        </w:rPr>
        <w:t>in order that the practices in question should be treated as a part of religion they must be regarded by the said re</w:t>
      </w:r>
      <w:r>
        <w:rPr>
          <w:b/>
          <w:sz w:val="21"/>
        </w:rPr>
        <w:t>ligion as its essential and integral part; otherwise even purely secular practices which are not an essential or an integral part of religion are apt to be clothed with a religious form and may make a claim for being treated as religious practices within t</w:t>
      </w:r>
      <w:r>
        <w:rPr>
          <w:b/>
          <w:sz w:val="21"/>
        </w:rPr>
        <w:t xml:space="preserve">he meaning of Article 26. Similarly, even practices though religious may have sprung from merely superstitious beliefs and may in that sense be extraneous and unessential accretions to religion itself. </w:t>
      </w:r>
      <w:r>
        <w:rPr>
          <w:sz w:val="21"/>
        </w:rPr>
        <w:t>Unless such practices are found to constitute an essen</w:t>
      </w:r>
      <w:r>
        <w:rPr>
          <w:sz w:val="21"/>
        </w:rPr>
        <w:t xml:space="preserve">tial and integral part of a religion their claim for the protection under Article 26 may have to be </w:t>
      </w:r>
      <w:r>
        <w:rPr>
          <w:b/>
          <w:sz w:val="21"/>
        </w:rPr>
        <w:t>carefully scrutinised</w:t>
      </w:r>
      <w:r>
        <w:rPr>
          <w:sz w:val="21"/>
        </w:rPr>
        <w:t>;</w:t>
      </w:r>
      <w:r>
        <w:rPr>
          <w:spacing w:val="-11"/>
          <w:sz w:val="21"/>
        </w:rPr>
        <w:t xml:space="preserve"> </w:t>
      </w:r>
      <w:r>
        <w:rPr>
          <w:sz w:val="21"/>
        </w:rPr>
        <w:t>in</w:t>
      </w:r>
      <w:r>
        <w:rPr>
          <w:spacing w:val="-10"/>
          <w:sz w:val="21"/>
        </w:rPr>
        <w:t xml:space="preserve"> </w:t>
      </w:r>
      <w:r>
        <w:rPr>
          <w:sz w:val="21"/>
        </w:rPr>
        <w:t>other</w:t>
      </w:r>
      <w:r>
        <w:rPr>
          <w:spacing w:val="-9"/>
          <w:sz w:val="21"/>
        </w:rPr>
        <w:t xml:space="preserve"> </w:t>
      </w:r>
      <w:r>
        <w:rPr>
          <w:sz w:val="21"/>
        </w:rPr>
        <w:t>words,</w:t>
      </w:r>
      <w:r>
        <w:rPr>
          <w:spacing w:val="-11"/>
          <w:sz w:val="21"/>
        </w:rPr>
        <w:t xml:space="preserve"> </w:t>
      </w:r>
      <w:r>
        <w:rPr>
          <w:sz w:val="21"/>
        </w:rPr>
        <w:t>the</w:t>
      </w:r>
      <w:r>
        <w:rPr>
          <w:spacing w:val="-9"/>
          <w:sz w:val="21"/>
        </w:rPr>
        <w:t xml:space="preserve"> </w:t>
      </w:r>
      <w:r>
        <w:rPr>
          <w:sz w:val="21"/>
        </w:rPr>
        <w:t>protection</w:t>
      </w:r>
      <w:r>
        <w:rPr>
          <w:spacing w:val="-8"/>
          <w:sz w:val="21"/>
        </w:rPr>
        <w:t xml:space="preserve"> </w:t>
      </w:r>
      <w:r>
        <w:rPr>
          <w:sz w:val="21"/>
        </w:rPr>
        <w:t>must</w:t>
      </w:r>
      <w:r>
        <w:rPr>
          <w:spacing w:val="-11"/>
          <w:sz w:val="21"/>
        </w:rPr>
        <w:t xml:space="preserve"> </w:t>
      </w:r>
      <w:r>
        <w:rPr>
          <w:sz w:val="21"/>
        </w:rPr>
        <w:t>be</w:t>
      </w:r>
      <w:r>
        <w:rPr>
          <w:spacing w:val="-9"/>
          <w:sz w:val="21"/>
        </w:rPr>
        <w:t xml:space="preserve"> </w:t>
      </w:r>
      <w:r>
        <w:rPr>
          <w:sz w:val="21"/>
        </w:rPr>
        <w:t>confined</w:t>
      </w:r>
      <w:r>
        <w:rPr>
          <w:spacing w:val="-8"/>
          <w:sz w:val="21"/>
        </w:rPr>
        <w:t xml:space="preserve"> </w:t>
      </w:r>
      <w:r>
        <w:rPr>
          <w:sz w:val="21"/>
        </w:rPr>
        <w:t>to such</w:t>
      </w:r>
      <w:r>
        <w:rPr>
          <w:spacing w:val="-13"/>
          <w:sz w:val="21"/>
        </w:rPr>
        <w:t xml:space="preserve"> </w:t>
      </w:r>
      <w:r>
        <w:rPr>
          <w:sz w:val="21"/>
        </w:rPr>
        <w:t>religious</w:t>
      </w:r>
      <w:r>
        <w:rPr>
          <w:spacing w:val="-12"/>
          <w:sz w:val="21"/>
        </w:rPr>
        <w:t xml:space="preserve"> </w:t>
      </w:r>
      <w:r>
        <w:rPr>
          <w:sz w:val="21"/>
        </w:rPr>
        <w:t>practices</w:t>
      </w:r>
      <w:r>
        <w:rPr>
          <w:spacing w:val="-12"/>
          <w:sz w:val="21"/>
        </w:rPr>
        <w:t xml:space="preserve"> </w:t>
      </w:r>
      <w:r>
        <w:rPr>
          <w:sz w:val="21"/>
        </w:rPr>
        <w:t>as</w:t>
      </w:r>
      <w:r>
        <w:rPr>
          <w:spacing w:val="-15"/>
          <w:sz w:val="21"/>
        </w:rPr>
        <w:t xml:space="preserve"> </w:t>
      </w:r>
      <w:r>
        <w:rPr>
          <w:sz w:val="21"/>
        </w:rPr>
        <w:t>are</w:t>
      </w:r>
      <w:r>
        <w:rPr>
          <w:spacing w:val="-13"/>
          <w:sz w:val="21"/>
        </w:rPr>
        <w:t xml:space="preserve"> </w:t>
      </w:r>
      <w:r>
        <w:rPr>
          <w:sz w:val="21"/>
        </w:rPr>
        <w:t>an</w:t>
      </w:r>
      <w:r>
        <w:rPr>
          <w:spacing w:val="-12"/>
          <w:sz w:val="21"/>
        </w:rPr>
        <w:t xml:space="preserve"> </w:t>
      </w:r>
      <w:r>
        <w:rPr>
          <w:sz w:val="21"/>
        </w:rPr>
        <w:t>essential</w:t>
      </w:r>
      <w:r>
        <w:rPr>
          <w:spacing w:val="-11"/>
          <w:sz w:val="21"/>
        </w:rPr>
        <w:t xml:space="preserve"> </w:t>
      </w:r>
      <w:r>
        <w:rPr>
          <w:sz w:val="21"/>
        </w:rPr>
        <w:t>and</w:t>
      </w:r>
      <w:r>
        <w:rPr>
          <w:spacing w:val="-13"/>
          <w:sz w:val="21"/>
        </w:rPr>
        <w:t xml:space="preserve"> </w:t>
      </w:r>
      <w:r>
        <w:rPr>
          <w:sz w:val="21"/>
        </w:rPr>
        <w:t>an</w:t>
      </w:r>
      <w:r>
        <w:rPr>
          <w:spacing w:val="-12"/>
          <w:sz w:val="21"/>
        </w:rPr>
        <w:t xml:space="preserve"> </w:t>
      </w:r>
      <w:r>
        <w:rPr>
          <w:sz w:val="21"/>
        </w:rPr>
        <w:t>integral</w:t>
      </w:r>
      <w:r>
        <w:rPr>
          <w:spacing w:val="-12"/>
          <w:sz w:val="21"/>
        </w:rPr>
        <w:t xml:space="preserve"> </w:t>
      </w:r>
      <w:r>
        <w:rPr>
          <w:sz w:val="21"/>
        </w:rPr>
        <w:t xml:space="preserve">part of it </w:t>
      </w:r>
      <w:r>
        <w:rPr>
          <w:b/>
          <w:sz w:val="21"/>
        </w:rPr>
        <w:t>and no</w:t>
      </w:r>
      <w:r>
        <w:rPr>
          <w:b/>
          <w:spacing w:val="-3"/>
          <w:sz w:val="21"/>
        </w:rPr>
        <w:t xml:space="preserve"> </w:t>
      </w:r>
      <w:r>
        <w:rPr>
          <w:b/>
          <w:sz w:val="21"/>
        </w:rPr>
        <w:t>oth</w:t>
      </w:r>
      <w:r>
        <w:rPr>
          <w:b/>
          <w:sz w:val="21"/>
        </w:rPr>
        <w:t>er</w:t>
      </w:r>
      <w:r>
        <w:rPr>
          <w:sz w:val="21"/>
        </w:rPr>
        <w:t>.”</w:t>
      </w:r>
    </w:p>
    <w:p w:rsidR="003B2FC0" w:rsidRDefault="00052A49">
      <w:pPr>
        <w:spacing w:line="241" w:lineRule="exact"/>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85" w:line="480" w:lineRule="auto"/>
        <w:ind w:right="431" w:firstLine="0"/>
        <w:jc w:val="both"/>
        <w:rPr>
          <w:sz w:val="26"/>
        </w:rPr>
      </w:pPr>
      <w:r>
        <w:rPr>
          <w:sz w:val="26"/>
        </w:rPr>
        <w:t>This statement pushed the essential religious practices doctrine in a</w:t>
      </w:r>
      <w:r>
        <w:rPr>
          <w:spacing w:val="-31"/>
          <w:sz w:val="26"/>
        </w:rPr>
        <w:t xml:space="preserve"> </w:t>
      </w:r>
      <w:r>
        <w:rPr>
          <w:sz w:val="26"/>
        </w:rPr>
        <w:t>new direction. The Court distinguished, for the first time, between ‘superstitious beliefs’ and religious practice. Apart from engaging in a judicial enquiry to determine whether a practice claimed to be essential was in fact grounded in religious</w:t>
      </w:r>
      <w:r>
        <w:rPr>
          <w:spacing w:val="-19"/>
          <w:sz w:val="26"/>
        </w:rPr>
        <w:t xml:space="preserve"> </w:t>
      </w:r>
      <w:r>
        <w:rPr>
          <w:sz w:val="26"/>
        </w:rPr>
        <w:t>scriptur</w:t>
      </w:r>
      <w:r>
        <w:rPr>
          <w:sz w:val="26"/>
        </w:rPr>
        <w:t>es,</w:t>
      </w:r>
      <w:r>
        <w:rPr>
          <w:spacing w:val="-21"/>
          <w:sz w:val="26"/>
        </w:rPr>
        <w:t xml:space="preserve"> </w:t>
      </w:r>
      <w:r>
        <w:rPr>
          <w:sz w:val="26"/>
        </w:rPr>
        <w:t>beliefs,</w:t>
      </w:r>
      <w:r>
        <w:rPr>
          <w:spacing w:val="-22"/>
          <w:sz w:val="26"/>
        </w:rPr>
        <w:t xml:space="preserve"> </w:t>
      </w:r>
      <w:r>
        <w:rPr>
          <w:sz w:val="26"/>
        </w:rPr>
        <w:t>and</w:t>
      </w:r>
      <w:r>
        <w:rPr>
          <w:spacing w:val="-21"/>
          <w:sz w:val="26"/>
        </w:rPr>
        <w:t xml:space="preserve"> </w:t>
      </w:r>
      <w:r>
        <w:rPr>
          <w:sz w:val="26"/>
        </w:rPr>
        <w:t>tenets,</w:t>
      </w:r>
      <w:r>
        <w:rPr>
          <w:spacing w:val="-22"/>
          <w:sz w:val="26"/>
        </w:rPr>
        <w:t xml:space="preserve"> </w:t>
      </w:r>
      <w:r>
        <w:rPr>
          <w:sz w:val="26"/>
        </w:rPr>
        <w:t>the</w:t>
      </w:r>
      <w:r>
        <w:rPr>
          <w:spacing w:val="-18"/>
          <w:sz w:val="26"/>
        </w:rPr>
        <w:t xml:space="preserve"> </w:t>
      </w:r>
      <w:r>
        <w:rPr>
          <w:sz w:val="26"/>
        </w:rPr>
        <w:t>Court</w:t>
      </w:r>
      <w:r>
        <w:rPr>
          <w:spacing w:val="-19"/>
          <w:sz w:val="26"/>
        </w:rPr>
        <w:t xml:space="preserve"> </w:t>
      </w:r>
      <w:r>
        <w:rPr>
          <w:sz w:val="26"/>
        </w:rPr>
        <w:t>would</w:t>
      </w:r>
      <w:r>
        <w:rPr>
          <w:spacing w:val="-21"/>
          <w:sz w:val="26"/>
        </w:rPr>
        <w:t xml:space="preserve"> </w:t>
      </w:r>
      <w:r>
        <w:rPr>
          <w:sz w:val="26"/>
        </w:rPr>
        <w:t>‘carefully</w:t>
      </w:r>
      <w:r>
        <w:rPr>
          <w:spacing w:val="-23"/>
          <w:sz w:val="26"/>
        </w:rPr>
        <w:t xml:space="preserve"> </w:t>
      </w:r>
      <w:r>
        <w:rPr>
          <w:sz w:val="26"/>
        </w:rPr>
        <w:t>scrutinize’</w:t>
      </w:r>
      <w:r>
        <w:rPr>
          <w:spacing w:val="-22"/>
          <w:sz w:val="26"/>
        </w:rPr>
        <w:t xml:space="preserve"> </w:t>
      </w:r>
      <w:r>
        <w:rPr>
          <w:sz w:val="26"/>
        </w:rPr>
        <w:t>that the practice claiming constitutional protection does not claim superstition as its base. This was considered a necessary safeguard to ensure that superstitious beliefs</w:t>
      </w:r>
      <w:r>
        <w:rPr>
          <w:spacing w:val="-14"/>
          <w:sz w:val="26"/>
        </w:rPr>
        <w:t xml:space="preserve"> </w:t>
      </w:r>
      <w:r>
        <w:rPr>
          <w:sz w:val="26"/>
        </w:rPr>
        <w:t>would</w:t>
      </w:r>
      <w:r>
        <w:rPr>
          <w:spacing w:val="-15"/>
          <w:sz w:val="26"/>
        </w:rPr>
        <w:t xml:space="preserve"> </w:t>
      </w:r>
      <w:r>
        <w:rPr>
          <w:sz w:val="26"/>
        </w:rPr>
        <w:t>not</w:t>
      </w:r>
      <w:r>
        <w:rPr>
          <w:spacing w:val="-15"/>
          <w:sz w:val="26"/>
        </w:rPr>
        <w:t xml:space="preserve"> </w:t>
      </w:r>
      <w:r>
        <w:rPr>
          <w:sz w:val="26"/>
        </w:rPr>
        <w:t>be</w:t>
      </w:r>
      <w:r>
        <w:rPr>
          <w:spacing w:val="-14"/>
          <w:sz w:val="26"/>
        </w:rPr>
        <w:t xml:space="preserve"> </w:t>
      </w:r>
      <w:r>
        <w:rPr>
          <w:sz w:val="26"/>
        </w:rPr>
        <w:t>afford</w:t>
      </w:r>
      <w:r>
        <w:rPr>
          <w:sz w:val="26"/>
        </w:rPr>
        <w:t>ed</w:t>
      </w:r>
      <w:r>
        <w:rPr>
          <w:spacing w:val="-15"/>
          <w:sz w:val="26"/>
        </w:rPr>
        <w:t xml:space="preserve"> </w:t>
      </w:r>
      <w:r>
        <w:rPr>
          <w:sz w:val="26"/>
        </w:rPr>
        <w:t>constitutional</w:t>
      </w:r>
      <w:r>
        <w:rPr>
          <w:spacing w:val="-15"/>
          <w:sz w:val="26"/>
        </w:rPr>
        <w:t xml:space="preserve"> </w:t>
      </w:r>
      <w:r>
        <w:rPr>
          <w:sz w:val="26"/>
        </w:rPr>
        <w:t>protection</w:t>
      </w:r>
      <w:r>
        <w:rPr>
          <w:spacing w:val="-16"/>
          <w:sz w:val="26"/>
        </w:rPr>
        <w:t xml:space="preserve"> </w:t>
      </w:r>
      <w:r>
        <w:rPr>
          <w:sz w:val="26"/>
        </w:rPr>
        <w:t>in</w:t>
      </w:r>
      <w:r>
        <w:rPr>
          <w:spacing w:val="-15"/>
          <w:sz w:val="26"/>
        </w:rPr>
        <w:t xml:space="preserve"> </w:t>
      </w:r>
      <w:r>
        <w:rPr>
          <w:sz w:val="26"/>
        </w:rPr>
        <w:t>the</w:t>
      </w:r>
      <w:r>
        <w:rPr>
          <w:spacing w:val="-15"/>
          <w:sz w:val="26"/>
        </w:rPr>
        <w:t xml:space="preserve"> </w:t>
      </w:r>
      <w:r>
        <w:rPr>
          <w:sz w:val="26"/>
        </w:rPr>
        <w:t>garb</w:t>
      </w:r>
      <w:r>
        <w:rPr>
          <w:spacing w:val="-15"/>
          <w:sz w:val="26"/>
        </w:rPr>
        <w:t xml:space="preserve"> </w:t>
      </w:r>
      <w:r>
        <w:rPr>
          <w:sz w:val="26"/>
        </w:rPr>
        <w:t>of</w:t>
      </w:r>
      <w:r>
        <w:rPr>
          <w:spacing w:val="-16"/>
          <w:sz w:val="26"/>
        </w:rPr>
        <w:t xml:space="preserve"> </w:t>
      </w:r>
      <w:r>
        <w:rPr>
          <w:sz w:val="26"/>
        </w:rPr>
        <w:t>an</w:t>
      </w:r>
      <w:r>
        <w:rPr>
          <w:spacing w:val="-15"/>
          <w:sz w:val="26"/>
        </w:rPr>
        <w:t xml:space="preserve"> </w:t>
      </w:r>
      <w:r>
        <w:rPr>
          <w:sz w:val="26"/>
        </w:rPr>
        <w:t>essential religious practice. The Court also emphasized that purely secular</w:t>
      </w:r>
      <w:r>
        <w:rPr>
          <w:spacing w:val="47"/>
          <w:sz w:val="26"/>
        </w:rPr>
        <w:t xml:space="preserve"> </w:t>
      </w:r>
      <w:r>
        <w:rPr>
          <w:sz w:val="26"/>
        </w:rPr>
        <w:t>matters clothed with a religious form do not enjoy protection as an essential part of religion.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2" w:firstLine="0"/>
        <w:jc w:val="both"/>
        <w:rPr>
          <w:sz w:val="26"/>
        </w:rPr>
      </w:pPr>
      <w:r>
        <w:rPr>
          <w:sz w:val="26"/>
        </w:rPr>
        <w:t xml:space="preserve">The test was narrowed down further in </w:t>
      </w:r>
      <w:r>
        <w:rPr>
          <w:b/>
          <w:sz w:val="26"/>
        </w:rPr>
        <w:t>Sardar Syedna Taher</w:t>
      </w:r>
      <w:r>
        <w:rPr>
          <w:b/>
          <w:spacing w:val="-28"/>
          <w:sz w:val="26"/>
        </w:rPr>
        <w:t xml:space="preserve"> </w:t>
      </w:r>
      <w:r>
        <w:rPr>
          <w:b/>
          <w:sz w:val="26"/>
        </w:rPr>
        <w:t xml:space="preserve">Saifuddin Saheb </w:t>
      </w:r>
      <w:r>
        <w:rPr>
          <w:sz w:val="26"/>
        </w:rPr>
        <w:t xml:space="preserve">v </w:t>
      </w:r>
      <w:r>
        <w:rPr>
          <w:b/>
          <w:sz w:val="26"/>
        </w:rPr>
        <w:t xml:space="preserve">State of Bombay </w:t>
      </w:r>
      <w:r>
        <w:rPr>
          <w:sz w:val="26"/>
        </w:rPr>
        <w:t>(“</w:t>
      </w:r>
      <w:r>
        <w:rPr>
          <w:b/>
          <w:sz w:val="26"/>
        </w:rPr>
        <w:t>Saifuddin</w:t>
      </w:r>
      <w:r>
        <w:rPr>
          <w:sz w:val="26"/>
        </w:rPr>
        <w:t>”),</w:t>
      </w:r>
      <w:r>
        <w:rPr>
          <w:position w:val="9"/>
          <w:sz w:val="17"/>
        </w:rPr>
        <w:t xml:space="preserve">30 </w:t>
      </w:r>
      <w:r>
        <w:rPr>
          <w:sz w:val="26"/>
        </w:rPr>
        <w:t>where this Court, by a 4-1 majority, struck down the Bombay Prevention of Excommunication Act, 1949, which prohibited the practice of excommunicati</w:t>
      </w:r>
      <w:r>
        <w:rPr>
          <w:sz w:val="26"/>
        </w:rPr>
        <w:t>on within religious communities. The Court</w:t>
      </w:r>
      <w:r>
        <w:rPr>
          <w:spacing w:val="-5"/>
          <w:sz w:val="26"/>
        </w:rPr>
        <w:t xml:space="preserve"> </w:t>
      </w:r>
      <w:r>
        <w:rPr>
          <w:sz w:val="26"/>
        </w:rPr>
        <w:t>held</w:t>
      </w:r>
      <w:r>
        <w:rPr>
          <w:spacing w:val="-5"/>
          <w:sz w:val="26"/>
        </w:rPr>
        <w:t xml:space="preserve"> </w:t>
      </w:r>
      <w:r>
        <w:rPr>
          <w:sz w:val="26"/>
        </w:rPr>
        <w:t>that</w:t>
      </w:r>
      <w:r>
        <w:rPr>
          <w:spacing w:val="-7"/>
          <w:sz w:val="26"/>
        </w:rPr>
        <w:t xml:space="preserve"> </w:t>
      </w:r>
      <w:r>
        <w:rPr>
          <w:sz w:val="26"/>
        </w:rPr>
        <w:t>the</w:t>
      </w:r>
      <w:r>
        <w:rPr>
          <w:spacing w:val="-4"/>
          <w:sz w:val="26"/>
        </w:rPr>
        <w:t xml:space="preserve"> </w:t>
      </w:r>
      <w:r>
        <w:rPr>
          <w:sz w:val="26"/>
        </w:rPr>
        <w:t>practice</w:t>
      </w:r>
      <w:r>
        <w:rPr>
          <w:spacing w:val="-5"/>
          <w:sz w:val="26"/>
        </w:rPr>
        <w:t xml:space="preserve"> </w:t>
      </w:r>
      <w:r>
        <w:rPr>
          <w:sz w:val="26"/>
        </w:rPr>
        <w:t>of</w:t>
      </w:r>
      <w:r>
        <w:rPr>
          <w:spacing w:val="-5"/>
          <w:sz w:val="26"/>
        </w:rPr>
        <w:t xml:space="preserve"> </w:t>
      </w:r>
      <w:r>
        <w:rPr>
          <w:sz w:val="26"/>
        </w:rPr>
        <w:t>excommunication</w:t>
      </w:r>
      <w:r>
        <w:rPr>
          <w:spacing w:val="-2"/>
          <w:sz w:val="26"/>
        </w:rPr>
        <w:t xml:space="preserve"> </w:t>
      </w:r>
      <w:r>
        <w:rPr>
          <w:sz w:val="26"/>
        </w:rPr>
        <w:t>within</w:t>
      </w:r>
      <w:r>
        <w:rPr>
          <w:spacing w:val="-7"/>
          <w:sz w:val="26"/>
        </w:rPr>
        <w:t xml:space="preserve"> </w:t>
      </w:r>
      <w:r>
        <w:rPr>
          <w:sz w:val="26"/>
        </w:rPr>
        <w:t>the</w:t>
      </w:r>
      <w:r>
        <w:rPr>
          <w:spacing w:val="-4"/>
          <w:sz w:val="26"/>
        </w:rPr>
        <w:t xml:space="preserve"> </w:t>
      </w:r>
      <w:r>
        <w:rPr>
          <w:sz w:val="26"/>
        </w:rPr>
        <w:t>Dawoodi</w:t>
      </w:r>
      <w:r>
        <w:rPr>
          <w:spacing w:val="-4"/>
          <w:sz w:val="26"/>
        </w:rPr>
        <w:t xml:space="preserve"> </w:t>
      </w:r>
      <w:r>
        <w:rPr>
          <w:sz w:val="26"/>
        </w:rPr>
        <w:t>Bohra</w:t>
      </w:r>
      <w:r>
        <w:rPr>
          <w:spacing w:val="-7"/>
          <w:sz w:val="26"/>
        </w:rPr>
        <w:t xml:space="preserve"> </w:t>
      </w:r>
      <w:r>
        <w:rPr>
          <w:sz w:val="26"/>
        </w:rPr>
        <w:t xml:space="preserve">faith on religious grounds fell within ‘matters of religion’ under Article 26(b) and was thus constitutionally protected. Justice Das Gupta, writing for the majority, emphasized that the practice claimed to be essential must be based strictly on religious </w:t>
      </w:r>
      <w:r>
        <w:rPr>
          <w:sz w:val="26"/>
        </w:rPr>
        <w:t>grounds in order to claim constitutional protection:</w:t>
      </w:r>
    </w:p>
    <w:p w:rsidR="003B2FC0" w:rsidRDefault="00052A49">
      <w:pPr>
        <w:spacing w:before="195" w:line="276" w:lineRule="auto"/>
        <w:ind w:left="1840" w:right="2281"/>
        <w:jc w:val="both"/>
        <w:rPr>
          <w:sz w:val="21"/>
        </w:rPr>
      </w:pPr>
      <w:r>
        <w:rPr>
          <w:sz w:val="21"/>
        </w:rPr>
        <w:t>“43…</w:t>
      </w:r>
      <w:r>
        <w:rPr>
          <w:b/>
          <w:sz w:val="21"/>
        </w:rPr>
        <w:t>The barring of excommunication on grounds other than religious grounds say, on the breach of some obnoxious social rule or practice might be a measure of social</w:t>
      </w:r>
      <w:r>
        <w:rPr>
          <w:b/>
          <w:spacing w:val="-16"/>
          <w:sz w:val="21"/>
        </w:rPr>
        <w:t xml:space="preserve"> </w:t>
      </w:r>
      <w:r>
        <w:rPr>
          <w:b/>
          <w:sz w:val="21"/>
        </w:rPr>
        <w:t>reform</w:t>
      </w:r>
      <w:r>
        <w:rPr>
          <w:b/>
          <w:spacing w:val="-16"/>
          <w:sz w:val="21"/>
        </w:rPr>
        <w:t xml:space="preserve"> </w:t>
      </w:r>
      <w:r>
        <w:rPr>
          <w:b/>
          <w:sz w:val="21"/>
        </w:rPr>
        <w:t>and</w:t>
      </w:r>
      <w:r>
        <w:rPr>
          <w:b/>
          <w:spacing w:val="-14"/>
          <w:sz w:val="21"/>
        </w:rPr>
        <w:t xml:space="preserve"> </w:t>
      </w:r>
      <w:r>
        <w:rPr>
          <w:b/>
          <w:sz w:val="21"/>
        </w:rPr>
        <w:t>a</w:t>
      </w:r>
      <w:r>
        <w:rPr>
          <w:b/>
          <w:spacing w:val="-16"/>
          <w:sz w:val="21"/>
        </w:rPr>
        <w:t xml:space="preserve"> </w:t>
      </w:r>
      <w:r>
        <w:rPr>
          <w:b/>
          <w:sz w:val="21"/>
        </w:rPr>
        <w:t>law</w:t>
      </w:r>
      <w:r>
        <w:rPr>
          <w:b/>
          <w:spacing w:val="-15"/>
          <w:sz w:val="21"/>
        </w:rPr>
        <w:t xml:space="preserve"> </w:t>
      </w:r>
      <w:r>
        <w:rPr>
          <w:b/>
          <w:sz w:val="21"/>
        </w:rPr>
        <w:t>which</w:t>
      </w:r>
      <w:r>
        <w:rPr>
          <w:b/>
          <w:spacing w:val="-14"/>
          <w:sz w:val="21"/>
        </w:rPr>
        <w:t xml:space="preserve"> </w:t>
      </w:r>
      <w:r>
        <w:rPr>
          <w:b/>
          <w:sz w:val="21"/>
        </w:rPr>
        <w:t>bars</w:t>
      </w:r>
      <w:r>
        <w:rPr>
          <w:b/>
          <w:spacing w:val="-16"/>
          <w:sz w:val="21"/>
        </w:rPr>
        <w:t xml:space="preserve"> </w:t>
      </w:r>
      <w:r>
        <w:rPr>
          <w:b/>
          <w:sz w:val="21"/>
        </w:rPr>
        <w:t>such</w:t>
      </w:r>
      <w:r>
        <w:rPr>
          <w:b/>
          <w:spacing w:val="-15"/>
          <w:sz w:val="21"/>
        </w:rPr>
        <w:t xml:space="preserve"> </w:t>
      </w:r>
      <w:r>
        <w:rPr>
          <w:b/>
          <w:sz w:val="21"/>
        </w:rPr>
        <w:t>excom</w:t>
      </w:r>
      <w:r>
        <w:rPr>
          <w:b/>
          <w:sz w:val="21"/>
        </w:rPr>
        <w:t xml:space="preserve">munication merely might conceivably come within the saving provisions of clause 2(b) of </w:t>
      </w:r>
      <w:r>
        <w:rPr>
          <w:b/>
          <w:spacing w:val="-3"/>
          <w:sz w:val="21"/>
        </w:rPr>
        <w:t xml:space="preserve">Art. </w:t>
      </w:r>
      <w:r>
        <w:rPr>
          <w:b/>
          <w:sz w:val="21"/>
        </w:rPr>
        <w:t xml:space="preserve">25. </w:t>
      </w:r>
      <w:r>
        <w:rPr>
          <w:sz w:val="21"/>
        </w:rPr>
        <w:t>But barring of excommunication on religious grounds pure and simple, cannot however be considered to promote social welfare and reform and consequently the law</w:t>
      </w:r>
      <w:r>
        <w:rPr>
          <w:sz w:val="21"/>
        </w:rPr>
        <w:t xml:space="preserve"> in so far as it invalidates excommunication on religious grounds and takes away the Dai's power to impose such excommunication cannot reasonably be considered to be a measure of social welfare and reform.” (Emphasis</w:t>
      </w:r>
      <w:r>
        <w:rPr>
          <w:spacing w:val="-10"/>
          <w:sz w:val="21"/>
        </w:rPr>
        <w:t xml:space="preserve"> </w:t>
      </w:r>
      <w:r>
        <w:rPr>
          <w:sz w:val="21"/>
        </w:rPr>
        <w:t>supplied)</w:t>
      </w: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9"/>
        <w:rPr>
          <w:sz w:val="25"/>
        </w:rPr>
      </w:pPr>
    </w:p>
    <w:p w:rsidR="003B2FC0" w:rsidRDefault="00052A49">
      <w:pPr>
        <w:spacing w:line="480" w:lineRule="auto"/>
        <w:ind w:left="400" w:right="437"/>
        <w:jc w:val="both"/>
        <w:rPr>
          <w:sz w:val="26"/>
        </w:rPr>
      </w:pPr>
      <w:r>
        <w:rPr>
          <w:sz w:val="26"/>
        </w:rPr>
        <w:t>The Court, therefore, enq</w:t>
      </w:r>
      <w:r>
        <w:rPr>
          <w:sz w:val="26"/>
        </w:rPr>
        <w:t>uired into the basis of excommunication: if its basis was strictly religious, the practice would warrant constitutional protection. If, however, the practice was based on any other ground, it would be open to the Legislature to prohibit such a practice.</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rPr>
          <w:sz w:val="17"/>
        </w:rPr>
      </w:pPr>
      <w:r w:rsidRPr="003B2FC0">
        <w:pict>
          <v:line id="_x0000_s1123" style="position:absolute;z-index:251592192;mso-wrap-distance-left:0;mso-wrap-distance-right:0;mso-position-horizontal-relative:page" from="1in,12.35pt" to="216.05pt,12.35pt" strokeweight=".72pt">
            <w10:wrap type="topAndBottom" anchorx="page"/>
          </v:line>
        </w:pict>
      </w:r>
    </w:p>
    <w:p w:rsidR="003B2FC0" w:rsidRDefault="00052A49">
      <w:pPr>
        <w:spacing w:before="66"/>
        <w:ind w:left="400"/>
        <w:rPr>
          <w:sz w:val="18"/>
        </w:rPr>
      </w:pPr>
      <w:r>
        <w:rPr>
          <w:position w:val="6"/>
          <w:sz w:val="12"/>
        </w:rPr>
        <w:t xml:space="preserve">30 </w:t>
      </w:r>
      <w:r>
        <w:rPr>
          <w:sz w:val="18"/>
        </w:rPr>
        <w:t>1962 Supp (2) SCR 496</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8" w:firstLine="0"/>
        <w:jc w:val="both"/>
        <w:rPr>
          <w:sz w:val="26"/>
        </w:rPr>
      </w:pPr>
      <w:r>
        <w:rPr>
          <w:sz w:val="26"/>
        </w:rPr>
        <w:t xml:space="preserve">In a strong dissent, Chief Justice Sinha concluded that the matter </w:t>
      </w:r>
      <w:r>
        <w:rPr>
          <w:spacing w:val="-8"/>
          <w:sz w:val="26"/>
        </w:rPr>
        <w:t xml:space="preserve">of </w:t>
      </w:r>
      <w:r>
        <w:rPr>
          <w:sz w:val="26"/>
        </w:rPr>
        <w:t xml:space="preserve">excommunication was not purely of a religious nature. Clarifying that </w:t>
      </w:r>
      <w:r>
        <w:rPr>
          <w:spacing w:val="-4"/>
          <w:sz w:val="26"/>
        </w:rPr>
        <w:t xml:space="preserve">his </w:t>
      </w:r>
      <w:r>
        <w:rPr>
          <w:sz w:val="26"/>
        </w:rPr>
        <w:t>analysis was confined to the civil rights of the members of the community, Justice Sinha</w:t>
      </w:r>
      <w:r>
        <w:rPr>
          <w:spacing w:val="1"/>
          <w:sz w:val="26"/>
        </w:rPr>
        <w:t xml:space="preserve"> </w:t>
      </w:r>
      <w:r>
        <w:rPr>
          <w:sz w:val="26"/>
        </w:rPr>
        <w:t>opined:</w:t>
      </w:r>
    </w:p>
    <w:p w:rsidR="003B2FC0" w:rsidRDefault="00052A49">
      <w:pPr>
        <w:spacing w:before="199" w:line="276" w:lineRule="auto"/>
        <w:ind w:left="1840" w:right="2280"/>
        <w:jc w:val="both"/>
        <w:rPr>
          <w:sz w:val="21"/>
        </w:rPr>
      </w:pPr>
      <w:r>
        <w:rPr>
          <w:sz w:val="21"/>
        </w:rPr>
        <w:t>“11…The impugned Act, thus, has given full effect to modern notions</w:t>
      </w:r>
      <w:r>
        <w:rPr>
          <w:spacing w:val="-10"/>
          <w:sz w:val="21"/>
        </w:rPr>
        <w:t xml:space="preserve"> </w:t>
      </w:r>
      <w:r>
        <w:rPr>
          <w:sz w:val="21"/>
        </w:rPr>
        <w:t>of</w:t>
      </w:r>
      <w:r>
        <w:rPr>
          <w:spacing w:val="-11"/>
          <w:sz w:val="21"/>
        </w:rPr>
        <w:t xml:space="preserve"> </w:t>
      </w:r>
      <w:r>
        <w:rPr>
          <w:sz w:val="21"/>
        </w:rPr>
        <w:t>individual</w:t>
      </w:r>
      <w:r>
        <w:rPr>
          <w:spacing w:val="-8"/>
          <w:sz w:val="21"/>
        </w:rPr>
        <w:t xml:space="preserve"> </w:t>
      </w:r>
      <w:r>
        <w:rPr>
          <w:sz w:val="21"/>
        </w:rPr>
        <w:t>freedom</w:t>
      </w:r>
      <w:r>
        <w:rPr>
          <w:spacing w:val="-9"/>
          <w:sz w:val="21"/>
        </w:rPr>
        <w:t xml:space="preserve"> </w:t>
      </w:r>
      <w:r>
        <w:rPr>
          <w:sz w:val="21"/>
        </w:rPr>
        <w:t>to</w:t>
      </w:r>
      <w:r>
        <w:rPr>
          <w:spacing w:val="-9"/>
          <w:sz w:val="21"/>
        </w:rPr>
        <w:t xml:space="preserve"> </w:t>
      </w:r>
      <w:r>
        <w:rPr>
          <w:sz w:val="21"/>
        </w:rPr>
        <w:t>choose</w:t>
      </w:r>
      <w:r>
        <w:rPr>
          <w:spacing w:val="-9"/>
          <w:sz w:val="21"/>
        </w:rPr>
        <w:t xml:space="preserve"> </w:t>
      </w:r>
      <w:r>
        <w:rPr>
          <w:sz w:val="21"/>
        </w:rPr>
        <w:t>one’s</w:t>
      </w:r>
      <w:r>
        <w:rPr>
          <w:spacing w:val="-10"/>
          <w:sz w:val="21"/>
        </w:rPr>
        <w:t xml:space="preserve"> </w:t>
      </w:r>
      <w:r>
        <w:rPr>
          <w:sz w:val="21"/>
        </w:rPr>
        <w:t>way</w:t>
      </w:r>
      <w:r>
        <w:rPr>
          <w:spacing w:val="-12"/>
          <w:sz w:val="21"/>
        </w:rPr>
        <w:t xml:space="preserve"> </w:t>
      </w:r>
      <w:r>
        <w:rPr>
          <w:sz w:val="21"/>
        </w:rPr>
        <w:t>of</w:t>
      </w:r>
      <w:r>
        <w:rPr>
          <w:spacing w:val="-10"/>
          <w:sz w:val="21"/>
        </w:rPr>
        <w:t xml:space="preserve"> </w:t>
      </w:r>
      <w:r>
        <w:rPr>
          <w:sz w:val="21"/>
        </w:rPr>
        <w:t>life</w:t>
      </w:r>
      <w:r>
        <w:rPr>
          <w:spacing w:val="-10"/>
          <w:sz w:val="21"/>
        </w:rPr>
        <w:t xml:space="preserve"> </w:t>
      </w:r>
      <w:r>
        <w:rPr>
          <w:sz w:val="21"/>
        </w:rPr>
        <w:t>and</w:t>
      </w:r>
      <w:r>
        <w:rPr>
          <w:spacing w:val="-9"/>
          <w:sz w:val="21"/>
        </w:rPr>
        <w:t xml:space="preserve"> </w:t>
      </w:r>
      <w:r>
        <w:rPr>
          <w:sz w:val="21"/>
        </w:rPr>
        <w:t>to do</w:t>
      </w:r>
      <w:r>
        <w:rPr>
          <w:spacing w:val="-7"/>
          <w:sz w:val="21"/>
        </w:rPr>
        <w:t xml:space="preserve"> </w:t>
      </w:r>
      <w:r>
        <w:rPr>
          <w:sz w:val="21"/>
        </w:rPr>
        <w:t>away</w:t>
      </w:r>
      <w:r>
        <w:rPr>
          <w:spacing w:val="-8"/>
          <w:sz w:val="21"/>
        </w:rPr>
        <w:t xml:space="preserve"> </w:t>
      </w:r>
      <w:r>
        <w:rPr>
          <w:sz w:val="21"/>
        </w:rPr>
        <w:t>with</w:t>
      </w:r>
      <w:r>
        <w:rPr>
          <w:spacing w:val="-6"/>
          <w:sz w:val="21"/>
        </w:rPr>
        <w:t xml:space="preserve"> </w:t>
      </w:r>
      <w:r>
        <w:rPr>
          <w:sz w:val="21"/>
        </w:rPr>
        <w:t>all</w:t>
      </w:r>
      <w:r>
        <w:rPr>
          <w:spacing w:val="-5"/>
          <w:sz w:val="21"/>
        </w:rPr>
        <w:t xml:space="preserve"> </w:t>
      </w:r>
      <w:r>
        <w:rPr>
          <w:sz w:val="21"/>
        </w:rPr>
        <w:t>those</w:t>
      </w:r>
      <w:r>
        <w:rPr>
          <w:spacing w:val="-6"/>
          <w:sz w:val="21"/>
        </w:rPr>
        <w:t xml:space="preserve"> </w:t>
      </w:r>
      <w:r>
        <w:rPr>
          <w:sz w:val="21"/>
        </w:rPr>
        <w:t>undue</w:t>
      </w:r>
      <w:r>
        <w:rPr>
          <w:spacing w:val="-7"/>
          <w:sz w:val="21"/>
        </w:rPr>
        <w:t xml:space="preserve"> </w:t>
      </w:r>
      <w:r>
        <w:rPr>
          <w:sz w:val="21"/>
        </w:rPr>
        <w:t>and</w:t>
      </w:r>
      <w:r>
        <w:rPr>
          <w:spacing w:val="-6"/>
          <w:sz w:val="21"/>
        </w:rPr>
        <w:t xml:space="preserve"> </w:t>
      </w:r>
      <w:r>
        <w:rPr>
          <w:sz w:val="21"/>
        </w:rPr>
        <w:t>outmoded</w:t>
      </w:r>
      <w:r>
        <w:rPr>
          <w:spacing w:val="-6"/>
          <w:sz w:val="21"/>
        </w:rPr>
        <w:t xml:space="preserve"> </w:t>
      </w:r>
      <w:r>
        <w:rPr>
          <w:sz w:val="21"/>
        </w:rPr>
        <w:t>interferences</w:t>
      </w:r>
      <w:r>
        <w:rPr>
          <w:spacing w:val="-6"/>
          <w:sz w:val="21"/>
        </w:rPr>
        <w:t xml:space="preserve"> </w:t>
      </w:r>
      <w:r>
        <w:rPr>
          <w:sz w:val="21"/>
        </w:rPr>
        <w:t>with liberty of conscience, faith and belief. It is also aimed at ensuring human dignity and removing all those restrictions which prevent a person from living his own life so long as he did not interfere with similar rights of</w:t>
      </w:r>
      <w:r>
        <w:rPr>
          <w:spacing w:val="-13"/>
          <w:sz w:val="21"/>
        </w:rPr>
        <w:t xml:space="preserve"> </w:t>
      </w:r>
      <w:r>
        <w:rPr>
          <w:sz w:val="21"/>
        </w:rPr>
        <w:t>other</w:t>
      </w:r>
      <w:r>
        <w:rPr>
          <w:sz w:val="21"/>
        </w:rPr>
        <w:t>s.”</w:t>
      </w:r>
    </w:p>
    <w:p w:rsidR="003B2FC0" w:rsidRDefault="003B2FC0">
      <w:pPr>
        <w:rPr>
          <w:sz w:val="24"/>
        </w:rPr>
      </w:pPr>
    </w:p>
    <w:p w:rsidR="003B2FC0" w:rsidRDefault="003B2FC0">
      <w:pPr>
        <w:rPr>
          <w:sz w:val="24"/>
        </w:rPr>
      </w:pPr>
    </w:p>
    <w:p w:rsidR="003B2FC0" w:rsidRDefault="00052A49">
      <w:pPr>
        <w:spacing w:before="148" w:line="480" w:lineRule="auto"/>
        <w:ind w:left="400" w:right="436"/>
        <w:jc w:val="both"/>
        <w:rPr>
          <w:sz w:val="26"/>
        </w:rPr>
      </w:pPr>
      <w:r>
        <w:rPr>
          <w:sz w:val="26"/>
        </w:rPr>
        <w:t>Justice</w:t>
      </w:r>
      <w:r>
        <w:rPr>
          <w:spacing w:val="-15"/>
          <w:sz w:val="26"/>
        </w:rPr>
        <w:t xml:space="preserve"> </w:t>
      </w:r>
      <w:r>
        <w:rPr>
          <w:sz w:val="26"/>
        </w:rPr>
        <w:t>Sinha</w:t>
      </w:r>
      <w:r>
        <w:rPr>
          <w:spacing w:val="-17"/>
          <w:sz w:val="26"/>
        </w:rPr>
        <w:t xml:space="preserve"> </w:t>
      </w:r>
      <w:r>
        <w:rPr>
          <w:sz w:val="26"/>
        </w:rPr>
        <w:t>drew</w:t>
      </w:r>
      <w:r>
        <w:rPr>
          <w:spacing w:val="-16"/>
          <w:sz w:val="26"/>
        </w:rPr>
        <w:t xml:space="preserve"> </w:t>
      </w:r>
      <w:r>
        <w:rPr>
          <w:sz w:val="26"/>
        </w:rPr>
        <w:t>a</w:t>
      </w:r>
      <w:r>
        <w:rPr>
          <w:spacing w:val="-12"/>
          <w:sz w:val="26"/>
        </w:rPr>
        <w:t xml:space="preserve"> </w:t>
      </w:r>
      <w:r>
        <w:rPr>
          <w:sz w:val="26"/>
        </w:rPr>
        <w:t>distinction</w:t>
      </w:r>
      <w:r>
        <w:rPr>
          <w:spacing w:val="-17"/>
          <w:sz w:val="26"/>
        </w:rPr>
        <w:t xml:space="preserve"> </w:t>
      </w:r>
      <w:r>
        <w:rPr>
          <w:sz w:val="26"/>
        </w:rPr>
        <w:t>between</w:t>
      </w:r>
      <w:r>
        <w:rPr>
          <w:spacing w:val="-17"/>
          <w:sz w:val="26"/>
        </w:rPr>
        <w:t xml:space="preserve"> </w:t>
      </w:r>
      <w:r>
        <w:rPr>
          <w:sz w:val="26"/>
        </w:rPr>
        <w:t>‘matters</w:t>
      </w:r>
      <w:r>
        <w:rPr>
          <w:spacing w:val="-14"/>
          <w:sz w:val="26"/>
        </w:rPr>
        <w:t xml:space="preserve"> </w:t>
      </w:r>
      <w:r>
        <w:rPr>
          <w:sz w:val="26"/>
        </w:rPr>
        <w:t>of</w:t>
      </w:r>
      <w:r>
        <w:rPr>
          <w:spacing w:val="-17"/>
          <w:sz w:val="26"/>
        </w:rPr>
        <w:t xml:space="preserve"> </w:t>
      </w:r>
      <w:r>
        <w:rPr>
          <w:sz w:val="26"/>
        </w:rPr>
        <w:t>religion’</w:t>
      </w:r>
      <w:r>
        <w:rPr>
          <w:spacing w:val="-17"/>
          <w:sz w:val="26"/>
        </w:rPr>
        <w:t xml:space="preserve"> </w:t>
      </w:r>
      <w:r>
        <w:rPr>
          <w:sz w:val="26"/>
        </w:rPr>
        <w:t>as</w:t>
      </w:r>
      <w:r>
        <w:rPr>
          <w:spacing w:val="-14"/>
          <w:sz w:val="26"/>
        </w:rPr>
        <w:t xml:space="preserve"> </w:t>
      </w:r>
      <w:r>
        <w:rPr>
          <w:sz w:val="26"/>
        </w:rPr>
        <w:t>protected</w:t>
      </w:r>
      <w:r>
        <w:rPr>
          <w:spacing w:val="-15"/>
          <w:sz w:val="26"/>
        </w:rPr>
        <w:t xml:space="preserve"> </w:t>
      </w:r>
      <w:r>
        <w:rPr>
          <w:sz w:val="26"/>
        </w:rPr>
        <w:t>under Article 26(b) and activities associated with religion, though not intimately connected with</w:t>
      </w:r>
      <w:r>
        <w:rPr>
          <w:spacing w:val="-1"/>
          <w:sz w:val="26"/>
        </w:rPr>
        <w:t xml:space="preserve"> </w:t>
      </w:r>
      <w:r>
        <w:rPr>
          <w:sz w:val="26"/>
        </w:rPr>
        <w:t>it:</w:t>
      </w:r>
    </w:p>
    <w:p w:rsidR="003B2FC0" w:rsidRDefault="00052A49">
      <w:pPr>
        <w:spacing w:before="200" w:line="276" w:lineRule="auto"/>
        <w:ind w:left="1840" w:right="2283"/>
        <w:jc w:val="both"/>
        <w:rPr>
          <w:sz w:val="21"/>
        </w:rPr>
      </w:pPr>
      <w:r>
        <w:rPr>
          <w:sz w:val="21"/>
        </w:rPr>
        <w:t>“18…Now, Art. 26(b) itself would seem to indicate that a religious denomination has to deal not only with matters of religion, but other matters connected with religion, like laying down</w:t>
      </w:r>
      <w:r>
        <w:rPr>
          <w:spacing w:val="-6"/>
          <w:sz w:val="21"/>
        </w:rPr>
        <w:t xml:space="preserve"> </w:t>
      </w:r>
      <w:r>
        <w:rPr>
          <w:sz w:val="21"/>
        </w:rPr>
        <w:t>rules</w:t>
      </w:r>
      <w:r>
        <w:rPr>
          <w:spacing w:val="-6"/>
          <w:sz w:val="21"/>
        </w:rPr>
        <w:t xml:space="preserve"> </w:t>
      </w:r>
      <w:r>
        <w:rPr>
          <w:sz w:val="21"/>
        </w:rPr>
        <w:t>and</w:t>
      </w:r>
      <w:r>
        <w:rPr>
          <w:spacing w:val="-5"/>
          <w:sz w:val="21"/>
        </w:rPr>
        <w:t xml:space="preserve"> </w:t>
      </w:r>
      <w:r>
        <w:rPr>
          <w:sz w:val="21"/>
        </w:rPr>
        <w:t>regulations</w:t>
      </w:r>
      <w:r>
        <w:rPr>
          <w:spacing w:val="-6"/>
          <w:sz w:val="21"/>
        </w:rPr>
        <w:t xml:space="preserve"> </w:t>
      </w:r>
      <w:r>
        <w:rPr>
          <w:sz w:val="21"/>
        </w:rPr>
        <w:t>for</w:t>
      </w:r>
      <w:r>
        <w:rPr>
          <w:spacing w:val="-7"/>
          <w:sz w:val="21"/>
        </w:rPr>
        <w:t xml:space="preserve"> </w:t>
      </w:r>
      <w:r>
        <w:rPr>
          <w:sz w:val="21"/>
        </w:rPr>
        <w:t>the</w:t>
      </w:r>
      <w:r>
        <w:rPr>
          <w:spacing w:val="-5"/>
          <w:sz w:val="21"/>
        </w:rPr>
        <w:t xml:space="preserve"> </w:t>
      </w:r>
      <w:r>
        <w:rPr>
          <w:sz w:val="21"/>
        </w:rPr>
        <w:t>conduct</w:t>
      </w:r>
      <w:r>
        <w:rPr>
          <w:spacing w:val="-7"/>
          <w:sz w:val="21"/>
        </w:rPr>
        <w:t xml:space="preserve"> </w:t>
      </w:r>
      <w:r>
        <w:rPr>
          <w:sz w:val="21"/>
        </w:rPr>
        <w:t>of</w:t>
      </w:r>
      <w:r>
        <w:rPr>
          <w:spacing w:val="-4"/>
          <w:sz w:val="21"/>
        </w:rPr>
        <w:t xml:space="preserve"> </w:t>
      </w:r>
      <w:r>
        <w:rPr>
          <w:sz w:val="21"/>
        </w:rPr>
        <w:t>its</w:t>
      </w:r>
      <w:r>
        <w:rPr>
          <w:spacing w:val="-6"/>
          <w:sz w:val="21"/>
        </w:rPr>
        <w:t xml:space="preserve"> </w:t>
      </w:r>
      <w:r>
        <w:rPr>
          <w:sz w:val="21"/>
        </w:rPr>
        <w:t>members</w:t>
      </w:r>
      <w:r>
        <w:rPr>
          <w:spacing w:val="-7"/>
          <w:sz w:val="21"/>
        </w:rPr>
        <w:t xml:space="preserve"> </w:t>
      </w:r>
      <w:r>
        <w:rPr>
          <w:sz w:val="21"/>
        </w:rPr>
        <w:t>and the</w:t>
      </w:r>
      <w:r>
        <w:rPr>
          <w:spacing w:val="-15"/>
          <w:sz w:val="21"/>
        </w:rPr>
        <w:t xml:space="preserve"> </w:t>
      </w:r>
      <w:r>
        <w:rPr>
          <w:sz w:val="21"/>
        </w:rPr>
        <w:t>penaltie</w:t>
      </w:r>
      <w:r>
        <w:rPr>
          <w:sz w:val="21"/>
        </w:rPr>
        <w:t>s</w:t>
      </w:r>
      <w:r>
        <w:rPr>
          <w:spacing w:val="-14"/>
          <w:sz w:val="21"/>
        </w:rPr>
        <w:t xml:space="preserve"> </w:t>
      </w:r>
      <w:r>
        <w:rPr>
          <w:sz w:val="21"/>
        </w:rPr>
        <w:t>attached</w:t>
      </w:r>
      <w:r>
        <w:rPr>
          <w:spacing w:val="-14"/>
          <w:sz w:val="21"/>
        </w:rPr>
        <w:t xml:space="preserve"> </w:t>
      </w:r>
      <w:r>
        <w:rPr>
          <w:sz w:val="21"/>
        </w:rPr>
        <w:t>to</w:t>
      </w:r>
      <w:r>
        <w:rPr>
          <w:spacing w:val="-17"/>
          <w:sz w:val="21"/>
        </w:rPr>
        <w:t xml:space="preserve"> </w:t>
      </w:r>
      <w:r>
        <w:rPr>
          <w:sz w:val="21"/>
        </w:rPr>
        <w:t>infringement</w:t>
      </w:r>
      <w:r>
        <w:rPr>
          <w:spacing w:val="-15"/>
          <w:sz w:val="21"/>
        </w:rPr>
        <w:t xml:space="preserve"> </w:t>
      </w:r>
      <w:r>
        <w:rPr>
          <w:sz w:val="21"/>
        </w:rPr>
        <w:t>of</w:t>
      </w:r>
      <w:r>
        <w:rPr>
          <w:spacing w:val="-14"/>
          <w:sz w:val="21"/>
        </w:rPr>
        <w:t xml:space="preserve"> </w:t>
      </w:r>
      <w:r>
        <w:rPr>
          <w:sz w:val="21"/>
        </w:rPr>
        <w:t>those</w:t>
      </w:r>
      <w:r>
        <w:rPr>
          <w:spacing w:val="-14"/>
          <w:sz w:val="21"/>
        </w:rPr>
        <w:t xml:space="preserve"> </w:t>
      </w:r>
      <w:r>
        <w:rPr>
          <w:sz w:val="21"/>
        </w:rPr>
        <w:t>rules,</w:t>
      </w:r>
      <w:r>
        <w:rPr>
          <w:spacing w:val="-18"/>
          <w:sz w:val="21"/>
        </w:rPr>
        <w:t xml:space="preserve"> </w:t>
      </w:r>
      <w:r>
        <w:rPr>
          <w:sz w:val="21"/>
        </w:rPr>
        <w:t xml:space="preserve">managing property owned and possessed by the religious community, etc., etc. </w:t>
      </w:r>
      <w:r>
        <w:rPr>
          <w:spacing w:val="3"/>
          <w:sz w:val="21"/>
        </w:rPr>
        <w:t xml:space="preserve">We </w:t>
      </w:r>
      <w:r>
        <w:rPr>
          <w:sz w:val="21"/>
        </w:rPr>
        <w:t>have therefore, to draw a line of demarcation between practises consisting of rites and ceremonies connected</w:t>
      </w:r>
      <w:r>
        <w:rPr>
          <w:spacing w:val="-13"/>
          <w:sz w:val="21"/>
        </w:rPr>
        <w:t xml:space="preserve"> </w:t>
      </w:r>
      <w:r>
        <w:rPr>
          <w:sz w:val="21"/>
        </w:rPr>
        <w:t>with</w:t>
      </w:r>
      <w:r>
        <w:rPr>
          <w:spacing w:val="-13"/>
          <w:sz w:val="21"/>
        </w:rPr>
        <w:t xml:space="preserve"> </w:t>
      </w:r>
      <w:r>
        <w:rPr>
          <w:sz w:val="21"/>
        </w:rPr>
        <w:t>the</w:t>
      </w:r>
      <w:r>
        <w:rPr>
          <w:spacing w:val="-13"/>
          <w:sz w:val="21"/>
        </w:rPr>
        <w:t xml:space="preserve"> </w:t>
      </w:r>
      <w:r>
        <w:rPr>
          <w:sz w:val="21"/>
        </w:rPr>
        <w:t>particular</w:t>
      </w:r>
      <w:r>
        <w:rPr>
          <w:spacing w:val="-13"/>
          <w:sz w:val="21"/>
        </w:rPr>
        <w:t xml:space="preserve"> </w:t>
      </w:r>
      <w:r>
        <w:rPr>
          <w:sz w:val="21"/>
        </w:rPr>
        <w:t>kind</w:t>
      </w:r>
      <w:r>
        <w:rPr>
          <w:spacing w:val="-13"/>
          <w:sz w:val="21"/>
        </w:rPr>
        <w:t xml:space="preserve"> </w:t>
      </w:r>
      <w:r>
        <w:rPr>
          <w:sz w:val="21"/>
        </w:rPr>
        <w:t>of</w:t>
      </w:r>
      <w:r>
        <w:rPr>
          <w:spacing w:val="-12"/>
          <w:sz w:val="21"/>
        </w:rPr>
        <w:t xml:space="preserve"> </w:t>
      </w:r>
      <w:r>
        <w:rPr>
          <w:sz w:val="21"/>
        </w:rPr>
        <w:t>worship,</w:t>
      </w:r>
      <w:r>
        <w:rPr>
          <w:spacing w:val="-13"/>
          <w:sz w:val="21"/>
        </w:rPr>
        <w:t xml:space="preserve"> </w:t>
      </w:r>
      <w:r>
        <w:rPr>
          <w:sz w:val="21"/>
        </w:rPr>
        <w:t>which</w:t>
      </w:r>
      <w:r>
        <w:rPr>
          <w:spacing w:val="-13"/>
          <w:sz w:val="21"/>
        </w:rPr>
        <w:t xml:space="preserve"> </w:t>
      </w:r>
      <w:r>
        <w:rPr>
          <w:sz w:val="21"/>
        </w:rPr>
        <w:t>is</w:t>
      </w:r>
      <w:r>
        <w:rPr>
          <w:spacing w:val="-16"/>
          <w:sz w:val="21"/>
        </w:rPr>
        <w:t xml:space="preserve"> </w:t>
      </w:r>
      <w:r>
        <w:rPr>
          <w:sz w:val="21"/>
        </w:rPr>
        <w:t>the</w:t>
      </w:r>
      <w:r>
        <w:rPr>
          <w:spacing w:val="-12"/>
          <w:sz w:val="21"/>
        </w:rPr>
        <w:t xml:space="preserve"> </w:t>
      </w:r>
      <w:r>
        <w:rPr>
          <w:sz w:val="21"/>
        </w:rPr>
        <w:t>tenet of the religious community, and practises in other matters which</w:t>
      </w:r>
      <w:r>
        <w:rPr>
          <w:spacing w:val="-8"/>
          <w:sz w:val="21"/>
        </w:rPr>
        <w:t xml:space="preserve"> </w:t>
      </w:r>
      <w:r>
        <w:rPr>
          <w:sz w:val="21"/>
        </w:rPr>
        <w:t>may</w:t>
      </w:r>
      <w:r>
        <w:rPr>
          <w:spacing w:val="-8"/>
          <w:sz w:val="21"/>
        </w:rPr>
        <w:t xml:space="preserve"> </w:t>
      </w:r>
      <w:r>
        <w:rPr>
          <w:sz w:val="21"/>
        </w:rPr>
        <w:t>touch</w:t>
      </w:r>
      <w:r>
        <w:rPr>
          <w:spacing w:val="-6"/>
          <w:sz w:val="21"/>
        </w:rPr>
        <w:t xml:space="preserve"> </w:t>
      </w:r>
      <w:r>
        <w:rPr>
          <w:sz w:val="21"/>
        </w:rPr>
        <w:t>the</w:t>
      </w:r>
      <w:r>
        <w:rPr>
          <w:spacing w:val="-6"/>
          <w:sz w:val="21"/>
        </w:rPr>
        <w:t xml:space="preserve"> </w:t>
      </w:r>
      <w:r>
        <w:rPr>
          <w:sz w:val="21"/>
        </w:rPr>
        <w:t>religious</w:t>
      </w:r>
      <w:r>
        <w:rPr>
          <w:spacing w:val="-6"/>
          <w:sz w:val="21"/>
        </w:rPr>
        <w:t xml:space="preserve"> </w:t>
      </w:r>
      <w:r>
        <w:rPr>
          <w:sz w:val="21"/>
        </w:rPr>
        <w:t>institutions</w:t>
      </w:r>
      <w:r>
        <w:rPr>
          <w:spacing w:val="-6"/>
          <w:sz w:val="21"/>
        </w:rPr>
        <w:t xml:space="preserve"> </w:t>
      </w:r>
      <w:r>
        <w:rPr>
          <w:sz w:val="21"/>
        </w:rPr>
        <w:t>at</w:t>
      </w:r>
      <w:r>
        <w:rPr>
          <w:spacing w:val="-7"/>
          <w:sz w:val="21"/>
        </w:rPr>
        <w:t xml:space="preserve"> </w:t>
      </w:r>
      <w:r>
        <w:rPr>
          <w:sz w:val="21"/>
        </w:rPr>
        <w:t>several</w:t>
      </w:r>
      <w:r>
        <w:rPr>
          <w:spacing w:val="-7"/>
          <w:sz w:val="21"/>
        </w:rPr>
        <w:t xml:space="preserve"> </w:t>
      </w:r>
      <w:r>
        <w:rPr>
          <w:sz w:val="21"/>
        </w:rPr>
        <w:t>points,</w:t>
      </w:r>
      <w:r>
        <w:rPr>
          <w:spacing w:val="-7"/>
          <w:sz w:val="21"/>
        </w:rPr>
        <w:t xml:space="preserve"> </w:t>
      </w:r>
      <w:r>
        <w:rPr>
          <w:sz w:val="21"/>
        </w:rPr>
        <w:t>but which are not intimately concerned with rites and ceremonies the performance of which is an essenti</w:t>
      </w:r>
      <w:r>
        <w:rPr>
          <w:sz w:val="21"/>
        </w:rPr>
        <w:t>al part of the</w:t>
      </w:r>
      <w:r>
        <w:rPr>
          <w:spacing w:val="-16"/>
          <w:sz w:val="21"/>
        </w:rPr>
        <w:t xml:space="preserve"> </w:t>
      </w:r>
      <w:r>
        <w:rPr>
          <w:sz w:val="21"/>
        </w:rPr>
        <w:t>religion.”</w:t>
      </w:r>
    </w:p>
    <w:p w:rsidR="003B2FC0" w:rsidRDefault="003B2FC0">
      <w:pPr>
        <w:rPr>
          <w:sz w:val="24"/>
        </w:rPr>
      </w:pPr>
    </w:p>
    <w:p w:rsidR="003B2FC0" w:rsidRDefault="003B2FC0">
      <w:pPr>
        <w:rPr>
          <w:sz w:val="24"/>
        </w:rPr>
      </w:pPr>
    </w:p>
    <w:p w:rsidR="003B2FC0" w:rsidRDefault="00052A49">
      <w:pPr>
        <w:spacing w:before="148"/>
        <w:ind w:left="400"/>
        <w:rPr>
          <w:sz w:val="26"/>
        </w:rPr>
      </w:pPr>
      <w:r>
        <w:rPr>
          <w:sz w:val="26"/>
        </w:rPr>
        <w:t>Justice Sinha noticed the extreme consequences that follow excommunication:</w:t>
      </w:r>
    </w:p>
    <w:p w:rsidR="003B2FC0" w:rsidRDefault="003B2FC0">
      <w:pPr>
        <w:rPr>
          <w:sz w:val="28"/>
        </w:rPr>
      </w:pPr>
    </w:p>
    <w:p w:rsidR="003B2FC0" w:rsidRDefault="00052A49">
      <w:pPr>
        <w:spacing w:before="177" w:line="276" w:lineRule="auto"/>
        <w:ind w:left="1840" w:right="2279"/>
        <w:jc w:val="both"/>
        <w:rPr>
          <w:sz w:val="21"/>
        </w:rPr>
      </w:pPr>
      <w:r>
        <w:rPr>
          <w:sz w:val="21"/>
        </w:rPr>
        <w:t xml:space="preserve">“24. On the social aspect of excommunication, one is inclined to think that the position of an excommunicated person becomes that of an untouchable in </w:t>
      </w:r>
      <w:r>
        <w:rPr>
          <w:sz w:val="21"/>
        </w:rPr>
        <w:t>his community, and if that is so, the Act in declaring such practises to be void has only carried</w:t>
      </w:r>
      <w:r>
        <w:rPr>
          <w:spacing w:val="-5"/>
          <w:sz w:val="21"/>
        </w:rPr>
        <w:t xml:space="preserve"> </w:t>
      </w:r>
      <w:r>
        <w:rPr>
          <w:sz w:val="21"/>
        </w:rPr>
        <w:t>out</w:t>
      </w:r>
      <w:r>
        <w:rPr>
          <w:spacing w:val="-6"/>
          <w:sz w:val="21"/>
        </w:rPr>
        <w:t xml:space="preserve"> </w:t>
      </w:r>
      <w:r>
        <w:rPr>
          <w:sz w:val="21"/>
        </w:rPr>
        <w:t>the</w:t>
      </w:r>
      <w:r>
        <w:rPr>
          <w:spacing w:val="-4"/>
          <w:sz w:val="21"/>
        </w:rPr>
        <w:t xml:space="preserve"> </w:t>
      </w:r>
      <w:r>
        <w:rPr>
          <w:sz w:val="21"/>
        </w:rPr>
        <w:t>strict</w:t>
      </w:r>
      <w:r>
        <w:rPr>
          <w:spacing w:val="-5"/>
          <w:sz w:val="21"/>
        </w:rPr>
        <w:t xml:space="preserve"> </w:t>
      </w:r>
      <w:r>
        <w:rPr>
          <w:sz w:val="21"/>
        </w:rPr>
        <w:t>injunction</w:t>
      </w:r>
      <w:r>
        <w:rPr>
          <w:spacing w:val="-4"/>
          <w:sz w:val="21"/>
        </w:rPr>
        <w:t xml:space="preserve"> </w:t>
      </w:r>
      <w:r>
        <w:rPr>
          <w:sz w:val="21"/>
        </w:rPr>
        <w:t>of</w:t>
      </w:r>
      <w:r>
        <w:rPr>
          <w:spacing w:val="-4"/>
          <w:sz w:val="21"/>
        </w:rPr>
        <w:t xml:space="preserve"> </w:t>
      </w:r>
      <w:r>
        <w:rPr>
          <w:sz w:val="21"/>
        </w:rPr>
        <w:t>Art.</w:t>
      </w:r>
      <w:r>
        <w:rPr>
          <w:spacing w:val="-5"/>
          <w:sz w:val="21"/>
        </w:rPr>
        <w:t xml:space="preserve"> </w:t>
      </w:r>
      <w:r>
        <w:rPr>
          <w:sz w:val="21"/>
        </w:rPr>
        <w:t>17</w:t>
      </w:r>
      <w:r>
        <w:rPr>
          <w:spacing w:val="-4"/>
          <w:sz w:val="21"/>
        </w:rPr>
        <w:t xml:space="preserve"> </w:t>
      </w:r>
      <w:r>
        <w:rPr>
          <w:sz w:val="21"/>
        </w:rPr>
        <w:t>of</w:t>
      </w:r>
      <w:r>
        <w:rPr>
          <w:spacing w:val="-4"/>
          <w:sz w:val="21"/>
        </w:rPr>
        <w:t xml:space="preserve"> </w:t>
      </w:r>
      <w:r>
        <w:rPr>
          <w:sz w:val="21"/>
        </w:rPr>
        <w:t>the</w:t>
      </w:r>
      <w:r>
        <w:rPr>
          <w:spacing w:val="-6"/>
          <w:sz w:val="21"/>
        </w:rPr>
        <w:t xml:space="preserve"> </w:t>
      </w:r>
      <w:r>
        <w:rPr>
          <w:sz w:val="21"/>
        </w:rPr>
        <w:t>Constitution,</w:t>
      </w:r>
      <w:r>
        <w:rPr>
          <w:spacing w:val="-6"/>
          <w:sz w:val="21"/>
        </w:rPr>
        <w:t xml:space="preserve"> </w:t>
      </w:r>
      <w:r>
        <w:rPr>
          <w:sz w:val="21"/>
        </w:rPr>
        <w:t>by</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3"/>
        <w:jc w:val="both"/>
        <w:rPr>
          <w:sz w:val="21"/>
        </w:rPr>
      </w:pPr>
      <w:r>
        <w:rPr>
          <w:sz w:val="21"/>
        </w:rPr>
        <w:t>which</w:t>
      </w:r>
      <w:r>
        <w:rPr>
          <w:spacing w:val="-13"/>
          <w:sz w:val="21"/>
        </w:rPr>
        <w:t xml:space="preserve"> </w:t>
      </w:r>
      <w:r>
        <w:rPr>
          <w:sz w:val="21"/>
        </w:rPr>
        <w:t>untouchability</w:t>
      </w:r>
      <w:r>
        <w:rPr>
          <w:spacing w:val="-14"/>
          <w:sz w:val="21"/>
        </w:rPr>
        <w:t xml:space="preserve"> </w:t>
      </w:r>
      <w:r>
        <w:rPr>
          <w:sz w:val="21"/>
        </w:rPr>
        <w:t>has</w:t>
      </w:r>
      <w:r>
        <w:rPr>
          <w:spacing w:val="-11"/>
          <w:sz w:val="21"/>
        </w:rPr>
        <w:t xml:space="preserve"> </w:t>
      </w:r>
      <w:r>
        <w:rPr>
          <w:sz w:val="21"/>
        </w:rPr>
        <w:t>been</w:t>
      </w:r>
      <w:r>
        <w:rPr>
          <w:spacing w:val="-11"/>
          <w:sz w:val="21"/>
        </w:rPr>
        <w:t xml:space="preserve"> </w:t>
      </w:r>
      <w:r>
        <w:rPr>
          <w:sz w:val="21"/>
        </w:rPr>
        <w:t>abolished</w:t>
      </w:r>
      <w:r>
        <w:rPr>
          <w:spacing w:val="-11"/>
          <w:sz w:val="21"/>
        </w:rPr>
        <w:t xml:space="preserve"> </w:t>
      </w:r>
      <w:r>
        <w:rPr>
          <w:sz w:val="21"/>
        </w:rPr>
        <w:t>and</w:t>
      </w:r>
      <w:r>
        <w:rPr>
          <w:spacing w:val="-11"/>
          <w:sz w:val="21"/>
        </w:rPr>
        <w:t xml:space="preserve"> </w:t>
      </w:r>
      <w:r>
        <w:rPr>
          <w:sz w:val="21"/>
        </w:rPr>
        <w:t>its</w:t>
      </w:r>
      <w:r>
        <w:rPr>
          <w:spacing w:val="-12"/>
          <w:sz w:val="21"/>
        </w:rPr>
        <w:t xml:space="preserve"> </w:t>
      </w:r>
      <w:r>
        <w:rPr>
          <w:sz w:val="21"/>
        </w:rPr>
        <w:t>practice</w:t>
      </w:r>
      <w:r>
        <w:rPr>
          <w:spacing w:val="-12"/>
          <w:sz w:val="21"/>
        </w:rPr>
        <w:t xml:space="preserve"> </w:t>
      </w:r>
      <w:r>
        <w:rPr>
          <w:sz w:val="21"/>
        </w:rPr>
        <w:t>in</w:t>
      </w:r>
      <w:r>
        <w:rPr>
          <w:spacing w:val="-13"/>
          <w:sz w:val="21"/>
        </w:rPr>
        <w:t xml:space="preserve"> </w:t>
      </w:r>
      <w:r>
        <w:rPr>
          <w:sz w:val="21"/>
        </w:rPr>
        <w:t>any form forbidden. The Article further provides that the enforcement of any disability arising out of untouchability shall be an offence punishable in accordance with law. The Act, in this sense, is its logical corollary and must, therefore, be upheld.”</w:t>
      </w:r>
    </w:p>
    <w:p w:rsidR="003B2FC0" w:rsidRDefault="003B2FC0">
      <w:pPr>
        <w:rPr>
          <w:sz w:val="24"/>
        </w:rPr>
      </w:pPr>
    </w:p>
    <w:p w:rsidR="003B2FC0" w:rsidRDefault="003B2FC0">
      <w:pPr>
        <w:rPr>
          <w:sz w:val="24"/>
        </w:rPr>
      </w:pPr>
    </w:p>
    <w:p w:rsidR="003B2FC0" w:rsidRDefault="00052A49">
      <w:pPr>
        <w:spacing w:before="147" w:line="482" w:lineRule="auto"/>
        <w:ind w:left="400" w:right="437"/>
        <w:jc w:val="both"/>
        <w:rPr>
          <w:sz w:val="26"/>
        </w:rPr>
      </w:pPr>
      <w:r>
        <w:rPr>
          <w:sz w:val="26"/>
        </w:rPr>
        <w:t xml:space="preserve">The decision in </w:t>
      </w:r>
      <w:r>
        <w:rPr>
          <w:b/>
          <w:sz w:val="26"/>
        </w:rPr>
        <w:t xml:space="preserve">Saifuddin </w:t>
      </w:r>
      <w:r>
        <w:rPr>
          <w:sz w:val="26"/>
        </w:rPr>
        <w:t>is presently pending consideration before a larger bench.</w:t>
      </w:r>
    </w:p>
    <w:p w:rsidR="003B2FC0" w:rsidRDefault="003B2FC0">
      <w:pPr>
        <w:rPr>
          <w:sz w:val="28"/>
        </w:rPr>
      </w:pPr>
    </w:p>
    <w:p w:rsidR="003B2FC0" w:rsidRDefault="003B2FC0">
      <w:pPr>
        <w:spacing w:before="5"/>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b/>
          <w:sz w:val="26"/>
        </w:rPr>
        <w:t xml:space="preserve">Durgah Committee </w:t>
      </w:r>
      <w:r>
        <w:rPr>
          <w:sz w:val="26"/>
        </w:rPr>
        <w:t xml:space="preserve">and </w:t>
      </w:r>
      <w:r>
        <w:rPr>
          <w:b/>
          <w:sz w:val="26"/>
        </w:rPr>
        <w:t xml:space="preserve">Saifuddin </w:t>
      </w:r>
      <w:r>
        <w:rPr>
          <w:sz w:val="26"/>
        </w:rPr>
        <w:t>established the role of this Court in scrutinizing claims of practices essential to religion in order to deny constitutional protection to those practices that were not strictly based in religion. Ascertaining what was “essential” to a religious denominati</w:t>
      </w:r>
      <w:r>
        <w:rPr>
          <w:sz w:val="26"/>
        </w:rPr>
        <w:t xml:space="preserve">on “according to its own tenets” required a scrutiny of its religious texts. </w:t>
      </w:r>
      <w:r>
        <w:rPr>
          <w:b/>
          <w:sz w:val="26"/>
        </w:rPr>
        <w:t xml:space="preserve">Durgah Committee </w:t>
      </w:r>
      <w:r>
        <w:rPr>
          <w:sz w:val="26"/>
        </w:rPr>
        <w:t>laid down that the court would ‘carefully scrutinize’ claims to deny constitutional protection to those claims which are religious but spring from superstitious b</w:t>
      </w:r>
      <w:r>
        <w:rPr>
          <w:sz w:val="26"/>
        </w:rPr>
        <w:t xml:space="preserve">eliefs and are not essential to religion. </w:t>
      </w:r>
      <w:r>
        <w:rPr>
          <w:b/>
          <w:sz w:val="26"/>
        </w:rPr>
        <w:t xml:space="preserve">Saifuddin </w:t>
      </w:r>
      <w:r>
        <w:rPr>
          <w:sz w:val="26"/>
        </w:rPr>
        <w:t>laid down that a practice grounded on an obnoxious social rule or practice may be within the ambit of social reform that the State may carry out. This view infuses the doctrine with a safeguard against cl</w:t>
      </w:r>
      <w:r>
        <w:rPr>
          <w:sz w:val="26"/>
        </w:rPr>
        <w:t>aims by religious denominations that any practice with a religious undertone would fall within the protection afforded by Article 26(b) to them to ‘manage its own affairs in matters of</w:t>
      </w:r>
      <w:r>
        <w:rPr>
          <w:spacing w:val="-19"/>
          <w:sz w:val="26"/>
        </w:rPr>
        <w:t xml:space="preserve"> </w:t>
      </w:r>
      <w:r>
        <w:rPr>
          <w:sz w:val="26"/>
        </w:rPr>
        <w:t>religion.’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pStyle w:val="ListParagraph"/>
        <w:numPr>
          <w:ilvl w:val="0"/>
          <w:numId w:val="39"/>
        </w:numPr>
        <w:tabs>
          <w:tab w:val="left" w:pos="1121"/>
        </w:tabs>
        <w:spacing w:before="97" w:line="480" w:lineRule="auto"/>
        <w:ind w:right="433" w:firstLine="0"/>
        <w:jc w:val="both"/>
        <w:rPr>
          <w:sz w:val="26"/>
        </w:rPr>
      </w:pPr>
      <w:r>
        <w:rPr>
          <w:sz w:val="26"/>
        </w:rPr>
        <w:t>In</w:t>
      </w:r>
      <w:r>
        <w:rPr>
          <w:spacing w:val="-20"/>
          <w:sz w:val="26"/>
        </w:rPr>
        <w:t xml:space="preserve"> </w:t>
      </w:r>
      <w:r>
        <w:rPr>
          <w:b/>
          <w:sz w:val="26"/>
        </w:rPr>
        <w:t>Tilkayat</w:t>
      </w:r>
      <w:r>
        <w:rPr>
          <w:b/>
          <w:spacing w:val="-19"/>
          <w:sz w:val="26"/>
        </w:rPr>
        <w:t xml:space="preserve"> </w:t>
      </w:r>
      <w:r>
        <w:rPr>
          <w:b/>
          <w:sz w:val="26"/>
        </w:rPr>
        <w:t>Shri</w:t>
      </w:r>
      <w:r>
        <w:rPr>
          <w:b/>
          <w:spacing w:val="-19"/>
          <w:sz w:val="26"/>
        </w:rPr>
        <w:t xml:space="preserve"> </w:t>
      </w:r>
      <w:r>
        <w:rPr>
          <w:b/>
          <w:sz w:val="26"/>
        </w:rPr>
        <w:t>Govindlalji</w:t>
      </w:r>
      <w:r>
        <w:rPr>
          <w:b/>
          <w:spacing w:val="-18"/>
          <w:sz w:val="26"/>
        </w:rPr>
        <w:t xml:space="preserve"> </w:t>
      </w:r>
      <w:r>
        <w:rPr>
          <w:b/>
          <w:sz w:val="26"/>
        </w:rPr>
        <w:t>Maharaj</w:t>
      </w:r>
      <w:r>
        <w:rPr>
          <w:b/>
          <w:spacing w:val="-15"/>
          <w:sz w:val="26"/>
        </w:rPr>
        <w:t xml:space="preserve"> </w:t>
      </w:r>
      <w:r>
        <w:rPr>
          <w:sz w:val="26"/>
        </w:rPr>
        <w:t>v</w:t>
      </w:r>
      <w:r>
        <w:rPr>
          <w:spacing w:val="-21"/>
          <w:sz w:val="26"/>
        </w:rPr>
        <w:t xml:space="preserve"> </w:t>
      </w:r>
      <w:r>
        <w:rPr>
          <w:b/>
          <w:sz w:val="26"/>
        </w:rPr>
        <w:t>St</w:t>
      </w:r>
      <w:r>
        <w:rPr>
          <w:b/>
          <w:sz w:val="26"/>
        </w:rPr>
        <w:t>ate</w:t>
      </w:r>
      <w:r>
        <w:rPr>
          <w:b/>
          <w:spacing w:val="-19"/>
          <w:sz w:val="26"/>
        </w:rPr>
        <w:t xml:space="preserve"> </w:t>
      </w:r>
      <w:r>
        <w:rPr>
          <w:b/>
          <w:sz w:val="26"/>
        </w:rPr>
        <w:t>of</w:t>
      </w:r>
      <w:r>
        <w:rPr>
          <w:b/>
          <w:spacing w:val="-20"/>
          <w:sz w:val="26"/>
        </w:rPr>
        <w:t xml:space="preserve"> </w:t>
      </w:r>
      <w:r>
        <w:rPr>
          <w:b/>
          <w:sz w:val="26"/>
        </w:rPr>
        <w:t>Rajasthan</w:t>
      </w:r>
      <w:r>
        <w:rPr>
          <w:b/>
          <w:spacing w:val="-15"/>
          <w:sz w:val="26"/>
        </w:rPr>
        <w:t xml:space="preserve"> </w:t>
      </w:r>
      <w:r>
        <w:rPr>
          <w:sz w:val="26"/>
        </w:rPr>
        <w:t>(“</w:t>
      </w:r>
      <w:r>
        <w:rPr>
          <w:b/>
          <w:sz w:val="26"/>
        </w:rPr>
        <w:t>Tilkayat</w:t>
      </w:r>
      <w:r>
        <w:rPr>
          <w:sz w:val="26"/>
        </w:rPr>
        <w:t>”)</w:t>
      </w:r>
      <w:r>
        <w:rPr>
          <w:position w:val="9"/>
          <w:sz w:val="17"/>
        </w:rPr>
        <w:t>31</w:t>
      </w:r>
      <w:r>
        <w:rPr>
          <w:sz w:val="26"/>
        </w:rPr>
        <w:t xml:space="preserve">, a Constitution Bench of this Court dealt with a challenge to Nathdwara Temple Act 1959, which provides for the appointment of a board to manage the affairs of the temple and its property. The Petitioner, the spiritual </w:t>
      </w:r>
      <w:r>
        <w:rPr>
          <w:spacing w:val="2"/>
          <w:sz w:val="26"/>
        </w:rPr>
        <w:t xml:space="preserve">head </w:t>
      </w:r>
      <w:r>
        <w:rPr>
          <w:sz w:val="26"/>
        </w:rPr>
        <w:t>of the temple, claimed that the temple and its properties were private and that the State legislature was not competent to pass the law. He contended that even if the temple was held to be a public temple, the Act infringed Articles 25, 26(b) and 26(c) bec</w:t>
      </w:r>
      <w:r>
        <w:rPr>
          <w:sz w:val="26"/>
        </w:rPr>
        <w:t>ause the temple was managed by the Tilkayat as head of the Vallabh denomination. The Court relied on firmans (edicts or administrative orders) issued by</w:t>
      </w:r>
      <w:r>
        <w:rPr>
          <w:spacing w:val="-53"/>
          <w:sz w:val="26"/>
        </w:rPr>
        <w:t xml:space="preserve"> </w:t>
      </w:r>
      <w:r>
        <w:rPr>
          <w:sz w:val="26"/>
        </w:rPr>
        <w:t>emperors of the erstwhile Mughal Empire to hold that the temple was public and that the Tilkayat was “m</w:t>
      </w:r>
      <w:r>
        <w:rPr>
          <w:sz w:val="26"/>
        </w:rPr>
        <w:t>erely a custodian, manager and trustee of the temple.” Justice Gajendragadkar, writing for the Bench, underlined why the claims</w:t>
      </w:r>
      <w:r>
        <w:rPr>
          <w:spacing w:val="-5"/>
          <w:sz w:val="26"/>
        </w:rPr>
        <w:t xml:space="preserve"> </w:t>
      </w:r>
      <w:r>
        <w:rPr>
          <w:sz w:val="26"/>
        </w:rPr>
        <w:t>of</w:t>
      </w:r>
      <w:r>
        <w:rPr>
          <w:spacing w:val="-5"/>
          <w:sz w:val="26"/>
        </w:rPr>
        <w:t xml:space="preserve"> </w:t>
      </w:r>
      <w:r>
        <w:rPr>
          <w:sz w:val="26"/>
        </w:rPr>
        <w:t>a</w:t>
      </w:r>
      <w:r>
        <w:rPr>
          <w:spacing w:val="-4"/>
          <w:sz w:val="26"/>
        </w:rPr>
        <w:t xml:space="preserve"> </w:t>
      </w:r>
      <w:r>
        <w:rPr>
          <w:sz w:val="26"/>
        </w:rPr>
        <w:t>community</w:t>
      </w:r>
      <w:r>
        <w:rPr>
          <w:spacing w:val="-7"/>
          <w:sz w:val="26"/>
        </w:rPr>
        <w:t xml:space="preserve"> </w:t>
      </w:r>
      <w:r>
        <w:rPr>
          <w:sz w:val="26"/>
        </w:rPr>
        <w:t>regarding</w:t>
      </w:r>
      <w:r>
        <w:rPr>
          <w:spacing w:val="-7"/>
          <w:sz w:val="26"/>
        </w:rPr>
        <w:t xml:space="preserve"> </w:t>
      </w:r>
      <w:r>
        <w:rPr>
          <w:sz w:val="26"/>
        </w:rPr>
        <w:t>their</w:t>
      </w:r>
      <w:r>
        <w:rPr>
          <w:spacing w:val="-4"/>
          <w:sz w:val="26"/>
        </w:rPr>
        <w:t xml:space="preserve"> </w:t>
      </w:r>
      <w:r>
        <w:rPr>
          <w:sz w:val="26"/>
        </w:rPr>
        <w:t>religious</w:t>
      </w:r>
      <w:r>
        <w:rPr>
          <w:spacing w:val="-4"/>
          <w:sz w:val="26"/>
        </w:rPr>
        <w:t xml:space="preserve"> </w:t>
      </w:r>
      <w:r>
        <w:rPr>
          <w:sz w:val="26"/>
        </w:rPr>
        <w:t>practices</w:t>
      </w:r>
      <w:r>
        <w:rPr>
          <w:spacing w:val="-4"/>
          <w:sz w:val="26"/>
        </w:rPr>
        <w:t xml:space="preserve"> </w:t>
      </w:r>
      <w:r>
        <w:rPr>
          <w:sz w:val="26"/>
        </w:rPr>
        <w:t>could</w:t>
      </w:r>
      <w:r>
        <w:rPr>
          <w:spacing w:val="-2"/>
          <w:sz w:val="26"/>
        </w:rPr>
        <w:t xml:space="preserve"> </w:t>
      </w:r>
      <w:r>
        <w:rPr>
          <w:sz w:val="26"/>
        </w:rPr>
        <w:t>not</w:t>
      </w:r>
      <w:r>
        <w:rPr>
          <w:spacing w:val="-7"/>
          <w:sz w:val="26"/>
        </w:rPr>
        <w:t xml:space="preserve"> </w:t>
      </w:r>
      <w:r>
        <w:rPr>
          <w:sz w:val="26"/>
        </w:rPr>
        <w:t>be</w:t>
      </w:r>
      <w:r>
        <w:rPr>
          <w:spacing w:val="-4"/>
          <w:sz w:val="26"/>
        </w:rPr>
        <w:t xml:space="preserve"> </w:t>
      </w:r>
      <w:r>
        <w:rPr>
          <w:sz w:val="26"/>
        </w:rPr>
        <w:t>accepted without scrutiny:</w:t>
      </w:r>
    </w:p>
    <w:p w:rsidR="003B2FC0" w:rsidRDefault="00052A49">
      <w:pPr>
        <w:spacing w:before="199" w:line="276" w:lineRule="auto"/>
        <w:ind w:left="1840" w:right="2282"/>
        <w:jc w:val="both"/>
        <w:rPr>
          <w:sz w:val="21"/>
        </w:rPr>
      </w:pPr>
      <w:r>
        <w:rPr>
          <w:sz w:val="21"/>
        </w:rPr>
        <w:t>“57.In deciding the question as to wh</w:t>
      </w:r>
      <w:r>
        <w:rPr>
          <w:sz w:val="21"/>
        </w:rPr>
        <w:t>ether a given religious practice</w:t>
      </w:r>
      <w:r>
        <w:rPr>
          <w:spacing w:val="-7"/>
          <w:sz w:val="21"/>
        </w:rPr>
        <w:t xml:space="preserve"> </w:t>
      </w:r>
      <w:r>
        <w:rPr>
          <w:sz w:val="21"/>
        </w:rPr>
        <w:t>is</w:t>
      </w:r>
      <w:r>
        <w:rPr>
          <w:spacing w:val="-8"/>
          <w:sz w:val="21"/>
        </w:rPr>
        <w:t xml:space="preserve"> </w:t>
      </w:r>
      <w:r>
        <w:rPr>
          <w:sz w:val="21"/>
        </w:rPr>
        <w:t>an</w:t>
      </w:r>
      <w:r>
        <w:rPr>
          <w:spacing w:val="-6"/>
          <w:sz w:val="21"/>
        </w:rPr>
        <w:t xml:space="preserve"> </w:t>
      </w:r>
      <w:r>
        <w:rPr>
          <w:sz w:val="21"/>
        </w:rPr>
        <w:t>integral</w:t>
      </w:r>
      <w:r>
        <w:rPr>
          <w:spacing w:val="-5"/>
          <w:sz w:val="21"/>
        </w:rPr>
        <w:t xml:space="preserve"> </w:t>
      </w:r>
      <w:r>
        <w:rPr>
          <w:sz w:val="21"/>
        </w:rPr>
        <w:t>part</w:t>
      </w:r>
      <w:r>
        <w:rPr>
          <w:spacing w:val="-10"/>
          <w:sz w:val="21"/>
        </w:rPr>
        <w:t xml:space="preserve"> </w:t>
      </w:r>
      <w:r>
        <w:rPr>
          <w:sz w:val="21"/>
        </w:rPr>
        <w:t>of</w:t>
      </w:r>
      <w:r>
        <w:rPr>
          <w:spacing w:val="-5"/>
          <w:sz w:val="21"/>
        </w:rPr>
        <w:t xml:space="preserve"> </w:t>
      </w:r>
      <w:r>
        <w:rPr>
          <w:sz w:val="21"/>
        </w:rPr>
        <w:t>the</w:t>
      </w:r>
      <w:r>
        <w:rPr>
          <w:spacing w:val="-6"/>
          <w:sz w:val="21"/>
        </w:rPr>
        <w:t xml:space="preserve"> </w:t>
      </w:r>
      <w:r>
        <w:rPr>
          <w:sz w:val="21"/>
        </w:rPr>
        <w:t>religion</w:t>
      </w:r>
      <w:r>
        <w:rPr>
          <w:spacing w:val="-6"/>
          <w:sz w:val="21"/>
        </w:rPr>
        <w:t xml:space="preserve"> </w:t>
      </w:r>
      <w:r>
        <w:rPr>
          <w:sz w:val="21"/>
        </w:rPr>
        <w:t>or</w:t>
      </w:r>
      <w:r>
        <w:rPr>
          <w:spacing w:val="-10"/>
          <w:sz w:val="21"/>
        </w:rPr>
        <w:t xml:space="preserve"> </w:t>
      </w:r>
      <w:r>
        <w:rPr>
          <w:sz w:val="21"/>
        </w:rPr>
        <w:t>not,</w:t>
      </w:r>
      <w:r>
        <w:rPr>
          <w:spacing w:val="-7"/>
          <w:sz w:val="21"/>
        </w:rPr>
        <w:t xml:space="preserve"> </w:t>
      </w:r>
      <w:r>
        <w:rPr>
          <w:sz w:val="21"/>
        </w:rPr>
        <w:t>the</w:t>
      </w:r>
      <w:r>
        <w:rPr>
          <w:spacing w:val="-6"/>
          <w:sz w:val="21"/>
        </w:rPr>
        <w:t xml:space="preserve"> </w:t>
      </w:r>
      <w:r>
        <w:rPr>
          <w:sz w:val="21"/>
        </w:rPr>
        <w:t>test</w:t>
      </w:r>
      <w:r>
        <w:rPr>
          <w:spacing w:val="-7"/>
          <w:sz w:val="21"/>
        </w:rPr>
        <w:t xml:space="preserve"> </w:t>
      </w:r>
      <w:r>
        <w:rPr>
          <w:sz w:val="21"/>
        </w:rPr>
        <w:t>always would be whether it is regarded as such by the community following the religion or not. This formula may in some cases present difficulties in its operation...In c</w:t>
      </w:r>
      <w:r>
        <w:rPr>
          <w:sz w:val="21"/>
        </w:rPr>
        <w:t>ases where conflicting evidence is produced in respect of rival contentions as to competing religious practices the Court may not be able to resolve</w:t>
      </w:r>
      <w:r>
        <w:rPr>
          <w:spacing w:val="-13"/>
          <w:sz w:val="21"/>
        </w:rPr>
        <w:t xml:space="preserve"> </w:t>
      </w:r>
      <w:r>
        <w:rPr>
          <w:sz w:val="21"/>
        </w:rPr>
        <w:t>the</w:t>
      </w:r>
      <w:r>
        <w:rPr>
          <w:spacing w:val="-13"/>
          <w:sz w:val="21"/>
        </w:rPr>
        <w:t xml:space="preserve"> </w:t>
      </w:r>
      <w:r>
        <w:rPr>
          <w:sz w:val="21"/>
        </w:rPr>
        <w:t>dispute</w:t>
      </w:r>
      <w:r>
        <w:rPr>
          <w:spacing w:val="-13"/>
          <w:sz w:val="21"/>
        </w:rPr>
        <w:t xml:space="preserve"> </w:t>
      </w:r>
      <w:r>
        <w:rPr>
          <w:sz w:val="21"/>
        </w:rPr>
        <w:t>by</w:t>
      </w:r>
      <w:r>
        <w:rPr>
          <w:spacing w:val="-15"/>
          <w:sz w:val="21"/>
        </w:rPr>
        <w:t xml:space="preserve"> </w:t>
      </w:r>
      <w:r>
        <w:rPr>
          <w:sz w:val="21"/>
        </w:rPr>
        <w:t>a</w:t>
      </w:r>
      <w:r>
        <w:rPr>
          <w:spacing w:val="-13"/>
          <w:sz w:val="21"/>
        </w:rPr>
        <w:t xml:space="preserve"> </w:t>
      </w:r>
      <w:r>
        <w:rPr>
          <w:sz w:val="21"/>
        </w:rPr>
        <w:t>blind</w:t>
      </w:r>
      <w:r>
        <w:rPr>
          <w:spacing w:val="-13"/>
          <w:sz w:val="21"/>
        </w:rPr>
        <w:t xml:space="preserve"> </w:t>
      </w:r>
      <w:r>
        <w:rPr>
          <w:sz w:val="21"/>
        </w:rPr>
        <w:t>application</w:t>
      </w:r>
      <w:r>
        <w:rPr>
          <w:spacing w:val="-13"/>
          <w:sz w:val="21"/>
        </w:rPr>
        <w:t xml:space="preserve"> </w:t>
      </w:r>
      <w:r>
        <w:rPr>
          <w:sz w:val="21"/>
        </w:rPr>
        <w:t>of</w:t>
      </w:r>
      <w:r>
        <w:rPr>
          <w:spacing w:val="-11"/>
          <w:sz w:val="21"/>
        </w:rPr>
        <w:t xml:space="preserve"> </w:t>
      </w:r>
      <w:r>
        <w:rPr>
          <w:sz w:val="21"/>
        </w:rPr>
        <w:t>the</w:t>
      </w:r>
      <w:r>
        <w:rPr>
          <w:spacing w:val="-13"/>
          <w:sz w:val="21"/>
        </w:rPr>
        <w:t xml:space="preserve"> </w:t>
      </w:r>
      <w:r>
        <w:rPr>
          <w:sz w:val="21"/>
        </w:rPr>
        <w:t>formula</w:t>
      </w:r>
      <w:r>
        <w:rPr>
          <w:spacing w:val="-13"/>
          <w:sz w:val="21"/>
        </w:rPr>
        <w:t xml:space="preserve"> </w:t>
      </w:r>
      <w:r>
        <w:rPr>
          <w:sz w:val="21"/>
        </w:rPr>
        <w:t>that</w:t>
      </w:r>
      <w:r>
        <w:rPr>
          <w:spacing w:val="-14"/>
          <w:sz w:val="21"/>
        </w:rPr>
        <w:t xml:space="preserve"> </w:t>
      </w:r>
      <w:r>
        <w:rPr>
          <w:sz w:val="21"/>
        </w:rPr>
        <w:t>the community decides which practice is an integral part of its religion, because the community may speak with more than one voice and the formula would therefore break down. The question will always have to be decided by the</w:t>
      </w:r>
      <w:r>
        <w:rPr>
          <w:spacing w:val="-22"/>
          <w:sz w:val="21"/>
        </w:rPr>
        <w:t xml:space="preserve"> </w:t>
      </w:r>
      <w:r>
        <w:rPr>
          <w:sz w:val="21"/>
        </w:rPr>
        <w:t>Court…”</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5"/>
        <w:rPr>
          <w:sz w:val="27"/>
        </w:rPr>
      </w:pPr>
      <w:r w:rsidRPr="003B2FC0">
        <w:pict>
          <v:line id="_x0000_s1122" style="position:absolute;z-index:251593216;mso-wrap-distance-left:0;mso-wrap-distance-right:0;mso-position-horizontal-relative:page" from="1in,18.15pt" to="216.05pt,18.15pt" strokeweight=".72pt">
            <w10:wrap type="topAndBottom" anchorx="page"/>
          </v:line>
        </w:pict>
      </w:r>
    </w:p>
    <w:p w:rsidR="003B2FC0" w:rsidRDefault="00052A49">
      <w:pPr>
        <w:spacing w:before="66"/>
        <w:ind w:left="400"/>
        <w:rPr>
          <w:sz w:val="18"/>
        </w:rPr>
      </w:pPr>
      <w:r>
        <w:rPr>
          <w:position w:val="6"/>
          <w:sz w:val="12"/>
        </w:rPr>
        <w:t xml:space="preserve">31 </w:t>
      </w:r>
      <w:r>
        <w:rPr>
          <w:sz w:val="18"/>
        </w:rPr>
        <w:t>(1964) 1 SC</w:t>
      </w:r>
      <w:r>
        <w:rPr>
          <w:sz w:val="18"/>
        </w:rPr>
        <w:t>R 561</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ind w:left="400"/>
        <w:rPr>
          <w:sz w:val="26"/>
        </w:rPr>
      </w:pPr>
      <w:r>
        <w:rPr>
          <w:sz w:val="26"/>
        </w:rPr>
        <w:t>In this regard, the Court noted that:</w:t>
      </w:r>
    </w:p>
    <w:p w:rsidR="003B2FC0" w:rsidRDefault="003B2FC0">
      <w:pPr>
        <w:rPr>
          <w:sz w:val="28"/>
        </w:rPr>
      </w:pPr>
    </w:p>
    <w:p w:rsidR="003B2FC0" w:rsidRDefault="00052A49">
      <w:pPr>
        <w:spacing w:before="175" w:line="276" w:lineRule="auto"/>
        <w:ind w:left="1840" w:right="2282"/>
        <w:jc w:val="both"/>
        <w:rPr>
          <w:sz w:val="21"/>
        </w:rPr>
      </w:pPr>
      <w:r>
        <w:rPr>
          <w:sz w:val="21"/>
        </w:rPr>
        <w:t>“58...What is protected under Articles 25(1) and 26(b) respectively</w:t>
      </w:r>
      <w:r>
        <w:rPr>
          <w:spacing w:val="-13"/>
          <w:sz w:val="21"/>
        </w:rPr>
        <w:t xml:space="preserve"> </w:t>
      </w:r>
      <w:r>
        <w:rPr>
          <w:sz w:val="21"/>
        </w:rPr>
        <w:t>are</w:t>
      </w:r>
      <w:r>
        <w:rPr>
          <w:spacing w:val="-11"/>
          <w:sz w:val="21"/>
        </w:rPr>
        <w:t xml:space="preserve"> </w:t>
      </w:r>
      <w:r>
        <w:rPr>
          <w:sz w:val="21"/>
        </w:rPr>
        <w:t>the</w:t>
      </w:r>
      <w:r>
        <w:rPr>
          <w:spacing w:val="-7"/>
          <w:sz w:val="21"/>
        </w:rPr>
        <w:t xml:space="preserve"> </w:t>
      </w:r>
      <w:r>
        <w:rPr>
          <w:sz w:val="21"/>
        </w:rPr>
        <w:t>religious</w:t>
      </w:r>
      <w:r>
        <w:rPr>
          <w:spacing w:val="-11"/>
          <w:sz w:val="21"/>
        </w:rPr>
        <w:t xml:space="preserve"> </w:t>
      </w:r>
      <w:r>
        <w:rPr>
          <w:sz w:val="21"/>
        </w:rPr>
        <w:t>practices</w:t>
      </w:r>
      <w:r>
        <w:rPr>
          <w:spacing w:val="-11"/>
          <w:sz w:val="21"/>
        </w:rPr>
        <w:t xml:space="preserve"> </w:t>
      </w:r>
      <w:r>
        <w:rPr>
          <w:sz w:val="21"/>
        </w:rPr>
        <w:t>and</w:t>
      </w:r>
      <w:r>
        <w:rPr>
          <w:spacing w:val="-9"/>
          <w:sz w:val="21"/>
        </w:rPr>
        <w:t xml:space="preserve"> </w:t>
      </w:r>
      <w:r>
        <w:rPr>
          <w:sz w:val="21"/>
        </w:rPr>
        <w:t>the</w:t>
      </w:r>
      <w:r>
        <w:rPr>
          <w:spacing w:val="-10"/>
          <w:sz w:val="21"/>
        </w:rPr>
        <w:t xml:space="preserve"> </w:t>
      </w:r>
      <w:r>
        <w:rPr>
          <w:sz w:val="21"/>
        </w:rPr>
        <w:t>right</w:t>
      </w:r>
      <w:r>
        <w:rPr>
          <w:spacing w:val="-12"/>
          <w:sz w:val="21"/>
        </w:rPr>
        <w:t xml:space="preserve"> </w:t>
      </w:r>
      <w:r>
        <w:rPr>
          <w:sz w:val="21"/>
        </w:rPr>
        <w:t>to</w:t>
      </w:r>
      <w:r>
        <w:rPr>
          <w:spacing w:val="-10"/>
          <w:sz w:val="21"/>
        </w:rPr>
        <w:t xml:space="preserve"> </w:t>
      </w:r>
      <w:r>
        <w:rPr>
          <w:sz w:val="21"/>
        </w:rPr>
        <w:t>manage affairs</w:t>
      </w:r>
      <w:r>
        <w:rPr>
          <w:spacing w:val="-7"/>
          <w:sz w:val="21"/>
        </w:rPr>
        <w:t xml:space="preserve"> </w:t>
      </w:r>
      <w:r>
        <w:rPr>
          <w:sz w:val="21"/>
        </w:rPr>
        <w:t>in</w:t>
      </w:r>
      <w:r>
        <w:rPr>
          <w:spacing w:val="-8"/>
          <w:sz w:val="21"/>
        </w:rPr>
        <w:t xml:space="preserve"> </w:t>
      </w:r>
      <w:r>
        <w:rPr>
          <w:sz w:val="21"/>
        </w:rPr>
        <w:t>matters</w:t>
      </w:r>
      <w:r>
        <w:rPr>
          <w:spacing w:val="-8"/>
          <w:sz w:val="21"/>
        </w:rPr>
        <w:t xml:space="preserve"> </w:t>
      </w:r>
      <w:r>
        <w:rPr>
          <w:sz w:val="21"/>
        </w:rPr>
        <w:t>of</w:t>
      </w:r>
      <w:r>
        <w:rPr>
          <w:spacing w:val="-5"/>
          <w:sz w:val="21"/>
        </w:rPr>
        <w:t xml:space="preserve"> </w:t>
      </w:r>
      <w:r>
        <w:rPr>
          <w:sz w:val="21"/>
        </w:rPr>
        <w:t>religion.</w:t>
      </w:r>
      <w:r>
        <w:rPr>
          <w:spacing w:val="-8"/>
          <w:sz w:val="21"/>
        </w:rPr>
        <w:t xml:space="preserve"> </w:t>
      </w:r>
      <w:r>
        <w:rPr>
          <w:sz w:val="21"/>
        </w:rPr>
        <w:t>If</w:t>
      </w:r>
      <w:r>
        <w:rPr>
          <w:spacing w:val="-5"/>
          <w:sz w:val="21"/>
        </w:rPr>
        <w:t xml:space="preserve"> </w:t>
      </w:r>
      <w:r>
        <w:rPr>
          <w:sz w:val="21"/>
        </w:rPr>
        <w:t>the</w:t>
      </w:r>
      <w:r>
        <w:rPr>
          <w:spacing w:val="-7"/>
          <w:sz w:val="21"/>
        </w:rPr>
        <w:t xml:space="preserve"> </w:t>
      </w:r>
      <w:r>
        <w:rPr>
          <w:sz w:val="21"/>
        </w:rPr>
        <w:t>practice</w:t>
      </w:r>
      <w:r>
        <w:rPr>
          <w:spacing w:val="-8"/>
          <w:sz w:val="21"/>
        </w:rPr>
        <w:t xml:space="preserve"> </w:t>
      </w:r>
      <w:r>
        <w:rPr>
          <w:sz w:val="21"/>
        </w:rPr>
        <w:t>in</w:t>
      </w:r>
      <w:r>
        <w:rPr>
          <w:spacing w:val="-7"/>
          <w:sz w:val="21"/>
        </w:rPr>
        <w:t xml:space="preserve"> </w:t>
      </w:r>
      <w:r>
        <w:rPr>
          <w:sz w:val="21"/>
        </w:rPr>
        <w:t>question</w:t>
      </w:r>
      <w:r>
        <w:rPr>
          <w:spacing w:val="-6"/>
          <w:sz w:val="21"/>
        </w:rPr>
        <w:t xml:space="preserve"> </w:t>
      </w:r>
      <w:r>
        <w:rPr>
          <w:sz w:val="21"/>
        </w:rPr>
        <w:t>is</w:t>
      </w:r>
      <w:r>
        <w:rPr>
          <w:spacing w:val="-6"/>
          <w:sz w:val="21"/>
        </w:rPr>
        <w:t xml:space="preserve"> </w:t>
      </w:r>
      <w:r>
        <w:rPr>
          <w:sz w:val="21"/>
        </w:rPr>
        <w:t>purely secular or the affair which is controlled by the statute is essentially and absolutely secular in character, it cannot be urged</w:t>
      </w:r>
      <w:r>
        <w:rPr>
          <w:spacing w:val="-13"/>
          <w:sz w:val="21"/>
        </w:rPr>
        <w:t xml:space="preserve"> </w:t>
      </w:r>
      <w:r>
        <w:rPr>
          <w:sz w:val="21"/>
        </w:rPr>
        <w:t>that</w:t>
      </w:r>
      <w:r>
        <w:rPr>
          <w:spacing w:val="-14"/>
          <w:sz w:val="21"/>
        </w:rPr>
        <w:t xml:space="preserve"> </w:t>
      </w:r>
      <w:r>
        <w:rPr>
          <w:sz w:val="21"/>
        </w:rPr>
        <w:t>Article</w:t>
      </w:r>
      <w:r>
        <w:rPr>
          <w:spacing w:val="-13"/>
          <w:sz w:val="21"/>
        </w:rPr>
        <w:t xml:space="preserve"> </w:t>
      </w:r>
      <w:r>
        <w:rPr>
          <w:sz w:val="21"/>
        </w:rPr>
        <w:t>25(1)</w:t>
      </w:r>
      <w:r>
        <w:rPr>
          <w:spacing w:val="-14"/>
          <w:sz w:val="21"/>
        </w:rPr>
        <w:t xml:space="preserve"> </w:t>
      </w:r>
      <w:r>
        <w:rPr>
          <w:sz w:val="21"/>
        </w:rPr>
        <w:t>or</w:t>
      </w:r>
      <w:r>
        <w:rPr>
          <w:spacing w:val="-11"/>
          <w:sz w:val="21"/>
        </w:rPr>
        <w:t xml:space="preserve"> </w:t>
      </w:r>
      <w:r>
        <w:rPr>
          <w:sz w:val="21"/>
        </w:rPr>
        <w:t>Article</w:t>
      </w:r>
      <w:r>
        <w:rPr>
          <w:spacing w:val="-13"/>
          <w:sz w:val="21"/>
        </w:rPr>
        <w:t xml:space="preserve"> </w:t>
      </w:r>
      <w:r>
        <w:rPr>
          <w:sz w:val="21"/>
        </w:rPr>
        <w:t>26(b)</w:t>
      </w:r>
      <w:r>
        <w:rPr>
          <w:spacing w:val="-13"/>
          <w:sz w:val="21"/>
        </w:rPr>
        <w:t xml:space="preserve"> </w:t>
      </w:r>
      <w:r>
        <w:rPr>
          <w:sz w:val="21"/>
        </w:rPr>
        <w:t>has</w:t>
      </w:r>
      <w:r>
        <w:rPr>
          <w:spacing w:val="-13"/>
          <w:sz w:val="21"/>
        </w:rPr>
        <w:t xml:space="preserve"> </w:t>
      </w:r>
      <w:r>
        <w:rPr>
          <w:sz w:val="21"/>
        </w:rPr>
        <w:t>been</w:t>
      </w:r>
      <w:r>
        <w:rPr>
          <w:spacing w:val="-13"/>
          <w:sz w:val="21"/>
        </w:rPr>
        <w:t xml:space="preserve"> </w:t>
      </w:r>
      <w:r>
        <w:rPr>
          <w:sz w:val="21"/>
        </w:rPr>
        <w:t>contravened.”</w:t>
      </w:r>
    </w:p>
    <w:p w:rsidR="003B2FC0" w:rsidRDefault="003B2FC0">
      <w:pPr>
        <w:rPr>
          <w:sz w:val="24"/>
        </w:rPr>
      </w:pPr>
    </w:p>
    <w:p w:rsidR="003B2FC0" w:rsidRDefault="003B2FC0">
      <w:pPr>
        <w:rPr>
          <w:sz w:val="24"/>
        </w:rPr>
      </w:pPr>
    </w:p>
    <w:p w:rsidR="003B2FC0" w:rsidRDefault="003B2FC0">
      <w:pPr>
        <w:rPr>
          <w:sz w:val="24"/>
        </w:rPr>
      </w:pPr>
    </w:p>
    <w:p w:rsidR="003B2FC0" w:rsidRDefault="00052A49">
      <w:pPr>
        <w:spacing w:before="174" w:line="480" w:lineRule="auto"/>
        <w:ind w:left="400" w:right="433"/>
        <w:jc w:val="both"/>
        <w:rPr>
          <w:sz w:val="26"/>
        </w:rPr>
      </w:pPr>
      <w:r>
        <w:rPr>
          <w:b/>
          <w:sz w:val="26"/>
        </w:rPr>
        <w:t xml:space="preserve">Tilkayat </w:t>
      </w:r>
      <w:r>
        <w:rPr>
          <w:sz w:val="26"/>
        </w:rPr>
        <w:t>set forth an important qualification to the propos</w:t>
      </w:r>
      <w:r>
        <w:rPr>
          <w:sz w:val="26"/>
        </w:rPr>
        <w:t xml:space="preserve">ition laid down in </w:t>
      </w:r>
      <w:r>
        <w:rPr>
          <w:b/>
          <w:sz w:val="26"/>
        </w:rPr>
        <w:t>Shirur Mutt</w:t>
      </w:r>
      <w:r>
        <w:rPr>
          <w:sz w:val="26"/>
        </w:rPr>
        <w:t>, which held that adherents themselves must be allowed to determine what was essential to their religion. The Court observed that where ‘conflicting</w:t>
      </w:r>
      <w:r>
        <w:rPr>
          <w:spacing w:val="-5"/>
          <w:sz w:val="26"/>
        </w:rPr>
        <w:t xml:space="preserve"> </w:t>
      </w:r>
      <w:r>
        <w:rPr>
          <w:sz w:val="26"/>
        </w:rPr>
        <w:t>evidence</w:t>
      </w:r>
      <w:r>
        <w:rPr>
          <w:spacing w:val="-6"/>
          <w:sz w:val="26"/>
        </w:rPr>
        <w:t xml:space="preserve"> </w:t>
      </w:r>
      <w:r>
        <w:rPr>
          <w:sz w:val="26"/>
        </w:rPr>
        <w:t>is</w:t>
      </w:r>
      <w:r>
        <w:rPr>
          <w:spacing w:val="-7"/>
          <w:sz w:val="26"/>
        </w:rPr>
        <w:t xml:space="preserve"> </w:t>
      </w:r>
      <w:r>
        <w:rPr>
          <w:sz w:val="26"/>
        </w:rPr>
        <w:t>produced</w:t>
      </w:r>
      <w:r>
        <w:rPr>
          <w:spacing w:val="-7"/>
          <w:sz w:val="26"/>
        </w:rPr>
        <w:t xml:space="preserve"> </w:t>
      </w:r>
      <w:r>
        <w:rPr>
          <w:sz w:val="26"/>
        </w:rPr>
        <w:t>in</w:t>
      </w:r>
      <w:r>
        <w:rPr>
          <w:spacing w:val="-5"/>
          <w:sz w:val="26"/>
        </w:rPr>
        <w:t xml:space="preserve"> </w:t>
      </w:r>
      <w:r>
        <w:rPr>
          <w:sz w:val="26"/>
        </w:rPr>
        <w:t>respect</w:t>
      </w:r>
      <w:r>
        <w:rPr>
          <w:spacing w:val="-7"/>
          <w:sz w:val="26"/>
        </w:rPr>
        <w:t xml:space="preserve"> </w:t>
      </w:r>
      <w:r>
        <w:rPr>
          <w:sz w:val="26"/>
        </w:rPr>
        <w:t>of</w:t>
      </w:r>
      <w:r>
        <w:rPr>
          <w:spacing w:val="-5"/>
          <w:sz w:val="26"/>
        </w:rPr>
        <w:t xml:space="preserve"> </w:t>
      </w:r>
      <w:r>
        <w:rPr>
          <w:sz w:val="26"/>
        </w:rPr>
        <w:t>rival</w:t>
      </w:r>
      <w:r>
        <w:rPr>
          <w:spacing w:val="-5"/>
          <w:sz w:val="26"/>
        </w:rPr>
        <w:t xml:space="preserve"> </w:t>
      </w:r>
      <w:r>
        <w:rPr>
          <w:sz w:val="26"/>
        </w:rPr>
        <w:t>contentions</w:t>
      </w:r>
      <w:r>
        <w:rPr>
          <w:spacing w:val="-5"/>
          <w:sz w:val="26"/>
        </w:rPr>
        <w:t xml:space="preserve"> </w:t>
      </w:r>
      <w:r>
        <w:rPr>
          <w:sz w:val="26"/>
        </w:rPr>
        <w:t>as</w:t>
      </w:r>
      <w:r>
        <w:rPr>
          <w:spacing w:val="-8"/>
          <w:sz w:val="26"/>
        </w:rPr>
        <w:t xml:space="preserve"> </w:t>
      </w:r>
      <w:r>
        <w:rPr>
          <w:sz w:val="26"/>
        </w:rPr>
        <w:t>to</w:t>
      </w:r>
      <w:r>
        <w:rPr>
          <w:spacing w:val="-5"/>
          <w:sz w:val="26"/>
        </w:rPr>
        <w:t xml:space="preserve"> </w:t>
      </w:r>
      <w:r>
        <w:rPr>
          <w:sz w:val="26"/>
        </w:rPr>
        <w:t>competing religiou</w:t>
      </w:r>
      <w:r>
        <w:rPr>
          <w:sz w:val="26"/>
        </w:rPr>
        <w:t xml:space="preserve">s practices,’ a ‘blind application’ of the </w:t>
      </w:r>
      <w:r>
        <w:rPr>
          <w:b/>
          <w:sz w:val="26"/>
        </w:rPr>
        <w:t xml:space="preserve">Shirur Mutt </w:t>
      </w:r>
      <w:r>
        <w:rPr>
          <w:sz w:val="26"/>
        </w:rPr>
        <w:t>formula may not resolve a dispute, because persons within a community may have diverse and contrasting conceptions of what is essential to their religion. It was therefore held to be incumbent upon the</w:t>
      </w:r>
      <w:r>
        <w:rPr>
          <w:sz w:val="26"/>
        </w:rPr>
        <w:t xml:space="preserve"> Court to determine not only whether a practice was religious in character, but also whether it could be considered an essential part</w:t>
      </w:r>
      <w:r>
        <w:rPr>
          <w:spacing w:val="-18"/>
          <w:sz w:val="26"/>
        </w:rPr>
        <w:t xml:space="preserve"> </w:t>
      </w:r>
      <w:r>
        <w:rPr>
          <w:sz w:val="26"/>
        </w:rPr>
        <w:t>of</w:t>
      </w:r>
      <w:r>
        <w:rPr>
          <w:spacing w:val="-16"/>
          <w:sz w:val="26"/>
        </w:rPr>
        <w:t xml:space="preserve"> </w:t>
      </w:r>
      <w:r>
        <w:rPr>
          <w:sz w:val="26"/>
        </w:rPr>
        <w:t>religion.</w:t>
      </w:r>
      <w:r>
        <w:rPr>
          <w:spacing w:val="-17"/>
          <w:sz w:val="26"/>
        </w:rPr>
        <w:t xml:space="preserve"> </w:t>
      </w:r>
      <w:r>
        <w:rPr>
          <w:sz w:val="26"/>
        </w:rPr>
        <w:t>Beginning</w:t>
      </w:r>
      <w:r>
        <w:rPr>
          <w:spacing w:val="-16"/>
          <w:sz w:val="26"/>
        </w:rPr>
        <w:t xml:space="preserve"> </w:t>
      </w:r>
      <w:r>
        <w:rPr>
          <w:sz w:val="26"/>
        </w:rPr>
        <w:t>with</w:t>
      </w:r>
      <w:r>
        <w:rPr>
          <w:spacing w:val="-17"/>
          <w:sz w:val="26"/>
        </w:rPr>
        <w:t xml:space="preserve"> </w:t>
      </w:r>
      <w:r>
        <w:rPr>
          <w:sz w:val="26"/>
        </w:rPr>
        <w:t>the</w:t>
      </w:r>
      <w:r>
        <w:rPr>
          <w:spacing w:val="-16"/>
          <w:sz w:val="26"/>
        </w:rPr>
        <w:t xml:space="preserve"> </w:t>
      </w:r>
      <w:r>
        <w:rPr>
          <w:b/>
          <w:sz w:val="26"/>
        </w:rPr>
        <w:t>Shirur</w:t>
      </w:r>
      <w:r>
        <w:rPr>
          <w:b/>
          <w:spacing w:val="-16"/>
          <w:sz w:val="26"/>
        </w:rPr>
        <w:t xml:space="preserve"> </w:t>
      </w:r>
      <w:r>
        <w:rPr>
          <w:b/>
          <w:sz w:val="26"/>
        </w:rPr>
        <w:t>Mutt</w:t>
      </w:r>
      <w:r>
        <w:rPr>
          <w:b/>
          <w:spacing w:val="-16"/>
          <w:sz w:val="26"/>
        </w:rPr>
        <w:t xml:space="preserve"> </w:t>
      </w:r>
      <w:r>
        <w:rPr>
          <w:sz w:val="26"/>
        </w:rPr>
        <w:t>formulation</w:t>
      </w:r>
      <w:r>
        <w:rPr>
          <w:spacing w:val="-18"/>
          <w:sz w:val="26"/>
        </w:rPr>
        <w:t xml:space="preserve"> </w:t>
      </w:r>
      <w:r>
        <w:rPr>
          <w:sz w:val="26"/>
        </w:rPr>
        <w:t>that</w:t>
      </w:r>
      <w:r>
        <w:rPr>
          <w:spacing w:val="-15"/>
          <w:sz w:val="26"/>
        </w:rPr>
        <w:t xml:space="preserve"> </w:t>
      </w:r>
      <w:r>
        <w:rPr>
          <w:sz w:val="26"/>
        </w:rPr>
        <w:t>what</w:t>
      </w:r>
      <w:r>
        <w:rPr>
          <w:spacing w:val="-18"/>
          <w:sz w:val="26"/>
        </w:rPr>
        <w:t xml:space="preserve"> </w:t>
      </w:r>
      <w:r>
        <w:rPr>
          <w:sz w:val="26"/>
        </w:rPr>
        <w:t>is</w:t>
      </w:r>
      <w:r>
        <w:rPr>
          <w:spacing w:val="-16"/>
          <w:sz w:val="26"/>
        </w:rPr>
        <w:t xml:space="preserve"> </w:t>
      </w:r>
      <w:r>
        <w:rPr>
          <w:sz w:val="26"/>
        </w:rPr>
        <w:t>essential to religion would be determined by the adherents to the faith, the Court moved towards a doctrine that what is essential “will always have to be decided by the Court.” In fact, the Court would determine whether a statute sought to regulate what i</w:t>
      </w:r>
      <w:r>
        <w:rPr>
          <w:sz w:val="26"/>
        </w:rPr>
        <w:t>s “essentially and absolutely secular.” What is religious and what is secular and the boundaries of both were then to be adjudicated by the</w:t>
      </w:r>
      <w:r>
        <w:rPr>
          <w:spacing w:val="-13"/>
          <w:sz w:val="26"/>
        </w:rPr>
        <w:t xml:space="preserve"> </w:t>
      </w:r>
      <w:r>
        <w:rPr>
          <w:sz w:val="26"/>
        </w:rPr>
        <w:t>Court.</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pStyle w:val="ListParagraph"/>
        <w:numPr>
          <w:ilvl w:val="0"/>
          <w:numId w:val="39"/>
        </w:numPr>
        <w:tabs>
          <w:tab w:val="left" w:pos="1121"/>
        </w:tabs>
        <w:spacing w:before="97" w:line="480" w:lineRule="auto"/>
        <w:ind w:right="434" w:firstLine="0"/>
        <w:jc w:val="both"/>
        <w:rPr>
          <w:sz w:val="26"/>
        </w:rPr>
      </w:pPr>
      <w:r>
        <w:rPr>
          <w:sz w:val="26"/>
        </w:rPr>
        <w:t xml:space="preserve">In </w:t>
      </w:r>
      <w:r>
        <w:rPr>
          <w:b/>
          <w:sz w:val="26"/>
        </w:rPr>
        <w:t xml:space="preserve">Sastri Yagnapurushadji </w:t>
      </w:r>
      <w:r>
        <w:rPr>
          <w:sz w:val="26"/>
        </w:rPr>
        <w:t xml:space="preserve">v. </w:t>
      </w:r>
      <w:r>
        <w:rPr>
          <w:b/>
          <w:sz w:val="26"/>
        </w:rPr>
        <w:t>Muldas Bhudardas Vaishya</w:t>
      </w:r>
      <w:r>
        <w:rPr>
          <w:position w:val="9"/>
          <w:sz w:val="17"/>
        </w:rPr>
        <w:t xml:space="preserve">32 </w:t>
      </w:r>
      <w:r>
        <w:rPr>
          <w:sz w:val="26"/>
        </w:rPr>
        <w:t>(“</w:t>
      </w:r>
      <w:r>
        <w:rPr>
          <w:b/>
          <w:sz w:val="26"/>
        </w:rPr>
        <w:t>Sastri Yagnapurushadji</w:t>
      </w:r>
      <w:r>
        <w:rPr>
          <w:sz w:val="26"/>
        </w:rPr>
        <w:t>”), a Cons</w:t>
      </w:r>
      <w:r>
        <w:rPr>
          <w:sz w:val="26"/>
        </w:rPr>
        <w:t>titution Bench of this Court was seized with the issue of whether the Swaminarayan sect could be exempted from the application</w:t>
      </w:r>
      <w:r>
        <w:rPr>
          <w:spacing w:val="-11"/>
          <w:sz w:val="26"/>
        </w:rPr>
        <w:t xml:space="preserve"> </w:t>
      </w:r>
      <w:r>
        <w:rPr>
          <w:sz w:val="26"/>
        </w:rPr>
        <w:t>of</w:t>
      </w:r>
      <w:r>
        <w:rPr>
          <w:spacing w:val="-10"/>
          <w:sz w:val="26"/>
        </w:rPr>
        <w:t xml:space="preserve"> </w:t>
      </w:r>
      <w:r>
        <w:rPr>
          <w:sz w:val="26"/>
        </w:rPr>
        <w:t>the</w:t>
      </w:r>
      <w:r>
        <w:rPr>
          <w:spacing w:val="-10"/>
          <w:sz w:val="26"/>
        </w:rPr>
        <w:t xml:space="preserve"> </w:t>
      </w:r>
      <w:r>
        <w:rPr>
          <w:sz w:val="26"/>
        </w:rPr>
        <w:t>Bombay</w:t>
      </w:r>
      <w:r>
        <w:rPr>
          <w:spacing w:val="-11"/>
          <w:sz w:val="26"/>
        </w:rPr>
        <w:t xml:space="preserve"> </w:t>
      </w:r>
      <w:r>
        <w:rPr>
          <w:sz w:val="26"/>
        </w:rPr>
        <w:t>Hindu</w:t>
      </w:r>
      <w:r>
        <w:rPr>
          <w:spacing w:val="-10"/>
          <w:sz w:val="26"/>
        </w:rPr>
        <w:t xml:space="preserve"> </w:t>
      </w:r>
      <w:r>
        <w:rPr>
          <w:sz w:val="26"/>
        </w:rPr>
        <w:t>Places</w:t>
      </w:r>
      <w:r>
        <w:rPr>
          <w:spacing w:val="-10"/>
          <w:sz w:val="26"/>
        </w:rPr>
        <w:t xml:space="preserve"> </w:t>
      </w:r>
      <w:r>
        <w:rPr>
          <w:sz w:val="26"/>
        </w:rPr>
        <w:t>of</w:t>
      </w:r>
      <w:r>
        <w:rPr>
          <w:spacing w:val="-10"/>
          <w:sz w:val="26"/>
        </w:rPr>
        <w:t xml:space="preserve"> </w:t>
      </w:r>
      <w:r>
        <w:rPr>
          <w:sz w:val="26"/>
        </w:rPr>
        <w:t>Public</w:t>
      </w:r>
      <w:r>
        <w:rPr>
          <w:spacing w:val="-13"/>
          <w:sz w:val="26"/>
        </w:rPr>
        <w:t xml:space="preserve"> </w:t>
      </w:r>
      <w:r>
        <w:rPr>
          <w:sz w:val="26"/>
        </w:rPr>
        <w:t>Worship</w:t>
      </w:r>
      <w:r>
        <w:rPr>
          <w:spacing w:val="-11"/>
          <w:sz w:val="26"/>
        </w:rPr>
        <w:t xml:space="preserve"> </w:t>
      </w:r>
      <w:r>
        <w:rPr>
          <w:sz w:val="26"/>
        </w:rPr>
        <w:t>(Entry</w:t>
      </w:r>
      <w:r>
        <w:rPr>
          <w:spacing w:val="-13"/>
          <w:sz w:val="26"/>
        </w:rPr>
        <w:t xml:space="preserve"> </w:t>
      </w:r>
      <w:r>
        <w:rPr>
          <w:sz w:val="26"/>
        </w:rPr>
        <w:t>Authorization) Act, 1956, which allowed Dalits to worship in all temples to w</w:t>
      </w:r>
      <w:r>
        <w:rPr>
          <w:sz w:val="26"/>
        </w:rPr>
        <w:t>hich the Act applied. The Petitioners, who were members of the Swaminarayan sect, contended that by virtue of being a non-Hindu creed, temples belonging to the sect did not fall within the ambit of the Act. Justice Gajendragadkar, writing for the Court, re</w:t>
      </w:r>
      <w:r>
        <w:rPr>
          <w:sz w:val="26"/>
        </w:rPr>
        <w:t>jected this</w:t>
      </w:r>
      <w:r>
        <w:rPr>
          <w:spacing w:val="-5"/>
          <w:sz w:val="26"/>
        </w:rPr>
        <w:t xml:space="preserve"> </w:t>
      </w:r>
      <w:r>
        <w:rPr>
          <w:sz w:val="26"/>
        </w:rPr>
        <w:t>claim:</w:t>
      </w:r>
    </w:p>
    <w:p w:rsidR="003B2FC0" w:rsidRDefault="00052A49">
      <w:pPr>
        <w:spacing w:before="200" w:line="276" w:lineRule="auto"/>
        <w:ind w:left="1840" w:right="2282"/>
        <w:jc w:val="both"/>
        <w:rPr>
          <w:sz w:val="21"/>
        </w:rPr>
      </w:pPr>
      <w:r>
        <w:rPr>
          <w:sz w:val="21"/>
        </w:rPr>
        <w:t xml:space="preserve">“55.It may be conceded that the genesis of the suit is the genuine apprehension entertained by the appellants, </w:t>
      </w:r>
      <w:r>
        <w:rPr>
          <w:b/>
          <w:sz w:val="21"/>
        </w:rPr>
        <w:t>but as often happens in these matters the said apprehension is founded on superstition, ignorance and complete misunderstandin</w:t>
      </w:r>
      <w:r>
        <w:rPr>
          <w:b/>
          <w:sz w:val="21"/>
        </w:rPr>
        <w:t xml:space="preserve">g of the true teachings of Hindu religion and of the real significance of the tenets and philosophy </w:t>
      </w:r>
      <w:r>
        <w:rPr>
          <w:sz w:val="21"/>
        </w:rPr>
        <w:t>taught by Swaminarayan himself.”</w:t>
      </w:r>
    </w:p>
    <w:p w:rsidR="003B2FC0" w:rsidRDefault="00052A49">
      <w:pPr>
        <w:spacing w:before="1"/>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63" w:line="480" w:lineRule="auto"/>
        <w:ind w:left="400" w:right="439"/>
        <w:jc w:val="both"/>
        <w:rPr>
          <w:sz w:val="26"/>
        </w:rPr>
      </w:pPr>
      <w:r>
        <w:rPr>
          <w:sz w:val="26"/>
        </w:rPr>
        <w:t>Quoting Tilak, Justice Gajendragadkar then expounded the distinctive features of Hinduism:</w:t>
      </w:r>
    </w:p>
    <w:p w:rsidR="003B2FC0" w:rsidRDefault="00052A49">
      <w:pPr>
        <w:spacing w:before="198" w:line="276" w:lineRule="auto"/>
        <w:ind w:left="1840" w:right="2280"/>
        <w:jc w:val="both"/>
        <w:rPr>
          <w:sz w:val="21"/>
        </w:rPr>
      </w:pPr>
      <w:r>
        <w:rPr>
          <w:sz w:val="21"/>
        </w:rPr>
        <w:t>“40.Tilak</w:t>
      </w:r>
      <w:r>
        <w:rPr>
          <w:spacing w:val="-8"/>
          <w:sz w:val="21"/>
        </w:rPr>
        <w:t xml:space="preserve"> </w:t>
      </w:r>
      <w:r>
        <w:rPr>
          <w:sz w:val="21"/>
        </w:rPr>
        <w:t>faced</w:t>
      </w:r>
      <w:r>
        <w:rPr>
          <w:spacing w:val="-8"/>
          <w:sz w:val="21"/>
        </w:rPr>
        <w:t xml:space="preserve"> </w:t>
      </w:r>
      <w:r>
        <w:rPr>
          <w:sz w:val="21"/>
        </w:rPr>
        <w:t>this</w:t>
      </w:r>
      <w:r>
        <w:rPr>
          <w:spacing w:val="-9"/>
          <w:sz w:val="21"/>
        </w:rPr>
        <w:t xml:space="preserve"> </w:t>
      </w:r>
      <w:r>
        <w:rPr>
          <w:sz w:val="21"/>
        </w:rPr>
        <w:t>complex</w:t>
      </w:r>
      <w:r>
        <w:rPr>
          <w:spacing w:val="-8"/>
          <w:sz w:val="21"/>
        </w:rPr>
        <w:t xml:space="preserve"> </w:t>
      </w:r>
      <w:r>
        <w:rPr>
          <w:sz w:val="21"/>
        </w:rPr>
        <w:t>and</w:t>
      </w:r>
      <w:r>
        <w:rPr>
          <w:spacing w:val="-7"/>
          <w:sz w:val="21"/>
        </w:rPr>
        <w:t xml:space="preserve"> </w:t>
      </w:r>
      <w:r>
        <w:rPr>
          <w:sz w:val="21"/>
        </w:rPr>
        <w:t>difficult</w:t>
      </w:r>
      <w:r>
        <w:rPr>
          <w:spacing w:val="-9"/>
          <w:sz w:val="21"/>
        </w:rPr>
        <w:t xml:space="preserve"> </w:t>
      </w:r>
      <w:r>
        <w:rPr>
          <w:sz w:val="21"/>
        </w:rPr>
        <w:t>problem</w:t>
      </w:r>
      <w:r>
        <w:rPr>
          <w:spacing w:val="-8"/>
          <w:sz w:val="21"/>
        </w:rPr>
        <w:t xml:space="preserve"> </w:t>
      </w:r>
      <w:r>
        <w:rPr>
          <w:sz w:val="21"/>
        </w:rPr>
        <w:t>of</w:t>
      </w:r>
      <w:r>
        <w:rPr>
          <w:spacing w:val="-9"/>
          <w:sz w:val="21"/>
        </w:rPr>
        <w:t xml:space="preserve"> </w:t>
      </w:r>
      <w:r>
        <w:rPr>
          <w:sz w:val="21"/>
        </w:rPr>
        <w:t>defining</w:t>
      </w:r>
      <w:r>
        <w:rPr>
          <w:spacing w:val="-9"/>
          <w:sz w:val="21"/>
        </w:rPr>
        <w:t xml:space="preserve"> </w:t>
      </w:r>
      <w:r>
        <w:rPr>
          <w:sz w:val="21"/>
        </w:rPr>
        <w:t>or at least describing adequately Hindu religion and he evolved</w:t>
      </w:r>
      <w:r>
        <w:rPr>
          <w:spacing w:val="-40"/>
          <w:sz w:val="21"/>
        </w:rPr>
        <w:t xml:space="preserve"> </w:t>
      </w:r>
      <w:r>
        <w:rPr>
          <w:sz w:val="21"/>
        </w:rPr>
        <w:t>a working</w:t>
      </w:r>
      <w:r>
        <w:rPr>
          <w:spacing w:val="-13"/>
          <w:sz w:val="21"/>
        </w:rPr>
        <w:t xml:space="preserve"> </w:t>
      </w:r>
      <w:r>
        <w:rPr>
          <w:sz w:val="21"/>
        </w:rPr>
        <w:t>formula</w:t>
      </w:r>
      <w:r>
        <w:rPr>
          <w:spacing w:val="-11"/>
          <w:sz w:val="21"/>
        </w:rPr>
        <w:t xml:space="preserve"> </w:t>
      </w:r>
      <w:r>
        <w:rPr>
          <w:sz w:val="21"/>
        </w:rPr>
        <w:t>which</w:t>
      </w:r>
      <w:r>
        <w:rPr>
          <w:spacing w:val="-12"/>
          <w:sz w:val="21"/>
        </w:rPr>
        <w:t xml:space="preserve"> </w:t>
      </w:r>
      <w:r>
        <w:rPr>
          <w:sz w:val="21"/>
        </w:rPr>
        <w:t>may</w:t>
      </w:r>
      <w:r>
        <w:rPr>
          <w:spacing w:val="-13"/>
          <w:sz w:val="21"/>
        </w:rPr>
        <w:t xml:space="preserve"> </w:t>
      </w:r>
      <w:r>
        <w:rPr>
          <w:sz w:val="21"/>
        </w:rPr>
        <w:t>be</w:t>
      </w:r>
      <w:r>
        <w:rPr>
          <w:spacing w:val="-9"/>
          <w:sz w:val="21"/>
        </w:rPr>
        <w:t xml:space="preserve"> </w:t>
      </w:r>
      <w:r>
        <w:rPr>
          <w:sz w:val="21"/>
        </w:rPr>
        <w:t>regarded</w:t>
      </w:r>
      <w:r>
        <w:rPr>
          <w:spacing w:val="-10"/>
          <w:sz w:val="21"/>
        </w:rPr>
        <w:t xml:space="preserve"> </w:t>
      </w:r>
      <w:r>
        <w:rPr>
          <w:sz w:val="21"/>
        </w:rPr>
        <w:t>as</w:t>
      </w:r>
      <w:r>
        <w:rPr>
          <w:spacing w:val="-10"/>
          <w:sz w:val="21"/>
        </w:rPr>
        <w:t xml:space="preserve"> </w:t>
      </w:r>
      <w:r>
        <w:rPr>
          <w:sz w:val="21"/>
        </w:rPr>
        <w:t>fairly</w:t>
      </w:r>
      <w:r>
        <w:rPr>
          <w:spacing w:val="-13"/>
          <w:sz w:val="21"/>
        </w:rPr>
        <w:t xml:space="preserve"> </w:t>
      </w:r>
      <w:r>
        <w:rPr>
          <w:sz w:val="21"/>
        </w:rPr>
        <w:t>adequate</w:t>
      </w:r>
      <w:r>
        <w:rPr>
          <w:spacing w:val="-10"/>
          <w:sz w:val="21"/>
        </w:rPr>
        <w:t xml:space="preserve"> </w:t>
      </w:r>
      <w:r>
        <w:rPr>
          <w:sz w:val="21"/>
        </w:rPr>
        <w:t>and satisfactory. Said Tilak: "</w:t>
      </w:r>
      <w:r>
        <w:rPr>
          <w:b/>
          <w:sz w:val="21"/>
        </w:rPr>
        <w:t>Acceptance of the Vedas with reverence; recognition of the fact that the means or ways to</w:t>
      </w:r>
      <w:r>
        <w:rPr>
          <w:b/>
          <w:spacing w:val="-10"/>
          <w:sz w:val="21"/>
        </w:rPr>
        <w:t xml:space="preserve"> </w:t>
      </w:r>
      <w:r>
        <w:rPr>
          <w:b/>
          <w:sz w:val="21"/>
        </w:rPr>
        <w:t>salvation</w:t>
      </w:r>
      <w:r>
        <w:rPr>
          <w:b/>
          <w:spacing w:val="-10"/>
          <w:sz w:val="21"/>
        </w:rPr>
        <w:t xml:space="preserve"> </w:t>
      </w:r>
      <w:r>
        <w:rPr>
          <w:b/>
          <w:sz w:val="21"/>
        </w:rPr>
        <w:t>are</w:t>
      </w:r>
      <w:r>
        <w:rPr>
          <w:b/>
          <w:spacing w:val="-13"/>
          <w:sz w:val="21"/>
        </w:rPr>
        <w:t xml:space="preserve"> </w:t>
      </w:r>
      <w:r>
        <w:rPr>
          <w:b/>
          <w:sz w:val="21"/>
        </w:rPr>
        <w:t>diverse</w:t>
      </w:r>
      <w:r>
        <w:rPr>
          <w:b/>
          <w:spacing w:val="-11"/>
          <w:sz w:val="21"/>
        </w:rPr>
        <w:t xml:space="preserve"> </w:t>
      </w:r>
      <w:r>
        <w:rPr>
          <w:b/>
          <w:sz w:val="21"/>
        </w:rPr>
        <w:t>and</w:t>
      </w:r>
      <w:r>
        <w:rPr>
          <w:b/>
          <w:spacing w:val="-9"/>
          <w:sz w:val="21"/>
        </w:rPr>
        <w:t xml:space="preserve"> </w:t>
      </w:r>
      <w:r>
        <w:rPr>
          <w:b/>
          <w:sz w:val="21"/>
        </w:rPr>
        <w:t>realisation</w:t>
      </w:r>
      <w:r>
        <w:rPr>
          <w:b/>
          <w:spacing w:val="-12"/>
          <w:sz w:val="21"/>
        </w:rPr>
        <w:t xml:space="preserve"> </w:t>
      </w:r>
      <w:r>
        <w:rPr>
          <w:b/>
          <w:sz w:val="21"/>
        </w:rPr>
        <w:t>of</w:t>
      </w:r>
      <w:r>
        <w:rPr>
          <w:b/>
          <w:spacing w:val="-11"/>
          <w:sz w:val="21"/>
        </w:rPr>
        <w:t xml:space="preserve"> </w:t>
      </w:r>
      <w:r>
        <w:rPr>
          <w:b/>
          <w:sz w:val="21"/>
        </w:rPr>
        <w:t>the</w:t>
      </w:r>
      <w:r>
        <w:rPr>
          <w:b/>
          <w:spacing w:val="-10"/>
          <w:sz w:val="21"/>
        </w:rPr>
        <w:t xml:space="preserve"> </w:t>
      </w:r>
      <w:r>
        <w:rPr>
          <w:b/>
          <w:sz w:val="21"/>
        </w:rPr>
        <w:t>truth</w:t>
      </w:r>
      <w:r>
        <w:rPr>
          <w:b/>
          <w:spacing w:val="-8"/>
          <w:sz w:val="21"/>
        </w:rPr>
        <w:t xml:space="preserve"> </w:t>
      </w:r>
      <w:r>
        <w:rPr>
          <w:b/>
          <w:sz w:val="21"/>
        </w:rPr>
        <w:t>that</w:t>
      </w:r>
      <w:r>
        <w:rPr>
          <w:b/>
          <w:spacing w:val="-11"/>
          <w:sz w:val="21"/>
        </w:rPr>
        <w:t xml:space="preserve"> </w:t>
      </w:r>
      <w:r>
        <w:rPr>
          <w:b/>
          <w:sz w:val="21"/>
        </w:rPr>
        <w:t>the number of gods to be worshipped is large, that indeed is the distinguishing feature of Hindu</w:t>
      </w:r>
      <w:r>
        <w:rPr>
          <w:b/>
          <w:spacing w:val="-5"/>
          <w:sz w:val="21"/>
        </w:rPr>
        <w:t xml:space="preserve"> </w:t>
      </w:r>
      <w:r>
        <w:rPr>
          <w:b/>
          <w:sz w:val="21"/>
        </w:rPr>
        <w:t>religion</w:t>
      </w:r>
      <w:r>
        <w:rPr>
          <w:sz w:val="21"/>
        </w:rPr>
        <w:t>.”</w:t>
      </w:r>
    </w:p>
    <w:p w:rsidR="003B2FC0" w:rsidRDefault="00052A49">
      <w:pPr>
        <w:spacing w:before="1"/>
        <w:ind w:left="1840"/>
        <w:jc w:val="both"/>
        <w:rPr>
          <w:sz w:val="21"/>
        </w:rPr>
      </w:pPr>
      <w:r>
        <w:rPr>
          <w:sz w:val="21"/>
        </w:rPr>
        <w:t>(E</w:t>
      </w:r>
      <w:r>
        <w:rPr>
          <w:sz w:val="21"/>
        </w:rPr>
        <w:t>mphasis supplied)</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rPr>
          <w:sz w:val="29"/>
        </w:rPr>
      </w:pPr>
      <w:r w:rsidRPr="003B2FC0">
        <w:pict>
          <v:line id="_x0000_s1121" style="position:absolute;z-index:251594240;mso-wrap-distance-left:0;mso-wrap-distance-right:0;mso-position-horizontal-relative:page" from="1in,19.25pt" to="216.05pt,19.25pt" strokeweight=".72pt">
            <w10:wrap type="topAndBottom" anchorx="page"/>
          </v:line>
        </w:pict>
      </w:r>
    </w:p>
    <w:p w:rsidR="003B2FC0" w:rsidRDefault="00052A49">
      <w:pPr>
        <w:spacing w:before="66"/>
        <w:ind w:left="400"/>
        <w:rPr>
          <w:sz w:val="18"/>
        </w:rPr>
      </w:pPr>
      <w:r>
        <w:rPr>
          <w:position w:val="6"/>
          <w:sz w:val="12"/>
        </w:rPr>
        <w:t xml:space="preserve">32 </w:t>
      </w:r>
      <w:r>
        <w:rPr>
          <w:sz w:val="18"/>
        </w:rPr>
        <w:t>(1966) 3 SCR 242</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1" w:firstLine="0"/>
        <w:jc w:val="both"/>
        <w:rPr>
          <w:sz w:val="26"/>
        </w:rPr>
      </w:pPr>
      <w:r>
        <w:rPr>
          <w:sz w:val="26"/>
        </w:rPr>
        <w:t xml:space="preserve">In </w:t>
      </w:r>
      <w:r>
        <w:rPr>
          <w:b/>
          <w:sz w:val="26"/>
        </w:rPr>
        <w:t xml:space="preserve">Acharya Jagdishwaranand Avadhuta </w:t>
      </w:r>
      <w:r>
        <w:rPr>
          <w:sz w:val="26"/>
        </w:rPr>
        <w:t xml:space="preserve">v. </w:t>
      </w:r>
      <w:r>
        <w:rPr>
          <w:b/>
          <w:sz w:val="26"/>
        </w:rPr>
        <w:t>Commissioner of Police, Calcutta</w:t>
      </w:r>
      <w:r>
        <w:rPr>
          <w:position w:val="9"/>
          <w:sz w:val="17"/>
        </w:rPr>
        <w:t xml:space="preserve">33 </w:t>
      </w:r>
      <w:r>
        <w:rPr>
          <w:sz w:val="26"/>
        </w:rPr>
        <w:t>(“</w:t>
      </w:r>
      <w:r>
        <w:rPr>
          <w:b/>
          <w:sz w:val="26"/>
        </w:rPr>
        <w:t>Avadhuta I</w:t>
      </w:r>
      <w:r>
        <w:rPr>
          <w:sz w:val="26"/>
        </w:rPr>
        <w:t>”), a three judge Bench of this Court considered whether the police could prevent the Ananda Margis from performing</w:t>
      </w:r>
      <w:r>
        <w:rPr>
          <w:spacing w:val="48"/>
          <w:sz w:val="26"/>
        </w:rPr>
        <w:t xml:space="preserve"> </w:t>
      </w:r>
      <w:r>
        <w:rPr>
          <w:sz w:val="26"/>
        </w:rPr>
        <w:t>the ‘tandava dance’ in public, in which adherents dance in a public procession carrying knives, live snakes, tridents, and skulls. The Court</w:t>
      </w:r>
      <w:r>
        <w:rPr>
          <w:sz w:val="26"/>
        </w:rPr>
        <w:t xml:space="preserve"> enquired ‘whether performance of Tandava dance is a religious rite or practice essential to the tenets of the religious faith of the Ananda Margis.’ Justice Ranganath Misra, writing for the Court, held that since the Ananda Margis were a recent religious </w:t>
      </w:r>
      <w:r>
        <w:rPr>
          <w:sz w:val="26"/>
        </w:rPr>
        <w:t>order, and the tandava dance an even more recent innovation, it could not be considered an essential religious</w:t>
      </w:r>
      <w:r>
        <w:rPr>
          <w:spacing w:val="-5"/>
          <w:sz w:val="26"/>
        </w:rPr>
        <w:t xml:space="preserve"> </w:t>
      </w:r>
      <w:r>
        <w:rPr>
          <w:sz w:val="26"/>
        </w:rPr>
        <w:t>practice:</w:t>
      </w:r>
    </w:p>
    <w:p w:rsidR="003B2FC0" w:rsidRDefault="00052A49">
      <w:pPr>
        <w:spacing w:before="195" w:line="276" w:lineRule="auto"/>
        <w:ind w:left="1840" w:right="2281"/>
        <w:jc w:val="both"/>
        <w:rPr>
          <w:sz w:val="21"/>
        </w:rPr>
      </w:pPr>
      <w:r>
        <w:rPr>
          <w:sz w:val="21"/>
        </w:rPr>
        <w:t>“14.Ananda Marga as a religious order is of recent origin and tandava dance as a part of religious rites of that order is still more</w:t>
      </w:r>
      <w:r>
        <w:rPr>
          <w:spacing w:val="-7"/>
          <w:sz w:val="21"/>
        </w:rPr>
        <w:t xml:space="preserve"> </w:t>
      </w:r>
      <w:r>
        <w:rPr>
          <w:sz w:val="21"/>
        </w:rPr>
        <w:t>re</w:t>
      </w:r>
      <w:r>
        <w:rPr>
          <w:sz w:val="21"/>
        </w:rPr>
        <w:t>cent.</w:t>
      </w:r>
      <w:r>
        <w:rPr>
          <w:spacing w:val="-7"/>
          <w:sz w:val="21"/>
        </w:rPr>
        <w:t xml:space="preserve"> </w:t>
      </w:r>
      <w:r>
        <w:rPr>
          <w:sz w:val="21"/>
        </w:rPr>
        <w:t>It</w:t>
      </w:r>
      <w:r>
        <w:rPr>
          <w:spacing w:val="-8"/>
          <w:sz w:val="21"/>
        </w:rPr>
        <w:t xml:space="preserve"> </w:t>
      </w:r>
      <w:r>
        <w:rPr>
          <w:sz w:val="21"/>
        </w:rPr>
        <w:t>is</w:t>
      </w:r>
      <w:r>
        <w:rPr>
          <w:spacing w:val="-5"/>
          <w:sz w:val="21"/>
        </w:rPr>
        <w:t xml:space="preserve"> </w:t>
      </w:r>
      <w:r>
        <w:rPr>
          <w:sz w:val="21"/>
        </w:rPr>
        <w:t>doubtful</w:t>
      </w:r>
      <w:r>
        <w:rPr>
          <w:spacing w:val="-8"/>
          <w:sz w:val="21"/>
        </w:rPr>
        <w:t xml:space="preserve"> </w:t>
      </w:r>
      <w:r>
        <w:rPr>
          <w:sz w:val="21"/>
        </w:rPr>
        <w:t>as</w:t>
      </w:r>
      <w:r>
        <w:rPr>
          <w:spacing w:val="-6"/>
          <w:sz w:val="21"/>
        </w:rPr>
        <w:t xml:space="preserve"> </w:t>
      </w:r>
      <w:r>
        <w:rPr>
          <w:sz w:val="21"/>
        </w:rPr>
        <w:t>to</w:t>
      </w:r>
      <w:r>
        <w:rPr>
          <w:spacing w:val="-7"/>
          <w:sz w:val="21"/>
        </w:rPr>
        <w:t xml:space="preserve"> </w:t>
      </w:r>
      <w:r>
        <w:rPr>
          <w:sz w:val="21"/>
        </w:rPr>
        <w:t>whether</w:t>
      </w:r>
      <w:r>
        <w:rPr>
          <w:spacing w:val="-6"/>
          <w:sz w:val="21"/>
        </w:rPr>
        <w:t xml:space="preserve"> </w:t>
      </w:r>
      <w:r>
        <w:rPr>
          <w:sz w:val="21"/>
        </w:rPr>
        <w:t>in</w:t>
      </w:r>
      <w:r>
        <w:rPr>
          <w:spacing w:val="-7"/>
          <w:sz w:val="21"/>
        </w:rPr>
        <w:t xml:space="preserve"> </w:t>
      </w:r>
      <w:r>
        <w:rPr>
          <w:sz w:val="21"/>
        </w:rPr>
        <w:t>such</w:t>
      </w:r>
      <w:r>
        <w:rPr>
          <w:spacing w:val="-6"/>
          <w:sz w:val="21"/>
        </w:rPr>
        <w:t xml:space="preserve"> </w:t>
      </w:r>
      <w:r>
        <w:rPr>
          <w:sz w:val="21"/>
        </w:rPr>
        <w:t>circumstances tandava</w:t>
      </w:r>
      <w:r>
        <w:rPr>
          <w:spacing w:val="-13"/>
          <w:sz w:val="21"/>
        </w:rPr>
        <w:t xml:space="preserve"> </w:t>
      </w:r>
      <w:r>
        <w:rPr>
          <w:sz w:val="21"/>
        </w:rPr>
        <w:t>dance</w:t>
      </w:r>
      <w:r>
        <w:rPr>
          <w:spacing w:val="-12"/>
          <w:sz w:val="21"/>
        </w:rPr>
        <w:t xml:space="preserve"> </w:t>
      </w:r>
      <w:r>
        <w:rPr>
          <w:sz w:val="21"/>
        </w:rPr>
        <w:t>can</w:t>
      </w:r>
      <w:r>
        <w:rPr>
          <w:spacing w:val="-11"/>
          <w:sz w:val="21"/>
        </w:rPr>
        <w:t xml:space="preserve"> </w:t>
      </w:r>
      <w:r>
        <w:rPr>
          <w:sz w:val="21"/>
        </w:rPr>
        <w:t>be</w:t>
      </w:r>
      <w:r>
        <w:rPr>
          <w:spacing w:val="-13"/>
          <w:sz w:val="21"/>
        </w:rPr>
        <w:t xml:space="preserve"> </w:t>
      </w:r>
      <w:r>
        <w:rPr>
          <w:sz w:val="21"/>
        </w:rPr>
        <w:t>taken</w:t>
      </w:r>
      <w:r>
        <w:rPr>
          <w:spacing w:val="-11"/>
          <w:sz w:val="21"/>
        </w:rPr>
        <w:t xml:space="preserve"> </w:t>
      </w:r>
      <w:r>
        <w:rPr>
          <w:sz w:val="21"/>
        </w:rPr>
        <w:t>as</w:t>
      </w:r>
      <w:r>
        <w:rPr>
          <w:spacing w:val="-13"/>
          <w:sz w:val="21"/>
        </w:rPr>
        <w:t xml:space="preserve"> </w:t>
      </w:r>
      <w:r>
        <w:rPr>
          <w:sz w:val="21"/>
        </w:rPr>
        <w:t>an</w:t>
      </w:r>
      <w:r>
        <w:rPr>
          <w:spacing w:val="-12"/>
          <w:sz w:val="21"/>
        </w:rPr>
        <w:t xml:space="preserve"> </w:t>
      </w:r>
      <w:r>
        <w:rPr>
          <w:sz w:val="21"/>
        </w:rPr>
        <w:t>essential</w:t>
      </w:r>
      <w:r>
        <w:rPr>
          <w:spacing w:val="-12"/>
          <w:sz w:val="21"/>
        </w:rPr>
        <w:t xml:space="preserve"> </w:t>
      </w:r>
      <w:r>
        <w:rPr>
          <w:sz w:val="21"/>
        </w:rPr>
        <w:t>religious</w:t>
      </w:r>
      <w:r>
        <w:rPr>
          <w:spacing w:val="-13"/>
          <w:sz w:val="21"/>
        </w:rPr>
        <w:t xml:space="preserve"> </w:t>
      </w:r>
      <w:r>
        <w:rPr>
          <w:sz w:val="21"/>
        </w:rPr>
        <w:t>rite</w:t>
      </w:r>
      <w:r>
        <w:rPr>
          <w:spacing w:val="-12"/>
          <w:sz w:val="21"/>
        </w:rPr>
        <w:t xml:space="preserve"> </w:t>
      </w:r>
      <w:r>
        <w:rPr>
          <w:sz w:val="21"/>
        </w:rPr>
        <w:t>of</w:t>
      </w:r>
      <w:r>
        <w:rPr>
          <w:spacing w:val="-12"/>
          <w:sz w:val="21"/>
        </w:rPr>
        <w:t xml:space="preserve"> </w:t>
      </w:r>
      <w:r>
        <w:rPr>
          <w:sz w:val="21"/>
        </w:rPr>
        <w:t>the Ananda Margis.</w:t>
      </w:r>
    </w:p>
    <w:p w:rsidR="003B2FC0" w:rsidRDefault="00052A49">
      <w:pPr>
        <w:spacing w:before="200" w:line="276" w:lineRule="auto"/>
        <w:ind w:left="1840" w:right="2282"/>
        <w:jc w:val="both"/>
        <w:rPr>
          <w:sz w:val="14"/>
        </w:rPr>
      </w:pPr>
      <w:r>
        <w:rPr>
          <w:sz w:val="21"/>
        </w:rPr>
        <w:t>“Even conceding that Tandava dance has been prescribed as a religious rite for every follower of Ananda Margis it does not follow as a necessary corollary that Tandava dance to be performed</w:t>
      </w:r>
      <w:r>
        <w:rPr>
          <w:spacing w:val="-14"/>
          <w:sz w:val="21"/>
        </w:rPr>
        <w:t xml:space="preserve"> </w:t>
      </w:r>
      <w:r>
        <w:rPr>
          <w:sz w:val="21"/>
        </w:rPr>
        <w:t>in</w:t>
      </w:r>
      <w:r>
        <w:rPr>
          <w:spacing w:val="-11"/>
          <w:sz w:val="21"/>
        </w:rPr>
        <w:t xml:space="preserve"> </w:t>
      </w:r>
      <w:r>
        <w:rPr>
          <w:sz w:val="21"/>
        </w:rPr>
        <w:t>the</w:t>
      </w:r>
      <w:r>
        <w:rPr>
          <w:spacing w:val="-14"/>
          <w:sz w:val="21"/>
        </w:rPr>
        <w:t xml:space="preserve"> </w:t>
      </w:r>
      <w:r>
        <w:rPr>
          <w:sz w:val="21"/>
        </w:rPr>
        <w:t>public</w:t>
      </w:r>
      <w:r>
        <w:rPr>
          <w:spacing w:val="-11"/>
          <w:sz w:val="21"/>
        </w:rPr>
        <w:t xml:space="preserve"> </w:t>
      </w:r>
      <w:r>
        <w:rPr>
          <w:sz w:val="21"/>
        </w:rPr>
        <w:t>is</w:t>
      </w:r>
      <w:r>
        <w:rPr>
          <w:spacing w:val="-14"/>
          <w:sz w:val="21"/>
        </w:rPr>
        <w:t xml:space="preserve"> </w:t>
      </w:r>
      <w:r>
        <w:rPr>
          <w:sz w:val="21"/>
        </w:rPr>
        <w:t>a</w:t>
      </w:r>
      <w:r>
        <w:rPr>
          <w:spacing w:val="-11"/>
          <w:sz w:val="21"/>
        </w:rPr>
        <w:t xml:space="preserve"> </w:t>
      </w:r>
      <w:r>
        <w:rPr>
          <w:sz w:val="21"/>
        </w:rPr>
        <w:t>matter</w:t>
      </w:r>
      <w:r>
        <w:rPr>
          <w:spacing w:val="-12"/>
          <w:sz w:val="21"/>
        </w:rPr>
        <w:t xml:space="preserve"> </w:t>
      </w:r>
      <w:r>
        <w:rPr>
          <w:sz w:val="21"/>
        </w:rPr>
        <w:t>of</w:t>
      </w:r>
      <w:r>
        <w:rPr>
          <w:spacing w:val="-10"/>
          <w:sz w:val="21"/>
        </w:rPr>
        <w:t xml:space="preserve"> </w:t>
      </w:r>
      <w:r>
        <w:rPr>
          <w:sz w:val="21"/>
        </w:rPr>
        <w:t>religious</w:t>
      </w:r>
      <w:r>
        <w:rPr>
          <w:spacing w:val="-11"/>
          <w:sz w:val="21"/>
        </w:rPr>
        <w:t xml:space="preserve"> </w:t>
      </w:r>
      <w:r>
        <w:rPr>
          <w:sz w:val="21"/>
        </w:rPr>
        <w:t>rite.</w:t>
      </w:r>
      <w:r>
        <w:rPr>
          <w:spacing w:val="-12"/>
          <w:sz w:val="21"/>
        </w:rPr>
        <w:t xml:space="preserve"> </w:t>
      </w:r>
      <w:r>
        <w:rPr>
          <w:sz w:val="21"/>
        </w:rPr>
        <w:t>In</w:t>
      </w:r>
      <w:r>
        <w:rPr>
          <w:spacing w:val="-12"/>
          <w:sz w:val="21"/>
        </w:rPr>
        <w:t xml:space="preserve"> </w:t>
      </w:r>
      <w:r>
        <w:rPr>
          <w:sz w:val="21"/>
        </w:rPr>
        <w:t>fact,</w:t>
      </w:r>
      <w:r>
        <w:rPr>
          <w:spacing w:val="-12"/>
          <w:sz w:val="21"/>
        </w:rPr>
        <w:t xml:space="preserve"> </w:t>
      </w:r>
      <w:r>
        <w:rPr>
          <w:sz w:val="21"/>
        </w:rPr>
        <w:t>there is</w:t>
      </w:r>
      <w:r>
        <w:rPr>
          <w:spacing w:val="-14"/>
          <w:sz w:val="21"/>
        </w:rPr>
        <w:t xml:space="preserve"> </w:t>
      </w:r>
      <w:r>
        <w:rPr>
          <w:sz w:val="21"/>
        </w:rPr>
        <w:t>no</w:t>
      </w:r>
      <w:r>
        <w:rPr>
          <w:spacing w:val="-13"/>
          <w:sz w:val="21"/>
        </w:rPr>
        <w:t xml:space="preserve"> </w:t>
      </w:r>
      <w:r>
        <w:rPr>
          <w:sz w:val="21"/>
        </w:rPr>
        <w:t>justification</w:t>
      </w:r>
      <w:r>
        <w:rPr>
          <w:spacing w:val="-13"/>
          <w:sz w:val="21"/>
        </w:rPr>
        <w:t xml:space="preserve"> </w:t>
      </w:r>
      <w:r>
        <w:rPr>
          <w:sz w:val="21"/>
        </w:rPr>
        <w:t>in</w:t>
      </w:r>
      <w:r>
        <w:rPr>
          <w:spacing w:val="-13"/>
          <w:sz w:val="21"/>
        </w:rPr>
        <w:t xml:space="preserve"> </w:t>
      </w:r>
      <w:r>
        <w:rPr>
          <w:sz w:val="21"/>
        </w:rPr>
        <w:t>any</w:t>
      </w:r>
      <w:r>
        <w:rPr>
          <w:spacing w:val="-15"/>
          <w:sz w:val="21"/>
        </w:rPr>
        <w:t xml:space="preserve"> </w:t>
      </w:r>
      <w:r>
        <w:rPr>
          <w:sz w:val="21"/>
        </w:rPr>
        <w:t>of</w:t>
      </w:r>
      <w:r>
        <w:rPr>
          <w:spacing w:val="-12"/>
          <w:sz w:val="21"/>
        </w:rPr>
        <w:t xml:space="preserve"> </w:t>
      </w:r>
      <w:r>
        <w:rPr>
          <w:sz w:val="21"/>
        </w:rPr>
        <w:t>the</w:t>
      </w:r>
      <w:r>
        <w:rPr>
          <w:spacing w:val="-13"/>
          <w:sz w:val="21"/>
        </w:rPr>
        <w:t xml:space="preserve"> </w:t>
      </w:r>
      <w:r>
        <w:rPr>
          <w:sz w:val="21"/>
        </w:rPr>
        <w:t>writings</w:t>
      </w:r>
      <w:r>
        <w:rPr>
          <w:spacing w:val="-13"/>
          <w:sz w:val="21"/>
        </w:rPr>
        <w:t xml:space="preserve"> </w:t>
      </w:r>
      <w:r>
        <w:rPr>
          <w:sz w:val="21"/>
        </w:rPr>
        <w:t>of</w:t>
      </w:r>
      <w:r>
        <w:rPr>
          <w:spacing w:val="-12"/>
          <w:sz w:val="21"/>
        </w:rPr>
        <w:t xml:space="preserve"> </w:t>
      </w:r>
      <w:r>
        <w:rPr>
          <w:sz w:val="21"/>
        </w:rPr>
        <w:t>Shri</w:t>
      </w:r>
      <w:r>
        <w:rPr>
          <w:spacing w:val="-12"/>
          <w:sz w:val="21"/>
        </w:rPr>
        <w:t xml:space="preserve"> </w:t>
      </w:r>
      <w:r>
        <w:rPr>
          <w:sz w:val="21"/>
        </w:rPr>
        <w:t>Ananda</w:t>
      </w:r>
      <w:r>
        <w:rPr>
          <w:spacing w:val="-15"/>
          <w:sz w:val="21"/>
        </w:rPr>
        <w:t xml:space="preserve"> </w:t>
      </w:r>
      <w:r>
        <w:rPr>
          <w:sz w:val="21"/>
        </w:rPr>
        <w:t>Murti</w:t>
      </w:r>
      <w:r>
        <w:rPr>
          <w:spacing w:val="-13"/>
          <w:sz w:val="21"/>
        </w:rPr>
        <w:t xml:space="preserve"> </w:t>
      </w:r>
      <w:r>
        <w:rPr>
          <w:sz w:val="21"/>
        </w:rPr>
        <w:t>that tandava dance must be performed in</w:t>
      </w:r>
      <w:r>
        <w:rPr>
          <w:spacing w:val="-14"/>
          <w:sz w:val="21"/>
        </w:rPr>
        <w:t xml:space="preserve"> </w:t>
      </w:r>
      <w:r>
        <w:rPr>
          <w:sz w:val="21"/>
        </w:rPr>
        <w:t>public.”</w:t>
      </w:r>
      <w:r>
        <w:rPr>
          <w:position w:val="7"/>
          <w:sz w:val="14"/>
        </w:rPr>
        <w:t>34</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43" w:line="480" w:lineRule="auto"/>
        <w:ind w:right="432" w:firstLine="0"/>
        <w:jc w:val="both"/>
        <w:rPr>
          <w:sz w:val="26"/>
        </w:rPr>
      </w:pPr>
      <w:r>
        <w:rPr>
          <w:sz w:val="26"/>
        </w:rPr>
        <w:t xml:space="preserve">In </w:t>
      </w:r>
      <w:r>
        <w:rPr>
          <w:b/>
          <w:sz w:val="26"/>
        </w:rPr>
        <w:t xml:space="preserve">Sri Adi Visheshwara of Kashi Vishwanath Temple, Varanasi </w:t>
      </w:r>
      <w:r>
        <w:rPr>
          <w:sz w:val="26"/>
        </w:rPr>
        <w:t xml:space="preserve">v </w:t>
      </w:r>
      <w:r>
        <w:rPr>
          <w:b/>
          <w:sz w:val="26"/>
        </w:rPr>
        <w:t>State of Uttar Pradesh</w:t>
      </w:r>
      <w:r>
        <w:rPr>
          <w:position w:val="9"/>
          <w:sz w:val="17"/>
        </w:rPr>
        <w:t xml:space="preserve">35 </w:t>
      </w:r>
      <w:r>
        <w:rPr>
          <w:sz w:val="26"/>
        </w:rPr>
        <w:t>(“</w:t>
      </w:r>
      <w:r>
        <w:rPr>
          <w:b/>
          <w:sz w:val="26"/>
        </w:rPr>
        <w:t>Adi Visheshwara</w:t>
      </w:r>
      <w:r>
        <w:rPr>
          <w:sz w:val="26"/>
        </w:rPr>
        <w:t>”), a three judge Bench of this Court dealt with a challenge to the Uttar Pradesh Sri Kashi Vishwanath</w:t>
      </w:r>
      <w:r>
        <w:rPr>
          <w:spacing w:val="-39"/>
          <w:sz w:val="26"/>
        </w:rPr>
        <w:t xml:space="preserve"> </w:t>
      </w:r>
      <w:r>
        <w:rPr>
          <w:sz w:val="26"/>
        </w:rPr>
        <w:t>Temple Act,</w:t>
      </w:r>
      <w:r>
        <w:rPr>
          <w:spacing w:val="32"/>
          <w:sz w:val="26"/>
        </w:rPr>
        <w:t xml:space="preserve"> </w:t>
      </w:r>
      <w:r>
        <w:rPr>
          <w:sz w:val="26"/>
        </w:rPr>
        <w:t>1983,</w:t>
      </w:r>
      <w:r>
        <w:rPr>
          <w:spacing w:val="34"/>
          <w:sz w:val="26"/>
        </w:rPr>
        <w:t xml:space="preserve"> </w:t>
      </w:r>
      <w:r>
        <w:rPr>
          <w:sz w:val="26"/>
        </w:rPr>
        <w:t>which</w:t>
      </w:r>
      <w:r>
        <w:rPr>
          <w:spacing w:val="32"/>
          <w:sz w:val="26"/>
        </w:rPr>
        <w:t xml:space="preserve"> </w:t>
      </w:r>
      <w:r>
        <w:rPr>
          <w:sz w:val="26"/>
        </w:rPr>
        <w:t>entrusted</w:t>
      </w:r>
      <w:r>
        <w:rPr>
          <w:spacing w:val="31"/>
          <w:sz w:val="26"/>
        </w:rPr>
        <w:t xml:space="preserve"> </w:t>
      </w:r>
      <w:r>
        <w:rPr>
          <w:sz w:val="26"/>
        </w:rPr>
        <w:t>the</w:t>
      </w:r>
      <w:r>
        <w:rPr>
          <w:spacing w:val="31"/>
          <w:sz w:val="26"/>
        </w:rPr>
        <w:t xml:space="preserve"> </w:t>
      </w:r>
      <w:r>
        <w:rPr>
          <w:sz w:val="26"/>
        </w:rPr>
        <w:t>State</w:t>
      </w:r>
      <w:r>
        <w:rPr>
          <w:spacing w:val="34"/>
          <w:sz w:val="26"/>
        </w:rPr>
        <w:t xml:space="preserve"> </w:t>
      </w:r>
      <w:r>
        <w:rPr>
          <w:sz w:val="26"/>
        </w:rPr>
        <w:t>with</w:t>
      </w:r>
      <w:r>
        <w:rPr>
          <w:spacing w:val="32"/>
          <w:sz w:val="26"/>
        </w:rPr>
        <w:t xml:space="preserve"> </w:t>
      </w:r>
      <w:r>
        <w:rPr>
          <w:sz w:val="26"/>
        </w:rPr>
        <w:t>the</w:t>
      </w:r>
      <w:r>
        <w:rPr>
          <w:spacing w:val="31"/>
          <w:sz w:val="26"/>
        </w:rPr>
        <w:t xml:space="preserve"> </w:t>
      </w:r>
      <w:r>
        <w:rPr>
          <w:sz w:val="26"/>
        </w:rPr>
        <w:t>management</w:t>
      </w:r>
      <w:r>
        <w:rPr>
          <w:spacing w:val="32"/>
          <w:sz w:val="26"/>
        </w:rPr>
        <w:t xml:space="preserve"> </w:t>
      </w:r>
      <w:r>
        <w:rPr>
          <w:sz w:val="26"/>
        </w:rPr>
        <w:t>of</w:t>
      </w:r>
      <w:r>
        <w:rPr>
          <w:spacing w:val="32"/>
          <w:sz w:val="26"/>
        </w:rPr>
        <w:t xml:space="preserve"> </w:t>
      </w:r>
      <w:r>
        <w:rPr>
          <w:sz w:val="26"/>
        </w:rPr>
        <w:t>the</w:t>
      </w:r>
      <w:r>
        <w:rPr>
          <w:spacing w:val="31"/>
          <w:sz w:val="26"/>
        </w:rPr>
        <w:t xml:space="preserve"> </w:t>
      </w:r>
      <w:r>
        <w:rPr>
          <w:sz w:val="26"/>
        </w:rPr>
        <w:t>temple</w:t>
      </w:r>
      <w:r>
        <w:rPr>
          <w:spacing w:val="32"/>
          <w:sz w:val="26"/>
        </w:rPr>
        <w:t xml:space="preserve"> </w:t>
      </w:r>
      <w:r>
        <w:rPr>
          <w:sz w:val="26"/>
        </w:rPr>
        <w:t>as</w:t>
      </w:r>
    </w:p>
    <w:p w:rsidR="003B2FC0" w:rsidRDefault="003B2FC0">
      <w:pPr>
        <w:rPr>
          <w:sz w:val="20"/>
        </w:rPr>
      </w:pPr>
    </w:p>
    <w:p w:rsidR="003B2FC0" w:rsidRDefault="003B2FC0">
      <w:pPr>
        <w:rPr>
          <w:sz w:val="20"/>
        </w:rPr>
      </w:pPr>
    </w:p>
    <w:p w:rsidR="003B2FC0" w:rsidRDefault="003B2FC0">
      <w:pPr>
        <w:spacing w:before="7"/>
        <w:rPr>
          <w:sz w:val="16"/>
        </w:rPr>
      </w:pPr>
      <w:r w:rsidRPr="003B2FC0">
        <w:pict>
          <v:line id="_x0000_s1120" style="position:absolute;z-index:251595264;mso-wrap-distance-left:0;mso-wrap-distance-right:0;mso-position-horizontal-relative:page" from="1in,11.9pt" to="216.05pt,11.9pt" strokeweight=".72pt">
            <w10:wrap type="topAndBottom" anchorx="page"/>
          </v:line>
        </w:pict>
      </w:r>
    </w:p>
    <w:p w:rsidR="003B2FC0" w:rsidRDefault="00052A49">
      <w:pPr>
        <w:spacing w:before="67" w:line="209" w:lineRule="exact"/>
        <w:ind w:left="400"/>
        <w:rPr>
          <w:sz w:val="18"/>
        </w:rPr>
      </w:pPr>
      <w:r>
        <w:rPr>
          <w:position w:val="6"/>
          <w:sz w:val="12"/>
        </w:rPr>
        <w:t xml:space="preserve">33 </w:t>
      </w:r>
      <w:r>
        <w:rPr>
          <w:sz w:val="18"/>
        </w:rPr>
        <w:t>(1983) 4 SCC 522</w:t>
      </w:r>
    </w:p>
    <w:p w:rsidR="003B2FC0" w:rsidRDefault="00052A49">
      <w:pPr>
        <w:spacing w:line="208" w:lineRule="exact"/>
        <w:ind w:left="400"/>
        <w:rPr>
          <w:sz w:val="18"/>
        </w:rPr>
      </w:pPr>
      <w:r>
        <w:rPr>
          <w:position w:val="6"/>
          <w:sz w:val="12"/>
        </w:rPr>
        <w:t xml:space="preserve">34 </w:t>
      </w:r>
      <w:r>
        <w:rPr>
          <w:sz w:val="18"/>
        </w:rPr>
        <w:t>Ibid, at pages 532-533</w:t>
      </w:r>
    </w:p>
    <w:p w:rsidR="003B2FC0" w:rsidRDefault="00052A49">
      <w:pPr>
        <w:spacing w:line="210" w:lineRule="exact"/>
        <w:ind w:left="400"/>
        <w:rPr>
          <w:sz w:val="18"/>
        </w:rPr>
      </w:pPr>
      <w:r>
        <w:rPr>
          <w:position w:val="6"/>
          <w:sz w:val="12"/>
        </w:rPr>
        <w:t xml:space="preserve">35 </w:t>
      </w:r>
      <w:r>
        <w:rPr>
          <w:sz w:val="18"/>
        </w:rPr>
        <w:t>(1997) 4 SCC 606</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opposed to the Pandas (priests). The priests contended that this violated their right under Article 25(1) and Article 26(b) and (d) of the Constitution. Rejecting that</w:t>
      </w:r>
      <w:r>
        <w:rPr>
          <w:spacing w:val="-11"/>
          <w:sz w:val="26"/>
        </w:rPr>
        <w:t xml:space="preserve"> </w:t>
      </w:r>
      <w:r>
        <w:rPr>
          <w:sz w:val="26"/>
        </w:rPr>
        <w:t>the</w:t>
      </w:r>
      <w:r>
        <w:rPr>
          <w:spacing w:val="-11"/>
          <w:sz w:val="26"/>
        </w:rPr>
        <w:t xml:space="preserve"> </w:t>
      </w:r>
      <w:r>
        <w:rPr>
          <w:sz w:val="26"/>
        </w:rPr>
        <w:t>claim</w:t>
      </w:r>
      <w:r>
        <w:rPr>
          <w:spacing w:val="-10"/>
          <w:sz w:val="26"/>
        </w:rPr>
        <w:t xml:space="preserve"> </w:t>
      </w:r>
      <w:r>
        <w:rPr>
          <w:sz w:val="26"/>
        </w:rPr>
        <w:t>and</w:t>
      </w:r>
      <w:r>
        <w:rPr>
          <w:spacing w:val="-11"/>
          <w:sz w:val="26"/>
        </w:rPr>
        <w:t xml:space="preserve"> </w:t>
      </w:r>
      <w:r>
        <w:rPr>
          <w:sz w:val="26"/>
        </w:rPr>
        <w:t>holding</w:t>
      </w:r>
      <w:r>
        <w:rPr>
          <w:spacing w:val="-11"/>
          <w:sz w:val="26"/>
        </w:rPr>
        <w:t xml:space="preserve"> </w:t>
      </w:r>
      <w:r>
        <w:rPr>
          <w:sz w:val="26"/>
        </w:rPr>
        <w:t>that</w:t>
      </w:r>
      <w:r>
        <w:rPr>
          <w:spacing w:val="-11"/>
          <w:sz w:val="26"/>
        </w:rPr>
        <w:t xml:space="preserve"> </w:t>
      </w:r>
      <w:r>
        <w:rPr>
          <w:sz w:val="26"/>
        </w:rPr>
        <w:t>the</w:t>
      </w:r>
      <w:r>
        <w:rPr>
          <w:spacing w:val="-11"/>
          <w:sz w:val="26"/>
        </w:rPr>
        <w:t xml:space="preserve"> </w:t>
      </w:r>
      <w:r>
        <w:rPr>
          <w:sz w:val="26"/>
        </w:rPr>
        <w:t>management</w:t>
      </w:r>
      <w:r>
        <w:rPr>
          <w:spacing w:val="-11"/>
          <w:sz w:val="26"/>
        </w:rPr>
        <w:t xml:space="preserve"> </w:t>
      </w:r>
      <w:r>
        <w:rPr>
          <w:sz w:val="26"/>
        </w:rPr>
        <w:t>of</w:t>
      </w:r>
      <w:r>
        <w:rPr>
          <w:spacing w:val="-10"/>
          <w:sz w:val="26"/>
        </w:rPr>
        <w:t xml:space="preserve"> </w:t>
      </w:r>
      <w:r>
        <w:rPr>
          <w:sz w:val="26"/>
        </w:rPr>
        <w:t>a</w:t>
      </w:r>
      <w:r>
        <w:rPr>
          <w:spacing w:val="-8"/>
          <w:sz w:val="26"/>
        </w:rPr>
        <w:t xml:space="preserve"> </w:t>
      </w:r>
      <w:r>
        <w:rPr>
          <w:sz w:val="26"/>
        </w:rPr>
        <w:t>temple</w:t>
      </w:r>
      <w:r>
        <w:rPr>
          <w:spacing w:val="-11"/>
          <w:sz w:val="26"/>
        </w:rPr>
        <w:t xml:space="preserve"> </w:t>
      </w:r>
      <w:r>
        <w:rPr>
          <w:sz w:val="26"/>
        </w:rPr>
        <w:t>is</w:t>
      </w:r>
      <w:r>
        <w:rPr>
          <w:spacing w:val="-8"/>
          <w:sz w:val="26"/>
        </w:rPr>
        <w:t xml:space="preserve"> </w:t>
      </w:r>
      <w:r>
        <w:rPr>
          <w:sz w:val="26"/>
        </w:rPr>
        <w:t>a</w:t>
      </w:r>
      <w:r>
        <w:rPr>
          <w:spacing w:val="-8"/>
          <w:sz w:val="26"/>
        </w:rPr>
        <w:t xml:space="preserve"> </w:t>
      </w:r>
      <w:r>
        <w:rPr>
          <w:sz w:val="26"/>
        </w:rPr>
        <w:t>secular</w:t>
      </w:r>
      <w:r>
        <w:rPr>
          <w:spacing w:val="-8"/>
          <w:sz w:val="26"/>
        </w:rPr>
        <w:t xml:space="preserve"> </w:t>
      </w:r>
      <w:r>
        <w:rPr>
          <w:sz w:val="26"/>
        </w:rPr>
        <w:t>activity, this Court held that the Sri Vishwanath Temple is not a denominational temple and</w:t>
      </w:r>
      <w:r>
        <w:rPr>
          <w:spacing w:val="-10"/>
          <w:sz w:val="26"/>
        </w:rPr>
        <w:t xml:space="preserve"> </w:t>
      </w:r>
      <w:r>
        <w:rPr>
          <w:sz w:val="26"/>
        </w:rPr>
        <w:t>that</w:t>
      </w:r>
      <w:r>
        <w:rPr>
          <w:spacing w:val="-9"/>
          <w:sz w:val="26"/>
        </w:rPr>
        <w:t xml:space="preserve"> </w:t>
      </w:r>
      <w:r>
        <w:rPr>
          <w:sz w:val="26"/>
        </w:rPr>
        <w:t>the</w:t>
      </w:r>
      <w:r>
        <w:rPr>
          <w:spacing w:val="-7"/>
          <w:sz w:val="26"/>
        </w:rPr>
        <w:t xml:space="preserve"> </w:t>
      </w:r>
      <w:r>
        <w:rPr>
          <w:sz w:val="26"/>
        </w:rPr>
        <w:t>Appellants</w:t>
      </w:r>
      <w:r>
        <w:rPr>
          <w:spacing w:val="-9"/>
          <w:sz w:val="26"/>
        </w:rPr>
        <w:t xml:space="preserve"> </w:t>
      </w:r>
      <w:r>
        <w:rPr>
          <w:sz w:val="26"/>
        </w:rPr>
        <w:t>are</w:t>
      </w:r>
      <w:r>
        <w:rPr>
          <w:spacing w:val="-9"/>
          <w:sz w:val="26"/>
        </w:rPr>
        <w:t xml:space="preserve"> </w:t>
      </w:r>
      <w:r>
        <w:rPr>
          <w:sz w:val="26"/>
        </w:rPr>
        <w:t>not</w:t>
      </w:r>
      <w:r>
        <w:rPr>
          <w:spacing w:val="-9"/>
          <w:sz w:val="26"/>
        </w:rPr>
        <w:t xml:space="preserve"> </w:t>
      </w:r>
      <w:r>
        <w:rPr>
          <w:sz w:val="26"/>
        </w:rPr>
        <w:t>denominational</w:t>
      </w:r>
      <w:r>
        <w:rPr>
          <w:spacing w:val="-7"/>
          <w:sz w:val="26"/>
        </w:rPr>
        <w:t xml:space="preserve"> </w:t>
      </w:r>
      <w:r>
        <w:rPr>
          <w:sz w:val="26"/>
        </w:rPr>
        <w:t>worshippers.</w:t>
      </w:r>
      <w:r>
        <w:rPr>
          <w:spacing w:val="-9"/>
          <w:sz w:val="26"/>
        </w:rPr>
        <w:t xml:space="preserve"> </w:t>
      </w:r>
      <w:r>
        <w:rPr>
          <w:sz w:val="26"/>
        </w:rPr>
        <w:t>In</w:t>
      </w:r>
      <w:r>
        <w:rPr>
          <w:spacing w:val="-8"/>
          <w:sz w:val="26"/>
        </w:rPr>
        <w:t xml:space="preserve"> </w:t>
      </w:r>
      <w:r>
        <w:rPr>
          <w:sz w:val="26"/>
        </w:rPr>
        <w:t>a</w:t>
      </w:r>
      <w:r>
        <w:rPr>
          <w:spacing w:val="-7"/>
          <w:sz w:val="26"/>
        </w:rPr>
        <w:t xml:space="preserve"> </w:t>
      </w:r>
      <w:r>
        <w:rPr>
          <w:sz w:val="26"/>
        </w:rPr>
        <w:t>view</w:t>
      </w:r>
      <w:r>
        <w:rPr>
          <w:spacing w:val="-9"/>
          <w:sz w:val="26"/>
        </w:rPr>
        <w:t xml:space="preserve"> </w:t>
      </w:r>
      <w:r>
        <w:rPr>
          <w:sz w:val="26"/>
        </w:rPr>
        <w:t>similar</w:t>
      </w:r>
      <w:r>
        <w:rPr>
          <w:spacing w:val="-7"/>
          <w:sz w:val="26"/>
        </w:rPr>
        <w:t xml:space="preserve"> </w:t>
      </w:r>
      <w:r>
        <w:rPr>
          <w:sz w:val="26"/>
        </w:rPr>
        <w:t xml:space="preserve">to that taken by Justice Gajendragadkar in </w:t>
      </w:r>
      <w:r>
        <w:rPr>
          <w:b/>
          <w:sz w:val="26"/>
        </w:rPr>
        <w:t>Tilkayat</w:t>
      </w:r>
      <w:r>
        <w:rPr>
          <w:sz w:val="26"/>
        </w:rPr>
        <w:t>, the Court cautioned against extending</w:t>
      </w:r>
      <w:r>
        <w:rPr>
          <w:sz w:val="26"/>
        </w:rPr>
        <w:t xml:space="preserve"> constitutional protection to purely secular practices clothed with a religious form:</w:t>
      </w:r>
    </w:p>
    <w:p w:rsidR="003B2FC0" w:rsidRDefault="00052A49">
      <w:pPr>
        <w:spacing w:before="198" w:line="276" w:lineRule="auto"/>
        <w:ind w:left="1840" w:right="2277"/>
        <w:jc w:val="both"/>
        <w:rPr>
          <w:sz w:val="21"/>
        </w:rPr>
      </w:pPr>
      <w:r>
        <w:rPr>
          <w:sz w:val="21"/>
        </w:rPr>
        <w:t>“28…</w:t>
      </w:r>
      <w:r>
        <w:rPr>
          <w:b/>
          <w:sz w:val="21"/>
        </w:rPr>
        <w:t xml:space="preserve">Sometimes, practices, religious or secular, are inextricably mixed up. </w:t>
      </w:r>
      <w:r>
        <w:rPr>
          <w:sz w:val="21"/>
        </w:rPr>
        <w:t>This is more particularly so in regard to Hindu religion because under the provisions of the an</w:t>
      </w:r>
      <w:r>
        <w:rPr>
          <w:sz w:val="21"/>
        </w:rPr>
        <w:t>cient Smriti, human actions from birth to death and most of the individual actions from day-today are regarded as religious in character in one facet or the other. They sometimes claim the religious system or sanctuary and seek the cloak of constitutional</w:t>
      </w:r>
      <w:r>
        <w:rPr>
          <w:spacing w:val="-14"/>
          <w:sz w:val="21"/>
        </w:rPr>
        <w:t xml:space="preserve"> </w:t>
      </w:r>
      <w:r>
        <w:rPr>
          <w:sz w:val="21"/>
        </w:rPr>
        <w:t>protection</w:t>
      </w:r>
      <w:r>
        <w:rPr>
          <w:spacing w:val="-14"/>
          <w:sz w:val="21"/>
        </w:rPr>
        <w:t xml:space="preserve"> </w:t>
      </w:r>
      <w:r>
        <w:rPr>
          <w:sz w:val="21"/>
        </w:rPr>
        <w:t>guaranteed</w:t>
      </w:r>
      <w:r>
        <w:rPr>
          <w:spacing w:val="-14"/>
          <w:sz w:val="21"/>
        </w:rPr>
        <w:t xml:space="preserve"> </w:t>
      </w:r>
      <w:r>
        <w:rPr>
          <w:sz w:val="21"/>
        </w:rPr>
        <w:t>by</w:t>
      </w:r>
      <w:r>
        <w:rPr>
          <w:spacing w:val="-17"/>
          <w:sz w:val="21"/>
        </w:rPr>
        <w:t xml:space="preserve"> </w:t>
      </w:r>
      <w:r>
        <w:rPr>
          <w:sz w:val="21"/>
        </w:rPr>
        <w:t>Articles</w:t>
      </w:r>
      <w:r>
        <w:rPr>
          <w:spacing w:val="-17"/>
          <w:sz w:val="21"/>
        </w:rPr>
        <w:t xml:space="preserve"> </w:t>
      </w:r>
      <w:r>
        <w:rPr>
          <w:sz w:val="21"/>
        </w:rPr>
        <w:t>25</w:t>
      </w:r>
      <w:r>
        <w:rPr>
          <w:spacing w:val="-14"/>
          <w:sz w:val="21"/>
        </w:rPr>
        <w:t xml:space="preserve"> </w:t>
      </w:r>
      <w:r>
        <w:rPr>
          <w:sz w:val="21"/>
        </w:rPr>
        <w:t>and</w:t>
      </w:r>
      <w:r>
        <w:rPr>
          <w:spacing w:val="-14"/>
          <w:sz w:val="21"/>
        </w:rPr>
        <w:t xml:space="preserve"> </w:t>
      </w:r>
      <w:r>
        <w:rPr>
          <w:sz w:val="21"/>
        </w:rPr>
        <w:t>26.</w:t>
      </w:r>
      <w:r>
        <w:rPr>
          <w:spacing w:val="-15"/>
          <w:sz w:val="21"/>
        </w:rPr>
        <w:t xml:space="preserve"> </w:t>
      </w:r>
      <w:r>
        <w:rPr>
          <w:sz w:val="21"/>
        </w:rPr>
        <w:t xml:space="preserve">One hinges upon constitutional religious model and another diametrically more on traditional point of view. </w:t>
      </w:r>
      <w:r>
        <w:rPr>
          <w:b/>
          <w:sz w:val="21"/>
        </w:rPr>
        <w:t>The legitimacy of the true categories is required to be adjudged strictly within</w:t>
      </w:r>
      <w:r>
        <w:rPr>
          <w:b/>
          <w:spacing w:val="-6"/>
          <w:sz w:val="21"/>
        </w:rPr>
        <w:t xml:space="preserve"> </w:t>
      </w:r>
      <w:r>
        <w:rPr>
          <w:b/>
          <w:sz w:val="21"/>
        </w:rPr>
        <w:t>the</w:t>
      </w:r>
      <w:r>
        <w:rPr>
          <w:b/>
          <w:spacing w:val="-5"/>
          <w:sz w:val="21"/>
        </w:rPr>
        <w:t xml:space="preserve"> </w:t>
      </w:r>
      <w:r>
        <w:rPr>
          <w:b/>
          <w:sz w:val="21"/>
        </w:rPr>
        <w:t>parameters</w:t>
      </w:r>
      <w:r>
        <w:rPr>
          <w:b/>
          <w:spacing w:val="-5"/>
          <w:sz w:val="21"/>
        </w:rPr>
        <w:t xml:space="preserve"> </w:t>
      </w:r>
      <w:r>
        <w:rPr>
          <w:b/>
          <w:sz w:val="21"/>
        </w:rPr>
        <w:t>of</w:t>
      </w:r>
      <w:r>
        <w:rPr>
          <w:b/>
          <w:spacing w:val="-5"/>
          <w:sz w:val="21"/>
        </w:rPr>
        <w:t xml:space="preserve"> </w:t>
      </w:r>
      <w:r>
        <w:rPr>
          <w:b/>
          <w:sz w:val="21"/>
        </w:rPr>
        <w:t>the</w:t>
      </w:r>
      <w:r>
        <w:rPr>
          <w:b/>
          <w:spacing w:val="-6"/>
          <w:sz w:val="21"/>
        </w:rPr>
        <w:t xml:space="preserve"> </w:t>
      </w:r>
      <w:r>
        <w:rPr>
          <w:b/>
          <w:sz w:val="21"/>
        </w:rPr>
        <w:t>right</w:t>
      </w:r>
      <w:r>
        <w:rPr>
          <w:b/>
          <w:spacing w:val="-6"/>
          <w:sz w:val="21"/>
        </w:rPr>
        <w:t xml:space="preserve"> </w:t>
      </w:r>
      <w:r>
        <w:rPr>
          <w:b/>
          <w:sz w:val="21"/>
        </w:rPr>
        <w:t>of</w:t>
      </w:r>
      <w:r>
        <w:rPr>
          <w:b/>
          <w:spacing w:val="-5"/>
          <w:sz w:val="21"/>
        </w:rPr>
        <w:t xml:space="preserve"> </w:t>
      </w:r>
      <w:r>
        <w:rPr>
          <w:b/>
          <w:sz w:val="21"/>
        </w:rPr>
        <w:t>the</w:t>
      </w:r>
      <w:r>
        <w:rPr>
          <w:b/>
          <w:spacing w:val="-5"/>
          <w:sz w:val="21"/>
        </w:rPr>
        <w:t xml:space="preserve"> </w:t>
      </w:r>
      <w:r>
        <w:rPr>
          <w:b/>
          <w:sz w:val="21"/>
        </w:rPr>
        <w:t>individual</w:t>
      </w:r>
      <w:r>
        <w:rPr>
          <w:b/>
          <w:spacing w:val="-7"/>
          <w:sz w:val="21"/>
        </w:rPr>
        <w:t xml:space="preserve"> </w:t>
      </w:r>
      <w:r>
        <w:rPr>
          <w:b/>
          <w:sz w:val="21"/>
        </w:rPr>
        <w:t>and</w:t>
      </w:r>
      <w:r>
        <w:rPr>
          <w:b/>
          <w:spacing w:val="-4"/>
          <w:sz w:val="21"/>
        </w:rPr>
        <w:t xml:space="preserve"> </w:t>
      </w:r>
      <w:r>
        <w:rPr>
          <w:b/>
          <w:sz w:val="21"/>
        </w:rPr>
        <w:t>the legitimacy of the State for social progress, well-being and reforms, social intensification and national unity.</w:t>
      </w:r>
      <w:r>
        <w:rPr>
          <w:sz w:val="21"/>
        </w:rPr>
        <w:t>”</w:t>
      </w:r>
      <w:r>
        <w:rPr>
          <w:position w:val="7"/>
          <w:sz w:val="14"/>
        </w:rPr>
        <w:t xml:space="preserve">36 </w:t>
      </w:r>
      <w:r>
        <w:rPr>
          <w:sz w:val="21"/>
        </w:rPr>
        <w:t>(Emphasis</w:t>
      </w:r>
      <w:r>
        <w:rPr>
          <w:spacing w:val="-2"/>
          <w:sz w:val="21"/>
        </w:rPr>
        <w:t xml:space="preserve"> </w:t>
      </w:r>
      <w:r>
        <w:rPr>
          <w:sz w:val="21"/>
        </w:rPr>
        <w:t>supplied)</w:t>
      </w: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8"/>
        <w:rPr>
          <w:sz w:val="29"/>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 xml:space="preserve">In </w:t>
      </w:r>
      <w:r>
        <w:rPr>
          <w:b/>
          <w:sz w:val="26"/>
        </w:rPr>
        <w:t xml:space="preserve">N Adithayan </w:t>
      </w:r>
      <w:r>
        <w:rPr>
          <w:sz w:val="26"/>
        </w:rPr>
        <w:t xml:space="preserve">v </w:t>
      </w:r>
      <w:r>
        <w:rPr>
          <w:b/>
          <w:sz w:val="26"/>
        </w:rPr>
        <w:t>Travancore Devaswom Board</w:t>
      </w:r>
      <w:r>
        <w:rPr>
          <w:position w:val="9"/>
          <w:sz w:val="17"/>
        </w:rPr>
        <w:t xml:space="preserve">37 </w:t>
      </w:r>
      <w:r>
        <w:rPr>
          <w:sz w:val="26"/>
        </w:rPr>
        <w:t>(“</w:t>
      </w:r>
      <w:r>
        <w:rPr>
          <w:b/>
          <w:sz w:val="26"/>
        </w:rPr>
        <w:t>Travancore Devaswom</w:t>
      </w:r>
      <w:r>
        <w:rPr>
          <w:b/>
          <w:spacing w:val="-8"/>
          <w:sz w:val="26"/>
        </w:rPr>
        <w:t xml:space="preserve"> </w:t>
      </w:r>
      <w:r>
        <w:rPr>
          <w:b/>
          <w:sz w:val="26"/>
        </w:rPr>
        <w:t>Board</w:t>
      </w:r>
      <w:r>
        <w:rPr>
          <w:sz w:val="26"/>
        </w:rPr>
        <w:t>”),</w:t>
      </w:r>
      <w:r>
        <w:rPr>
          <w:spacing w:val="-4"/>
          <w:sz w:val="26"/>
        </w:rPr>
        <w:t xml:space="preserve"> </w:t>
      </w:r>
      <w:r>
        <w:rPr>
          <w:sz w:val="26"/>
        </w:rPr>
        <w:t>a</w:t>
      </w:r>
      <w:r>
        <w:rPr>
          <w:spacing w:val="-7"/>
          <w:sz w:val="26"/>
        </w:rPr>
        <w:t xml:space="preserve"> </w:t>
      </w:r>
      <w:r>
        <w:rPr>
          <w:sz w:val="26"/>
        </w:rPr>
        <w:t>two</w:t>
      </w:r>
      <w:r>
        <w:rPr>
          <w:spacing w:val="-6"/>
          <w:sz w:val="26"/>
        </w:rPr>
        <w:t xml:space="preserve"> </w:t>
      </w:r>
      <w:r>
        <w:rPr>
          <w:sz w:val="26"/>
        </w:rPr>
        <w:t>judge</w:t>
      </w:r>
      <w:r>
        <w:rPr>
          <w:spacing w:val="-7"/>
          <w:sz w:val="26"/>
        </w:rPr>
        <w:t xml:space="preserve"> </w:t>
      </w:r>
      <w:r>
        <w:rPr>
          <w:sz w:val="26"/>
        </w:rPr>
        <w:t>Bench</w:t>
      </w:r>
      <w:r>
        <w:rPr>
          <w:spacing w:val="-7"/>
          <w:sz w:val="26"/>
        </w:rPr>
        <w:t xml:space="preserve"> </w:t>
      </w:r>
      <w:r>
        <w:rPr>
          <w:sz w:val="26"/>
        </w:rPr>
        <w:t>of</w:t>
      </w:r>
      <w:r>
        <w:rPr>
          <w:spacing w:val="-7"/>
          <w:sz w:val="26"/>
        </w:rPr>
        <w:t xml:space="preserve"> </w:t>
      </w:r>
      <w:r>
        <w:rPr>
          <w:sz w:val="26"/>
        </w:rPr>
        <w:t>this</w:t>
      </w:r>
      <w:r>
        <w:rPr>
          <w:spacing w:val="-7"/>
          <w:sz w:val="26"/>
        </w:rPr>
        <w:t xml:space="preserve"> </w:t>
      </w:r>
      <w:r>
        <w:rPr>
          <w:sz w:val="26"/>
        </w:rPr>
        <w:t>Court</w:t>
      </w:r>
      <w:r>
        <w:rPr>
          <w:spacing w:val="-4"/>
          <w:sz w:val="26"/>
        </w:rPr>
        <w:t xml:space="preserve"> </w:t>
      </w:r>
      <w:r>
        <w:rPr>
          <w:sz w:val="26"/>
        </w:rPr>
        <w:t>was</w:t>
      </w:r>
      <w:r>
        <w:rPr>
          <w:spacing w:val="-7"/>
          <w:sz w:val="26"/>
        </w:rPr>
        <w:t xml:space="preserve"> </w:t>
      </w:r>
      <w:r>
        <w:rPr>
          <w:sz w:val="26"/>
        </w:rPr>
        <w:t>seized</w:t>
      </w:r>
      <w:r>
        <w:rPr>
          <w:spacing w:val="-7"/>
          <w:sz w:val="26"/>
        </w:rPr>
        <w:t xml:space="preserve"> </w:t>
      </w:r>
      <w:r>
        <w:rPr>
          <w:sz w:val="26"/>
        </w:rPr>
        <w:t>with</w:t>
      </w:r>
      <w:r>
        <w:rPr>
          <w:spacing w:val="-7"/>
          <w:sz w:val="26"/>
        </w:rPr>
        <w:t xml:space="preserve"> </w:t>
      </w:r>
      <w:r>
        <w:rPr>
          <w:sz w:val="26"/>
        </w:rPr>
        <w:t>the</w:t>
      </w:r>
      <w:r>
        <w:rPr>
          <w:spacing w:val="-7"/>
          <w:sz w:val="26"/>
        </w:rPr>
        <w:t xml:space="preserve"> </w:t>
      </w:r>
      <w:r>
        <w:rPr>
          <w:sz w:val="26"/>
        </w:rPr>
        <w:t>issue of whether the Travancore Devaswom Board could appoint a non-Malayala Brahmin as priest of the Kongorpilly Neerikode Siva Temple.</w:t>
      </w:r>
      <w:r>
        <w:rPr>
          <w:spacing w:val="53"/>
          <w:sz w:val="26"/>
        </w:rPr>
        <w:t xml:space="preserve"> </w:t>
      </w:r>
      <w:r>
        <w:rPr>
          <w:sz w:val="26"/>
        </w:rPr>
        <w:t>Justice</w:t>
      </w:r>
    </w:p>
    <w:p w:rsidR="003B2FC0" w:rsidRDefault="003B2FC0">
      <w:pPr>
        <w:rPr>
          <w:sz w:val="20"/>
        </w:rPr>
      </w:pPr>
    </w:p>
    <w:p w:rsidR="003B2FC0" w:rsidRDefault="003B2FC0">
      <w:pPr>
        <w:rPr>
          <w:sz w:val="20"/>
        </w:rPr>
      </w:pPr>
    </w:p>
    <w:p w:rsidR="003B2FC0" w:rsidRDefault="003B2FC0">
      <w:pPr>
        <w:spacing w:before="4"/>
        <w:rPr>
          <w:sz w:val="18"/>
        </w:rPr>
      </w:pPr>
      <w:r w:rsidRPr="003B2FC0">
        <w:pict>
          <v:line id="_x0000_s1119" style="position:absolute;z-index:251596288;mso-wrap-distance-left:0;mso-wrap-distance-right:0;mso-position-horizontal-relative:page" from="1in,12.95pt" to="216.05pt,12.95pt" strokeweight=".72pt">
            <w10:wrap type="topAndBottom" anchorx="page"/>
          </v:line>
        </w:pict>
      </w:r>
    </w:p>
    <w:p w:rsidR="003B2FC0" w:rsidRDefault="00052A49">
      <w:pPr>
        <w:spacing w:before="66" w:line="210" w:lineRule="exact"/>
        <w:ind w:left="400"/>
        <w:rPr>
          <w:sz w:val="18"/>
        </w:rPr>
      </w:pPr>
      <w:r>
        <w:rPr>
          <w:position w:val="6"/>
          <w:sz w:val="12"/>
        </w:rPr>
        <w:t xml:space="preserve">36 </w:t>
      </w:r>
      <w:r>
        <w:rPr>
          <w:sz w:val="18"/>
        </w:rPr>
        <w:t>Ibid, at page 630</w:t>
      </w:r>
    </w:p>
    <w:p w:rsidR="003B2FC0" w:rsidRDefault="00052A49">
      <w:pPr>
        <w:spacing w:line="210" w:lineRule="exact"/>
        <w:ind w:left="400"/>
        <w:rPr>
          <w:sz w:val="18"/>
        </w:rPr>
      </w:pPr>
      <w:r>
        <w:rPr>
          <w:position w:val="6"/>
          <w:sz w:val="12"/>
        </w:rPr>
        <w:t xml:space="preserve">37 </w:t>
      </w:r>
      <w:r>
        <w:rPr>
          <w:sz w:val="18"/>
        </w:rPr>
        <w:t>(2002) 8 SCC 106</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Do</w:t>
      </w:r>
      <w:r>
        <w:rPr>
          <w:sz w:val="26"/>
        </w:rPr>
        <w:t xml:space="preserve">raiswamy Raju, writing for the Court, held that there was no evidence on record to demonstrate that only Brahmins were entitled to serve as priests. Rejecting the claim that </w:t>
      </w:r>
      <w:r>
        <w:rPr>
          <w:b/>
          <w:sz w:val="26"/>
        </w:rPr>
        <w:t xml:space="preserve">Shirur Mutt </w:t>
      </w:r>
      <w:r>
        <w:rPr>
          <w:sz w:val="26"/>
        </w:rPr>
        <w:t>laid down the proposition that all</w:t>
      </w:r>
      <w:r>
        <w:rPr>
          <w:spacing w:val="-32"/>
          <w:sz w:val="26"/>
        </w:rPr>
        <w:t xml:space="preserve"> </w:t>
      </w:r>
      <w:r>
        <w:rPr>
          <w:sz w:val="26"/>
        </w:rPr>
        <w:t>practices arising out of religion are afforded constitutional protection, the Court</w:t>
      </w:r>
      <w:r>
        <w:rPr>
          <w:spacing w:val="-11"/>
          <w:sz w:val="26"/>
        </w:rPr>
        <w:t xml:space="preserve"> </w:t>
      </w:r>
      <w:r>
        <w:rPr>
          <w:sz w:val="26"/>
        </w:rPr>
        <w:t>held:</w:t>
      </w:r>
    </w:p>
    <w:p w:rsidR="003B2FC0" w:rsidRDefault="00052A49">
      <w:pPr>
        <w:spacing w:before="199" w:line="276" w:lineRule="auto"/>
        <w:ind w:left="1840" w:right="2280"/>
        <w:jc w:val="both"/>
        <w:rPr>
          <w:sz w:val="21"/>
        </w:rPr>
      </w:pPr>
      <w:r>
        <w:rPr>
          <w:sz w:val="21"/>
        </w:rPr>
        <w:t>“18…The attempted exercise by the learned Senior Counsel for</w:t>
      </w:r>
      <w:r>
        <w:rPr>
          <w:spacing w:val="-17"/>
          <w:sz w:val="21"/>
        </w:rPr>
        <w:t xml:space="preserve"> </w:t>
      </w:r>
      <w:r>
        <w:rPr>
          <w:sz w:val="21"/>
        </w:rPr>
        <w:t>the</w:t>
      </w:r>
      <w:r>
        <w:rPr>
          <w:spacing w:val="-15"/>
          <w:sz w:val="21"/>
        </w:rPr>
        <w:t xml:space="preserve"> </w:t>
      </w:r>
      <w:r>
        <w:rPr>
          <w:sz w:val="21"/>
        </w:rPr>
        <w:t>appellant</w:t>
      </w:r>
      <w:r>
        <w:rPr>
          <w:spacing w:val="-16"/>
          <w:sz w:val="21"/>
        </w:rPr>
        <w:t xml:space="preserve"> </w:t>
      </w:r>
      <w:r>
        <w:rPr>
          <w:sz w:val="21"/>
        </w:rPr>
        <w:t>to</w:t>
      </w:r>
      <w:r>
        <w:rPr>
          <w:spacing w:val="-16"/>
          <w:sz w:val="21"/>
        </w:rPr>
        <w:t xml:space="preserve"> </w:t>
      </w:r>
      <w:r>
        <w:rPr>
          <w:sz w:val="21"/>
        </w:rPr>
        <w:t>read</w:t>
      </w:r>
      <w:r>
        <w:rPr>
          <w:spacing w:val="-15"/>
          <w:sz w:val="21"/>
        </w:rPr>
        <w:t xml:space="preserve"> </w:t>
      </w:r>
      <w:r>
        <w:rPr>
          <w:sz w:val="21"/>
        </w:rPr>
        <w:t>into</w:t>
      </w:r>
      <w:r>
        <w:rPr>
          <w:spacing w:val="-16"/>
          <w:sz w:val="21"/>
        </w:rPr>
        <w:t xml:space="preserve"> </w:t>
      </w:r>
      <w:r>
        <w:rPr>
          <w:sz w:val="21"/>
        </w:rPr>
        <w:t>the</w:t>
      </w:r>
      <w:r>
        <w:rPr>
          <w:spacing w:val="-16"/>
          <w:sz w:val="21"/>
        </w:rPr>
        <w:t xml:space="preserve"> </w:t>
      </w:r>
      <w:r>
        <w:rPr>
          <w:sz w:val="21"/>
        </w:rPr>
        <w:t>decisions</w:t>
      </w:r>
      <w:r>
        <w:rPr>
          <w:spacing w:val="-16"/>
          <w:sz w:val="21"/>
        </w:rPr>
        <w:t xml:space="preserve"> </w:t>
      </w:r>
      <w:r>
        <w:rPr>
          <w:sz w:val="21"/>
        </w:rPr>
        <w:t>of</w:t>
      </w:r>
      <w:r>
        <w:rPr>
          <w:spacing w:val="-14"/>
          <w:sz w:val="21"/>
        </w:rPr>
        <w:t xml:space="preserve"> </w:t>
      </w:r>
      <w:r>
        <w:rPr>
          <w:sz w:val="21"/>
        </w:rPr>
        <w:t>this</w:t>
      </w:r>
      <w:r>
        <w:rPr>
          <w:spacing w:val="-16"/>
          <w:sz w:val="21"/>
        </w:rPr>
        <w:t xml:space="preserve"> </w:t>
      </w:r>
      <w:r>
        <w:rPr>
          <w:sz w:val="21"/>
        </w:rPr>
        <w:t>Court</w:t>
      </w:r>
      <w:r>
        <w:rPr>
          <w:spacing w:val="-17"/>
          <w:sz w:val="21"/>
        </w:rPr>
        <w:t xml:space="preserve"> </w:t>
      </w:r>
      <w:r>
        <w:rPr>
          <w:sz w:val="21"/>
        </w:rPr>
        <w:t>in</w:t>
      </w:r>
      <w:r>
        <w:rPr>
          <w:spacing w:val="-16"/>
          <w:sz w:val="21"/>
        </w:rPr>
        <w:t xml:space="preserve"> </w:t>
      </w:r>
      <w:r>
        <w:rPr>
          <w:sz w:val="21"/>
        </w:rPr>
        <w:t>Shirur Mutt's case (supra) and others something</w:t>
      </w:r>
      <w:r>
        <w:rPr>
          <w:sz w:val="21"/>
        </w:rPr>
        <w:t xml:space="preserve"> more than what it actually purports to lay down as if they lend support to assert or protect any and everything claimed as being part of the religious</w:t>
      </w:r>
      <w:r>
        <w:rPr>
          <w:spacing w:val="-8"/>
          <w:sz w:val="21"/>
        </w:rPr>
        <w:t xml:space="preserve"> </w:t>
      </w:r>
      <w:r>
        <w:rPr>
          <w:sz w:val="21"/>
        </w:rPr>
        <w:t>rituals,</w:t>
      </w:r>
      <w:r>
        <w:rPr>
          <w:spacing w:val="-9"/>
          <w:sz w:val="21"/>
        </w:rPr>
        <w:t xml:space="preserve"> </w:t>
      </w:r>
      <w:r>
        <w:rPr>
          <w:sz w:val="21"/>
        </w:rPr>
        <w:t>rites,</w:t>
      </w:r>
      <w:r>
        <w:rPr>
          <w:spacing w:val="-9"/>
          <w:sz w:val="21"/>
        </w:rPr>
        <w:t xml:space="preserve"> </w:t>
      </w:r>
      <w:r>
        <w:rPr>
          <w:sz w:val="21"/>
        </w:rPr>
        <w:t>observances</w:t>
      </w:r>
      <w:r>
        <w:rPr>
          <w:spacing w:val="-8"/>
          <w:sz w:val="21"/>
        </w:rPr>
        <w:t xml:space="preserve"> </w:t>
      </w:r>
      <w:r>
        <w:rPr>
          <w:sz w:val="21"/>
        </w:rPr>
        <w:t>and</w:t>
      </w:r>
      <w:r>
        <w:rPr>
          <w:spacing w:val="-10"/>
          <w:sz w:val="21"/>
        </w:rPr>
        <w:t xml:space="preserve"> </w:t>
      </w:r>
      <w:r>
        <w:rPr>
          <w:sz w:val="21"/>
        </w:rPr>
        <w:t>method</w:t>
      </w:r>
      <w:r>
        <w:rPr>
          <w:spacing w:val="-7"/>
          <w:sz w:val="21"/>
        </w:rPr>
        <w:t xml:space="preserve"> </w:t>
      </w:r>
      <w:r>
        <w:rPr>
          <w:sz w:val="21"/>
        </w:rPr>
        <w:t>of</w:t>
      </w:r>
      <w:r>
        <w:rPr>
          <w:spacing w:val="-7"/>
          <w:sz w:val="21"/>
        </w:rPr>
        <w:t xml:space="preserve"> </w:t>
      </w:r>
      <w:r>
        <w:rPr>
          <w:sz w:val="21"/>
        </w:rPr>
        <w:t>worship</w:t>
      </w:r>
      <w:r>
        <w:rPr>
          <w:spacing w:val="-8"/>
          <w:sz w:val="21"/>
        </w:rPr>
        <w:t xml:space="preserve"> </w:t>
      </w:r>
      <w:r>
        <w:rPr>
          <w:sz w:val="21"/>
        </w:rPr>
        <w:t>and make such claims immutable from any restriction or</w:t>
      </w:r>
      <w:r>
        <w:rPr>
          <w:sz w:val="21"/>
        </w:rPr>
        <w:t xml:space="preserve"> regulation based on the other provisions of the Constitution or the law enacted to implement such constitutional mandate, deserves only to be rejected as merely a superficial approach by purporting to deride what otherwise has to have really an overriding</w:t>
      </w:r>
      <w:r>
        <w:rPr>
          <w:sz w:val="21"/>
        </w:rPr>
        <w:t xml:space="preserve"> effect, in the scheme of rights declared and guaranteed under Part III of the Constitution of India. </w:t>
      </w:r>
      <w:r>
        <w:rPr>
          <w:b/>
          <w:sz w:val="21"/>
        </w:rPr>
        <w:t>Any custom or usage irrespective of even any proof of their existence in pre constitutional days cannot be countenanced</w:t>
      </w:r>
      <w:r>
        <w:rPr>
          <w:b/>
          <w:spacing w:val="-5"/>
          <w:sz w:val="21"/>
        </w:rPr>
        <w:t xml:space="preserve"> </w:t>
      </w:r>
      <w:r>
        <w:rPr>
          <w:b/>
          <w:sz w:val="21"/>
        </w:rPr>
        <w:t>as</w:t>
      </w:r>
      <w:r>
        <w:rPr>
          <w:b/>
          <w:spacing w:val="-5"/>
          <w:sz w:val="21"/>
        </w:rPr>
        <w:t xml:space="preserve"> </w:t>
      </w:r>
      <w:r>
        <w:rPr>
          <w:b/>
          <w:sz w:val="21"/>
        </w:rPr>
        <w:t>a</w:t>
      </w:r>
      <w:r>
        <w:rPr>
          <w:b/>
          <w:spacing w:val="-5"/>
          <w:sz w:val="21"/>
        </w:rPr>
        <w:t xml:space="preserve"> </w:t>
      </w:r>
      <w:r>
        <w:rPr>
          <w:b/>
          <w:sz w:val="21"/>
        </w:rPr>
        <w:t>source</w:t>
      </w:r>
      <w:r>
        <w:rPr>
          <w:b/>
          <w:spacing w:val="-5"/>
          <w:sz w:val="21"/>
        </w:rPr>
        <w:t xml:space="preserve"> </w:t>
      </w:r>
      <w:r>
        <w:rPr>
          <w:b/>
          <w:sz w:val="21"/>
        </w:rPr>
        <w:t>of</w:t>
      </w:r>
      <w:r>
        <w:rPr>
          <w:b/>
          <w:spacing w:val="-5"/>
          <w:sz w:val="21"/>
        </w:rPr>
        <w:t xml:space="preserve"> </w:t>
      </w:r>
      <w:r>
        <w:rPr>
          <w:b/>
          <w:sz w:val="21"/>
        </w:rPr>
        <w:t>law</w:t>
      </w:r>
      <w:r>
        <w:rPr>
          <w:b/>
          <w:spacing w:val="-2"/>
          <w:sz w:val="21"/>
        </w:rPr>
        <w:t xml:space="preserve"> </w:t>
      </w:r>
      <w:r>
        <w:rPr>
          <w:b/>
          <w:sz w:val="21"/>
        </w:rPr>
        <w:t>to</w:t>
      </w:r>
      <w:r>
        <w:rPr>
          <w:b/>
          <w:spacing w:val="-4"/>
          <w:sz w:val="21"/>
        </w:rPr>
        <w:t xml:space="preserve"> </w:t>
      </w:r>
      <w:r>
        <w:rPr>
          <w:b/>
          <w:sz w:val="21"/>
        </w:rPr>
        <w:t>claim</w:t>
      </w:r>
      <w:r>
        <w:rPr>
          <w:b/>
          <w:spacing w:val="-6"/>
          <w:sz w:val="21"/>
        </w:rPr>
        <w:t xml:space="preserve"> </w:t>
      </w:r>
      <w:r>
        <w:rPr>
          <w:b/>
          <w:sz w:val="21"/>
        </w:rPr>
        <w:t>any</w:t>
      </w:r>
      <w:r>
        <w:rPr>
          <w:b/>
          <w:spacing w:val="-7"/>
          <w:sz w:val="21"/>
        </w:rPr>
        <w:t xml:space="preserve"> </w:t>
      </w:r>
      <w:r>
        <w:rPr>
          <w:b/>
          <w:sz w:val="21"/>
        </w:rPr>
        <w:t>rights</w:t>
      </w:r>
      <w:r>
        <w:rPr>
          <w:b/>
          <w:spacing w:val="-7"/>
          <w:sz w:val="21"/>
        </w:rPr>
        <w:t xml:space="preserve"> </w:t>
      </w:r>
      <w:r>
        <w:rPr>
          <w:b/>
          <w:sz w:val="21"/>
        </w:rPr>
        <w:t>when it is found to violate human rights, dignity, social equality and</w:t>
      </w:r>
      <w:r>
        <w:rPr>
          <w:b/>
          <w:spacing w:val="-14"/>
          <w:sz w:val="21"/>
        </w:rPr>
        <w:t xml:space="preserve"> </w:t>
      </w:r>
      <w:r>
        <w:rPr>
          <w:b/>
          <w:sz w:val="21"/>
        </w:rPr>
        <w:t>the</w:t>
      </w:r>
      <w:r>
        <w:rPr>
          <w:b/>
          <w:spacing w:val="-14"/>
          <w:sz w:val="21"/>
        </w:rPr>
        <w:t xml:space="preserve"> </w:t>
      </w:r>
      <w:r>
        <w:rPr>
          <w:b/>
          <w:sz w:val="21"/>
        </w:rPr>
        <w:t>specific</w:t>
      </w:r>
      <w:r>
        <w:rPr>
          <w:b/>
          <w:spacing w:val="-14"/>
          <w:sz w:val="21"/>
        </w:rPr>
        <w:t xml:space="preserve"> </w:t>
      </w:r>
      <w:r>
        <w:rPr>
          <w:b/>
          <w:sz w:val="21"/>
        </w:rPr>
        <w:t>mandate</w:t>
      </w:r>
      <w:r>
        <w:rPr>
          <w:b/>
          <w:spacing w:val="-14"/>
          <w:sz w:val="21"/>
        </w:rPr>
        <w:t xml:space="preserve"> </w:t>
      </w:r>
      <w:r>
        <w:rPr>
          <w:b/>
          <w:sz w:val="21"/>
        </w:rPr>
        <w:t>of</w:t>
      </w:r>
      <w:r>
        <w:rPr>
          <w:b/>
          <w:spacing w:val="-14"/>
          <w:sz w:val="21"/>
        </w:rPr>
        <w:t xml:space="preserve"> </w:t>
      </w:r>
      <w:r>
        <w:rPr>
          <w:b/>
          <w:sz w:val="21"/>
        </w:rPr>
        <w:t>the</w:t>
      </w:r>
      <w:r>
        <w:rPr>
          <w:b/>
          <w:spacing w:val="-14"/>
          <w:sz w:val="21"/>
        </w:rPr>
        <w:t xml:space="preserve"> </w:t>
      </w:r>
      <w:r>
        <w:rPr>
          <w:b/>
          <w:sz w:val="21"/>
        </w:rPr>
        <w:t>Constitution</w:t>
      </w:r>
      <w:r>
        <w:rPr>
          <w:b/>
          <w:spacing w:val="-14"/>
          <w:sz w:val="21"/>
        </w:rPr>
        <w:t xml:space="preserve"> </w:t>
      </w:r>
      <w:r>
        <w:rPr>
          <w:b/>
          <w:sz w:val="21"/>
        </w:rPr>
        <w:t>and</w:t>
      </w:r>
      <w:r>
        <w:rPr>
          <w:b/>
          <w:spacing w:val="-16"/>
          <w:sz w:val="21"/>
        </w:rPr>
        <w:t xml:space="preserve"> </w:t>
      </w:r>
      <w:r>
        <w:rPr>
          <w:b/>
          <w:sz w:val="21"/>
        </w:rPr>
        <w:t>law</w:t>
      </w:r>
      <w:r>
        <w:rPr>
          <w:b/>
          <w:spacing w:val="-11"/>
          <w:sz w:val="21"/>
        </w:rPr>
        <w:t xml:space="preserve"> </w:t>
      </w:r>
      <w:r>
        <w:rPr>
          <w:b/>
          <w:sz w:val="21"/>
        </w:rPr>
        <w:t>made by Parliament</w:t>
      </w:r>
      <w:r>
        <w:rPr>
          <w:sz w:val="21"/>
        </w:rPr>
        <w:t xml:space="preserve">. </w:t>
      </w:r>
      <w:r>
        <w:rPr>
          <w:b/>
          <w:sz w:val="21"/>
        </w:rPr>
        <w:t>No usage which is found to be pernicious and considered to be in derogation of the law of the land or opposed</w:t>
      </w:r>
      <w:r>
        <w:rPr>
          <w:b/>
          <w:sz w:val="21"/>
        </w:rPr>
        <w:t xml:space="preserve"> to public policy or social decency can be accepted or upheld by courts in  the  country</w:t>
      </w:r>
      <w:r>
        <w:rPr>
          <w:sz w:val="21"/>
        </w:rPr>
        <w:t>.”</w:t>
      </w:r>
      <w:r>
        <w:rPr>
          <w:position w:val="7"/>
          <w:sz w:val="14"/>
        </w:rPr>
        <w:t xml:space="preserve">38 </w:t>
      </w:r>
      <w:r>
        <w:rPr>
          <w:sz w:val="21"/>
        </w:rPr>
        <w:t>(Emphasis</w:t>
      </w:r>
      <w:r>
        <w:rPr>
          <w:spacing w:val="-2"/>
          <w:sz w:val="21"/>
        </w:rPr>
        <w:t xml:space="preserve"> </w:t>
      </w:r>
      <w:r>
        <w:rPr>
          <w:sz w:val="21"/>
        </w:rPr>
        <w:t>supplied)</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44" w:line="480" w:lineRule="auto"/>
        <w:ind w:right="434" w:firstLine="0"/>
        <w:jc w:val="both"/>
        <w:rPr>
          <w:sz w:val="26"/>
        </w:rPr>
      </w:pPr>
      <w:r>
        <w:rPr>
          <w:sz w:val="26"/>
        </w:rPr>
        <w:t xml:space="preserve">The question of the essential religious nature of the Tandava dance was considered again in 2004, in </w:t>
      </w:r>
      <w:r>
        <w:rPr>
          <w:b/>
          <w:sz w:val="26"/>
        </w:rPr>
        <w:t xml:space="preserve">Commissioner of Police </w:t>
      </w:r>
      <w:r>
        <w:rPr>
          <w:sz w:val="26"/>
        </w:rPr>
        <w:t xml:space="preserve">v. </w:t>
      </w:r>
      <w:r>
        <w:rPr>
          <w:b/>
          <w:sz w:val="26"/>
        </w:rPr>
        <w:t>Acharya Jagdis</w:t>
      </w:r>
      <w:r>
        <w:rPr>
          <w:b/>
          <w:sz w:val="26"/>
        </w:rPr>
        <w:t>hwarananda Avadhuta</w:t>
      </w:r>
      <w:r>
        <w:rPr>
          <w:position w:val="9"/>
          <w:sz w:val="17"/>
        </w:rPr>
        <w:t xml:space="preserve">39 </w:t>
      </w:r>
      <w:r>
        <w:rPr>
          <w:sz w:val="26"/>
        </w:rPr>
        <w:t>(“</w:t>
      </w:r>
      <w:r>
        <w:rPr>
          <w:b/>
          <w:sz w:val="26"/>
        </w:rPr>
        <w:t>Avadhuta II</w:t>
      </w:r>
      <w:r>
        <w:rPr>
          <w:sz w:val="26"/>
        </w:rPr>
        <w:t xml:space="preserve">”). After </w:t>
      </w:r>
      <w:r>
        <w:rPr>
          <w:b/>
          <w:sz w:val="26"/>
        </w:rPr>
        <w:t>Avadhuta I</w:t>
      </w:r>
      <w:r>
        <w:rPr>
          <w:sz w:val="26"/>
        </w:rPr>
        <w:t xml:space="preserve">, the religious book of the Anand Margis, the </w:t>
      </w:r>
      <w:r>
        <w:rPr>
          <w:i/>
          <w:sz w:val="26"/>
        </w:rPr>
        <w:t>Carya-Carya</w:t>
      </w:r>
      <w:r>
        <w:rPr>
          <w:sz w:val="26"/>
        </w:rPr>
        <w:t>, was revised to prescribe the Anand Tandava as an essential religious practice. Laying emphasis on the ‘essential’</w:t>
      </w:r>
      <w:r>
        <w:rPr>
          <w:spacing w:val="-10"/>
          <w:sz w:val="26"/>
        </w:rPr>
        <w:t xml:space="preserve"> </w:t>
      </w:r>
      <w:r>
        <w:rPr>
          <w:sz w:val="26"/>
        </w:rPr>
        <w:t>nature</w:t>
      </w:r>
      <w:r>
        <w:rPr>
          <w:spacing w:val="-7"/>
          <w:sz w:val="26"/>
        </w:rPr>
        <w:t xml:space="preserve"> </w:t>
      </w:r>
      <w:r>
        <w:rPr>
          <w:sz w:val="26"/>
        </w:rPr>
        <w:t>of</w:t>
      </w:r>
      <w:r>
        <w:rPr>
          <w:spacing w:val="-8"/>
          <w:sz w:val="26"/>
        </w:rPr>
        <w:t xml:space="preserve"> </w:t>
      </w:r>
      <w:r>
        <w:rPr>
          <w:sz w:val="26"/>
        </w:rPr>
        <w:t>the</w:t>
      </w:r>
      <w:r>
        <w:rPr>
          <w:spacing w:val="-9"/>
          <w:sz w:val="26"/>
        </w:rPr>
        <w:t xml:space="preserve"> </w:t>
      </w:r>
      <w:r>
        <w:rPr>
          <w:sz w:val="26"/>
        </w:rPr>
        <w:t>practice</w:t>
      </w:r>
      <w:r>
        <w:rPr>
          <w:spacing w:val="-7"/>
          <w:sz w:val="26"/>
        </w:rPr>
        <w:t xml:space="preserve"> </w:t>
      </w:r>
      <w:r>
        <w:rPr>
          <w:sz w:val="26"/>
        </w:rPr>
        <w:t>claim</w:t>
      </w:r>
      <w:r>
        <w:rPr>
          <w:sz w:val="26"/>
        </w:rPr>
        <w:t>ed,</w:t>
      </w:r>
      <w:r>
        <w:rPr>
          <w:spacing w:val="-8"/>
          <w:sz w:val="26"/>
        </w:rPr>
        <w:t xml:space="preserve"> </w:t>
      </w:r>
      <w:r>
        <w:rPr>
          <w:sz w:val="26"/>
        </w:rPr>
        <w:t>the</w:t>
      </w:r>
      <w:r>
        <w:rPr>
          <w:spacing w:val="-9"/>
          <w:sz w:val="26"/>
        </w:rPr>
        <w:t xml:space="preserve"> </w:t>
      </w:r>
      <w:r>
        <w:rPr>
          <w:sz w:val="26"/>
        </w:rPr>
        <w:t>majority,</w:t>
      </w:r>
      <w:r>
        <w:rPr>
          <w:spacing w:val="-8"/>
          <w:sz w:val="26"/>
        </w:rPr>
        <w:t xml:space="preserve"> </w:t>
      </w:r>
      <w:r>
        <w:rPr>
          <w:sz w:val="26"/>
        </w:rPr>
        <w:t>in</w:t>
      </w:r>
      <w:r>
        <w:rPr>
          <w:spacing w:val="-7"/>
          <w:sz w:val="26"/>
        </w:rPr>
        <w:t xml:space="preserve"> </w:t>
      </w:r>
      <w:r>
        <w:rPr>
          <w:sz w:val="26"/>
        </w:rPr>
        <w:t>a</w:t>
      </w:r>
      <w:r>
        <w:rPr>
          <w:spacing w:val="-9"/>
          <w:sz w:val="26"/>
        </w:rPr>
        <w:t xml:space="preserve"> </w:t>
      </w:r>
      <w:r>
        <w:rPr>
          <w:spacing w:val="2"/>
          <w:sz w:val="26"/>
        </w:rPr>
        <w:t>2-1</w:t>
      </w:r>
      <w:r>
        <w:rPr>
          <w:spacing w:val="-10"/>
          <w:sz w:val="26"/>
        </w:rPr>
        <w:t xml:space="preserve"> </w:t>
      </w:r>
      <w:r>
        <w:rPr>
          <w:sz w:val="26"/>
        </w:rPr>
        <w:t>split</w:t>
      </w:r>
      <w:r>
        <w:rPr>
          <w:spacing w:val="-7"/>
          <w:sz w:val="26"/>
        </w:rPr>
        <w:t xml:space="preserve"> </w:t>
      </w:r>
      <w:r>
        <w:rPr>
          <w:sz w:val="26"/>
        </w:rPr>
        <w:t>verdict,</w:t>
      </w:r>
      <w:r>
        <w:rPr>
          <w:spacing w:val="-8"/>
          <w:sz w:val="26"/>
        </w:rPr>
        <w:t xml:space="preserve"> </w:t>
      </w:r>
      <w:r>
        <w:rPr>
          <w:sz w:val="26"/>
        </w:rPr>
        <w:t>held</w:t>
      </w:r>
    </w:p>
    <w:p w:rsidR="003B2FC0" w:rsidRDefault="003B2FC0">
      <w:pPr>
        <w:spacing w:line="480" w:lineRule="auto"/>
        <w:jc w:val="both"/>
        <w:rPr>
          <w:sz w:val="26"/>
        </w:rPr>
        <w:sectPr w:rsidR="003B2FC0">
          <w:footerReference w:type="default" r:id="rId358"/>
          <w:pgSz w:w="11910" w:h="16840"/>
          <w:pgMar w:top="1080" w:right="980" w:bottom="1960" w:left="1040" w:header="708" w:footer="1768" w:gutter="0"/>
          <w:pgNumType w:start="62"/>
          <w:cols w:space="720"/>
        </w:sectPr>
      </w:pPr>
    </w:p>
    <w:p w:rsidR="003B2FC0" w:rsidRDefault="003B2FC0">
      <w:pPr>
        <w:spacing w:before="10"/>
        <w:rPr>
          <w:sz w:val="21"/>
        </w:rPr>
      </w:pPr>
    </w:p>
    <w:p w:rsidR="003B2FC0" w:rsidRDefault="00052A49">
      <w:pPr>
        <w:spacing w:before="91" w:line="480" w:lineRule="auto"/>
        <w:ind w:left="400" w:right="441"/>
        <w:jc w:val="both"/>
        <w:rPr>
          <w:sz w:val="26"/>
        </w:rPr>
      </w:pPr>
      <w:r>
        <w:rPr>
          <w:sz w:val="26"/>
        </w:rPr>
        <w:t>that the practice must be of such a nature that its absence would result in a fundamental change in the character of that religion:</w:t>
      </w:r>
    </w:p>
    <w:p w:rsidR="003B2FC0" w:rsidRDefault="00052A49">
      <w:pPr>
        <w:spacing w:before="200" w:line="276" w:lineRule="auto"/>
        <w:ind w:left="1840" w:right="2279"/>
        <w:jc w:val="both"/>
        <w:rPr>
          <w:b/>
          <w:sz w:val="21"/>
        </w:rPr>
      </w:pPr>
      <w:r>
        <w:rPr>
          <w:sz w:val="21"/>
        </w:rPr>
        <w:t>“9.Essential part of a religion means the core beliefs upon which a religion is founded. Essential practice means those prac</w:t>
      </w:r>
      <w:r>
        <w:rPr>
          <w:sz w:val="21"/>
        </w:rPr>
        <w:t>tices that are fundamental to follow a religious belief. It is upon the cornerstone of essential parts or practices that the superstructure of a religion is built, without which a religion</w:t>
      </w:r>
      <w:r>
        <w:rPr>
          <w:spacing w:val="-42"/>
          <w:sz w:val="21"/>
        </w:rPr>
        <w:t xml:space="preserve"> </w:t>
      </w:r>
      <w:r>
        <w:rPr>
          <w:sz w:val="21"/>
        </w:rPr>
        <w:t xml:space="preserve">will be no religion. </w:t>
      </w:r>
      <w:r>
        <w:rPr>
          <w:b/>
          <w:sz w:val="21"/>
        </w:rPr>
        <w:t>Test to determine whether a part or practice i</w:t>
      </w:r>
      <w:r>
        <w:rPr>
          <w:b/>
          <w:sz w:val="21"/>
        </w:rPr>
        <w:t>s essential to a religion is to find out whether the nature of</w:t>
      </w:r>
      <w:r>
        <w:rPr>
          <w:b/>
          <w:spacing w:val="-16"/>
          <w:sz w:val="21"/>
        </w:rPr>
        <w:t xml:space="preserve"> </w:t>
      </w:r>
      <w:r>
        <w:rPr>
          <w:b/>
          <w:sz w:val="21"/>
        </w:rPr>
        <w:t>the</w:t>
      </w:r>
      <w:r>
        <w:rPr>
          <w:b/>
          <w:spacing w:val="-14"/>
          <w:sz w:val="21"/>
        </w:rPr>
        <w:t xml:space="preserve"> </w:t>
      </w:r>
      <w:r>
        <w:rPr>
          <w:b/>
          <w:sz w:val="21"/>
        </w:rPr>
        <w:t>religion</w:t>
      </w:r>
      <w:r>
        <w:rPr>
          <w:b/>
          <w:spacing w:val="-17"/>
          <w:sz w:val="21"/>
        </w:rPr>
        <w:t xml:space="preserve"> </w:t>
      </w:r>
      <w:r>
        <w:rPr>
          <w:b/>
          <w:sz w:val="21"/>
        </w:rPr>
        <w:t>will</w:t>
      </w:r>
      <w:r>
        <w:rPr>
          <w:b/>
          <w:spacing w:val="-16"/>
          <w:sz w:val="21"/>
        </w:rPr>
        <w:t xml:space="preserve"> </w:t>
      </w:r>
      <w:r>
        <w:rPr>
          <w:b/>
          <w:sz w:val="21"/>
        </w:rPr>
        <w:t>be</w:t>
      </w:r>
      <w:r>
        <w:rPr>
          <w:b/>
          <w:spacing w:val="-14"/>
          <w:sz w:val="21"/>
        </w:rPr>
        <w:t xml:space="preserve"> </w:t>
      </w:r>
      <w:r>
        <w:rPr>
          <w:b/>
          <w:sz w:val="21"/>
        </w:rPr>
        <w:t>changed</w:t>
      </w:r>
      <w:r>
        <w:rPr>
          <w:b/>
          <w:spacing w:val="-17"/>
          <w:sz w:val="21"/>
        </w:rPr>
        <w:t xml:space="preserve"> </w:t>
      </w:r>
      <w:r>
        <w:rPr>
          <w:b/>
          <w:sz w:val="21"/>
        </w:rPr>
        <w:t>without</w:t>
      </w:r>
      <w:r>
        <w:rPr>
          <w:b/>
          <w:spacing w:val="-15"/>
          <w:sz w:val="21"/>
        </w:rPr>
        <w:t xml:space="preserve"> </w:t>
      </w:r>
      <w:r>
        <w:rPr>
          <w:b/>
          <w:sz w:val="21"/>
        </w:rPr>
        <w:t>that</w:t>
      </w:r>
      <w:r>
        <w:rPr>
          <w:b/>
          <w:spacing w:val="-15"/>
          <w:sz w:val="21"/>
        </w:rPr>
        <w:t xml:space="preserve"> </w:t>
      </w:r>
      <w:r>
        <w:rPr>
          <w:b/>
          <w:sz w:val="21"/>
        </w:rPr>
        <w:t>part</w:t>
      </w:r>
      <w:r>
        <w:rPr>
          <w:b/>
          <w:spacing w:val="-17"/>
          <w:sz w:val="21"/>
        </w:rPr>
        <w:t xml:space="preserve"> </w:t>
      </w:r>
      <w:r>
        <w:rPr>
          <w:b/>
          <w:sz w:val="21"/>
        </w:rPr>
        <w:t>or</w:t>
      </w:r>
      <w:r>
        <w:rPr>
          <w:b/>
          <w:spacing w:val="-15"/>
          <w:sz w:val="21"/>
        </w:rPr>
        <w:t xml:space="preserve"> </w:t>
      </w:r>
      <w:r>
        <w:rPr>
          <w:b/>
          <w:sz w:val="21"/>
        </w:rPr>
        <w:t>practice. If the taking away of that part or practice could result in a fundamental change in the character of that religion or in its belief, then such part could be treated as an essential or integral</w:t>
      </w:r>
      <w:r>
        <w:rPr>
          <w:b/>
          <w:spacing w:val="-3"/>
          <w:sz w:val="21"/>
        </w:rPr>
        <w:t xml:space="preserve"> </w:t>
      </w:r>
      <w:r>
        <w:rPr>
          <w:b/>
          <w:sz w:val="21"/>
        </w:rPr>
        <w:t>part.</w:t>
      </w:r>
    </w:p>
    <w:p w:rsidR="003B2FC0" w:rsidRDefault="00052A49">
      <w:pPr>
        <w:spacing w:before="199" w:line="276" w:lineRule="auto"/>
        <w:ind w:left="1840" w:right="2281"/>
        <w:jc w:val="both"/>
        <w:rPr>
          <w:sz w:val="14"/>
        </w:rPr>
      </w:pPr>
      <w:r>
        <w:rPr>
          <w:b/>
          <w:sz w:val="21"/>
        </w:rPr>
        <w:t>There cannot be additions or subtractions to su</w:t>
      </w:r>
      <w:r>
        <w:rPr>
          <w:b/>
          <w:sz w:val="21"/>
        </w:rPr>
        <w:t>ch part because it is the very essence of that religion and alterations will change its fundamental character. It is such</w:t>
      </w:r>
      <w:r>
        <w:rPr>
          <w:b/>
          <w:spacing w:val="-15"/>
          <w:sz w:val="21"/>
        </w:rPr>
        <w:t xml:space="preserve"> </w:t>
      </w:r>
      <w:r>
        <w:rPr>
          <w:b/>
          <w:sz w:val="21"/>
        </w:rPr>
        <w:t>permanent</w:t>
      </w:r>
      <w:r>
        <w:rPr>
          <w:b/>
          <w:spacing w:val="-16"/>
          <w:sz w:val="21"/>
        </w:rPr>
        <w:t xml:space="preserve"> </w:t>
      </w:r>
      <w:r>
        <w:rPr>
          <w:b/>
          <w:sz w:val="21"/>
        </w:rPr>
        <w:t>essential</w:t>
      </w:r>
      <w:r>
        <w:rPr>
          <w:b/>
          <w:spacing w:val="-15"/>
          <w:sz w:val="21"/>
        </w:rPr>
        <w:t xml:space="preserve"> </w:t>
      </w:r>
      <w:r>
        <w:rPr>
          <w:b/>
          <w:sz w:val="21"/>
        </w:rPr>
        <w:t>parts</w:t>
      </w:r>
      <w:r>
        <w:rPr>
          <w:b/>
          <w:spacing w:val="-18"/>
          <w:sz w:val="21"/>
        </w:rPr>
        <w:t xml:space="preserve"> </w:t>
      </w:r>
      <w:r>
        <w:rPr>
          <w:b/>
          <w:sz w:val="21"/>
        </w:rPr>
        <w:t>which</w:t>
      </w:r>
      <w:r>
        <w:rPr>
          <w:b/>
          <w:spacing w:val="-14"/>
          <w:sz w:val="21"/>
        </w:rPr>
        <w:t xml:space="preserve"> </w:t>
      </w:r>
      <w:r>
        <w:rPr>
          <w:b/>
          <w:sz w:val="21"/>
        </w:rPr>
        <w:t>are</w:t>
      </w:r>
      <w:r>
        <w:rPr>
          <w:b/>
          <w:spacing w:val="-16"/>
          <w:sz w:val="21"/>
        </w:rPr>
        <w:t xml:space="preserve"> </w:t>
      </w:r>
      <w:r>
        <w:rPr>
          <w:b/>
          <w:sz w:val="21"/>
        </w:rPr>
        <w:t>protected</w:t>
      </w:r>
      <w:r>
        <w:rPr>
          <w:b/>
          <w:spacing w:val="-14"/>
          <w:sz w:val="21"/>
        </w:rPr>
        <w:t xml:space="preserve"> </w:t>
      </w:r>
      <w:r>
        <w:rPr>
          <w:b/>
          <w:sz w:val="21"/>
        </w:rPr>
        <w:t>by</w:t>
      </w:r>
      <w:r>
        <w:rPr>
          <w:b/>
          <w:spacing w:val="-17"/>
          <w:sz w:val="21"/>
        </w:rPr>
        <w:t xml:space="preserve"> </w:t>
      </w:r>
      <w:r>
        <w:rPr>
          <w:b/>
          <w:sz w:val="21"/>
        </w:rPr>
        <w:t>the Constitution…Such alterable parts or practices are definitely</w:t>
      </w:r>
      <w:r>
        <w:rPr>
          <w:b/>
          <w:spacing w:val="-18"/>
          <w:sz w:val="21"/>
        </w:rPr>
        <w:t xml:space="preserve"> </w:t>
      </w:r>
      <w:r>
        <w:rPr>
          <w:b/>
          <w:sz w:val="21"/>
        </w:rPr>
        <w:t>not</w:t>
      </w:r>
      <w:r>
        <w:rPr>
          <w:b/>
          <w:spacing w:val="-15"/>
          <w:sz w:val="21"/>
        </w:rPr>
        <w:t xml:space="preserve"> </w:t>
      </w:r>
      <w:r>
        <w:rPr>
          <w:b/>
          <w:sz w:val="21"/>
        </w:rPr>
        <w:t>the</w:t>
      </w:r>
      <w:r>
        <w:rPr>
          <w:b/>
          <w:spacing w:val="-14"/>
          <w:sz w:val="21"/>
        </w:rPr>
        <w:t xml:space="preserve"> </w:t>
      </w:r>
      <w:r>
        <w:rPr>
          <w:b/>
          <w:sz w:val="21"/>
        </w:rPr>
        <w:t>'core'</w:t>
      </w:r>
      <w:r>
        <w:rPr>
          <w:b/>
          <w:spacing w:val="-14"/>
          <w:sz w:val="21"/>
        </w:rPr>
        <w:t xml:space="preserve"> </w:t>
      </w:r>
      <w:r>
        <w:rPr>
          <w:b/>
          <w:sz w:val="21"/>
        </w:rPr>
        <w:t>of</w:t>
      </w:r>
      <w:r>
        <w:rPr>
          <w:b/>
          <w:spacing w:val="-15"/>
          <w:sz w:val="21"/>
        </w:rPr>
        <w:t xml:space="preserve"> </w:t>
      </w:r>
      <w:r>
        <w:rPr>
          <w:b/>
          <w:sz w:val="21"/>
        </w:rPr>
        <w:t>r</w:t>
      </w:r>
      <w:r>
        <w:rPr>
          <w:b/>
          <w:sz w:val="21"/>
        </w:rPr>
        <w:t>eligion</w:t>
      </w:r>
      <w:r>
        <w:rPr>
          <w:b/>
          <w:spacing w:val="-16"/>
          <w:sz w:val="21"/>
        </w:rPr>
        <w:t xml:space="preserve"> </w:t>
      </w:r>
      <w:r>
        <w:rPr>
          <w:b/>
          <w:sz w:val="21"/>
        </w:rPr>
        <w:t>where</w:t>
      </w:r>
      <w:r>
        <w:rPr>
          <w:b/>
          <w:spacing w:val="-15"/>
          <w:sz w:val="21"/>
        </w:rPr>
        <w:t xml:space="preserve"> </w:t>
      </w:r>
      <w:r>
        <w:rPr>
          <w:b/>
          <w:sz w:val="21"/>
        </w:rPr>
        <w:t>the</w:t>
      </w:r>
      <w:r>
        <w:rPr>
          <w:b/>
          <w:spacing w:val="-15"/>
          <w:sz w:val="21"/>
        </w:rPr>
        <w:t xml:space="preserve"> </w:t>
      </w:r>
      <w:r>
        <w:rPr>
          <w:b/>
          <w:sz w:val="21"/>
        </w:rPr>
        <w:t>belief</w:t>
      </w:r>
      <w:r>
        <w:rPr>
          <w:b/>
          <w:spacing w:val="-15"/>
          <w:sz w:val="21"/>
        </w:rPr>
        <w:t xml:space="preserve"> </w:t>
      </w:r>
      <w:r>
        <w:rPr>
          <w:b/>
          <w:sz w:val="21"/>
        </w:rPr>
        <w:t>is</w:t>
      </w:r>
      <w:r>
        <w:rPr>
          <w:b/>
          <w:spacing w:val="-15"/>
          <w:sz w:val="21"/>
        </w:rPr>
        <w:t xml:space="preserve"> </w:t>
      </w:r>
      <w:r>
        <w:rPr>
          <w:b/>
          <w:sz w:val="21"/>
        </w:rPr>
        <w:t>based and religion is founded upon. It could only be treated as mere embellishments to the non-essential part or practices</w:t>
      </w:r>
      <w:r>
        <w:rPr>
          <w:sz w:val="21"/>
        </w:rPr>
        <w:t>.”</w:t>
      </w:r>
      <w:r>
        <w:rPr>
          <w:position w:val="7"/>
          <w:sz w:val="14"/>
        </w:rPr>
        <w:t>40</w:t>
      </w:r>
    </w:p>
    <w:p w:rsidR="003B2FC0" w:rsidRDefault="00052A49">
      <w:pPr>
        <w:spacing w:line="239" w:lineRule="exact"/>
        <w:ind w:left="1840"/>
        <w:rPr>
          <w:sz w:val="21"/>
        </w:rPr>
      </w:pPr>
      <w:r>
        <w:rPr>
          <w:sz w:val="21"/>
        </w:rPr>
        <w:t>(Emphasis supplied)</w:t>
      </w:r>
    </w:p>
    <w:p w:rsidR="003B2FC0" w:rsidRDefault="003B2FC0">
      <w:pPr>
        <w:rPr>
          <w:sz w:val="24"/>
        </w:rPr>
      </w:pPr>
    </w:p>
    <w:p w:rsidR="003B2FC0" w:rsidRDefault="003B2FC0">
      <w:pPr>
        <w:rPr>
          <w:sz w:val="24"/>
        </w:rPr>
      </w:pPr>
    </w:p>
    <w:p w:rsidR="003B2FC0" w:rsidRDefault="003B2FC0">
      <w:pPr>
        <w:rPr>
          <w:sz w:val="24"/>
        </w:rPr>
      </w:pPr>
    </w:p>
    <w:p w:rsidR="003B2FC0" w:rsidRDefault="00052A49">
      <w:pPr>
        <w:spacing w:before="206" w:line="480" w:lineRule="auto"/>
        <w:ind w:left="400" w:right="434"/>
        <w:jc w:val="both"/>
        <w:rPr>
          <w:sz w:val="26"/>
        </w:rPr>
      </w:pPr>
      <w:r>
        <w:rPr>
          <w:sz w:val="26"/>
        </w:rPr>
        <w:t>The essentiality test came to be linked to the “fundamental character” of the religion.</w:t>
      </w:r>
      <w:r>
        <w:rPr>
          <w:spacing w:val="-5"/>
          <w:sz w:val="26"/>
        </w:rPr>
        <w:t xml:space="preserve"> </w:t>
      </w:r>
      <w:r>
        <w:rPr>
          <w:sz w:val="26"/>
        </w:rPr>
        <w:t>If</w:t>
      </w:r>
      <w:r>
        <w:rPr>
          <w:spacing w:val="-4"/>
          <w:sz w:val="26"/>
        </w:rPr>
        <w:t xml:space="preserve"> </w:t>
      </w:r>
      <w:r>
        <w:rPr>
          <w:sz w:val="26"/>
        </w:rPr>
        <w:t>the</w:t>
      </w:r>
      <w:r>
        <w:rPr>
          <w:spacing w:val="-4"/>
          <w:sz w:val="26"/>
        </w:rPr>
        <w:t xml:space="preserve"> </w:t>
      </w:r>
      <w:r>
        <w:rPr>
          <w:sz w:val="26"/>
        </w:rPr>
        <w:t>abrogation</w:t>
      </w:r>
      <w:r>
        <w:rPr>
          <w:spacing w:val="-4"/>
          <w:sz w:val="26"/>
        </w:rPr>
        <w:t xml:space="preserve"> </w:t>
      </w:r>
      <w:r>
        <w:rPr>
          <w:sz w:val="26"/>
        </w:rPr>
        <w:t>of</w:t>
      </w:r>
      <w:r>
        <w:rPr>
          <w:spacing w:val="-4"/>
          <w:sz w:val="26"/>
        </w:rPr>
        <w:t xml:space="preserve"> </w:t>
      </w:r>
      <w:r>
        <w:rPr>
          <w:sz w:val="26"/>
        </w:rPr>
        <w:t>a</w:t>
      </w:r>
      <w:r>
        <w:rPr>
          <w:spacing w:val="-5"/>
          <w:sz w:val="26"/>
        </w:rPr>
        <w:t xml:space="preserve"> </w:t>
      </w:r>
      <w:r>
        <w:rPr>
          <w:sz w:val="26"/>
        </w:rPr>
        <w:t>practice</w:t>
      </w:r>
      <w:r>
        <w:rPr>
          <w:spacing w:val="-4"/>
          <w:sz w:val="26"/>
        </w:rPr>
        <w:t xml:space="preserve"> </w:t>
      </w:r>
      <w:r>
        <w:rPr>
          <w:sz w:val="26"/>
        </w:rPr>
        <w:t>does</w:t>
      </w:r>
      <w:r>
        <w:rPr>
          <w:spacing w:val="-4"/>
          <w:sz w:val="26"/>
        </w:rPr>
        <w:t xml:space="preserve"> </w:t>
      </w:r>
      <w:r>
        <w:rPr>
          <w:sz w:val="26"/>
        </w:rPr>
        <w:t>not</w:t>
      </w:r>
      <w:r>
        <w:rPr>
          <w:spacing w:val="-5"/>
          <w:sz w:val="26"/>
        </w:rPr>
        <w:t xml:space="preserve"> </w:t>
      </w:r>
      <w:r>
        <w:rPr>
          <w:sz w:val="26"/>
        </w:rPr>
        <w:t>change</w:t>
      </w:r>
      <w:r>
        <w:rPr>
          <w:spacing w:val="-4"/>
          <w:sz w:val="26"/>
        </w:rPr>
        <w:t xml:space="preserve"> </w:t>
      </w:r>
      <w:r>
        <w:rPr>
          <w:sz w:val="26"/>
        </w:rPr>
        <w:t>the</w:t>
      </w:r>
      <w:r>
        <w:rPr>
          <w:spacing w:val="-6"/>
          <w:sz w:val="26"/>
        </w:rPr>
        <w:t xml:space="preserve"> </w:t>
      </w:r>
      <w:r>
        <w:rPr>
          <w:sz w:val="26"/>
        </w:rPr>
        <w:t>fundamental</w:t>
      </w:r>
      <w:r>
        <w:rPr>
          <w:spacing w:val="-4"/>
          <w:sz w:val="26"/>
        </w:rPr>
        <w:t xml:space="preserve"> </w:t>
      </w:r>
      <w:r>
        <w:rPr>
          <w:sz w:val="26"/>
        </w:rPr>
        <w:t>nature of the religion, the practice itself is not</w:t>
      </w:r>
      <w:r>
        <w:rPr>
          <w:spacing w:val="-9"/>
          <w:sz w:val="26"/>
        </w:rPr>
        <w:t xml:space="preserve"> </w:t>
      </w:r>
      <w:r>
        <w:rPr>
          <w:sz w:val="26"/>
        </w:rPr>
        <w:t>essential.</w:t>
      </w:r>
    </w:p>
    <w:p w:rsidR="003B2FC0" w:rsidRDefault="003B2FC0">
      <w:pPr>
        <w:rPr>
          <w:sz w:val="28"/>
        </w:rPr>
      </w:pPr>
    </w:p>
    <w:p w:rsidR="003B2FC0" w:rsidRDefault="003B2FC0">
      <w:pPr>
        <w:spacing w:before="10"/>
        <w:rPr>
          <w:sz w:val="32"/>
        </w:rPr>
      </w:pPr>
    </w:p>
    <w:p w:rsidR="003B2FC0" w:rsidRDefault="00052A49">
      <w:pPr>
        <w:spacing w:line="480" w:lineRule="auto"/>
        <w:ind w:left="400" w:right="435"/>
        <w:jc w:val="both"/>
        <w:rPr>
          <w:sz w:val="26"/>
        </w:rPr>
      </w:pPr>
      <w:r>
        <w:rPr>
          <w:sz w:val="26"/>
        </w:rPr>
        <w:t>Rejecting</w:t>
      </w:r>
      <w:r>
        <w:rPr>
          <w:spacing w:val="-20"/>
          <w:sz w:val="26"/>
        </w:rPr>
        <w:t xml:space="preserve"> </w:t>
      </w:r>
      <w:r>
        <w:rPr>
          <w:sz w:val="26"/>
        </w:rPr>
        <w:t>the</w:t>
      </w:r>
      <w:r>
        <w:rPr>
          <w:spacing w:val="-19"/>
          <w:sz w:val="26"/>
        </w:rPr>
        <w:t xml:space="preserve"> </w:t>
      </w:r>
      <w:r>
        <w:rPr>
          <w:sz w:val="26"/>
        </w:rPr>
        <w:t>claim</w:t>
      </w:r>
      <w:r>
        <w:rPr>
          <w:spacing w:val="-18"/>
          <w:sz w:val="26"/>
        </w:rPr>
        <w:t xml:space="preserve"> </w:t>
      </w:r>
      <w:r>
        <w:rPr>
          <w:sz w:val="26"/>
        </w:rPr>
        <w:t>of</w:t>
      </w:r>
      <w:r>
        <w:rPr>
          <w:spacing w:val="-17"/>
          <w:sz w:val="26"/>
        </w:rPr>
        <w:t xml:space="preserve"> </w:t>
      </w:r>
      <w:r>
        <w:rPr>
          <w:sz w:val="26"/>
        </w:rPr>
        <w:t>the</w:t>
      </w:r>
      <w:r>
        <w:rPr>
          <w:spacing w:val="-19"/>
          <w:sz w:val="26"/>
        </w:rPr>
        <w:t xml:space="preserve"> </w:t>
      </w:r>
      <w:r>
        <w:rPr>
          <w:sz w:val="26"/>
        </w:rPr>
        <w:t>Anand</w:t>
      </w:r>
      <w:r>
        <w:rPr>
          <w:spacing w:val="-18"/>
          <w:sz w:val="26"/>
        </w:rPr>
        <w:t xml:space="preserve"> </w:t>
      </w:r>
      <w:r>
        <w:rPr>
          <w:sz w:val="26"/>
        </w:rPr>
        <w:t>Margis,</w:t>
      </w:r>
      <w:r>
        <w:rPr>
          <w:spacing w:val="-19"/>
          <w:sz w:val="26"/>
        </w:rPr>
        <w:t xml:space="preserve"> </w:t>
      </w:r>
      <w:r>
        <w:rPr>
          <w:sz w:val="26"/>
        </w:rPr>
        <w:t>the</w:t>
      </w:r>
      <w:r>
        <w:rPr>
          <w:spacing w:val="-19"/>
          <w:sz w:val="26"/>
        </w:rPr>
        <w:t xml:space="preserve"> </w:t>
      </w:r>
      <w:r>
        <w:rPr>
          <w:sz w:val="26"/>
        </w:rPr>
        <w:t>majority</w:t>
      </w:r>
      <w:r>
        <w:rPr>
          <w:spacing w:val="-21"/>
          <w:sz w:val="26"/>
        </w:rPr>
        <w:t xml:space="preserve"> </w:t>
      </w:r>
      <w:r>
        <w:rPr>
          <w:sz w:val="26"/>
        </w:rPr>
        <w:t>held</w:t>
      </w:r>
      <w:r>
        <w:rPr>
          <w:spacing w:val="-19"/>
          <w:sz w:val="26"/>
        </w:rPr>
        <w:t xml:space="preserve"> </w:t>
      </w:r>
      <w:r>
        <w:rPr>
          <w:sz w:val="26"/>
        </w:rPr>
        <w:t>that</w:t>
      </w:r>
      <w:r>
        <w:rPr>
          <w:spacing w:val="-20"/>
          <w:sz w:val="26"/>
        </w:rPr>
        <w:t xml:space="preserve"> </w:t>
      </w:r>
      <w:r>
        <w:rPr>
          <w:sz w:val="26"/>
        </w:rPr>
        <w:t>the</w:t>
      </w:r>
      <w:r>
        <w:rPr>
          <w:spacing w:val="-19"/>
          <w:sz w:val="26"/>
        </w:rPr>
        <w:t xml:space="preserve"> </w:t>
      </w:r>
      <w:r>
        <w:rPr>
          <w:sz w:val="26"/>
        </w:rPr>
        <w:t>Ananda</w:t>
      </w:r>
      <w:r>
        <w:rPr>
          <w:spacing w:val="-16"/>
          <w:sz w:val="26"/>
        </w:rPr>
        <w:t xml:space="preserve"> </w:t>
      </w:r>
      <w:r>
        <w:rPr>
          <w:sz w:val="26"/>
        </w:rPr>
        <w:t>Margi order was in existence (1955-66) even without the practice of the Tandava dance. Hence, such a practice would not constitute the ‘core’ of the</w:t>
      </w:r>
      <w:r>
        <w:rPr>
          <w:spacing w:val="21"/>
          <w:sz w:val="26"/>
        </w:rPr>
        <w:t xml:space="preserve"> </w:t>
      </w:r>
      <w:r>
        <w:rPr>
          <w:sz w:val="26"/>
        </w:rPr>
        <w:t>religion.</w:t>
      </w:r>
    </w:p>
    <w:p w:rsidR="003B2FC0" w:rsidRDefault="003B2FC0">
      <w:pPr>
        <w:rPr>
          <w:sz w:val="20"/>
        </w:rPr>
      </w:pPr>
    </w:p>
    <w:p w:rsidR="003B2FC0" w:rsidRDefault="003B2FC0">
      <w:pPr>
        <w:rPr>
          <w:sz w:val="20"/>
        </w:rPr>
      </w:pPr>
    </w:p>
    <w:p w:rsidR="003B2FC0" w:rsidRDefault="003B2FC0">
      <w:pPr>
        <w:spacing w:before="9"/>
        <w:rPr>
          <w:sz w:val="12"/>
        </w:rPr>
      </w:pPr>
      <w:r w:rsidRPr="003B2FC0">
        <w:pict>
          <v:line id="_x0000_s1118" style="position:absolute;z-index:251597312;mso-wrap-distance-left:0;mso-wrap-distance-right:0;mso-position-horizontal-relative:page" from="1in,9.7pt" to="216.05pt,9.7pt" strokeweight=".72pt">
            <w10:wrap type="topAndBottom" anchorx="page"/>
          </v:line>
        </w:pict>
      </w:r>
    </w:p>
    <w:p w:rsidR="003B2FC0" w:rsidRDefault="003B2FC0">
      <w:pPr>
        <w:rPr>
          <w:sz w:val="12"/>
        </w:rPr>
        <w:sectPr w:rsidR="003B2FC0">
          <w:footerReference w:type="default" r:id="rId359"/>
          <w:pgSz w:w="11910" w:h="16840"/>
          <w:pgMar w:top="1080" w:right="980" w:bottom="1640" w:left="1040" w:header="708" w:footer="1445" w:gutter="0"/>
          <w:cols w:space="720"/>
        </w:sectPr>
      </w:pPr>
    </w:p>
    <w:p w:rsidR="003B2FC0" w:rsidRDefault="003B2FC0">
      <w:pPr>
        <w:spacing w:before="10"/>
        <w:rPr>
          <w:sz w:val="21"/>
        </w:rPr>
      </w:pPr>
    </w:p>
    <w:p w:rsidR="003B2FC0" w:rsidRDefault="00052A49">
      <w:pPr>
        <w:spacing w:before="91" w:line="480" w:lineRule="auto"/>
        <w:ind w:left="400" w:right="439"/>
        <w:jc w:val="both"/>
        <w:rPr>
          <w:sz w:val="26"/>
        </w:rPr>
      </w:pPr>
      <w:r>
        <w:rPr>
          <w:sz w:val="26"/>
        </w:rPr>
        <w:t>Further, religious groups could not be permitted to alter their religious doctrine to recognize certain religious practices, in order to afford them constitutional protection.</w:t>
      </w:r>
    </w:p>
    <w:p w:rsidR="003B2FC0" w:rsidRDefault="003B2FC0">
      <w:pPr>
        <w:rPr>
          <w:sz w:val="28"/>
        </w:rPr>
      </w:pPr>
    </w:p>
    <w:p w:rsidR="003B2FC0" w:rsidRDefault="003B2FC0">
      <w:pPr>
        <w:spacing w:before="10"/>
        <w:rPr>
          <w:sz w:val="28"/>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 xml:space="preserve">In </w:t>
      </w:r>
      <w:r>
        <w:rPr>
          <w:b/>
          <w:sz w:val="26"/>
        </w:rPr>
        <w:t xml:space="preserve">Adi Saiva Sivachariyargal Nala Sangam </w:t>
      </w:r>
      <w:r>
        <w:rPr>
          <w:sz w:val="26"/>
        </w:rPr>
        <w:t xml:space="preserve">v. </w:t>
      </w:r>
      <w:r>
        <w:rPr>
          <w:b/>
          <w:sz w:val="26"/>
        </w:rPr>
        <w:t>Government of Tamil Nadu</w:t>
      </w:r>
      <w:r>
        <w:rPr>
          <w:position w:val="9"/>
          <w:sz w:val="17"/>
        </w:rPr>
        <w:t xml:space="preserve">41 </w:t>
      </w:r>
      <w:r>
        <w:rPr>
          <w:sz w:val="26"/>
        </w:rPr>
        <w:t>(“</w:t>
      </w:r>
      <w:r>
        <w:rPr>
          <w:b/>
          <w:sz w:val="26"/>
        </w:rPr>
        <w:t>Adi Saiva</w:t>
      </w:r>
      <w:r>
        <w:rPr>
          <w:sz w:val="26"/>
        </w:rPr>
        <w:t>”), a two judge Bench of this Court considered a challenge to a Government Order issued by the State of Tamil Nadu which permitted</w:t>
      </w:r>
      <w:r>
        <w:rPr>
          <w:spacing w:val="-50"/>
          <w:sz w:val="26"/>
        </w:rPr>
        <w:t xml:space="preserve"> </w:t>
      </w:r>
      <w:r>
        <w:rPr>
          <w:sz w:val="26"/>
        </w:rPr>
        <w:t>‘any qualified Hindu’ to be appointed as the Archaka of a temple. The Petitioners challenged the Government Order on</w:t>
      </w:r>
      <w:r>
        <w:rPr>
          <w:sz w:val="26"/>
        </w:rPr>
        <w:t xml:space="preserve"> the grounds that it violated their right to appoint</w:t>
      </w:r>
      <w:r>
        <w:rPr>
          <w:spacing w:val="-8"/>
          <w:sz w:val="26"/>
        </w:rPr>
        <w:t xml:space="preserve"> </w:t>
      </w:r>
      <w:r>
        <w:rPr>
          <w:sz w:val="26"/>
        </w:rPr>
        <w:t>Archakas</w:t>
      </w:r>
      <w:r>
        <w:rPr>
          <w:spacing w:val="-8"/>
          <w:sz w:val="26"/>
        </w:rPr>
        <w:t xml:space="preserve"> </w:t>
      </w:r>
      <w:r>
        <w:rPr>
          <w:sz w:val="26"/>
        </w:rPr>
        <w:t>from</w:t>
      </w:r>
      <w:r>
        <w:rPr>
          <w:spacing w:val="-10"/>
          <w:sz w:val="26"/>
        </w:rPr>
        <w:t xml:space="preserve"> </w:t>
      </w:r>
      <w:r>
        <w:rPr>
          <w:sz w:val="26"/>
        </w:rPr>
        <w:t>their</w:t>
      </w:r>
      <w:r>
        <w:rPr>
          <w:spacing w:val="-8"/>
          <w:sz w:val="26"/>
        </w:rPr>
        <w:t xml:space="preserve"> </w:t>
      </w:r>
      <w:r>
        <w:rPr>
          <w:sz w:val="26"/>
        </w:rPr>
        <w:t>own</w:t>
      </w:r>
      <w:r>
        <w:rPr>
          <w:spacing w:val="-8"/>
          <w:sz w:val="26"/>
        </w:rPr>
        <w:t xml:space="preserve"> </w:t>
      </w:r>
      <w:r>
        <w:rPr>
          <w:sz w:val="26"/>
        </w:rPr>
        <w:t>denomination</w:t>
      </w:r>
      <w:r>
        <w:rPr>
          <w:spacing w:val="-10"/>
          <w:sz w:val="26"/>
        </w:rPr>
        <w:t xml:space="preserve"> </w:t>
      </w:r>
      <w:r>
        <w:rPr>
          <w:sz w:val="26"/>
        </w:rPr>
        <w:t>in</w:t>
      </w:r>
      <w:r>
        <w:rPr>
          <w:spacing w:val="-8"/>
          <w:sz w:val="26"/>
        </w:rPr>
        <w:t xml:space="preserve"> </w:t>
      </w:r>
      <w:r>
        <w:rPr>
          <w:sz w:val="26"/>
        </w:rPr>
        <w:t>accordance</w:t>
      </w:r>
      <w:r>
        <w:rPr>
          <w:spacing w:val="-7"/>
          <w:sz w:val="26"/>
        </w:rPr>
        <w:t xml:space="preserve"> </w:t>
      </w:r>
      <w:r>
        <w:rPr>
          <w:sz w:val="26"/>
        </w:rPr>
        <w:t>with</w:t>
      </w:r>
      <w:r>
        <w:rPr>
          <w:spacing w:val="-10"/>
          <w:sz w:val="26"/>
        </w:rPr>
        <w:t xml:space="preserve"> </w:t>
      </w:r>
      <w:r>
        <w:rPr>
          <w:sz w:val="26"/>
        </w:rPr>
        <w:t>the</w:t>
      </w:r>
      <w:r>
        <w:rPr>
          <w:spacing w:val="-8"/>
          <w:sz w:val="26"/>
        </w:rPr>
        <w:t xml:space="preserve"> </w:t>
      </w:r>
      <w:r>
        <w:rPr>
          <w:sz w:val="26"/>
        </w:rPr>
        <w:t>Agamas. In determining the constitutional validity of the Government Order, this Court held</w:t>
      </w:r>
      <w:r>
        <w:rPr>
          <w:spacing w:val="-12"/>
          <w:sz w:val="26"/>
        </w:rPr>
        <w:t xml:space="preserve"> </w:t>
      </w:r>
      <w:r>
        <w:rPr>
          <w:sz w:val="26"/>
        </w:rPr>
        <w:t>that</w:t>
      </w:r>
      <w:r>
        <w:rPr>
          <w:spacing w:val="-12"/>
          <w:sz w:val="26"/>
        </w:rPr>
        <w:t xml:space="preserve"> </w:t>
      </w:r>
      <w:r>
        <w:rPr>
          <w:sz w:val="26"/>
        </w:rPr>
        <w:t>any</w:t>
      </w:r>
      <w:r>
        <w:rPr>
          <w:spacing w:val="-14"/>
          <w:sz w:val="26"/>
        </w:rPr>
        <w:t xml:space="preserve"> </w:t>
      </w:r>
      <w:r>
        <w:rPr>
          <w:sz w:val="26"/>
        </w:rPr>
        <w:t>religious</w:t>
      </w:r>
      <w:r>
        <w:rPr>
          <w:spacing w:val="-11"/>
          <w:sz w:val="26"/>
        </w:rPr>
        <w:t xml:space="preserve"> </w:t>
      </w:r>
      <w:r>
        <w:rPr>
          <w:sz w:val="26"/>
        </w:rPr>
        <w:t>belief</w:t>
      </w:r>
      <w:r>
        <w:rPr>
          <w:spacing w:val="-12"/>
          <w:sz w:val="26"/>
        </w:rPr>
        <w:t xml:space="preserve"> </w:t>
      </w:r>
      <w:r>
        <w:rPr>
          <w:sz w:val="26"/>
        </w:rPr>
        <w:t>or</w:t>
      </w:r>
      <w:r>
        <w:rPr>
          <w:spacing w:val="-11"/>
          <w:sz w:val="26"/>
        </w:rPr>
        <w:t xml:space="preserve"> </w:t>
      </w:r>
      <w:r>
        <w:rPr>
          <w:sz w:val="26"/>
        </w:rPr>
        <w:t>practice</w:t>
      </w:r>
      <w:r>
        <w:rPr>
          <w:spacing w:val="-11"/>
          <w:sz w:val="26"/>
        </w:rPr>
        <w:t xml:space="preserve"> </w:t>
      </w:r>
      <w:r>
        <w:rPr>
          <w:sz w:val="26"/>
        </w:rPr>
        <w:t>must</w:t>
      </w:r>
      <w:r>
        <w:rPr>
          <w:spacing w:val="-12"/>
          <w:sz w:val="26"/>
        </w:rPr>
        <w:t xml:space="preserve"> </w:t>
      </w:r>
      <w:r>
        <w:rPr>
          <w:sz w:val="26"/>
        </w:rPr>
        <w:t>pass</w:t>
      </w:r>
      <w:r>
        <w:rPr>
          <w:spacing w:val="-11"/>
          <w:sz w:val="26"/>
        </w:rPr>
        <w:t xml:space="preserve"> </w:t>
      </w:r>
      <w:r>
        <w:rPr>
          <w:sz w:val="26"/>
        </w:rPr>
        <w:t>constitutional</w:t>
      </w:r>
      <w:r>
        <w:rPr>
          <w:spacing w:val="-11"/>
          <w:sz w:val="26"/>
        </w:rPr>
        <w:t xml:space="preserve"> </w:t>
      </w:r>
      <w:r>
        <w:rPr>
          <w:sz w:val="26"/>
        </w:rPr>
        <w:t>muster</w:t>
      </w:r>
      <w:r>
        <w:rPr>
          <w:spacing w:val="-12"/>
          <w:sz w:val="26"/>
        </w:rPr>
        <w:t xml:space="preserve"> </w:t>
      </w:r>
      <w:r>
        <w:rPr>
          <w:sz w:val="26"/>
        </w:rPr>
        <w:t>in</w:t>
      </w:r>
      <w:r>
        <w:rPr>
          <w:spacing w:val="-11"/>
          <w:sz w:val="26"/>
        </w:rPr>
        <w:t xml:space="preserve"> </w:t>
      </w:r>
      <w:r>
        <w:rPr>
          <w:sz w:val="26"/>
        </w:rPr>
        <w:t>order to be afforded constitutional</w:t>
      </w:r>
      <w:r>
        <w:rPr>
          <w:spacing w:val="-4"/>
          <w:sz w:val="26"/>
        </w:rPr>
        <w:t xml:space="preserve"> </w:t>
      </w:r>
      <w:r>
        <w:rPr>
          <w:sz w:val="26"/>
        </w:rPr>
        <w:t>protection:</w:t>
      </w:r>
    </w:p>
    <w:p w:rsidR="003B2FC0" w:rsidRDefault="00052A49">
      <w:pPr>
        <w:spacing w:before="193" w:line="276" w:lineRule="auto"/>
        <w:ind w:left="1840" w:right="2283"/>
        <w:jc w:val="both"/>
        <w:rPr>
          <w:sz w:val="21"/>
        </w:rPr>
      </w:pPr>
      <w:r>
        <w:rPr>
          <w:sz w:val="21"/>
        </w:rPr>
        <w:t>“48.The requirement of constitutional conformity is inbuilt and if</w:t>
      </w:r>
      <w:r>
        <w:rPr>
          <w:spacing w:val="-10"/>
          <w:sz w:val="21"/>
        </w:rPr>
        <w:t xml:space="preserve"> </w:t>
      </w:r>
      <w:r>
        <w:rPr>
          <w:sz w:val="21"/>
        </w:rPr>
        <w:t>a</w:t>
      </w:r>
      <w:r>
        <w:rPr>
          <w:spacing w:val="-11"/>
          <w:sz w:val="21"/>
        </w:rPr>
        <w:t xml:space="preserve"> </w:t>
      </w:r>
      <w:r>
        <w:rPr>
          <w:sz w:val="21"/>
        </w:rPr>
        <w:t>custom</w:t>
      </w:r>
      <w:r>
        <w:rPr>
          <w:spacing w:val="-9"/>
          <w:sz w:val="21"/>
        </w:rPr>
        <w:t xml:space="preserve"> </w:t>
      </w:r>
      <w:r>
        <w:rPr>
          <w:sz w:val="21"/>
        </w:rPr>
        <w:t>or</w:t>
      </w:r>
      <w:r>
        <w:rPr>
          <w:spacing w:val="-11"/>
          <w:sz w:val="21"/>
        </w:rPr>
        <w:t xml:space="preserve"> </w:t>
      </w:r>
      <w:r>
        <w:rPr>
          <w:sz w:val="21"/>
        </w:rPr>
        <w:t>usage</w:t>
      </w:r>
      <w:r>
        <w:rPr>
          <w:spacing w:val="-11"/>
          <w:sz w:val="21"/>
        </w:rPr>
        <w:t xml:space="preserve"> </w:t>
      </w:r>
      <w:r>
        <w:rPr>
          <w:sz w:val="21"/>
        </w:rPr>
        <w:t>is</w:t>
      </w:r>
      <w:r>
        <w:rPr>
          <w:spacing w:val="-11"/>
          <w:sz w:val="21"/>
        </w:rPr>
        <w:t xml:space="preserve"> </w:t>
      </w:r>
      <w:r>
        <w:rPr>
          <w:sz w:val="21"/>
        </w:rPr>
        <w:t>outside</w:t>
      </w:r>
      <w:r>
        <w:rPr>
          <w:spacing w:val="-10"/>
          <w:sz w:val="21"/>
        </w:rPr>
        <w:t xml:space="preserve"> </w:t>
      </w:r>
      <w:r>
        <w:rPr>
          <w:sz w:val="21"/>
        </w:rPr>
        <w:t>the</w:t>
      </w:r>
      <w:r>
        <w:rPr>
          <w:spacing w:val="-10"/>
          <w:sz w:val="21"/>
        </w:rPr>
        <w:t xml:space="preserve"> </w:t>
      </w:r>
      <w:r>
        <w:rPr>
          <w:sz w:val="21"/>
        </w:rPr>
        <w:t>protective</w:t>
      </w:r>
      <w:r>
        <w:rPr>
          <w:spacing w:val="-11"/>
          <w:sz w:val="21"/>
        </w:rPr>
        <w:t xml:space="preserve"> </w:t>
      </w:r>
      <w:r>
        <w:rPr>
          <w:sz w:val="21"/>
        </w:rPr>
        <w:t>umbrella</w:t>
      </w:r>
      <w:r>
        <w:rPr>
          <w:spacing w:val="-11"/>
          <w:sz w:val="21"/>
        </w:rPr>
        <w:t xml:space="preserve"> </w:t>
      </w:r>
      <w:r>
        <w:rPr>
          <w:sz w:val="21"/>
        </w:rPr>
        <w:t>afforded and envisaged by Articles 25 and 26, the law would cer</w:t>
      </w:r>
      <w:r>
        <w:rPr>
          <w:sz w:val="21"/>
        </w:rPr>
        <w:t>tainly take</w:t>
      </w:r>
      <w:r>
        <w:rPr>
          <w:spacing w:val="-17"/>
          <w:sz w:val="21"/>
        </w:rPr>
        <w:t xml:space="preserve"> </w:t>
      </w:r>
      <w:r>
        <w:rPr>
          <w:sz w:val="21"/>
        </w:rPr>
        <w:t>its</w:t>
      </w:r>
      <w:r>
        <w:rPr>
          <w:spacing w:val="-17"/>
          <w:sz w:val="21"/>
        </w:rPr>
        <w:t xml:space="preserve"> </w:t>
      </w:r>
      <w:r>
        <w:rPr>
          <w:sz w:val="21"/>
        </w:rPr>
        <w:t>own</w:t>
      </w:r>
      <w:r>
        <w:rPr>
          <w:spacing w:val="-17"/>
          <w:sz w:val="21"/>
        </w:rPr>
        <w:t xml:space="preserve"> </w:t>
      </w:r>
      <w:r>
        <w:rPr>
          <w:sz w:val="21"/>
        </w:rPr>
        <w:t>course.</w:t>
      </w:r>
      <w:r>
        <w:rPr>
          <w:spacing w:val="-17"/>
          <w:sz w:val="21"/>
        </w:rPr>
        <w:t xml:space="preserve"> </w:t>
      </w:r>
      <w:r>
        <w:rPr>
          <w:b/>
          <w:sz w:val="21"/>
        </w:rPr>
        <w:t>The</w:t>
      </w:r>
      <w:r>
        <w:rPr>
          <w:b/>
          <w:spacing w:val="-17"/>
          <w:sz w:val="21"/>
        </w:rPr>
        <w:t xml:space="preserve"> </w:t>
      </w:r>
      <w:r>
        <w:rPr>
          <w:b/>
          <w:sz w:val="21"/>
        </w:rPr>
        <w:t>constitutional</w:t>
      </w:r>
      <w:r>
        <w:rPr>
          <w:b/>
          <w:spacing w:val="-18"/>
          <w:sz w:val="21"/>
        </w:rPr>
        <w:t xml:space="preserve"> </w:t>
      </w:r>
      <w:r>
        <w:rPr>
          <w:b/>
          <w:sz w:val="21"/>
        </w:rPr>
        <w:t>legitimacy,</w:t>
      </w:r>
      <w:r>
        <w:rPr>
          <w:b/>
          <w:spacing w:val="-16"/>
          <w:sz w:val="21"/>
        </w:rPr>
        <w:t xml:space="preserve"> </w:t>
      </w:r>
      <w:r>
        <w:rPr>
          <w:b/>
          <w:sz w:val="21"/>
        </w:rPr>
        <w:t>naturally, must supersede all religious beliefs or practices.</w:t>
      </w:r>
      <w:r>
        <w:rPr>
          <w:sz w:val="21"/>
        </w:rPr>
        <w:t>”</w:t>
      </w:r>
      <w:r>
        <w:rPr>
          <w:position w:val="7"/>
          <w:sz w:val="14"/>
        </w:rPr>
        <w:t xml:space="preserve">42 </w:t>
      </w:r>
      <w:r>
        <w:rPr>
          <w:sz w:val="21"/>
        </w:rPr>
        <w:t>(Emphasis</w:t>
      </w:r>
      <w:r>
        <w:rPr>
          <w:spacing w:val="-2"/>
          <w:sz w:val="21"/>
        </w:rPr>
        <w:t xml:space="preserve"> </w:t>
      </w:r>
      <w:r>
        <w:rPr>
          <w:sz w:val="21"/>
        </w:rPr>
        <w:t>supplied)</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40" w:line="480" w:lineRule="auto"/>
        <w:ind w:right="436" w:firstLine="0"/>
        <w:jc w:val="both"/>
        <w:rPr>
          <w:sz w:val="26"/>
        </w:rPr>
      </w:pPr>
      <w:r>
        <w:rPr>
          <w:sz w:val="26"/>
        </w:rPr>
        <w:t xml:space="preserve">In </w:t>
      </w:r>
      <w:r>
        <w:rPr>
          <w:b/>
          <w:sz w:val="26"/>
        </w:rPr>
        <w:t xml:space="preserve">Shayara Bano </w:t>
      </w:r>
      <w:r>
        <w:rPr>
          <w:sz w:val="26"/>
        </w:rPr>
        <w:t xml:space="preserve">v </w:t>
      </w:r>
      <w:r>
        <w:rPr>
          <w:b/>
          <w:sz w:val="26"/>
        </w:rPr>
        <w:t>Union of India</w:t>
      </w:r>
      <w:r>
        <w:rPr>
          <w:position w:val="9"/>
          <w:sz w:val="17"/>
        </w:rPr>
        <w:t xml:space="preserve">43 </w:t>
      </w:r>
      <w:r>
        <w:rPr>
          <w:sz w:val="26"/>
        </w:rPr>
        <w:t>(“</w:t>
      </w:r>
      <w:r>
        <w:rPr>
          <w:b/>
          <w:sz w:val="26"/>
        </w:rPr>
        <w:t>Shayara Bano</w:t>
      </w:r>
      <w:r>
        <w:rPr>
          <w:sz w:val="26"/>
        </w:rPr>
        <w:t>”), a Constitution Bench of this Court considered whether the practice of triple talaq was an essential practice to the Hanafi school of Sunni Muslims. Based on an examination</w:t>
      </w:r>
      <w:r>
        <w:rPr>
          <w:spacing w:val="45"/>
          <w:sz w:val="26"/>
        </w:rPr>
        <w:t xml:space="preserve"> </w:t>
      </w:r>
      <w:r>
        <w:rPr>
          <w:sz w:val="26"/>
        </w:rPr>
        <w:t>of</w:t>
      </w:r>
      <w:r>
        <w:rPr>
          <w:spacing w:val="43"/>
          <w:sz w:val="26"/>
        </w:rPr>
        <w:t xml:space="preserve"> </w:t>
      </w:r>
      <w:r>
        <w:rPr>
          <w:sz w:val="26"/>
        </w:rPr>
        <w:t>Islamic</w:t>
      </w:r>
      <w:r>
        <w:rPr>
          <w:spacing w:val="43"/>
          <w:sz w:val="26"/>
        </w:rPr>
        <w:t xml:space="preserve"> </w:t>
      </w:r>
      <w:r>
        <w:rPr>
          <w:sz w:val="26"/>
        </w:rPr>
        <w:t>jurisprudence</w:t>
      </w:r>
      <w:r>
        <w:rPr>
          <w:spacing w:val="45"/>
          <w:sz w:val="26"/>
        </w:rPr>
        <w:t xml:space="preserve"> </w:t>
      </w:r>
      <w:r>
        <w:rPr>
          <w:sz w:val="26"/>
        </w:rPr>
        <w:t>which</w:t>
      </w:r>
      <w:r>
        <w:rPr>
          <w:spacing w:val="43"/>
          <w:sz w:val="26"/>
        </w:rPr>
        <w:t xml:space="preserve"> </w:t>
      </w:r>
      <w:r>
        <w:rPr>
          <w:sz w:val="26"/>
        </w:rPr>
        <w:t>established</w:t>
      </w:r>
      <w:r>
        <w:rPr>
          <w:spacing w:val="45"/>
          <w:sz w:val="26"/>
        </w:rPr>
        <w:t xml:space="preserve"> </w:t>
      </w:r>
      <w:r>
        <w:rPr>
          <w:sz w:val="26"/>
        </w:rPr>
        <w:t>that</w:t>
      </w:r>
      <w:r>
        <w:rPr>
          <w:spacing w:val="44"/>
          <w:sz w:val="26"/>
        </w:rPr>
        <w:t xml:space="preserve"> </w:t>
      </w:r>
      <w:r>
        <w:rPr>
          <w:sz w:val="26"/>
        </w:rPr>
        <w:t>triple</w:t>
      </w:r>
      <w:r>
        <w:rPr>
          <w:spacing w:val="43"/>
          <w:sz w:val="26"/>
        </w:rPr>
        <w:t xml:space="preserve"> </w:t>
      </w:r>
      <w:r>
        <w:rPr>
          <w:sz w:val="26"/>
        </w:rPr>
        <w:t>talaq</w:t>
      </w:r>
    </w:p>
    <w:p w:rsidR="003B2FC0" w:rsidRDefault="003B2FC0">
      <w:pPr>
        <w:rPr>
          <w:sz w:val="20"/>
        </w:rPr>
      </w:pPr>
    </w:p>
    <w:p w:rsidR="003B2FC0" w:rsidRDefault="003B2FC0">
      <w:pPr>
        <w:spacing w:before="4"/>
        <w:rPr>
          <w:sz w:val="14"/>
        </w:rPr>
      </w:pPr>
      <w:r w:rsidRPr="003B2FC0">
        <w:pict>
          <v:line id="_x0000_s1117" style="position:absolute;z-index:251598336;mso-wrap-distance-left:0;mso-wrap-distance-right:0;mso-position-horizontal-relative:page" from="1in,10.6pt" to="216.05pt,10.6pt" strokeweight=".72pt">
            <w10:wrap type="topAndBottom" anchorx="page"/>
          </v:line>
        </w:pict>
      </w:r>
    </w:p>
    <w:p w:rsidR="003B2FC0" w:rsidRDefault="00052A49">
      <w:pPr>
        <w:spacing w:before="67" w:line="209" w:lineRule="exact"/>
        <w:ind w:left="400"/>
        <w:rPr>
          <w:sz w:val="18"/>
        </w:rPr>
      </w:pPr>
      <w:r>
        <w:rPr>
          <w:position w:val="6"/>
          <w:sz w:val="12"/>
        </w:rPr>
        <w:t xml:space="preserve">41 </w:t>
      </w:r>
      <w:r>
        <w:rPr>
          <w:sz w:val="18"/>
        </w:rPr>
        <w:t xml:space="preserve">(2016) 2 SCC </w:t>
      </w:r>
      <w:r>
        <w:rPr>
          <w:sz w:val="18"/>
        </w:rPr>
        <w:t>725</w:t>
      </w:r>
    </w:p>
    <w:p w:rsidR="003B2FC0" w:rsidRDefault="00052A49">
      <w:pPr>
        <w:spacing w:line="209" w:lineRule="exact"/>
        <w:ind w:left="400"/>
        <w:rPr>
          <w:sz w:val="18"/>
        </w:rPr>
      </w:pPr>
      <w:r>
        <w:rPr>
          <w:position w:val="6"/>
          <w:sz w:val="12"/>
        </w:rPr>
        <w:t xml:space="preserve">42 </w:t>
      </w:r>
      <w:r>
        <w:rPr>
          <w:sz w:val="18"/>
        </w:rPr>
        <w:t>Ibid, at page 755</w:t>
      </w:r>
    </w:p>
    <w:p w:rsidR="003B2FC0" w:rsidRDefault="003B2FC0">
      <w:pPr>
        <w:spacing w:line="209" w:lineRule="exact"/>
        <w:rPr>
          <w:sz w:val="18"/>
        </w:rPr>
        <w:sectPr w:rsidR="003B2FC0">
          <w:footerReference w:type="default" r:id="rId360"/>
          <w:pgSz w:w="11910" w:h="16840"/>
          <w:pgMar w:top="1080" w:right="980" w:bottom="1560" w:left="1040" w:header="708" w:footer="1367"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constitutes an irregular practice of divorce, the majority opinion, in a 3-2 split, held that triple talaq was not an essential practice. Justice Nariman, speaking for</w:t>
      </w:r>
      <w:r>
        <w:rPr>
          <w:spacing w:val="-16"/>
          <w:sz w:val="26"/>
        </w:rPr>
        <w:t xml:space="preserve"> </w:t>
      </w:r>
      <w:r>
        <w:rPr>
          <w:sz w:val="26"/>
        </w:rPr>
        <w:t>himself</w:t>
      </w:r>
      <w:r>
        <w:rPr>
          <w:spacing w:val="-14"/>
          <w:sz w:val="26"/>
        </w:rPr>
        <w:t xml:space="preserve"> </w:t>
      </w:r>
      <w:r>
        <w:rPr>
          <w:sz w:val="26"/>
        </w:rPr>
        <w:t>and</w:t>
      </w:r>
      <w:r>
        <w:rPr>
          <w:spacing w:val="-14"/>
          <w:sz w:val="26"/>
        </w:rPr>
        <w:t xml:space="preserve"> </w:t>
      </w:r>
      <w:r>
        <w:rPr>
          <w:sz w:val="26"/>
        </w:rPr>
        <w:t>Justice</w:t>
      </w:r>
      <w:r>
        <w:rPr>
          <w:spacing w:val="-15"/>
          <w:sz w:val="26"/>
        </w:rPr>
        <w:t xml:space="preserve"> </w:t>
      </w:r>
      <w:r>
        <w:rPr>
          <w:sz w:val="26"/>
        </w:rPr>
        <w:t>Lalit,</w:t>
      </w:r>
      <w:r>
        <w:rPr>
          <w:spacing w:val="-16"/>
          <w:sz w:val="26"/>
        </w:rPr>
        <w:t xml:space="preserve"> </w:t>
      </w:r>
      <w:r>
        <w:rPr>
          <w:sz w:val="26"/>
        </w:rPr>
        <w:t>noted</w:t>
      </w:r>
      <w:r>
        <w:rPr>
          <w:spacing w:val="-14"/>
          <w:sz w:val="26"/>
        </w:rPr>
        <w:t xml:space="preserve"> </w:t>
      </w:r>
      <w:r>
        <w:rPr>
          <w:sz w:val="26"/>
        </w:rPr>
        <w:t>that</w:t>
      </w:r>
      <w:r>
        <w:rPr>
          <w:spacing w:val="-15"/>
          <w:sz w:val="26"/>
        </w:rPr>
        <w:t xml:space="preserve"> </w:t>
      </w:r>
      <w:r>
        <w:rPr>
          <w:sz w:val="26"/>
        </w:rPr>
        <w:t>“a</w:t>
      </w:r>
      <w:r>
        <w:rPr>
          <w:spacing w:val="-11"/>
          <w:sz w:val="26"/>
        </w:rPr>
        <w:t xml:space="preserve"> </w:t>
      </w:r>
      <w:r>
        <w:rPr>
          <w:sz w:val="26"/>
        </w:rPr>
        <w:t>practice</w:t>
      </w:r>
      <w:r>
        <w:rPr>
          <w:spacing w:val="-14"/>
          <w:sz w:val="26"/>
        </w:rPr>
        <w:t xml:space="preserve"> </w:t>
      </w:r>
      <w:r>
        <w:rPr>
          <w:sz w:val="26"/>
        </w:rPr>
        <w:t>does</w:t>
      </w:r>
      <w:r>
        <w:rPr>
          <w:spacing w:val="-14"/>
          <w:sz w:val="26"/>
        </w:rPr>
        <w:t xml:space="preserve"> </w:t>
      </w:r>
      <w:r>
        <w:rPr>
          <w:sz w:val="26"/>
        </w:rPr>
        <w:t>not</w:t>
      </w:r>
      <w:r>
        <w:rPr>
          <w:spacing w:val="-13"/>
          <w:sz w:val="26"/>
        </w:rPr>
        <w:t xml:space="preserve"> </w:t>
      </w:r>
      <w:r>
        <w:rPr>
          <w:sz w:val="26"/>
        </w:rPr>
        <w:t>acquire</w:t>
      </w:r>
      <w:r>
        <w:rPr>
          <w:spacing w:val="-16"/>
          <w:sz w:val="26"/>
        </w:rPr>
        <w:t xml:space="preserve"> </w:t>
      </w:r>
      <w:r>
        <w:rPr>
          <w:sz w:val="26"/>
        </w:rPr>
        <w:t>the</w:t>
      </w:r>
      <w:r>
        <w:rPr>
          <w:spacing w:val="-14"/>
          <w:sz w:val="26"/>
        </w:rPr>
        <w:t xml:space="preserve"> </w:t>
      </w:r>
      <w:r>
        <w:rPr>
          <w:sz w:val="26"/>
        </w:rPr>
        <w:t xml:space="preserve">sanction of religion simply because it is permitted” and applied the essential religious practices test set out in </w:t>
      </w:r>
      <w:r>
        <w:rPr>
          <w:b/>
          <w:sz w:val="26"/>
        </w:rPr>
        <w:t xml:space="preserve">Javed </w:t>
      </w:r>
      <w:r>
        <w:rPr>
          <w:sz w:val="26"/>
        </w:rPr>
        <w:t xml:space="preserve">v </w:t>
      </w:r>
      <w:r>
        <w:rPr>
          <w:b/>
          <w:sz w:val="26"/>
        </w:rPr>
        <w:t>State of Haryana</w:t>
      </w:r>
      <w:r>
        <w:rPr>
          <w:position w:val="9"/>
          <w:sz w:val="17"/>
        </w:rPr>
        <w:t xml:space="preserve">44 </w:t>
      </w:r>
      <w:r>
        <w:rPr>
          <w:sz w:val="26"/>
        </w:rPr>
        <w:t xml:space="preserve">and </w:t>
      </w:r>
      <w:r>
        <w:rPr>
          <w:b/>
          <w:sz w:val="26"/>
        </w:rPr>
        <w:t xml:space="preserve">Avadhuta II </w:t>
      </w:r>
      <w:r>
        <w:rPr>
          <w:sz w:val="26"/>
        </w:rPr>
        <w:t>to the practice of triple</w:t>
      </w:r>
      <w:r>
        <w:rPr>
          <w:spacing w:val="-2"/>
          <w:sz w:val="26"/>
        </w:rPr>
        <w:t xml:space="preserve"> </w:t>
      </w:r>
      <w:r>
        <w:rPr>
          <w:sz w:val="26"/>
        </w:rPr>
        <w:t>talaq:</w:t>
      </w:r>
    </w:p>
    <w:p w:rsidR="003B2FC0" w:rsidRDefault="00052A49">
      <w:pPr>
        <w:spacing w:before="194" w:line="276" w:lineRule="auto"/>
        <w:ind w:left="1840" w:right="2283"/>
        <w:jc w:val="both"/>
        <w:rPr>
          <w:sz w:val="14"/>
        </w:rPr>
      </w:pPr>
      <w:r>
        <w:rPr>
          <w:sz w:val="21"/>
        </w:rPr>
        <w:t>“54...</w:t>
      </w:r>
      <w:r>
        <w:rPr>
          <w:sz w:val="21"/>
        </w:rPr>
        <w:t>It</w:t>
      </w:r>
      <w:r>
        <w:rPr>
          <w:spacing w:val="-8"/>
          <w:sz w:val="21"/>
        </w:rPr>
        <w:t xml:space="preserve"> </w:t>
      </w:r>
      <w:r>
        <w:rPr>
          <w:sz w:val="21"/>
        </w:rPr>
        <w:t>is</w:t>
      </w:r>
      <w:r>
        <w:rPr>
          <w:spacing w:val="-6"/>
          <w:sz w:val="21"/>
        </w:rPr>
        <w:t xml:space="preserve"> </w:t>
      </w:r>
      <w:r>
        <w:rPr>
          <w:sz w:val="21"/>
        </w:rPr>
        <w:t>clear</w:t>
      </w:r>
      <w:r>
        <w:rPr>
          <w:spacing w:val="-6"/>
          <w:sz w:val="21"/>
        </w:rPr>
        <w:t xml:space="preserve"> </w:t>
      </w:r>
      <w:r>
        <w:rPr>
          <w:sz w:val="21"/>
        </w:rPr>
        <w:t>that</w:t>
      </w:r>
      <w:r>
        <w:rPr>
          <w:spacing w:val="-7"/>
          <w:sz w:val="21"/>
        </w:rPr>
        <w:t xml:space="preserve"> </w:t>
      </w:r>
      <w:r>
        <w:rPr>
          <w:sz w:val="21"/>
        </w:rPr>
        <w:t>Triple</w:t>
      </w:r>
      <w:r>
        <w:rPr>
          <w:spacing w:val="-8"/>
          <w:sz w:val="21"/>
        </w:rPr>
        <w:t xml:space="preserve"> </w:t>
      </w:r>
      <w:r>
        <w:rPr>
          <w:sz w:val="21"/>
        </w:rPr>
        <w:t>Talaq</w:t>
      </w:r>
      <w:r>
        <w:rPr>
          <w:spacing w:val="-7"/>
          <w:sz w:val="21"/>
        </w:rPr>
        <w:t xml:space="preserve"> </w:t>
      </w:r>
      <w:r>
        <w:rPr>
          <w:sz w:val="21"/>
        </w:rPr>
        <w:t>is</w:t>
      </w:r>
      <w:r>
        <w:rPr>
          <w:spacing w:val="-6"/>
          <w:sz w:val="21"/>
        </w:rPr>
        <w:t xml:space="preserve"> </w:t>
      </w:r>
      <w:r>
        <w:rPr>
          <w:sz w:val="21"/>
        </w:rPr>
        <w:t>only</w:t>
      </w:r>
      <w:r>
        <w:rPr>
          <w:spacing w:val="-8"/>
          <w:sz w:val="21"/>
        </w:rPr>
        <w:t xml:space="preserve"> </w:t>
      </w:r>
      <w:r>
        <w:rPr>
          <w:sz w:val="21"/>
        </w:rPr>
        <w:t>a</w:t>
      </w:r>
      <w:r>
        <w:rPr>
          <w:spacing w:val="-6"/>
          <w:sz w:val="21"/>
        </w:rPr>
        <w:t xml:space="preserve"> </w:t>
      </w:r>
      <w:r>
        <w:rPr>
          <w:sz w:val="21"/>
        </w:rPr>
        <w:t>form</w:t>
      </w:r>
      <w:r>
        <w:rPr>
          <w:spacing w:val="-5"/>
          <w:sz w:val="21"/>
        </w:rPr>
        <w:t xml:space="preserve"> </w:t>
      </w:r>
      <w:r>
        <w:rPr>
          <w:sz w:val="21"/>
        </w:rPr>
        <w:t>of</w:t>
      </w:r>
      <w:r>
        <w:rPr>
          <w:spacing w:val="-8"/>
          <w:sz w:val="21"/>
        </w:rPr>
        <w:t xml:space="preserve"> </w:t>
      </w:r>
      <w:r>
        <w:rPr>
          <w:sz w:val="21"/>
        </w:rPr>
        <w:t>Talaq</w:t>
      </w:r>
      <w:r>
        <w:rPr>
          <w:spacing w:val="-6"/>
          <w:sz w:val="21"/>
        </w:rPr>
        <w:t xml:space="preserve"> </w:t>
      </w:r>
      <w:r>
        <w:rPr>
          <w:sz w:val="21"/>
        </w:rPr>
        <w:t>which</w:t>
      </w:r>
      <w:r>
        <w:rPr>
          <w:spacing w:val="-6"/>
          <w:sz w:val="21"/>
        </w:rPr>
        <w:t xml:space="preserve"> </w:t>
      </w:r>
      <w:r>
        <w:rPr>
          <w:sz w:val="21"/>
        </w:rPr>
        <w:t>is permissible in law, but at the same time, stated to be sinful by the very Hanafi school which tolerates it. According to Javed (supra), therefore, this would not form part of any essential reli</w:t>
      </w:r>
      <w:r>
        <w:rPr>
          <w:sz w:val="21"/>
        </w:rPr>
        <w:t>gious practice. Applying the test stated in Acharya Jagdishwarananda (supra), it is equally clear that the fundamental nature of the Islamic religion, as seen through an Indian Sunni Muslim’s eyes, will not change without this practice.”</w:t>
      </w:r>
      <w:r>
        <w:rPr>
          <w:position w:val="7"/>
          <w:sz w:val="14"/>
        </w:rPr>
        <w:t>45</w:t>
      </w:r>
    </w:p>
    <w:p w:rsidR="003B2FC0" w:rsidRDefault="003B2FC0">
      <w:pPr>
        <w:rPr>
          <w:sz w:val="24"/>
        </w:rPr>
      </w:pPr>
    </w:p>
    <w:p w:rsidR="003B2FC0" w:rsidRDefault="003B2FC0">
      <w:pPr>
        <w:spacing w:before="6"/>
        <w:rPr>
          <w:sz w:val="31"/>
        </w:rPr>
      </w:pPr>
    </w:p>
    <w:p w:rsidR="003B2FC0" w:rsidRDefault="00052A49">
      <w:pPr>
        <w:spacing w:before="1" w:line="480" w:lineRule="auto"/>
        <w:ind w:left="400" w:right="437"/>
        <w:jc w:val="both"/>
        <w:rPr>
          <w:sz w:val="26"/>
        </w:rPr>
      </w:pPr>
      <w:r>
        <w:rPr>
          <w:sz w:val="26"/>
        </w:rPr>
        <w:t>Justice Kurian Joseph, concurring with Justices Nariman and Lalit, held that</w:t>
      </w:r>
      <w:r>
        <w:rPr>
          <w:spacing w:val="-31"/>
          <w:sz w:val="26"/>
        </w:rPr>
        <w:t xml:space="preserve"> </w:t>
      </w:r>
      <w:r>
        <w:rPr>
          <w:sz w:val="26"/>
        </w:rPr>
        <w:t>on an</w:t>
      </w:r>
      <w:r>
        <w:rPr>
          <w:spacing w:val="-5"/>
          <w:sz w:val="26"/>
        </w:rPr>
        <w:t xml:space="preserve"> </w:t>
      </w:r>
      <w:r>
        <w:rPr>
          <w:sz w:val="26"/>
        </w:rPr>
        <w:t>examination</w:t>
      </w:r>
      <w:r>
        <w:rPr>
          <w:spacing w:val="-5"/>
          <w:sz w:val="26"/>
        </w:rPr>
        <w:t xml:space="preserve"> </w:t>
      </w:r>
      <w:r>
        <w:rPr>
          <w:sz w:val="26"/>
        </w:rPr>
        <w:t>of</w:t>
      </w:r>
      <w:r>
        <w:rPr>
          <w:spacing w:val="-4"/>
          <w:sz w:val="26"/>
        </w:rPr>
        <w:t xml:space="preserve"> </w:t>
      </w:r>
      <w:r>
        <w:rPr>
          <w:sz w:val="26"/>
        </w:rPr>
        <w:t>the</w:t>
      </w:r>
      <w:r>
        <w:rPr>
          <w:spacing w:val="-4"/>
          <w:sz w:val="26"/>
        </w:rPr>
        <w:t xml:space="preserve"> </w:t>
      </w:r>
      <w:r>
        <w:rPr>
          <w:sz w:val="26"/>
        </w:rPr>
        <w:t>Quran</w:t>
      </w:r>
      <w:r>
        <w:rPr>
          <w:spacing w:val="-5"/>
          <w:sz w:val="26"/>
        </w:rPr>
        <w:t xml:space="preserve"> </w:t>
      </w:r>
      <w:r>
        <w:rPr>
          <w:sz w:val="26"/>
        </w:rPr>
        <w:t>and</w:t>
      </w:r>
      <w:r>
        <w:rPr>
          <w:spacing w:val="-5"/>
          <w:sz w:val="26"/>
        </w:rPr>
        <w:t xml:space="preserve"> </w:t>
      </w:r>
      <w:r>
        <w:rPr>
          <w:sz w:val="26"/>
        </w:rPr>
        <w:t>Islamic</w:t>
      </w:r>
      <w:r>
        <w:rPr>
          <w:spacing w:val="-4"/>
          <w:sz w:val="26"/>
        </w:rPr>
        <w:t xml:space="preserve"> </w:t>
      </w:r>
      <w:r>
        <w:rPr>
          <w:sz w:val="26"/>
        </w:rPr>
        <w:t>legal</w:t>
      </w:r>
      <w:r>
        <w:rPr>
          <w:spacing w:val="-5"/>
          <w:sz w:val="26"/>
        </w:rPr>
        <w:t xml:space="preserve"> </w:t>
      </w:r>
      <w:r>
        <w:rPr>
          <w:sz w:val="26"/>
        </w:rPr>
        <w:t>scholarship,</w:t>
      </w:r>
      <w:r>
        <w:rPr>
          <w:spacing w:val="-4"/>
          <w:sz w:val="26"/>
        </w:rPr>
        <w:t xml:space="preserve"> </w:t>
      </w:r>
      <w:r>
        <w:rPr>
          <w:sz w:val="26"/>
        </w:rPr>
        <w:t>the</w:t>
      </w:r>
      <w:r>
        <w:rPr>
          <w:spacing w:val="-3"/>
          <w:sz w:val="26"/>
        </w:rPr>
        <w:t xml:space="preserve"> </w:t>
      </w:r>
      <w:r>
        <w:rPr>
          <w:sz w:val="26"/>
        </w:rPr>
        <w:t>practice</w:t>
      </w:r>
      <w:r>
        <w:rPr>
          <w:spacing w:val="-5"/>
          <w:sz w:val="26"/>
        </w:rPr>
        <w:t xml:space="preserve"> </w:t>
      </w:r>
      <w:r>
        <w:rPr>
          <w:sz w:val="26"/>
        </w:rPr>
        <w:t>of</w:t>
      </w:r>
      <w:r>
        <w:rPr>
          <w:spacing w:val="-4"/>
          <w:sz w:val="26"/>
        </w:rPr>
        <w:t xml:space="preserve"> </w:t>
      </w:r>
      <w:r>
        <w:rPr>
          <w:sz w:val="26"/>
        </w:rPr>
        <w:t xml:space="preserve">triple talaq could not be considered an essential religious practice. He opined that “merely because </w:t>
      </w:r>
      <w:r>
        <w:rPr>
          <w:sz w:val="26"/>
        </w:rPr>
        <w:t>a practice has continued for long, that by itself cannot make it valid if it has been expressly declared to be</w:t>
      </w:r>
      <w:r>
        <w:rPr>
          <w:spacing w:val="-10"/>
          <w:sz w:val="26"/>
        </w:rPr>
        <w:t xml:space="preserve"> </w:t>
      </w:r>
      <w:r>
        <w:rPr>
          <w:sz w:val="26"/>
        </w:rPr>
        <w:t>impermissible.”</w:t>
      </w:r>
    </w:p>
    <w:p w:rsidR="003B2FC0" w:rsidRDefault="003B2FC0">
      <w:pPr>
        <w:rPr>
          <w:sz w:val="28"/>
        </w:rPr>
      </w:pPr>
    </w:p>
    <w:p w:rsidR="003B2FC0" w:rsidRDefault="003B2FC0">
      <w:pPr>
        <w:spacing w:before="9"/>
        <w:rPr>
          <w:sz w:val="32"/>
        </w:rPr>
      </w:pPr>
    </w:p>
    <w:p w:rsidR="003B2FC0" w:rsidRDefault="00052A49">
      <w:pPr>
        <w:spacing w:line="480" w:lineRule="auto"/>
        <w:ind w:left="400" w:right="435"/>
        <w:jc w:val="both"/>
        <w:rPr>
          <w:sz w:val="26"/>
        </w:rPr>
      </w:pPr>
      <w:r>
        <w:rPr>
          <w:sz w:val="26"/>
        </w:rPr>
        <w:t>Chief Justice Khehar, who delivered the minority judgment, held that the practice of triple talaq is integral to the religion o</w:t>
      </w:r>
      <w:r>
        <w:rPr>
          <w:sz w:val="26"/>
        </w:rPr>
        <w:t>f Hanafi Muslims. He</w:t>
      </w:r>
      <w:r>
        <w:rPr>
          <w:spacing w:val="-28"/>
          <w:sz w:val="26"/>
        </w:rPr>
        <w:t xml:space="preserve"> </w:t>
      </w:r>
      <w:r>
        <w:rPr>
          <w:sz w:val="26"/>
        </w:rPr>
        <w:t>reasoned that:</w:t>
      </w:r>
    </w:p>
    <w:p w:rsidR="003B2FC0" w:rsidRDefault="00052A49">
      <w:pPr>
        <w:spacing w:before="200" w:line="273" w:lineRule="auto"/>
        <w:ind w:left="1840" w:right="2284"/>
        <w:jc w:val="both"/>
        <w:rPr>
          <w:sz w:val="21"/>
        </w:rPr>
      </w:pPr>
      <w:r>
        <w:rPr>
          <w:sz w:val="21"/>
        </w:rPr>
        <w:t>“[T]here can be no dispute on two issues. Firstly, that the practice of ‘talaq-e-biddat’ has been in vogue since the period</w:t>
      </w:r>
    </w:p>
    <w:p w:rsidR="003B2FC0" w:rsidRDefault="003B2FC0">
      <w:pPr>
        <w:spacing w:before="7"/>
        <w:rPr>
          <w:sz w:val="19"/>
        </w:rPr>
      </w:pPr>
      <w:r w:rsidRPr="003B2FC0">
        <w:pict>
          <v:line id="_x0000_s1116" style="position:absolute;z-index:251599360;mso-wrap-distance-left:0;mso-wrap-distance-right:0;mso-position-horizontal-relative:page" from="1in,13.65pt" to="216.05pt,13.65pt" strokeweight=".72pt">
            <w10:wrap type="topAndBottom" anchorx="page"/>
          </v:line>
        </w:pict>
      </w:r>
    </w:p>
    <w:p w:rsidR="003B2FC0" w:rsidRDefault="00052A49">
      <w:pPr>
        <w:spacing w:before="66" w:line="210" w:lineRule="exact"/>
        <w:ind w:left="400"/>
        <w:rPr>
          <w:sz w:val="18"/>
        </w:rPr>
      </w:pPr>
      <w:r>
        <w:rPr>
          <w:position w:val="6"/>
          <w:sz w:val="12"/>
        </w:rPr>
        <w:t xml:space="preserve">44 </w:t>
      </w:r>
      <w:r>
        <w:rPr>
          <w:sz w:val="18"/>
        </w:rPr>
        <w:t>(2003) 8 SCC 369</w:t>
      </w:r>
    </w:p>
    <w:p w:rsidR="003B2FC0" w:rsidRDefault="00052A49">
      <w:pPr>
        <w:spacing w:line="210" w:lineRule="exact"/>
        <w:ind w:left="400"/>
        <w:rPr>
          <w:sz w:val="18"/>
        </w:rPr>
      </w:pPr>
      <w:r>
        <w:rPr>
          <w:position w:val="6"/>
          <w:sz w:val="12"/>
        </w:rPr>
        <w:t xml:space="preserve">45 </w:t>
      </w:r>
      <w:r>
        <w:rPr>
          <w:sz w:val="18"/>
        </w:rPr>
        <w:t>Ibid, at page 69</w:t>
      </w:r>
    </w:p>
    <w:p w:rsidR="003B2FC0" w:rsidRDefault="003B2FC0">
      <w:pPr>
        <w:spacing w:line="210" w:lineRule="exact"/>
        <w:rPr>
          <w:sz w:val="18"/>
        </w:rPr>
        <w:sectPr w:rsidR="003B2FC0">
          <w:footerReference w:type="default" r:id="rId361"/>
          <w:pgSz w:w="11910" w:h="16840"/>
          <w:pgMar w:top="1080" w:right="980" w:bottom="1200" w:left="1040" w:header="708" w:footer="1000" w:gutter="0"/>
          <w:pgNumType w:start="65"/>
          <w:cols w:space="720"/>
        </w:sectPr>
      </w:pPr>
    </w:p>
    <w:p w:rsidR="003B2FC0" w:rsidRDefault="003B2FC0">
      <w:pPr>
        <w:spacing w:before="6"/>
        <w:rPr>
          <w:sz w:val="21"/>
        </w:rPr>
      </w:pPr>
    </w:p>
    <w:p w:rsidR="003B2FC0" w:rsidRDefault="00052A49">
      <w:pPr>
        <w:spacing w:before="94" w:line="276" w:lineRule="auto"/>
        <w:ind w:left="1840" w:right="2282"/>
        <w:jc w:val="both"/>
        <w:rPr>
          <w:sz w:val="21"/>
        </w:rPr>
      </w:pPr>
      <w:r>
        <w:rPr>
          <w:sz w:val="21"/>
        </w:rPr>
        <w:t>of Umar, which is roughly more than 1400 years ago. Secondly, that ‘talaq-e-biddat’ though bad in theology, was considered as “good” in law.”</w:t>
      </w:r>
    </w:p>
    <w:p w:rsidR="003B2FC0" w:rsidRDefault="003B2FC0">
      <w:pPr>
        <w:rPr>
          <w:sz w:val="24"/>
        </w:rPr>
      </w:pPr>
    </w:p>
    <w:p w:rsidR="003B2FC0" w:rsidRDefault="003B2FC0">
      <w:pPr>
        <w:rPr>
          <w:sz w:val="24"/>
        </w:rPr>
      </w:pPr>
    </w:p>
    <w:p w:rsidR="003B2FC0" w:rsidRDefault="00052A49">
      <w:pPr>
        <w:spacing w:before="147" w:line="480" w:lineRule="auto"/>
        <w:ind w:left="400" w:right="433"/>
        <w:jc w:val="both"/>
        <w:rPr>
          <w:sz w:val="26"/>
        </w:rPr>
      </w:pPr>
      <w:r>
        <w:rPr>
          <w:sz w:val="26"/>
        </w:rPr>
        <w:t>On the basis of the history and prevalence of triple talaq in practice, Justice Khehar</w:t>
      </w:r>
      <w:r>
        <w:rPr>
          <w:spacing w:val="-4"/>
          <w:sz w:val="26"/>
        </w:rPr>
        <w:t xml:space="preserve"> </w:t>
      </w:r>
      <w:r>
        <w:rPr>
          <w:sz w:val="26"/>
        </w:rPr>
        <w:t>held</w:t>
      </w:r>
      <w:r>
        <w:rPr>
          <w:spacing w:val="-4"/>
          <w:sz w:val="26"/>
        </w:rPr>
        <w:t xml:space="preserve"> </w:t>
      </w:r>
      <w:r>
        <w:rPr>
          <w:sz w:val="26"/>
        </w:rPr>
        <w:t>that</w:t>
      </w:r>
      <w:r>
        <w:rPr>
          <w:spacing w:val="-4"/>
          <w:sz w:val="26"/>
        </w:rPr>
        <w:t xml:space="preserve"> </w:t>
      </w:r>
      <w:r>
        <w:rPr>
          <w:sz w:val="26"/>
        </w:rPr>
        <w:t>even</w:t>
      </w:r>
      <w:r>
        <w:rPr>
          <w:spacing w:val="-5"/>
          <w:sz w:val="26"/>
        </w:rPr>
        <w:t xml:space="preserve"> </w:t>
      </w:r>
      <w:r>
        <w:rPr>
          <w:sz w:val="26"/>
        </w:rPr>
        <w:t>though</w:t>
      </w:r>
      <w:r>
        <w:rPr>
          <w:spacing w:val="-6"/>
          <w:sz w:val="26"/>
        </w:rPr>
        <w:t xml:space="preserve"> </w:t>
      </w:r>
      <w:r>
        <w:rPr>
          <w:sz w:val="26"/>
        </w:rPr>
        <w:t>tri</w:t>
      </w:r>
      <w:r>
        <w:rPr>
          <w:sz w:val="26"/>
        </w:rPr>
        <w:t>ple</w:t>
      </w:r>
      <w:r>
        <w:rPr>
          <w:spacing w:val="-5"/>
          <w:sz w:val="26"/>
        </w:rPr>
        <w:t xml:space="preserve"> </w:t>
      </w:r>
      <w:r>
        <w:rPr>
          <w:sz w:val="26"/>
        </w:rPr>
        <w:t>talaq</w:t>
      </w:r>
      <w:r>
        <w:rPr>
          <w:spacing w:val="-6"/>
          <w:sz w:val="26"/>
        </w:rPr>
        <w:t xml:space="preserve"> </w:t>
      </w:r>
      <w:r>
        <w:rPr>
          <w:sz w:val="26"/>
        </w:rPr>
        <w:t>“is</w:t>
      </w:r>
      <w:r>
        <w:rPr>
          <w:spacing w:val="-6"/>
          <w:sz w:val="26"/>
        </w:rPr>
        <w:t xml:space="preserve"> </w:t>
      </w:r>
      <w:r>
        <w:rPr>
          <w:sz w:val="26"/>
        </w:rPr>
        <w:t>considered</w:t>
      </w:r>
      <w:r>
        <w:rPr>
          <w:spacing w:val="-3"/>
          <w:sz w:val="26"/>
        </w:rPr>
        <w:t xml:space="preserve"> </w:t>
      </w:r>
      <w:r>
        <w:rPr>
          <w:sz w:val="26"/>
        </w:rPr>
        <w:t>as</w:t>
      </w:r>
      <w:r>
        <w:rPr>
          <w:spacing w:val="-6"/>
          <w:sz w:val="26"/>
        </w:rPr>
        <w:t xml:space="preserve"> </w:t>
      </w:r>
      <w:r>
        <w:rPr>
          <w:sz w:val="26"/>
        </w:rPr>
        <w:t>irreligious</w:t>
      </w:r>
      <w:r>
        <w:rPr>
          <w:spacing w:val="-4"/>
          <w:sz w:val="26"/>
        </w:rPr>
        <w:t xml:space="preserve"> </w:t>
      </w:r>
      <w:r>
        <w:rPr>
          <w:sz w:val="26"/>
        </w:rPr>
        <w:t>within</w:t>
      </w:r>
      <w:r>
        <w:rPr>
          <w:spacing w:val="-5"/>
          <w:sz w:val="26"/>
        </w:rPr>
        <w:t xml:space="preserve"> </w:t>
      </w:r>
      <w:r>
        <w:rPr>
          <w:sz w:val="26"/>
        </w:rPr>
        <w:t>the religious denomination in which the practice is prevalent, yet the denomination considers it valid in</w:t>
      </w:r>
      <w:r>
        <w:rPr>
          <w:spacing w:val="-3"/>
          <w:sz w:val="26"/>
        </w:rPr>
        <w:t xml:space="preserve"> </w:t>
      </w:r>
      <w:r>
        <w:rPr>
          <w:sz w:val="26"/>
        </w:rPr>
        <w:t>law.”</w:t>
      </w:r>
    </w:p>
    <w:p w:rsidR="003B2FC0" w:rsidRDefault="003B2FC0">
      <w:pPr>
        <w:rPr>
          <w:sz w:val="28"/>
        </w:rPr>
      </w:pPr>
    </w:p>
    <w:p w:rsidR="003B2FC0" w:rsidRDefault="003B2FC0">
      <w:pPr>
        <w:spacing w:before="10"/>
        <w:rPr>
          <w:sz w:val="32"/>
        </w:rPr>
      </w:pPr>
    </w:p>
    <w:p w:rsidR="003B2FC0" w:rsidRDefault="00052A49">
      <w:pPr>
        <w:spacing w:line="480" w:lineRule="auto"/>
        <w:ind w:left="400" w:right="436"/>
        <w:jc w:val="both"/>
        <w:rPr>
          <w:sz w:val="26"/>
        </w:rPr>
      </w:pPr>
      <w:r>
        <w:rPr>
          <w:sz w:val="26"/>
        </w:rPr>
        <w:t>While the majority based its conclusion on an examination of the substantive doctrines of Islam</w:t>
      </w:r>
      <w:r>
        <w:rPr>
          <w:sz w:val="26"/>
        </w:rPr>
        <w:t xml:space="preserve"> and the theological sanctity of triple talaq, the minority relied on the widespread practice of triple talaq to determine its essentiality. The majority and minority concurred, however, that the belief of a religious denomination claiming a particular pra</w:t>
      </w:r>
      <w:r>
        <w:rPr>
          <w:sz w:val="26"/>
        </w:rPr>
        <w:t>ctice to be essential must be taken into consideration in the determination of the essentiality of that practice.</w:t>
      </w:r>
    </w:p>
    <w:p w:rsidR="003B2FC0" w:rsidRDefault="003B2FC0">
      <w:pPr>
        <w:rPr>
          <w:sz w:val="28"/>
        </w:rPr>
      </w:pPr>
    </w:p>
    <w:p w:rsidR="003B2FC0" w:rsidRDefault="003B2FC0">
      <w:pPr>
        <w:spacing w:before="10"/>
        <w:rPr>
          <w:sz w:val="34"/>
        </w:rPr>
      </w:pPr>
    </w:p>
    <w:p w:rsidR="003B2FC0" w:rsidRDefault="00052A49">
      <w:pPr>
        <w:pStyle w:val="ListParagraph"/>
        <w:numPr>
          <w:ilvl w:val="0"/>
          <w:numId w:val="39"/>
        </w:numPr>
        <w:tabs>
          <w:tab w:val="left" w:pos="1121"/>
        </w:tabs>
        <w:spacing w:before="1" w:line="480" w:lineRule="auto"/>
        <w:ind w:right="438" w:firstLine="0"/>
        <w:jc w:val="both"/>
        <w:rPr>
          <w:sz w:val="26"/>
        </w:rPr>
      </w:pPr>
      <w:r>
        <w:rPr>
          <w:sz w:val="26"/>
        </w:rPr>
        <w:t>In its jurisprudence on religious freedom, this Court has evolved a body of</w:t>
      </w:r>
      <w:r>
        <w:rPr>
          <w:spacing w:val="-7"/>
          <w:sz w:val="26"/>
        </w:rPr>
        <w:t xml:space="preserve"> </w:t>
      </w:r>
      <w:r>
        <w:rPr>
          <w:sz w:val="26"/>
        </w:rPr>
        <w:t>principles</w:t>
      </w:r>
      <w:r>
        <w:rPr>
          <w:spacing w:val="-4"/>
          <w:sz w:val="26"/>
        </w:rPr>
        <w:t xml:space="preserve"> </w:t>
      </w:r>
      <w:r>
        <w:rPr>
          <w:sz w:val="26"/>
        </w:rPr>
        <w:t>which</w:t>
      </w:r>
      <w:r>
        <w:rPr>
          <w:spacing w:val="-7"/>
          <w:sz w:val="26"/>
        </w:rPr>
        <w:t xml:space="preserve"> </w:t>
      </w:r>
      <w:r>
        <w:rPr>
          <w:sz w:val="26"/>
        </w:rPr>
        <w:t>define</w:t>
      </w:r>
      <w:r>
        <w:rPr>
          <w:spacing w:val="-7"/>
          <w:sz w:val="26"/>
        </w:rPr>
        <w:t xml:space="preserve"> </w:t>
      </w:r>
      <w:r>
        <w:rPr>
          <w:sz w:val="26"/>
        </w:rPr>
        <w:t>the</w:t>
      </w:r>
      <w:r>
        <w:rPr>
          <w:spacing w:val="-7"/>
          <w:sz w:val="26"/>
        </w:rPr>
        <w:t xml:space="preserve"> </w:t>
      </w:r>
      <w:r>
        <w:rPr>
          <w:sz w:val="26"/>
        </w:rPr>
        <w:t>freedom</w:t>
      </w:r>
      <w:r>
        <w:rPr>
          <w:spacing w:val="-6"/>
          <w:sz w:val="26"/>
        </w:rPr>
        <w:t xml:space="preserve"> </w:t>
      </w:r>
      <w:r>
        <w:rPr>
          <w:sz w:val="26"/>
        </w:rPr>
        <w:t>of</w:t>
      </w:r>
      <w:r>
        <w:rPr>
          <w:spacing w:val="-7"/>
          <w:sz w:val="26"/>
        </w:rPr>
        <w:t xml:space="preserve"> </w:t>
      </w:r>
      <w:r>
        <w:rPr>
          <w:sz w:val="26"/>
        </w:rPr>
        <w:t>religion</w:t>
      </w:r>
      <w:r>
        <w:rPr>
          <w:spacing w:val="-7"/>
          <w:sz w:val="26"/>
        </w:rPr>
        <w:t xml:space="preserve"> </w:t>
      </w:r>
      <w:r>
        <w:rPr>
          <w:sz w:val="26"/>
        </w:rPr>
        <w:t>under</w:t>
      </w:r>
      <w:r>
        <w:rPr>
          <w:spacing w:val="-7"/>
          <w:sz w:val="26"/>
        </w:rPr>
        <w:t xml:space="preserve"> </w:t>
      </w:r>
      <w:r>
        <w:rPr>
          <w:sz w:val="26"/>
        </w:rPr>
        <w:t>Article</w:t>
      </w:r>
      <w:r>
        <w:rPr>
          <w:spacing w:val="-4"/>
          <w:sz w:val="26"/>
        </w:rPr>
        <w:t xml:space="preserve"> </w:t>
      </w:r>
      <w:r>
        <w:rPr>
          <w:sz w:val="26"/>
        </w:rPr>
        <w:t>25</w:t>
      </w:r>
      <w:r>
        <w:rPr>
          <w:spacing w:val="-7"/>
          <w:sz w:val="26"/>
        </w:rPr>
        <w:t xml:space="preserve"> </w:t>
      </w:r>
      <w:r>
        <w:rPr>
          <w:sz w:val="26"/>
        </w:rPr>
        <w:t>and</w:t>
      </w:r>
      <w:r>
        <w:rPr>
          <w:spacing w:val="-7"/>
          <w:sz w:val="26"/>
        </w:rPr>
        <w:t xml:space="preserve"> </w:t>
      </w:r>
      <w:r>
        <w:rPr>
          <w:sz w:val="26"/>
        </w:rPr>
        <w:t>Article</w:t>
      </w:r>
      <w:r>
        <w:rPr>
          <w:spacing w:val="-7"/>
          <w:sz w:val="26"/>
        </w:rPr>
        <w:t xml:space="preserve"> </w:t>
      </w:r>
      <w:r>
        <w:rPr>
          <w:sz w:val="26"/>
        </w:rPr>
        <w:t>26 to</w:t>
      </w:r>
      <w:r>
        <w:rPr>
          <w:spacing w:val="-7"/>
          <w:sz w:val="26"/>
        </w:rPr>
        <w:t xml:space="preserve"> </w:t>
      </w:r>
      <w:r>
        <w:rPr>
          <w:sz w:val="26"/>
        </w:rPr>
        <w:t>practices</w:t>
      </w:r>
      <w:r>
        <w:rPr>
          <w:spacing w:val="-6"/>
          <w:sz w:val="26"/>
        </w:rPr>
        <w:t xml:space="preserve"> </w:t>
      </w:r>
      <w:r>
        <w:rPr>
          <w:sz w:val="26"/>
        </w:rPr>
        <w:t>‘essential’</w:t>
      </w:r>
      <w:r>
        <w:rPr>
          <w:spacing w:val="-6"/>
          <w:sz w:val="26"/>
        </w:rPr>
        <w:t xml:space="preserve"> </w:t>
      </w:r>
      <w:r>
        <w:rPr>
          <w:sz w:val="26"/>
        </w:rPr>
        <w:t>to</w:t>
      </w:r>
      <w:r>
        <w:rPr>
          <w:spacing w:val="-6"/>
          <w:sz w:val="26"/>
        </w:rPr>
        <w:t xml:space="preserve"> </w:t>
      </w:r>
      <w:r>
        <w:rPr>
          <w:sz w:val="26"/>
        </w:rPr>
        <w:t>the</w:t>
      </w:r>
      <w:r>
        <w:rPr>
          <w:spacing w:val="-4"/>
          <w:sz w:val="26"/>
        </w:rPr>
        <w:t xml:space="preserve"> </w:t>
      </w:r>
      <w:r>
        <w:rPr>
          <w:sz w:val="26"/>
        </w:rPr>
        <w:t>religion.</w:t>
      </w:r>
      <w:r>
        <w:rPr>
          <w:spacing w:val="-7"/>
          <w:sz w:val="26"/>
        </w:rPr>
        <w:t xml:space="preserve"> </w:t>
      </w:r>
      <w:r>
        <w:rPr>
          <w:sz w:val="26"/>
        </w:rPr>
        <w:t>The</w:t>
      </w:r>
      <w:r>
        <w:rPr>
          <w:spacing w:val="-5"/>
          <w:sz w:val="26"/>
        </w:rPr>
        <w:t xml:space="preserve"> </w:t>
      </w:r>
      <w:r>
        <w:rPr>
          <w:sz w:val="26"/>
        </w:rPr>
        <w:t>Constitution</w:t>
      </w:r>
      <w:r>
        <w:rPr>
          <w:spacing w:val="-4"/>
          <w:sz w:val="26"/>
        </w:rPr>
        <w:t xml:space="preserve"> </w:t>
      </w:r>
      <w:r>
        <w:rPr>
          <w:sz w:val="26"/>
        </w:rPr>
        <w:t>has</w:t>
      </w:r>
      <w:r>
        <w:rPr>
          <w:spacing w:val="-7"/>
          <w:sz w:val="26"/>
        </w:rPr>
        <w:t xml:space="preserve"> </w:t>
      </w:r>
      <w:r>
        <w:rPr>
          <w:sz w:val="26"/>
        </w:rPr>
        <w:t>been</w:t>
      </w:r>
      <w:r>
        <w:rPr>
          <w:spacing w:val="-6"/>
          <w:sz w:val="26"/>
        </w:rPr>
        <w:t xml:space="preserve"> </w:t>
      </w:r>
      <w:r>
        <w:rPr>
          <w:sz w:val="26"/>
        </w:rPr>
        <w:t>held</w:t>
      </w:r>
      <w:r>
        <w:rPr>
          <w:spacing w:val="-5"/>
          <w:sz w:val="26"/>
        </w:rPr>
        <w:t xml:space="preserve"> </w:t>
      </w:r>
      <w:r>
        <w:rPr>
          <w:sz w:val="26"/>
        </w:rPr>
        <w:t>to</w:t>
      </w:r>
      <w:r>
        <w:rPr>
          <w:spacing w:val="-6"/>
          <w:sz w:val="26"/>
        </w:rPr>
        <w:t xml:space="preserve"> </w:t>
      </w:r>
      <w:r>
        <w:rPr>
          <w:sz w:val="26"/>
        </w:rPr>
        <w:t>protect not</w:t>
      </w:r>
      <w:r>
        <w:rPr>
          <w:spacing w:val="-7"/>
          <w:sz w:val="26"/>
        </w:rPr>
        <w:t xml:space="preserve"> </w:t>
      </w:r>
      <w:r>
        <w:rPr>
          <w:sz w:val="26"/>
        </w:rPr>
        <w:t>only</w:t>
      </w:r>
      <w:r>
        <w:rPr>
          <w:spacing w:val="-9"/>
          <w:sz w:val="26"/>
        </w:rPr>
        <w:t xml:space="preserve"> </w:t>
      </w:r>
      <w:r>
        <w:rPr>
          <w:sz w:val="26"/>
        </w:rPr>
        <w:t>freedom</w:t>
      </w:r>
      <w:r>
        <w:rPr>
          <w:spacing w:val="-6"/>
          <w:sz w:val="26"/>
        </w:rPr>
        <w:t xml:space="preserve"> </w:t>
      </w:r>
      <w:r>
        <w:rPr>
          <w:sz w:val="26"/>
        </w:rPr>
        <w:t>of</w:t>
      </w:r>
      <w:r>
        <w:rPr>
          <w:spacing w:val="-7"/>
          <w:sz w:val="26"/>
        </w:rPr>
        <w:t xml:space="preserve"> </w:t>
      </w:r>
      <w:r>
        <w:rPr>
          <w:sz w:val="26"/>
        </w:rPr>
        <w:t>religious</w:t>
      </w:r>
      <w:r>
        <w:rPr>
          <w:spacing w:val="-5"/>
          <w:sz w:val="26"/>
        </w:rPr>
        <w:t xml:space="preserve"> </w:t>
      </w:r>
      <w:r>
        <w:rPr>
          <w:sz w:val="26"/>
        </w:rPr>
        <w:t>belief,</w:t>
      </w:r>
      <w:r>
        <w:rPr>
          <w:spacing w:val="-7"/>
          <w:sz w:val="26"/>
        </w:rPr>
        <w:t xml:space="preserve"> </w:t>
      </w:r>
      <w:r>
        <w:rPr>
          <w:sz w:val="26"/>
        </w:rPr>
        <w:t>but</w:t>
      </w:r>
      <w:r>
        <w:rPr>
          <w:spacing w:val="-7"/>
          <w:sz w:val="26"/>
        </w:rPr>
        <w:t xml:space="preserve"> </w:t>
      </w:r>
      <w:r>
        <w:rPr>
          <w:sz w:val="26"/>
        </w:rPr>
        <w:t>acts</w:t>
      </w:r>
      <w:r>
        <w:rPr>
          <w:spacing w:val="-6"/>
          <w:sz w:val="26"/>
        </w:rPr>
        <w:t xml:space="preserve"> </w:t>
      </w:r>
      <w:r>
        <w:rPr>
          <w:sz w:val="26"/>
        </w:rPr>
        <w:t>done</w:t>
      </w:r>
      <w:r>
        <w:rPr>
          <w:spacing w:val="-7"/>
          <w:sz w:val="26"/>
        </w:rPr>
        <w:t xml:space="preserve"> </w:t>
      </w:r>
      <w:r>
        <w:rPr>
          <w:sz w:val="26"/>
        </w:rPr>
        <w:t>in</w:t>
      </w:r>
      <w:r>
        <w:rPr>
          <w:spacing w:val="-7"/>
          <w:sz w:val="26"/>
        </w:rPr>
        <w:t xml:space="preserve"> </w:t>
      </w:r>
      <w:r>
        <w:rPr>
          <w:sz w:val="26"/>
        </w:rPr>
        <w:t>pursuance</w:t>
      </w:r>
      <w:r>
        <w:rPr>
          <w:spacing w:val="-5"/>
          <w:sz w:val="26"/>
        </w:rPr>
        <w:t xml:space="preserve"> </w:t>
      </w:r>
      <w:r>
        <w:rPr>
          <w:sz w:val="26"/>
        </w:rPr>
        <w:t>of</w:t>
      </w:r>
      <w:r>
        <w:rPr>
          <w:spacing w:val="-7"/>
          <w:sz w:val="26"/>
        </w:rPr>
        <w:t xml:space="preserve"> </w:t>
      </w:r>
      <w:r>
        <w:rPr>
          <w:sz w:val="26"/>
        </w:rPr>
        <w:t>those</w:t>
      </w:r>
      <w:r>
        <w:rPr>
          <w:spacing w:val="-7"/>
          <w:sz w:val="26"/>
        </w:rPr>
        <w:t xml:space="preserve"> </w:t>
      </w:r>
      <w:r>
        <w:rPr>
          <w:sz w:val="26"/>
        </w:rPr>
        <w:t>beliefs. While the views of a religious denomination are to be taken into consider</w:t>
      </w:r>
      <w:r>
        <w:rPr>
          <w:sz w:val="26"/>
        </w:rPr>
        <w:t>ation in</w:t>
      </w:r>
      <w:r>
        <w:rPr>
          <w:spacing w:val="-17"/>
          <w:sz w:val="26"/>
        </w:rPr>
        <w:t xml:space="preserve"> </w:t>
      </w:r>
      <w:r>
        <w:rPr>
          <w:sz w:val="26"/>
        </w:rPr>
        <w:t>determining</w:t>
      </w:r>
      <w:r>
        <w:rPr>
          <w:spacing w:val="-14"/>
          <w:sz w:val="26"/>
        </w:rPr>
        <w:t xml:space="preserve"> </w:t>
      </w:r>
      <w:r>
        <w:rPr>
          <w:sz w:val="26"/>
        </w:rPr>
        <w:t>whether</w:t>
      </w:r>
      <w:r>
        <w:rPr>
          <w:spacing w:val="-16"/>
          <w:sz w:val="26"/>
        </w:rPr>
        <w:t xml:space="preserve"> </w:t>
      </w:r>
      <w:r>
        <w:rPr>
          <w:sz w:val="26"/>
        </w:rPr>
        <w:t>a</w:t>
      </w:r>
      <w:r>
        <w:rPr>
          <w:spacing w:val="-16"/>
          <w:sz w:val="26"/>
        </w:rPr>
        <w:t xml:space="preserve"> </w:t>
      </w:r>
      <w:r>
        <w:rPr>
          <w:sz w:val="26"/>
        </w:rPr>
        <w:t>practice</w:t>
      </w:r>
      <w:r>
        <w:rPr>
          <w:spacing w:val="-14"/>
          <w:sz w:val="26"/>
        </w:rPr>
        <w:t xml:space="preserve"> </w:t>
      </w:r>
      <w:r>
        <w:rPr>
          <w:sz w:val="26"/>
        </w:rPr>
        <w:t>is</w:t>
      </w:r>
      <w:r>
        <w:rPr>
          <w:spacing w:val="-17"/>
          <w:sz w:val="26"/>
        </w:rPr>
        <w:t xml:space="preserve"> </w:t>
      </w:r>
      <w:r>
        <w:rPr>
          <w:sz w:val="26"/>
        </w:rPr>
        <w:t>essential,</w:t>
      </w:r>
      <w:r>
        <w:rPr>
          <w:spacing w:val="-16"/>
          <w:sz w:val="26"/>
        </w:rPr>
        <w:t xml:space="preserve"> </w:t>
      </w:r>
      <w:r>
        <w:rPr>
          <w:sz w:val="26"/>
        </w:rPr>
        <w:t>those</w:t>
      </w:r>
      <w:r>
        <w:rPr>
          <w:spacing w:val="-14"/>
          <w:sz w:val="26"/>
        </w:rPr>
        <w:t xml:space="preserve"> </w:t>
      </w:r>
      <w:r>
        <w:rPr>
          <w:sz w:val="26"/>
        </w:rPr>
        <w:t>views</w:t>
      </w:r>
      <w:r>
        <w:rPr>
          <w:spacing w:val="-16"/>
          <w:sz w:val="26"/>
        </w:rPr>
        <w:t xml:space="preserve"> </w:t>
      </w:r>
      <w:r>
        <w:rPr>
          <w:sz w:val="26"/>
        </w:rPr>
        <w:t>are</w:t>
      </w:r>
      <w:r>
        <w:rPr>
          <w:spacing w:val="-16"/>
          <w:sz w:val="26"/>
        </w:rPr>
        <w:t xml:space="preserve"> </w:t>
      </w:r>
      <w:r>
        <w:rPr>
          <w:sz w:val="26"/>
        </w:rPr>
        <w:t>not</w:t>
      </w:r>
      <w:r>
        <w:rPr>
          <w:spacing w:val="-16"/>
          <w:sz w:val="26"/>
        </w:rPr>
        <w:t xml:space="preserve"> </w:t>
      </w:r>
      <w:r>
        <w:rPr>
          <w:sz w:val="26"/>
        </w:rPr>
        <w:t>determinative of its essentiality. The Court has assumed a central role in determining what is or is not essential to religious belief. Intrinsic to the role which the Court</w:t>
      </w:r>
      <w:r>
        <w:rPr>
          <w:spacing w:val="61"/>
          <w:sz w:val="26"/>
        </w:rPr>
        <w:t xml:space="preserve"> </w:t>
      </w:r>
      <w:r>
        <w:rPr>
          <w:sz w:val="26"/>
        </w:rPr>
        <w:t>has</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3"/>
        <w:jc w:val="both"/>
        <w:rPr>
          <w:sz w:val="26"/>
        </w:rPr>
      </w:pPr>
      <w:r>
        <w:rPr>
          <w:sz w:val="26"/>
        </w:rPr>
        <w:t>carved out, it has sought to distinguish between what is religious and what is a secular practice, even if it is associated with a religious activity. Going further, the Court has enquired into whether a practice is essential to religio</w:t>
      </w:r>
      <w:r>
        <w:rPr>
          <w:sz w:val="26"/>
        </w:rPr>
        <w:t>n. Essentiality of the practice would, as the Court as held depend on whether the fundamental character of a religion would be altered. if it were not observed. Above</w:t>
      </w:r>
      <w:r>
        <w:rPr>
          <w:spacing w:val="-8"/>
          <w:sz w:val="26"/>
        </w:rPr>
        <w:t xml:space="preserve"> </w:t>
      </w:r>
      <w:r>
        <w:rPr>
          <w:sz w:val="26"/>
        </w:rPr>
        <w:t>all,</w:t>
      </w:r>
      <w:r>
        <w:rPr>
          <w:spacing w:val="-8"/>
          <w:sz w:val="26"/>
        </w:rPr>
        <w:t xml:space="preserve"> </w:t>
      </w:r>
      <w:r>
        <w:rPr>
          <w:sz w:val="26"/>
        </w:rPr>
        <w:t>there</w:t>
      </w:r>
      <w:r>
        <w:rPr>
          <w:spacing w:val="-7"/>
          <w:sz w:val="26"/>
        </w:rPr>
        <w:t xml:space="preserve"> </w:t>
      </w:r>
      <w:r>
        <w:rPr>
          <w:sz w:val="26"/>
        </w:rPr>
        <w:t>is</w:t>
      </w:r>
      <w:r>
        <w:rPr>
          <w:spacing w:val="-8"/>
          <w:sz w:val="26"/>
        </w:rPr>
        <w:t xml:space="preserve"> </w:t>
      </w:r>
      <w:r>
        <w:rPr>
          <w:sz w:val="26"/>
        </w:rPr>
        <w:t>an</w:t>
      </w:r>
      <w:r>
        <w:rPr>
          <w:spacing w:val="-5"/>
          <w:sz w:val="26"/>
        </w:rPr>
        <w:t xml:space="preserve"> </w:t>
      </w:r>
      <w:r>
        <w:rPr>
          <w:sz w:val="26"/>
        </w:rPr>
        <w:t>emphasis</w:t>
      </w:r>
      <w:r>
        <w:rPr>
          <w:spacing w:val="-6"/>
          <w:sz w:val="26"/>
        </w:rPr>
        <w:t xml:space="preserve"> </w:t>
      </w:r>
      <w:r>
        <w:rPr>
          <w:sz w:val="26"/>
        </w:rPr>
        <w:t>on</w:t>
      </w:r>
      <w:r>
        <w:rPr>
          <w:spacing w:val="-7"/>
          <w:sz w:val="26"/>
        </w:rPr>
        <w:t xml:space="preserve"> </w:t>
      </w:r>
      <w:r>
        <w:rPr>
          <w:sz w:val="26"/>
        </w:rPr>
        <w:t>constitutional</w:t>
      </w:r>
      <w:r>
        <w:rPr>
          <w:spacing w:val="-8"/>
          <w:sz w:val="26"/>
        </w:rPr>
        <w:t xml:space="preserve"> </w:t>
      </w:r>
      <w:r>
        <w:rPr>
          <w:sz w:val="26"/>
        </w:rPr>
        <w:t>legitimacy,</w:t>
      </w:r>
      <w:r>
        <w:rPr>
          <w:spacing w:val="-5"/>
          <w:sz w:val="26"/>
        </w:rPr>
        <w:t xml:space="preserve"> </w:t>
      </w:r>
      <w:r>
        <w:rPr>
          <w:sz w:val="26"/>
        </w:rPr>
        <w:t>which</w:t>
      </w:r>
      <w:r>
        <w:rPr>
          <w:spacing w:val="-7"/>
          <w:sz w:val="26"/>
        </w:rPr>
        <w:t xml:space="preserve"> </w:t>
      </w:r>
      <w:r>
        <w:rPr>
          <w:sz w:val="26"/>
        </w:rPr>
        <w:t>underscores need to preserv</w:t>
      </w:r>
      <w:r>
        <w:rPr>
          <w:sz w:val="26"/>
        </w:rPr>
        <w:t>e the basic constitutional values associated with the dignity of the individual. The ephemeral distinction between religion and superstition becomes more coherent in terms of the need to preserve fundamental constitutional values associated with human</w:t>
      </w:r>
      <w:r>
        <w:rPr>
          <w:spacing w:val="-1"/>
          <w:sz w:val="26"/>
        </w:rPr>
        <w:t xml:space="preserve"> </w:t>
      </w:r>
      <w:r>
        <w:rPr>
          <w:sz w:val="26"/>
        </w:rPr>
        <w:t>libe</w:t>
      </w:r>
      <w:r>
        <w:rPr>
          <w:sz w:val="26"/>
        </w:rPr>
        <w:t>rty.</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In determining the essentiality of a practice, it is crucial to consider whether the practice is prescribed to be of an obligatory nature within that religion. If a practice is optional, it has been held that it cannot be said to be ‘essential’</w:t>
      </w:r>
      <w:r>
        <w:rPr>
          <w:spacing w:val="-9"/>
          <w:sz w:val="26"/>
        </w:rPr>
        <w:t xml:space="preserve"> </w:t>
      </w:r>
      <w:r>
        <w:rPr>
          <w:sz w:val="26"/>
        </w:rPr>
        <w:t>to</w:t>
      </w:r>
      <w:r>
        <w:rPr>
          <w:spacing w:val="-8"/>
          <w:sz w:val="26"/>
        </w:rPr>
        <w:t xml:space="preserve"> </w:t>
      </w:r>
      <w:r>
        <w:rPr>
          <w:sz w:val="26"/>
        </w:rPr>
        <w:t>a</w:t>
      </w:r>
      <w:r>
        <w:rPr>
          <w:spacing w:val="-8"/>
          <w:sz w:val="26"/>
        </w:rPr>
        <w:t xml:space="preserve"> </w:t>
      </w:r>
      <w:r>
        <w:rPr>
          <w:sz w:val="26"/>
        </w:rPr>
        <w:t>religion.</w:t>
      </w:r>
      <w:r>
        <w:rPr>
          <w:spacing w:val="-9"/>
          <w:sz w:val="26"/>
        </w:rPr>
        <w:t xml:space="preserve"> </w:t>
      </w:r>
      <w:r>
        <w:rPr>
          <w:sz w:val="26"/>
        </w:rPr>
        <w:t>A</w:t>
      </w:r>
      <w:r>
        <w:rPr>
          <w:spacing w:val="-8"/>
          <w:sz w:val="26"/>
        </w:rPr>
        <w:t xml:space="preserve"> </w:t>
      </w:r>
      <w:r>
        <w:rPr>
          <w:sz w:val="26"/>
        </w:rPr>
        <w:t>practice</w:t>
      </w:r>
      <w:r>
        <w:rPr>
          <w:spacing w:val="-8"/>
          <w:sz w:val="26"/>
        </w:rPr>
        <w:t xml:space="preserve"> </w:t>
      </w:r>
      <w:r>
        <w:rPr>
          <w:sz w:val="26"/>
        </w:rPr>
        <w:t>claimed</w:t>
      </w:r>
      <w:r>
        <w:rPr>
          <w:spacing w:val="-6"/>
          <w:sz w:val="26"/>
        </w:rPr>
        <w:t xml:space="preserve"> </w:t>
      </w:r>
      <w:r>
        <w:rPr>
          <w:sz w:val="26"/>
        </w:rPr>
        <w:t>to</w:t>
      </w:r>
      <w:r>
        <w:rPr>
          <w:spacing w:val="-9"/>
          <w:sz w:val="26"/>
        </w:rPr>
        <w:t xml:space="preserve"> </w:t>
      </w:r>
      <w:r>
        <w:rPr>
          <w:sz w:val="26"/>
        </w:rPr>
        <w:t>be</w:t>
      </w:r>
      <w:r>
        <w:rPr>
          <w:spacing w:val="-8"/>
          <w:sz w:val="26"/>
        </w:rPr>
        <w:t xml:space="preserve"> </w:t>
      </w:r>
      <w:r>
        <w:rPr>
          <w:sz w:val="26"/>
        </w:rPr>
        <w:t>essential</w:t>
      </w:r>
      <w:r>
        <w:rPr>
          <w:spacing w:val="-8"/>
          <w:sz w:val="26"/>
        </w:rPr>
        <w:t xml:space="preserve"> </w:t>
      </w:r>
      <w:r>
        <w:rPr>
          <w:sz w:val="26"/>
        </w:rPr>
        <w:t>must</w:t>
      </w:r>
      <w:r>
        <w:rPr>
          <w:spacing w:val="-8"/>
          <w:sz w:val="26"/>
        </w:rPr>
        <w:t xml:space="preserve"> </w:t>
      </w:r>
      <w:r>
        <w:rPr>
          <w:sz w:val="26"/>
        </w:rPr>
        <w:t>be</w:t>
      </w:r>
      <w:r>
        <w:rPr>
          <w:spacing w:val="-9"/>
          <w:sz w:val="26"/>
        </w:rPr>
        <w:t xml:space="preserve"> </w:t>
      </w:r>
      <w:r>
        <w:rPr>
          <w:sz w:val="26"/>
        </w:rPr>
        <w:t>such</w:t>
      </w:r>
      <w:r>
        <w:rPr>
          <w:spacing w:val="-8"/>
          <w:sz w:val="26"/>
        </w:rPr>
        <w:t xml:space="preserve"> </w:t>
      </w:r>
      <w:r>
        <w:rPr>
          <w:sz w:val="26"/>
        </w:rPr>
        <w:t>that</w:t>
      </w:r>
      <w:r>
        <w:rPr>
          <w:spacing w:val="-8"/>
          <w:sz w:val="26"/>
        </w:rPr>
        <w:t xml:space="preserve"> </w:t>
      </w:r>
      <w:r>
        <w:rPr>
          <w:sz w:val="26"/>
        </w:rPr>
        <w:t>the nature</w:t>
      </w:r>
      <w:r>
        <w:rPr>
          <w:spacing w:val="-5"/>
          <w:sz w:val="26"/>
        </w:rPr>
        <w:t xml:space="preserve"> </w:t>
      </w:r>
      <w:r>
        <w:rPr>
          <w:sz w:val="26"/>
        </w:rPr>
        <w:t>of</w:t>
      </w:r>
      <w:r>
        <w:rPr>
          <w:spacing w:val="-5"/>
          <w:sz w:val="26"/>
        </w:rPr>
        <w:t xml:space="preserve"> </w:t>
      </w:r>
      <w:r>
        <w:rPr>
          <w:sz w:val="26"/>
        </w:rPr>
        <w:t>the</w:t>
      </w:r>
      <w:r>
        <w:rPr>
          <w:spacing w:val="-5"/>
          <w:sz w:val="26"/>
        </w:rPr>
        <w:t xml:space="preserve"> </w:t>
      </w:r>
      <w:r>
        <w:rPr>
          <w:sz w:val="26"/>
        </w:rPr>
        <w:t>religion</w:t>
      </w:r>
      <w:r>
        <w:rPr>
          <w:spacing w:val="-2"/>
          <w:sz w:val="26"/>
        </w:rPr>
        <w:t xml:space="preserve"> </w:t>
      </w:r>
      <w:r>
        <w:rPr>
          <w:sz w:val="26"/>
        </w:rPr>
        <w:t>would</w:t>
      </w:r>
      <w:r>
        <w:rPr>
          <w:spacing w:val="-4"/>
          <w:sz w:val="26"/>
        </w:rPr>
        <w:t xml:space="preserve"> </w:t>
      </w:r>
      <w:r>
        <w:rPr>
          <w:sz w:val="26"/>
        </w:rPr>
        <w:t>be</w:t>
      </w:r>
      <w:r>
        <w:rPr>
          <w:spacing w:val="-5"/>
          <w:sz w:val="26"/>
        </w:rPr>
        <w:t xml:space="preserve"> </w:t>
      </w:r>
      <w:r>
        <w:rPr>
          <w:sz w:val="26"/>
        </w:rPr>
        <w:t>altered</w:t>
      </w:r>
      <w:r>
        <w:rPr>
          <w:spacing w:val="-5"/>
          <w:sz w:val="26"/>
        </w:rPr>
        <w:t xml:space="preserve"> </w:t>
      </w:r>
      <w:r>
        <w:rPr>
          <w:sz w:val="26"/>
        </w:rPr>
        <w:t>in</w:t>
      </w:r>
      <w:r>
        <w:rPr>
          <w:spacing w:val="-4"/>
          <w:sz w:val="26"/>
        </w:rPr>
        <w:t xml:space="preserve"> </w:t>
      </w:r>
      <w:r>
        <w:rPr>
          <w:sz w:val="26"/>
        </w:rPr>
        <w:t>the</w:t>
      </w:r>
      <w:r>
        <w:rPr>
          <w:spacing w:val="-3"/>
          <w:sz w:val="26"/>
        </w:rPr>
        <w:t xml:space="preserve"> </w:t>
      </w:r>
      <w:r>
        <w:rPr>
          <w:sz w:val="26"/>
        </w:rPr>
        <w:t>absence</w:t>
      </w:r>
      <w:r>
        <w:rPr>
          <w:spacing w:val="-6"/>
          <w:sz w:val="26"/>
        </w:rPr>
        <w:t xml:space="preserve"> </w:t>
      </w:r>
      <w:r>
        <w:rPr>
          <w:sz w:val="26"/>
        </w:rPr>
        <w:t>of</w:t>
      </w:r>
      <w:r>
        <w:rPr>
          <w:spacing w:val="-7"/>
          <w:sz w:val="26"/>
        </w:rPr>
        <w:t xml:space="preserve"> </w:t>
      </w:r>
      <w:r>
        <w:rPr>
          <w:sz w:val="26"/>
        </w:rPr>
        <w:t>that</w:t>
      </w:r>
      <w:r>
        <w:rPr>
          <w:spacing w:val="-5"/>
          <w:sz w:val="26"/>
        </w:rPr>
        <w:t xml:space="preserve"> </w:t>
      </w:r>
      <w:r>
        <w:rPr>
          <w:sz w:val="26"/>
        </w:rPr>
        <w:t>practice.</w:t>
      </w:r>
      <w:r>
        <w:rPr>
          <w:spacing w:val="-5"/>
          <w:sz w:val="26"/>
        </w:rPr>
        <w:t xml:space="preserve"> </w:t>
      </w:r>
      <w:r>
        <w:rPr>
          <w:sz w:val="26"/>
        </w:rPr>
        <w:t>If</w:t>
      </w:r>
      <w:r>
        <w:rPr>
          <w:spacing w:val="-3"/>
          <w:sz w:val="26"/>
        </w:rPr>
        <w:t xml:space="preserve"> </w:t>
      </w:r>
      <w:r>
        <w:rPr>
          <w:sz w:val="26"/>
        </w:rPr>
        <w:t>there</w:t>
      </w:r>
      <w:r>
        <w:rPr>
          <w:spacing w:val="-5"/>
          <w:sz w:val="26"/>
        </w:rPr>
        <w:t xml:space="preserve"> </w:t>
      </w:r>
      <w:r>
        <w:rPr>
          <w:sz w:val="26"/>
        </w:rPr>
        <w:t>is a fundamental change in the character of the religion, only then can such a practice be claimed to be an ‘essential’ part of that</w:t>
      </w:r>
      <w:r>
        <w:rPr>
          <w:spacing w:val="-10"/>
          <w:sz w:val="26"/>
        </w:rPr>
        <w:t xml:space="preserve"> </w:t>
      </w:r>
      <w:r>
        <w:rPr>
          <w:sz w:val="26"/>
        </w:rPr>
        <w:t>religion.</w:t>
      </w:r>
    </w:p>
    <w:p w:rsidR="003B2FC0" w:rsidRDefault="003B2FC0">
      <w:pPr>
        <w:rPr>
          <w:sz w:val="28"/>
        </w:rPr>
      </w:pPr>
    </w:p>
    <w:p w:rsidR="003B2FC0" w:rsidRDefault="003B2FC0">
      <w:pPr>
        <w:spacing w:before="9"/>
        <w:rPr>
          <w:sz w:val="32"/>
        </w:rPr>
      </w:pPr>
    </w:p>
    <w:p w:rsidR="003B2FC0" w:rsidRDefault="00052A49">
      <w:pPr>
        <w:spacing w:line="480" w:lineRule="auto"/>
        <w:ind w:left="400" w:right="434"/>
        <w:jc w:val="both"/>
        <w:rPr>
          <w:sz w:val="26"/>
        </w:rPr>
      </w:pPr>
      <w:r>
        <w:rPr>
          <w:sz w:val="26"/>
        </w:rPr>
        <w:t xml:space="preserve">In </w:t>
      </w:r>
      <w:r>
        <w:rPr>
          <w:b/>
          <w:sz w:val="26"/>
        </w:rPr>
        <w:t>Tilkayat</w:t>
      </w:r>
      <w:r>
        <w:rPr>
          <w:sz w:val="26"/>
        </w:rPr>
        <w:t>, this Court noted that ‘whether an affair in question is an affair in matters</w:t>
      </w:r>
      <w:r>
        <w:rPr>
          <w:spacing w:val="-12"/>
          <w:sz w:val="26"/>
        </w:rPr>
        <w:t xml:space="preserve"> </w:t>
      </w:r>
      <w:r>
        <w:rPr>
          <w:sz w:val="26"/>
        </w:rPr>
        <w:t>of</w:t>
      </w:r>
      <w:r>
        <w:rPr>
          <w:spacing w:val="-12"/>
          <w:sz w:val="26"/>
        </w:rPr>
        <w:t xml:space="preserve"> </w:t>
      </w:r>
      <w:r>
        <w:rPr>
          <w:sz w:val="26"/>
        </w:rPr>
        <w:t>religion</w:t>
      </w:r>
      <w:r>
        <w:rPr>
          <w:spacing w:val="-14"/>
          <w:sz w:val="26"/>
        </w:rPr>
        <w:t xml:space="preserve"> </w:t>
      </w:r>
      <w:r>
        <w:rPr>
          <w:sz w:val="26"/>
        </w:rPr>
        <w:t>or</w:t>
      </w:r>
      <w:r>
        <w:rPr>
          <w:spacing w:val="-11"/>
          <w:sz w:val="26"/>
        </w:rPr>
        <w:t xml:space="preserve"> </w:t>
      </w:r>
      <w:r>
        <w:rPr>
          <w:sz w:val="26"/>
        </w:rPr>
        <w:t>not,</w:t>
      </w:r>
      <w:r>
        <w:rPr>
          <w:spacing w:val="-14"/>
          <w:sz w:val="26"/>
        </w:rPr>
        <w:t xml:space="preserve"> </w:t>
      </w:r>
      <w:r>
        <w:rPr>
          <w:sz w:val="26"/>
        </w:rPr>
        <w:t>m</w:t>
      </w:r>
      <w:r>
        <w:rPr>
          <w:sz w:val="26"/>
        </w:rPr>
        <w:t>ay</w:t>
      </w:r>
      <w:r>
        <w:rPr>
          <w:spacing w:val="-14"/>
          <w:sz w:val="26"/>
        </w:rPr>
        <w:t xml:space="preserve"> </w:t>
      </w:r>
      <w:r>
        <w:rPr>
          <w:sz w:val="26"/>
        </w:rPr>
        <w:t>present</w:t>
      </w:r>
      <w:r>
        <w:rPr>
          <w:spacing w:val="-14"/>
          <w:sz w:val="26"/>
        </w:rPr>
        <w:t xml:space="preserve"> </w:t>
      </w:r>
      <w:r>
        <w:rPr>
          <w:sz w:val="26"/>
        </w:rPr>
        <w:t>difficulties</w:t>
      </w:r>
      <w:r>
        <w:rPr>
          <w:spacing w:val="-11"/>
          <w:sz w:val="26"/>
        </w:rPr>
        <w:t xml:space="preserve"> </w:t>
      </w:r>
      <w:r>
        <w:rPr>
          <w:sz w:val="26"/>
        </w:rPr>
        <w:t>because</w:t>
      </w:r>
      <w:r>
        <w:rPr>
          <w:spacing w:val="-12"/>
          <w:sz w:val="26"/>
        </w:rPr>
        <w:t xml:space="preserve"> </w:t>
      </w:r>
      <w:r>
        <w:rPr>
          <w:sz w:val="26"/>
        </w:rPr>
        <w:t>sometimes</w:t>
      </w:r>
      <w:r>
        <w:rPr>
          <w:spacing w:val="-12"/>
          <w:sz w:val="26"/>
        </w:rPr>
        <w:t xml:space="preserve"> </w:t>
      </w:r>
      <w:r>
        <w:rPr>
          <w:sz w:val="26"/>
        </w:rPr>
        <w:t>practices, religious and secular, are inextricably mixed up.’ The process of disentangling them</w:t>
      </w:r>
      <w:r>
        <w:rPr>
          <w:spacing w:val="-7"/>
          <w:sz w:val="26"/>
        </w:rPr>
        <w:t xml:space="preserve"> </w:t>
      </w:r>
      <w:r>
        <w:rPr>
          <w:sz w:val="26"/>
        </w:rPr>
        <w:t>in</w:t>
      </w:r>
      <w:r>
        <w:rPr>
          <w:spacing w:val="-7"/>
          <w:sz w:val="26"/>
        </w:rPr>
        <w:t xml:space="preserve"> </w:t>
      </w:r>
      <w:r>
        <w:rPr>
          <w:sz w:val="26"/>
        </w:rPr>
        <w:t>order</w:t>
      </w:r>
      <w:r>
        <w:rPr>
          <w:spacing w:val="-7"/>
          <w:sz w:val="26"/>
        </w:rPr>
        <w:t xml:space="preserve"> </w:t>
      </w:r>
      <w:r>
        <w:rPr>
          <w:sz w:val="26"/>
        </w:rPr>
        <w:t>to</w:t>
      </w:r>
      <w:r>
        <w:rPr>
          <w:spacing w:val="-7"/>
          <w:sz w:val="26"/>
        </w:rPr>
        <w:t xml:space="preserve"> </w:t>
      </w:r>
      <w:r>
        <w:rPr>
          <w:sz w:val="26"/>
        </w:rPr>
        <w:t>adjudicate</w:t>
      </w:r>
      <w:r>
        <w:rPr>
          <w:spacing w:val="-7"/>
          <w:sz w:val="26"/>
        </w:rPr>
        <w:t xml:space="preserve"> </w:t>
      </w:r>
      <w:r>
        <w:rPr>
          <w:sz w:val="26"/>
        </w:rPr>
        <w:t>upon</w:t>
      </w:r>
      <w:r>
        <w:rPr>
          <w:spacing w:val="-7"/>
          <w:sz w:val="26"/>
        </w:rPr>
        <w:t xml:space="preserve"> </w:t>
      </w:r>
      <w:r>
        <w:rPr>
          <w:sz w:val="26"/>
        </w:rPr>
        <w:t>claims</w:t>
      </w:r>
      <w:r>
        <w:rPr>
          <w:spacing w:val="-6"/>
          <w:sz w:val="26"/>
        </w:rPr>
        <w:t xml:space="preserve"> </w:t>
      </w:r>
      <w:r>
        <w:rPr>
          <w:sz w:val="26"/>
        </w:rPr>
        <w:t>grounded</w:t>
      </w:r>
      <w:r>
        <w:rPr>
          <w:spacing w:val="-6"/>
          <w:sz w:val="26"/>
        </w:rPr>
        <w:t xml:space="preserve"> </w:t>
      </w:r>
      <w:r>
        <w:rPr>
          <w:sz w:val="26"/>
        </w:rPr>
        <w:t>in</w:t>
      </w:r>
      <w:r>
        <w:rPr>
          <w:spacing w:val="-7"/>
          <w:sz w:val="26"/>
        </w:rPr>
        <w:t xml:space="preserve"> </w:t>
      </w:r>
      <w:r>
        <w:rPr>
          <w:sz w:val="26"/>
        </w:rPr>
        <w:t>Article</w:t>
      </w:r>
      <w:r>
        <w:rPr>
          <w:spacing w:val="-7"/>
          <w:sz w:val="26"/>
        </w:rPr>
        <w:t xml:space="preserve"> </w:t>
      </w:r>
      <w:r>
        <w:rPr>
          <w:sz w:val="26"/>
        </w:rPr>
        <w:t>25</w:t>
      </w:r>
      <w:r>
        <w:rPr>
          <w:spacing w:val="-4"/>
          <w:sz w:val="26"/>
        </w:rPr>
        <w:t xml:space="preserve"> </w:t>
      </w:r>
      <w:r>
        <w:rPr>
          <w:sz w:val="26"/>
        </w:rPr>
        <w:t>and</w:t>
      </w:r>
      <w:r>
        <w:rPr>
          <w:spacing w:val="-7"/>
          <w:sz w:val="26"/>
        </w:rPr>
        <w:t xml:space="preserve"> </w:t>
      </w:r>
      <w:r>
        <w:rPr>
          <w:sz w:val="26"/>
        </w:rPr>
        <w:t>Article</w:t>
      </w:r>
      <w:r>
        <w:rPr>
          <w:spacing w:val="-7"/>
          <w:sz w:val="26"/>
        </w:rPr>
        <w:t xml:space="preserve"> </w:t>
      </w:r>
      <w:r>
        <w:rPr>
          <w:sz w:val="26"/>
        </w:rPr>
        <w:t>26(b)</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3"/>
        <w:jc w:val="both"/>
        <w:rPr>
          <w:sz w:val="26"/>
        </w:rPr>
      </w:pPr>
      <w:r>
        <w:rPr>
          <w:sz w:val="26"/>
        </w:rPr>
        <w:t xml:space="preserve">becomes ultimately an exercise of judicial balancing. </w:t>
      </w:r>
      <w:r>
        <w:rPr>
          <w:b/>
          <w:sz w:val="26"/>
        </w:rPr>
        <w:t xml:space="preserve">Durgah Committee </w:t>
      </w:r>
      <w:r>
        <w:rPr>
          <w:sz w:val="26"/>
        </w:rPr>
        <w:t>established that in examining a claim that a practice is essential to religion, the Court must ‘carefully scrutinize’ the claims put before it in order to ensure that practices which ha</w:t>
      </w:r>
      <w:r>
        <w:rPr>
          <w:sz w:val="26"/>
        </w:rPr>
        <w:t>ve sprung from ‘superstitious beliefs’, through grounded in religion,</w:t>
      </w:r>
      <w:r>
        <w:rPr>
          <w:spacing w:val="-10"/>
          <w:sz w:val="26"/>
        </w:rPr>
        <w:t xml:space="preserve"> </w:t>
      </w:r>
      <w:r>
        <w:rPr>
          <w:sz w:val="26"/>
        </w:rPr>
        <w:t>will</w:t>
      </w:r>
      <w:r>
        <w:rPr>
          <w:spacing w:val="-12"/>
          <w:sz w:val="26"/>
        </w:rPr>
        <w:t xml:space="preserve"> </w:t>
      </w:r>
      <w:r>
        <w:rPr>
          <w:sz w:val="26"/>
        </w:rPr>
        <w:t>not</w:t>
      </w:r>
      <w:r>
        <w:rPr>
          <w:spacing w:val="-14"/>
          <w:sz w:val="26"/>
        </w:rPr>
        <w:t xml:space="preserve"> </w:t>
      </w:r>
      <w:r>
        <w:rPr>
          <w:sz w:val="26"/>
        </w:rPr>
        <w:t>be</w:t>
      </w:r>
      <w:r>
        <w:rPr>
          <w:spacing w:val="-14"/>
          <w:sz w:val="26"/>
        </w:rPr>
        <w:t xml:space="preserve"> </w:t>
      </w:r>
      <w:r>
        <w:rPr>
          <w:sz w:val="26"/>
        </w:rPr>
        <w:t>afforded</w:t>
      </w:r>
      <w:r>
        <w:rPr>
          <w:spacing w:val="-12"/>
          <w:sz w:val="26"/>
        </w:rPr>
        <w:t xml:space="preserve"> </w:t>
      </w:r>
      <w:r>
        <w:rPr>
          <w:sz w:val="26"/>
        </w:rPr>
        <w:t>constitutional</w:t>
      </w:r>
      <w:r>
        <w:rPr>
          <w:spacing w:val="-9"/>
          <w:sz w:val="26"/>
        </w:rPr>
        <w:t xml:space="preserve"> </w:t>
      </w:r>
      <w:r>
        <w:rPr>
          <w:sz w:val="26"/>
        </w:rPr>
        <w:t>protection.</w:t>
      </w:r>
      <w:r>
        <w:rPr>
          <w:spacing w:val="-8"/>
          <w:sz w:val="26"/>
        </w:rPr>
        <w:t xml:space="preserve"> </w:t>
      </w:r>
      <w:r>
        <w:rPr>
          <w:b/>
          <w:sz w:val="26"/>
        </w:rPr>
        <w:t>Saifuddin</w:t>
      </w:r>
      <w:r>
        <w:rPr>
          <w:b/>
          <w:spacing w:val="-13"/>
          <w:sz w:val="26"/>
        </w:rPr>
        <w:t xml:space="preserve"> </w:t>
      </w:r>
      <w:r>
        <w:rPr>
          <w:sz w:val="26"/>
        </w:rPr>
        <w:t>recognized</w:t>
      </w:r>
      <w:r>
        <w:rPr>
          <w:spacing w:val="-14"/>
          <w:sz w:val="26"/>
        </w:rPr>
        <w:t xml:space="preserve"> </w:t>
      </w:r>
      <w:r>
        <w:rPr>
          <w:sz w:val="26"/>
        </w:rPr>
        <w:t xml:space="preserve">that where a purportedly essential practice is based on an ‘obnoxious social rule or practice’, it would be amenable </w:t>
      </w:r>
      <w:r>
        <w:rPr>
          <w:sz w:val="26"/>
        </w:rPr>
        <w:t>to a measure of social</w:t>
      </w:r>
      <w:r>
        <w:rPr>
          <w:spacing w:val="-11"/>
          <w:sz w:val="26"/>
        </w:rPr>
        <w:t xml:space="preserve"> </w:t>
      </w:r>
      <w:r>
        <w:rPr>
          <w:sz w:val="26"/>
        </w:rPr>
        <w:t>reform.</w:t>
      </w:r>
    </w:p>
    <w:p w:rsidR="003B2FC0" w:rsidRDefault="003B2FC0">
      <w:pPr>
        <w:rPr>
          <w:sz w:val="28"/>
        </w:rPr>
      </w:pPr>
    </w:p>
    <w:p w:rsidR="003B2FC0" w:rsidRDefault="003B2FC0">
      <w:pPr>
        <w:spacing w:before="9"/>
        <w:rPr>
          <w:sz w:val="32"/>
        </w:rPr>
      </w:pPr>
    </w:p>
    <w:p w:rsidR="003B2FC0" w:rsidRDefault="00052A49">
      <w:pPr>
        <w:spacing w:line="480" w:lineRule="auto"/>
        <w:ind w:left="400" w:right="434"/>
        <w:jc w:val="both"/>
        <w:rPr>
          <w:sz w:val="26"/>
        </w:rPr>
      </w:pPr>
      <w:r>
        <w:rPr>
          <w:sz w:val="26"/>
        </w:rPr>
        <w:t xml:space="preserve">Of crucial importance are the observations in </w:t>
      </w:r>
      <w:r>
        <w:rPr>
          <w:b/>
          <w:sz w:val="26"/>
        </w:rPr>
        <w:t>Devaru</w:t>
      </w:r>
      <w:r>
        <w:rPr>
          <w:sz w:val="26"/>
        </w:rPr>
        <w:t>, where the Court harmonized the inherent tension between the individual right under Article 25(2)(b) and the denominational right under Article 26(b). Where the protectio</w:t>
      </w:r>
      <w:r>
        <w:rPr>
          <w:sz w:val="26"/>
        </w:rPr>
        <w:t>n of</w:t>
      </w:r>
      <w:r>
        <w:rPr>
          <w:spacing w:val="-19"/>
          <w:sz w:val="26"/>
        </w:rPr>
        <w:t xml:space="preserve"> </w:t>
      </w:r>
      <w:r>
        <w:rPr>
          <w:sz w:val="26"/>
        </w:rPr>
        <w:t>denominational</w:t>
      </w:r>
      <w:r>
        <w:rPr>
          <w:spacing w:val="-18"/>
          <w:sz w:val="26"/>
        </w:rPr>
        <w:t xml:space="preserve"> </w:t>
      </w:r>
      <w:r>
        <w:rPr>
          <w:sz w:val="26"/>
        </w:rPr>
        <w:t>rights</w:t>
      </w:r>
      <w:r>
        <w:rPr>
          <w:spacing w:val="-16"/>
          <w:sz w:val="26"/>
        </w:rPr>
        <w:t xml:space="preserve"> </w:t>
      </w:r>
      <w:r>
        <w:rPr>
          <w:sz w:val="26"/>
        </w:rPr>
        <w:t>would</w:t>
      </w:r>
      <w:r>
        <w:rPr>
          <w:spacing w:val="-16"/>
          <w:sz w:val="26"/>
        </w:rPr>
        <w:t xml:space="preserve"> </w:t>
      </w:r>
      <w:r>
        <w:rPr>
          <w:sz w:val="26"/>
        </w:rPr>
        <w:t>substantially</w:t>
      </w:r>
      <w:r>
        <w:rPr>
          <w:spacing w:val="-19"/>
          <w:sz w:val="26"/>
        </w:rPr>
        <w:t xml:space="preserve"> </w:t>
      </w:r>
      <w:r>
        <w:rPr>
          <w:sz w:val="26"/>
        </w:rPr>
        <w:t>reduce</w:t>
      </w:r>
      <w:r>
        <w:rPr>
          <w:spacing w:val="-16"/>
          <w:sz w:val="26"/>
        </w:rPr>
        <w:t xml:space="preserve"> </w:t>
      </w:r>
      <w:r>
        <w:rPr>
          <w:sz w:val="26"/>
        </w:rPr>
        <w:t>the</w:t>
      </w:r>
      <w:r>
        <w:rPr>
          <w:spacing w:val="-17"/>
          <w:sz w:val="26"/>
        </w:rPr>
        <w:t xml:space="preserve"> </w:t>
      </w:r>
      <w:r>
        <w:rPr>
          <w:sz w:val="26"/>
        </w:rPr>
        <w:t>right</w:t>
      </w:r>
      <w:r>
        <w:rPr>
          <w:spacing w:val="-18"/>
          <w:sz w:val="26"/>
        </w:rPr>
        <w:t xml:space="preserve"> </w:t>
      </w:r>
      <w:r>
        <w:rPr>
          <w:sz w:val="26"/>
        </w:rPr>
        <w:t>conferred</w:t>
      </w:r>
      <w:r>
        <w:rPr>
          <w:spacing w:val="-17"/>
          <w:sz w:val="26"/>
        </w:rPr>
        <w:t xml:space="preserve"> </w:t>
      </w:r>
      <w:r>
        <w:rPr>
          <w:sz w:val="26"/>
        </w:rPr>
        <w:t>by</w:t>
      </w:r>
      <w:r>
        <w:rPr>
          <w:spacing w:val="-18"/>
          <w:sz w:val="26"/>
        </w:rPr>
        <w:t xml:space="preserve"> </w:t>
      </w:r>
      <w:r>
        <w:rPr>
          <w:sz w:val="26"/>
        </w:rPr>
        <w:t>Article 25(2)(b), the latter would prevail against the former. This ensures that the constitutional guarantee under Article 25(2)(b) is not destroyed by</w:t>
      </w:r>
      <w:r>
        <w:rPr>
          <w:spacing w:val="-27"/>
          <w:sz w:val="26"/>
        </w:rPr>
        <w:t xml:space="preserve"> </w:t>
      </w:r>
      <w:r>
        <w:rPr>
          <w:sz w:val="26"/>
        </w:rPr>
        <w:t xml:space="preserve">exclusionary claims which </w:t>
      </w:r>
      <w:r>
        <w:rPr>
          <w:sz w:val="26"/>
        </w:rPr>
        <w:t>detract from individual dignity. That a practice claimed to be essential</w:t>
      </w:r>
      <w:r>
        <w:rPr>
          <w:spacing w:val="-7"/>
          <w:sz w:val="26"/>
        </w:rPr>
        <w:t xml:space="preserve"> </w:t>
      </w:r>
      <w:r>
        <w:rPr>
          <w:sz w:val="26"/>
        </w:rPr>
        <w:t>has</w:t>
      </w:r>
      <w:r>
        <w:rPr>
          <w:spacing w:val="-4"/>
          <w:sz w:val="26"/>
        </w:rPr>
        <w:t xml:space="preserve"> </w:t>
      </w:r>
      <w:r>
        <w:rPr>
          <w:sz w:val="26"/>
        </w:rPr>
        <w:t>been</w:t>
      </w:r>
      <w:r>
        <w:rPr>
          <w:spacing w:val="-7"/>
          <w:sz w:val="26"/>
        </w:rPr>
        <w:t xml:space="preserve"> </w:t>
      </w:r>
      <w:r>
        <w:rPr>
          <w:sz w:val="26"/>
        </w:rPr>
        <w:t>carried</w:t>
      </w:r>
      <w:r>
        <w:rPr>
          <w:spacing w:val="-6"/>
          <w:sz w:val="26"/>
        </w:rPr>
        <w:t xml:space="preserve"> </w:t>
      </w:r>
      <w:r>
        <w:rPr>
          <w:sz w:val="26"/>
        </w:rPr>
        <w:t>on</w:t>
      </w:r>
      <w:r>
        <w:rPr>
          <w:spacing w:val="-7"/>
          <w:sz w:val="26"/>
        </w:rPr>
        <w:t xml:space="preserve"> </w:t>
      </w:r>
      <w:r>
        <w:rPr>
          <w:sz w:val="26"/>
        </w:rPr>
        <w:t>since</w:t>
      </w:r>
      <w:r>
        <w:rPr>
          <w:spacing w:val="-6"/>
          <w:sz w:val="26"/>
        </w:rPr>
        <w:t xml:space="preserve"> </w:t>
      </w:r>
      <w:r>
        <w:rPr>
          <w:sz w:val="26"/>
        </w:rPr>
        <w:t>time</w:t>
      </w:r>
      <w:r>
        <w:rPr>
          <w:spacing w:val="-6"/>
          <w:sz w:val="26"/>
        </w:rPr>
        <w:t xml:space="preserve"> </w:t>
      </w:r>
      <w:r>
        <w:rPr>
          <w:sz w:val="26"/>
        </w:rPr>
        <w:t>immemorial</w:t>
      </w:r>
      <w:r>
        <w:rPr>
          <w:spacing w:val="-7"/>
          <w:sz w:val="26"/>
        </w:rPr>
        <w:t xml:space="preserve"> </w:t>
      </w:r>
      <w:r>
        <w:rPr>
          <w:sz w:val="26"/>
        </w:rPr>
        <w:t>or</w:t>
      </w:r>
      <w:r>
        <w:rPr>
          <w:spacing w:val="-3"/>
          <w:sz w:val="26"/>
        </w:rPr>
        <w:t xml:space="preserve"> </w:t>
      </w:r>
      <w:r>
        <w:rPr>
          <w:sz w:val="26"/>
        </w:rPr>
        <w:t>is</w:t>
      </w:r>
      <w:r>
        <w:rPr>
          <w:spacing w:val="-7"/>
          <w:sz w:val="26"/>
        </w:rPr>
        <w:t xml:space="preserve"> </w:t>
      </w:r>
      <w:r>
        <w:rPr>
          <w:sz w:val="26"/>
        </w:rPr>
        <w:t>grounded</w:t>
      </w:r>
      <w:r>
        <w:rPr>
          <w:spacing w:val="-6"/>
          <w:sz w:val="26"/>
        </w:rPr>
        <w:t xml:space="preserve"> </w:t>
      </w:r>
      <w:r>
        <w:rPr>
          <w:sz w:val="26"/>
        </w:rPr>
        <w:t>in</w:t>
      </w:r>
      <w:r>
        <w:rPr>
          <w:spacing w:val="-6"/>
          <w:sz w:val="26"/>
        </w:rPr>
        <w:t xml:space="preserve"> </w:t>
      </w:r>
      <w:r>
        <w:rPr>
          <w:sz w:val="26"/>
        </w:rPr>
        <w:t>religious texts, does not lend to it constitutional protection unless it passes the test of essentiality.</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7"/>
        <w:rPr>
          <w:sz w:val="21"/>
        </w:rPr>
      </w:pPr>
    </w:p>
    <w:p w:rsidR="003B2FC0" w:rsidRDefault="00052A49">
      <w:pPr>
        <w:pStyle w:val="Heading1"/>
        <w:numPr>
          <w:ilvl w:val="0"/>
          <w:numId w:val="40"/>
        </w:numPr>
        <w:tabs>
          <w:tab w:val="left" w:pos="1031"/>
          <w:tab w:val="left" w:pos="1032"/>
          <w:tab w:val="left" w:pos="1837"/>
          <w:tab w:val="left" w:pos="3795"/>
          <w:tab w:val="left" w:pos="4369"/>
          <w:tab w:val="left" w:pos="5875"/>
          <w:tab w:val="left" w:pos="7352"/>
          <w:tab w:val="left" w:pos="8885"/>
        </w:tabs>
        <w:spacing w:before="92" w:line="362" w:lineRule="auto"/>
        <w:ind w:left="1031" w:right="431" w:hanging="631"/>
        <w:jc w:val="left"/>
      </w:pPr>
      <w:r>
        <w:t>The</w:t>
      </w:r>
      <w:r>
        <w:tab/>
        <w:t>engagement</w:t>
      </w:r>
      <w:r>
        <w:tab/>
        <w:t>of</w:t>
      </w:r>
      <w:r>
        <w:tab/>
        <w:t>essential</w:t>
      </w:r>
      <w:r>
        <w:tab/>
        <w:t>religious</w:t>
      </w:r>
      <w:r>
        <w:tab/>
        <w:t>practices</w:t>
      </w:r>
      <w:r>
        <w:tab/>
      </w:r>
      <w:r>
        <w:rPr>
          <w:spacing w:val="-3"/>
        </w:rPr>
        <w:t xml:space="preserve">with </w:t>
      </w:r>
      <w:r>
        <w:t>constitutional</w:t>
      </w:r>
      <w:r>
        <w:rPr>
          <w:spacing w:val="-2"/>
        </w:rPr>
        <w:t xml:space="preserve"> </w:t>
      </w:r>
      <w:r>
        <w:t>values</w:t>
      </w:r>
    </w:p>
    <w:p w:rsidR="003B2FC0" w:rsidRDefault="003B2FC0">
      <w:pPr>
        <w:rPr>
          <w:b/>
          <w:sz w:val="30"/>
        </w:rPr>
      </w:pPr>
    </w:p>
    <w:p w:rsidR="003B2FC0" w:rsidRDefault="003B2FC0">
      <w:pPr>
        <w:spacing w:before="5"/>
        <w:rPr>
          <w:b/>
          <w:sz w:val="30"/>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For decades, this Court has witnessed claims resting on the essentiality of a practice that militate against the constitutional protection of dignity and individual freedom under the Constitution. It is the duty of the courts to ensure that what is protect</w:t>
      </w:r>
      <w:r>
        <w:rPr>
          <w:sz w:val="26"/>
        </w:rPr>
        <w:t>ed is in conformity with fundamental constitutional values and guarantees and accords with constitutional morality. While the</w:t>
      </w:r>
      <w:r>
        <w:rPr>
          <w:spacing w:val="-41"/>
          <w:sz w:val="26"/>
        </w:rPr>
        <w:t xml:space="preserve"> </w:t>
      </w:r>
      <w:r>
        <w:rPr>
          <w:sz w:val="26"/>
        </w:rPr>
        <w:t>Constitution is solicitous in its protection of religious freedom as well as denominational rights,</w:t>
      </w:r>
      <w:r>
        <w:rPr>
          <w:spacing w:val="-16"/>
          <w:sz w:val="26"/>
        </w:rPr>
        <w:t xml:space="preserve"> </w:t>
      </w:r>
      <w:r>
        <w:rPr>
          <w:sz w:val="26"/>
        </w:rPr>
        <w:t>it</w:t>
      </w:r>
      <w:r>
        <w:rPr>
          <w:spacing w:val="-15"/>
          <w:sz w:val="26"/>
        </w:rPr>
        <w:t xml:space="preserve"> </w:t>
      </w:r>
      <w:r>
        <w:rPr>
          <w:sz w:val="26"/>
        </w:rPr>
        <w:t>must</w:t>
      </w:r>
      <w:r>
        <w:rPr>
          <w:spacing w:val="-16"/>
          <w:sz w:val="26"/>
        </w:rPr>
        <w:t xml:space="preserve"> </w:t>
      </w:r>
      <w:r>
        <w:rPr>
          <w:sz w:val="26"/>
        </w:rPr>
        <w:t>be</w:t>
      </w:r>
      <w:r>
        <w:rPr>
          <w:spacing w:val="-15"/>
          <w:sz w:val="26"/>
        </w:rPr>
        <w:t xml:space="preserve"> </w:t>
      </w:r>
      <w:r>
        <w:rPr>
          <w:sz w:val="26"/>
        </w:rPr>
        <w:t>understood</w:t>
      </w:r>
      <w:r>
        <w:rPr>
          <w:spacing w:val="-16"/>
          <w:sz w:val="26"/>
        </w:rPr>
        <w:t xml:space="preserve"> </w:t>
      </w:r>
      <w:r>
        <w:rPr>
          <w:sz w:val="26"/>
        </w:rPr>
        <w:t>that</w:t>
      </w:r>
      <w:r>
        <w:rPr>
          <w:spacing w:val="-15"/>
          <w:sz w:val="26"/>
        </w:rPr>
        <w:t xml:space="preserve"> </w:t>
      </w:r>
      <w:r>
        <w:rPr>
          <w:sz w:val="26"/>
        </w:rPr>
        <w:t>dig</w:t>
      </w:r>
      <w:r>
        <w:rPr>
          <w:sz w:val="26"/>
        </w:rPr>
        <w:t>nity,</w:t>
      </w:r>
      <w:r>
        <w:rPr>
          <w:spacing w:val="-16"/>
          <w:sz w:val="26"/>
        </w:rPr>
        <w:t xml:space="preserve"> </w:t>
      </w:r>
      <w:r>
        <w:rPr>
          <w:sz w:val="26"/>
        </w:rPr>
        <w:t>liberty</w:t>
      </w:r>
      <w:r>
        <w:rPr>
          <w:spacing w:val="-18"/>
          <w:sz w:val="26"/>
        </w:rPr>
        <w:t xml:space="preserve"> </w:t>
      </w:r>
      <w:r>
        <w:rPr>
          <w:sz w:val="26"/>
        </w:rPr>
        <w:t>and</w:t>
      </w:r>
      <w:r>
        <w:rPr>
          <w:spacing w:val="-16"/>
          <w:sz w:val="26"/>
        </w:rPr>
        <w:t xml:space="preserve"> </w:t>
      </w:r>
      <w:r>
        <w:rPr>
          <w:sz w:val="26"/>
        </w:rPr>
        <w:t>equality</w:t>
      </w:r>
      <w:r>
        <w:rPr>
          <w:spacing w:val="-18"/>
          <w:sz w:val="26"/>
        </w:rPr>
        <w:t xml:space="preserve"> </w:t>
      </w:r>
      <w:r>
        <w:rPr>
          <w:sz w:val="26"/>
        </w:rPr>
        <w:t>constitute</w:t>
      </w:r>
      <w:r>
        <w:rPr>
          <w:spacing w:val="-17"/>
          <w:sz w:val="26"/>
        </w:rPr>
        <w:t xml:space="preserve"> </w:t>
      </w:r>
      <w:r>
        <w:rPr>
          <w:sz w:val="26"/>
        </w:rPr>
        <w:t>the</w:t>
      </w:r>
      <w:r>
        <w:rPr>
          <w:spacing w:val="-15"/>
          <w:sz w:val="26"/>
        </w:rPr>
        <w:t xml:space="preserve"> </w:t>
      </w:r>
      <w:r>
        <w:rPr>
          <w:sz w:val="26"/>
        </w:rPr>
        <w:t>trinity which defines the faith of the Constitution. Together, these three values combine to define a constitutional order of priorities. Practices or beliefs which detract</w:t>
      </w:r>
      <w:r>
        <w:rPr>
          <w:spacing w:val="-9"/>
          <w:sz w:val="26"/>
        </w:rPr>
        <w:t xml:space="preserve"> </w:t>
      </w:r>
      <w:r>
        <w:rPr>
          <w:sz w:val="26"/>
        </w:rPr>
        <w:t>from</w:t>
      </w:r>
      <w:r>
        <w:rPr>
          <w:spacing w:val="-10"/>
          <w:sz w:val="26"/>
        </w:rPr>
        <w:t xml:space="preserve"> </w:t>
      </w:r>
      <w:r>
        <w:rPr>
          <w:sz w:val="26"/>
        </w:rPr>
        <w:t>these</w:t>
      </w:r>
      <w:r>
        <w:rPr>
          <w:spacing w:val="-9"/>
          <w:sz w:val="26"/>
        </w:rPr>
        <w:t xml:space="preserve"> </w:t>
      </w:r>
      <w:r>
        <w:rPr>
          <w:sz w:val="26"/>
        </w:rPr>
        <w:t>foundational</w:t>
      </w:r>
      <w:r>
        <w:rPr>
          <w:spacing w:val="-9"/>
          <w:sz w:val="26"/>
        </w:rPr>
        <w:t xml:space="preserve"> </w:t>
      </w:r>
      <w:r>
        <w:rPr>
          <w:sz w:val="26"/>
        </w:rPr>
        <w:t>values</w:t>
      </w:r>
      <w:r>
        <w:rPr>
          <w:spacing w:val="-9"/>
          <w:sz w:val="26"/>
        </w:rPr>
        <w:t xml:space="preserve"> </w:t>
      </w:r>
      <w:r>
        <w:rPr>
          <w:sz w:val="26"/>
        </w:rPr>
        <w:t>cannot</w:t>
      </w:r>
      <w:r>
        <w:rPr>
          <w:spacing w:val="-11"/>
          <w:sz w:val="26"/>
        </w:rPr>
        <w:t xml:space="preserve"> </w:t>
      </w:r>
      <w:r>
        <w:rPr>
          <w:sz w:val="26"/>
        </w:rPr>
        <w:t>claim</w:t>
      </w:r>
      <w:r>
        <w:rPr>
          <w:spacing w:val="-11"/>
          <w:sz w:val="26"/>
        </w:rPr>
        <w:t xml:space="preserve"> </w:t>
      </w:r>
      <w:r>
        <w:rPr>
          <w:sz w:val="26"/>
        </w:rPr>
        <w:t>legitimacy.</w:t>
      </w:r>
      <w:r>
        <w:rPr>
          <w:spacing w:val="-11"/>
          <w:sz w:val="26"/>
        </w:rPr>
        <w:t xml:space="preserve"> </w:t>
      </w:r>
      <w:r>
        <w:rPr>
          <w:sz w:val="26"/>
        </w:rPr>
        <w:t>In</w:t>
      </w:r>
      <w:r>
        <w:rPr>
          <w:spacing w:val="-10"/>
          <w:sz w:val="26"/>
        </w:rPr>
        <w:t xml:space="preserve"> </w:t>
      </w:r>
      <w:r>
        <w:rPr>
          <w:b/>
          <w:sz w:val="26"/>
        </w:rPr>
        <w:t xml:space="preserve">Government of NCT of Delhi </w:t>
      </w:r>
      <w:r>
        <w:rPr>
          <w:sz w:val="26"/>
        </w:rPr>
        <w:t xml:space="preserve">v </w:t>
      </w:r>
      <w:r>
        <w:rPr>
          <w:b/>
          <w:sz w:val="26"/>
        </w:rPr>
        <w:t>Union of India</w:t>
      </w:r>
      <w:r>
        <w:rPr>
          <w:position w:val="9"/>
          <w:sz w:val="17"/>
        </w:rPr>
        <w:t>46</w:t>
      </w:r>
      <w:r>
        <w:rPr>
          <w:sz w:val="26"/>
        </w:rPr>
        <w:t>, one of us (Chandrachud J), observed the importance of constitutional morality as a governing</w:t>
      </w:r>
      <w:r>
        <w:rPr>
          <w:spacing w:val="-2"/>
          <w:sz w:val="26"/>
        </w:rPr>
        <w:t xml:space="preserve"> </w:t>
      </w:r>
      <w:r>
        <w:rPr>
          <w:sz w:val="26"/>
        </w:rPr>
        <w:t>ideal:</w:t>
      </w:r>
    </w:p>
    <w:p w:rsidR="003B2FC0" w:rsidRDefault="00052A49">
      <w:pPr>
        <w:spacing w:before="195" w:line="276" w:lineRule="auto"/>
        <w:ind w:left="1840" w:right="2281"/>
        <w:jc w:val="both"/>
        <w:rPr>
          <w:sz w:val="21"/>
        </w:rPr>
      </w:pPr>
      <w:r>
        <w:rPr>
          <w:sz w:val="21"/>
        </w:rPr>
        <w:t>“Constitutional morality highlights the need to preserve the trust</w:t>
      </w:r>
      <w:r>
        <w:rPr>
          <w:spacing w:val="-15"/>
          <w:sz w:val="21"/>
        </w:rPr>
        <w:t xml:space="preserve"> </w:t>
      </w:r>
      <w:r>
        <w:rPr>
          <w:sz w:val="21"/>
        </w:rPr>
        <w:t>of</w:t>
      </w:r>
      <w:r>
        <w:rPr>
          <w:spacing w:val="-12"/>
          <w:sz w:val="21"/>
        </w:rPr>
        <w:t xml:space="preserve"> </w:t>
      </w:r>
      <w:r>
        <w:rPr>
          <w:sz w:val="21"/>
        </w:rPr>
        <w:t>the</w:t>
      </w:r>
      <w:r>
        <w:rPr>
          <w:spacing w:val="-13"/>
          <w:sz w:val="21"/>
        </w:rPr>
        <w:t xml:space="preserve"> </w:t>
      </w:r>
      <w:r>
        <w:rPr>
          <w:sz w:val="21"/>
        </w:rPr>
        <w:t>people</w:t>
      </w:r>
      <w:r>
        <w:rPr>
          <w:spacing w:val="-13"/>
          <w:sz w:val="21"/>
        </w:rPr>
        <w:t xml:space="preserve"> </w:t>
      </w:r>
      <w:r>
        <w:rPr>
          <w:sz w:val="21"/>
        </w:rPr>
        <w:t>in</w:t>
      </w:r>
      <w:r>
        <w:rPr>
          <w:spacing w:val="-12"/>
          <w:sz w:val="21"/>
        </w:rPr>
        <w:t xml:space="preserve"> </w:t>
      </w:r>
      <w:r>
        <w:rPr>
          <w:sz w:val="21"/>
        </w:rPr>
        <w:t>inst</w:t>
      </w:r>
      <w:r>
        <w:rPr>
          <w:sz w:val="21"/>
        </w:rPr>
        <w:t>itutions</w:t>
      </w:r>
      <w:r>
        <w:rPr>
          <w:spacing w:val="-13"/>
          <w:sz w:val="21"/>
        </w:rPr>
        <w:t xml:space="preserve"> </w:t>
      </w:r>
      <w:r>
        <w:rPr>
          <w:sz w:val="21"/>
        </w:rPr>
        <w:t>of</w:t>
      </w:r>
      <w:r>
        <w:rPr>
          <w:spacing w:val="-12"/>
          <w:sz w:val="21"/>
        </w:rPr>
        <w:t xml:space="preserve"> </w:t>
      </w:r>
      <w:r>
        <w:rPr>
          <w:sz w:val="21"/>
        </w:rPr>
        <w:t>democracy.</w:t>
      </w:r>
      <w:r>
        <w:rPr>
          <w:spacing w:val="-14"/>
          <w:sz w:val="21"/>
        </w:rPr>
        <w:t xml:space="preserve"> </w:t>
      </w:r>
      <w:r>
        <w:rPr>
          <w:sz w:val="21"/>
        </w:rPr>
        <w:t>It</w:t>
      </w:r>
      <w:r>
        <w:rPr>
          <w:spacing w:val="-12"/>
          <w:sz w:val="21"/>
        </w:rPr>
        <w:t xml:space="preserve"> </w:t>
      </w:r>
      <w:r>
        <w:rPr>
          <w:sz w:val="21"/>
        </w:rPr>
        <w:t>encompasses not just the forms and procedures of the Constitution, but provides an “enabling framework that allows a society the possibilities of self-renewal”. It is the governing ideal of institutions</w:t>
      </w:r>
      <w:r>
        <w:rPr>
          <w:spacing w:val="-17"/>
          <w:sz w:val="21"/>
        </w:rPr>
        <w:t xml:space="preserve"> </w:t>
      </w:r>
      <w:r>
        <w:rPr>
          <w:sz w:val="21"/>
        </w:rPr>
        <w:t>of</w:t>
      </w:r>
      <w:r>
        <w:rPr>
          <w:spacing w:val="-14"/>
          <w:sz w:val="21"/>
        </w:rPr>
        <w:t xml:space="preserve"> </w:t>
      </w:r>
      <w:r>
        <w:rPr>
          <w:sz w:val="21"/>
        </w:rPr>
        <w:t>democracy</w:t>
      </w:r>
      <w:r>
        <w:rPr>
          <w:spacing w:val="-19"/>
          <w:sz w:val="21"/>
        </w:rPr>
        <w:t xml:space="preserve"> </w:t>
      </w:r>
      <w:r>
        <w:rPr>
          <w:sz w:val="21"/>
        </w:rPr>
        <w:t>which</w:t>
      </w:r>
      <w:r>
        <w:rPr>
          <w:spacing w:val="-16"/>
          <w:sz w:val="21"/>
        </w:rPr>
        <w:t xml:space="preserve"> </w:t>
      </w:r>
      <w:r>
        <w:rPr>
          <w:sz w:val="21"/>
        </w:rPr>
        <w:t>allows</w:t>
      </w:r>
      <w:r>
        <w:rPr>
          <w:spacing w:val="-16"/>
          <w:sz w:val="21"/>
        </w:rPr>
        <w:t xml:space="preserve"> </w:t>
      </w:r>
      <w:r>
        <w:rPr>
          <w:sz w:val="21"/>
        </w:rPr>
        <w:t>p</w:t>
      </w:r>
      <w:r>
        <w:rPr>
          <w:sz w:val="21"/>
        </w:rPr>
        <w:t>eople</w:t>
      </w:r>
      <w:r>
        <w:rPr>
          <w:spacing w:val="-17"/>
          <w:sz w:val="21"/>
        </w:rPr>
        <w:t xml:space="preserve"> </w:t>
      </w:r>
      <w:r>
        <w:rPr>
          <w:sz w:val="21"/>
        </w:rPr>
        <w:t>to</w:t>
      </w:r>
      <w:r>
        <w:rPr>
          <w:spacing w:val="-16"/>
          <w:sz w:val="21"/>
        </w:rPr>
        <w:t xml:space="preserve"> </w:t>
      </w:r>
      <w:r>
        <w:rPr>
          <w:sz w:val="21"/>
        </w:rPr>
        <w:t>cooperate</w:t>
      </w:r>
      <w:r>
        <w:rPr>
          <w:spacing w:val="-16"/>
          <w:sz w:val="21"/>
        </w:rPr>
        <w:t xml:space="preserve"> </w:t>
      </w:r>
      <w:r>
        <w:rPr>
          <w:sz w:val="21"/>
        </w:rPr>
        <w:t>and coordinate to pursue constitutional aspirations that cannot be achieved</w:t>
      </w:r>
      <w:r>
        <w:rPr>
          <w:spacing w:val="-2"/>
          <w:sz w:val="21"/>
        </w:rPr>
        <w:t xml:space="preserve"> </w:t>
      </w:r>
      <w:r>
        <w:rPr>
          <w:sz w:val="21"/>
        </w:rPr>
        <w:t>single-handedly.”</w:t>
      </w:r>
    </w:p>
    <w:p w:rsidR="003B2FC0" w:rsidRDefault="003B2FC0">
      <w:pPr>
        <w:rPr>
          <w:sz w:val="24"/>
        </w:rPr>
      </w:pPr>
    </w:p>
    <w:p w:rsidR="003B2FC0" w:rsidRDefault="003B2FC0">
      <w:pPr>
        <w:rPr>
          <w:sz w:val="24"/>
        </w:rPr>
      </w:pPr>
    </w:p>
    <w:p w:rsidR="003B2FC0" w:rsidRDefault="00052A49">
      <w:pPr>
        <w:spacing w:before="149" w:line="480" w:lineRule="auto"/>
        <w:ind w:left="400" w:right="438"/>
        <w:jc w:val="both"/>
        <w:rPr>
          <w:sz w:val="26"/>
        </w:rPr>
      </w:pPr>
      <w:r>
        <w:rPr>
          <w:sz w:val="26"/>
        </w:rPr>
        <w:t>Our Constitution places the individual at the heart of the discourse on rights. In a constitutional order characterized by the Rule of Law, t</w:t>
      </w:r>
      <w:r>
        <w:rPr>
          <w:sz w:val="26"/>
        </w:rPr>
        <w:t>he constitutional</w:t>
      </w:r>
    </w:p>
    <w:p w:rsidR="003B2FC0" w:rsidRDefault="003B2FC0">
      <w:pPr>
        <w:rPr>
          <w:sz w:val="20"/>
        </w:rPr>
      </w:pPr>
    </w:p>
    <w:p w:rsidR="003B2FC0" w:rsidRDefault="003B2FC0">
      <w:pPr>
        <w:spacing w:before="1"/>
        <w:rPr>
          <w:sz w:val="18"/>
        </w:rPr>
      </w:pPr>
      <w:r w:rsidRPr="003B2FC0">
        <w:pict>
          <v:line id="_x0000_s1115" style="position:absolute;z-index:251600384;mso-wrap-distance-left:0;mso-wrap-distance-right:0;mso-position-horizontal-relative:page" from="1in,12.8pt" to="216.05pt,12.8pt" strokeweight=".72pt">
            <w10:wrap type="topAndBottom" anchorx="page"/>
          </v:line>
        </w:pict>
      </w:r>
    </w:p>
    <w:p w:rsidR="003B2FC0" w:rsidRDefault="00052A49">
      <w:pPr>
        <w:spacing w:before="66"/>
        <w:ind w:left="400"/>
        <w:rPr>
          <w:sz w:val="18"/>
        </w:rPr>
      </w:pPr>
      <w:r>
        <w:rPr>
          <w:position w:val="6"/>
          <w:sz w:val="12"/>
        </w:rPr>
        <w:t xml:space="preserve">46 </w:t>
      </w:r>
      <w:r>
        <w:rPr>
          <w:sz w:val="18"/>
        </w:rPr>
        <w:t>(2018) 8 SCALE 72</w:t>
      </w:r>
    </w:p>
    <w:p w:rsidR="003B2FC0" w:rsidRDefault="003B2FC0">
      <w:pPr>
        <w:rPr>
          <w:sz w:val="18"/>
        </w:rPr>
        <w:sectPr w:rsidR="003B2FC0">
          <w:headerReference w:type="default" r:id="rId362"/>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7"/>
        <w:jc w:val="both"/>
        <w:rPr>
          <w:sz w:val="26"/>
        </w:rPr>
      </w:pPr>
      <w:r>
        <w:rPr>
          <w:sz w:val="26"/>
        </w:rPr>
        <w:t>commitment to egalitarianism and the dignity of every individual enjoins upon the Court a duty to resolve the inherent tensions between the constitutional guarantee of religious freedom afforded to religious denominations and constitutional guarantees of d</w:t>
      </w:r>
      <w:r>
        <w:rPr>
          <w:sz w:val="26"/>
        </w:rPr>
        <w:t>ignity and equality afforded to individuals. There are a multiplicity of intersecting constitutional values and interests involved in determining</w:t>
      </w:r>
      <w:r>
        <w:rPr>
          <w:spacing w:val="-5"/>
          <w:sz w:val="26"/>
        </w:rPr>
        <w:t xml:space="preserve"> </w:t>
      </w:r>
      <w:r>
        <w:rPr>
          <w:sz w:val="26"/>
        </w:rPr>
        <w:t>the</w:t>
      </w:r>
      <w:r>
        <w:rPr>
          <w:spacing w:val="-5"/>
          <w:sz w:val="26"/>
        </w:rPr>
        <w:t xml:space="preserve"> </w:t>
      </w:r>
      <w:r>
        <w:rPr>
          <w:sz w:val="26"/>
        </w:rPr>
        <w:t>essentiality</w:t>
      </w:r>
      <w:r>
        <w:rPr>
          <w:spacing w:val="-7"/>
          <w:sz w:val="26"/>
        </w:rPr>
        <w:t xml:space="preserve"> </w:t>
      </w:r>
      <w:r>
        <w:rPr>
          <w:sz w:val="26"/>
        </w:rPr>
        <w:t>of</w:t>
      </w:r>
      <w:r>
        <w:rPr>
          <w:spacing w:val="-5"/>
          <w:sz w:val="26"/>
        </w:rPr>
        <w:t xml:space="preserve"> </w:t>
      </w:r>
      <w:r>
        <w:rPr>
          <w:sz w:val="26"/>
        </w:rPr>
        <w:t>religious</w:t>
      </w:r>
      <w:r>
        <w:rPr>
          <w:spacing w:val="-5"/>
          <w:sz w:val="26"/>
        </w:rPr>
        <w:t xml:space="preserve"> </w:t>
      </w:r>
      <w:r>
        <w:rPr>
          <w:sz w:val="26"/>
        </w:rPr>
        <w:t>practices.</w:t>
      </w:r>
      <w:r>
        <w:rPr>
          <w:spacing w:val="-4"/>
          <w:sz w:val="26"/>
        </w:rPr>
        <w:t xml:space="preserve"> </w:t>
      </w:r>
      <w:r>
        <w:rPr>
          <w:sz w:val="26"/>
        </w:rPr>
        <w:t>In</w:t>
      </w:r>
      <w:r>
        <w:rPr>
          <w:spacing w:val="-5"/>
          <w:sz w:val="26"/>
        </w:rPr>
        <w:t xml:space="preserve"> </w:t>
      </w:r>
      <w:r>
        <w:rPr>
          <w:sz w:val="26"/>
        </w:rPr>
        <w:t>order</w:t>
      </w:r>
      <w:r>
        <w:rPr>
          <w:spacing w:val="-7"/>
          <w:sz w:val="26"/>
        </w:rPr>
        <w:t xml:space="preserve"> </w:t>
      </w:r>
      <w:r>
        <w:rPr>
          <w:sz w:val="26"/>
        </w:rPr>
        <w:t>to</w:t>
      </w:r>
      <w:r>
        <w:rPr>
          <w:spacing w:val="-7"/>
          <w:sz w:val="26"/>
        </w:rPr>
        <w:t xml:space="preserve"> </w:t>
      </w:r>
      <w:r>
        <w:rPr>
          <w:sz w:val="26"/>
        </w:rPr>
        <w:t>achieve</w:t>
      </w:r>
      <w:r>
        <w:rPr>
          <w:spacing w:val="-5"/>
          <w:sz w:val="26"/>
        </w:rPr>
        <w:t xml:space="preserve"> </w:t>
      </w:r>
      <w:r>
        <w:rPr>
          <w:sz w:val="26"/>
        </w:rPr>
        <w:t>a</w:t>
      </w:r>
      <w:r>
        <w:rPr>
          <w:spacing w:val="-4"/>
          <w:sz w:val="26"/>
        </w:rPr>
        <w:t xml:space="preserve"> </w:t>
      </w:r>
      <w:r>
        <w:rPr>
          <w:sz w:val="26"/>
        </w:rPr>
        <w:t>balance between competing rights and interests,</w:t>
      </w:r>
      <w:r>
        <w:rPr>
          <w:sz w:val="26"/>
        </w:rPr>
        <w:t xml:space="preserve"> the test of essentiality is infused with these necessary</w:t>
      </w:r>
      <w:r>
        <w:rPr>
          <w:spacing w:val="-5"/>
          <w:sz w:val="26"/>
        </w:rPr>
        <w:t xml:space="preserve"> </w:t>
      </w:r>
      <w:r>
        <w:rPr>
          <w:sz w:val="26"/>
        </w:rPr>
        <w:t>limitations.</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Is</w:t>
      </w:r>
      <w:r>
        <w:rPr>
          <w:spacing w:val="-9"/>
          <w:sz w:val="26"/>
        </w:rPr>
        <w:t xml:space="preserve"> </w:t>
      </w:r>
      <w:r>
        <w:rPr>
          <w:sz w:val="26"/>
        </w:rPr>
        <w:t>the</w:t>
      </w:r>
      <w:r>
        <w:rPr>
          <w:spacing w:val="-7"/>
          <w:sz w:val="26"/>
        </w:rPr>
        <w:t xml:space="preserve"> </w:t>
      </w:r>
      <w:r>
        <w:rPr>
          <w:sz w:val="26"/>
        </w:rPr>
        <w:t>practice</w:t>
      </w:r>
      <w:r>
        <w:rPr>
          <w:spacing w:val="-7"/>
          <w:sz w:val="26"/>
        </w:rPr>
        <w:t xml:space="preserve"> </w:t>
      </w:r>
      <w:r>
        <w:rPr>
          <w:sz w:val="26"/>
        </w:rPr>
        <w:t>of</w:t>
      </w:r>
      <w:r>
        <w:rPr>
          <w:spacing w:val="-7"/>
          <w:sz w:val="26"/>
        </w:rPr>
        <w:t xml:space="preserve"> </w:t>
      </w:r>
      <w:r>
        <w:rPr>
          <w:sz w:val="26"/>
        </w:rPr>
        <w:t>excluding</w:t>
      </w:r>
      <w:r>
        <w:rPr>
          <w:spacing w:val="-5"/>
          <w:sz w:val="26"/>
        </w:rPr>
        <w:t xml:space="preserve"> </w:t>
      </w:r>
      <w:r>
        <w:rPr>
          <w:sz w:val="26"/>
        </w:rPr>
        <w:t>women</w:t>
      </w:r>
      <w:r>
        <w:rPr>
          <w:spacing w:val="-7"/>
          <w:sz w:val="26"/>
        </w:rPr>
        <w:t xml:space="preserve"> </w:t>
      </w:r>
      <w:r>
        <w:rPr>
          <w:sz w:val="26"/>
        </w:rPr>
        <w:t>between</w:t>
      </w:r>
      <w:r>
        <w:rPr>
          <w:spacing w:val="-9"/>
          <w:sz w:val="26"/>
        </w:rPr>
        <w:t xml:space="preserve"> </w:t>
      </w:r>
      <w:r>
        <w:rPr>
          <w:sz w:val="26"/>
        </w:rPr>
        <w:t>the</w:t>
      </w:r>
      <w:r>
        <w:rPr>
          <w:spacing w:val="-7"/>
          <w:sz w:val="26"/>
        </w:rPr>
        <w:t xml:space="preserve"> </w:t>
      </w:r>
      <w:r>
        <w:rPr>
          <w:sz w:val="26"/>
        </w:rPr>
        <w:t>ages</w:t>
      </w:r>
      <w:r>
        <w:rPr>
          <w:spacing w:val="-7"/>
          <w:sz w:val="26"/>
        </w:rPr>
        <w:t xml:space="preserve"> </w:t>
      </w:r>
      <w:r>
        <w:rPr>
          <w:sz w:val="26"/>
        </w:rPr>
        <w:t>of</w:t>
      </w:r>
      <w:r>
        <w:rPr>
          <w:spacing w:val="-9"/>
          <w:sz w:val="26"/>
        </w:rPr>
        <w:t xml:space="preserve"> </w:t>
      </w:r>
      <w:r>
        <w:rPr>
          <w:sz w:val="26"/>
        </w:rPr>
        <w:t>ten</w:t>
      </w:r>
      <w:r>
        <w:rPr>
          <w:spacing w:val="-9"/>
          <w:sz w:val="26"/>
        </w:rPr>
        <w:t xml:space="preserve"> </w:t>
      </w:r>
      <w:r>
        <w:rPr>
          <w:sz w:val="26"/>
        </w:rPr>
        <w:t>and</w:t>
      </w:r>
      <w:r>
        <w:rPr>
          <w:spacing w:val="-7"/>
          <w:sz w:val="26"/>
        </w:rPr>
        <w:t xml:space="preserve"> </w:t>
      </w:r>
      <w:r>
        <w:rPr>
          <w:sz w:val="26"/>
        </w:rPr>
        <w:t>fifty</w:t>
      </w:r>
      <w:r>
        <w:rPr>
          <w:spacing w:val="-9"/>
          <w:sz w:val="26"/>
        </w:rPr>
        <w:t xml:space="preserve"> </w:t>
      </w:r>
      <w:r>
        <w:rPr>
          <w:sz w:val="26"/>
        </w:rPr>
        <w:t>from undertaking the pilgrimage and praying at the Sabarimala temple an essential part</w:t>
      </w:r>
      <w:r>
        <w:rPr>
          <w:spacing w:val="-13"/>
          <w:sz w:val="26"/>
        </w:rPr>
        <w:t xml:space="preserve"> </w:t>
      </w:r>
      <w:r>
        <w:rPr>
          <w:sz w:val="26"/>
        </w:rPr>
        <w:t>of</w:t>
      </w:r>
      <w:r>
        <w:rPr>
          <w:spacing w:val="-12"/>
          <w:sz w:val="26"/>
        </w:rPr>
        <w:t xml:space="preserve"> </w:t>
      </w:r>
      <w:r>
        <w:rPr>
          <w:sz w:val="26"/>
        </w:rPr>
        <w:t>religion?</w:t>
      </w:r>
      <w:r>
        <w:rPr>
          <w:spacing w:val="-12"/>
          <w:sz w:val="26"/>
        </w:rPr>
        <w:t xml:space="preserve"> </w:t>
      </w:r>
      <w:r>
        <w:rPr>
          <w:sz w:val="26"/>
        </w:rPr>
        <w:t>The</w:t>
      </w:r>
      <w:r>
        <w:rPr>
          <w:spacing w:val="-13"/>
          <w:sz w:val="26"/>
        </w:rPr>
        <w:t xml:space="preserve"> </w:t>
      </w:r>
      <w:r>
        <w:rPr>
          <w:sz w:val="26"/>
        </w:rPr>
        <w:t>texts</w:t>
      </w:r>
      <w:r>
        <w:rPr>
          <w:spacing w:val="-12"/>
          <w:sz w:val="26"/>
        </w:rPr>
        <w:t xml:space="preserve"> </w:t>
      </w:r>
      <w:r>
        <w:rPr>
          <w:sz w:val="26"/>
        </w:rPr>
        <w:t>and</w:t>
      </w:r>
      <w:r>
        <w:rPr>
          <w:spacing w:val="-12"/>
          <w:sz w:val="26"/>
        </w:rPr>
        <w:t xml:space="preserve"> </w:t>
      </w:r>
      <w:r>
        <w:rPr>
          <w:sz w:val="26"/>
        </w:rPr>
        <w:t>tenets</w:t>
      </w:r>
      <w:r>
        <w:rPr>
          <w:spacing w:val="-13"/>
          <w:sz w:val="26"/>
        </w:rPr>
        <w:t xml:space="preserve"> </w:t>
      </w:r>
      <w:r>
        <w:rPr>
          <w:sz w:val="26"/>
        </w:rPr>
        <w:t>on</w:t>
      </w:r>
      <w:r>
        <w:rPr>
          <w:spacing w:val="-9"/>
          <w:sz w:val="26"/>
        </w:rPr>
        <w:t xml:space="preserve"> </w:t>
      </w:r>
      <w:r>
        <w:rPr>
          <w:sz w:val="26"/>
        </w:rPr>
        <w:t>which</w:t>
      </w:r>
      <w:r>
        <w:rPr>
          <w:spacing w:val="-12"/>
          <w:sz w:val="26"/>
        </w:rPr>
        <w:t xml:space="preserve"> </w:t>
      </w:r>
      <w:r>
        <w:rPr>
          <w:sz w:val="26"/>
        </w:rPr>
        <w:t>the</w:t>
      </w:r>
      <w:r>
        <w:rPr>
          <w:spacing w:val="-13"/>
          <w:sz w:val="26"/>
        </w:rPr>
        <w:t xml:space="preserve"> </w:t>
      </w:r>
      <w:r>
        <w:rPr>
          <w:sz w:val="26"/>
        </w:rPr>
        <w:t>Respondents</w:t>
      </w:r>
      <w:r>
        <w:rPr>
          <w:spacing w:val="-11"/>
          <w:sz w:val="26"/>
        </w:rPr>
        <w:t xml:space="preserve"> </w:t>
      </w:r>
      <w:r>
        <w:rPr>
          <w:sz w:val="26"/>
        </w:rPr>
        <w:t>placed</w:t>
      </w:r>
      <w:r>
        <w:rPr>
          <w:spacing w:val="-12"/>
          <w:sz w:val="26"/>
        </w:rPr>
        <w:t xml:space="preserve"> </w:t>
      </w:r>
      <w:r>
        <w:rPr>
          <w:sz w:val="26"/>
        </w:rPr>
        <w:t>reliance do not indicate that the practice of excluding women is an essential part of religion required or sanctioned by these religious documents. At best, these documents indicate the celibate nature of Lord Ayyappa</w:t>
      </w:r>
      <w:r>
        <w:rPr>
          <w:sz w:val="26"/>
        </w:rPr>
        <w:t xml:space="preserve"> at the Sabarimala temple. The connection between this and the exclusion of women is not established on the material</w:t>
      </w:r>
      <w:r>
        <w:rPr>
          <w:spacing w:val="-4"/>
          <w:sz w:val="26"/>
        </w:rPr>
        <w:t xml:space="preserve"> </w:t>
      </w:r>
      <w:r>
        <w:rPr>
          <w:sz w:val="26"/>
        </w:rPr>
        <w:t>itself.</w:t>
      </w:r>
    </w:p>
    <w:p w:rsidR="003B2FC0" w:rsidRDefault="003B2FC0">
      <w:pPr>
        <w:rPr>
          <w:sz w:val="28"/>
        </w:rPr>
      </w:pPr>
    </w:p>
    <w:p w:rsidR="003B2FC0" w:rsidRDefault="003B2FC0">
      <w:pPr>
        <w:spacing w:before="10"/>
        <w:rPr>
          <w:sz w:val="25"/>
        </w:rPr>
      </w:pPr>
    </w:p>
    <w:p w:rsidR="003B2FC0" w:rsidRDefault="00052A49">
      <w:pPr>
        <w:pStyle w:val="ListParagraph"/>
        <w:numPr>
          <w:ilvl w:val="0"/>
          <w:numId w:val="39"/>
        </w:numPr>
        <w:tabs>
          <w:tab w:val="left" w:pos="1121"/>
        </w:tabs>
        <w:spacing w:line="480" w:lineRule="auto"/>
        <w:ind w:right="438" w:firstLine="0"/>
        <w:jc w:val="both"/>
        <w:rPr>
          <w:sz w:val="26"/>
        </w:rPr>
      </w:pPr>
      <w:r>
        <w:rPr>
          <w:sz w:val="26"/>
        </w:rPr>
        <w:t>It</w:t>
      </w:r>
      <w:r>
        <w:rPr>
          <w:spacing w:val="-8"/>
          <w:sz w:val="26"/>
        </w:rPr>
        <w:t xml:space="preserve"> </w:t>
      </w:r>
      <w:r>
        <w:rPr>
          <w:sz w:val="26"/>
        </w:rPr>
        <w:t>was</w:t>
      </w:r>
      <w:r>
        <w:rPr>
          <w:spacing w:val="-7"/>
          <w:sz w:val="26"/>
        </w:rPr>
        <w:t xml:space="preserve"> </w:t>
      </w:r>
      <w:r>
        <w:rPr>
          <w:sz w:val="26"/>
        </w:rPr>
        <w:t>briefly</w:t>
      </w:r>
      <w:r>
        <w:rPr>
          <w:spacing w:val="-9"/>
          <w:sz w:val="26"/>
        </w:rPr>
        <w:t xml:space="preserve"> </w:t>
      </w:r>
      <w:r>
        <w:rPr>
          <w:sz w:val="26"/>
        </w:rPr>
        <w:t>contended</w:t>
      </w:r>
      <w:r>
        <w:rPr>
          <w:spacing w:val="-10"/>
          <w:sz w:val="26"/>
        </w:rPr>
        <w:t xml:space="preserve"> </w:t>
      </w:r>
      <w:r>
        <w:rPr>
          <w:sz w:val="26"/>
        </w:rPr>
        <w:t>that</w:t>
      </w:r>
      <w:r>
        <w:rPr>
          <w:spacing w:val="-7"/>
          <w:sz w:val="26"/>
        </w:rPr>
        <w:t xml:space="preserve"> </w:t>
      </w:r>
      <w:r>
        <w:rPr>
          <w:sz w:val="26"/>
        </w:rPr>
        <w:t>the</w:t>
      </w:r>
      <w:r>
        <w:rPr>
          <w:spacing w:val="-8"/>
          <w:sz w:val="26"/>
        </w:rPr>
        <w:t xml:space="preserve"> </w:t>
      </w:r>
      <w:r>
        <w:rPr>
          <w:sz w:val="26"/>
        </w:rPr>
        <w:t>case</w:t>
      </w:r>
      <w:r>
        <w:rPr>
          <w:spacing w:val="-7"/>
          <w:sz w:val="26"/>
        </w:rPr>
        <w:t xml:space="preserve"> </w:t>
      </w:r>
      <w:r>
        <w:rPr>
          <w:sz w:val="26"/>
        </w:rPr>
        <w:t>at</w:t>
      </w:r>
      <w:r>
        <w:rPr>
          <w:spacing w:val="-7"/>
          <w:sz w:val="26"/>
        </w:rPr>
        <w:t xml:space="preserve"> </w:t>
      </w:r>
      <w:r>
        <w:rPr>
          <w:sz w:val="26"/>
        </w:rPr>
        <w:t>hand</w:t>
      </w:r>
      <w:r>
        <w:rPr>
          <w:spacing w:val="-10"/>
          <w:sz w:val="26"/>
        </w:rPr>
        <w:t xml:space="preserve"> </w:t>
      </w:r>
      <w:r>
        <w:rPr>
          <w:sz w:val="26"/>
        </w:rPr>
        <w:t>required</w:t>
      </w:r>
      <w:r>
        <w:rPr>
          <w:spacing w:val="-9"/>
          <w:sz w:val="26"/>
        </w:rPr>
        <w:t xml:space="preserve"> </w:t>
      </w:r>
      <w:r>
        <w:rPr>
          <w:sz w:val="26"/>
        </w:rPr>
        <w:t>a</w:t>
      </w:r>
      <w:r>
        <w:rPr>
          <w:spacing w:val="-7"/>
          <w:sz w:val="26"/>
        </w:rPr>
        <w:t xml:space="preserve"> </w:t>
      </w:r>
      <w:r>
        <w:rPr>
          <w:sz w:val="26"/>
        </w:rPr>
        <w:t>determination</w:t>
      </w:r>
      <w:r>
        <w:rPr>
          <w:spacing w:val="-9"/>
          <w:sz w:val="26"/>
        </w:rPr>
        <w:t xml:space="preserve"> </w:t>
      </w:r>
      <w:r>
        <w:rPr>
          <w:sz w:val="26"/>
        </w:rPr>
        <w:t>of fact and law and should be sent to trial. It was conte</w:t>
      </w:r>
      <w:r>
        <w:rPr>
          <w:sz w:val="26"/>
        </w:rPr>
        <w:t xml:space="preserve">nded that no new material has been placed before this Court to contradict the holding of the Kerala High Court in </w:t>
      </w:r>
      <w:r>
        <w:rPr>
          <w:b/>
          <w:sz w:val="26"/>
        </w:rPr>
        <w:t xml:space="preserve">Mahendran. </w:t>
      </w:r>
      <w:r>
        <w:rPr>
          <w:sz w:val="26"/>
        </w:rPr>
        <w:t>The High Court recorded findings on the pilgrimage, the inconsistent</w:t>
      </w:r>
      <w:r>
        <w:rPr>
          <w:spacing w:val="21"/>
          <w:sz w:val="26"/>
        </w:rPr>
        <w:t xml:space="preserve"> </w:t>
      </w:r>
      <w:r>
        <w:rPr>
          <w:sz w:val="26"/>
        </w:rPr>
        <w:t>practice</w:t>
      </w:r>
      <w:r>
        <w:rPr>
          <w:spacing w:val="24"/>
          <w:sz w:val="26"/>
        </w:rPr>
        <w:t xml:space="preserve"> </w:t>
      </w:r>
      <w:r>
        <w:rPr>
          <w:sz w:val="26"/>
        </w:rPr>
        <w:t>of</w:t>
      </w:r>
      <w:r>
        <w:rPr>
          <w:spacing w:val="22"/>
          <w:sz w:val="26"/>
        </w:rPr>
        <w:t xml:space="preserve"> </w:t>
      </w:r>
      <w:r>
        <w:rPr>
          <w:sz w:val="26"/>
        </w:rPr>
        <w:t>prohibiting</w:t>
      </w:r>
      <w:r>
        <w:rPr>
          <w:spacing w:val="23"/>
          <w:sz w:val="26"/>
        </w:rPr>
        <w:t xml:space="preserve"> </w:t>
      </w:r>
      <w:r>
        <w:rPr>
          <w:sz w:val="26"/>
        </w:rPr>
        <w:t>women</w:t>
      </w:r>
      <w:r>
        <w:rPr>
          <w:spacing w:val="22"/>
          <w:sz w:val="26"/>
        </w:rPr>
        <w:t xml:space="preserve"> </w:t>
      </w:r>
      <w:r>
        <w:rPr>
          <w:sz w:val="26"/>
        </w:rPr>
        <w:t>between</w:t>
      </w:r>
      <w:r>
        <w:rPr>
          <w:spacing w:val="22"/>
          <w:sz w:val="26"/>
        </w:rPr>
        <w:t xml:space="preserve"> </w:t>
      </w:r>
      <w:r>
        <w:rPr>
          <w:sz w:val="26"/>
        </w:rPr>
        <w:t>the</w:t>
      </w:r>
      <w:r>
        <w:rPr>
          <w:spacing w:val="22"/>
          <w:sz w:val="26"/>
        </w:rPr>
        <w:t xml:space="preserve"> </w:t>
      </w:r>
      <w:r>
        <w:rPr>
          <w:sz w:val="26"/>
        </w:rPr>
        <w:t>age</w:t>
      </w:r>
      <w:r>
        <w:rPr>
          <w:spacing w:val="23"/>
          <w:sz w:val="26"/>
        </w:rPr>
        <w:t xml:space="preserve"> </w:t>
      </w:r>
      <w:r>
        <w:rPr>
          <w:sz w:val="26"/>
        </w:rPr>
        <w:t>group</w:t>
      </w:r>
      <w:r>
        <w:rPr>
          <w:spacing w:val="22"/>
          <w:sz w:val="26"/>
        </w:rPr>
        <w:t xml:space="preserve"> </w:t>
      </w:r>
      <w:r>
        <w:rPr>
          <w:sz w:val="26"/>
        </w:rPr>
        <w:t>of</w:t>
      </w:r>
      <w:r>
        <w:rPr>
          <w:spacing w:val="22"/>
          <w:sz w:val="26"/>
        </w:rPr>
        <w:t xml:space="preserve"> </w:t>
      </w:r>
      <w:r>
        <w:rPr>
          <w:sz w:val="26"/>
        </w:rPr>
        <w:t>ten</w:t>
      </w:r>
      <w:r>
        <w:rPr>
          <w:spacing w:val="22"/>
          <w:sz w:val="26"/>
        </w:rPr>
        <w:t xml:space="preserve"> </w:t>
      </w:r>
      <w:r>
        <w:rPr>
          <w:sz w:val="26"/>
        </w:rPr>
        <w:t>and</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 xml:space="preserve">fifty, and the collection of individuals that offer prayer at the Sabarimala temple. Relying on the findings of fact recorded in </w:t>
      </w:r>
      <w:r>
        <w:rPr>
          <w:b/>
          <w:sz w:val="26"/>
        </w:rPr>
        <w:t xml:space="preserve">Mahendran </w:t>
      </w:r>
      <w:r>
        <w:rPr>
          <w:sz w:val="26"/>
        </w:rPr>
        <w:t xml:space="preserve">and taking note of the submissions of the Respondents herein, the question of remanding the case </w:t>
      </w:r>
      <w:r>
        <w:rPr>
          <w:sz w:val="26"/>
        </w:rPr>
        <w:t>to a trial in this case does not</w:t>
      </w:r>
      <w:r>
        <w:rPr>
          <w:spacing w:val="-3"/>
          <w:sz w:val="26"/>
        </w:rPr>
        <w:t xml:space="preserve"> </w:t>
      </w:r>
      <w:r>
        <w:rPr>
          <w:sz w:val="26"/>
        </w:rPr>
        <w:t>arise.</w:t>
      </w:r>
    </w:p>
    <w:p w:rsidR="003B2FC0" w:rsidRDefault="003B2FC0">
      <w:pPr>
        <w:rPr>
          <w:sz w:val="28"/>
        </w:rPr>
      </w:pPr>
    </w:p>
    <w:p w:rsidR="003B2FC0" w:rsidRDefault="003B2FC0">
      <w:pPr>
        <w:spacing w:before="9"/>
        <w:rPr>
          <w:sz w:val="32"/>
        </w:rPr>
      </w:pPr>
    </w:p>
    <w:p w:rsidR="003B2FC0" w:rsidRDefault="00052A49">
      <w:pPr>
        <w:spacing w:before="1" w:line="477" w:lineRule="auto"/>
        <w:ind w:left="400" w:right="432"/>
        <w:jc w:val="both"/>
        <w:rPr>
          <w:sz w:val="26"/>
        </w:rPr>
      </w:pPr>
      <w:r>
        <w:rPr>
          <w:sz w:val="26"/>
        </w:rPr>
        <w:t>In regard to the maintainability of the present public interest litigation, this</w:t>
      </w:r>
      <w:r>
        <w:rPr>
          <w:spacing w:val="-38"/>
          <w:sz w:val="26"/>
        </w:rPr>
        <w:t xml:space="preserve"> </w:t>
      </w:r>
      <w:r>
        <w:rPr>
          <w:sz w:val="26"/>
        </w:rPr>
        <w:t xml:space="preserve">issue stands answered by the judgment of this Court in </w:t>
      </w:r>
      <w:r>
        <w:rPr>
          <w:b/>
          <w:sz w:val="26"/>
        </w:rPr>
        <w:t>Adi Saiva Sivachariyargal</w:t>
      </w:r>
      <w:r>
        <w:rPr>
          <w:b/>
          <w:spacing w:val="-32"/>
          <w:sz w:val="26"/>
        </w:rPr>
        <w:t xml:space="preserve"> </w:t>
      </w:r>
      <w:r>
        <w:rPr>
          <w:sz w:val="26"/>
        </w:rPr>
        <w:t xml:space="preserve">v </w:t>
      </w:r>
      <w:r>
        <w:rPr>
          <w:b/>
          <w:sz w:val="26"/>
        </w:rPr>
        <w:t>Government of Tamil Nadu</w:t>
      </w:r>
      <w:r>
        <w:rPr>
          <w:sz w:val="26"/>
        </w:rPr>
        <w:t>,</w:t>
      </w:r>
      <w:r>
        <w:rPr>
          <w:position w:val="9"/>
          <w:sz w:val="17"/>
        </w:rPr>
        <w:t>47</w:t>
      </w:r>
      <w:r>
        <w:rPr>
          <w:spacing w:val="21"/>
          <w:position w:val="9"/>
          <w:sz w:val="17"/>
        </w:rPr>
        <w:t xml:space="preserve"> </w:t>
      </w:r>
      <w:r>
        <w:rPr>
          <w:sz w:val="26"/>
        </w:rPr>
        <w:t>:</w:t>
      </w:r>
    </w:p>
    <w:p w:rsidR="003B2FC0" w:rsidRDefault="00052A49">
      <w:pPr>
        <w:spacing w:before="203" w:line="276" w:lineRule="auto"/>
        <w:ind w:left="1840" w:right="2280"/>
        <w:jc w:val="both"/>
        <w:rPr>
          <w:sz w:val="21"/>
        </w:rPr>
      </w:pPr>
      <w:r>
        <w:rPr>
          <w:sz w:val="21"/>
        </w:rPr>
        <w:t>“12…The argument that the present writ petition is founded</w:t>
      </w:r>
      <w:r>
        <w:rPr>
          <w:spacing w:val="-38"/>
          <w:sz w:val="21"/>
        </w:rPr>
        <w:t xml:space="preserve"> </w:t>
      </w:r>
      <w:r>
        <w:rPr>
          <w:sz w:val="21"/>
        </w:rPr>
        <w:t>on a</w:t>
      </w:r>
      <w:r>
        <w:rPr>
          <w:spacing w:val="-13"/>
          <w:sz w:val="21"/>
        </w:rPr>
        <w:t xml:space="preserve"> </w:t>
      </w:r>
      <w:r>
        <w:rPr>
          <w:sz w:val="21"/>
        </w:rPr>
        <w:t>cause</w:t>
      </w:r>
      <w:r>
        <w:rPr>
          <w:spacing w:val="-13"/>
          <w:sz w:val="21"/>
        </w:rPr>
        <w:t xml:space="preserve"> </w:t>
      </w:r>
      <w:r>
        <w:rPr>
          <w:sz w:val="21"/>
        </w:rPr>
        <w:t>relating</w:t>
      </w:r>
      <w:r>
        <w:rPr>
          <w:spacing w:val="-12"/>
          <w:sz w:val="21"/>
        </w:rPr>
        <w:t xml:space="preserve"> </w:t>
      </w:r>
      <w:r>
        <w:rPr>
          <w:sz w:val="21"/>
        </w:rPr>
        <w:t>to</w:t>
      </w:r>
      <w:r>
        <w:rPr>
          <w:spacing w:val="-13"/>
          <w:sz w:val="21"/>
        </w:rPr>
        <w:t xml:space="preserve"> </w:t>
      </w:r>
      <w:r>
        <w:rPr>
          <w:sz w:val="21"/>
        </w:rPr>
        <w:t>appointment</w:t>
      </w:r>
      <w:r>
        <w:rPr>
          <w:spacing w:val="-13"/>
          <w:sz w:val="21"/>
        </w:rPr>
        <w:t xml:space="preserve"> </w:t>
      </w:r>
      <w:r>
        <w:rPr>
          <w:sz w:val="21"/>
        </w:rPr>
        <w:t>in</w:t>
      </w:r>
      <w:r>
        <w:rPr>
          <w:spacing w:val="-13"/>
          <w:sz w:val="21"/>
        </w:rPr>
        <w:t xml:space="preserve"> </w:t>
      </w:r>
      <w:r>
        <w:rPr>
          <w:sz w:val="21"/>
        </w:rPr>
        <w:t>a</w:t>
      </w:r>
      <w:r>
        <w:rPr>
          <w:spacing w:val="-13"/>
          <w:sz w:val="21"/>
        </w:rPr>
        <w:t xml:space="preserve"> </w:t>
      </w:r>
      <w:r>
        <w:rPr>
          <w:sz w:val="21"/>
        </w:rPr>
        <w:t>public</w:t>
      </w:r>
      <w:r>
        <w:rPr>
          <w:spacing w:val="-12"/>
          <w:sz w:val="21"/>
        </w:rPr>
        <w:t xml:space="preserve"> </w:t>
      </w:r>
      <w:r>
        <w:rPr>
          <w:sz w:val="21"/>
        </w:rPr>
        <w:t>office</w:t>
      </w:r>
      <w:r>
        <w:rPr>
          <w:spacing w:val="-13"/>
          <w:sz w:val="21"/>
        </w:rPr>
        <w:t xml:space="preserve"> </w:t>
      </w:r>
      <w:r>
        <w:rPr>
          <w:sz w:val="21"/>
        </w:rPr>
        <w:t>and</w:t>
      </w:r>
      <w:r>
        <w:rPr>
          <w:spacing w:val="-12"/>
          <w:sz w:val="21"/>
        </w:rPr>
        <w:t xml:space="preserve"> </w:t>
      </w:r>
      <w:r>
        <w:rPr>
          <w:sz w:val="21"/>
        </w:rPr>
        <w:t>hence</w:t>
      </w:r>
      <w:r>
        <w:rPr>
          <w:spacing w:val="-13"/>
          <w:sz w:val="21"/>
        </w:rPr>
        <w:t xml:space="preserve"> </w:t>
      </w:r>
      <w:r>
        <w:rPr>
          <w:sz w:val="21"/>
        </w:rPr>
        <w:t xml:space="preserve">not entertainable as a public interest litigation would be too simplistic a solution to adopt to answer the </w:t>
      </w:r>
      <w:r>
        <w:rPr>
          <w:b/>
          <w:sz w:val="21"/>
        </w:rPr>
        <w:t>issues that have been highlighted which concerns the religious faith and practice of a large number of citizens of the country and raises claims of century-old traditions and usage having the</w:t>
      </w:r>
      <w:r>
        <w:rPr>
          <w:b/>
          <w:spacing w:val="-13"/>
          <w:sz w:val="21"/>
        </w:rPr>
        <w:t xml:space="preserve"> </w:t>
      </w:r>
      <w:r>
        <w:rPr>
          <w:b/>
          <w:sz w:val="21"/>
        </w:rPr>
        <w:t>force</w:t>
      </w:r>
      <w:r>
        <w:rPr>
          <w:b/>
          <w:spacing w:val="-12"/>
          <w:sz w:val="21"/>
        </w:rPr>
        <w:t xml:space="preserve"> </w:t>
      </w:r>
      <w:r>
        <w:rPr>
          <w:b/>
          <w:sz w:val="21"/>
        </w:rPr>
        <w:t>of</w:t>
      </w:r>
      <w:r>
        <w:rPr>
          <w:b/>
          <w:spacing w:val="-13"/>
          <w:sz w:val="21"/>
        </w:rPr>
        <w:t xml:space="preserve"> </w:t>
      </w:r>
      <w:r>
        <w:rPr>
          <w:b/>
          <w:sz w:val="21"/>
        </w:rPr>
        <w:t>law.</w:t>
      </w:r>
      <w:r>
        <w:rPr>
          <w:b/>
          <w:spacing w:val="-12"/>
          <w:sz w:val="21"/>
        </w:rPr>
        <w:t xml:space="preserve"> </w:t>
      </w:r>
      <w:r>
        <w:rPr>
          <w:sz w:val="21"/>
        </w:rPr>
        <w:t>The</w:t>
      </w:r>
      <w:r>
        <w:rPr>
          <w:spacing w:val="-12"/>
          <w:sz w:val="21"/>
        </w:rPr>
        <w:t xml:space="preserve"> </w:t>
      </w:r>
      <w:r>
        <w:rPr>
          <w:sz w:val="21"/>
        </w:rPr>
        <w:t>above</w:t>
      </w:r>
      <w:r>
        <w:rPr>
          <w:spacing w:val="-13"/>
          <w:sz w:val="21"/>
        </w:rPr>
        <w:t xml:space="preserve"> </w:t>
      </w:r>
      <w:r>
        <w:rPr>
          <w:sz w:val="21"/>
        </w:rPr>
        <w:t>is</w:t>
      </w:r>
      <w:r>
        <w:rPr>
          <w:spacing w:val="-12"/>
          <w:sz w:val="21"/>
        </w:rPr>
        <w:t xml:space="preserve"> </w:t>
      </w:r>
      <w:r>
        <w:rPr>
          <w:sz w:val="21"/>
        </w:rPr>
        <w:t>the</w:t>
      </w:r>
      <w:r>
        <w:rPr>
          <w:spacing w:val="-12"/>
          <w:sz w:val="21"/>
        </w:rPr>
        <w:t xml:space="preserve"> </w:t>
      </w:r>
      <w:r>
        <w:rPr>
          <w:sz w:val="21"/>
        </w:rPr>
        <w:t>second</w:t>
      </w:r>
      <w:r>
        <w:rPr>
          <w:spacing w:val="-13"/>
          <w:sz w:val="21"/>
        </w:rPr>
        <w:t xml:space="preserve"> </w:t>
      </w:r>
      <w:r>
        <w:rPr>
          <w:sz w:val="21"/>
        </w:rPr>
        <w:t>ground,</w:t>
      </w:r>
      <w:r>
        <w:rPr>
          <w:spacing w:val="-13"/>
          <w:sz w:val="21"/>
        </w:rPr>
        <w:t xml:space="preserve"> </w:t>
      </w:r>
      <w:r>
        <w:rPr>
          <w:sz w:val="21"/>
        </w:rPr>
        <w:t>namely,</w:t>
      </w:r>
      <w:r>
        <w:rPr>
          <w:spacing w:val="-12"/>
          <w:sz w:val="21"/>
        </w:rPr>
        <w:t xml:space="preserve"> </w:t>
      </w:r>
      <w:r>
        <w:rPr>
          <w:b/>
          <w:sz w:val="21"/>
        </w:rPr>
        <w:t>the gravit</w:t>
      </w:r>
      <w:r>
        <w:rPr>
          <w:b/>
          <w:sz w:val="21"/>
        </w:rPr>
        <w:t>y of the issues that arise, that impel us to make an attempt to answer the issues raised and arising in the</w:t>
      </w:r>
      <w:r>
        <w:rPr>
          <w:b/>
          <w:spacing w:val="-42"/>
          <w:sz w:val="21"/>
        </w:rPr>
        <w:t xml:space="preserve"> </w:t>
      </w:r>
      <w:r>
        <w:rPr>
          <w:b/>
          <w:sz w:val="21"/>
        </w:rPr>
        <w:t>writ petitions for determination on the merits thereof</w:t>
      </w:r>
      <w:r>
        <w:rPr>
          <w:sz w:val="21"/>
        </w:rPr>
        <w:t>.” (Emphasis</w:t>
      </w:r>
      <w:r>
        <w:rPr>
          <w:spacing w:val="-2"/>
          <w:sz w:val="21"/>
        </w:rPr>
        <w:t xml:space="preserve"> </w:t>
      </w:r>
      <w:r>
        <w:rPr>
          <w:sz w:val="21"/>
        </w:rPr>
        <w:t>supplied)</w:t>
      </w:r>
    </w:p>
    <w:p w:rsidR="003B2FC0" w:rsidRDefault="003B2FC0">
      <w:pPr>
        <w:rPr>
          <w:sz w:val="24"/>
        </w:rPr>
      </w:pPr>
    </w:p>
    <w:p w:rsidR="003B2FC0" w:rsidRDefault="003B2FC0">
      <w:pPr>
        <w:rPr>
          <w:sz w:val="24"/>
        </w:rPr>
      </w:pPr>
    </w:p>
    <w:p w:rsidR="003B2FC0" w:rsidRDefault="003B2FC0">
      <w:pPr>
        <w:spacing w:before="3"/>
        <w:rPr>
          <w:sz w:val="35"/>
        </w:rPr>
      </w:pPr>
    </w:p>
    <w:p w:rsidR="003B2FC0" w:rsidRDefault="00052A49">
      <w:pPr>
        <w:spacing w:before="1" w:line="480" w:lineRule="auto"/>
        <w:ind w:left="400" w:right="437"/>
        <w:jc w:val="both"/>
        <w:rPr>
          <w:sz w:val="26"/>
        </w:rPr>
      </w:pPr>
      <w:r>
        <w:rPr>
          <w:sz w:val="26"/>
        </w:rPr>
        <w:t xml:space="preserve">Of importance are some of the observations of the Kerala High Court </w:t>
      </w:r>
      <w:r>
        <w:rPr>
          <w:spacing w:val="-9"/>
          <w:sz w:val="26"/>
        </w:rPr>
        <w:t xml:space="preserve">in </w:t>
      </w:r>
      <w:r>
        <w:rPr>
          <w:b/>
          <w:sz w:val="26"/>
        </w:rPr>
        <w:t xml:space="preserve">Mahendran </w:t>
      </w:r>
      <w:r>
        <w:rPr>
          <w:sz w:val="26"/>
        </w:rPr>
        <w:t>The High Court noted that even when old customs prevailed, women were allowed to visit the Temple.</w:t>
      </w:r>
      <w:r>
        <w:rPr>
          <w:position w:val="9"/>
          <w:sz w:val="17"/>
        </w:rPr>
        <w:t xml:space="preserve">48 </w:t>
      </w:r>
      <w:r>
        <w:rPr>
          <w:sz w:val="26"/>
        </w:rPr>
        <w:t>It noted an incident where the Maharaja of Travancore, accompanied by the Maharani and the Divan, had visited</w:t>
      </w:r>
      <w:r>
        <w:rPr>
          <w:spacing w:val="-12"/>
          <w:sz w:val="26"/>
        </w:rPr>
        <w:t xml:space="preserve"> </w:t>
      </w:r>
      <w:r>
        <w:rPr>
          <w:sz w:val="26"/>
        </w:rPr>
        <w:t>the</w:t>
      </w:r>
      <w:r>
        <w:rPr>
          <w:spacing w:val="-12"/>
          <w:sz w:val="26"/>
        </w:rPr>
        <w:t xml:space="preserve"> </w:t>
      </w:r>
      <w:r>
        <w:rPr>
          <w:sz w:val="26"/>
        </w:rPr>
        <w:t>Temple</w:t>
      </w:r>
      <w:r>
        <w:rPr>
          <w:spacing w:val="-14"/>
          <w:sz w:val="26"/>
        </w:rPr>
        <w:t xml:space="preserve"> </w:t>
      </w:r>
      <w:r>
        <w:rPr>
          <w:sz w:val="26"/>
        </w:rPr>
        <w:t>in</w:t>
      </w:r>
      <w:r>
        <w:rPr>
          <w:spacing w:val="-11"/>
          <w:sz w:val="26"/>
        </w:rPr>
        <w:t xml:space="preserve"> </w:t>
      </w:r>
      <w:r>
        <w:rPr>
          <w:sz w:val="26"/>
        </w:rPr>
        <w:t>1115</w:t>
      </w:r>
      <w:r>
        <w:rPr>
          <w:spacing w:val="-12"/>
          <w:sz w:val="26"/>
        </w:rPr>
        <w:t xml:space="preserve"> </w:t>
      </w:r>
      <w:r>
        <w:rPr>
          <w:sz w:val="26"/>
        </w:rPr>
        <w:t>M.E.</w:t>
      </w:r>
      <w:r>
        <w:rPr>
          <w:spacing w:val="-12"/>
          <w:sz w:val="26"/>
        </w:rPr>
        <w:t xml:space="preserve"> </w:t>
      </w:r>
      <w:r>
        <w:rPr>
          <w:sz w:val="26"/>
        </w:rPr>
        <w:t>The</w:t>
      </w:r>
      <w:r>
        <w:rPr>
          <w:spacing w:val="-14"/>
          <w:sz w:val="26"/>
        </w:rPr>
        <w:t xml:space="preserve"> </w:t>
      </w:r>
      <w:r>
        <w:rPr>
          <w:sz w:val="26"/>
        </w:rPr>
        <w:t>High</w:t>
      </w:r>
      <w:r>
        <w:rPr>
          <w:spacing w:val="-11"/>
          <w:sz w:val="26"/>
        </w:rPr>
        <w:t xml:space="preserve"> </w:t>
      </w:r>
      <w:r>
        <w:rPr>
          <w:sz w:val="26"/>
        </w:rPr>
        <w:t>Court</w:t>
      </w:r>
      <w:r>
        <w:rPr>
          <w:spacing w:val="-12"/>
          <w:sz w:val="26"/>
        </w:rPr>
        <w:t xml:space="preserve"> </w:t>
      </w:r>
      <w:r>
        <w:rPr>
          <w:sz w:val="26"/>
        </w:rPr>
        <w:t>noted</w:t>
      </w:r>
      <w:r>
        <w:rPr>
          <w:spacing w:val="-14"/>
          <w:sz w:val="26"/>
        </w:rPr>
        <w:t xml:space="preserve"> </w:t>
      </w:r>
      <w:r>
        <w:rPr>
          <w:sz w:val="26"/>
        </w:rPr>
        <w:t>that</w:t>
      </w:r>
      <w:r>
        <w:rPr>
          <w:spacing w:val="-13"/>
          <w:sz w:val="26"/>
        </w:rPr>
        <w:t xml:space="preserve"> </w:t>
      </w:r>
      <w:r>
        <w:rPr>
          <w:sz w:val="26"/>
        </w:rPr>
        <w:t>the</w:t>
      </w:r>
      <w:r>
        <w:rPr>
          <w:spacing w:val="-12"/>
          <w:sz w:val="26"/>
        </w:rPr>
        <w:t xml:space="preserve"> </w:t>
      </w:r>
      <w:r>
        <w:rPr>
          <w:sz w:val="26"/>
        </w:rPr>
        <w:t>Temple</w:t>
      </w:r>
      <w:r>
        <w:rPr>
          <w:spacing w:val="-14"/>
          <w:sz w:val="26"/>
        </w:rPr>
        <w:t xml:space="preserve"> </w:t>
      </w:r>
      <w:r>
        <w:rPr>
          <w:sz w:val="26"/>
        </w:rPr>
        <w:t>has</w:t>
      </w:r>
      <w:r>
        <w:rPr>
          <w:spacing w:val="-12"/>
          <w:sz w:val="26"/>
        </w:rPr>
        <w:t xml:space="preserve"> </w:t>
      </w:r>
      <w:r>
        <w:rPr>
          <w:sz w:val="26"/>
        </w:rPr>
        <w:t>seen the</w:t>
      </w:r>
      <w:r>
        <w:rPr>
          <w:spacing w:val="14"/>
          <w:sz w:val="26"/>
        </w:rPr>
        <w:t xml:space="preserve"> </w:t>
      </w:r>
      <w:r>
        <w:rPr>
          <w:sz w:val="26"/>
        </w:rPr>
        <w:t>presence</w:t>
      </w:r>
      <w:r>
        <w:rPr>
          <w:spacing w:val="18"/>
          <w:sz w:val="26"/>
        </w:rPr>
        <w:t xml:space="preserve"> </w:t>
      </w:r>
      <w:r>
        <w:rPr>
          <w:sz w:val="26"/>
        </w:rPr>
        <w:t>of</w:t>
      </w:r>
      <w:r>
        <w:rPr>
          <w:spacing w:val="18"/>
          <w:sz w:val="26"/>
        </w:rPr>
        <w:t xml:space="preserve"> </w:t>
      </w:r>
      <w:r>
        <w:rPr>
          <w:sz w:val="26"/>
        </w:rPr>
        <w:t>women</w:t>
      </w:r>
      <w:r>
        <w:rPr>
          <w:spacing w:val="18"/>
          <w:sz w:val="26"/>
        </w:rPr>
        <w:t xml:space="preserve"> </w:t>
      </w:r>
      <w:r>
        <w:rPr>
          <w:sz w:val="26"/>
        </w:rPr>
        <w:t>worshippers</w:t>
      </w:r>
      <w:r>
        <w:rPr>
          <w:spacing w:val="18"/>
          <w:sz w:val="26"/>
        </w:rPr>
        <w:t xml:space="preserve"> </w:t>
      </w:r>
      <w:r>
        <w:rPr>
          <w:sz w:val="26"/>
        </w:rPr>
        <w:t>between</w:t>
      </w:r>
      <w:r>
        <w:rPr>
          <w:spacing w:val="18"/>
          <w:sz w:val="26"/>
        </w:rPr>
        <w:t xml:space="preserve"> </w:t>
      </w:r>
      <w:r>
        <w:rPr>
          <w:sz w:val="26"/>
        </w:rPr>
        <w:t>the</w:t>
      </w:r>
      <w:r>
        <w:rPr>
          <w:spacing w:val="18"/>
          <w:sz w:val="26"/>
        </w:rPr>
        <w:t xml:space="preserve"> </w:t>
      </w:r>
      <w:r>
        <w:rPr>
          <w:sz w:val="26"/>
        </w:rPr>
        <w:t>ages</w:t>
      </w:r>
      <w:r>
        <w:rPr>
          <w:spacing w:val="18"/>
          <w:sz w:val="26"/>
        </w:rPr>
        <w:t xml:space="preserve"> </w:t>
      </w:r>
      <w:r>
        <w:rPr>
          <w:sz w:val="26"/>
        </w:rPr>
        <w:t>of</w:t>
      </w:r>
      <w:r>
        <w:rPr>
          <w:spacing w:val="15"/>
          <w:sz w:val="26"/>
        </w:rPr>
        <w:t xml:space="preserve"> </w:t>
      </w:r>
      <w:r>
        <w:rPr>
          <w:sz w:val="26"/>
        </w:rPr>
        <w:t>ten</w:t>
      </w:r>
      <w:r>
        <w:rPr>
          <w:spacing w:val="16"/>
          <w:sz w:val="26"/>
        </w:rPr>
        <w:t xml:space="preserve"> </w:t>
      </w:r>
      <w:r>
        <w:rPr>
          <w:sz w:val="26"/>
        </w:rPr>
        <w:t>and</w:t>
      </w:r>
      <w:r>
        <w:rPr>
          <w:spacing w:val="16"/>
          <w:sz w:val="26"/>
        </w:rPr>
        <w:t xml:space="preserve"> </w:t>
      </w:r>
      <w:r>
        <w:rPr>
          <w:sz w:val="26"/>
        </w:rPr>
        <w:t>fifty</w:t>
      </w:r>
      <w:r>
        <w:rPr>
          <w:spacing w:val="14"/>
          <w:sz w:val="26"/>
        </w:rPr>
        <w:t xml:space="preserve"> </w:t>
      </w:r>
      <w:r>
        <w:rPr>
          <w:sz w:val="26"/>
        </w:rPr>
        <w:t>for</w:t>
      </w:r>
      <w:r>
        <w:rPr>
          <w:spacing w:val="16"/>
          <w:sz w:val="26"/>
        </w:rPr>
        <w:t xml:space="preserve"> </w:t>
      </w:r>
      <w:r>
        <w:rPr>
          <w:sz w:val="26"/>
        </w:rPr>
        <w:t>the</w:t>
      </w:r>
    </w:p>
    <w:p w:rsidR="003B2FC0" w:rsidRDefault="003B2FC0">
      <w:pPr>
        <w:rPr>
          <w:sz w:val="20"/>
        </w:rPr>
      </w:pPr>
    </w:p>
    <w:p w:rsidR="003B2FC0" w:rsidRDefault="003B2FC0">
      <w:pPr>
        <w:spacing w:before="6"/>
        <w:rPr>
          <w:sz w:val="16"/>
        </w:rPr>
      </w:pPr>
      <w:r w:rsidRPr="003B2FC0">
        <w:pict>
          <v:line id="_x0000_s1114" style="position:absolute;z-index:251601408;mso-wrap-distance-left:0;mso-wrap-distance-right:0;mso-position-horizontal-relative:page" from="1in,11.85pt" to="216.05pt,11.85pt" strokeweight=".72pt">
            <w10:wrap type="topAndBottom" anchorx="page"/>
          </v:line>
        </w:pict>
      </w:r>
    </w:p>
    <w:p w:rsidR="003B2FC0" w:rsidRDefault="00052A49">
      <w:pPr>
        <w:spacing w:before="66" w:line="210" w:lineRule="exact"/>
        <w:ind w:left="400"/>
        <w:rPr>
          <w:sz w:val="18"/>
        </w:rPr>
      </w:pPr>
      <w:r>
        <w:rPr>
          <w:position w:val="6"/>
          <w:sz w:val="12"/>
        </w:rPr>
        <w:t xml:space="preserve">47 </w:t>
      </w:r>
      <w:r>
        <w:rPr>
          <w:sz w:val="18"/>
        </w:rPr>
        <w:t>(2016) 2 SCC 725</w:t>
      </w:r>
    </w:p>
    <w:p w:rsidR="003B2FC0" w:rsidRDefault="00052A49">
      <w:pPr>
        <w:spacing w:line="210" w:lineRule="exact"/>
        <w:ind w:left="400"/>
        <w:rPr>
          <w:sz w:val="18"/>
        </w:rPr>
      </w:pPr>
      <w:r>
        <w:rPr>
          <w:position w:val="6"/>
          <w:sz w:val="12"/>
        </w:rPr>
        <w:t xml:space="preserve">48 </w:t>
      </w:r>
      <w:r>
        <w:rPr>
          <w:sz w:val="18"/>
        </w:rPr>
        <w:t>Ibid, at para 7</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spacing w:before="97" w:line="477" w:lineRule="auto"/>
        <w:ind w:left="400" w:right="434"/>
        <w:jc w:val="both"/>
        <w:rPr>
          <w:sz w:val="17"/>
        </w:rPr>
      </w:pPr>
      <w:r>
        <w:rPr>
          <w:sz w:val="26"/>
        </w:rPr>
        <w:t>first rice-feeding ceremony of their children.</w:t>
      </w:r>
      <w:r>
        <w:rPr>
          <w:position w:val="9"/>
          <w:sz w:val="17"/>
        </w:rPr>
        <w:t xml:space="preserve">49 </w:t>
      </w:r>
      <w:r>
        <w:rPr>
          <w:sz w:val="26"/>
        </w:rPr>
        <w:t>The Secretary of the Ayyappa Seva Sangham had deposed that young women were seen in Sabarimala during the previous ten to fifteen years.</w:t>
      </w:r>
      <w:r>
        <w:rPr>
          <w:position w:val="9"/>
          <w:sz w:val="17"/>
        </w:rPr>
        <w:t xml:space="preserve">50 </w:t>
      </w:r>
      <w:r>
        <w:rPr>
          <w:sz w:val="26"/>
        </w:rPr>
        <w:t>A former Devaswom Commissioner admitted that the first rice-feeding ceremony of her grandchild was conducted at the S</w:t>
      </w:r>
      <w:r>
        <w:rPr>
          <w:sz w:val="26"/>
        </w:rPr>
        <w:t>abarimala Temple. The High Court found that during the twenty years preceding the decision, women irrespective of age were allowed to visit the temple when it opened for monthly poojas,</w:t>
      </w:r>
      <w:r>
        <w:rPr>
          <w:position w:val="9"/>
          <w:sz w:val="17"/>
        </w:rPr>
        <w:t xml:space="preserve">51 </w:t>
      </w:r>
      <w:r>
        <w:rPr>
          <w:sz w:val="26"/>
        </w:rPr>
        <w:t>but were prohibited from entering the temple only during Mandalam, M</w:t>
      </w:r>
      <w:r>
        <w:rPr>
          <w:sz w:val="26"/>
        </w:rPr>
        <w:t>akaravilakku and Vishu seasons.</w:t>
      </w:r>
      <w:r>
        <w:rPr>
          <w:position w:val="9"/>
          <w:sz w:val="17"/>
        </w:rPr>
        <w:t>52</w:t>
      </w:r>
    </w:p>
    <w:p w:rsidR="003B2FC0" w:rsidRDefault="003B2FC0">
      <w:pPr>
        <w:rPr>
          <w:sz w:val="30"/>
        </w:rPr>
      </w:pPr>
    </w:p>
    <w:p w:rsidR="003B2FC0" w:rsidRDefault="003B2FC0">
      <w:pPr>
        <w:spacing w:before="6"/>
        <w:rPr>
          <w:sz w:val="24"/>
        </w:rPr>
      </w:pPr>
    </w:p>
    <w:p w:rsidR="003B2FC0" w:rsidRDefault="00052A49">
      <w:pPr>
        <w:spacing w:line="480" w:lineRule="auto"/>
        <w:ind w:left="400" w:right="434"/>
        <w:jc w:val="both"/>
        <w:rPr>
          <w:sz w:val="26"/>
        </w:rPr>
      </w:pPr>
      <w:r>
        <w:rPr>
          <w:sz w:val="26"/>
        </w:rPr>
        <w:t>The High Court thus noted multiple instances wherein women were allowed to pray at the Sabarimala temple. These observations demonstrate that the practice of excluding women from the Sabarimala temple was not uniform.</w:t>
      </w:r>
      <w:r>
        <w:rPr>
          <w:spacing w:val="-51"/>
          <w:sz w:val="26"/>
        </w:rPr>
        <w:t xml:space="preserve"> </w:t>
      </w:r>
      <w:r>
        <w:rPr>
          <w:sz w:val="26"/>
        </w:rPr>
        <w:t>This militates against a claim that such a practice is of an obligatory nature. That such practice has not been followed on numerous occasions, also shows that the denial of constitutional protection to an exclusionary practice will not result in a fundame</w:t>
      </w:r>
      <w:r>
        <w:rPr>
          <w:sz w:val="26"/>
        </w:rPr>
        <w:t xml:space="preserve">ntal change in the character of the religion as required by </w:t>
      </w:r>
      <w:r>
        <w:rPr>
          <w:b/>
          <w:sz w:val="26"/>
        </w:rPr>
        <w:t>Avadhuta II</w:t>
      </w:r>
      <w:r>
        <w:rPr>
          <w:sz w:val="26"/>
        </w:rPr>
        <w:t>.</w:t>
      </w:r>
    </w:p>
    <w:p w:rsidR="003B2FC0" w:rsidRDefault="003B2FC0">
      <w:pPr>
        <w:rPr>
          <w:sz w:val="28"/>
        </w:rPr>
      </w:pPr>
    </w:p>
    <w:p w:rsidR="003B2FC0" w:rsidRDefault="003B2FC0">
      <w:pPr>
        <w:spacing w:before="10"/>
        <w:rPr>
          <w:sz w:val="25"/>
        </w:rPr>
      </w:pPr>
    </w:p>
    <w:p w:rsidR="003B2FC0" w:rsidRDefault="00052A49">
      <w:pPr>
        <w:pStyle w:val="ListParagraph"/>
        <w:numPr>
          <w:ilvl w:val="0"/>
          <w:numId w:val="39"/>
        </w:numPr>
        <w:tabs>
          <w:tab w:val="left" w:pos="1121"/>
        </w:tabs>
        <w:spacing w:line="477" w:lineRule="auto"/>
        <w:ind w:right="435" w:firstLine="0"/>
        <w:jc w:val="both"/>
        <w:rPr>
          <w:sz w:val="26"/>
        </w:rPr>
      </w:pPr>
      <w:r>
        <w:rPr>
          <w:sz w:val="26"/>
        </w:rPr>
        <w:t>The</w:t>
      </w:r>
      <w:r>
        <w:rPr>
          <w:spacing w:val="-14"/>
          <w:sz w:val="26"/>
        </w:rPr>
        <w:t xml:space="preserve"> </w:t>
      </w:r>
      <w:r>
        <w:rPr>
          <w:sz w:val="26"/>
        </w:rPr>
        <w:t>High</w:t>
      </w:r>
      <w:r>
        <w:rPr>
          <w:spacing w:val="-14"/>
          <w:sz w:val="26"/>
        </w:rPr>
        <w:t xml:space="preserve"> </w:t>
      </w:r>
      <w:r>
        <w:rPr>
          <w:sz w:val="26"/>
        </w:rPr>
        <w:t>Court</w:t>
      </w:r>
      <w:r>
        <w:rPr>
          <w:spacing w:val="-13"/>
          <w:sz w:val="26"/>
        </w:rPr>
        <w:t xml:space="preserve"> </w:t>
      </w:r>
      <w:r>
        <w:rPr>
          <w:sz w:val="26"/>
        </w:rPr>
        <w:t>proceeded</w:t>
      </w:r>
      <w:r>
        <w:rPr>
          <w:spacing w:val="-12"/>
          <w:sz w:val="26"/>
        </w:rPr>
        <w:t xml:space="preserve"> </w:t>
      </w:r>
      <w:r>
        <w:rPr>
          <w:sz w:val="26"/>
        </w:rPr>
        <w:t>on</w:t>
      </w:r>
      <w:r>
        <w:rPr>
          <w:spacing w:val="-13"/>
          <w:sz w:val="26"/>
        </w:rPr>
        <w:t xml:space="preserve"> </w:t>
      </w:r>
      <w:r>
        <w:rPr>
          <w:sz w:val="26"/>
        </w:rPr>
        <w:t>the</w:t>
      </w:r>
      <w:r>
        <w:rPr>
          <w:spacing w:val="-14"/>
          <w:sz w:val="26"/>
        </w:rPr>
        <w:t xml:space="preserve"> </w:t>
      </w:r>
      <w:r>
        <w:rPr>
          <w:sz w:val="26"/>
        </w:rPr>
        <w:t>basis</w:t>
      </w:r>
      <w:r>
        <w:rPr>
          <w:spacing w:val="-11"/>
          <w:sz w:val="26"/>
        </w:rPr>
        <w:t xml:space="preserve"> </w:t>
      </w:r>
      <w:r>
        <w:rPr>
          <w:sz w:val="26"/>
        </w:rPr>
        <w:t>of</w:t>
      </w:r>
      <w:r>
        <w:rPr>
          <w:spacing w:val="-10"/>
          <w:sz w:val="26"/>
        </w:rPr>
        <w:t xml:space="preserve"> </w:t>
      </w:r>
      <w:r>
        <w:rPr>
          <w:sz w:val="26"/>
        </w:rPr>
        <w:t>the</w:t>
      </w:r>
      <w:r>
        <w:rPr>
          <w:spacing w:val="-13"/>
          <w:sz w:val="26"/>
        </w:rPr>
        <w:t xml:space="preserve"> </w:t>
      </w:r>
      <w:r>
        <w:rPr>
          <w:sz w:val="26"/>
        </w:rPr>
        <w:t>‘complete</w:t>
      </w:r>
      <w:r>
        <w:rPr>
          <w:spacing w:val="-13"/>
          <w:sz w:val="26"/>
        </w:rPr>
        <w:t xml:space="preserve"> </w:t>
      </w:r>
      <w:r>
        <w:rPr>
          <w:sz w:val="26"/>
        </w:rPr>
        <w:t>autonomy’</w:t>
      </w:r>
      <w:r>
        <w:rPr>
          <w:spacing w:val="-12"/>
          <w:sz w:val="26"/>
        </w:rPr>
        <w:t xml:space="preserve"> </w:t>
      </w:r>
      <w:r>
        <w:rPr>
          <w:sz w:val="26"/>
        </w:rPr>
        <w:t>of</w:t>
      </w:r>
      <w:r>
        <w:rPr>
          <w:spacing w:val="-11"/>
          <w:sz w:val="26"/>
        </w:rPr>
        <w:t xml:space="preserve"> </w:t>
      </w:r>
      <w:r>
        <w:rPr>
          <w:sz w:val="26"/>
        </w:rPr>
        <w:t>the followers in determining the essentiality of the practice</w:t>
      </w:r>
      <w:r>
        <w:rPr>
          <w:position w:val="9"/>
          <w:sz w:val="17"/>
        </w:rPr>
        <w:t>53</w:t>
      </w:r>
      <w:r>
        <w:rPr>
          <w:sz w:val="26"/>
        </w:rPr>
        <w:t xml:space="preserve">. This followed the dictum in </w:t>
      </w:r>
      <w:r>
        <w:rPr>
          <w:b/>
          <w:sz w:val="26"/>
        </w:rPr>
        <w:t>Shirur Mutt</w:t>
      </w:r>
      <w:r>
        <w:rPr>
          <w:sz w:val="26"/>
        </w:rPr>
        <w:t>, without</w:t>
      </w:r>
      <w:r>
        <w:rPr>
          <w:sz w:val="26"/>
        </w:rPr>
        <w:t xml:space="preserve"> taking note of evolution of precedent</w:t>
      </w:r>
      <w:r>
        <w:rPr>
          <w:spacing w:val="46"/>
          <w:sz w:val="26"/>
        </w:rPr>
        <w:t xml:space="preserve"> </w:t>
      </w:r>
      <w:r>
        <w:rPr>
          <w:sz w:val="26"/>
        </w:rPr>
        <w:t>thereafter,</w:t>
      </w:r>
    </w:p>
    <w:p w:rsidR="003B2FC0" w:rsidRDefault="003B2FC0">
      <w:pPr>
        <w:rPr>
          <w:sz w:val="15"/>
        </w:rPr>
      </w:pPr>
      <w:r w:rsidRPr="003B2FC0">
        <w:pict>
          <v:line id="_x0000_s1113" style="position:absolute;z-index:251602432;mso-wrap-distance-left:0;mso-wrap-distance-right:0;mso-position-horizontal-relative:page" from="1in,11pt" to="216.05pt,11pt" strokeweight=".72pt">
            <w10:wrap type="topAndBottom" anchorx="page"/>
          </v:line>
        </w:pict>
      </w:r>
    </w:p>
    <w:p w:rsidR="003B2FC0" w:rsidRDefault="00052A49">
      <w:pPr>
        <w:spacing w:before="66" w:line="209" w:lineRule="exact"/>
        <w:ind w:left="400"/>
        <w:rPr>
          <w:sz w:val="18"/>
        </w:rPr>
      </w:pPr>
      <w:r>
        <w:rPr>
          <w:position w:val="6"/>
          <w:sz w:val="12"/>
        </w:rPr>
        <w:t xml:space="preserve">49 </w:t>
      </w:r>
      <w:r>
        <w:rPr>
          <w:sz w:val="18"/>
        </w:rPr>
        <w:t>Ibid</w:t>
      </w:r>
    </w:p>
    <w:p w:rsidR="003B2FC0" w:rsidRDefault="00052A49">
      <w:pPr>
        <w:spacing w:line="207" w:lineRule="exact"/>
        <w:ind w:left="400"/>
        <w:rPr>
          <w:sz w:val="18"/>
        </w:rPr>
      </w:pPr>
      <w:r>
        <w:rPr>
          <w:position w:val="6"/>
          <w:sz w:val="12"/>
        </w:rPr>
        <w:t xml:space="preserve">50 </w:t>
      </w:r>
      <w:r>
        <w:rPr>
          <w:sz w:val="18"/>
        </w:rPr>
        <w:t>Ibid, at para 32</w:t>
      </w:r>
    </w:p>
    <w:p w:rsidR="003B2FC0" w:rsidRDefault="00052A49">
      <w:pPr>
        <w:spacing w:line="206" w:lineRule="exact"/>
        <w:ind w:left="400"/>
        <w:rPr>
          <w:sz w:val="18"/>
        </w:rPr>
      </w:pPr>
      <w:r>
        <w:rPr>
          <w:position w:val="6"/>
          <w:sz w:val="12"/>
        </w:rPr>
        <w:t xml:space="preserve">51 </w:t>
      </w:r>
      <w:r>
        <w:rPr>
          <w:sz w:val="18"/>
        </w:rPr>
        <w:t>Ibid, at paras 8, 10</w:t>
      </w:r>
    </w:p>
    <w:p w:rsidR="003B2FC0" w:rsidRDefault="00052A49">
      <w:pPr>
        <w:spacing w:line="208" w:lineRule="exact"/>
        <w:ind w:left="400"/>
        <w:rPr>
          <w:sz w:val="18"/>
        </w:rPr>
      </w:pPr>
      <w:r>
        <w:rPr>
          <w:position w:val="6"/>
          <w:sz w:val="12"/>
        </w:rPr>
        <w:t xml:space="preserve">52  </w:t>
      </w:r>
      <w:r>
        <w:rPr>
          <w:sz w:val="18"/>
        </w:rPr>
        <w:t>Ibid, at para</w:t>
      </w:r>
      <w:r>
        <w:rPr>
          <w:spacing w:val="-23"/>
          <w:sz w:val="18"/>
        </w:rPr>
        <w:t xml:space="preserve"> </w:t>
      </w:r>
      <w:r>
        <w:rPr>
          <w:sz w:val="18"/>
        </w:rPr>
        <w:t>43</w:t>
      </w:r>
    </w:p>
    <w:p w:rsidR="003B2FC0" w:rsidRDefault="00052A49">
      <w:pPr>
        <w:spacing w:line="210" w:lineRule="exact"/>
        <w:ind w:left="400"/>
        <w:rPr>
          <w:sz w:val="18"/>
        </w:rPr>
      </w:pPr>
      <w:r>
        <w:rPr>
          <w:position w:val="6"/>
          <w:sz w:val="12"/>
        </w:rPr>
        <w:t xml:space="preserve">53  </w:t>
      </w:r>
      <w:r>
        <w:rPr>
          <w:sz w:val="18"/>
        </w:rPr>
        <w:t>Ibid, at para</w:t>
      </w:r>
      <w:r>
        <w:rPr>
          <w:spacing w:val="-22"/>
          <w:sz w:val="18"/>
        </w:rPr>
        <w:t xml:space="preserve"> </w:t>
      </w:r>
      <w:r>
        <w:rPr>
          <w:sz w:val="18"/>
        </w:rPr>
        <w:t>22</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which strengthened the role of the Court in the determination and put in place essential safeguards to ensure to every individual, the constitutional protection afforded by the trinity of dignity, liberty and equality. The approach of the High Court is inc</w:t>
      </w:r>
      <w:r>
        <w:rPr>
          <w:sz w:val="26"/>
        </w:rPr>
        <w:t>orrect. The High Court relied completely on the testimonies of the Thanthris without an enquiry into its basis in religious text or whether the practice</w:t>
      </w:r>
      <w:r>
        <w:rPr>
          <w:spacing w:val="-9"/>
          <w:sz w:val="26"/>
        </w:rPr>
        <w:t xml:space="preserve"> </w:t>
      </w:r>
      <w:r>
        <w:rPr>
          <w:sz w:val="26"/>
        </w:rPr>
        <w:t>claiming</w:t>
      </w:r>
      <w:r>
        <w:rPr>
          <w:spacing w:val="-12"/>
          <w:sz w:val="26"/>
        </w:rPr>
        <w:t xml:space="preserve"> </w:t>
      </w:r>
      <w:r>
        <w:rPr>
          <w:sz w:val="26"/>
        </w:rPr>
        <w:t>constitutional</w:t>
      </w:r>
      <w:r>
        <w:rPr>
          <w:spacing w:val="-11"/>
          <w:sz w:val="26"/>
        </w:rPr>
        <w:t xml:space="preserve"> </w:t>
      </w:r>
      <w:r>
        <w:rPr>
          <w:sz w:val="26"/>
        </w:rPr>
        <w:t>protection</w:t>
      </w:r>
      <w:r>
        <w:rPr>
          <w:spacing w:val="-12"/>
          <w:sz w:val="26"/>
        </w:rPr>
        <w:t xml:space="preserve"> </w:t>
      </w:r>
      <w:r>
        <w:rPr>
          <w:sz w:val="26"/>
        </w:rPr>
        <w:t>fulfilled</w:t>
      </w:r>
      <w:r>
        <w:rPr>
          <w:spacing w:val="-12"/>
          <w:sz w:val="26"/>
        </w:rPr>
        <w:t xml:space="preserve"> </w:t>
      </w:r>
      <w:r>
        <w:rPr>
          <w:sz w:val="26"/>
        </w:rPr>
        <w:t>the</w:t>
      </w:r>
      <w:r>
        <w:rPr>
          <w:spacing w:val="-12"/>
          <w:sz w:val="26"/>
        </w:rPr>
        <w:t xml:space="preserve"> </w:t>
      </w:r>
      <w:r>
        <w:rPr>
          <w:sz w:val="26"/>
        </w:rPr>
        <w:t>other</w:t>
      </w:r>
      <w:r>
        <w:rPr>
          <w:spacing w:val="-9"/>
          <w:sz w:val="26"/>
        </w:rPr>
        <w:t xml:space="preserve"> </w:t>
      </w:r>
      <w:r>
        <w:rPr>
          <w:sz w:val="26"/>
        </w:rPr>
        <w:t>guidelines</w:t>
      </w:r>
      <w:r>
        <w:rPr>
          <w:spacing w:val="-12"/>
          <w:sz w:val="26"/>
        </w:rPr>
        <w:t xml:space="preserve"> </w:t>
      </w:r>
      <w:r>
        <w:rPr>
          <w:sz w:val="26"/>
        </w:rPr>
        <w:t>laid</w:t>
      </w:r>
      <w:r>
        <w:rPr>
          <w:spacing w:val="-12"/>
          <w:sz w:val="26"/>
        </w:rPr>
        <w:t xml:space="preserve"> </w:t>
      </w:r>
      <w:r>
        <w:rPr>
          <w:sz w:val="26"/>
        </w:rPr>
        <w:t>down by this Court. Such an appr</w:t>
      </w:r>
      <w:r>
        <w:rPr>
          <w:sz w:val="26"/>
        </w:rPr>
        <w:t>oach militates against the fundamental role of the constitutional Court as a guardian of fundamental rights. Merely establishing a usage</w:t>
      </w:r>
      <w:r>
        <w:rPr>
          <w:position w:val="9"/>
          <w:sz w:val="17"/>
        </w:rPr>
        <w:t xml:space="preserve">54 </w:t>
      </w:r>
      <w:r>
        <w:rPr>
          <w:sz w:val="26"/>
        </w:rPr>
        <w:t xml:space="preserve">will not afford it constitutional protection as an essential religious practice. It must be proved that the practice </w:t>
      </w:r>
      <w:r>
        <w:rPr>
          <w:sz w:val="26"/>
        </w:rPr>
        <w:t>is ‘essential’ to religion and inextricably connected with its fundamental character. This has not been proved.</w:t>
      </w:r>
    </w:p>
    <w:p w:rsidR="003B2FC0" w:rsidRDefault="003B2FC0">
      <w:pPr>
        <w:rPr>
          <w:sz w:val="28"/>
        </w:rPr>
      </w:pPr>
    </w:p>
    <w:p w:rsidR="003B2FC0" w:rsidRDefault="003B2FC0">
      <w:pPr>
        <w:spacing w:before="4"/>
        <w:rPr>
          <w:sz w:val="32"/>
        </w:rPr>
      </w:pPr>
    </w:p>
    <w:p w:rsidR="003B2FC0" w:rsidRDefault="00052A49">
      <w:pPr>
        <w:spacing w:before="1" w:line="480" w:lineRule="auto"/>
        <w:ind w:left="400" w:right="434"/>
        <w:jc w:val="both"/>
        <w:rPr>
          <w:sz w:val="26"/>
        </w:rPr>
      </w:pPr>
      <w:r>
        <w:rPr>
          <w:sz w:val="26"/>
        </w:rPr>
        <w:t>This is sufficient reason to hold that the practice of excluding women from Sabarimala does not constitute an essential religious practice. However, since the claim in this case has a significant bearing on the dignity and fundamental rights of women, an i</w:t>
      </w:r>
      <w:r>
        <w:rPr>
          <w:sz w:val="26"/>
        </w:rPr>
        <w:t>ssue of principle must be analysed.</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77" w:lineRule="auto"/>
        <w:ind w:right="436" w:firstLine="0"/>
        <w:jc w:val="both"/>
        <w:rPr>
          <w:sz w:val="26"/>
        </w:rPr>
      </w:pPr>
      <w:r>
        <w:rPr>
          <w:sz w:val="26"/>
        </w:rPr>
        <w:t>It</w:t>
      </w:r>
      <w:r>
        <w:rPr>
          <w:spacing w:val="-19"/>
          <w:sz w:val="26"/>
        </w:rPr>
        <w:t xml:space="preserve"> </w:t>
      </w:r>
      <w:r>
        <w:rPr>
          <w:sz w:val="26"/>
        </w:rPr>
        <w:t>was</w:t>
      </w:r>
      <w:r>
        <w:rPr>
          <w:spacing w:val="-19"/>
          <w:sz w:val="26"/>
        </w:rPr>
        <w:t xml:space="preserve"> </w:t>
      </w:r>
      <w:r>
        <w:rPr>
          <w:sz w:val="26"/>
        </w:rPr>
        <w:t>brought</w:t>
      </w:r>
      <w:r>
        <w:rPr>
          <w:spacing w:val="-19"/>
          <w:sz w:val="26"/>
        </w:rPr>
        <w:t xml:space="preserve"> </w:t>
      </w:r>
      <w:r>
        <w:rPr>
          <w:sz w:val="26"/>
        </w:rPr>
        <w:t>to</w:t>
      </w:r>
      <w:r>
        <w:rPr>
          <w:spacing w:val="-19"/>
          <w:sz w:val="26"/>
        </w:rPr>
        <w:t xml:space="preserve"> </w:t>
      </w:r>
      <w:r>
        <w:rPr>
          <w:sz w:val="26"/>
        </w:rPr>
        <w:t>the</w:t>
      </w:r>
      <w:r>
        <w:rPr>
          <w:spacing w:val="-15"/>
          <w:sz w:val="26"/>
        </w:rPr>
        <w:t xml:space="preserve"> </w:t>
      </w:r>
      <w:r>
        <w:rPr>
          <w:sz w:val="26"/>
        </w:rPr>
        <w:t>notice</w:t>
      </w:r>
      <w:r>
        <w:rPr>
          <w:spacing w:val="-19"/>
          <w:sz w:val="26"/>
        </w:rPr>
        <w:t xml:space="preserve"> </w:t>
      </w:r>
      <w:r>
        <w:rPr>
          <w:sz w:val="26"/>
        </w:rPr>
        <w:t>of</w:t>
      </w:r>
      <w:r>
        <w:rPr>
          <w:spacing w:val="-19"/>
          <w:sz w:val="26"/>
        </w:rPr>
        <w:t xml:space="preserve"> </w:t>
      </w:r>
      <w:r>
        <w:rPr>
          <w:sz w:val="26"/>
        </w:rPr>
        <w:t>this</w:t>
      </w:r>
      <w:r>
        <w:rPr>
          <w:spacing w:val="-19"/>
          <w:sz w:val="26"/>
        </w:rPr>
        <w:t xml:space="preserve"> </w:t>
      </w:r>
      <w:r>
        <w:rPr>
          <w:sz w:val="26"/>
        </w:rPr>
        <w:t>Court</w:t>
      </w:r>
      <w:r>
        <w:rPr>
          <w:spacing w:val="-19"/>
          <w:sz w:val="26"/>
        </w:rPr>
        <w:t xml:space="preserve"> </w:t>
      </w:r>
      <w:r>
        <w:rPr>
          <w:sz w:val="26"/>
        </w:rPr>
        <w:t>that</w:t>
      </w:r>
      <w:r>
        <w:rPr>
          <w:spacing w:val="-18"/>
          <w:sz w:val="26"/>
        </w:rPr>
        <w:t xml:space="preserve"> </w:t>
      </w:r>
      <w:r>
        <w:rPr>
          <w:sz w:val="26"/>
        </w:rPr>
        <w:t>in</w:t>
      </w:r>
      <w:r>
        <w:rPr>
          <w:spacing w:val="-19"/>
          <w:sz w:val="26"/>
        </w:rPr>
        <w:t xml:space="preserve"> </w:t>
      </w:r>
      <w:r>
        <w:rPr>
          <w:sz w:val="26"/>
        </w:rPr>
        <w:t>earlier</w:t>
      </w:r>
      <w:r>
        <w:rPr>
          <w:spacing w:val="-19"/>
          <w:sz w:val="26"/>
        </w:rPr>
        <w:t xml:space="preserve"> </w:t>
      </w:r>
      <w:r>
        <w:rPr>
          <w:sz w:val="26"/>
        </w:rPr>
        <w:t>days,</w:t>
      </w:r>
      <w:r>
        <w:rPr>
          <w:spacing w:val="-19"/>
          <w:sz w:val="26"/>
        </w:rPr>
        <w:t xml:space="preserve"> </w:t>
      </w:r>
      <w:r>
        <w:rPr>
          <w:sz w:val="26"/>
        </w:rPr>
        <w:t>the</w:t>
      </w:r>
      <w:r>
        <w:rPr>
          <w:spacing w:val="-16"/>
          <w:sz w:val="26"/>
        </w:rPr>
        <w:t xml:space="preserve"> </w:t>
      </w:r>
      <w:r>
        <w:rPr>
          <w:sz w:val="26"/>
        </w:rPr>
        <w:t>prohibition on women was because of non-religious factors.</w:t>
      </w:r>
      <w:r>
        <w:rPr>
          <w:position w:val="9"/>
          <w:sz w:val="17"/>
        </w:rPr>
        <w:t xml:space="preserve">55 </w:t>
      </w:r>
      <w:r>
        <w:rPr>
          <w:sz w:val="26"/>
        </w:rPr>
        <w:t xml:space="preserve">The ‘main reason’ as observed by the High Court in </w:t>
      </w:r>
      <w:r>
        <w:rPr>
          <w:b/>
          <w:sz w:val="26"/>
        </w:rPr>
        <w:t>Mahendran</w:t>
      </w:r>
      <w:r>
        <w:rPr>
          <w:sz w:val="26"/>
        </w:rPr>
        <w:t>, is the arduous nature of</w:t>
      </w:r>
      <w:r>
        <w:rPr>
          <w:spacing w:val="28"/>
          <w:sz w:val="26"/>
        </w:rPr>
        <w:t xml:space="preserve"> </w:t>
      </w:r>
      <w:r>
        <w:rPr>
          <w:sz w:val="26"/>
        </w:rPr>
        <w:t>the</w:t>
      </w:r>
    </w:p>
    <w:p w:rsidR="003B2FC0" w:rsidRDefault="003B2FC0">
      <w:pPr>
        <w:rPr>
          <w:sz w:val="20"/>
        </w:rPr>
      </w:pPr>
    </w:p>
    <w:p w:rsidR="003B2FC0" w:rsidRDefault="003B2FC0">
      <w:pPr>
        <w:rPr>
          <w:sz w:val="20"/>
        </w:rPr>
      </w:pPr>
    </w:p>
    <w:p w:rsidR="003B2FC0" w:rsidRDefault="003B2FC0">
      <w:pPr>
        <w:spacing w:before="10"/>
        <w:rPr>
          <w:sz w:val="14"/>
        </w:rPr>
      </w:pPr>
      <w:r w:rsidRPr="003B2FC0">
        <w:pict>
          <v:line id="_x0000_s1112" style="position:absolute;z-index:251603456;mso-wrap-distance-left:0;mso-wrap-distance-right:0;mso-position-horizontal-relative:page" from="1in,10.95pt" to="216.05pt,10.95pt" strokeweight=".72pt">
            <w10:wrap type="topAndBottom" anchorx="page"/>
          </v:line>
        </w:pict>
      </w:r>
    </w:p>
    <w:p w:rsidR="003B2FC0" w:rsidRDefault="00052A49">
      <w:pPr>
        <w:spacing w:before="66" w:line="210" w:lineRule="exact"/>
        <w:ind w:left="400"/>
        <w:rPr>
          <w:sz w:val="18"/>
        </w:rPr>
      </w:pPr>
      <w:r>
        <w:rPr>
          <w:position w:val="6"/>
          <w:sz w:val="12"/>
        </w:rPr>
        <w:t xml:space="preserve">54 </w:t>
      </w:r>
      <w:r>
        <w:rPr>
          <w:sz w:val="18"/>
        </w:rPr>
        <w:t>Ibid, at para 37</w:t>
      </w:r>
    </w:p>
    <w:p w:rsidR="003B2FC0" w:rsidRDefault="00052A49">
      <w:pPr>
        <w:spacing w:line="210" w:lineRule="exact"/>
        <w:ind w:left="400"/>
        <w:rPr>
          <w:sz w:val="18"/>
        </w:rPr>
      </w:pPr>
      <w:r>
        <w:rPr>
          <w:position w:val="6"/>
          <w:sz w:val="12"/>
        </w:rPr>
        <w:t xml:space="preserve">55 </w:t>
      </w:r>
      <w:r>
        <w:rPr>
          <w:sz w:val="18"/>
        </w:rPr>
        <w:t>Ibid, at para 7</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spacing w:before="97" w:line="480" w:lineRule="auto"/>
        <w:ind w:left="400" w:right="433"/>
        <w:jc w:val="both"/>
        <w:rPr>
          <w:sz w:val="26"/>
        </w:rPr>
      </w:pPr>
      <w:r>
        <w:rPr>
          <w:sz w:val="26"/>
        </w:rPr>
        <w:t>journey</w:t>
      </w:r>
      <w:r>
        <w:rPr>
          <w:position w:val="9"/>
          <w:sz w:val="17"/>
        </w:rPr>
        <w:t xml:space="preserve">56 </w:t>
      </w:r>
      <w:r>
        <w:rPr>
          <w:sz w:val="26"/>
        </w:rPr>
        <w:t>which according to the Court could not be completed by women for physiological reasons. This claim falls foul of the requirement that the practice claiming constitutional protectio</w:t>
      </w:r>
      <w:r>
        <w:rPr>
          <w:sz w:val="26"/>
        </w:rPr>
        <w:t>n must be on strictly religious grounds. Of significant importance, is that such a claim is deeply rooted in a stereotypical (and constitutionally flawed) notion that women are the ‘weaker’ sex and may not</w:t>
      </w:r>
      <w:r>
        <w:rPr>
          <w:spacing w:val="-6"/>
          <w:sz w:val="26"/>
        </w:rPr>
        <w:t xml:space="preserve"> </w:t>
      </w:r>
      <w:r>
        <w:rPr>
          <w:sz w:val="26"/>
        </w:rPr>
        <w:t>undertake</w:t>
      </w:r>
      <w:r>
        <w:rPr>
          <w:spacing w:val="-6"/>
          <w:sz w:val="26"/>
        </w:rPr>
        <w:t xml:space="preserve"> </w:t>
      </w:r>
      <w:r>
        <w:rPr>
          <w:sz w:val="26"/>
        </w:rPr>
        <w:t>tasks</w:t>
      </w:r>
      <w:r>
        <w:rPr>
          <w:spacing w:val="-6"/>
          <w:sz w:val="26"/>
        </w:rPr>
        <w:t xml:space="preserve"> </w:t>
      </w:r>
      <w:r>
        <w:rPr>
          <w:sz w:val="26"/>
        </w:rPr>
        <w:t>that</w:t>
      </w:r>
      <w:r>
        <w:rPr>
          <w:spacing w:val="-5"/>
          <w:sz w:val="26"/>
        </w:rPr>
        <w:t xml:space="preserve"> </w:t>
      </w:r>
      <w:r>
        <w:rPr>
          <w:sz w:val="26"/>
        </w:rPr>
        <w:t>are</w:t>
      </w:r>
      <w:r>
        <w:rPr>
          <w:spacing w:val="-6"/>
          <w:sz w:val="26"/>
        </w:rPr>
        <w:t xml:space="preserve"> </w:t>
      </w:r>
      <w:r>
        <w:rPr>
          <w:sz w:val="26"/>
        </w:rPr>
        <w:t>‘too</w:t>
      </w:r>
      <w:r>
        <w:rPr>
          <w:spacing w:val="-6"/>
          <w:sz w:val="26"/>
        </w:rPr>
        <w:t xml:space="preserve"> </w:t>
      </w:r>
      <w:r>
        <w:rPr>
          <w:sz w:val="26"/>
        </w:rPr>
        <w:t>arduous’</w:t>
      </w:r>
      <w:r>
        <w:rPr>
          <w:spacing w:val="-4"/>
          <w:sz w:val="26"/>
        </w:rPr>
        <w:t xml:space="preserve"> </w:t>
      </w:r>
      <w:r>
        <w:rPr>
          <w:sz w:val="26"/>
        </w:rPr>
        <w:t>for</w:t>
      </w:r>
      <w:r>
        <w:rPr>
          <w:spacing w:val="-6"/>
          <w:sz w:val="26"/>
        </w:rPr>
        <w:t xml:space="preserve"> </w:t>
      </w:r>
      <w:r>
        <w:rPr>
          <w:sz w:val="26"/>
        </w:rPr>
        <w:t>them.</w:t>
      </w:r>
      <w:r>
        <w:rPr>
          <w:spacing w:val="-5"/>
          <w:sz w:val="26"/>
        </w:rPr>
        <w:t xml:space="preserve"> </w:t>
      </w:r>
      <w:r>
        <w:rPr>
          <w:sz w:val="26"/>
        </w:rPr>
        <w:t>T</w:t>
      </w:r>
      <w:r>
        <w:rPr>
          <w:sz w:val="26"/>
        </w:rPr>
        <w:t>his</w:t>
      </w:r>
      <w:r>
        <w:rPr>
          <w:spacing w:val="-6"/>
          <w:sz w:val="26"/>
        </w:rPr>
        <w:t xml:space="preserve"> </w:t>
      </w:r>
      <w:r>
        <w:rPr>
          <w:sz w:val="26"/>
        </w:rPr>
        <w:t>paternalistic</w:t>
      </w:r>
      <w:r>
        <w:rPr>
          <w:spacing w:val="-6"/>
          <w:sz w:val="26"/>
        </w:rPr>
        <w:t xml:space="preserve"> </w:t>
      </w:r>
      <w:r>
        <w:rPr>
          <w:sz w:val="26"/>
        </w:rPr>
        <w:t>approach is contrary to the constitutional guarantee of equality and dignity to women. Interpreting</w:t>
      </w:r>
      <w:r>
        <w:rPr>
          <w:spacing w:val="-16"/>
          <w:sz w:val="26"/>
        </w:rPr>
        <w:t xml:space="preserve"> </w:t>
      </w:r>
      <w:r>
        <w:rPr>
          <w:sz w:val="26"/>
        </w:rPr>
        <w:t>the</w:t>
      </w:r>
      <w:r>
        <w:rPr>
          <w:spacing w:val="-13"/>
          <w:sz w:val="26"/>
        </w:rPr>
        <w:t xml:space="preserve"> </w:t>
      </w:r>
      <w:r>
        <w:rPr>
          <w:sz w:val="26"/>
        </w:rPr>
        <w:t>Constitution</w:t>
      </w:r>
      <w:r>
        <w:rPr>
          <w:spacing w:val="-16"/>
          <w:sz w:val="26"/>
        </w:rPr>
        <w:t xml:space="preserve"> </w:t>
      </w:r>
      <w:r>
        <w:rPr>
          <w:sz w:val="26"/>
        </w:rPr>
        <w:t>in</w:t>
      </w:r>
      <w:r>
        <w:rPr>
          <w:spacing w:val="-15"/>
          <w:sz w:val="26"/>
        </w:rPr>
        <w:t xml:space="preserve"> </w:t>
      </w:r>
      <w:r>
        <w:rPr>
          <w:sz w:val="26"/>
        </w:rPr>
        <w:t>accordance</w:t>
      </w:r>
      <w:r>
        <w:rPr>
          <w:spacing w:val="-13"/>
          <w:sz w:val="26"/>
        </w:rPr>
        <w:t xml:space="preserve"> </w:t>
      </w:r>
      <w:r>
        <w:rPr>
          <w:sz w:val="26"/>
        </w:rPr>
        <w:t>with</w:t>
      </w:r>
      <w:r>
        <w:rPr>
          <w:spacing w:val="-16"/>
          <w:sz w:val="26"/>
        </w:rPr>
        <w:t xml:space="preserve"> </w:t>
      </w:r>
      <w:r>
        <w:rPr>
          <w:sz w:val="26"/>
        </w:rPr>
        <w:t>the</w:t>
      </w:r>
      <w:r>
        <w:rPr>
          <w:spacing w:val="-13"/>
          <w:sz w:val="26"/>
        </w:rPr>
        <w:t xml:space="preserve"> </w:t>
      </w:r>
      <w:r>
        <w:rPr>
          <w:sz w:val="26"/>
        </w:rPr>
        <w:t>values</w:t>
      </w:r>
      <w:r>
        <w:rPr>
          <w:spacing w:val="-15"/>
          <w:sz w:val="26"/>
        </w:rPr>
        <w:t xml:space="preserve"> </w:t>
      </w:r>
      <w:r>
        <w:rPr>
          <w:sz w:val="26"/>
        </w:rPr>
        <w:t>that</w:t>
      </w:r>
      <w:r>
        <w:rPr>
          <w:spacing w:val="-16"/>
          <w:sz w:val="26"/>
        </w:rPr>
        <w:t xml:space="preserve"> </w:t>
      </w:r>
      <w:r>
        <w:rPr>
          <w:sz w:val="26"/>
        </w:rPr>
        <w:t>infuse</w:t>
      </w:r>
      <w:r>
        <w:rPr>
          <w:spacing w:val="-15"/>
          <w:sz w:val="26"/>
        </w:rPr>
        <w:t xml:space="preserve"> </w:t>
      </w:r>
      <w:r>
        <w:rPr>
          <w:sz w:val="26"/>
        </w:rPr>
        <w:t>it</w:t>
      </w:r>
      <w:r>
        <w:rPr>
          <w:spacing w:val="-15"/>
          <w:sz w:val="26"/>
        </w:rPr>
        <w:t xml:space="preserve"> </w:t>
      </w:r>
      <w:r>
        <w:rPr>
          <w:sz w:val="26"/>
        </w:rPr>
        <w:t xml:space="preserve">requires that the dignity of women, which is an emanation of Article 15 and </w:t>
      </w:r>
      <w:r>
        <w:rPr>
          <w:sz w:val="26"/>
        </w:rPr>
        <w:t>founded in Article 21, cannot be disassociated from the exercise of religious freedom. Holding that stereotypical understandings of sex hold no legitimate claim</w:t>
      </w:r>
      <w:r>
        <w:rPr>
          <w:spacing w:val="-29"/>
          <w:sz w:val="26"/>
        </w:rPr>
        <w:t xml:space="preserve"> </w:t>
      </w:r>
      <w:r>
        <w:rPr>
          <w:sz w:val="26"/>
        </w:rPr>
        <w:t>under our</w:t>
      </w:r>
      <w:r>
        <w:rPr>
          <w:spacing w:val="-16"/>
          <w:sz w:val="26"/>
        </w:rPr>
        <w:t xml:space="preserve"> </w:t>
      </w:r>
      <w:r>
        <w:rPr>
          <w:sz w:val="26"/>
        </w:rPr>
        <w:t>Constitution,</w:t>
      </w:r>
      <w:r>
        <w:rPr>
          <w:spacing w:val="-15"/>
          <w:sz w:val="26"/>
        </w:rPr>
        <w:t xml:space="preserve"> </w:t>
      </w:r>
      <w:r>
        <w:rPr>
          <w:sz w:val="26"/>
        </w:rPr>
        <w:t>one</w:t>
      </w:r>
      <w:r>
        <w:rPr>
          <w:spacing w:val="-13"/>
          <w:sz w:val="26"/>
        </w:rPr>
        <w:t xml:space="preserve"> </w:t>
      </w:r>
      <w:r>
        <w:rPr>
          <w:sz w:val="26"/>
        </w:rPr>
        <w:t>of</w:t>
      </w:r>
      <w:r>
        <w:rPr>
          <w:spacing w:val="-16"/>
          <w:sz w:val="26"/>
        </w:rPr>
        <w:t xml:space="preserve"> </w:t>
      </w:r>
      <w:r>
        <w:rPr>
          <w:sz w:val="26"/>
        </w:rPr>
        <w:t>us</w:t>
      </w:r>
      <w:r>
        <w:rPr>
          <w:spacing w:val="-15"/>
          <w:sz w:val="26"/>
        </w:rPr>
        <w:t xml:space="preserve"> </w:t>
      </w:r>
      <w:r>
        <w:rPr>
          <w:sz w:val="26"/>
        </w:rPr>
        <w:t>(Chandrachud</w:t>
      </w:r>
      <w:r>
        <w:rPr>
          <w:spacing w:val="-15"/>
          <w:sz w:val="26"/>
        </w:rPr>
        <w:t xml:space="preserve"> </w:t>
      </w:r>
      <w:r>
        <w:rPr>
          <w:sz w:val="26"/>
        </w:rPr>
        <w:t>J)</w:t>
      </w:r>
      <w:r>
        <w:rPr>
          <w:spacing w:val="-16"/>
          <w:sz w:val="26"/>
        </w:rPr>
        <w:t xml:space="preserve"> </w:t>
      </w:r>
      <w:r>
        <w:rPr>
          <w:sz w:val="26"/>
        </w:rPr>
        <w:t>in</w:t>
      </w:r>
      <w:r>
        <w:rPr>
          <w:spacing w:val="-14"/>
          <w:sz w:val="26"/>
        </w:rPr>
        <w:t xml:space="preserve"> </w:t>
      </w:r>
      <w:r>
        <w:rPr>
          <w:b/>
          <w:sz w:val="26"/>
        </w:rPr>
        <w:t>Navtej</w:t>
      </w:r>
      <w:r>
        <w:rPr>
          <w:b/>
          <w:spacing w:val="-15"/>
          <w:sz w:val="26"/>
        </w:rPr>
        <w:t xml:space="preserve"> </w:t>
      </w:r>
      <w:r>
        <w:rPr>
          <w:b/>
          <w:sz w:val="26"/>
        </w:rPr>
        <w:t>Singh</w:t>
      </w:r>
      <w:r>
        <w:rPr>
          <w:b/>
          <w:spacing w:val="-13"/>
          <w:sz w:val="26"/>
        </w:rPr>
        <w:t xml:space="preserve"> </w:t>
      </w:r>
      <w:r>
        <w:rPr>
          <w:sz w:val="26"/>
        </w:rPr>
        <w:t>v</w:t>
      </w:r>
      <w:r>
        <w:rPr>
          <w:spacing w:val="-15"/>
          <w:sz w:val="26"/>
        </w:rPr>
        <w:t xml:space="preserve"> </w:t>
      </w:r>
      <w:r>
        <w:rPr>
          <w:b/>
          <w:sz w:val="26"/>
        </w:rPr>
        <w:t>Union</w:t>
      </w:r>
      <w:r>
        <w:rPr>
          <w:b/>
          <w:spacing w:val="-15"/>
          <w:sz w:val="26"/>
        </w:rPr>
        <w:t xml:space="preserve"> </w:t>
      </w:r>
      <w:r>
        <w:rPr>
          <w:b/>
          <w:sz w:val="26"/>
        </w:rPr>
        <w:t>of</w:t>
      </w:r>
      <w:r>
        <w:rPr>
          <w:b/>
          <w:spacing w:val="-15"/>
          <w:sz w:val="26"/>
        </w:rPr>
        <w:t xml:space="preserve"> </w:t>
      </w:r>
      <w:r>
        <w:rPr>
          <w:b/>
          <w:sz w:val="26"/>
        </w:rPr>
        <w:t>India</w:t>
      </w:r>
      <w:r>
        <w:rPr>
          <w:sz w:val="26"/>
        </w:rPr>
        <w:t>,</w:t>
      </w:r>
      <w:r>
        <w:rPr>
          <w:position w:val="9"/>
          <w:sz w:val="17"/>
        </w:rPr>
        <w:t xml:space="preserve">57 </w:t>
      </w:r>
      <w:r>
        <w:rPr>
          <w:sz w:val="26"/>
        </w:rPr>
        <w:t>held:</w:t>
      </w:r>
    </w:p>
    <w:p w:rsidR="003B2FC0" w:rsidRDefault="00052A49">
      <w:pPr>
        <w:spacing w:before="194" w:line="276" w:lineRule="auto"/>
        <w:ind w:left="1840" w:right="2280"/>
        <w:jc w:val="both"/>
        <w:rPr>
          <w:sz w:val="21"/>
        </w:rPr>
      </w:pPr>
      <w:r>
        <w:rPr>
          <w:sz w:val="21"/>
        </w:rPr>
        <w:t>“A discriminatory act will be tested against constitutional values. A discrimination will not survive constitutional scrutiny when it is grounded in and perpetuates stereotypes about a class constituted by the grounds prohibited in Article 15(1). If any gr</w:t>
      </w:r>
      <w:r>
        <w:rPr>
          <w:sz w:val="21"/>
        </w:rPr>
        <w:t>ound of discrimination, whether direct or indirect is founded</w:t>
      </w:r>
      <w:r>
        <w:rPr>
          <w:spacing w:val="-13"/>
          <w:sz w:val="21"/>
        </w:rPr>
        <w:t xml:space="preserve"> </w:t>
      </w:r>
      <w:r>
        <w:rPr>
          <w:sz w:val="21"/>
        </w:rPr>
        <w:t>on</w:t>
      </w:r>
      <w:r>
        <w:rPr>
          <w:spacing w:val="-13"/>
          <w:sz w:val="21"/>
        </w:rPr>
        <w:t xml:space="preserve"> </w:t>
      </w:r>
      <w:r>
        <w:rPr>
          <w:sz w:val="21"/>
        </w:rPr>
        <w:t>a</w:t>
      </w:r>
      <w:r>
        <w:rPr>
          <w:spacing w:val="-12"/>
          <w:sz w:val="21"/>
        </w:rPr>
        <w:t xml:space="preserve"> </w:t>
      </w:r>
      <w:r>
        <w:rPr>
          <w:sz w:val="21"/>
        </w:rPr>
        <w:t>stereotypical</w:t>
      </w:r>
      <w:r>
        <w:rPr>
          <w:spacing w:val="-14"/>
          <w:sz w:val="21"/>
        </w:rPr>
        <w:t xml:space="preserve"> </w:t>
      </w:r>
      <w:r>
        <w:rPr>
          <w:sz w:val="21"/>
        </w:rPr>
        <w:t>understanding</w:t>
      </w:r>
      <w:r>
        <w:rPr>
          <w:spacing w:val="-12"/>
          <w:sz w:val="21"/>
        </w:rPr>
        <w:t xml:space="preserve"> </w:t>
      </w:r>
      <w:r>
        <w:rPr>
          <w:sz w:val="21"/>
        </w:rPr>
        <w:t>of</w:t>
      </w:r>
      <w:r>
        <w:rPr>
          <w:spacing w:val="-12"/>
          <w:sz w:val="21"/>
        </w:rPr>
        <w:t xml:space="preserve"> </w:t>
      </w:r>
      <w:r>
        <w:rPr>
          <w:sz w:val="21"/>
        </w:rPr>
        <w:t>the</w:t>
      </w:r>
      <w:r>
        <w:rPr>
          <w:spacing w:val="-13"/>
          <w:sz w:val="21"/>
        </w:rPr>
        <w:t xml:space="preserve"> </w:t>
      </w:r>
      <w:r>
        <w:rPr>
          <w:sz w:val="21"/>
        </w:rPr>
        <w:t>role</w:t>
      </w:r>
      <w:r>
        <w:rPr>
          <w:spacing w:val="-15"/>
          <w:sz w:val="21"/>
        </w:rPr>
        <w:t xml:space="preserve"> </w:t>
      </w:r>
      <w:r>
        <w:rPr>
          <w:sz w:val="21"/>
        </w:rPr>
        <w:t>of</w:t>
      </w:r>
      <w:r>
        <w:rPr>
          <w:spacing w:val="-12"/>
          <w:sz w:val="21"/>
        </w:rPr>
        <w:t xml:space="preserve"> </w:t>
      </w:r>
      <w:r>
        <w:rPr>
          <w:sz w:val="21"/>
        </w:rPr>
        <w:t>the</w:t>
      </w:r>
      <w:r>
        <w:rPr>
          <w:spacing w:val="-12"/>
          <w:sz w:val="21"/>
        </w:rPr>
        <w:t xml:space="preserve"> </w:t>
      </w:r>
      <w:r>
        <w:rPr>
          <w:sz w:val="21"/>
        </w:rPr>
        <w:t>sex, it would not be distinguishable from the discrimination which</w:t>
      </w:r>
      <w:r>
        <w:rPr>
          <w:spacing w:val="-42"/>
          <w:sz w:val="21"/>
        </w:rPr>
        <w:t xml:space="preserve"> </w:t>
      </w:r>
      <w:r>
        <w:rPr>
          <w:sz w:val="21"/>
        </w:rPr>
        <w:t>is prohibited by Article 15 on the grounds only of sex. If certain characte</w:t>
      </w:r>
      <w:r>
        <w:rPr>
          <w:sz w:val="21"/>
        </w:rPr>
        <w:t>ristics grounded in stereotypes, are to be associated with entire classes of people constituted as groups by any of the grounds prohibited in Article 15(1), that cannot establish a permissible reason to</w:t>
      </w:r>
      <w:r>
        <w:rPr>
          <w:spacing w:val="-4"/>
          <w:sz w:val="21"/>
        </w:rPr>
        <w:t xml:space="preserve"> </w:t>
      </w:r>
      <w:r>
        <w:rPr>
          <w:sz w:val="21"/>
        </w:rPr>
        <w:t>discriminate.”</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2"/>
        <w:rPr>
          <w:sz w:val="21"/>
        </w:rPr>
      </w:pPr>
      <w:r w:rsidRPr="003B2FC0">
        <w:pict>
          <v:line id="_x0000_s1111" style="position:absolute;z-index:251604480;mso-wrap-distance-left:0;mso-wrap-distance-right:0;mso-position-horizontal-relative:page" from="1in,14.55pt" to="216.05pt,14.55pt" strokeweight=".72pt">
            <w10:wrap type="topAndBottom" anchorx="page"/>
          </v:line>
        </w:pict>
      </w:r>
    </w:p>
    <w:p w:rsidR="003B2FC0" w:rsidRDefault="00052A49">
      <w:pPr>
        <w:spacing w:before="66" w:line="210" w:lineRule="exact"/>
        <w:ind w:left="400"/>
        <w:rPr>
          <w:sz w:val="18"/>
        </w:rPr>
      </w:pPr>
      <w:r>
        <w:rPr>
          <w:position w:val="6"/>
          <w:sz w:val="12"/>
        </w:rPr>
        <w:t xml:space="preserve">56 </w:t>
      </w:r>
      <w:r>
        <w:rPr>
          <w:sz w:val="18"/>
        </w:rPr>
        <w:t>Ibid, at paras 38, 43</w:t>
      </w:r>
    </w:p>
    <w:p w:rsidR="003B2FC0" w:rsidRDefault="00052A49">
      <w:pPr>
        <w:spacing w:line="210" w:lineRule="exact"/>
        <w:ind w:left="400"/>
        <w:rPr>
          <w:sz w:val="18"/>
        </w:rPr>
      </w:pPr>
      <w:r>
        <w:rPr>
          <w:position w:val="6"/>
          <w:sz w:val="12"/>
        </w:rPr>
        <w:t xml:space="preserve">57 </w:t>
      </w:r>
      <w:r>
        <w:rPr>
          <w:sz w:val="18"/>
        </w:rPr>
        <w:t>Writ Petition (Criminal) No. 76 of 2016</w:t>
      </w:r>
    </w:p>
    <w:p w:rsidR="003B2FC0" w:rsidRDefault="003B2FC0">
      <w:pPr>
        <w:spacing w:line="210" w:lineRule="exact"/>
        <w:rPr>
          <w:sz w:val="18"/>
        </w:rPr>
        <w:sectPr w:rsidR="003B2FC0">
          <w:footerReference w:type="default" r:id="rId363"/>
          <w:pgSz w:w="11910" w:h="16840"/>
          <w:pgMar w:top="1080" w:right="980" w:bottom="1200" w:left="1040" w:header="708" w:footer="1000" w:gutter="0"/>
          <w:pgNumType w:start="74"/>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4" w:firstLine="0"/>
        <w:jc w:val="both"/>
        <w:rPr>
          <w:sz w:val="26"/>
        </w:rPr>
      </w:pPr>
      <w:r>
        <w:rPr>
          <w:sz w:val="26"/>
        </w:rPr>
        <w:t xml:space="preserve">The Court must lean against granting constitutional protection to a claim which derogates from the dignity of women as equal holders of rights and protections. In the ethos </w:t>
      </w:r>
      <w:r>
        <w:rPr>
          <w:sz w:val="26"/>
        </w:rPr>
        <w:t>of the Constitution, it is inconceivable that age could found a rational basis to condition the right to worship. The ages of ten to fifty have</w:t>
      </w:r>
      <w:r>
        <w:rPr>
          <w:spacing w:val="-14"/>
          <w:sz w:val="26"/>
        </w:rPr>
        <w:t xml:space="preserve"> </w:t>
      </w:r>
      <w:r>
        <w:rPr>
          <w:sz w:val="26"/>
        </w:rPr>
        <w:t>been</w:t>
      </w:r>
      <w:r>
        <w:rPr>
          <w:spacing w:val="-16"/>
          <w:sz w:val="26"/>
        </w:rPr>
        <w:t xml:space="preserve"> </w:t>
      </w:r>
      <w:r>
        <w:rPr>
          <w:sz w:val="26"/>
        </w:rPr>
        <w:t>marked</w:t>
      </w:r>
      <w:r>
        <w:rPr>
          <w:spacing w:val="-14"/>
          <w:sz w:val="26"/>
        </w:rPr>
        <w:t xml:space="preserve"> </w:t>
      </w:r>
      <w:r>
        <w:rPr>
          <w:sz w:val="26"/>
        </w:rPr>
        <w:t>out</w:t>
      </w:r>
      <w:r>
        <w:rPr>
          <w:spacing w:val="-15"/>
          <w:sz w:val="26"/>
        </w:rPr>
        <w:t xml:space="preserve"> </w:t>
      </w:r>
      <w:r>
        <w:rPr>
          <w:sz w:val="26"/>
        </w:rPr>
        <w:t>for</w:t>
      </w:r>
      <w:r>
        <w:rPr>
          <w:spacing w:val="-14"/>
          <w:sz w:val="26"/>
        </w:rPr>
        <w:t xml:space="preserve"> </w:t>
      </w:r>
      <w:r>
        <w:rPr>
          <w:sz w:val="26"/>
        </w:rPr>
        <w:t>exclusion</w:t>
      </w:r>
      <w:r>
        <w:rPr>
          <w:spacing w:val="-16"/>
          <w:sz w:val="26"/>
        </w:rPr>
        <w:t xml:space="preserve"> </w:t>
      </w:r>
      <w:r>
        <w:rPr>
          <w:sz w:val="26"/>
        </w:rPr>
        <w:t>on</w:t>
      </w:r>
      <w:r>
        <w:rPr>
          <w:spacing w:val="-16"/>
          <w:sz w:val="26"/>
        </w:rPr>
        <w:t xml:space="preserve"> </w:t>
      </w:r>
      <w:r>
        <w:rPr>
          <w:sz w:val="26"/>
        </w:rPr>
        <w:t>the</w:t>
      </w:r>
      <w:r>
        <w:rPr>
          <w:spacing w:val="-15"/>
          <w:sz w:val="26"/>
        </w:rPr>
        <w:t xml:space="preserve"> </w:t>
      </w:r>
      <w:r>
        <w:rPr>
          <w:sz w:val="26"/>
        </w:rPr>
        <w:t>ground</w:t>
      </w:r>
      <w:r>
        <w:rPr>
          <w:spacing w:val="-14"/>
          <w:sz w:val="26"/>
        </w:rPr>
        <w:t xml:space="preserve"> </w:t>
      </w:r>
      <w:r>
        <w:rPr>
          <w:sz w:val="26"/>
        </w:rPr>
        <w:t>that</w:t>
      </w:r>
      <w:r>
        <w:rPr>
          <w:spacing w:val="-12"/>
          <w:sz w:val="26"/>
        </w:rPr>
        <w:t xml:space="preserve"> </w:t>
      </w:r>
      <w:r>
        <w:rPr>
          <w:sz w:val="26"/>
        </w:rPr>
        <w:t>women</w:t>
      </w:r>
      <w:r>
        <w:rPr>
          <w:spacing w:val="-14"/>
          <w:sz w:val="26"/>
        </w:rPr>
        <w:t xml:space="preserve"> </w:t>
      </w:r>
      <w:r>
        <w:rPr>
          <w:sz w:val="26"/>
        </w:rPr>
        <w:t>in</w:t>
      </w:r>
      <w:r>
        <w:rPr>
          <w:spacing w:val="-14"/>
          <w:sz w:val="26"/>
        </w:rPr>
        <w:t xml:space="preserve"> </w:t>
      </w:r>
      <w:r>
        <w:rPr>
          <w:sz w:val="26"/>
        </w:rPr>
        <w:t>that</w:t>
      </w:r>
      <w:r>
        <w:rPr>
          <w:spacing w:val="-13"/>
          <w:sz w:val="26"/>
        </w:rPr>
        <w:t xml:space="preserve"> </w:t>
      </w:r>
      <w:r>
        <w:rPr>
          <w:sz w:val="26"/>
        </w:rPr>
        <w:t>age</w:t>
      </w:r>
      <w:r>
        <w:rPr>
          <w:spacing w:val="-14"/>
          <w:sz w:val="26"/>
        </w:rPr>
        <w:t xml:space="preserve"> </w:t>
      </w:r>
      <w:r>
        <w:rPr>
          <w:sz w:val="26"/>
        </w:rPr>
        <w:t>group are</w:t>
      </w:r>
      <w:r>
        <w:rPr>
          <w:spacing w:val="-16"/>
          <w:sz w:val="26"/>
        </w:rPr>
        <w:t xml:space="preserve"> </w:t>
      </w:r>
      <w:r>
        <w:rPr>
          <w:sz w:val="26"/>
        </w:rPr>
        <w:t>likely</w:t>
      </w:r>
      <w:r>
        <w:rPr>
          <w:spacing w:val="-16"/>
          <w:sz w:val="26"/>
        </w:rPr>
        <w:t xml:space="preserve"> </w:t>
      </w:r>
      <w:r>
        <w:rPr>
          <w:sz w:val="26"/>
        </w:rPr>
        <w:t>to</w:t>
      </w:r>
      <w:r>
        <w:rPr>
          <w:spacing w:val="-13"/>
          <w:sz w:val="26"/>
        </w:rPr>
        <w:t xml:space="preserve"> </w:t>
      </w:r>
      <w:r>
        <w:rPr>
          <w:sz w:val="26"/>
        </w:rPr>
        <w:t>be</w:t>
      </w:r>
      <w:r>
        <w:rPr>
          <w:spacing w:val="-14"/>
          <w:sz w:val="26"/>
        </w:rPr>
        <w:t xml:space="preserve"> </w:t>
      </w:r>
      <w:r>
        <w:rPr>
          <w:sz w:val="26"/>
        </w:rPr>
        <w:t>in</w:t>
      </w:r>
      <w:r>
        <w:rPr>
          <w:spacing w:val="-14"/>
          <w:sz w:val="26"/>
        </w:rPr>
        <w:t xml:space="preserve"> </w:t>
      </w:r>
      <w:r>
        <w:rPr>
          <w:sz w:val="26"/>
        </w:rPr>
        <w:t>the</w:t>
      </w:r>
      <w:r>
        <w:rPr>
          <w:spacing w:val="-11"/>
          <w:sz w:val="26"/>
        </w:rPr>
        <w:t xml:space="preserve"> </w:t>
      </w:r>
      <w:r>
        <w:rPr>
          <w:sz w:val="26"/>
        </w:rPr>
        <w:t>procreative</w:t>
      </w:r>
      <w:r>
        <w:rPr>
          <w:spacing w:val="-14"/>
          <w:sz w:val="26"/>
        </w:rPr>
        <w:t xml:space="preserve"> </w:t>
      </w:r>
      <w:r>
        <w:rPr>
          <w:sz w:val="26"/>
        </w:rPr>
        <w:t>age.</w:t>
      </w:r>
      <w:r>
        <w:rPr>
          <w:spacing w:val="45"/>
          <w:sz w:val="26"/>
        </w:rPr>
        <w:t xml:space="preserve"> </w:t>
      </w:r>
      <w:r>
        <w:rPr>
          <w:sz w:val="26"/>
        </w:rPr>
        <w:t>Does</w:t>
      </w:r>
      <w:r>
        <w:rPr>
          <w:spacing w:val="-15"/>
          <w:sz w:val="26"/>
        </w:rPr>
        <w:t xml:space="preserve"> </w:t>
      </w:r>
      <w:r>
        <w:rPr>
          <w:sz w:val="26"/>
        </w:rPr>
        <w:t>the</w:t>
      </w:r>
      <w:r>
        <w:rPr>
          <w:spacing w:val="-14"/>
          <w:sz w:val="26"/>
        </w:rPr>
        <w:t xml:space="preserve"> </w:t>
      </w:r>
      <w:r>
        <w:rPr>
          <w:sz w:val="26"/>
        </w:rPr>
        <w:t>Constitution</w:t>
      </w:r>
      <w:r>
        <w:rPr>
          <w:spacing w:val="-14"/>
          <w:sz w:val="26"/>
        </w:rPr>
        <w:t xml:space="preserve"> </w:t>
      </w:r>
      <w:r>
        <w:rPr>
          <w:sz w:val="26"/>
        </w:rPr>
        <w:t>permit</w:t>
      </w:r>
      <w:r>
        <w:rPr>
          <w:spacing w:val="-15"/>
          <w:sz w:val="26"/>
        </w:rPr>
        <w:t xml:space="preserve"> </w:t>
      </w:r>
      <w:r>
        <w:rPr>
          <w:sz w:val="26"/>
        </w:rPr>
        <w:t>this</w:t>
      </w:r>
      <w:r>
        <w:rPr>
          <w:spacing w:val="-16"/>
          <w:sz w:val="26"/>
        </w:rPr>
        <w:t xml:space="preserve"> </w:t>
      </w:r>
      <w:r>
        <w:rPr>
          <w:sz w:val="26"/>
        </w:rPr>
        <w:t>as</w:t>
      </w:r>
      <w:r>
        <w:rPr>
          <w:spacing w:val="-16"/>
          <w:sz w:val="26"/>
        </w:rPr>
        <w:t xml:space="preserve"> </w:t>
      </w:r>
      <w:r>
        <w:rPr>
          <w:sz w:val="26"/>
        </w:rPr>
        <w:t>basis to exclude women from worship? Does the fact that a woman has a physiological feature – of being in a menstruating age – entitle anybody or a group to subject her to exclusion from religious worship? The phys</w:t>
      </w:r>
      <w:r>
        <w:rPr>
          <w:sz w:val="26"/>
        </w:rPr>
        <w:t>iological features of a woman have no significance to her equal entitlements under the Constitution. All women in the age group of ten and fifty may not in any case fall in the ‘procreative age group’. But that to my mind is again not a matter of substance</w:t>
      </w:r>
      <w:r>
        <w:rPr>
          <w:sz w:val="26"/>
        </w:rPr>
        <w:t>.</w:t>
      </w:r>
      <w:r>
        <w:rPr>
          <w:spacing w:val="52"/>
          <w:sz w:val="26"/>
        </w:rPr>
        <w:t xml:space="preserve"> </w:t>
      </w:r>
      <w:r>
        <w:rPr>
          <w:sz w:val="26"/>
        </w:rPr>
        <w:t>The</w:t>
      </w:r>
      <w:r>
        <w:rPr>
          <w:spacing w:val="-11"/>
          <w:sz w:val="26"/>
        </w:rPr>
        <w:t xml:space="preserve"> </w:t>
      </w:r>
      <w:r>
        <w:rPr>
          <w:sz w:val="26"/>
        </w:rPr>
        <w:t>heart</w:t>
      </w:r>
      <w:r>
        <w:rPr>
          <w:spacing w:val="-10"/>
          <w:sz w:val="26"/>
        </w:rPr>
        <w:t xml:space="preserve"> </w:t>
      </w:r>
      <w:r>
        <w:rPr>
          <w:sz w:val="26"/>
        </w:rPr>
        <w:t>of</w:t>
      </w:r>
      <w:r>
        <w:rPr>
          <w:spacing w:val="-12"/>
          <w:sz w:val="26"/>
        </w:rPr>
        <w:t xml:space="preserve"> </w:t>
      </w:r>
      <w:r>
        <w:rPr>
          <w:sz w:val="26"/>
        </w:rPr>
        <w:t>the</w:t>
      </w:r>
      <w:r>
        <w:rPr>
          <w:spacing w:val="-8"/>
          <w:sz w:val="26"/>
        </w:rPr>
        <w:t xml:space="preserve"> </w:t>
      </w:r>
      <w:r>
        <w:rPr>
          <w:sz w:val="26"/>
        </w:rPr>
        <w:t>matter</w:t>
      </w:r>
      <w:r>
        <w:rPr>
          <w:spacing w:val="-10"/>
          <w:sz w:val="26"/>
        </w:rPr>
        <w:t xml:space="preserve"> </w:t>
      </w:r>
      <w:r>
        <w:rPr>
          <w:sz w:val="26"/>
        </w:rPr>
        <w:t>lies</w:t>
      </w:r>
      <w:r>
        <w:rPr>
          <w:spacing w:val="-8"/>
          <w:sz w:val="26"/>
        </w:rPr>
        <w:t xml:space="preserve"> </w:t>
      </w:r>
      <w:r>
        <w:rPr>
          <w:sz w:val="26"/>
        </w:rPr>
        <w:t>in</w:t>
      </w:r>
      <w:r>
        <w:rPr>
          <w:spacing w:val="-10"/>
          <w:sz w:val="26"/>
        </w:rPr>
        <w:t xml:space="preserve"> </w:t>
      </w:r>
      <w:r>
        <w:rPr>
          <w:sz w:val="26"/>
        </w:rPr>
        <w:t>the</w:t>
      </w:r>
      <w:r>
        <w:rPr>
          <w:spacing w:val="-11"/>
          <w:sz w:val="26"/>
        </w:rPr>
        <w:t xml:space="preserve"> </w:t>
      </w:r>
      <w:r>
        <w:rPr>
          <w:sz w:val="26"/>
        </w:rPr>
        <w:t>ability</w:t>
      </w:r>
      <w:r>
        <w:rPr>
          <w:spacing w:val="-10"/>
          <w:sz w:val="26"/>
        </w:rPr>
        <w:t xml:space="preserve"> </w:t>
      </w:r>
      <w:r>
        <w:rPr>
          <w:sz w:val="26"/>
        </w:rPr>
        <w:t>of</w:t>
      </w:r>
      <w:r>
        <w:rPr>
          <w:spacing w:val="-11"/>
          <w:sz w:val="26"/>
        </w:rPr>
        <w:t xml:space="preserve"> </w:t>
      </w:r>
      <w:r>
        <w:rPr>
          <w:sz w:val="26"/>
        </w:rPr>
        <w:t>the</w:t>
      </w:r>
      <w:r>
        <w:rPr>
          <w:spacing w:val="-11"/>
          <w:sz w:val="26"/>
        </w:rPr>
        <w:t xml:space="preserve"> </w:t>
      </w:r>
      <w:r>
        <w:rPr>
          <w:sz w:val="26"/>
        </w:rPr>
        <w:t>Constitution</w:t>
      </w:r>
      <w:r>
        <w:rPr>
          <w:spacing w:val="-11"/>
          <w:sz w:val="26"/>
        </w:rPr>
        <w:t xml:space="preserve"> </w:t>
      </w:r>
      <w:r>
        <w:rPr>
          <w:sz w:val="26"/>
        </w:rPr>
        <w:t>to</w:t>
      </w:r>
      <w:r>
        <w:rPr>
          <w:spacing w:val="-11"/>
          <w:sz w:val="26"/>
        </w:rPr>
        <w:t xml:space="preserve"> </w:t>
      </w:r>
      <w:r>
        <w:rPr>
          <w:sz w:val="26"/>
        </w:rPr>
        <w:t>assert that the exclusion of women from worship is incompatible with dignity, destructive of liberty and a denial of the equality of all human beings. These constitutional values stand ab</w:t>
      </w:r>
      <w:r>
        <w:rPr>
          <w:sz w:val="26"/>
        </w:rPr>
        <w:t>ove everything else as a principle which brooks no</w:t>
      </w:r>
      <w:r>
        <w:rPr>
          <w:spacing w:val="-17"/>
          <w:sz w:val="26"/>
        </w:rPr>
        <w:t xml:space="preserve"> </w:t>
      </w:r>
      <w:r>
        <w:rPr>
          <w:sz w:val="26"/>
        </w:rPr>
        <w:t>exceptions,</w:t>
      </w:r>
      <w:r>
        <w:rPr>
          <w:spacing w:val="-17"/>
          <w:sz w:val="26"/>
        </w:rPr>
        <w:t xml:space="preserve"> </w:t>
      </w:r>
      <w:r>
        <w:rPr>
          <w:sz w:val="26"/>
        </w:rPr>
        <w:t>even</w:t>
      </w:r>
      <w:r>
        <w:rPr>
          <w:spacing w:val="-14"/>
          <w:sz w:val="26"/>
        </w:rPr>
        <w:t xml:space="preserve"> </w:t>
      </w:r>
      <w:r>
        <w:rPr>
          <w:sz w:val="26"/>
        </w:rPr>
        <w:t>when</w:t>
      </w:r>
      <w:r>
        <w:rPr>
          <w:spacing w:val="-17"/>
          <w:sz w:val="26"/>
        </w:rPr>
        <w:t xml:space="preserve"> </w:t>
      </w:r>
      <w:r>
        <w:rPr>
          <w:sz w:val="26"/>
        </w:rPr>
        <w:t>confronted</w:t>
      </w:r>
      <w:r>
        <w:rPr>
          <w:spacing w:val="-15"/>
          <w:sz w:val="26"/>
        </w:rPr>
        <w:t xml:space="preserve"> </w:t>
      </w:r>
      <w:r>
        <w:rPr>
          <w:sz w:val="26"/>
        </w:rPr>
        <w:t>with</w:t>
      </w:r>
      <w:r>
        <w:rPr>
          <w:spacing w:val="-15"/>
          <w:sz w:val="26"/>
        </w:rPr>
        <w:t xml:space="preserve"> </w:t>
      </w:r>
      <w:r>
        <w:rPr>
          <w:sz w:val="26"/>
        </w:rPr>
        <w:t>a</w:t>
      </w:r>
      <w:r>
        <w:rPr>
          <w:spacing w:val="-16"/>
          <w:sz w:val="26"/>
        </w:rPr>
        <w:t xml:space="preserve"> </w:t>
      </w:r>
      <w:r>
        <w:rPr>
          <w:sz w:val="26"/>
        </w:rPr>
        <w:t>claim</w:t>
      </w:r>
      <w:r>
        <w:rPr>
          <w:spacing w:val="-17"/>
          <w:sz w:val="26"/>
        </w:rPr>
        <w:t xml:space="preserve"> </w:t>
      </w:r>
      <w:r>
        <w:rPr>
          <w:sz w:val="26"/>
        </w:rPr>
        <w:t>of</w:t>
      </w:r>
      <w:r>
        <w:rPr>
          <w:spacing w:val="-17"/>
          <w:sz w:val="26"/>
        </w:rPr>
        <w:t xml:space="preserve"> </w:t>
      </w:r>
      <w:r>
        <w:rPr>
          <w:sz w:val="26"/>
        </w:rPr>
        <w:t>religious</w:t>
      </w:r>
      <w:r>
        <w:rPr>
          <w:spacing w:val="-16"/>
          <w:sz w:val="26"/>
        </w:rPr>
        <w:t xml:space="preserve"> </w:t>
      </w:r>
      <w:r>
        <w:rPr>
          <w:sz w:val="26"/>
        </w:rPr>
        <w:t>belief.</w:t>
      </w:r>
      <w:r>
        <w:rPr>
          <w:spacing w:val="39"/>
          <w:sz w:val="26"/>
        </w:rPr>
        <w:t xml:space="preserve"> </w:t>
      </w:r>
      <w:r>
        <w:rPr>
          <w:sz w:val="26"/>
        </w:rPr>
        <w:t>To</w:t>
      </w:r>
      <w:r>
        <w:rPr>
          <w:spacing w:val="-17"/>
          <w:sz w:val="26"/>
        </w:rPr>
        <w:t xml:space="preserve"> </w:t>
      </w:r>
      <w:r>
        <w:rPr>
          <w:sz w:val="26"/>
        </w:rPr>
        <w:t>exclude women is derogatory to an equal</w:t>
      </w:r>
      <w:r>
        <w:rPr>
          <w:spacing w:val="-3"/>
          <w:sz w:val="26"/>
        </w:rPr>
        <w:t xml:space="preserve"> </w:t>
      </w:r>
      <w:r>
        <w:rPr>
          <w:sz w:val="26"/>
        </w:rPr>
        <w:t>citizenship.</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The Respondents submitted that the deity at Sabarimala is in the form</w:t>
      </w:r>
      <w:r>
        <w:rPr>
          <w:spacing w:val="-26"/>
          <w:sz w:val="26"/>
        </w:rPr>
        <w:t xml:space="preserve"> </w:t>
      </w:r>
      <w:r>
        <w:rPr>
          <w:sz w:val="26"/>
        </w:rPr>
        <w:t>of a</w:t>
      </w:r>
      <w:r>
        <w:rPr>
          <w:spacing w:val="-19"/>
          <w:sz w:val="26"/>
        </w:rPr>
        <w:t xml:space="preserve"> </w:t>
      </w:r>
      <w:r>
        <w:rPr>
          <w:sz w:val="26"/>
        </w:rPr>
        <w:t>Naishtika</w:t>
      </w:r>
      <w:r>
        <w:rPr>
          <w:spacing w:val="-18"/>
          <w:sz w:val="26"/>
        </w:rPr>
        <w:t xml:space="preserve"> </w:t>
      </w:r>
      <w:r>
        <w:rPr>
          <w:sz w:val="26"/>
        </w:rPr>
        <w:t>Brahmacharya:</w:t>
      </w:r>
      <w:r>
        <w:rPr>
          <w:spacing w:val="-19"/>
          <w:sz w:val="26"/>
        </w:rPr>
        <w:t xml:space="preserve"> </w:t>
      </w:r>
      <w:r>
        <w:rPr>
          <w:sz w:val="26"/>
        </w:rPr>
        <w:t>Lord</w:t>
      </w:r>
      <w:r>
        <w:rPr>
          <w:spacing w:val="-18"/>
          <w:sz w:val="26"/>
        </w:rPr>
        <w:t xml:space="preserve"> </w:t>
      </w:r>
      <w:r>
        <w:rPr>
          <w:sz w:val="26"/>
        </w:rPr>
        <w:t>Ayyappa</w:t>
      </w:r>
      <w:r>
        <w:rPr>
          <w:spacing w:val="-16"/>
          <w:sz w:val="26"/>
        </w:rPr>
        <w:t xml:space="preserve"> </w:t>
      </w:r>
      <w:r>
        <w:rPr>
          <w:sz w:val="26"/>
        </w:rPr>
        <w:t>is</w:t>
      </w:r>
      <w:r>
        <w:rPr>
          <w:spacing w:val="-18"/>
          <w:sz w:val="26"/>
        </w:rPr>
        <w:t xml:space="preserve"> </w:t>
      </w:r>
      <w:r>
        <w:rPr>
          <w:sz w:val="26"/>
        </w:rPr>
        <w:t>celibate.</w:t>
      </w:r>
      <w:r>
        <w:rPr>
          <w:spacing w:val="-19"/>
          <w:sz w:val="26"/>
        </w:rPr>
        <w:t xml:space="preserve"> </w:t>
      </w:r>
      <w:r>
        <w:rPr>
          <w:sz w:val="26"/>
        </w:rPr>
        <w:t>It</w:t>
      </w:r>
      <w:r>
        <w:rPr>
          <w:spacing w:val="-15"/>
          <w:sz w:val="26"/>
        </w:rPr>
        <w:t xml:space="preserve"> </w:t>
      </w:r>
      <w:r>
        <w:rPr>
          <w:sz w:val="26"/>
        </w:rPr>
        <w:t>was</w:t>
      </w:r>
      <w:r>
        <w:rPr>
          <w:spacing w:val="-19"/>
          <w:sz w:val="26"/>
        </w:rPr>
        <w:t xml:space="preserve"> </w:t>
      </w:r>
      <w:r>
        <w:rPr>
          <w:sz w:val="26"/>
        </w:rPr>
        <w:t>submitted</w:t>
      </w:r>
      <w:r>
        <w:rPr>
          <w:spacing w:val="-18"/>
          <w:sz w:val="26"/>
        </w:rPr>
        <w:t xml:space="preserve"> </w:t>
      </w:r>
      <w:r>
        <w:rPr>
          <w:sz w:val="26"/>
        </w:rPr>
        <w:t>that</w:t>
      </w:r>
      <w:r>
        <w:rPr>
          <w:spacing w:val="-18"/>
          <w:sz w:val="26"/>
        </w:rPr>
        <w:t xml:space="preserve"> </w:t>
      </w:r>
      <w:r>
        <w:rPr>
          <w:sz w:val="26"/>
        </w:rPr>
        <w:t>since celibacy is the foremost requirement for all the followers, women between the ages</w:t>
      </w:r>
      <w:r>
        <w:rPr>
          <w:spacing w:val="-9"/>
          <w:sz w:val="26"/>
        </w:rPr>
        <w:t xml:space="preserve"> </w:t>
      </w:r>
      <w:r>
        <w:rPr>
          <w:sz w:val="26"/>
        </w:rPr>
        <w:t>of</w:t>
      </w:r>
      <w:r>
        <w:rPr>
          <w:spacing w:val="-9"/>
          <w:sz w:val="26"/>
        </w:rPr>
        <w:t xml:space="preserve"> </w:t>
      </w:r>
      <w:r>
        <w:rPr>
          <w:sz w:val="26"/>
        </w:rPr>
        <w:t>ten</w:t>
      </w:r>
      <w:r>
        <w:rPr>
          <w:spacing w:val="-9"/>
          <w:sz w:val="26"/>
        </w:rPr>
        <w:t xml:space="preserve"> </w:t>
      </w:r>
      <w:r>
        <w:rPr>
          <w:sz w:val="26"/>
        </w:rPr>
        <w:t>and</w:t>
      </w:r>
      <w:r>
        <w:rPr>
          <w:spacing w:val="-10"/>
          <w:sz w:val="26"/>
        </w:rPr>
        <w:t xml:space="preserve"> </w:t>
      </w:r>
      <w:r>
        <w:rPr>
          <w:sz w:val="26"/>
        </w:rPr>
        <w:t>fifty</w:t>
      </w:r>
      <w:r>
        <w:rPr>
          <w:spacing w:val="-9"/>
          <w:sz w:val="26"/>
        </w:rPr>
        <w:t xml:space="preserve"> </w:t>
      </w:r>
      <w:r>
        <w:rPr>
          <w:sz w:val="26"/>
        </w:rPr>
        <w:t>must</w:t>
      </w:r>
      <w:r>
        <w:rPr>
          <w:spacing w:val="-9"/>
          <w:sz w:val="26"/>
        </w:rPr>
        <w:t xml:space="preserve"> </w:t>
      </w:r>
      <w:r>
        <w:rPr>
          <w:sz w:val="26"/>
        </w:rPr>
        <w:t>not</w:t>
      </w:r>
      <w:r>
        <w:rPr>
          <w:spacing w:val="-9"/>
          <w:sz w:val="26"/>
        </w:rPr>
        <w:t xml:space="preserve"> </w:t>
      </w:r>
      <w:r>
        <w:rPr>
          <w:sz w:val="26"/>
        </w:rPr>
        <w:t>be</w:t>
      </w:r>
      <w:r>
        <w:rPr>
          <w:spacing w:val="-9"/>
          <w:sz w:val="26"/>
        </w:rPr>
        <w:t xml:space="preserve"> </w:t>
      </w:r>
      <w:r>
        <w:rPr>
          <w:sz w:val="26"/>
        </w:rPr>
        <w:t>allowed</w:t>
      </w:r>
      <w:r>
        <w:rPr>
          <w:spacing w:val="-9"/>
          <w:sz w:val="26"/>
        </w:rPr>
        <w:t xml:space="preserve"> </w:t>
      </w:r>
      <w:r>
        <w:rPr>
          <w:sz w:val="26"/>
        </w:rPr>
        <w:t>in</w:t>
      </w:r>
      <w:r>
        <w:rPr>
          <w:spacing w:val="-9"/>
          <w:sz w:val="26"/>
        </w:rPr>
        <w:t xml:space="preserve"> </w:t>
      </w:r>
      <w:r>
        <w:rPr>
          <w:sz w:val="26"/>
        </w:rPr>
        <w:t>Sabarimala.</w:t>
      </w:r>
      <w:r>
        <w:rPr>
          <w:spacing w:val="-9"/>
          <w:sz w:val="26"/>
        </w:rPr>
        <w:t xml:space="preserve"> </w:t>
      </w:r>
      <w:r>
        <w:rPr>
          <w:sz w:val="26"/>
        </w:rPr>
        <w:t>There</w:t>
      </w:r>
      <w:r>
        <w:rPr>
          <w:spacing w:val="-7"/>
          <w:sz w:val="26"/>
        </w:rPr>
        <w:t xml:space="preserve"> </w:t>
      </w:r>
      <w:r>
        <w:rPr>
          <w:sz w:val="26"/>
        </w:rPr>
        <w:t>is</w:t>
      </w:r>
      <w:r>
        <w:rPr>
          <w:spacing w:val="-9"/>
          <w:sz w:val="26"/>
        </w:rPr>
        <w:t xml:space="preserve"> </w:t>
      </w:r>
      <w:r>
        <w:rPr>
          <w:sz w:val="26"/>
        </w:rPr>
        <w:t>an</w:t>
      </w:r>
      <w:r>
        <w:rPr>
          <w:spacing w:val="-9"/>
          <w:sz w:val="26"/>
        </w:rPr>
        <w:t xml:space="preserve"> </w:t>
      </w:r>
      <w:r>
        <w:rPr>
          <w:sz w:val="26"/>
        </w:rPr>
        <w:t>assumption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5"/>
        <w:jc w:val="both"/>
        <w:rPr>
          <w:sz w:val="26"/>
        </w:rPr>
      </w:pPr>
      <w:r>
        <w:rPr>
          <w:sz w:val="26"/>
        </w:rPr>
        <w:t>here,</w:t>
      </w:r>
      <w:r>
        <w:rPr>
          <w:spacing w:val="-16"/>
          <w:sz w:val="26"/>
        </w:rPr>
        <w:t xml:space="preserve"> </w:t>
      </w:r>
      <w:r>
        <w:rPr>
          <w:sz w:val="26"/>
        </w:rPr>
        <w:t>which</w:t>
      </w:r>
      <w:r>
        <w:rPr>
          <w:spacing w:val="-19"/>
          <w:sz w:val="26"/>
        </w:rPr>
        <w:t xml:space="preserve"> </w:t>
      </w:r>
      <w:r>
        <w:rPr>
          <w:sz w:val="26"/>
        </w:rPr>
        <w:t>cannot</w:t>
      </w:r>
      <w:r>
        <w:rPr>
          <w:spacing w:val="-17"/>
          <w:sz w:val="26"/>
        </w:rPr>
        <w:t xml:space="preserve"> </w:t>
      </w:r>
      <w:r>
        <w:rPr>
          <w:sz w:val="26"/>
        </w:rPr>
        <w:t>stand</w:t>
      </w:r>
      <w:r>
        <w:rPr>
          <w:spacing w:val="-18"/>
          <w:sz w:val="26"/>
        </w:rPr>
        <w:t xml:space="preserve"> </w:t>
      </w:r>
      <w:r>
        <w:rPr>
          <w:sz w:val="26"/>
        </w:rPr>
        <w:t>constitutional</w:t>
      </w:r>
      <w:r>
        <w:rPr>
          <w:spacing w:val="-16"/>
          <w:sz w:val="26"/>
        </w:rPr>
        <w:t xml:space="preserve"> </w:t>
      </w:r>
      <w:r>
        <w:rPr>
          <w:sz w:val="26"/>
        </w:rPr>
        <w:t>scrutiny.</w:t>
      </w:r>
      <w:r>
        <w:rPr>
          <w:spacing w:val="-19"/>
          <w:sz w:val="26"/>
        </w:rPr>
        <w:t xml:space="preserve"> </w:t>
      </w:r>
      <w:r>
        <w:rPr>
          <w:sz w:val="26"/>
        </w:rPr>
        <w:t>The</w:t>
      </w:r>
      <w:r>
        <w:rPr>
          <w:spacing w:val="-19"/>
          <w:sz w:val="26"/>
        </w:rPr>
        <w:t xml:space="preserve"> </w:t>
      </w:r>
      <w:r>
        <w:rPr>
          <w:sz w:val="26"/>
        </w:rPr>
        <w:t>assumption</w:t>
      </w:r>
      <w:r>
        <w:rPr>
          <w:spacing w:val="-18"/>
          <w:sz w:val="26"/>
        </w:rPr>
        <w:t xml:space="preserve"> </w:t>
      </w:r>
      <w:r>
        <w:rPr>
          <w:sz w:val="26"/>
        </w:rPr>
        <w:t>in</w:t>
      </w:r>
      <w:r>
        <w:rPr>
          <w:spacing w:val="-19"/>
          <w:sz w:val="26"/>
        </w:rPr>
        <w:t xml:space="preserve"> </w:t>
      </w:r>
      <w:r>
        <w:rPr>
          <w:sz w:val="26"/>
        </w:rPr>
        <w:t>such</w:t>
      </w:r>
      <w:r>
        <w:rPr>
          <w:spacing w:val="-19"/>
          <w:sz w:val="26"/>
        </w:rPr>
        <w:t xml:space="preserve"> </w:t>
      </w:r>
      <w:r>
        <w:rPr>
          <w:sz w:val="26"/>
        </w:rPr>
        <w:t>a</w:t>
      </w:r>
      <w:r>
        <w:rPr>
          <w:spacing w:val="-19"/>
          <w:sz w:val="26"/>
        </w:rPr>
        <w:t xml:space="preserve"> </w:t>
      </w:r>
      <w:r>
        <w:rPr>
          <w:sz w:val="26"/>
        </w:rPr>
        <w:t>claim is that a deviation from the celibacy and austerity observed by the followers would</w:t>
      </w:r>
      <w:r>
        <w:rPr>
          <w:spacing w:val="-9"/>
          <w:sz w:val="26"/>
        </w:rPr>
        <w:t xml:space="preserve"> </w:t>
      </w:r>
      <w:r>
        <w:rPr>
          <w:sz w:val="26"/>
        </w:rPr>
        <w:t>be</w:t>
      </w:r>
      <w:r>
        <w:rPr>
          <w:spacing w:val="-9"/>
          <w:sz w:val="26"/>
        </w:rPr>
        <w:t xml:space="preserve"> </w:t>
      </w:r>
      <w:r>
        <w:rPr>
          <w:b/>
          <w:sz w:val="26"/>
        </w:rPr>
        <w:t>caused</w:t>
      </w:r>
      <w:r>
        <w:rPr>
          <w:b/>
          <w:spacing w:val="-8"/>
          <w:sz w:val="26"/>
        </w:rPr>
        <w:t xml:space="preserve"> </w:t>
      </w:r>
      <w:r>
        <w:rPr>
          <w:sz w:val="26"/>
        </w:rPr>
        <w:t>by</w:t>
      </w:r>
      <w:r>
        <w:rPr>
          <w:spacing w:val="-11"/>
          <w:sz w:val="26"/>
        </w:rPr>
        <w:t xml:space="preserve"> </w:t>
      </w:r>
      <w:r>
        <w:rPr>
          <w:sz w:val="26"/>
        </w:rPr>
        <w:t>the</w:t>
      </w:r>
      <w:r>
        <w:rPr>
          <w:spacing w:val="-11"/>
          <w:sz w:val="26"/>
        </w:rPr>
        <w:t xml:space="preserve"> </w:t>
      </w:r>
      <w:r>
        <w:rPr>
          <w:sz w:val="26"/>
        </w:rPr>
        <w:t>presence</w:t>
      </w:r>
      <w:r>
        <w:rPr>
          <w:spacing w:val="-12"/>
          <w:sz w:val="26"/>
        </w:rPr>
        <w:t xml:space="preserve"> </w:t>
      </w:r>
      <w:r>
        <w:rPr>
          <w:sz w:val="26"/>
        </w:rPr>
        <w:t>of</w:t>
      </w:r>
      <w:r>
        <w:rPr>
          <w:spacing w:val="-9"/>
          <w:sz w:val="26"/>
        </w:rPr>
        <w:t xml:space="preserve"> </w:t>
      </w:r>
      <w:r>
        <w:rPr>
          <w:sz w:val="26"/>
        </w:rPr>
        <w:t>women.</w:t>
      </w:r>
      <w:r>
        <w:rPr>
          <w:spacing w:val="-11"/>
          <w:sz w:val="26"/>
        </w:rPr>
        <w:t xml:space="preserve"> </w:t>
      </w:r>
      <w:r>
        <w:rPr>
          <w:sz w:val="26"/>
        </w:rPr>
        <w:t>Such</w:t>
      </w:r>
      <w:r>
        <w:rPr>
          <w:spacing w:val="-9"/>
          <w:sz w:val="26"/>
        </w:rPr>
        <w:t xml:space="preserve"> </w:t>
      </w:r>
      <w:r>
        <w:rPr>
          <w:sz w:val="26"/>
        </w:rPr>
        <w:t>a</w:t>
      </w:r>
      <w:r>
        <w:rPr>
          <w:spacing w:val="-11"/>
          <w:sz w:val="26"/>
        </w:rPr>
        <w:t xml:space="preserve"> </w:t>
      </w:r>
      <w:r>
        <w:rPr>
          <w:sz w:val="26"/>
        </w:rPr>
        <w:t>claim</w:t>
      </w:r>
      <w:r>
        <w:rPr>
          <w:spacing w:val="-9"/>
          <w:sz w:val="26"/>
        </w:rPr>
        <w:t xml:space="preserve"> </w:t>
      </w:r>
      <w:r>
        <w:rPr>
          <w:sz w:val="26"/>
        </w:rPr>
        <w:t>cannot</w:t>
      </w:r>
      <w:r>
        <w:rPr>
          <w:spacing w:val="-11"/>
          <w:sz w:val="26"/>
        </w:rPr>
        <w:t xml:space="preserve"> </w:t>
      </w:r>
      <w:r>
        <w:rPr>
          <w:sz w:val="26"/>
        </w:rPr>
        <w:t>be</w:t>
      </w:r>
      <w:r>
        <w:rPr>
          <w:spacing w:val="-12"/>
          <w:sz w:val="26"/>
        </w:rPr>
        <w:t xml:space="preserve"> </w:t>
      </w:r>
      <w:r>
        <w:rPr>
          <w:sz w:val="26"/>
        </w:rPr>
        <w:t>sustained as a constitutionally sustainable argument. Its effect is to impose the burden of a man’s celibacy on a woman and construct her as a cause for deviation from celibacy. This is then employed to deny access to spaces to which women are equally enti</w:t>
      </w:r>
      <w:r>
        <w:rPr>
          <w:sz w:val="26"/>
        </w:rPr>
        <w:t>tled. To suggest that women cannot keep the Vratham is to stigmatize them and stereotype them as being weak and lesser human beings. A constitutional court such as this one, must refuse to recognize such</w:t>
      </w:r>
      <w:r>
        <w:rPr>
          <w:spacing w:val="-45"/>
          <w:sz w:val="26"/>
        </w:rPr>
        <w:t xml:space="preserve"> </w:t>
      </w:r>
      <w:r>
        <w:rPr>
          <w:sz w:val="26"/>
        </w:rPr>
        <w:t>claims.</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Human dignity postulates an equality betwe</w:t>
      </w:r>
      <w:r>
        <w:rPr>
          <w:sz w:val="26"/>
        </w:rPr>
        <w:t>en persons. The equality of all</w:t>
      </w:r>
      <w:r>
        <w:rPr>
          <w:spacing w:val="-10"/>
          <w:sz w:val="26"/>
        </w:rPr>
        <w:t xml:space="preserve"> </w:t>
      </w:r>
      <w:r>
        <w:rPr>
          <w:sz w:val="26"/>
        </w:rPr>
        <w:t>human</w:t>
      </w:r>
      <w:r>
        <w:rPr>
          <w:spacing w:val="-9"/>
          <w:sz w:val="26"/>
        </w:rPr>
        <w:t xml:space="preserve"> </w:t>
      </w:r>
      <w:r>
        <w:rPr>
          <w:sz w:val="26"/>
        </w:rPr>
        <w:t>beings</w:t>
      </w:r>
      <w:r>
        <w:rPr>
          <w:spacing w:val="-9"/>
          <w:sz w:val="26"/>
        </w:rPr>
        <w:t xml:space="preserve"> </w:t>
      </w:r>
      <w:r>
        <w:rPr>
          <w:sz w:val="26"/>
        </w:rPr>
        <w:t>entails</w:t>
      </w:r>
      <w:r>
        <w:rPr>
          <w:spacing w:val="-9"/>
          <w:sz w:val="26"/>
        </w:rPr>
        <w:t xml:space="preserve"> </w:t>
      </w:r>
      <w:r>
        <w:rPr>
          <w:sz w:val="26"/>
        </w:rPr>
        <w:t>being</w:t>
      </w:r>
      <w:r>
        <w:rPr>
          <w:spacing w:val="-10"/>
          <w:sz w:val="26"/>
        </w:rPr>
        <w:t xml:space="preserve"> </w:t>
      </w:r>
      <w:r>
        <w:rPr>
          <w:sz w:val="26"/>
        </w:rPr>
        <w:t>free</w:t>
      </w:r>
      <w:r>
        <w:rPr>
          <w:spacing w:val="-9"/>
          <w:sz w:val="26"/>
        </w:rPr>
        <w:t xml:space="preserve"> </w:t>
      </w:r>
      <w:r>
        <w:rPr>
          <w:sz w:val="26"/>
        </w:rPr>
        <w:t>from</w:t>
      </w:r>
      <w:r>
        <w:rPr>
          <w:spacing w:val="-9"/>
          <w:sz w:val="26"/>
        </w:rPr>
        <w:t xml:space="preserve"> </w:t>
      </w:r>
      <w:r>
        <w:rPr>
          <w:sz w:val="26"/>
        </w:rPr>
        <w:t>the</w:t>
      </w:r>
      <w:r>
        <w:rPr>
          <w:spacing w:val="-9"/>
          <w:sz w:val="26"/>
        </w:rPr>
        <w:t xml:space="preserve"> </w:t>
      </w:r>
      <w:r>
        <w:rPr>
          <w:sz w:val="26"/>
        </w:rPr>
        <w:t>restrictive</w:t>
      </w:r>
      <w:r>
        <w:rPr>
          <w:spacing w:val="-10"/>
          <w:sz w:val="26"/>
        </w:rPr>
        <w:t xml:space="preserve"> </w:t>
      </w:r>
      <w:r>
        <w:rPr>
          <w:sz w:val="26"/>
        </w:rPr>
        <w:t>and</w:t>
      </w:r>
      <w:r>
        <w:rPr>
          <w:spacing w:val="-9"/>
          <w:sz w:val="26"/>
        </w:rPr>
        <w:t xml:space="preserve"> </w:t>
      </w:r>
      <w:r>
        <w:rPr>
          <w:sz w:val="26"/>
        </w:rPr>
        <w:t>dehumanizing</w:t>
      </w:r>
      <w:r>
        <w:rPr>
          <w:spacing w:val="-9"/>
          <w:sz w:val="26"/>
        </w:rPr>
        <w:t xml:space="preserve"> </w:t>
      </w:r>
      <w:r>
        <w:rPr>
          <w:sz w:val="26"/>
        </w:rPr>
        <w:t>effect of stereotypes and being equally entitled to the protection of law. Our Constitution has willed that dignity, liberty and equality serve as a guiding light for individuals, the state and this Court. Though our Constitution</w:t>
      </w:r>
      <w:r>
        <w:rPr>
          <w:spacing w:val="49"/>
          <w:sz w:val="26"/>
        </w:rPr>
        <w:t xml:space="preserve"> </w:t>
      </w:r>
      <w:r>
        <w:rPr>
          <w:sz w:val="26"/>
        </w:rPr>
        <w:t>protects religious</w:t>
      </w:r>
      <w:r>
        <w:rPr>
          <w:spacing w:val="-5"/>
          <w:sz w:val="26"/>
        </w:rPr>
        <w:t xml:space="preserve"> </w:t>
      </w:r>
      <w:r>
        <w:rPr>
          <w:sz w:val="26"/>
        </w:rPr>
        <w:t>freedom</w:t>
      </w:r>
      <w:r>
        <w:rPr>
          <w:spacing w:val="-5"/>
          <w:sz w:val="26"/>
        </w:rPr>
        <w:t xml:space="preserve"> </w:t>
      </w:r>
      <w:r>
        <w:rPr>
          <w:sz w:val="26"/>
        </w:rPr>
        <w:t>and</w:t>
      </w:r>
      <w:r>
        <w:rPr>
          <w:spacing w:val="-7"/>
          <w:sz w:val="26"/>
        </w:rPr>
        <w:t xml:space="preserve"> </w:t>
      </w:r>
      <w:r>
        <w:rPr>
          <w:sz w:val="26"/>
        </w:rPr>
        <w:t>consequent</w:t>
      </w:r>
      <w:r>
        <w:rPr>
          <w:spacing w:val="-7"/>
          <w:sz w:val="26"/>
        </w:rPr>
        <w:t xml:space="preserve"> </w:t>
      </w:r>
      <w:r>
        <w:rPr>
          <w:sz w:val="26"/>
        </w:rPr>
        <w:t>rights</w:t>
      </w:r>
      <w:r>
        <w:rPr>
          <w:spacing w:val="-2"/>
          <w:sz w:val="26"/>
        </w:rPr>
        <w:t xml:space="preserve"> </w:t>
      </w:r>
      <w:r>
        <w:rPr>
          <w:sz w:val="26"/>
        </w:rPr>
        <w:t>and</w:t>
      </w:r>
      <w:r>
        <w:rPr>
          <w:spacing w:val="-7"/>
          <w:sz w:val="26"/>
        </w:rPr>
        <w:t xml:space="preserve"> </w:t>
      </w:r>
      <w:r>
        <w:rPr>
          <w:sz w:val="26"/>
        </w:rPr>
        <w:t>practices</w:t>
      </w:r>
      <w:r>
        <w:rPr>
          <w:spacing w:val="-7"/>
          <w:sz w:val="26"/>
        </w:rPr>
        <w:t xml:space="preserve"> </w:t>
      </w:r>
      <w:r>
        <w:rPr>
          <w:sz w:val="26"/>
        </w:rPr>
        <w:t>essential</w:t>
      </w:r>
      <w:r>
        <w:rPr>
          <w:spacing w:val="-7"/>
          <w:sz w:val="26"/>
        </w:rPr>
        <w:t xml:space="preserve"> </w:t>
      </w:r>
      <w:r>
        <w:rPr>
          <w:sz w:val="26"/>
        </w:rPr>
        <w:t>to</w:t>
      </w:r>
      <w:r>
        <w:rPr>
          <w:spacing w:val="-4"/>
          <w:sz w:val="26"/>
        </w:rPr>
        <w:t xml:space="preserve"> </w:t>
      </w:r>
      <w:r>
        <w:rPr>
          <w:sz w:val="26"/>
        </w:rPr>
        <w:t>religion,</w:t>
      </w:r>
      <w:r>
        <w:rPr>
          <w:spacing w:val="-6"/>
          <w:sz w:val="26"/>
        </w:rPr>
        <w:t xml:space="preserve"> </w:t>
      </w:r>
      <w:r>
        <w:rPr>
          <w:sz w:val="26"/>
        </w:rPr>
        <w:t>this Court will be guided by the pursuit to uphold the values of the Constitution, based in dignity, liberty and equality. In a constitutional order of priorities,</w:t>
      </w:r>
      <w:r>
        <w:rPr>
          <w:spacing w:val="-50"/>
          <w:sz w:val="26"/>
        </w:rPr>
        <w:t xml:space="preserve"> </w:t>
      </w:r>
      <w:r>
        <w:rPr>
          <w:sz w:val="26"/>
        </w:rPr>
        <w:t>these are values on which the ed</w:t>
      </w:r>
      <w:r>
        <w:rPr>
          <w:sz w:val="26"/>
        </w:rPr>
        <w:t>ifice of the Constitution stands. They infuse our constitutional order with a vision for the future – of a just, equal and dignified society. Intrinsic to these values is the anti-exclusion principle. Exclusion is destructive of dignity. To exclude a woman</w:t>
      </w:r>
      <w:r>
        <w:rPr>
          <w:sz w:val="26"/>
        </w:rPr>
        <w:t xml:space="preserve"> from the might of worship is fundamentally at odds with constitutional</w:t>
      </w:r>
      <w:r>
        <w:rPr>
          <w:spacing w:val="-1"/>
          <w:sz w:val="26"/>
        </w:rPr>
        <w:t xml:space="preserve"> </w:t>
      </w:r>
      <w:r>
        <w:rPr>
          <w:sz w:val="26"/>
        </w:rPr>
        <w:t>values.</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2" w:firstLine="0"/>
        <w:jc w:val="both"/>
        <w:rPr>
          <w:sz w:val="26"/>
        </w:rPr>
      </w:pPr>
      <w:r>
        <w:rPr>
          <w:sz w:val="26"/>
        </w:rPr>
        <w:t>It</w:t>
      </w:r>
      <w:r>
        <w:rPr>
          <w:spacing w:val="-9"/>
          <w:sz w:val="26"/>
        </w:rPr>
        <w:t xml:space="preserve"> </w:t>
      </w:r>
      <w:r>
        <w:rPr>
          <w:sz w:val="26"/>
        </w:rPr>
        <w:t>was</w:t>
      </w:r>
      <w:r>
        <w:rPr>
          <w:spacing w:val="-9"/>
          <w:sz w:val="26"/>
        </w:rPr>
        <w:t xml:space="preserve"> </w:t>
      </w:r>
      <w:r>
        <w:rPr>
          <w:sz w:val="26"/>
        </w:rPr>
        <w:t>briefly</w:t>
      </w:r>
      <w:r>
        <w:rPr>
          <w:spacing w:val="-11"/>
          <w:sz w:val="26"/>
        </w:rPr>
        <w:t xml:space="preserve"> </w:t>
      </w:r>
      <w:r>
        <w:rPr>
          <w:sz w:val="26"/>
        </w:rPr>
        <w:t>argued</w:t>
      </w:r>
      <w:r>
        <w:rPr>
          <w:spacing w:val="-10"/>
          <w:sz w:val="26"/>
        </w:rPr>
        <w:t xml:space="preserve"> </w:t>
      </w:r>
      <w:r>
        <w:rPr>
          <w:sz w:val="26"/>
        </w:rPr>
        <w:t>that</w:t>
      </w:r>
      <w:r>
        <w:rPr>
          <w:spacing w:val="-8"/>
          <w:sz w:val="26"/>
        </w:rPr>
        <w:t xml:space="preserve"> </w:t>
      </w:r>
      <w:r>
        <w:rPr>
          <w:sz w:val="26"/>
        </w:rPr>
        <w:t>women</w:t>
      </w:r>
      <w:r>
        <w:rPr>
          <w:spacing w:val="-9"/>
          <w:sz w:val="26"/>
        </w:rPr>
        <w:t xml:space="preserve"> </w:t>
      </w:r>
      <w:r>
        <w:rPr>
          <w:sz w:val="26"/>
        </w:rPr>
        <w:t>between</w:t>
      </w:r>
      <w:r>
        <w:rPr>
          <w:spacing w:val="-9"/>
          <w:sz w:val="26"/>
        </w:rPr>
        <w:t xml:space="preserve"> </w:t>
      </w:r>
      <w:r>
        <w:rPr>
          <w:sz w:val="26"/>
        </w:rPr>
        <w:t>the</w:t>
      </w:r>
      <w:r>
        <w:rPr>
          <w:spacing w:val="-12"/>
          <w:sz w:val="26"/>
        </w:rPr>
        <w:t xml:space="preserve"> </w:t>
      </w:r>
      <w:r>
        <w:rPr>
          <w:sz w:val="26"/>
        </w:rPr>
        <w:t>ages</w:t>
      </w:r>
      <w:r>
        <w:rPr>
          <w:spacing w:val="-11"/>
          <w:sz w:val="26"/>
        </w:rPr>
        <w:t xml:space="preserve"> </w:t>
      </w:r>
      <w:r>
        <w:rPr>
          <w:sz w:val="26"/>
        </w:rPr>
        <w:t>of</w:t>
      </w:r>
      <w:r>
        <w:rPr>
          <w:spacing w:val="-11"/>
          <w:sz w:val="26"/>
        </w:rPr>
        <w:t xml:space="preserve"> </w:t>
      </w:r>
      <w:r>
        <w:rPr>
          <w:sz w:val="26"/>
        </w:rPr>
        <w:t>ten</w:t>
      </w:r>
      <w:r>
        <w:rPr>
          <w:spacing w:val="-12"/>
          <w:sz w:val="26"/>
        </w:rPr>
        <w:t xml:space="preserve"> </w:t>
      </w:r>
      <w:r>
        <w:rPr>
          <w:sz w:val="26"/>
        </w:rPr>
        <w:t>and</w:t>
      </w:r>
      <w:r>
        <w:rPr>
          <w:spacing w:val="-12"/>
          <w:sz w:val="26"/>
        </w:rPr>
        <w:t xml:space="preserve"> </w:t>
      </w:r>
      <w:r>
        <w:rPr>
          <w:sz w:val="26"/>
        </w:rPr>
        <w:t>fifty</w:t>
      </w:r>
      <w:r>
        <w:rPr>
          <w:spacing w:val="-10"/>
          <w:sz w:val="26"/>
        </w:rPr>
        <w:t xml:space="preserve"> </w:t>
      </w:r>
      <w:r>
        <w:rPr>
          <w:sz w:val="26"/>
        </w:rPr>
        <w:t>are</w:t>
      </w:r>
      <w:r>
        <w:rPr>
          <w:spacing w:val="-9"/>
          <w:sz w:val="26"/>
        </w:rPr>
        <w:t xml:space="preserve"> </w:t>
      </w:r>
      <w:r>
        <w:rPr>
          <w:sz w:val="26"/>
        </w:rPr>
        <w:t>not allowed to undertake the pilgrimage or enter Sabarimala on the ground of the ‘impu</w:t>
      </w:r>
      <w:r>
        <w:rPr>
          <w:sz w:val="26"/>
        </w:rPr>
        <w:t>rity’ associated with menstruation. The stigma around menstruation has been built up around traditional beliefs in the impurity of menstruating women. They have no place in a constitutional order. These beliefs have been used to shackle women, to deny them</w:t>
      </w:r>
      <w:r>
        <w:rPr>
          <w:sz w:val="26"/>
        </w:rPr>
        <w:t xml:space="preserve"> equal entitlements and subject them to the dictates of a patriarchal order. The menstrual status of a woman cannot be a valid constitutional basis to deny her the dignity of being and the autonomy of personhood. The menstrual status of a woman is deeply p</w:t>
      </w:r>
      <w:r>
        <w:rPr>
          <w:sz w:val="26"/>
        </w:rPr>
        <w:t>ersonal and an intrinsic part of her privacy. The Constitution must treat it as a feature on the basis of which no exclusion can be practised and no denial can be</w:t>
      </w:r>
      <w:r>
        <w:rPr>
          <w:spacing w:val="-51"/>
          <w:sz w:val="26"/>
        </w:rPr>
        <w:t xml:space="preserve"> </w:t>
      </w:r>
      <w:r>
        <w:rPr>
          <w:sz w:val="26"/>
        </w:rPr>
        <w:t>perpetrated. No body or group can use it as a barrier in a woman’s quest for fulfilment, incl</w:t>
      </w:r>
      <w:r>
        <w:rPr>
          <w:sz w:val="26"/>
        </w:rPr>
        <w:t>uding in her finding solace in the connect with the</w:t>
      </w:r>
      <w:r>
        <w:rPr>
          <w:spacing w:val="-9"/>
          <w:sz w:val="26"/>
        </w:rPr>
        <w:t xml:space="preserve"> </w:t>
      </w:r>
      <w:r>
        <w:rPr>
          <w:sz w:val="26"/>
        </w:rPr>
        <w:t>creator.</w:t>
      </w:r>
    </w:p>
    <w:p w:rsidR="003B2FC0" w:rsidRDefault="003B2FC0">
      <w:pPr>
        <w:rPr>
          <w:sz w:val="28"/>
        </w:rPr>
      </w:pPr>
    </w:p>
    <w:p w:rsidR="003B2FC0" w:rsidRDefault="00052A49">
      <w:pPr>
        <w:pStyle w:val="Heading1"/>
        <w:numPr>
          <w:ilvl w:val="0"/>
          <w:numId w:val="40"/>
        </w:numPr>
        <w:tabs>
          <w:tab w:val="left" w:pos="1120"/>
          <w:tab w:val="left" w:pos="1121"/>
        </w:tabs>
        <w:spacing w:before="229"/>
        <w:ind w:left="1120" w:hanging="720"/>
        <w:jc w:val="left"/>
      </w:pPr>
      <w:r>
        <w:t>Religious Denominations</w:t>
      </w:r>
    </w:p>
    <w:p w:rsidR="003B2FC0" w:rsidRDefault="003B2FC0">
      <w:pPr>
        <w:rPr>
          <w:b/>
          <w:sz w:val="30"/>
        </w:rPr>
      </w:pPr>
    </w:p>
    <w:p w:rsidR="003B2FC0" w:rsidRDefault="003B2FC0">
      <w:pPr>
        <w:spacing w:before="7"/>
        <w:rPr>
          <w:b/>
          <w:sz w:val="29"/>
        </w:rPr>
      </w:pPr>
    </w:p>
    <w:p w:rsidR="003B2FC0" w:rsidRDefault="00052A49">
      <w:pPr>
        <w:pStyle w:val="ListParagraph"/>
        <w:numPr>
          <w:ilvl w:val="0"/>
          <w:numId w:val="39"/>
        </w:numPr>
        <w:tabs>
          <w:tab w:val="left" w:pos="1121"/>
        </w:tabs>
        <w:spacing w:before="1" w:line="480" w:lineRule="auto"/>
        <w:ind w:right="434" w:firstLine="0"/>
        <w:jc w:val="both"/>
        <w:rPr>
          <w:sz w:val="26"/>
        </w:rPr>
      </w:pPr>
      <w:r>
        <w:rPr>
          <w:sz w:val="26"/>
        </w:rPr>
        <w:t>One</w:t>
      </w:r>
      <w:r>
        <w:rPr>
          <w:spacing w:val="-7"/>
          <w:sz w:val="26"/>
        </w:rPr>
        <w:t xml:space="preserve"> </w:t>
      </w:r>
      <w:r>
        <w:rPr>
          <w:sz w:val="26"/>
        </w:rPr>
        <w:t>of</w:t>
      </w:r>
      <w:r>
        <w:rPr>
          <w:spacing w:val="-9"/>
          <w:sz w:val="26"/>
        </w:rPr>
        <w:t xml:space="preserve"> </w:t>
      </w:r>
      <w:r>
        <w:rPr>
          <w:sz w:val="26"/>
        </w:rPr>
        <w:t>the</w:t>
      </w:r>
      <w:r>
        <w:rPr>
          <w:spacing w:val="-9"/>
          <w:sz w:val="26"/>
        </w:rPr>
        <w:t xml:space="preserve"> </w:t>
      </w:r>
      <w:r>
        <w:rPr>
          <w:sz w:val="26"/>
        </w:rPr>
        <w:t>major</w:t>
      </w:r>
      <w:r>
        <w:rPr>
          <w:spacing w:val="-6"/>
          <w:sz w:val="26"/>
        </w:rPr>
        <w:t xml:space="preserve"> </w:t>
      </w:r>
      <w:r>
        <w:rPr>
          <w:sz w:val="26"/>
        </w:rPr>
        <w:t>planks</w:t>
      </w:r>
      <w:r>
        <w:rPr>
          <w:spacing w:val="-9"/>
          <w:sz w:val="26"/>
        </w:rPr>
        <w:t xml:space="preserve"> </w:t>
      </w:r>
      <w:r>
        <w:rPr>
          <w:sz w:val="26"/>
        </w:rPr>
        <w:t>of</w:t>
      </w:r>
      <w:r>
        <w:rPr>
          <w:spacing w:val="-6"/>
          <w:sz w:val="26"/>
        </w:rPr>
        <w:t xml:space="preserve"> </w:t>
      </w:r>
      <w:r>
        <w:rPr>
          <w:sz w:val="26"/>
        </w:rPr>
        <w:t>the</w:t>
      </w:r>
      <w:r>
        <w:rPr>
          <w:spacing w:val="-8"/>
          <w:sz w:val="26"/>
        </w:rPr>
        <w:t xml:space="preserve"> </w:t>
      </w:r>
      <w:r>
        <w:rPr>
          <w:sz w:val="26"/>
        </w:rPr>
        <w:t>response</w:t>
      </w:r>
      <w:r>
        <w:rPr>
          <w:spacing w:val="-9"/>
          <w:sz w:val="26"/>
        </w:rPr>
        <w:t xml:space="preserve"> </w:t>
      </w:r>
      <w:r>
        <w:rPr>
          <w:sz w:val="26"/>
        </w:rPr>
        <w:t>to</w:t>
      </w:r>
      <w:r>
        <w:rPr>
          <w:spacing w:val="-9"/>
          <w:sz w:val="26"/>
        </w:rPr>
        <w:t xml:space="preserve"> </w:t>
      </w:r>
      <w:r>
        <w:rPr>
          <w:sz w:val="26"/>
        </w:rPr>
        <w:t>the</w:t>
      </w:r>
      <w:r>
        <w:rPr>
          <w:spacing w:val="-6"/>
          <w:sz w:val="26"/>
        </w:rPr>
        <w:t xml:space="preserve"> </w:t>
      </w:r>
      <w:r>
        <w:rPr>
          <w:sz w:val="26"/>
        </w:rPr>
        <w:t>petition</w:t>
      </w:r>
      <w:r>
        <w:rPr>
          <w:spacing w:val="-7"/>
          <w:sz w:val="26"/>
        </w:rPr>
        <w:t xml:space="preserve"> </w:t>
      </w:r>
      <w:r>
        <w:rPr>
          <w:sz w:val="26"/>
        </w:rPr>
        <w:t>is</w:t>
      </w:r>
      <w:r>
        <w:rPr>
          <w:spacing w:val="-7"/>
          <w:sz w:val="26"/>
        </w:rPr>
        <w:t xml:space="preserve"> </w:t>
      </w:r>
      <w:r>
        <w:rPr>
          <w:sz w:val="26"/>
        </w:rPr>
        <w:t>that</w:t>
      </w:r>
      <w:r>
        <w:rPr>
          <w:spacing w:val="-4"/>
          <w:sz w:val="26"/>
        </w:rPr>
        <w:t xml:space="preserve"> </w:t>
      </w:r>
      <w:r>
        <w:rPr>
          <w:sz w:val="26"/>
        </w:rPr>
        <w:t>Sabarimala is a denominational temple and is entitled to the rights granted to ‘religious denominations’ by Article 26 of the</w:t>
      </w:r>
      <w:r>
        <w:rPr>
          <w:spacing w:val="-6"/>
          <w:sz w:val="26"/>
        </w:rPr>
        <w:t xml:space="preserve"> </w:t>
      </w:r>
      <w:r>
        <w:rPr>
          <w:sz w:val="26"/>
        </w:rPr>
        <w:t>Constitution.</w:t>
      </w:r>
    </w:p>
    <w:p w:rsidR="003B2FC0" w:rsidRDefault="003B2FC0">
      <w:pPr>
        <w:rPr>
          <w:sz w:val="28"/>
        </w:rPr>
      </w:pPr>
    </w:p>
    <w:p w:rsidR="003B2FC0" w:rsidRDefault="003B2FC0">
      <w:pPr>
        <w:rPr>
          <w:sz w:val="31"/>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The rights conferred by Article 26 are not unqualified. Besides this, they are distinct from the rights guaranteed</w:t>
      </w:r>
      <w:r>
        <w:rPr>
          <w:sz w:val="26"/>
        </w:rPr>
        <w:t xml:space="preserve"> by Article 25. In </w:t>
      </w:r>
      <w:r>
        <w:rPr>
          <w:b/>
          <w:sz w:val="26"/>
        </w:rPr>
        <w:t xml:space="preserve">Devaru, </w:t>
      </w:r>
      <w:r>
        <w:rPr>
          <w:sz w:val="26"/>
        </w:rPr>
        <w:t>this Court elucidated on the application of such a right and held that where the denominational rights would substantially diminish Article 25(2)(b), the</w:t>
      </w:r>
      <w:r>
        <w:rPr>
          <w:spacing w:val="17"/>
          <w:sz w:val="26"/>
        </w:rPr>
        <w:t xml:space="preserve"> </w:t>
      </w:r>
      <w:r>
        <w:rPr>
          <w:sz w:val="26"/>
        </w:rPr>
        <w:t>former</w:t>
      </w:r>
    </w:p>
    <w:p w:rsidR="003B2FC0" w:rsidRDefault="003B2FC0">
      <w:pPr>
        <w:spacing w:line="480" w:lineRule="auto"/>
        <w:jc w:val="both"/>
        <w:rPr>
          <w:sz w:val="26"/>
        </w:rPr>
        <w:sectPr w:rsidR="003B2FC0">
          <w:headerReference w:type="default" r:id="rId364"/>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7"/>
        <w:jc w:val="both"/>
        <w:rPr>
          <w:sz w:val="26"/>
        </w:rPr>
      </w:pPr>
      <w:r>
        <w:rPr>
          <w:sz w:val="26"/>
        </w:rPr>
        <w:t>must yield to the latter. However, when the ambit of Article 25(2)(b) is not substantially affected, the rights of a “denomination” as distinct “from the rights of the public” may be given effect to. However, such rights must be “strictly” denominational i</w:t>
      </w:r>
      <w:r>
        <w:rPr>
          <w:sz w:val="26"/>
        </w:rPr>
        <w:t>n nature.</w:t>
      </w:r>
    </w:p>
    <w:p w:rsidR="003B2FC0" w:rsidRDefault="003B2FC0">
      <w:pPr>
        <w:spacing w:before="1"/>
        <w:rPr>
          <w:sz w:val="33"/>
        </w:rPr>
      </w:pPr>
    </w:p>
    <w:p w:rsidR="003B2FC0" w:rsidRDefault="00052A49">
      <w:pPr>
        <w:spacing w:line="480" w:lineRule="auto"/>
        <w:ind w:left="400" w:right="436"/>
        <w:jc w:val="both"/>
        <w:rPr>
          <w:sz w:val="26"/>
        </w:rPr>
      </w:pPr>
      <w:r>
        <w:rPr>
          <w:sz w:val="26"/>
        </w:rPr>
        <w:t>Over the years, criteria have emerged from judicial pronouncements of this Court on whether a collective of individuals qualifies as a ‘religious denomination’.</w:t>
      </w:r>
      <w:r>
        <w:rPr>
          <w:spacing w:val="-19"/>
          <w:sz w:val="26"/>
        </w:rPr>
        <w:t xml:space="preserve"> </w:t>
      </w:r>
      <w:r>
        <w:rPr>
          <w:sz w:val="26"/>
        </w:rPr>
        <w:t>In</w:t>
      </w:r>
      <w:r>
        <w:rPr>
          <w:spacing w:val="-17"/>
          <w:sz w:val="26"/>
        </w:rPr>
        <w:t xml:space="preserve"> </w:t>
      </w:r>
      <w:r>
        <w:rPr>
          <w:sz w:val="26"/>
        </w:rPr>
        <w:t>making</w:t>
      </w:r>
      <w:r>
        <w:rPr>
          <w:spacing w:val="-19"/>
          <w:sz w:val="26"/>
        </w:rPr>
        <w:t xml:space="preserve"> </w:t>
      </w:r>
      <w:r>
        <w:rPr>
          <w:sz w:val="26"/>
        </w:rPr>
        <w:t>the</w:t>
      </w:r>
      <w:r>
        <w:rPr>
          <w:spacing w:val="-19"/>
          <w:sz w:val="26"/>
        </w:rPr>
        <w:t xml:space="preserve"> </w:t>
      </w:r>
      <w:r>
        <w:rPr>
          <w:sz w:val="26"/>
        </w:rPr>
        <w:t>determination,</w:t>
      </w:r>
      <w:r>
        <w:rPr>
          <w:spacing w:val="-19"/>
          <w:sz w:val="26"/>
        </w:rPr>
        <w:t xml:space="preserve"> </w:t>
      </w:r>
      <w:r>
        <w:rPr>
          <w:sz w:val="26"/>
        </w:rPr>
        <w:t>benches</w:t>
      </w:r>
      <w:r>
        <w:rPr>
          <w:spacing w:val="-17"/>
          <w:sz w:val="26"/>
        </w:rPr>
        <w:t xml:space="preserve"> </w:t>
      </w:r>
      <w:r>
        <w:rPr>
          <w:sz w:val="26"/>
        </w:rPr>
        <w:t>of</w:t>
      </w:r>
      <w:r>
        <w:rPr>
          <w:spacing w:val="-19"/>
          <w:sz w:val="26"/>
        </w:rPr>
        <w:t xml:space="preserve"> </w:t>
      </w:r>
      <w:r>
        <w:rPr>
          <w:sz w:val="26"/>
        </w:rPr>
        <w:t>this</w:t>
      </w:r>
      <w:r>
        <w:rPr>
          <w:spacing w:val="-17"/>
          <w:sz w:val="26"/>
        </w:rPr>
        <w:t xml:space="preserve"> </w:t>
      </w:r>
      <w:r>
        <w:rPr>
          <w:sz w:val="26"/>
        </w:rPr>
        <w:t>Court</w:t>
      </w:r>
      <w:r>
        <w:rPr>
          <w:spacing w:val="-18"/>
          <w:sz w:val="26"/>
        </w:rPr>
        <w:t xml:space="preserve"> </w:t>
      </w:r>
      <w:r>
        <w:rPr>
          <w:sz w:val="26"/>
        </w:rPr>
        <w:t>have</w:t>
      </w:r>
      <w:r>
        <w:rPr>
          <w:spacing w:val="-19"/>
          <w:sz w:val="26"/>
        </w:rPr>
        <w:t xml:space="preserve"> </w:t>
      </w:r>
      <w:r>
        <w:rPr>
          <w:sz w:val="26"/>
        </w:rPr>
        <w:t xml:space="preserve">referred to the history and </w:t>
      </w:r>
      <w:r>
        <w:rPr>
          <w:sz w:val="26"/>
        </w:rPr>
        <w:t>organisation of the collective seeking denominational</w:t>
      </w:r>
      <w:r>
        <w:rPr>
          <w:spacing w:val="-50"/>
          <w:sz w:val="26"/>
        </w:rPr>
        <w:t xml:space="preserve"> </w:t>
      </w:r>
      <w:r>
        <w:rPr>
          <w:sz w:val="26"/>
        </w:rPr>
        <w:t>status.</w:t>
      </w:r>
    </w:p>
    <w:p w:rsidR="003B2FC0" w:rsidRDefault="003B2FC0">
      <w:pPr>
        <w:rPr>
          <w:sz w:val="28"/>
        </w:rPr>
      </w:pPr>
    </w:p>
    <w:p w:rsidR="003B2FC0" w:rsidRDefault="003B2FC0">
      <w:pPr>
        <w:spacing w:before="5"/>
        <w:rPr>
          <w:sz w:val="41"/>
        </w:rPr>
      </w:pPr>
    </w:p>
    <w:p w:rsidR="003B2FC0" w:rsidRDefault="00052A49">
      <w:pPr>
        <w:pStyle w:val="ListParagraph"/>
        <w:numPr>
          <w:ilvl w:val="0"/>
          <w:numId w:val="39"/>
        </w:numPr>
        <w:tabs>
          <w:tab w:val="left" w:pos="1121"/>
        </w:tabs>
        <w:spacing w:line="480" w:lineRule="auto"/>
        <w:ind w:right="369" w:firstLine="0"/>
        <w:jc w:val="both"/>
        <w:rPr>
          <w:sz w:val="26"/>
        </w:rPr>
      </w:pPr>
      <w:r>
        <w:rPr>
          <w:b/>
          <w:sz w:val="26"/>
        </w:rPr>
        <w:t xml:space="preserve">Shirur Mutt </w:t>
      </w:r>
      <w:r>
        <w:rPr>
          <w:sz w:val="26"/>
        </w:rPr>
        <w:t>dealt with the status of one of the eight Maths founded by Shri Madhavacharya, an exponent of dualist theism in Hindu religion. Justice B K Mukherjea undertook an enquiry into the precise meaning of the expression “religious denomination” and whether a “Ma</w:t>
      </w:r>
      <w:r>
        <w:rPr>
          <w:sz w:val="26"/>
        </w:rPr>
        <w:t>th” is covered by the</w:t>
      </w:r>
      <w:r>
        <w:rPr>
          <w:spacing w:val="-27"/>
          <w:sz w:val="26"/>
        </w:rPr>
        <w:t xml:space="preserve"> </w:t>
      </w:r>
      <w:r>
        <w:rPr>
          <w:sz w:val="26"/>
        </w:rPr>
        <w:t>expression:</w:t>
      </w:r>
    </w:p>
    <w:p w:rsidR="003B2FC0" w:rsidRDefault="00052A49">
      <w:pPr>
        <w:spacing w:before="197" w:line="276" w:lineRule="auto"/>
        <w:ind w:left="1840" w:right="2256"/>
        <w:jc w:val="both"/>
        <w:rPr>
          <w:sz w:val="21"/>
        </w:rPr>
      </w:pPr>
      <w:r>
        <w:rPr>
          <w:sz w:val="21"/>
        </w:rPr>
        <w:t>“15…</w:t>
      </w:r>
      <w:r>
        <w:rPr>
          <w:spacing w:val="-10"/>
          <w:sz w:val="21"/>
        </w:rPr>
        <w:t xml:space="preserve"> </w:t>
      </w:r>
      <w:r>
        <w:rPr>
          <w:sz w:val="21"/>
        </w:rPr>
        <w:t>The</w:t>
      </w:r>
      <w:r>
        <w:rPr>
          <w:spacing w:val="-9"/>
          <w:sz w:val="21"/>
        </w:rPr>
        <w:t xml:space="preserve"> </w:t>
      </w:r>
      <w:r>
        <w:rPr>
          <w:sz w:val="21"/>
        </w:rPr>
        <w:t>word</w:t>
      </w:r>
      <w:r>
        <w:rPr>
          <w:spacing w:val="-9"/>
          <w:sz w:val="21"/>
        </w:rPr>
        <w:t xml:space="preserve"> </w:t>
      </w:r>
      <w:r>
        <w:rPr>
          <w:sz w:val="21"/>
        </w:rPr>
        <w:t>“denomination”</w:t>
      </w:r>
      <w:r>
        <w:rPr>
          <w:spacing w:val="-10"/>
          <w:sz w:val="21"/>
        </w:rPr>
        <w:t xml:space="preserve"> </w:t>
      </w:r>
      <w:r>
        <w:rPr>
          <w:sz w:val="21"/>
        </w:rPr>
        <w:t>has</w:t>
      </w:r>
      <w:r>
        <w:rPr>
          <w:spacing w:val="-10"/>
          <w:sz w:val="21"/>
        </w:rPr>
        <w:t xml:space="preserve"> </w:t>
      </w:r>
      <w:r>
        <w:rPr>
          <w:sz w:val="21"/>
        </w:rPr>
        <w:t>been</w:t>
      </w:r>
      <w:r>
        <w:rPr>
          <w:spacing w:val="-8"/>
          <w:sz w:val="21"/>
        </w:rPr>
        <w:t xml:space="preserve"> </w:t>
      </w:r>
      <w:r>
        <w:rPr>
          <w:sz w:val="21"/>
        </w:rPr>
        <w:t>defined</w:t>
      </w:r>
      <w:r>
        <w:rPr>
          <w:spacing w:val="-9"/>
          <w:sz w:val="21"/>
        </w:rPr>
        <w:t xml:space="preserve"> </w:t>
      </w:r>
      <w:r>
        <w:rPr>
          <w:sz w:val="21"/>
        </w:rPr>
        <w:t>in</w:t>
      </w:r>
      <w:r>
        <w:rPr>
          <w:spacing w:val="-9"/>
          <w:sz w:val="21"/>
        </w:rPr>
        <w:t xml:space="preserve"> </w:t>
      </w:r>
      <w:r>
        <w:rPr>
          <w:sz w:val="21"/>
        </w:rPr>
        <w:t>the</w:t>
      </w:r>
      <w:r>
        <w:rPr>
          <w:spacing w:val="-6"/>
          <w:sz w:val="21"/>
        </w:rPr>
        <w:t xml:space="preserve"> </w:t>
      </w:r>
      <w:r>
        <w:rPr>
          <w:sz w:val="21"/>
        </w:rPr>
        <w:t>Oxford Dictionary</w:t>
      </w:r>
      <w:r>
        <w:rPr>
          <w:spacing w:val="-8"/>
          <w:sz w:val="21"/>
        </w:rPr>
        <w:t xml:space="preserve"> </w:t>
      </w:r>
      <w:r>
        <w:rPr>
          <w:sz w:val="21"/>
        </w:rPr>
        <w:t>to</w:t>
      </w:r>
      <w:r>
        <w:rPr>
          <w:spacing w:val="-7"/>
          <w:sz w:val="21"/>
        </w:rPr>
        <w:t xml:space="preserve"> </w:t>
      </w:r>
      <w:r>
        <w:rPr>
          <w:sz w:val="21"/>
        </w:rPr>
        <w:t>mean</w:t>
      </w:r>
      <w:r>
        <w:rPr>
          <w:spacing w:val="-5"/>
          <w:sz w:val="21"/>
        </w:rPr>
        <w:t xml:space="preserve"> </w:t>
      </w:r>
      <w:r>
        <w:rPr>
          <w:sz w:val="21"/>
        </w:rPr>
        <w:t>“a</w:t>
      </w:r>
      <w:r>
        <w:rPr>
          <w:spacing w:val="-7"/>
          <w:sz w:val="21"/>
        </w:rPr>
        <w:t xml:space="preserve"> </w:t>
      </w:r>
      <w:r>
        <w:rPr>
          <w:sz w:val="21"/>
        </w:rPr>
        <w:t>collection</w:t>
      </w:r>
      <w:r>
        <w:rPr>
          <w:spacing w:val="-5"/>
          <w:sz w:val="21"/>
        </w:rPr>
        <w:t xml:space="preserve"> </w:t>
      </w:r>
      <w:r>
        <w:rPr>
          <w:sz w:val="21"/>
        </w:rPr>
        <w:t>of</w:t>
      </w:r>
      <w:r>
        <w:rPr>
          <w:spacing w:val="-6"/>
          <w:sz w:val="21"/>
        </w:rPr>
        <w:t xml:space="preserve"> </w:t>
      </w:r>
      <w:r>
        <w:rPr>
          <w:sz w:val="21"/>
        </w:rPr>
        <w:t>individuals</w:t>
      </w:r>
      <w:r>
        <w:rPr>
          <w:spacing w:val="-6"/>
          <w:sz w:val="21"/>
        </w:rPr>
        <w:t xml:space="preserve"> </w:t>
      </w:r>
      <w:r>
        <w:rPr>
          <w:sz w:val="21"/>
        </w:rPr>
        <w:t>classed</w:t>
      </w:r>
      <w:r>
        <w:rPr>
          <w:spacing w:val="-6"/>
          <w:sz w:val="21"/>
        </w:rPr>
        <w:t xml:space="preserve"> </w:t>
      </w:r>
      <w:r>
        <w:rPr>
          <w:sz w:val="21"/>
        </w:rPr>
        <w:t>together under the same name: a religious sect or body having a common faith and organisation and designated by a</w:t>
      </w:r>
      <w:r>
        <w:rPr>
          <w:spacing w:val="-37"/>
          <w:sz w:val="21"/>
        </w:rPr>
        <w:t xml:space="preserve"> </w:t>
      </w:r>
      <w:r>
        <w:rPr>
          <w:sz w:val="21"/>
        </w:rPr>
        <w:t>distinctive name”.</w:t>
      </w:r>
    </w:p>
    <w:p w:rsidR="003B2FC0" w:rsidRDefault="003B2FC0">
      <w:pPr>
        <w:rPr>
          <w:sz w:val="24"/>
        </w:rPr>
      </w:pPr>
    </w:p>
    <w:p w:rsidR="003B2FC0" w:rsidRDefault="00052A49">
      <w:pPr>
        <w:spacing w:before="176" w:line="480" w:lineRule="auto"/>
        <w:ind w:left="400" w:right="463"/>
        <w:jc w:val="both"/>
        <w:rPr>
          <w:sz w:val="26"/>
        </w:rPr>
      </w:pPr>
      <w:r>
        <w:rPr>
          <w:sz w:val="26"/>
        </w:rPr>
        <w:t xml:space="preserve">A three fold test emerges from the above observations: (i) the existence of a </w:t>
      </w:r>
      <w:r>
        <w:rPr>
          <w:b/>
          <w:sz w:val="26"/>
        </w:rPr>
        <w:t xml:space="preserve">religious </w:t>
      </w:r>
      <w:r>
        <w:rPr>
          <w:sz w:val="26"/>
        </w:rPr>
        <w:t xml:space="preserve">sect or body; (ii) a common faith </w:t>
      </w:r>
      <w:r>
        <w:rPr>
          <w:sz w:val="26"/>
        </w:rPr>
        <w:t>shared by those who belong to the religious sect and a common spiritual organisation; and (iii) the existence of a distinctive name.</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65"/>
        <w:jc w:val="both"/>
        <w:rPr>
          <w:sz w:val="26"/>
        </w:rPr>
      </w:pPr>
      <w:r>
        <w:rPr>
          <w:sz w:val="26"/>
        </w:rPr>
        <w:t>The Court held that the “spiritual fraternity” represented by followers of Shri Madhavacharya, constitut</w:t>
      </w:r>
      <w:r>
        <w:rPr>
          <w:sz w:val="26"/>
        </w:rPr>
        <w:t>e a religious denomination:</w:t>
      </w:r>
    </w:p>
    <w:p w:rsidR="003B2FC0" w:rsidRDefault="00052A49">
      <w:pPr>
        <w:spacing w:line="276" w:lineRule="auto"/>
        <w:ind w:left="1840" w:right="2256"/>
        <w:jc w:val="both"/>
        <w:rPr>
          <w:sz w:val="21"/>
        </w:rPr>
      </w:pPr>
      <w:r>
        <w:rPr>
          <w:sz w:val="21"/>
        </w:rPr>
        <w:t xml:space="preserve">“15.It is well known that the practice of setting up Maths as centres of theological teaching was started by Shri Sankaracharya and was followed by various teachers since then. After Sankara, came a galaxy of religious teachers </w:t>
      </w:r>
      <w:r>
        <w:rPr>
          <w:sz w:val="21"/>
        </w:rPr>
        <w:t>and philosophers who founded the different sects and sub-sects of the</w:t>
      </w:r>
      <w:r>
        <w:rPr>
          <w:spacing w:val="-8"/>
          <w:sz w:val="21"/>
        </w:rPr>
        <w:t xml:space="preserve"> </w:t>
      </w:r>
      <w:r>
        <w:rPr>
          <w:sz w:val="21"/>
        </w:rPr>
        <w:t>Hindu</w:t>
      </w:r>
      <w:r>
        <w:rPr>
          <w:spacing w:val="-8"/>
          <w:sz w:val="21"/>
        </w:rPr>
        <w:t xml:space="preserve"> </w:t>
      </w:r>
      <w:r>
        <w:rPr>
          <w:sz w:val="21"/>
        </w:rPr>
        <w:t>religion</w:t>
      </w:r>
      <w:r>
        <w:rPr>
          <w:spacing w:val="-7"/>
          <w:sz w:val="21"/>
        </w:rPr>
        <w:t xml:space="preserve"> </w:t>
      </w:r>
      <w:r>
        <w:rPr>
          <w:sz w:val="21"/>
        </w:rPr>
        <w:t>that</w:t>
      </w:r>
      <w:r>
        <w:rPr>
          <w:spacing w:val="-9"/>
          <w:sz w:val="21"/>
        </w:rPr>
        <w:t xml:space="preserve"> </w:t>
      </w:r>
      <w:r>
        <w:rPr>
          <w:sz w:val="21"/>
        </w:rPr>
        <w:t>we</w:t>
      </w:r>
      <w:r>
        <w:rPr>
          <w:spacing w:val="-8"/>
          <w:sz w:val="21"/>
        </w:rPr>
        <w:t xml:space="preserve"> </w:t>
      </w:r>
      <w:r>
        <w:rPr>
          <w:sz w:val="21"/>
        </w:rPr>
        <w:t>find</w:t>
      </w:r>
      <w:r>
        <w:rPr>
          <w:spacing w:val="-7"/>
          <w:sz w:val="21"/>
        </w:rPr>
        <w:t xml:space="preserve"> </w:t>
      </w:r>
      <w:r>
        <w:rPr>
          <w:sz w:val="21"/>
        </w:rPr>
        <w:t>in</w:t>
      </w:r>
      <w:r>
        <w:rPr>
          <w:spacing w:val="-8"/>
          <w:sz w:val="21"/>
        </w:rPr>
        <w:t xml:space="preserve"> </w:t>
      </w:r>
      <w:r>
        <w:rPr>
          <w:sz w:val="21"/>
        </w:rPr>
        <w:t>India</w:t>
      </w:r>
      <w:r>
        <w:rPr>
          <w:spacing w:val="-8"/>
          <w:sz w:val="21"/>
        </w:rPr>
        <w:t xml:space="preserve"> </w:t>
      </w:r>
      <w:r>
        <w:rPr>
          <w:sz w:val="21"/>
        </w:rPr>
        <w:t>at</w:t>
      </w:r>
      <w:r>
        <w:rPr>
          <w:spacing w:val="-8"/>
          <w:sz w:val="21"/>
        </w:rPr>
        <w:t xml:space="preserve"> </w:t>
      </w:r>
      <w:r>
        <w:rPr>
          <w:sz w:val="21"/>
        </w:rPr>
        <w:t>the</w:t>
      </w:r>
      <w:r>
        <w:rPr>
          <w:spacing w:val="-8"/>
          <w:sz w:val="21"/>
        </w:rPr>
        <w:t xml:space="preserve"> </w:t>
      </w:r>
      <w:r>
        <w:rPr>
          <w:sz w:val="21"/>
        </w:rPr>
        <w:t>present</w:t>
      </w:r>
      <w:r>
        <w:rPr>
          <w:spacing w:val="-8"/>
          <w:sz w:val="21"/>
        </w:rPr>
        <w:t xml:space="preserve"> </w:t>
      </w:r>
      <w:r>
        <w:rPr>
          <w:sz w:val="21"/>
        </w:rPr>
        <w:t>day.</w:t>
      </w:r>
      <w:r>
        <w:rPr>
          <w:spacing w:val="-6"/>
          <w:sz w:val="21"/>
        </w:rPr>
        <w:t xml:space="preserve"> </w:t>
      </w:r>
      <w:r>
        <w:rPr>
          <w:b/>
          <w:sz w:val="21"/>
        </w:rPr>
        <w:t>Each one of such sects or sub-sects can certainly be called a religious</w:t>
      </w:r>
      <w:r>
        <w:rPr>
          <w:b/>
          <w:spacing w:val="-8"/>
          <w:sz w:val="21"/>
        </w:rPr>
        <w:t xml:space="preserve"> </w:t>
      </w:r>
      <w:r>
        <w:rPr>
          <w:b/>
          <w:sz w:val="21"/>
        </w:rPr>
        <w:t>denomination,</w:t>
      </w:r>
      <w:r>
        <w:rPr>
          <w:b/>
          <w:spacing w:val="-9"/>
          <w:sz w:val="21"/>
        </w:rPr>
        <w:t xml:space="preserve"> </w:t>
      </w:r>
      <w:r>
        <w:rPr>
          <w:b/>
          <w:sz w:val="21"/>
        </w:rPr>
        <w:t>as</w:t>
      </w:r>
      <w:r>
        <w:rPr>
          <w:b/>
          <w:spacing w:val="-6"/>
          <w:sz w:val="21"/>
        </w:rPr>
        <w:t xml:space="preserve"> </w:t>
      </w:r>
      <w:r>
        <w:rPr>
          <w:b/>
          <w:sz w:val="21"/>
        </w:rPr>
        <w:t>it</w:t>
      </w:r>
      <w:r>
        <w:rPr>
          <w:b/>
          <w:spacing w:val="-7"/>
          <w:sz w:val="21"/>
        </w:rPr>
        <w:t xml:space="preserve"> </w:t>
      </w:r>
      <w:r>
        <w:rPr>
          <w:b/>
          <w:sz w:val="21"/>
        </w:rPr>
        <w:t>is</w:t>
      </w:r>
      <w:r>
        <w:rPr>
          <w:b/>
          <w:spacing w:val="-5"/>
          <w:sz w:val="21"/>
        </w:rPr>
        <w:t xml:space="preserve"> </w:t>
      </w:r>
      <w:r>
        <w:rPr>
          <w:b/>
          <w:sz w:val="21"/>
        </w:rPr>
        <w:t>designated</w:t>
      </w:r>
      <w:r>
        <w:rPr>
          <w:b/>
          <w:spacing w:val="-8"/>
          <w:sz w:val="21"/>
        </w:rPr>
        <w:t xml:space="preserve"> </w:t>
      </w:r>
      <w:r>
        <w:rPr>
          <w:b/>
          <w:sz w:val="21"/>
        </w:rPr>
        <w:t>by</w:t>
      </w:r>
      <w:r>
        <w:rPr>
          <w:b/>
          <w:spacing w:val="-10"/>
          <w:sz w:val="21"/>
        </w:rPr>
        <w:t xml:space="preserve"> </w:t>
      </w:r>
      <w:r>
        <w:rPr>
          <w:b/>
          <w:sz w:val="21"/>
        </w:rPr>
        <w:t>a</w:t>
      </w:r>
      <w:r>
        <w:rPr>
          <w:b/>
          <w:spacing w:val="-4"/>
          <w:sz w:val="21"/>
        </w:rPr>
        <w:t xml:space="preserve"> </w:t>
      </w:r>
      <w:r>
        <w:rPr>
          <w:b/>
          <w:sz w:val="21"/>
        </w:rPr>
        <w:t xml:space="preserve">distinctive name, </w:t>
      </w:r>
      <w:r>
        <w:rPr>
          <w:b/>
          <w:sz w:val="21"/>
        </w:rPr>
        <w:t>— in many cases it is the name of the founder, — and has a common faith and common spiritual organisation</w:t>
      </w:r>
      <w:r>
        <w:rPr>
          <w:sz w:val="21"/>
        </w:rPr>
        <w:t>. The followers of Ramanuja, who are known by the name of Shri Vaishnabas, undoubtedly constitute a religious denomination; and so do the followers of Madhwacharya and other religious teachers. It is a fact well established by tradition that the eight Udip</w:t>
      </w:r>
      <w:r>
        <w:rPr>
          <w:sz w:val="21"/>
        </w:rPr>
        <w:t>i Maths were founded by Madhwacharya himself and the trustees and the beneficiaries of these Maths profess to be followers of that teacher...”</w:t>
      </w:r>
    </w:p>
    <w:p w:rsidR="003B2FC0" w:rsidRDefault="00052A49">
      <w:pPr>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84" w:line="480" w:lineRule="auto"/>
        <w:ind w:right="437" w:firstLine="0"/>
        <w:jc w:val="both"/>
        <w:rPr>
          <w:sz w:val="26"/>
        </w:rPr>
      </w:pPr>
      <w:r>
        <w:rPr>
          <w:sz w:val="26"/>
        </w:rPr>
        <w:t xml:space="preserve">In </w:t>
      </w:r>
      <w:r>
        <w:rPr>
          <w:b/>
          <w:sz w:val="26"/>
        </w:rPr>
        <w:t>Devaru</w:t>
      </w:r>
      <w:r>
        <w:rPr>
          <w:sz w:val="26"/>
        </w:rPr>
        <w:t>, Justice Venkatarama Aiyyar considered whether the Gowda Saraswath Brahmins, asso</w:t>
      </w:r>
      <w:r>
        <w:rPr>
          <w:sz w:val="26"/>
        </w:rPr>
        <w:t>ciated with the Sri Venkataramana Temple, can be regarded</w:t>
      </w:r>
      <w:r>
        <w:rPr>
          <w:spacing w:val="-15"/>
          <w:sz w:val="26"/>
        </w:rPr>
        <w:t xml:space="preserve"> </w:t>
      </w:r>
      <w:r>
        <w:rPr>
          <w:sz w:val="26"/>
        </w:rPr>
        <w:t>as</w:t>
      </w:r>
      <w:r>
        <w:rPr>
          <w:spacing w:val="-14"/>
          <w:sz w:val="26"/>
        </w:rPr>
        <w:t xml:space="preserve"> </w:t>
      </w:r>
      <w:r>
        <w:rPr>
          <w:sz w:val="26"/>
        </w:rPr>
        <w:t>a</w:t>
      </w:r>
      <w:r>
        <w:rPr>
          <w:spacing w:val="-2"/>
          <w:sz w:val="26"/>
        </w:rPr>
        <w:t xml:space="preserve"> </w:t>
      </w:r>
      <w:r>
        <w:rPr>
          <w:sz w:val="26"/>
        </w:rPr>
        <w:t>religious</w:t>
      </w:r>
      <w:r>
        <w:rPr>
          <w:spacing w:val="-14"/>
          <w:sz w:val="26"/>
        </w:rPr>
        <w:t xml:space="preserve"> </w:t>
      </w:r>
      <w:r>
        <w:rPr>
          <w:sz w:val="26"/>
        </w:rPr>
        <w:t>denomination.</w:t>
      </w:r>
      <w:r>
        <w:rPr>
          <w:spacing w:val="-14"/>
          <w:sz w:val="26"/>
        </w:rPr>
        <w:t xml:space="preserve"> </w:t>
      </w:r>
      <w:r>
        <w:rPr>
          <w:sz w:val="26"/>
        </w:rPr>
        <w:t>In</w:t>
      </w:r>
      <w:r>
        <w:rPr>
          <w:spacing w:val="-14"/>
          <w:sz w:val="26"/>
        </w:rPr>
        <w:t xml:space="preserve"> </w:t>
      </w:r>
      <w:r>
        <w:rPr>
          <w:sz w:val="26"/>
        </w:rPr>
        <w:t>doing</w:t>
      </w:r>
      <w:r>
        <w:rPr>
          <w:spacing w:val="-14"/>
          <w:sz w:val="26"/>
        </w:rPr>
        <w:t xml:space="preserve"> </w:t>
      </w:r>
      <w:r>
        <w:rPr>
          <w:sz w:val="26"/>
        </w:rPr>
        <w:t>so,</w:t>
      </w:r>
      <w:r>
        <w:rPr>
          <w:spacing w:val="-14"/>
          <w:sz w:val="26"/>
        </w:rPr>
        <w:t xml:space="preserve"> </w:t>
      </w:r>
      <w:r>
        <w:rPr>
          <w:sz w:val="26"/>
        </w:rPr>
        <w:t>the</w:t>
      </w:r>
      <w:r>
        <w:rPr>
          <w:spacing w:val="-14"/>
          <w:sz w:val="26"/>
        </w:rPr>
        <w:t xml:space="preserve"> </w:t>
      </w:r>
      <w:r>
        <w:rPr>
          <w:sz w:val="26"/>
        </w:rPr>
        <w:t>Court</w:t>
      </w:r>
      <w:r>
        <w:rPr>
          <w:spacing w:val="-14"/>
          <w:sz w:val="26"/>
        </w:rPr>
        <w:t xml:space="preserve"> </w:t>
      </w:r>
      <w:r>
        <w:rPr>
          <w:sz w:val="26"/>
        </w:rPr>
        <w:t>undertook</w:t>
      </w:r>
      <w:r>
        <w:rPr>
          <w:spacing w:val="-14"/>
          <w:sz w:val="26"/>
        </w:rPr>
        <w:t xml:space="preserve"> </w:t>
      </w:r>
      <w:r>
        <w:rPr>
          <w:sz w:val="26"/>
        </w:rPr>
        <w:t>a</w:t>
      </w:r>
      <w:r>
        <w:rPr>
          <w:spacing w:val="-14"/>
          <w:sz w:val="26"/>
        </w:rPr>
        <w:t xml:space="preserve"> </w:t>
      </w:r>
      <w:r>
        <w:rPr>
          <w:sz w:val="26"/>
        </w:rPr>
        <w:t>factual enquiry:</w:t>
      </w:r>
    </w:p>
    <w:p w:rsidR="003B2FC0" w:rsidRDefault="00052A49">
      <w:pPr>
        <w:spacing w:before="199" w:line="276" w:lineRule="auto"/>
        <w:ind w:left="1840" w:right="2256"/>
        <w:jc w:val="both"/>
        <w:rPr>
          <w:sz w:val="21"/>
        </w:rPr>
      </w:pPr>
      <w:r>
        <w:rPr>
          <w:sz w:val="21"/>
        </w:rPr>
        <w:t>“14…Now, the facts found are that the members of this community migrated from Gowda Desa first to the Goa region and then to the south, that they carried with them their idols, and that when they were first settled in Moolky, a temple was founded and these</w:t>
      </w:r>
      <w:r>
        <w:rPr>
          <w:sz w:val="21"/>
        </w:rPr>
        <w:t xml:space="preserve"> idols were installed therein. </w:t>
      </w:r>
      <w:r>
        <w:rPr>
          <w:b/>
          <w:sz w:val="21"/>
        </w:rPr>
        <w:t>We are therefore concerned with the Gowda Saraswath Brahmins not as a section of a community but as a sect associated with the foundation and maintenance of the Sri Venkataramana Temple, in other words, not as a mere denomina</w:t>
      </w:r>
      <w:r>
        <w:rPr>
          <w:b/>
          <w:sz w:val="21"/>
        </w:rPr>
        <w:t>tion, but as a religious denomination</w:t>
      </w:r>
      <w:r>
        <w:rPr>
          <w:sz w:val="21"/>
        </w:rPr>
        <w:t>. From the evidence of PW 1, it appears that the Gowda Saraswath Brahmins have three Gurus, that those in Moolky Petah are followers of the head of the Kashi Mutt, and that it is he that performs some of the important c</w:t>
      </w:r>
      <w:r>
        <w:rPr>
          <w:sz w:val="21"/>
        </w:rPr>
        <w:t>eremonies in the temple. Exhibit A is a document of the year 1826-27. That shows that</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57"/>
        <w:jc w:val="both"/>
        <w:rPr>
          <w:sz w:val="21"/>
        </w:rPr>
      </w:pPr>
      <w:r>
        <w:rPr>
          <w:sz w:val="21"/>
        </w:rPr>
        <w:t>the head of the Kashi Mutt settled the disputes among the Archakas,</w:t>
      </w:r>
      <w:r>
        <w:rPr>
          <w:spacing w:val="-11"/>
          <w:sz w:val="21"/>
        </w:rPr>
        <w:t xml:space="preserve"> </w:t>
      </w:r>
      <w:r>
        <w:rPr>
          <w:sz w:val="21"/>
        </w:rPr>
        <w:t>and</w:t>
      </w:r>
      <w:r>
        <w:rPr>
          <w:spacing w:val="-9"/>
          <w:sz w:val="21"/>
        </w:rPr>
        <w:t xml:space="preserve"> </w:t>
      </w:r>
      <w:r>
        <w:rPr>
          <w:sz w:val="21"/>
        </w:rPr>
        <w:t>that</w:t>
      </w:r>
      <w:r>
        <w:rPr>
          <w:spacing w:val="-10"/>
          <w:sz w:val="21"/>
        </w:rPr>
        <w:t xml:space="preserve"> </w:t>
      </w:r>
      <w:r>
        <w:rPr>
          <w:sz w:val="21"/>
        </w:rPr>
        <w:t>they</w:t>
      </w:r>
      <w:r>
        <w:rPr>
          <w:spacing w:val="-12"/>
          <w:sz w:val="21"/>
        </w:rPr>
        <w:t xml:space="preserve"> </w:t>
      </w:r>
      <w:r>
        <w:rPr>
          <w:sz w:val="21"/>
        </w:rPr>
        <w:t>agreed</w:t>
      </w:r>
      <w:r>
        <w:rPr>
          <w:spacing w:val="-9"/>
          <w:sz w:val="21"/>
        </w:rPr>
        <w:t xml:space="preserve"> </w:t>
      </w:r>
      <w:r>
        <w:rPr>
          <w:sz w:val="21"/>
        </w:rPr>
        <w:t>to</w:t>
      </w:r>
      <w:r>
        <w:rPr>
          <w:spacing w:val="-10"/>
          <w:sz w:val="21"/>
        </w:rPr>
        <w:t xml:space="preserve"> </w:t>
      </w:r>
      <w:r>
        <w:rPr>
          <w:sz w:val="21"/>
        </w:rPr>
        <w:t>do</w:t>
      </w:r>
      <w:r>
        <w:rPr>
          <w:spacing w:val="-9"/>
          <w:sz w:val="21"/>
        </w:rPr>
        <w:t xml:space="preserve"> </w:t>
      </w:r>
      <w:r>
        <w:rPr>
          <w:sz w:val="21"/>
        </w:rPr>
        <w:t>the</w:t>
      </w:r>
      <w:r>
        <w:rPr>
          <w:spacing w:val="-8"/>
          <w:sz w:val="21"/>
        </w:rPr>
        <w:t xml:space="preserve"> </w:t>
      </w:r>
      <w:r>
        <w:rPr>
          <w:sz w:val="21"/>
        </w:rPr>
        <w:t>puja</w:t>
      </w:r>
      <w:r>
        <w:rPr>
          <w:spacing w:val="-10"/>
          <w:sz w:val="21"/>
        </w:rPr>
        <w:t xml:space="preserve"> </w:t>
      </w:r>
      <w:r>
        <w:rPr>
          <w:sz w:val="21"/>
        </w:rPr>
        <w:t>under</w:t>
      </w:r>
      <w:r>
        <w:rPr>
          <w:spacing w:val="-12"/>
          <w:sz w:val="21"/>
        </w:rPr>
        <w:t xml:space="preserve"> </w:t>
      </w:r>
      <w:r>
        <w:rPr>
          <w:sz w:val="21"/>
        </w:rPr>
        <w:t>his</w:t>
      </w:r>
      <w:r>
        <w:rPr>
          <w:spacing w:val="-10"/>
          <w:sz w:val="21"/>
        </w:rPr>
        <w:t xml:space="preserve"> </w:t>
      </w:r>
      <w:r>
        <w:rPr>
          <w:sz w:val="21"/>
        </w:rPr>
        <w:t xml:space="preserve">orders. </w:t>
      </w:r>
      <w:r>
        <w:rPr>
          <w:b/>
          <w:sz w:val="21"/>
        </w:rPr>
        <w:t>The uncontradicted evidence o</w:t>
      </w:r>
      <w:r>
        <w:rPr>
          <w:b/>
          <w:sz w:val="21"/>
        </w:rPr>
        <w:t>f PW 1 also shows that during certain religious ceremonies, persons other than Gowda Saraswath Brahmins have been wholly excluded. This evidence leads irresistibly to the conclusion that the temple is a denominational one, as contended for by the appellant</w:t>
      </w:r>
      <w:r>
        <w:rPr>
          <w:b/>
          <w:sz w:val="21"/>
        </w:rPr>
        <w:t>s</w:t>
      </w:r>
      <w:r>
        <w:rPr>
          <w:sz w:val="21"/>
        </w:rPr>
        <w:t>.”</w:t>
      </w:r>
    </w:p>
    <w:p w:rsidR="003B2FC0" w:rsidRDefault="00052A49">
      <w:pPr>
        <w:spacing w:before="1"/>
        <w:ind w:left="1840"/>
        <w:rPr>
          <w:sz w:val="21"/>
        </w:rPr>
      </w:pPr>
      <w:r>
        <w:rPr>
          <w:sz w:val="21"/>
        </w:rPr>
        <w:t>(Emphasis supplied)</w:t>
      </w:r>
    </w:p>
    <w:p w:rsidR="003B2FC0" w:rsidRDefault="003B2FC0">
      <w:pPr>
        <w:rPr>
          <w:sz w:val="24"/>
        </w:rPr>
      </w:pPr>
    </w:p>
    <w:p w:rsidR="003B2FC0" w:rsidRDefault="003B2FC0">
      <w:pPr>
        <w:rPr>
          <w:sz w:val="24"/>
        </w:rPr>
      </w:pPr>
    </w:p>
    <w:p w:rsidR="003B2FC0" w:rsidRDefault="003B2FC0">
      <w:pPr>
        <w:rPr>
          <w:sz w:val="29"/>
        </w:rPr>
      </w:pPr>
    </w:p>
    <w:p w:rsidR="003B2FC0" w:rsidRDefault="00052A49">
      <w:pPr>
        <w:spacing w:line="480" w:lineRule="auto"/>
        <w:ind w:left="400" w:right="463"/>
        <w:jc w:val="both"/>
        <w:rPr>
          <w:sz w:val="26"/>
        </w:rPr>
      </w:pPr>
      <w:r>
        <w:rPr>
          <w:sz w:val="26"/>
        </w:rPr>
        <w:t>This</w:t>
      </w:r>
      <w:r>
        <w:rPr>
          <w:spacing w:val="-8"/>
          <w:sz w:val="26"/>
        </w:rPr>
        <w:t xml:space="preserve"> </w:t>
      </w:r>
      <w:r>
        <w:rPr>
          <w:sz w:val="26"/>
        </w:rPr>
        <w:t>was,</w:t>
      </w:r>
      <w:r>
        <w:rPr>
          <w:spacing w:val="-7"/>
          <w:sz w:val="26"/>
        </w:rPr>
        <w:t xml:space="preserve"> </w:t>
      </w:r>
      <w:r>
        <w:rPr>
          <w:sz w:val="26"/>
        </w:rPr>
        <w:t>in</w:t>
      </w:r>
      <w:r>
        <w:rPr>
          <w:spacing w:val="-7"/>
          <w:sz w:val="26"/>
        </w:rPr>
        <w:t xml:space="preserve"> </w:t>
      </w:r>
      <w:r>
        <w:rPr>
          <w:sz w:val="26"/>
        </w:rPr>
        <w:t>other</w:t>
      </w:r>
      <w:r>
        <w:rPr>
          <w:spacing w:val="-4"/>
          <w:sz w:val="26"/>
        </w:rPr>
        <w:t xml:space="preserve"> </w:t>
      </w:r>
      <w:r>
        <w:rPr>
          <w:sz w:val="26"/>
        </w:rPr>
        <w:t>words,</w:t>
      </w:r>
      <w:r>
        <w:rPr>
          <w:spacing w:val="-7"/>
          <w:sz w:val="26"/>
        </w:rPr>
        <w:t xml:space="preserve"> </w:t>
      </w:r>
      <w:r>
        <w:rPr>
          <w:sz w:val="26"/>
        </w:rPr>
        <w:t>not</w:t>
      </w:r>
      <w:r>
        <w:rPr>
          <w:spacing w:val="-7"/>
          <w:sz w:val="26"/>
        </w:rPr>
        <w:t xml:space="preserve"> </w:t>
      </w:r>
      <w:r>
        <w:rPr>
          <w:sz w:val="26"/>
        </w:rPr>
        <w:t>just</w:t>
      </w:r>
      <w:r>
        <w:rPr>
          <w:spacing w:val="-7"/>
          <w:sz w:val="26"/>
        </w:rPr>
        <w:t xml:space="preserve"> </w:t>
      </w:r>
      <w:r>
        <w:rPr>
          <w:sz w:val="26"/>
        </w:rPr>
        <w:t>a</w:t>
      </w:r>
      <w:r>
        <w:rPr>
          <w:spacing w:val="-7"/>
          <w:sz w:val="26"/>
        </w:rPr>
        <w:t xml:space="preserve"> </w:t>
      </w:r>
      <w:r>
        <w:rPr>
          <w:sz w:val="26"/>
        </w:rPr>
        <w:t>sect</w:t>
      </w:r>
      <w:r>
        <w:rPr>
          <w:spacing w:val="-7"/>
          <w:sz w:val="26"/>
        </w:rPr>
        <w:t xml:space="preserve"> </w:t>
      </w:r>
      <w:r>
        <w:rPr>
          <w:sz w:val="26"/>
        </w:rPr>
        <w:t>associated</w:t>
      </w:r>
      <w:r>
        <w:rPr>
          <w:spacing w:val="-7"/>
          <w:sz w:val="26"/>
        </w:rPr>
        <w:t xml:space="preserve"> </w:t>
      </w:r>
      <w:r>
        <w:rPr>
          <w:sz w:val="26"/>
        </w:rPr>
        <w:t>with</w:t>
      </w:r>
      <w:r>
        <w:rPr>
          <w:spacing w:val="-7"/>
          <w:sz w:val="26"/>
        </w:rPr>
        <w:t xml:space="preserve"> </w:t>
      </w:r>
      <w:r>
        <w:rPr>
          <w:sz w:val="26"/>
        </w:rPr>
        <w:t>the</w:t>
      </w:r>
      <w:r>
        <w:rPr>
          <w:spacing w:val="-7"/>
          <w:sz w:val="26"/>
        </w:rPr>
        <w:t xml:space="preserve"> </w:t>
      </w:r>
      <w:r>
        <w:rPr>
          <w:sz w:val="26"/>
        </w:rPr>
        <w:t>community</w:t>
      </w:r>
      <w:r>
        <w:rPr>
          <w:spacing w:val="-9"/>
          <w:sz w:val="26"/>
        </w:rPr>
        <w:t xml:space="preserve"> </w:t>
      </w:r>
      <w:r>
        <w:rPr>
          <w:sz w:val="26"/>
        </w:rPr>
        <w:t>but</w:t>
      </w:r>
      <w:r>
        <w:rPr>
          <w:spacing w:val="-7"/>
          <w:sz w:val="26"/>
        </w:rPr>
        <w:t xml:space="preserve"> </w:t>
      </w:r>
      <w:r>
        <w:rPr>
          <w:sz w:val="26"/>
        </w:rPr>
        <w:t>one associated with the foundation and maintenance of the temple. This was coupled with a spiritual head who was responsible for the performance of religious</w:t>
      </w:r>
      <w:r>
        <w:rPr>
          <w:spacing w:val="2"/>
          <w:sz w:val="26"/>
        </w:rPr>
        <w:t xml:space="preserve"> </w:t>
      </w:r>
      <w:r>
        <w:rPr>
          <w:sz w:val="26"/>
        </w:rPr>
        <w:t>worship.</w:t>
      </w:r>
    </w:p>
    <w:p w:rsidR="003B2FC0" w:rsidRDefault="003B2FC0">
      <w:pPr>
        <w:rPr>
          <w:sz w:val="28"/>
        </w:rPr>
      </w:pPr>
    </w:p>
    <w:p w:rsidR="003B2FC0" w:rsidRDefault="003B2FC0">
      <w:pPr>
        <w:spacing w:before="9"/>
        <w:rPr>
          <w:sz w:val="32"/>
        </w:rPr>
      </w:pPr>
    </w:p>
    <w:p w:rsidR="003B2FC0" w:rsidRDefault="00052A49">
      <w:pPr>
        <w:spacing w:before="1" w:line="480" w:lineRule="auto"/>
        <w:ind w:left="400" w:right="463"/>
        <w:jc w:val="both"/>
        <w:rPr>
          <w:sz w:val="26"/>
        </w:rPr>
      </w:pPr>
      <w:r>
        <w:rPr>
          <w:sz w:val="26"/>
        </w:rPr>
        <w:t>The</w:t>
      </w:r>
      <w:r>
        <w:rPr>
          <w:spacing w:val="-13"/>
          <w:sz w:val="26"/>
        </w:rPr>
        <w:t xml:space="preserve"> </w:t>
      </w:r>
      <w:r>
        <w:rPr>
          <w:sz w:val="26"/>
        </w:rPr>
        <w:t>Court</w:t>
      </w:r>
      <w:r>
        <w:rPr>
          <w:spacing w:val="-12"/>
          <w:sz w:val="26"/>
        </w:rPr>
        <w:t xml:space="preserve"> </w:t>
      </w:r>
      <w:r>
        <w:rPr>
          <w:sz w:val="26"/>
        </w:rPr>
        <w:t>noted</w:t>
      </w:r>
      <w:r>
        <w:rPr>
          <w:spacing w:val="-12"/>
          <w:sz w:val="26"/>
        </w:rPr>
        <w:t xml:space="preserve"> </w:t>
      </w:r>
      <w:r>
        <w:rPr>
          <w:sz w:val="26"/>
        </w:rPr>
        <w:t>that</w:t>
      </w:r>
      <w:r>
        <w:rPr>
          <w:spacing w:val="-10"/>
          <w:sz w:val="26"/>
        </w:rPr>
        <w:t xml:space="preserve"> </w:t>
      </w:r>
      <w:r>
        <w:rPr>
          <w:sz w:val="26"/>
        </w:rPr>
        <w:t>a</w:t>
      </w:r>
      <w:r>
        <w:rPr>
          <w:spacing w:val="-12"/>
          <w:sz w:val="26"/>
        </w:rPr>
        <w:t xml:space="preserve"> </w:t>
      </w:r>
      <w:r>
        <w:rPr>
          <w:sz w:val="26"/>
        </w:rPr>
        <w:t>deed</w:t>
      </w:r>
      <w:r>
        <w:rPr>
          <w:spacing w:val="-12"/>
          <w:sz w:val="26"/>
        </w:rPr>
        <w:t xml:space="preserve"> </w:t>
      </w:r>
      <w:r>
        <w:rPr>
          <w:sz w:val="26"/>
        </w:rPr>
        <w:t>of</w:t>
      </w:r>
      <w:r>
        <w:rPr>
          <w:spacing w:val="-12"/>
          <w:sz w:val="26"/>
        </w:rPr>
        <w:t xml:space="preserve"> </w:t>
      </w:r>
      <w:r>
        <w:rPr>
          <w:sz w:val="26"/>
        </w:rPr>
        <w:t>endowment</w:t>
      </w:r>
      <w:r>
        <w:rPr>
          <w:spacing w:val="-12"/>
          <w:sz w:val="26"/>
        </w:rPr>
        <w:t xml:space="preserve"> </w:t>
      </w:r>
      <w:r>
        <w:rPr>
          <w:sz w:val="26"/>
        </w:rPr>
        <w:t>proved</w:t>
      </w:r>
      <w:r>
        <w:rPr>
          <w:spacing w:val="-12"/>
          <w:sz w:val="26"/>
        </w:rPr>
        <w:t xml:space="preserve"> </w:t>
      </w:r>
      <w:r>
        <w:rPr>
          <w:sz w:val="26"/>
        </w:rPr>
        <w:t>that</w:t>
      </w:r>
      <w:r>
        <w:rPr>
          <w:spacing w:val="-12"/>
          <w:sz w:val="26"/>
        </w:rPr>
        <w:t xml:space="preserve"> </w:t>
      </w:r>
      <w:r>
        <w:rPr>
          <w:sz w:val="26"/>
        </w:rPr>
        <w:t>the</w:t>
      </w:r>
      <w:r>
        <w:rPr>
          <w:spacing w:val="-12"/>
          <w:sz w:val="26"/>
        </w:rPr>
        <w:t xml:space="preserve"> </w:t>
      </w:r>
      <w:r>
        <w:rPr>
          <w:sz w:val="26"/>
        </w:rPr>
        <w:t>temple</w:t>
      </w:r>
      <w:r>
        <w:rPr>
          <w:spacing w:val="-12"/>
          <w:sz w:val="26"/>
        </w:rPr>
        <w:t xml:space="preserve"> </w:t>
      </w:r>
      <w:r>
        <w:rPr>
          <w:sz w:val="26"/>
        </w:rPr>
        <w:t>was</w:t>
      </w:r>
      <w:r>
        <w:rPr>
          <w:spacing w:val="-12"/>
          <w:sz w:val="26"/>
        </w:rPr>
        <w:t xml:space="preserve"> </w:t>
      </w:r>
      <w:r>
        <w:rPr>
          <w:sz w:val="26"/>
        </w:rPr>
        <w:t>founded for the ben</w:t>
      </w:r>
      <w:r>
        <w:rPr>
          <w:sz w:val="26"/>
        </w:rPr>
        <w:t>efit of the Gowda Saraswath community, and concluded that the Sri Venkateshwara Temple qualified as a denominational</w:t>
      </w:r>
      <w:r>
        <w:rPr>
          <w:spacing w:val="-2"/>
          <w:sz w:val="26"/>
        </w:rPr>
        <w:t xml:space="preserve"> </w:t>
      </w:r>
      <w:r>
        <w:rPr>
          <w:sz w:val="26"/>
        </w:rPr>
        <w:t>temple.</w:t>
      </w:r>
    </w:p>
    <w:p w:rsidR="003B2FC0" w:rsidRDefault="00052A49">
      <w:pPr>
        <w:spacing w:before="197" w:line="276" w:lineRule="auto"/>
        <w:ind w:left="1840" w:right="2257"/>
        <w:jc w:val="both"/>
        <w:rPr>
          <w:sz w:val="21"/>
        </w:rPr>
      </w:pPr>
      <w:r>
        <w:rPr>
          <w:sz w:val="21"/>
        </w:rPr>
        <w:t>“15...</w:t>
      </w:r>
      <w:r>
        <w:rPr>
          <w:spacing w:val="-11"/>
          <w:sz w:val="21"/>
        </w:rPr>
        <w:t xml:space="preserve"> </w:t>
      </w:r>
      <w:r>
        <w:rPr>
          <w:sz w:val="21"/>
        </w:rPr>
        <w:t>When</w:t>
      </w:r>
      <w:r>
        <w:rPr>
          <w:spacing w:val="-4"/>
          <w:sz w:val="21"/>
        </w:rPr>
        <w:t xml:space="preserve"> </w:t>
      </w:r>
      <w:r>
        <w:rPr>
          <w:sz w:val="21"/>
        </w:rPr>
        <w:t>there</w:t>
      </w:r>
      <w:r>
        <w:rPr>
          <w:spacing w:val="-5"/>
          <w:sz w:val="21"/>
        </w:rPr>
        <w:t xml:space="preserve"> </w:t>
      </w:r>
      <w:r>
        <w:rPr>
          <w:sz w:val="21"/>
        </w:rPr>
        <w:t>is</w:t>
      </w:r>
      <w:r>
        <w:rPr>
          <w:spacing w:val="-7"/>
          <w:sz w:val="21"/>
        </w:rPr>
        <w:t xml:space="preserve"> </w:t>
      </w:r>
      <w:r>
        <w:rPr>
          <w:sz w:val="21"/>
        </w:rPr>
        <w:t>a</w:t>
      </w:r>
      <w:r>
        <w:rPr>
          <w:spacing w:val="-6"/>
          <w:sz w:val="21"/>
        </w:rPr>
        <w:t xml:space="preserve"> </w:t>
      </w:r>
      <w:r>
        <w:rPr>
          <w:sz w:val="21"/>
        </w:rPr>
        <w:t>question</w:t>
      </w:r>
      <w:r>
        <w:rPr>
          <w:spacing w:val="-7"/>
          <w:sz w:val="21"/>
        </w:rPr>
        <w:t xml:space="preserve"> </w:t>
      </w:r>
      <w:r>
        <w:rPr>
          <w:sz w:val="21"/>
        </w:rPr>
        <w:t>as</w:t>
      </w:r>
      <w:r>
        <w:rPr>
          <w:spacing w:val="-5"/>
          <w:sz w:val="21"/>
        </w:rPr>
        <w:t xml:space="preserve"> </w:t>
      </w:r>
      <w:r>
        <w:rPr>
          <w:sz w:val="21"/>
        </w:rPr>
        <w:t>to</w:t>
      </w:r>
      <w:r>
        <w:rPr>
          <w:spacing w:val="-5"/>
          <w:sz w:val="21"/>
        </w:rPr>
        <w:t xml:space="preserve"> </w:t>
      </w:r>
      <w:r>
        <w:rPr>
          <w:sz w:val="21"/>
        </w:rPr>
        <w:t>the</w:t>
      </w:r>
      <w:r>
        <w:rPr>
          <w:spacing w:val="-5"/>
          <w:sz w:val="21"/>
        </w:rPr>
        <w:t xml:space="preserve"> </w:t>
      </w:r>
      <w:r>
        <w:rPr>
          <w:sz w:val="21"/>
        </w:rPr>
        <w:t>nature</w:t>
      </w:r>
      <w:r>
        <w:rPr>
          <w:spacing w:val="-5"/>
          <w:sz w:val="21"/>
        </w:rPr>
        <w:t xml:space="preserve"> </w:t>
      </w:r>
      <w:r>
        <w:rPr>
          <w:sz w:val="21"/>
        </w:rPr>
        <w:t>and</w:t>
      </w:r>
      <w:r>
        <w:rPr>
          <w:spacing w:val="-7"/>
          <w:sz w:val="21"/>
        </w:rPr>
        <w:t xml:space="preserve"> </w:t>
      </w:r>
      <w:r>
        <w:rPr>
          <w:sz w:val="21"/>
        </w:rPr>
        <w:t>extent</w:t>
      </w:r>
      <w:r>
        <w:rPr>
          <w:spacing w:val="-6"/>
          <w:sz w:val="21"/>
        </w:rPr>
        <w:t xml:space="preserve"> </w:t>
      </w:r>
      <w:r>
        <w:rPr>
          <w:sz w:val="21"/>
        </w:rPr>
        <w:t>of</w:t>
      </w:r>
      <w:r>
        <w:rPr>
          <w:spacing w:val="-5"/>
          <w:sz w:val="21"/>
        </w:rPr>
        <w:t xml:space="preserve"> </w:t>
      </w:r>
      <w:r>
        <w:rPr>
          <w:sz w:val="21"/>
        </w:rPr>
        <w:t>a dedication of a temple, that has to be determined on the terms of the deed of endowment if that is available, and where it is not,</w:t>
      </w:r>
      <w:r>
        <w:rPr>
          <w:spacing w:val="-14"/>
          <w:sz w:val="21"/>
        </w:rPr>
        <w:t xml:space="preserve"> </w:t>
      </w:r>
      <w:r>
        <w:rPr>
          <w:sz w:val="21"/>
        </w:rPr>
        <w:t>on</w:t>
      </w:r>
      <w:r>
        <w:rPr>
          <w:spacing w:val="-12"/>
          <w:sz w:val="21"/>
        </w:rPr>
        <w:t xml:space="preserve"> </w:t>
      </w:r>
      <w:r>
        <w:rPr>
          <w:sz w:val="21"/>
        </w:rPr>
        <w:t>other</w:t>
      </w:r>
      <w:r>
        <w:rPr>
          <w:spacing w:val="-13"/>
          <w:sz w:val="21"/>
        </w:rPr>
        <w:t xml:space="preserve"> </w:t>
      </w:r>
      <w:r>
        <w:rPr>
          <w:sz w:val="21"/>
        </w:rPr>
        <w:t>materials</w:t>
      </w:r>
      <w:r>
        <w:rPr>
          <w:spacing w:val="-12"/>
          <w:sz w:val="21"/>
        </w:rPr>
        <w:t xml:space="preserve"> </w:t>
      </w:r>
      <w:r>
        <w:rPr>
          <w:sz w:val="21"/>
        </w:rPr>
        <w:t>legally</w:t>
      </w:r>
      <w:r>
        <w:rPr>
          <w:spacing w:val="-15"/>
          <w:sz w:val="21"/>
        </w:rPr>
        <w:t xml:space="preserve"> </w:t>
      </w:r>
      <w:r>
        <w:rPr>
          <w:sz w:val="21"/>
        </w:rPr>
        <w:t>admissible;</w:t>
      </w:r>
      <w:r>
        <w:rPr>
          <w:spacing w:val="-13"/>
          <w:sz w:val="21"/>
        </w:rPr>
        <w:t xml:space="preserve"> </w:t>
      </w:r>
      <w:r>
        <w:rPr>
          <w:sz w:val="21"/>
        </w:rPr>
        <w:t>and</w:t>
      </w:r>
      <w:r>
        <w:rPr>
          <w:spacing w:val="-12"/>
          <w:sz w:val="21"/>
        </w:rPr>
        <w:t xml:space="preserve"> </w:t>
      </w:r>
      <w:r>
        <w:rPr>
          <w:sz w:val="21"/>
        </w:rPr>
        <w:t>proof</w:t>
      </w:r>
      <w:r>
        <w:rPr>
          <w:spacing w:val="-11"/>
          <w:sz w:val="21"/>
        </w:rPr>
        <w:t xml:space="preserve"> </w:t>
      </w:r>
      <w:r>
        <w:rPr>
          <w:sz w:val="21"/>
        </w:rPr>
        <w:t>of</w:t>
      </w:r>
      <w:r>
        <w:rPr>
          <w:spacing w:val="-12"/>
          <w:sz w:val="21"/>
        </w:rPr>
        <w:t xml:space="preserve"> </w:t>
      </w:r>
      <w:r>
        <w:rPr>
          <w:sz w:val="21"/>
        </w:rPr>
        <w:t>long</w:t>
      </w:r>
      <w:r>
        <w:rPr>
          <w:spacing w:val="-12"/>
          <w:sz w:val="21"/>
        </w:rPr>
        <w:t xml:space="preserve"> </w:t>
      </w:r>
      <w:r>
        <w:rPr>
          <w:sz w:val="21"/>
        </w:rPr>
        <w:t>and uninterrupted user would be cogent evidence of the terms there</w:t>
      </w:r>
      <w:r>
        <w:rPr>
          <w:sz w:val="21"/>
        </w:rPr>
        <w:t>of. Where, therefore, the original deed of endowment is not available and it is found that all persons are freely worshipping in the temple without let or hindrance, it would be a</w:t>
      </w:r>
      <w:r>
        <w:rPr>
          <w:spacing w:val="-4"/>
          <w:sz w:val="21"/>
        </w:rPr>
        <w:t xml:space="preserve"> </w:t>
      </w:r>
      <w:r>
        <w:rPr>
          <w:sz w:val="21"/>
        </w:rPr>
        <w:t>proper</w:t>
      </w:r>
      <w:r>
        <w:rPr>
          <w:spacing w:val="-4"/>
          <w:sz w:val="21"/>
        </w:rPr>
        <w:t xml:space="preserve"> </w:t>
      </w:r>
      <w:r>
        <w:rPr>
          <w:sz w:val="21"/>
        </w:rPr>
        <w:t>inference</w:t>
      </w:r>
      <w:r>
        <w:rPr>
          <w:spacing w:val="-4"/>
          <w:sz w:val="21"/>
        </w:rPr>
        <w:t xml:space="preserve"> </w:t>
      </w:r>
      <w:r>
        <w:rPr>
          <w:sz w:val="21"/>
        </w:rPr>
        <w:t>to</w:t>
      </w:r>
      <w:r>
        <w:rPr>
          <w:spacing w:val="-4"/>
          <w:sz w:val="21"/>
        </w:rPr>
        <w:t xml:space="preserve"> </w:t>
      </w:r>
      <w:r>
        <w:rPr>
          <w:sz w:val="21"/>
        </w:rPr>
        <w:t>make</w:t>
      </w:r>
      <w:r>
        <w:rPr>
          <w:spacing w:val="-3"/>
          <w:sz w:val="21"/>
        </w:rPr>
        <w:t xml:space="preserve"> </w:t>
      </w:r>
      <w:r>
        <w:rPr>
          <w:sz w:val="21"/>
        </w:rPr>
        <w:t>that</w:t>
      </w:r>
      <w:r>
        <w:rPr>
          <w:spacing w:val="-5"/>
          <w:sz w:val="21"/>
        </w:rPr>
        <w:t xml:space="preserve"> </w:t>
      </w:r>
      <w:r>
        <w:rPr>
          <w:sz w:val="21"/>
        </w:rPr>
        <w:t>they</w:t>
      </w:r>
      <w:r>
        <w:rPr>
          <w:spacing w:val="-6"/>
          <w:sz w:val="21"/>
        </w:rPr>
        <w:t xml:space="preserve"> </w:t>
      </w:r>
      <w:r>
        <w:rPr>
          <w:sz w:val="21"/>
        </w:rPr>
        <w:t>do</w:t>
      </w:r>
      <w:r>
        <w:rPr>
          <w:spacing w:val="-3"/>
          <w:sz w:val="21"/>
        </w:rPr>
        <w:t xml:space="preserve"> </w:t>
      </w:r>
      <w:r>
        <w:rPr>
          <w:sz w:val="21"/>
        </w:rPr>
        <w:t>so</w:t>
      </w:r>
      <w:r>
        <w:rPr>
          <w:spacing w:val="-3"/>
          <w:sz w:val="21"/>
        </w:rPr>
        <w:t xml:space="preserve"> </w:t>
      </w:r>
      <w:r>
        <w:rPr>
          <w:sz w:val="21"/>
        </w:rPr>
        <w:t>as</w:t>
      </w:r>
      <w:r>
        <w:rPr>
          <w:spacing w:val="-4"/>
          <w:sz w:val="21"/>
        </w:rPr>
        <w:t xml:space="preserve"> </w:t>
      </w:r>
      <w:r>
        <w:rPr>
          <w:sz w:val="21"/>
        </w:rPr>
        <w:t>a</w:t>
      </w:r>
      <w:r>
        <w:rPr>
          <w:spacing w:val="-4"/>
          <w:sz w:val="21"/>
        </w:rPr>
        <w:t xml:space="preserve"> </w:t>
      </w:r>
      <w:r>
        <w:rPr>
          <w:sz w:val="21"/>
        </w:rPr>
        <w:t>matter</w:t>
      </w:r>
      <w:r>
        <w:rPr>
          <w:spacing w:val="-4"/>
          <w:sz w:val="21"/>
        </w:rPr>
        <w:t xml:space="preserve"> </w:t>
      </w:r>
      <w:r>
        <w:rPr>
          <w:sz w:val="21"/>
        </w:rPr>
        <w:t>of</w:t>
      </w:r>
      <w:r>
        <w:rPr>
          <w:spacing w:val="-1"/>
          <w:sz w:val="21"/>
        </w:rPr>
        <w:t xml:space="preserve"> </w:t>
      </w:r>
      <w:r>
        <w:rPr>
          <w:sz w:val="21"/>
        </w:rPr>
        <w:t>right, and</w:t>
      </w:r>
      <w:r>
        <w:rPr>
          <w:spacing w:val="-13"/>
          <w:sz w:val="21"/>
        </w:rPr>
        <w:t xml:space="preserve"> </w:t>
      </w:r>
      <w:r>
        <w:rPr>
          <w:sz w:val="21"/>
        </w:rPr>
        <w:t>that</w:t>
      </w:r>
      <w:r>
        <w:rPr>
          <w:spacing w:val="-13"/>
          <w:sz w:val="21"/>
        </w:rPr>
        <w:t xml:space="preserve"> </w:t>
      </w:r>
      <w:r>
        <w:rPr>
          <w:sz w:val="21"/>
        </w:rPr>
        <w:t>the</w:t>
      </w:r>
      <w:r>
        <w:rPr>
          <w:spacing w:val="-13"/>
          <w:sz w:val="21"/>
        </w:rPr>
        <w:t xml:space="preserve"> </w:t>
      </w:r>
      <w:r>
        <w:rPr>
          <w:sz w:val="21"/>
        </w:rPr>
        <w:t>original</w:t>
      </w:r>
      <w:r>
        <w:rPr>
          <w:spacing w:val="-11"/>
          <w:sz w:val="21"/>
        </w:rPr>
        <w:t xml:space="preserve"> </w:t>
      </w:r>
      <w:r>
        <w:rPr>
          <w:sz w:val="21"/>
        </w:rPr>
        <w:t>foundation</w:t>
      </w:r>
      <w:r>
        <w:rPr>
          <w:spacing w:val="-13"/>
          <w:sz w:val="21"/>
        </w:rPr>
        <w:t xml:space="preserve"> </w:t>
      </w:r>
      <w:r>
        <w:rPr>
          <w:sz w:val="21"/>
        </w:rPr>
        <w:t>was</w:t>
      </w:r>
      <w:r>
        <w:rPr>
          <w:spacing w:val="-12"/>
          <w:sz w:val="21"/>
        </w:rPr>
        <w:t xml:space="preserve"> </w:t>
      </w:r>
      <w:r>
        <w:rPr>
          <w:sz w:val="21"/>
        </w:rPr>
        <w:t>for</w:t>
      </w:r>
      <w:r>
        <w:rPr>
          <w:spacing w:val="-14"/>
          <w:sz w:val="21"/>
        </w:rPr>
        <w:t xml:space="preserve"> </w:t>
      </w:r>
      <w:r>
        <w:rPr>
          <w:sz w:val="21"/>
        </w:rPr>
        <w:t>their</w:t>
      </w:r>
      <w:r>
        <w:rPr>
          <w:spacing w:val="-13"/>
          <w:sz w:val="21"/>
        </w:rPr>
        <w:t xml:space="preserve"> </w:t>
      </w:r>
      <w:r>
        <w:rPr>
          <w:sz w:val="21"/>
        </w:rPr>
        <w:t>benefit</w:t>
      </w:r>
      <w:r>
        <w:rPr>
          <w:spacing w:val="-14"/>
          <w:sz w:val="21"/>
        </w:rPr>
        <w:t xml:space="preserve"> </w:t>
      </w:r>
      <w:r>
        <w:rPr>
          <w:sz w:val="21"/>
        </w:rPr>
        <w:t>as</w:t>
      </w:r>
      <w:r>
        <w:rPr>
          <w:spacing w:val="-12"/>
          <w:sz w:val="21"/>
        </w:rPr>
        <w:t xml:space="preserve"> </w:t>
      </w:r>
      <w:r>
        <w:rPr>
          <w:sz w:val="21"/>
        </w:rPr>
        <w:t>well.</w:t>
      </w:r>
      <w:r>
        <w:rPr>
          <w:spacing w:val="-14"/>
          <w:sz w:val="21"/>
        </w:rPr>
        <w:t xml:space="preserve"> </w:t>
      </w:r>
      <w:r>
        <w:rPr>
          <w:sz w:val="21"/>
        </w:rPr>
        <w:t>But where it is proved by production of the deed, of endowment or otherwise that the original dedication was for the benefit of a particular community, the fact that members of other communities were allowed freely to worship cannot lead to the inference t</w:t>
      </w:r>
      <w:r>
        <w:rPr>
          <w:sz w:val="21"/>
        </w:rPr>
        <w:t>hat the dedication was for their benefit as well.…On the findings of the Court below that the foundation was originally for the benefit of the Gowda Saraswath Brahmin community,</w:t>
      </w:r>
      <w:r>
        <w:rPr>
          <w:spacing w:val="-10"/>
          <w:sz w:val="21"/>
        </w:rPr>
        <w:t xml:space="preserve"> </w:t>
      </w:r>
      <w:r>
        <w:rPr>
          <w:sz w:val="21"/>
        </w:rPr>
        <w:t>the</w:t>
      </w:r>
      <w:r>
        <w:rPr>
          <w:spacing w:val="-9"/>
          <w:sz w:val="21"/>
        </w:rPr>
        <w:t xml:space="preserve"> </w:t>
      </w:r>
      <w:r>
        <w:rPr>
          <w:sz w:val="21"/>
        </w:rPr>
        <w:t>fact</w:t>
      </w:r>
      <w:r>
        <w:rPr>
          <w:spacing w:val="-10"/>
          <w:sz w:val="21"/>
        </w:rPr>
        <w:t xml:space="preserve"> </w:t>
      </w:r>
      <w:r>
        <w:rPr>
          <w:sz w:val="21"/>
        </w:rPr>
        <w:t>that</w:t>
      </w:r>
      <w:r>
        <w:rPr>
          <w:spacing w:val="-9"/>
          <w:sz w:val="21"/>
        </w:rPr>
        <w:t xml:space="preserve"> </w:t>
      </w:r>
      <w:r>
        <w:rPr>
          <w:sz w:val="21"/>
        </w:rPr>
        <w:t>other</w:t>
      </w:r>
      <w:r>
        <w:rPr>
          <w:spacing w:val="-10"/>
          <w:sz w:val="21"/>
        </w:rPr>
        <w:t xml:space="preserve"> </w:t>
      </w:r>
      <w:r>
        <w:rPr>
          <w:sz w:val="21"/>
        </w:rPr>
        <w:t>classes</w:t>
      </w:r>
      <w:r>
        <w:rPr>
          <w:spacing w:val="-9"/>
          <w:sz w:val="21"/>
        </w:rPr>
        <w:t xml:space="preserve"> </w:t>
      </w:r>
      <w:r>
        <w:rPr>
          <w:sz w:val="21"/>
        </w:rPr>
        <w:t>of</w:t>
      </w:r>
      <w:r>
        <w:rPr>
          <w:spacing w:val="-8"/>
          <w:sz w:val="21"/>
        </w:rPr>
        <w:t xml:space="preserve"> </w:t>
      </w:r>
      <w:r>
        <w:rPr>
          <w:sz w:val="21"/>
        </w:rPr>
        <w:t>Hindus</w:t>
      </w:r>
      <w:r>
        <w:rPr>
          <w:spacing w:val="-9"/>
          <w:sz w:val="21"/>
        </w:rPr>
        <w:t xml:space="preserve"> </w:t>
      </w:r>
      <w:r>
        <w:rPr>
          <w:sz w:val="21"/>
        </w:rPr>
        <w:t>were</w:t>
      </w:r>
      <w:r>
        <w:rPr>
          <w:spacing w:val="-8"/>
          <w:sz w:val="21"/>
        </w:rPr>
        <w:t xml:space="preserve"> </w:t>
      </w:r>
      <w:r>
        <w:rPr>
          <w:sz w:val="21"/>
        </w:rPr>
        <w:t>admitted freely</w:t>
      </w:r>
      <w:r>
        <w:rPr>
          <w:spacing w:val="-10"/>
          <w:sz w:val="21"/>
        </w:rPr>
        <w:t xml:space="preserve"> </w:t>
      </w:r>
      <w:r>
        <w:rPr>
          <w:sz w:val="21"/>
        </w:rPr>
        <w:t>into</w:t>
      </w:r>
      <w:r>
        <w:rPr>
          <w:spacing w:val="-8"/>
          <w:sz w:val="21"/>
        </w:rPr>
        <w:t xml:space="preserve"> </w:t>
      </w:r>
      <w:r>
        <w:rPr>
          <w:sz w:val="21"/>
        </w:rPr>
        <w:t>the</w:t>
      </w:r>
      <w:r>
        <w:rPr>
          <w:spacing w:val="-8"/>
          <w:sz w:val="21"/>
        </w:rPr>
        <w:t xml:space="preserve"> </w:t>
      </w:r>
      <w:r>
        <w:rPr>
          <w:sz w:val="21"/>
        </w:rPr>
        <w:t>temple</w:t>
      </w:r>
      <w:r>
        <w:rPr>
          <w:spacing w:val="-8"/>
          <w:sz w:val="21"/>
        </w:rPr>
        <w:t xml:space="preserve"> </w:t>
      </w:r>
      <w:r>
        <w:rPr>
          <w:sz w:val="21"/>
        </w:rPr>
        <w:t>wou</w:t>
      </w:r>
      <w:r>
        <w:rPr>
          <w:sz w:val="21"/>
        </w:rPr>
        <w:t>ld</w:t>
      </w:r>
      <w:r>
        <w:rPr>
          <w:spacing w:val="-8"/>
          <w:sz w:val="21"/>
        </w:rPr>
        <w:t xml:space="preserve"> </w:t>
      </w:r>
      <w:r>
        <w:rPr>
          <w:sz w:val="21"/>
        </w:rPr>
        <w:t>not</w:t>
      </w:r>
      <w:r>
        <w:rPr>
          <w:spacing w:val="-9"/>
          <w:sz w:val="21"/>
        </w:rPr>
        <w:t xml:space="preserve"> </w:t>
      </w:r>
      <w:r>
        <w:rPr>
          <w:sz w:val="21"/>
        </w:rPr>
        <w:t>have</w:t>
      </w:r>
      <w:r>
        <w:rPr>
          <w:spacing w:val="-8"/>
          <w:sz w:val="21"/>
        </w:rPr>
        <w:t xml:space="preserve"> </w:t>
      </w:r>
      <w:r>
        <w:rPr>
          <w:sz w:val="21"/>
        </w:rPr>
        <w:t>the</w:t>
      </w:r>
      <w:r>
        <w:rPr>
          <w:spacing w:val="-8"/>
          <w:sz w:val="21"/>
        </w:rPr>
        <w:t xml:space="preserve"> </w:t>
      </w:r>
      <w:r>
        <w:rPr>
          <w:sz w:val="21"/>
        </w:rPr>
        <w:t>effect</w:t>
      </w:r>
      <w:r>
        <w:rPr>
          <w:spacing w:val="-8"/>
          <w:sz w:val="21"/>
        </w:rPr>
        <w:t xml:space="preserve"> </w:t>
      </w:r>
      <w:r>
        <w:rPr>
          <w:sz w:val="21"/>
        </w:rPr>
        <w:t>of</w:t>
      </w:r>
      <w:r>
        <w:rPr>
          <w:spacing w:val="-7"/>
          <w:sz w:val="21"/>
        </w:rPr>
        <w:t xml:space="preserve"> </w:t>
      </w:r>
      <w:r>
        <w:rPr>
          <w:sz w:val="21"/>
        </w:rPr>
        <w:t>enlarging</w:t>
      </w:r>
      <w:r>
        <w:rPr>
          <w:spacing w:val="-8"/>
          <w:sz w:val="21"/>
        </w:rPr>
        <w:t xml:space="preserve"> </w:t>
      </w:r>
      <w:r>
        <w:rPr>
          <w:sz w:val="21"/>
        </w:rPr>
        <w:t>the scope of the dedication into one for the public generally. On</w:t>
      </w:r>
      <w:r>
        <w:rPr>
          <w:spacing w:val="53"/>
          <w:sz w:val="21"/>
        </w:rPr>
        <w:t xml:space="preserve"> </w:t>
      </w:r>
      <w:r>
        <w:rPr>
          <w:sz w:val="21"/>
        </w:rPr>
        <w:t>a</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57"/>
        <w:jc w:val="both"/>
        <w:rPr>
          <w:sz w:val="21"/>
        </w:rPr>
      </w:pPr>
      <w:r>
        <w:rPr>
          <w:sz w:val="21"/>
        </w:rPr>
        <w:t>consideration of the evidence, we see no grounds for differing from</w:t>
      </w:r>
      <w:r>
        <w:rPr>
          <w:spacing w:val="-6"/>
          <w:sz w:val="21"/>
        </w:rPr>
        <w:t xml:space="preserve"> </w:t>
      </w:r>
      <w:r>
        <w:rPr>
          <w:sz w:val="21"/>
        </w:rPr>
        <w:t>the</w:t>
      </w:r>
      <w:r>
        <w:rPr>
          <w:spacing w:val="-6"/>
          <w:sz w:val="21"/>
        </w:rPr>
        <w:t xml:space="preserve"> </w:t>
      </w:r>
      <w:r>
        <w:rPr>
          <w:sz w:val="21"/>
        </w:rPr>
        <w:t>finding</w:t>
      </w:r>
      <w:r>
        <w:rPr>
          <w:spacing w:val="-6"/>
          <w:sz w:val="21"/>
        </w:rPr>
        <w:t xml:space="preserve"> </w:t>
      </w:r>
      <w:r>
        <w:rPr>
          <w:sz w:val="21"/>
        </w:rPr>
        <w:t>given</w:t>
      </w:r>
      <w:r>
        <w:rPr>
          <w:spacing w:val="-6"/>
          <w:sz w:val="21"/>
        </w:rPr>
        <w:t xml:space="preserve"> </w:t>
      </w:r>
      <w:r>
        <w:rPr>
          <w:sz w:val="21"/>
        </w:rPr>
        <w:t>by</w:t>
      </w:r>
      <w:r>
        <w:rPr>
          <w:spacing w:val="-8"/>
          <w:sz w:val="21"/>
        </w:rPr>
        <w:t xml:space="preserve"> </w:t>
      </w:r>
      <w:r>
        <w:rPr>
          <w:sz w:val="21"/>
        </w:rPr>
        <w:t>the</w:t>
      </w:r>
      <w:r>
        <w:rPr>
          <w:spacing w:val="-6"/>
          <w:sz w:val="21"/>
        </w:rPr>
        <w:t xml:space="preserve"> </w:t>
      </w:r>
      <w:r>
        <w:rPr>
          <w:sz w:val="21"/>
        </w:rPr>
        <w:t>learned</w:t>
      </w:r>
      <w:r>
        <w:rPr>
          <w:spacing w:val="-6"/>
          <w:sz w:val="21"/>
        </w:rPr>
        <w:t xml:space="preserve"> </w:t>
      </w:r>
      <w:r>
        <w:rPr>
          <w:sz w:val="21"/>
        </w:rPr>
        <w:t>Judges</w:t>
      </w:r>
      <w:r>
        <w:rPr>
          <w:spacing w:val="-6"/>
          <w:sz w:val="21"/>
        </w:rPr>
        <w:t xml:space="preserve"> </w:t>
      </w:r>
      <w:r>
        <w:rPr>
          <w:sz w:val="21"/>
        </w:rPr>
        <w:t>in</w:t>
      </w:r>
      <w:r>
        <w:rPr>
          <w:spacing w:val="-7"/>
          <w:sz w:val="21"/>
        </w:rPr>
        <w:t xml:space="preserve"> </w:t>
      </w:r>
      <w:r>
        <w:rPr>
          <w:sz w:val="21"/>
        </w:rPr>
        <w:t>the</w:t>
      </w:r>
      <w:r>
        <w:rPr>
          <w:spacing w:val="-6"/>
          <w:sz w:val="21"/>
        </w:rPr>
        <w:t xml:space="preserve"> </w:t>
      </w:r>
      <w:r>
        <w:rPr>
          <w:sz w:val="21"/>
        </w:rPr>
        <w:t>court</w:t>
      </w:r>
      <w:r>
        <w:rPr>
          <w:spacing w:val="-8"/>
          <w:sz w:val="21"/>
        </w:rPr>
        <w:t xml:space="preserve"> </w:t>
      </w:r>
      <w:r>
        <w:rPr>
          <w:sz w:val="21"/>
        </w:rPr>
        <w:t>below that t</w:t>
      </w:r>
      <w:r>
        <w:rPr>
          <w:sz w:val="21"/>
        </w:rPr>
        <w:t>he suit temple is a denominational temple founded for</w:t>
      </w:r>
      <w:r>
        <w:rPr>
          <w:spacing w:val="-40"/>
          <w:sz w:val="21"/>
        </w:rPr>
        <w:t xml:space="preserve"> </w:t>
      </w:r>
      <w:r>
        <w:rPr>
          <w:sz w:val="21"/>
        </w:rPr>
        <w:t>the benefit of the Gowda Saraswath</w:t>
      </w:r>
      <w:r>
        <w:rPr>
          <w:spacing w:val="-10"/>
          <w:sz w:val="21"/>
        </w:rPr>
        <w:t xml:space="preserve"> </w:t>
      </w:r>
      <w:r>
        <w:rPr>
          <w:sz w:val="21"/>
        </w:rPr>
        <w:t>Brahmins…”</w:t>
      </w:r>
    </w:p>
    <w:p w:rsidR="003B2FC0" w:rsidRDefault="003B2FC0">
      <w:pPr>
        <w:rPr>
          <w:sz w:val="24"/>
        </w:rPr>
      </w:pPr>
    </w:p>
    <w:p w:rsidR="003B2FC0" w:rsidRDefault="003B2FC0">
      <w:pPr>
        <w:rPr>
          <w:sz w:val="35"/>
        </w:rPr>
      </w:pPr>
    </w:p>
    <w:p w:rsidR="003B2FC0" w:rsidRDefault="00052A49">
      <w:pPr>
        <w:spacing w:line="480" w:lineRule="auto"/>
        <w:ind w:left="400" w:right="463"/>
        <w:jc w:val="both"/>
        <w:rPr>
          <w:sz w:val="26"/>
        </w:rPr>
      </w:pPr>
      <w:r>
        <w:rPr>
          <w:sz w:val="26"/>
        </w:rPr>
        <w:t>The dedication of the temple was for the Gowda Saraswath Brahmins specifically. The temple was not dedicated for followers of all communities.</w:t>
      </w:r>
    </w:p>
    <w:p w:rsidR="003B2FC0" w:rsidRDefault="003B2FC0">
      <w:pPr>
        <w:rPr>
          <w:sz w:val="28"/>
        </w:rPr>
      </w:pPr>
    </w:p>
    <w:p w:rsidR="003B2FC0" w:rsidRDefault="003B2FC0">
      <w:pPr>
        <w:spacing w:before="8"/>
        <w:rPr>
          <w:sz w:val="23"/>
        </w:rPr>
      </w:pPr>
    </w:p>
    <w:p w:rsidR="003B2FC0" w:rsidRDefault="00052A49">
      <w:pPr>
        <w:pStyle w:val="ListParagraph"/>
        <w:numPr>
          <w:ilvl w:val="0"/>
          <w:numId w:val="39"/>
        </w:numPr>
        <w:tabs>
          <w:tab w:val="left" w:pos="1121"/>
        </w:tabs>
        <w:spacing w:line="480" w:lineRule="auto"/>
        <w:ind w:right="460" w:firstLine="0"/>
        <w:jc w:val="both"/>
        <w:rPr>
          <w:sz w:val="26"/>
        </w:rPr>
      </w:pPr>
      <w:r>
        <w:rPr>
          <w:b/>
          <w:sz w:val="26"/>
        </w:rPr>
        <w:t xml:space="preserve">In S P Mittal </w:t>
      </w:r>
      <w:r>
        <w:rPr>
          <w:sz w:val="26"/>
        </w:rPr>
        <w:t xml:space="preserve">v </w:t>
      </w:r>
      <w:r>
        <w:rPr>
          <w:b/>
          <w:sz w:val="26"/>
        </w:rPr>
        <w:t xml:space="preserve">Union of India </w:t>
      </w:r>
      <w:r>
        <w:rPr>
          <w:sz w:val="26"/>
        </w:rPr>
        <w:t>(“</w:t>
      </w:r>
      <w:r>
        <w:rPr>
          <w:b/>
          <w:sz w:val="26"/>
        </w:rPr>
        <w:t>Mittal</w:t>
      </w:r>
      <w:r>
        <w:rPr>
          <w:sz w:val="26"/>
        </w:rPr>
        <w:t>”)</w:t>
      </w:r>
      <w:r>
        <w:rPr>
          <w:position w:val="9"/>
          <w:sz w:val="17"/>
        </w:rPr>
        <w:t>58</w:t>
      </w:r>
      <w:r>
        <w:rPr>
          <w:i/>
          <w:sz w:val="26"/>
        </w:rPr>
        <w:t xml:space="preserve">, </w:t>
      </w:r>
      <w:r>
        <w:rPr>
          <w:sz w:val="26"/>
        </w:rPr>
        <w:t>Justice Ranganath Misra</w:t>
      </w:r>
      <w:r>
        <w:rPr>
          <w:spacing w:val="-29"/>
          <w:sz w:val="26"/>
        </w:rPr>
        <w:t xml:space="preserve"> </w:t>
      </w:r>
      <w:r>
        <w:rPr>
          <w:sz w:val="26"/>
        </w:rPr>
        <w:t xml:space="preserve">who delivered the opinion of the Court, held that the followers of Sri Aurobindo do not constitute a religious denomination. The Court formulated the conditions necessary to be fulfilled </w:t>
      </w:r>
      <w:r>
        <w:rPr>
          <w:sz w:val="26"/>
        </w:rPr>
        <w:t>to qualify as ‘religious</w:t>
      </w:r>
      <w:r>
        <w:rPr>
          <w:spacing w:val="-10"/>
          <w:sz w:val="26"/>
        </w:rPr>
        <w:t xml:space="preserve"> </w:t>
      </w:r>
      <w:r>
        <w:rPr>
          <w:sz w:val="26"/>
        </w:rPr>
        <w:t>denomination’:</w:t>
      </w:r>
    </w:p>
    <w:p w:rsidR="003B2FC0" w:rsidRDefault="00052A49">
      <w:pPr>
        <w:spacing w:before="38" w:line="276" w:lineRule="auto"/>
        <w:ind w:left="1840" w:right="2259"/>
        <w:jc w:val="both"/>
        <w:rPr>
          <w:sz w:val="21"/>
        </w:rPr>
      </w:pPr>
      <w:r>
        <w:rPr>
          <w:sz w:val="21"/>
        </w:rPr>
        <w:t>“80. The words “religious denomination” in Article 26 of the Constitution</w:t>
      </w:r>
      <w:r>
        <w:rPr>
          <w:spacing w:val="-6"/>
          <w:sz w:val="21"/>
        </w:rPr>
        <w:t xml:space="preserve"> </w:t>
      </w:r>
      <w:r>
        <w:rPr>
          <w:sz w:val="21"/>
        </w:rPr>
        <w:t>must</w:t>
      </w:r>
      <w:r>
        <w:rPr>
          <w:spacing w:val="-7"/>
          <w:sz w:val="21"/>
        </w:rPr>
        <w:t xml:space="preserve"> </w:t>
      </w:r>
      <w:r>
        <w:rPr>
          <w:sz w:val="21"/>
        </w:rPr>
        <w:t>take</w:t>
      </w:r>
      <w:r>
        <w:rPr>
          <w:spacing w:val="-5"/>
          <w:sz w:val="21"/>
        </w:rPr>
        <w:t xml:space="preserve"> </w:t>
      </w:r>
      <w:r>
        <w:rPr>
          <w:sz w:val="21"/>
        </w:rPr>
        <w:t>their</w:t>
      </w:r>
      <w:r>
        <w:rPr>
          <w:spacing w:val="-6"/>
          <w:sz w:val="21"/>
        </w:rPr>
        <w:t xml:space="preserve"> </w:t>
      </w:r>
      <w:r>
        <w:rPr>
          <w:sz w:val="21"/>
        </w:rPr>
        <w:t>colour</w:t>
      </w:r>
      <w:r>
        <w:rPr>
          <w:spacing w:val="-7"/>
          <w:sz w:val="21"/>
        </w:rPr>
        <w:t xml:space="preserve"> </w:t>
      </w:r>
      <w:r>
        <w:rPr>
          <w:sz w:val="21"/>
        </w:rPr>
        <w:t>from</w:t>
      </w:r>
      <w:r>
        <w:rPr>
          <w:spacing w:val="-4"/>
          <w:sz w:val="21"/>
        </w:rPr>
        <w:t xml:space="preserve"> </w:t>
      </w:r>
      <w:r>
        <w:rPr>
          <w:sz w:val="21"/>
        </w:rPr>
        <w:t>the</w:t>
      </w:r>
      <w:r>
        <w:rPr>
          <w:spacing w:val="-5"/>
          <w:sz w:val="21"/>
        </w:rPr>
        <w:t xml:space="preserve"> </w:t>
      </w:r>
      <w:r>
        <w:rPr>
          <w:sz w:val="21"/>
        </w:rPr>
        <w:t>word</w:t>
      </w:r>
      <w:r>
        <w:rPr>
          <w:spacing w:val="-6"/>
          <w:sz w:val="21"/>
        </w:rPr>
        <w:t xml:space="preserve"> </w:t>
      </w:r>
      <w:r>
        <w:rPr>
          <w:sz w:val="21"/>
        </w:rPr>
        <w:t>“religion”</w:t>
      </w:r>
      <w:r>
        <w:rPr>
          <w:spacing w:val="-7"/>
          <w:sz w:val="21"/>
        </w:rPr>
        <w:t xml:space="preserve"> </w:t>
      </w:r>
      <w:r>
        <w:rPr>
          <w:sz w:val="21"/>
        </w:rPr>
        <w:t>and if</w:t>
      </w:r>
      <w:r>
        <w:rPr>
          <w:spacing w:val="-5"/>
          <w:sz w:val="21"/>
        </w:rPr>
        <w:t xml:space="preserve"> </w:t>
      </w:r>
      <w:r>
        <w:rPr>
          <w:sz w:val="21"/>
        </w:rPr>
        <w:t>this</w:t>
      </w:r>
      <w:r>
        <w:rPr>
          <w:spacing w:val="-6"/>
          <w:sz w:val="21"/>
        </w:rPr>
        <w:t xml:space="preserve"> </w:t>
      </w:r>
      <w:r>
        <w:rPr>
          <w:sz w:val="21"/>
        </w:rPr>
        <w:t>be</w:t>
      </w:r>
      <w:r>
        <w:rPr>
          <w:spacing w:val="-5"/>
          <w:sz w:val="21"/>
        </w:rPr>
        <w:t xml:space="preserve"> </w:t>
      </w:r>
      <w:r>
        <w:rPr>
          <w:sz w:val="21"/>
        </w:rPr>
        <w:t>so,</w:t>
      </w:r>
      <w:r>
        <w:rPr>
          <w:spacing w:val="-7"/>
          <w:sz w:val="21"/>
        </w:rPr>
        <w:t xml:space="preserve"> </w:t>
      </w:r>
      <w:r>
        <w:rPr>
          <w:sz w:val="21"/>
        </w:rPr>
        <w:t>the</w:t>
      </w:r>
      <w:r>
        <w:rPr>
          <w:spacing w:val="-5"/>
          <w:sz w:val="21"/>
        </w:rPr>
        <w:t xml:space="preserve"> </w:t>
      </w:r>
      <w:r>
        <w:rPr>
          <w:sz w:val="21"/>
        </w:rPr>
        <w:t>expression</w:t>
      </w:r>
      <w:r>
        <w:rPr>
          <w:spacing w:val="-6"/>
          <w:sz w:val="21"/>
        </w:rPr>
        <w:t xml:space="preserve"> </w:t>
      </w:r>
      <w:r>
        <w:rPr>
          <w:sz w:val="21"/>
        </w:rPr>
        <w:t>“religious</w:t>
      </w:r>
      <w:r>
        <w:rPr>
          <w:spacing w:val="-6"/>
          <w:sz w:val="21"/>
        </w:rPr>
        <w:t xml:space="preserve"> </w:t>
      </w:r>
      <w:r>
        <w:rPr>
          <w:sz w:val="21"/>
        </w:rPr>
        <w:t>denomination”</w:t>
      </w:r>
      <w:r>
        <w:rPr>
          <w:spacing w:val="-8"/>
          <w:sz w:val="21"/>
        </w:rPr>
        <w:t xml:space="preserve"> </w:t>
      </w:r>
      <w:r>
        <w:rPr>
          <w:sz w:val="21"/>
        </w:rPr>
        <w:t>must</w:t>
      </w:r>
      <w:r>
        <w:rPr>
          <w:spacing w:val="-7"/>
          <w:sz w:val="21"/>
        </w:rPr>
        <w:t xml:space="preserve"> </w:t>
      </w:r>
      <w:r>
        <w:rPr>
          <w:sz w:val="21"/>
        </w:rPr>
        <w:t>also satisfy three</w:t>
      </w:r>
      <w:r>
        <w:rPr>
          <w:spacing w:val="-6"/>
          <w:sz w:val="21"/>
        </w:rPr>
        <w:t xml:space="preserve"> </w:t>
      </w:r>
      <w:r>
        <w:rPr>
          <w:sz w:val="21"/>
        </w:rPr>
        <w:t>conditions:</w:t>
      </w:r>
    </w:p>
    <w:p w:rsidR="003B2FC0" w:rsidRDefault="00052A49">
      <w:pPr>
        <w:spacing w:before="42" w:line="276" w:lineRule="auto"/>
        <w:ind w:left="1840" w:right="2258"/>
        <w:jc w:val="both"/>
        <w:rPr>
          <w:sz w:val="21"/>
        </w:rPr>
      </w:pPr>
      <w:r>
        <w:rPr>
          <w:sz w:val="21"/>
        </w:rPr>
        <w:t>“(1) It must be a collection of individuals who have a system of beliefs or doctrines which they regard as conducive to their spiritual well-being, that is, a common faith;</w:t>
      </w:r>
    </w:p>
    <w:p w:rsidR="003B2FC0" w:rsidRDefault="00052A49">
      <w:pPr>
        <w:pStyle w:val="ListParagraph"/>
        <w:numPr>
          <w:ilvl w:val="0"/>
          <w:numId w:val="21"/>
        </w:numPr>
        <w:tabs>
          <w:tab w:val="left" w:pos="2155"/>
        </w:tabs>
        <w:spacing w:before="40"/>
        <w:ind w:hanging="314"/>
        <w:jc w:val="both"/>
        <w:rPr>
          <w:sz w:val="21"/>
        </w:rPr>
      </w:pPr>
      <w:r>
        <w:rPr>
          <w:sz w:val="21"/>
        </w:rPr>
        <w:t>common organisation;</w:t>
      </w:r>
      <w:r>
        <w:rPr>
          <w:spacing w:val="-6"/>
          <w:sz w:val="21"/>
        </w:rPr>
        <w:t xml:space="preserve"> </w:t>
      </w:r>
      <w:r>
        <w:rPr>
          <w:sz w:val="21"/>
        </w:rPr>
        <w:t>and</w:t>
      </w:r>
    </w:p>
    <w:p w:rsidR="003B2FC0" w:rsidRDefault="00052A49">
      <w:pPr>
        <w:pStyle w:val="ListParagraph"/>
        <w:numPr>
          <w:ilvl w:val="0"/>
          <w:numId w:val="21"/>
        </w:numPr>
        <w:tabs>
          <w:tab w:val="left" w:pos="2155"/>
        </w:tabs>
        <w:spacing w:before="71"/>
        <w:ind w:hanging="314"/>
        <w:jc w:val="both"/>
        <w:rPr>
          <w:sz w:val="14"/>
        </w:rPr>
      </w:pPr>
      <w:r>
        <w:rPr>
          <w:sz w:val="21"/>
        </w:rPr>
        <w:t>designation by a distinctive</w:t>
      </w:r>
      <w:r>
        <w:rPr>
          <w:spacing w:val="-8"/>
          <w:sz w:val="21"/>
        </w:rPr>
        <w:t xml:space="preserve"> </w:t>
      </w:r>
      <w:r>
        <w:rPr>
          <w:sz w:val="21"/>
        </w:rPr>
        <w:t>name.”</w:t>
      </w:r>
      <w:r>
        <w:rPr>
          <w:position w:val="7"/>
          <w:sz w:val="14"/>
        </w:rPr>
        <w:t>59</w:t>
      </w:r>
    </w:p>
    <w:p w:rsidR="003B2FC0" w:rsidRDefault="003B2FC0">
      <w:pPr>
        <w:rPr>
          <w:sz w:val="24"/>
        </w:rPr>
      </w:pPr>
    </w:p>
    <w:p w:rsidR="003B2FC0" w:rsidRDefault="003B2FC0">
      <w:pPr>
        <w:rPr>
          <w:sz w:val="24"/>
        </w:rPr>
      </w:pPr>
    </w:p>
    <w:p w:rsidR="003B2FC0" w:rsidRDefault="00052A49">
      <w:pPr>
        <w:spacing w:before="161"/>
        <w:ind w:left="400"/>
        <w:jc w:val="both"/>
        <w:rPr>
          <w:b/>
          <w:sz w:val="26"/>
        </w:rPr>
      </w:pPr>
      <w:r>
        <w:rPr>
          <w:sz w:val="26"/>
        </w:rPr>
        <w:t>These tests, as w</w:t>
      </w:r>
      <w:r>
        <w:rPr>
          <w:sz w:val="26"/>
        </w:rPr>
        <w:t xml:space="preserve">e have seen, are a re-statement of the </w:t>
      </w:r>
      <w:r>
        <w:rPr>
          <w:b/>
          <w:sz w:val="26"/>
        </w:rPr>
        <w:t>Shirur Mutt</w:t>
      </w:r>
    </w:p>
    <w:p w:rsidR="003B2FC0" w:rsidRDefault="003B2FC0">
      <w:pPr>
        <w:rPr>
          <w:b/>
          <w:sz w:val="26"/>
        </w:rPr>
      </w:pPr>
    </w:p>
    <w:p w:rsidR="003B2FC0" w:rsidRDefault="00052A49">
      <w:pPr>
        <w:ind w:left="400"/>
        <w:jc w:val="both"/>
        <w:rPr>
          <w:sz w:val="26"/>
        </w:rPr>
      </w:pPr>
      <w:r>
        <w:rPr>
          <w:sz w:val="26"/>
        </w:rPr>
        <w:t>formulation.</w:t>
      </w:r>
    </w:p>
    <w:p w:rsidR="003B2FC0" w:rsidRDefault="003B2FC0">
      <w:pPr>
        <w:rPr>
          <w:sz w:val="28"/>
        </w:rPr>
      </w:pPr>
    </w:p>
    <w:p w:rsidR="003B2FC0" w:rsidRDefault="003B2FC0">
      <w:pPr>
        <w:rPr>
          <w:sz w:val="28"/>
        </w:rPr>
      </w:pPr>
    </w:p>
    <w:p w:rsidR="003B2FC0" w:rsidRDefault="003B2FC0">
      <w:pPr>
        <w:rPr>
          <w:sz w:val="29"/>
        </w:rPr>
      </w:pPr>
    </w:p>
    <w:p w:rsidR="003B2FC0" w:rsidRDefault="00052A49">
      <w:pPr>
        <w:spacing w:line="480" w:lineRule="auto"/>
        <w:ind w:left="400" w:right="465"/>
        <w:jc w:val="both"/>
        <w:rPr>
          <w:sz w:val="26"/>
        </w:rPr>
      </w:pPr>
      <w:r>
        <w:rPr>
          <w:sz w:val="26"/>
        </w:rPr>
        <w:t>The</w:t>
      </w:r>
      <w:r>
        <w:rPr>
          <w:spacing w:val="-9"/>
          <w:sz w:val="26"/>
        </w:rPr>
        <w:t xml:space="preserve"> </w:t>
      </w:r>
      <w:r>
        <w:rPr>
          <w:sz w:val="26"/>
        </w:rPr>
        <w:t>Court</w:t>
      </w:r>
      <w:r>
        <w:rPr>
          <w:spacing w:val="-9"/>
          <w:sz w:val="26"/>
        </w:rPr>
        <w:t xml:space="preserve"> </w:t>
      </w:r>
      <w:r>
        <w:rPr>
          <w:sz w:val="26"/>
        </w:rPr>
        <w:t>dwelt</w:t>
      </w:r>
      <w:r>
        <w:rPr>
          <w:spacing w:val="-7"/>
          <w:sz w:val="26"/>
        </w:rPr>
        <w:t xml:space="preserve"> </w:t>
      </w:r>
      <w:r>
        <w:rPr>
          <w:sz w:val="26"/>
        </w:rPr>
        <w:t>on</w:t>
      </w:r>
      <w:r>
        <w:rPr>
          <w:spacing w:val="-9"/>
          <w:sz w:val="26"/>
        </w:rPr>
        <w:t xml:space="preserve"> </w:t>
      </w:r>
      <w:r>
        <w:rPr>
          <w:sz w:val="26"/>
        </w:rPr>
        <w:t>the</w:t>
      </w:r>
      <w:r>
        <w:rPr>
          <w:spacing w:val="-9"/>
          <w:sz w:val="26"/>
        </w:rPr>
        <w:t xml:space="preserve"> </w:t>
      </w:r>
      <w:r>
        <w:rPr>
          <w:sz w:val="26"/>
        </w:rPr>
        <w:t>organisation</w:t>
      </w:r>
      <w:r>
        <w:rPr>
          <w:spacing w:val="-7"/>
          <w:sz w:val="26"/>
        </w:rPr>
        <w:t xml:space="preserve"> </w:t>
      </w:r>
      <w:r>
        <w:rPr>
          <w:sz w:val="26"/>
        </w:rPr>
        <w:t>and</w:t>
      </w:r>
      <w:r>
        <w:rPr>
          <w:spacing w:val="-7"/>
          <w:sz w:val="26"/>
        </w:rPr>
        <w:t xml:space="preserve"> </w:t>
      </w:r>
      <w:r>
        <w:rPr>
          <w:sz w:val="26"/>
        </w:rPr>
        <w:t>activities</w:t>
      </w:r>
      <w:r>
        <w:rPr>
          <w:spacing w:val="-7"/>
          <w:sz w:val="26"/>
        </w:rPr>
        <w:t xml:space="preserve"> </w:t>
      </w:r>
      <w:r>
        <w:rPr>
          <w:sz w:val="26"/>
        </w:rPr>
        <w:t>of</w:t>
      </w:r>
      <w:r>
        <w:rPr>
          <w:spacing w:val="-8"/>
          <w:sz w:val="26"/>
        </w:rPr>
        <w:t xml:space="preserve"> </w:t>
      </w:r>
      <w:r>
        <w:rPr>
          <w:sz w:val="26"/>
        </w:rPr>
        <w:t>the</w:t>
      </w:r>
      <w:r>
        <w:rPr>
          <w:spacing w:val="-9"/>
          <w:sz w:val="26"/>
        </w:rPr>
        <w:t xml:space="preserve"> </w:t>
      </w:r>
      <w:r>
        <w:rPr>
          <w:sz w:val="26"/>
        </w:rPr>
        <w:t>Aurobindo</w:t>
      </w:r>
      <w:r>
        <w:rPr>
          <w:spacing w:val="-7"/>
          <w:sz w:val="26"/>
        </w:rPr>
        <w:t xml:space="preserve"> </w:t>
      </w:r>
      <w:r>
        <w:rPr>
          <w:sz w:val="26"/>
        </w:rPr>
        <w:t>Society</w:t>
      </w:r>
      <w:r>
        <w:rPr>
          <w:spacing w:val="-9"/>
          <w:sz w:val="26"/>
        </w:rPr>
        <w:t xml:space="preserve"> </w:t>
      </w:r>
      <w:r>
        <w:rPr>
          <w:sz w:val="26"/>
        </w:rPr>
        <w:t>and emphasised that a collective seeking the status of a religious denomination must be a religious</w:t>
      </w:r>
      <w:r>
        <w:rPr>
          <w:spacing w:val="-3"/>
          <w:sz w:val="26"/>
        </w:rPr>
        <w:t xml:space="preserve"> </w:t>
      </w:r>
      <w:r>
        <w:rPr>
          <w:sz w:val="26"/>
        </w:rPr>
        <w:t>institution:</w:t>
      </w:r>
    </w:p>
    <w:p w:rsidR="003B2FC0" w:rsidRDefault="003B2FC0">
      <w:pPr>
        <w:rPr>
          <w:sz w:val="20"/>
        </w:rPr>
      </w:pPr>
    </w:p>
    <w:p w:rsidR="003B2FC0" w:rsidRDefault="003B2FC0">
      <w:pPr>
        <w:spacing w:before="7"/>
        <w:rPr>
          <w:sz w:val="15"/>
        </w:rPr>
      </w:pPr>
      <w:r w:rsidRPr="003B2FC0">
        <w:pict>
          <v:line id="_x0000_s1110" style="position:absolute;z-index:251605504;mso-wrap-distance-left:0;mso-wrap-distance-right:0;mso-position-horizontal-relative:page" from="1in,11.35pt" to="216.05pt,11.35pt" strokeweight=".72pt">
            <w10:wrap type="topAndBottom" anchorx="page"/>
          </v:line>
        </w:pict>
      </w:r>
    </w:p>
    <w:p w:rsidR="003B2FC0" w:rsidRDefault="00052A49">
      <w:pPr>
        <w:spacing w:before="66" w:line="210" w:lineRule="exact"/>
        <w:ind w:left="400"/>
        <w:rPr>
          <w:sz w:val="18"/>
        </w:rPr>
      </w:pPr>
      <w:r>
        <w:rPr>
          <w:position w:val="6"/>
          <w:sz w:val="12"/>
        </w:rPr>
        <w:t xml:space="preserve">58  </w:t>
      </w:r>
      <w:r>
        <w:rPr>
          <w:sz w:val="18"/>
        </w:rPr>
        <w:t>1983 1 SCC</w:t>
      </w:r>
      <w:r>
        <w:rPr>
          <w:spacing w:val="-19"/>
          <w:sz w:val="18"/>
        </w:rPr>
        <w:t xml:space="preserve"> </w:t>
      </w:r>
      <w:r>
        <w:rPr>
          <w:sz w:val="18"/>
        </w:rPr>
        <w:t>51</w:t>
      </w:r>
    </w:p>
    <w:p w:rsidR="003B2FC0" w:rsidRDefault="00052A49">
      <w:pPr>
        <w:spacing w:line="210" w:lineRule="exact"/>
        <w:ind w:left="400"/>
        <w:rPr>
          <w:sz w:val="18"/>
        </w:rPr>
      </w:pPr>
      <w:r>
        <w:rPr>
          <w:position w:val="6"/>
          <w:sz w:val="12"/>
        </w:rPr>
        <w:t xml:space="preserve">59  </w:t>
      </w:r>
      <w:r>
        <w:rPr>
          <w:sz w:val="18"/>
        </w:rPr>
        <w:t>Ibid, at page</w:t>
      </w:r>
      <w:r>
        <w:rPr>
          <w:spacing w:val="-23"/>
          <w:sz w:val="18"/>
        </w:rPr>
        <w:t xml:space="preserve"> </w:t>
      </w:r>
      <w:r>
        <w:rPr>
          <w:sz w:val="18"/>
        </w:rPr>
        <w:t>85</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58"/>
        <w:jc w:val="both"/>
        <w:rPr>
          <w:sz w:val="14"/>
        </w:rPr>
      </w:pPr>
      <w:r>
        <w:rPr>
          <w:sz w:val="21"/>
        </w:rPr>
        <w:t>“120. It was further contended that a religious denomination must</w:t>
      </w:r>
      <w:r>
        <w:rPr>
          <w:spacing w:val="-12"/>
          <w:sz w:val="21"/>
        </w:rPr>
        <w:t xml:space="preserve"> </w:t>
      </w:r>
      <w:r>
        <w:rPr>
          <w:sz w:val="21"/>
        </w:rPr>
        <w:t>be</w:t>
      </w:r>
      <w:r>
        <w:rPr>
          <w:spacing w:val="-9"/>
          <w:sz w:val="21"/>
        </w:rPr>
        <w:t xml:space="preserve"> </w:t>
      </w:r>
      <w:r>
        <w:rPr>
          <w:sz w:val="21"/>
        </w:rPr>
        <w:t>professed</w:t>
      </w:r>
      <w:r>
        <w:rPr>
          <w:spacing w:val="-10"/>
          <w:sz w:val="21"/>
        </w:rPr>
        <w:t xml:space="preserve"> </w:t>
      </w:r>
      <w:r>
        <w:rPr>
          <w:sz w:val="21"/>
        </w:rPr>
        <w:t>by</w:t>
      </w:r>
      <w:r>
        <w:rPr>
          <w:spacing w:val="-12"/>
          <w:sz w:val="21"/>
        </w:rPr>
        <w:t xml:space="preserve"> </w:t>
      </w:r>
      <w:r>
        <w:rPr>
          <w:sz w:val="21"/>
        </w:rPr>
        <w:t>that</w:t>
      </w:r>
      <w:r>
        <w:rPr>
          <w:spacing w:val="-8"/>
          <w:sz w:val="21"/>
        </w:rPr>
        <w:t xml:space="preserve"> </w:t>
      </w:r>
      <w:r>
        <w:rPr>
          <w:sz w:val="21"/>
        </w:rPr>
        <w:t>body</w:t>
      </w:r>
      <w:r>
        <w:rPr>
          <w:spacing w:val="-12"/>
          <w:sz w:val="21"/>
        </w:rPr>
        <w:t xml:space="preserve"> </w:t>
      </w:r>
      <w:r>
        <w:rPr>
          <w:sz w:val="21"/>
        </w:rPr>
        <w:t>but</w:t>
      </w:r>
      <w:r>
        <w:rPr>
          <w:spacing w:val="-11"/>
          <w:sz w:val="21"/>
        </w:rPr>
        <w:t xml:space="preserve"> </w:t>
      </w:r>
      <w:r>
        <w:rPr>
          <w:sz w:val="21"/>
        </w:rPr>
        <w:t>from</w:t>
      </w:r>
      <w:r>
        <w:rPr>
          <w:spacing w:val="-8"/>
          <w:sz w:val="21"/>
        </w:rPr>
        <w:t xml:space="preserve"> </w:t>
      </w:r>
      <w:r>
        <w:rPr>
          <w:sz w:val="21"/>
        </w:rPr>
        <w:t>the</w:t>
      </w:r>
      <w:r>
        <w:rPr>
          <w:spacing w:val="-9"/>
          <w:sz w:val="21"/>
        </w:rPr>
        <w:t xml:space="preserve"> </w:t>
      </w:r>
      <w:r>
        <w:rPr>
          <w:sz w:val="21"/>
        </w:rPr>
        <w:t>very</w:t>
      </w:r>
      <w:r>
        <w:rPr>
          <w:spacing w:val="-14"/>
          <w:sz w:val="21"/>
        </w:rPr>
        <w:t xml:space="preserve"> </w:t>
      </w:r>
      <w:r>
        <w:rPr>
          <w:sz w:val="21"/>
        </w:rPr>
        <w:t>beginning</w:t>
      </w:r>
      <w:r>
        <w:rPr>
          <w:spacing w:val="-9"/>
          <w:sz w:val="21"/>
        </w:rPr>
        <w:t xml:space="preserve"> </w:t>
      </w:r>
      <w:r>
        <w:rPr>
          <w:sz w:val="21"/>
        </w:rPr>
        <w:t>the Society has eschewed the word “religion” in its constitution. The Society professed to be a scientific research organisation to</w:t>
      </w:r>
      <w:r>
        <w:rPr>
          <w:spacing w:val="-6"/>
          <w:sz w:val="21"/>
        </w:rPr>
        <w:t xml:space="preserve"> </w:t>
      </w:r>
      <w:r>
        <w:rPr>
          <w:sz w:val="21"/>
        </w:rPr>
        <w:t>the</w:t>
      </w:r>
      <w:r>
        <w:rPr>
          <w:spacing w:val="-6"/>
          <w:sz w:val="21"/>
        </w:rPr>
        <w:t xml:space="preserve"> </w:t>
      </w:r>
      <w:r>
        <w:rPr>
          <w:sz w:val="21"/>
        </w:rPr>
        <w:t>donors</w:t>
      </w:r>
      <w:r>
        <w:rPr>
          <w:spacing w:val="-5"/>
          <w:sz w:val="21"/>
        </w:rPr>
        <w:t xml:space="preserve"> </w:t>
      </w:r>
      <w:r>
        <w:rPr>
          <w:sz w:val="21"/>
        </w:rPr>
        <w:t>and</w:t>
      </w:r>
      <w:r>
        <w:rPr>
          <w:spacing w:val="-6"/>
          <w:sz w:val="21"/>
        </w:rPr>
        <w:t xml:space="preserve"> </w:t>
      </w:r>
      <w:r>
        <w:rPr>
          <w:sz w:val="21"/>
        </w:rPr>
        <w:t>got</w:t>
      </w:r>
      <w:r>
        <w:rPr>
          <w:spacing w:val="-6"/>
          <w:sz w:val="21"/>
        </w:rPr>
        <w:t xml:space="preserve"> </w:t>
      </w:r>
      <w:r>
        <w:rPr>
          <w:sz w:val="21"/>
        </w:rPr>
        <w:t>income</w:t>
      </w:r>
      <w:r>
        <w:rPr>
          <w:spacing w:val="-6"/>
          <w:sz w:val="21"/>
        </w:rPr>
        <w:t xml:space="preserve"> </w:t>
      </w:r>
      <w:r>
        <w:rPr>
          <w:sz w:val="21"/>
        </w:rPr>
        <w:t>tax</w:t>
      </w:r>
      <w:r>
        <w:rPr>
          <w:spacing w:val="-6"/>
          <w:sz w:val="21"/>
        </w:rPr>
        <w:t xml:space="preserve"> </w:t>
      </w:r>
      <w:r>
        <w:rPr>
          <w:sz w:val="21"/>
        </w:rPr>
        <w:t>exemption</w:t>
      </w:r>
      <w:r>
        <w:rPr>
          <w:spacing w:val="-5"/>
          <w:sz w:val="21"/>
        </w:rPr>
        <w:t xml:space="preserve"> </w:t>
      </w:r>
      <w:r>
        <w:rPr>
          <w:sz w:val="21"/>
        </w:rPr>
        <w:t>on</w:t>
      </w:r>
      <w:r>
        <w:rPr>
          <w:spacing w:val="-6"/>
          <w:sz w:val="21"/>
        </w:rPr>
        <w:t xml:space="preserve"> </w:t>
      </w:r>
      <w:r>
        <w:rPr>
          <w:sz w:val="21"/>
        </w:rPr>
        <w:t>the</w:t>
      </w:r>
      <w:r>
        <w:rPr>
          <w:spacing w:val="-5"/>
          <w:sz w:val="21"/>
        </w:rPr>
        <w:t xml:space="preserve"> </w:t>
      </w:r>
      <w:r>
        <w:rPr>
          <w:sz w:val="21"/>
        </w:rPr>
        <w:t>footing</w:t>
      </w:r>
      <w:r>
        <w:rPr>
          <w:spacing w:val="-6"/>
          <w:sz w:val="21"/>
        </w:rPr>
        <w:t xml:space="preserve"> </w:t>
      </w:r>
      <w:r>
        <w:rPr>
          <w:sz w:val="21"/>
        </w:rPr>
        <w:t>that it was not a religious institution. The Society has claimed exem</w:t>
      </w:r>
      <w:r>
        <w:rPr>
          <w:sz w:val="21"/>
        </w:rPr>
        <w:t>ption from income tax under Section 80 for the donors and under Section 35 for itself on that ground. Ashram Trust was different from Auroville Ashram. The Ashram Trust also applied</w:t>
      </w:r>
      <w:r>
        <w:rPr>
          <w:spacing w:val="-16"/>
          <w:sz w:val="21"/>
        </w:rPr>
        <w:t xml:space="preserve"> </w:t>
      </w:r>
      <w:r>
        <w:rPr>
          <w:sz w:val="21"/>
        </w:rPr>
        <w:t>for</w:t>
      </w:r>
      <w:r>
        <w:rPr>
          <w:spacing w:val="-16"/>
          <w:sz w:val="21"/>
        </w:rPr>
        <w:t xml:space="preserve"> </w:t>
      </w:r>
      <w:r>
        <w:rPr>
          <w:sz w:val="21"/>
        </w:rPr>
        <w:t>income</w:t>
      </w:r>
      <w:r>
        <w:rPr>
          <w:spacing w:val="-15"/>
          <w:sz w:val="21"/>
        </w:rPr>
        <w:t xml:space="preserve"> </w:t>
      </w:r>
      <w:r>
        <w:rPr>
          <w:sz w:val="21"/>
        </w:rPr>
        <w:t>tax</w:t>
      </w:r>
      <w:r>
        <w:rPr>
          <w:spacing w:val="-16"/>
          <w:sz w:val="21"/>
        </w:rPr>
        <w:t xml:space="preserve"> </w:t>
      </w:r>
      <w:r>
        <w:rPr>
          <w:sz w:val="21"/>
        </w:rPr>
        <w:t>exemption</w:t>
      </w:r>
      <w:r>
        <w:rPr>
          <w:spacing w:val="-15"/>
          <w:sz w:val="21"/>
        </w:rPr>
        <w:t xml:space="preserve"> </w:t>
      </w:r>
      <w:r>
        <w:rPr>
          <w:sz w:val="21"/>
        </w:rPr>
        <w:t>and</w:t>
      </w:r>
      <w:r>
        <w:rPr>
          <w:spacing w:val="-15"/>
          <w:sz w:val="21"/>
        </w:rPr>
        <w:t xml:space="preserve"> </w:t>
      </w:r>
      <w:r>
        <w:rPr>
          <w:sz w:val="21"/>
        </w:rPr>
        <w:t>got</w:t>
      </w:r>
      <w:r>
        <w:rPr>
          <w:spacing w:val="-16"/>
          <w:sz w:val="21"/>
        </w:rPr>
        <w:t xml:space="preserve"> </w:t>
      </w:r>
      <w:r>
        <w:rPr>
          <w:sz w:val="21"/>
        </w:rPr>
        <w:t>it</w:t>
      </w:r>
      <w:r>
        <w:rPr>
          <w:spacing w:val="-17"/>
          <w:sz w:val="21"/>
        </w:rPr>
        <w:t xml:space="preserve"> </w:t>
      </w:r>
      <w:r>
        <w:rPr>
          <w:sz w:val="21"/>
        </w:rPr>
        <w:t>on</w:t>
      </w:r>
      <w:r>
        <w:rPr>
          <w:spacing w:val="-12"/>
          <w:sz w:val="21"/>
        </w:rPr>
        <w:t xml:space="preserve"> </w:t>
      </w:r>
      <w:r>
        <w:rPr>
          <w:sz w:val="21"/>
        </w:rPr>
        <w:t>that</w:t>
      </w:r>
      <w:r>
        <w:rPr>
          <w:spacing w:val="-14"/>
          <w:sz w:val="21"/>
        </w:rPr>
        <w:t xml:space="preserve"> </w:t>
      </w:r>
      <w:r>
        <w:rPr>
          <w:sz w:val="21"/>
        </w:rPr>
        <w:t>very</w:t>
      </w:r>
      <w:r>
        <w:rPr>
          <w:spacing w:val="-15"/>
          <w:sz w:val="21"/>
        </w:rPr>
        <w:t xml:space="preserve"> </w:t>
      </w:r>
      <w:r>
        <w:rPr>
          <w:sz w:val="21"/>
        </w:rPr>
        <w:t>ground. So also Aurobindo Society claimed exemption on the footing that it was not a religious institution and got it. They professed to</w:t>
      </w:r>
      <w:r>
        <w:rPr>
          <w:spacing w:val="-11"/>
          <w:sz w:val="21"/>
        </w:rPr>
        <w:t xml:space="preserve"> </w:t>
      </w:r>
      <w:r>
        <w:rPr>
          <w:sz w:val="21"/>
        </w:rPr>
        <w:t>the</w:t>
      </w:r>
      <w:r>
        <w:rPr>
          <w:spacing w:val="-10"/>
          <w:sz w:val="21"/>
        </w:rPr>
        <w:t xml:space="preserve"> </w:t>
      </w:r>
      <w:r>
        <w:rPr>
          <w:sz w:val="21"/>
        </w:rPr>
        <w:t>Government</w:t>
      </w:r>
      <w:r>
        <w:rPr>
          <w:spacing w:val="-12"/>
          <w:sz w:val="21"/>
        </w:rPr>
        <w:t xml:space="preserve"> </w:t>
      </w:r>
      <w:r>
        <w:rPr>
          <w:sz w:val="21"/>
        </w:rPr>
        <w:t>also</w:t>
      </w:r>
      <w:r>
        <w:rPr>
          <w:spacing w:val="-11"/>
          <w:sz w:val="21"/>
        </w:rPr>
        <w:t xml:space="preserve"> </w:t>
      </w:r>
      <w:r>
        <w:rPr>
          <w:sz w:val="21"/>
        </w:rPr>
        <w:t>that</w:t>
      </w:r>
      <w:r>
        <w:rPr>
          <w:spacing w:val="-12"/>
          <w:sz w:val="21"/>
        </w:rPr>
        <w:t xml:space="preserve"> </w:t>
      </w:r>
      <w:r>
        <w:rPr>
          <w:sz w:val="21"/>
        </w:rPr>
        <w:t>they</w:t>
      </w:r>
      <w:r>
        <w:rPr>
          <w:spacing w:val="-9"/>
          <w:sz w:val="21"/>
        </w:rPr>
        <w:t xml:space="preserve"> </w:t>
      </w:r>
      <w:r>
        <w:rPr>
          <w:sz w:val="21"/>
        </w:rPr>
        <w:t>were</w:t>
      </w:r>
      <w:r>
        <w:rPr>
          <w:spacing w:val="-11"/>
          <w:sz w:val="21"/>
        </w:rPr>
        <w:t xml:space="preserve"> </w:t>
      </w:r>
      <w:r>
        <w:rPr>
          <w:sz w:val="21"/>
        </w:rPr>
        <w:t>not</w:t>
      </w:r>
      <w:r>
        <w:rPr>
          <w:spacing w:val="-11"/>
          <w:sz w:val="21"/>
        </w:rPr>
        <w:t xml:space="preserve"> </w:t>
      </w:r>
      <w:r>
        <w:rPr>
          <w:sz w:val="21"/>
        </w:rPr>
        <w:t>a</w:t>
      </w:r>
      <w:r>
        <w:rPr>
          <w:spacing w:val="-9"/>
          <w:sz w:val="21"/>
        </w:rPr>
        <w:t xml:space="preserve"> </w:t>
      </w:r>
      <w:r>
        <w:rPr>
          <w:sz w:val="21"/>
        </w:rPr>
        <w:t>religious</w:t>
      </w:r>
      <w:r>
        <w:rPr>
          <w:spacing w:val="-11"/>
          <w:sz w:val="21"/>
        </w:rPr>
        <w:t xml:space="preserve"> </w:t>
      </w:r>
      <w:r>
        <w:rPr>
          <w:sz w:val="21"/>
        </w:rPr>
        <w:t xml:space="preserve">institution in their application for financial assistance under the </w:t>
      </w:r>
      <w:r>
        <w:rPr>
          <w:sz w:val="21"/>
        </w:rPr>
        <w:t>Central Scheme of Assistance to voluntary Hindu</w:t>
      </w:r>
      <w:r>
        <w:rPr>
          <w:spacing w:val="-15"/>
          <w:sz w:val="21"/>
        </w:rPr>
        <w:t xml:space="preserve"> </w:t>
      </w:r>
      <w:r>
        <w:rPr>
          <w:sz w:val="21"/>
        </w:rPr>
        <w:t>organisations.</w:t>
      </w:r>
      <w:r>
        <w:rPr>
          <w:position w:val="7"/>
          <w:sz w:val="14"/>
        </w:rPr>
        <w:t>60</w:t>
      </w:r>
    </w:p>
    <w:p w:rsidR="003B2FC0" w:rsidRDefault="003B2FC0">
      <w:pPr>
        <w:spacing w:before="10"/>
        <w:rPr>
          <w:sz w:val="30"/>
        </w:rPr>
      </w:pPr>
    </w:p>
    <w:p w:rsidR="003B2FC0" w:rsidRDefault="00052A49">
      <w:pPr>
        <w:spacing w:line="276" w:lineRule="auto"/>
        <w:ind w:left="1840" w:right="2257"/>
        <w:jc w:val="both"/>
        <w:rPr>
          <w:sz w:val="14"/>
        </w:rPr>
      </w:pPr>
      <w:r>
        <w:rPr>
          <w:sz w:val="21"/>
        </w:rPr>
        <w:t>121. On the basis of the materials placed before us viz. the Memorandum of Association of the Society, the several applications made by the Society claiming exemption under Section</w:t>
      </w:r>
      <w:r>
        <w:rPr>
          <w:spacing w:val="-9"/>
          <w:sz w:val="21"/>
        </w:rPr>
        <w:t xml:space="preserve"> </w:t>
      </w:r>
      <w:r>
        <w:rPr>
          <w:sz w:val="21"/>
        </w:rPr>
        <w:t>35</w:t>
      </w:r>
      <w:r>
        <w:rPr>
          <w:spacing w:val="-6"/>
          <w:sz w:val="21"/>
        </w:rPr>
        <w:t xml:space="preserve"> </w:t>
      </w:r>
      <w:r>
        <w:rPr>
          <w:sz w:val="21"/>
        </w:rPr>
        <w:t>and</w:t>
      </w:r>
      <w:r>
        <w:rPr>
          <w:spacing w:val="-8"/>
          <w:sz w:val="21"/>
        </w:rPr>
        <w:t xml:space="preserve"> </w:t>
      </w:r>
      <w:r>
        <w:rPr>
          <w:sz w:val="21"/>
        </w:rPr>
        <w:t>Se</w:t>
      </w:r>
      <w:r>
        <w:rPr>
          <w:sz w:val="21"/>
        </w:rPr>
        <w:t>ction</w:t>
      </w:r>
      <w:r>
        <w:rPr>
          <w:spacing w:val="-8"/>
          <w:sz w:val="21"/>
        </w:rPr>
        <w:t xml:space="preserve"> </w:t>
      </w:r>
      <w:r>
        <w:rPr>
          <w:sz w:val="21"/>
        </w:rPr>
        <w:t>80</w:t>
      </w:r>
      <w:r>
        <w:rPr>
          <w:spacing w:val="-9"/>
          <w:sz w:val="21"/>
        </w:rPr>
        <w:t xml:space="preserve"> </w:t>
      </w:r>
      <w:r>
        <w:rPr>
          <w:sz w:val="21"/>
        </w:rPr>
        <w:t>of</w:t>
      </w:r>
      <w:r>
        <w:rPr>
          <w:spacing w:val="-5"/>
          <w:sz w:val="21"/>
        </w:rPr>
        <w:t xml:space="preserve"> </w:t>
      </w:r>
      <w:r>
        <w:rPr>
          <w:sz w:val="21"/>
        </w:rPr>
        <w:t>the</w:t>
      </w:r>
      <w:r>
        <w:rPr>
          <w:spacing w:val="-6"/>
          <w:sz w:val="21"/>
        </w:rPr>
        <w:t xml:space="preserve"> </w:t>
      </w:r>
      <w:r>
        <w:rPr>
          <w:sz w:val="21"/>
        </w:rPr>
        <w:t>Income</w:t>
      </w:r>
      <w:r>
        <w:rPr>
          <w:spacing w:val="-8"/>
          <w:sz w:val="21"/>
        </w:rPr>
        <w:t xml:space="preserve"> </w:t>
      </w:r>
      <w:r>
        <w:rPr>
          <w:sz w:val="21"/>
        </w:rPr>
        <w:t>Tax</w:t>
      </w:r>
      <w:r>
        <w:rPr>
          <w:spacing w:val="-9"/>
          <w:sz w:val="21"/>
        </w:rPr>
        <w:t xml:space="preserve"> </w:t>
      </w:r>
      <w:r>
        <w:rPr>
          <w:sz w:val="21"/>
        </w:rPr>
        <w:t>Act,</w:t>
      </w:r>
      <w:r>
        <w:rPr>
          <w:spacing w:val="-7"/>
          <w:sz w:val="21"/>
        </w:rPr>
        <w:t xml:space="preserve"> </w:t>
      </w:r>
      <w:r>
        <w:rPr>
          <w:sz w:val="21"/>
        </w:rPr>
        <w:t>the</w:t>
      </w:r>
      <w:r>
        <w:rPr>
          <w:spacing w:val="-6"/>
          <w:sz w:val="21"/>
        </w:rPr>
        <w:t xml:space="preserve"> </w:t>
      </w:r>
      <w:r>
        <w:rPr>
          <w:sz w:val="21"/>
        </w:rPr>
        <w:t>repeated utterings of Sri Aurobindo and the Mother that the Society and Auroville were not religious institutions and host of other documents there is no room for doubt that neither the Society nor Auroville constitute a</w:t>
      </w:r>
      <w:r>
        <w:rPr>
          <w:sz w:val="21"/>
        </w:rPr>
        <w:t xml:space="preserve"> religious denomination and the teachings</w:t>
      </w:r>
      <w:r>
        <w:rPr>
          <w:spacing w:val="-15"/>
          <w:sz w:val="21"/>
        </w:rPr>
        <w:t xml:space="preserve"> </w:t>
      </w:r>
      <w:r>
        <w:rPr>
          <w:sz w:val="21"/>
        </w:rPr>
        <w:t>of</w:t>
      </w:r>
      <w:r>
        <w:rPr>
          <w:spacing w:val="-13"/>
          <w:sz w:val="21"/>
        </w:rPr>
        <w:t xml:space="preserve"> </w:t>
      </w:r>
      <w:r>
        <w:rPr>
          <w:sz w:val="21"/>
        </w:rPr>
        <w:t>Sri</w:t>
      </w:r>
      <w:r>
        <w:rPr>
          <w:spacing w:val="-15"/>
          <w:sz w:val="21"/>
        </w:rPr>
        <w:t xml:space="preserve"> </w:t>
      </w:r>
      <w:r>
        <w:rPr>
          <w:sz w:val="21"/>
        </w:rPr>
        <w:t>Aurobindo</w:t>
      </w:r>
      <w:r>
        <w:rPr>
          <w:spacing w:val="-14"/>
          <w:sz w:val="21"/>
        </w:rPr>
        <w:t xml:space="preserve"> </w:t>
      </w:r>
      <w:r>
        <w:rPr>
          <w:sz w:val="21"/>
        </w:rPr>
        <w:t>only</w:t>
      </w:r>
      <w:r>
        <w:rPr>
          <w:spacing w:val="-16"/>
          <w:sz w:val="21"/>
        </w:rPr>
        <w:t xml:space="preserve"> </w:t>
      </w:r>
      <w:r>
        <w:rPr>
          <w:sz w:val="21"/>
        </w:rPr>
        <w:t>represented</w:t>
      </w:r>
      <w:r>
        <w:rPr>
          <w:spacing w:val="-12"/>
          <w:sz w:val="21"/>
        </w:rPr>
        <w:t xml:space="preserve"> </w:t>
      </w:r>
      <w:r>
        <w:rPr>
          <w:sz w:val="21"/>
        </w:rPr>
        <w:t>his</w:t>
      </w:r>
      <w:r>
        <w:rPr>
          <w:spacing w:val="-13"/>
          <w:sz w:val="21"/>
        </w:rPr>
        <w:t xml:space="preserve"> </w:t>
      </w:r>
      <w:r>
        <w:rPr>
          <w:sz w:val="21"/>
        </w:rPr>
        <w:t>philosophy</w:t>
      </w:r>
      <w:r>
        <w:rPr>
          <w:spacing w:val="-14"/>
          <w:sz w:val="21"/>
        </w:rPr>
        <w:t xml:space="preserve"> </w:t>
      </w:r>
      <w:r>
        <w:rPr>
          <w:sz w:val="21"/>
        </w:rPr>
        <w:t>and not a</w:t>
      </w:r>
      <w:r>
        <w:rPr>
          <w:spacing w:val="-4"/>
          <w:sz w:val="21"/>
        </w:rPr>
        <w:t xml:space="preserve"> </w:t>
      </w:r>
      <w:r>
        <w:rPr>
          <w:sz w:val="21"/>
        </w:rPr>
        <w:t>religion.”</w:t>
      </w:r>
      <w:r>
        <w:rPr>
          <w:position w:val="7"/>
          <w:sz w:val="14"/>
        </w:rPr>
        <w:t>61</w:t>
      </w:r>
    </w:p>
    <w:p w:rsidR="003B2FC0" w:rsidRDefault="003B2FC0">
      <w:pPr>
        <w:rPr>
          <w:sz w:val="24"/>
        </w:rPr>
      </w:pPr>
    </w:p>
    <w:p w:rsidR="003B2FC0" w:rsidRDefault="003B2FC0">
      <w:pPr>
        <w:spacing w:before="8"/>
        <w:rPr>
          <w:sz w:val="27"/>
        </w:rPr>
      </w:pPr>
    </w:p>
    <w:p w:rsidR="003B2FC0" w:rsidRDefault="00052A49">
      <w:pPr>
        <w:spacing w:line="480" w:lineRule="auto"/>
        <w:ind w:left="400" w:right="461"/>
        <w:jc w:val="both"/>
        <w:rPr>
          <w:sz w:val="26"/>
        </w:rPr>
      </w:pPr>
      <w:r>
        <w:rPr>
          <w:sz w:val="26"/>
        </w:rPr>
        <w:t>The sect was based on a shared philosophy and not on a common set of religious</w:t>
      </w:r>
      <w:r>
        <w:rPr>
          <w:spacing w:val="-9"/>
          <w:sz w:val="26"/>
        </w:rPr>
        <w:t xml:space="preserve"> </w:t>
      </w:r>
      <w:r>
        <w:rPr>
          <w:sz w:val="26"/>
        </w:rPr>
        <w:t>beliefs</w:t>
      </w:r>
      <w:r>
        <w:rPr>
          <w:spacing w:val="-12"/>
          <w:sz w:val="26"/>
        </w:rPr>
        <w:t xml:space="preserve"> </w:t>
      </w:r>
      <w:r>
        <w:rPr>
          <w:sz w:val="26"/>
        </w:rPr>
        <w:t>or</w:t>
      </w:r>
      <w:r>
        <w:rPr>
          <w:spacing w:val="-9"/>
          <w:sz w:val="26"/>
        </w:rPr>
        <w:t xml:space="preserve"> </w:t>
      </w:r>
      <w:r>
        <w:rPr>
          <w:sz w:val="26"/>
        </w:rPr>
        <w:t>faith.</w:t>
      </w:r>
      <w:r>
        <w:rPr>
          <w:spacing w:val="-11"/>
          <w:sz w:val="26"/>
        </w:rPr>
        <w:t xml:space="preserve"> </w:t>
      </w:r>
      <w:r>
        <w:rPr>
          <w:sz w:val="26"/>
        </w:rPr>
        <w:t>Hence,</w:t>
      </w:r>
      <w:r>
        <w:rPr>
          <w:spacing w:val="-12"/>
          <w:sz w:val="26"/>
        </w:rPr>
        <w:t xml:space="preserve"> </w:t>
      </w:r>
      <w:r>
        <w:rPr>
          <w:sz w:val="26"/>
        </w:rPr>
        <w:t>the</w:t>
      </w:r>
      <w:r>
        <w:rPr>
          <w:spacing w:val="-12"/>
          <w:sz w:val="26"/>
        </w:rPr>
        <w:t xml:space="preserve"> </w:t>
      </w:r>
      <w:r>
        <w:rPr>
          <w:sz w:val="26"/>
        </w:rPr>
        <w:t>sect</w:t>
      </w:r>
      <w:r>
        <w:rPr>
          <w:spacing w:val="-6"/>
          <w:sz w:val="26"/>
        </w:rPr>
        <w:t xml:space="preserve"> </w:t>
      </w:r>
      <w:r>
        <w:rPr>
          <w:sz w:val="26"/>
        </w:rPr>
        <w:t>was</w:t>
      </w:r>
      <w:r>
        <w:rPr>
          <w:spacing w:val="-11"/>
          <w:sz w:val="26"/>
        </w:rPr>
        <w:t xml:space="preserve"> </w:t>
      </w:r>
      <w:r>
        <w:rPr>
          <w:sz w:val="26"/>
        </w:rPr>
        <w:t>held</w:t>
      </w:r>
      <w:r>
        <w:rPr>
          <w:spacing w:val="-9"/>
          <w:sz w:val="26"/>
        </w:rPr>
        <w:t xml:space="preserve"> </w:t>
      </w:r>
      <w:r>
        <w:rPr>
          <w:sz w:val="26"/>
        </w:rPr>
        <w:t>not</w:t>
      </w:r>
      <w:r>
        <w:rPr>
          <w:spacing w:val="-8"/>
          <w:sz w:val="26"/>
        </w:rPr>
        <w:t xml:space="preserve"> </w:t>
      </w:r>
      <w:r>
        <w:rPr>
          <w:sz w:val="26"/>
        </w:rPr>
        <w:t>to</w:t>
      </w:r>
      <w:r>
        <w:rPr>
          <w:spacing w:val="-11"/>
          <w:sz w:val="26"/>
        </w:rPr>
        <w:t xml:space="preserve"> </w:t>
      </w:r>
      <w:r>
        <w:rPr>
          <w:sz w:val="26"/>
        </w:rPr>
        <w:t>qualify</w:t>
      </w:r>
      <w:r>
        <w:rPr>
          <w:spacing w:val="-9"/>
          <w:sz w:val="26"/>
        </w:rPr>
        <w:t xml:space="preserve"> </w:t>
      </w:r>
      <w:r>
        <w:rPr>
          <w:sz w:val="26"/>
        </w:rPr>
        <w:t>to</w:t>
      </w:r>
      <w:r>
        <w:rPr>
          <w:spacing w:val="-11"/>
          <w:sz w:val="26"/>
        </w:rPr>
        <w:t xml:space="preserve"> </w:t>
      </w:r>
      <w:r>
        <w:rPr>
          <w:sz w:val="26"/>
        </w:rPr>
        <w:t>be</w:t>
      </w:r>
      <w:r>
        <w:rPr>
          <w:spacing w:val="-9"/>
          <w:sz w:val="26"/>
        </w:rPr>
        <w:t xml:space="preserve"> </w:t>
      </w:r>
      <w:r>
        <w:rPr>
          <w:sz w:val="26"/>
        </w:rPr>
        <w:t>a</w:t>
      </w:r>
      <w:r>
        <w:rPr>
          <w:spacing w:val="-12"/>
          <w:sz w:val="26"/>
        </w:rPr>
        <w:t xml:space="preserve"> </w:t>
      </w:r>
      <w:r>
        <w:rPr>
          <w:sz w:val="26"/>
        </w:rPr>
        <w:t>religious denomination.</w:t>
      </w:r>
    </w:p>
    <w:p w:rsidR="003B2FC0" w:rsidRDefault="003B2FC0">
      <w:pPr>
        <w:rPr>
          <w:sz w:val="28"/>
        </w:rPr>
      </w:pPr>
    </w:p>
    <w:p w:rsidR="003B2FC0" w:rsidRDefault="003B2FC0">
      <w:pPr>
        <w:spacing w:before="1"/>
        <w:rPr>
          <w:sz w:val="24"/>
        </w:rPr>
      </w:pPr>
    </w:p>
    <w:p w:rsidR="003B2FC0" w:rsidRDefault="00052A49">
      <w:pPr>
        <w:pStyle w:val="ListParagraph"/>
        <w:numPr>
          <w:ilvl w:val="0"/>
          <w:numId w:val="39"/>
        </w:numPr>
        <w:tabs>
          <w:tab w:val="left" w:pos="1121"/>
        </w:tabs>
        <w:spacing w:before="1" w:line="480" w:lineRule="auto"/>
        <w:ind w:right="460" w:firstLine="0"/>
        <w:jc w:val="both"/>
        <w:rPr>
          <w:sz w:val="26"/>
        </w:rPr>
      </w:pPr>
      <w:r>
        <w:rPr>
          <w:sz w:val="26"/>
        </w:rPr>
        <w:t xml:space="preserve">The above tests have been followed in other decisions. In </w:t>
      </w:r>
      <w:r>
        <w:rPr>
          <w:b/>
          <w:sz w:val="26"/>
        </w:rPr>
        <w:t>Avadhuta I</w:t>
      </w:r>
      <w:r>
        <w:rPr>
          <w:sz w:val="26"/>
        </w:rPr>
        <w:t>,</w:t>
      </w:r>
      <w:r>
        <w:rPr>
          <w:spacing w:val="-23"/>
          <w:sz w:val="26"/>
        </w:rPr>
        <w:t xml:space="preserve"> </w:t>
      </w:r>
      <w:r>
        <w:rPr>
          <w:sz w:val="26"/>
        </w:rPr>
        <w:t>a three judge bench of this Court held that the Ananda Margis of West Bengal constitute</w:t>
      </w:r>
      <w:r>
        <w:rPr>
          <w:spacing w:val="-10"/>
          <w:sz w:val="26"/>
        </w:rPr>
        <w:t xml:space="preserve"> </w:t>
      </w:r>
      <w:r>
        <w:rPr>
          <w:sz w:val="26"/>
        </w:rPr>
        <w:t>a</w:t>
      </w:r>
      <w:r>
        <w:rPr>
          <w:spacing w:val="-9"/>
          <w:sz w:val="26"/>
        </w:rPr>
        <w:t xml:space="preserve"> </w:t>
      </w:r>
      <w:r>
        <w:rPr>
          <w:sz w:val="26"/>
        </w:rPr>
        <w:t>religious</w:t>
      </w:r>
      <w:r>
        <w:rPr>
          <w:spacing w:val="-7"/>
          <w:sz w:val="26"/>
        </w:rPr>
        <w:t xml:space="preserve"> </w:t>
      </w:r>
      <w:r>
        <w:rPr>
          <w:sz w:val="26"/>
        </w:rPr>
        <w:t>denomination</w:t>
      </w:r>
      <w:r>
        <w:rPr>
          <w:spacing w:val="-9"/>
          <w:sz w:val="26"/>
        </w:rPr>
        <w:t xml:space="preserve"> </w:t>
      </w:r>
      <w:r>
        <w:rPr>
          <w:sz w:val="26"/>
        </w:rPr>
        <w:t>under</w:t>
      </w:r>
      <w:r>
        <w:rPr>
          <w:spacing w:val="-7"/>
          <w:sz w:val="26"/>
        </w:rPr>
        <w:t xml:space="preserve"> </w:t>
      </w:r>
      <w:r>
        <w:rPr>
          <w:sz w:val="26"/>
        </w:rPr>
        <w:t>Article</w:t>
      </w:r>
      <w:r>
        <w:rPr>
          <w:spacing w:val="-9"/>
          <w:sz w:val="26"/>
        </w:rPr>
        <w:t xml:space="preserve"> </w:t>
      </w:r>
      <w:r>
        <w:rPr>
          <w:sz w:val="26"/>
        </w:rPr>
        <w:t>26,</w:t>
      </w:r>
      <w:r>
        <w:rPr>
          <w:spacing w:val="-9"/>
          <w:sz w:val="26"/>
        </w:rPr>
        <w:t xml:space="preserve"> </w:t>
      </w:r>
      <w:r>
        <w:rPr>
          <w:sz w:val="26"/>
        </w:rPr>
        <w:t>as</w:t>
      </w:r>
      <w:r>
        <w:rPr>
          <w:spacing w:val="-9"/>
          <w:sz w:val="26"/>
        </w:rPr>
        <w:t xml:space="preserve"> </w:t>
      </w:r>
      <w:r>
        <w:rPr>
          <w:sz w:val="26"/>
        </w:rPr>
        <w:t>they</w:t>
      </w:r>
      <w:r>
        <w:rPr>
          <w:spacing w:val="-11"/>
          <w:sz w:val="26"/>
        </w:rPr>
        <w:t xml:space="preserve"> </w:t>
      </w:r>
      <w:r>
        <w:rPr>
          <w:sz w:val="26"/>
        </w:rPr>
        <w:t>satisfy</w:t>
      </w:r>
      <w:r>
        <w:rPr>
          <w:spacing w:val="-11"/>
          <w:sz w:val="26"/>
        </w:rPr>
        <w:t xml:space="preserve"> </w:t>
      </w:r>
      <w:r>
        <w:rPr>
          <w:sz w:val="26"/>
        </w:rPr>
        <w:t>all</w:t>
      </w:r>
      <w:r>
        <w:rPr>
          <w:spacing w:val="-9"/>
          <w:sz w:val="26"/>
        </w:rPr>
        <w:t xml:space="preserve"> </w:t>
      </w:r>
      <w:r>
        <w:rPr>
          <w:sz w:val="26"/>
        </w:rPr>
        <w:t>the</w:t>
      </w:r>
      <w:r>
        <w:rPr>
          <w:spacing w:val="-9"/>
          <w:sz w:val="26"/>
        </w:rPr>
        <w:t xml:space="preserve"> </w:t>
      </w:r>
      <w:r>
        <w:rPr>
          <w:sz w:val="26"/>
        </w:rPr>
        <w:t>three conditions:</w:t>
      </w:r>
    </w:p>
    <w:p w:rsidR="003B2FC0" w:rsidRDefault="003B2FC0">
      <w:pPr>
        <w:spacing w:line="480" w:lineRule="auto"/>
        <w:jc w:val="both"/>
        <w:rPr>
          <w:sz w:val="26"/>
        </w:rPr>
        <w:sectPr w:rsidR="003B2FC0">
          <w:footerReference w:type="default" r:id="rId365"/>
          <w:pgSz w:w="11910" w:h="16840"/>
          <w:pgMar w:top="1080" w:right="980" w:bottom="1960" w:left="1040" w:header="708" w:footer="1768" w:gutter="0"/>
          <w:pgNumType w:start="82"/>
          <w:cols w:space="720"/>
        </w:sectPr>
      </w:pPr>
    </w:p>
    <w:p w:rsidR="003B2FC0" w:rsidRDefault="003B2FC0">
      <w:pPr>
        <w:spacing w:before="6"/>
        <w:rPr>
          <w:sz w:val="21"/>
        </w:rPr>
      </w:pPr>
    </w:p>
    <w:p w:rsidR="003B2FC0" w:rsidRDefault="00052A49">
      <w:pPr>
        <w:spacing w:before="94" w:line="276" w:lineRule="auto"/>
        <w:ind w:left="1840" w:right="2255"/>
        <w:jc w:val="both"/>
        <w:rPr>
          <w:sz w:val="14"/>
        </w:rPr>
      </w:pPr>
      <w:r>
        <w:rPr>
          <w:sz w:val="21"/>
        </w:rPr>
        <w:t>“11. Ananda Marga appears to satisfy all the three conditions viz.</w:t>
      </w:r>
      <w:r>
        <w:rPr>
          <w:spacing w:val="-7"/>
          <w:sz w:val="21"/>
        </w:rPr>
        <w:t xml:space="preserve"> </w:t>
      </w:r>
      <w:r>
        <w:rPr>
          <w:sz w:val="21"/>
        </w:rPr>
        <w:t>it</w:t>
      </w:r>
      <w:r>
        <w:rPr>
          <w:spacing w:val="-6"/>
          <w:sz w:val="21"/>
        </w:rPr>
        <w:t xml:space="preserve"> </w:t>
      </w:r>
      <w:r>
        <w:rPr>
          <w:sz w:val="21"/>
        </w:rPr>
        <w:t>is</w:t>
      </w:r>
      <w:r>
        <w:rPr>
          <w:spacing w:val="-6"/>
          <w:sz w:val="21"/>
        </w:rPr>
        <w:t xml:space="preserve"> </w:t>
      </w:r>
      <w:r>
        <w:rPr>
          <w:sz w:val="21"/>
        </w:rPr>
        <w:t>a</w:t>
      </w:r>
      <w:r>
        <w:rPr>
          <w:spacing w:val="-5"/>
          <w:sz w:val="21"/>
        </w:rPr>
        <w:t xml:space="preserve"> </w:t>
      </w:r>
      <w:r>
        <w:rPr>
          <w:sz w:val="21"/>
        </w:rPr>
        <w:t>collection</w:t>
      </w:r>
      <w:r>
        <w:rPr>
          <w:spacing w:val="-6"/>
          <w:sz w:val="21"/>
        </w:rPr>
        <w:t xml:space="preserve"> </w:t>
      </w:r>
      <w:r>
        <w:rPr>
          <w:sz w:val="21"/>
        </w:rPr>
        <w:t>of</w:t>
      </w:r>
      <w:r>
        <w:rPr>
          <w:spacing w:val="-4"/>
          <w:sz w:val="21"/>
        </w:rPr>
        <w:t xml:space="preserve"> </w:t>
      </w:r>
      <w:r>
        <w:rPr>
          <w:sz w:val="21"/>
        </w:rPr>
        <w:t>individuals</w:t>
      </w:r>
      <w:r>
        <w:rPr>
          <w:spacing w:val="-6"/>
          <w:sz w:val="21"/>
        </w:rPr>
        <w:t xml:space="preserve"> </w:t>
      </w:r>
      <w:r>
        <w:rPr>
          <w:sz w:val="21"/>
        </w:rPr>
        <w:t>who</w:t>
      </w:r>
      <w:r>
        <w:rPr>
          <w:spacing w:val="-7"/>
          <w:sz w:val="21"/>
        </w:rPr>
        <w:t xml:space="preserve"> </w:t>
      </w:r>
      <w:r>
        <w:rPr>
          <w:sz w:val="21"/>
        </w:rPr>
        <w:t>have</w:t>
      </w:r>
      <w:r>
        <w:rPr>
          <w:spacing w:val="-6"/>
          <w:sz w:val="21"/>
        </w:rPr>
        <w:t xml:space="preserve"> </w:t>
      </w:r>
      <w:r>
        <w:rPr>
          <w:sz w:val="21"/>
        </w:rPr>
        <w:t>a</w:t>
      </w:r>
      <w:r>
        <w:rPr>
          <w:spacing w:val="-5"/>
          <w:sz w:val="21"/>
        </w:rPr>
        <w:t xml:space="preserve"> </w:t>
      </w:r>
      <w:r>
        <w:rPr>
          <w:sz w:val="21"/>
        </w:rPr>
        <w:t>system</w:t>
      </w:r>
      <w:r>
        <w:rPr>
          <w:spacing w:val="-7"/>
          <w:sz w:val="21"/>
        </w:rPr>
        <w:t xml:space="preserve"> </w:t>
      </w:r>
      <w:r>
        <w:rPr>
          <w:sz w:val="21"/>
        </w:rPr>
        <w:t>of</w:t>
      </w:r>
      <w:r>
        <w:rPr>
          <w:spacing w:val="-6"/>
          <w:sz w:val="21"/>
        </w:rPr>
        <w:t xml:space="preserve"> </w:t>
      </w:r>
      <w:r>
        <w:rPr>
          <w:sz w:val="21"/>
        </w:rPr>
        <w:t>beliefs which they regard as conducive to their spiritual well-being; they have a common organisation and the collection of these individuals has a distinctive name. Ananda Marga, therefore, can</w:t>
      </w:r>
      <w:r>
        <w:rPr>
          <w:spacing w:val="-14"/>
          <w:sz w:val="21"/>
        </w:rPr>
        <w:t xml:space="preserve"> </w:t>
      </w:r>
      <w:r>
        <w:rPr>
          <w:sz w:val="21"/>
        </w:rPr>
        <w:t>be</w:t>
      </w:r>
      <w:r>
        <w:rPr>
          <w:spacing w:val="-15"/>
          <w:sz w:val="21"/>
        </w:rPr>
        <w:t xml:space="preserve"> </w:t>
      </w:r>
      <w:r>
        <w:rPr>
          <w:sz w:val="21"/>
        </w:rPr>
        <w:t>appropriately</w:t>
      </w:r>
      <w:r>
        <w:rPr>
          <w:spacing w:val="-17"/>
          <w:sz w:val="21"/>
        </w:rPr>
        <w:t xml:space="preserve"> </w:t>
      </w:r>
      <w:r>
        <w:rPr>
          <w:sz w:val="21"/>
        </w:rPr>
        <w:t>treated</w:t>
      </w:r>
      <w:r>
        <w:rPr>
          <w:spacing w:val="-13"/>
          <w:sz w:val="21"/>
        </w:rPr>
        <w:t xml:space="preserve"> </w:t>
      </w:r>
      <w:r>
        <w:rPr>
          <w:sz w:val="21"/>
        </w:rPr>
        <w:t>as</w:t>
      </w:r>
      <w:r>
        <w:rPr>
          <w:spacing w:val="-14"/>
          <w:sz w:val="21"/>
        </w:rPr>
        <w:t xml:space="preserve"> </w:t>
      </w:r>
      <w:r>
        <w:rPr>
          <w:sz w:val="21"/>
        </w:rPr>
        <w:t>a</w:t>
      </w:r>
      <w:r>
        <w:rPr>
          <w:spacing w:val="-13"/>
          <w:sz w:val="21"/>
        </w:rPr>
        <w:t xml:space="preserve"> </w:t>
      </w:r>
      <w:r>
        <w:rPr>
          <w:sz w:val="21"/>
        </w:rPr>
        <w:t>religious</w:t>
      </w:r>
      <w:r>
        <w:rPr>
          <w:spacing w:val="-16"/>
          <w:sz w:val="21"/>
        </w:rPr>
        <w:t xml:space="preserve"> </w:t>
      </w:r>
      <w:r>
        <w:rPr>
          <w:sz w:val="21"/>
        </w:rPr>
        <w:t>denomination,</w:t>
      </w:r>
      <w:r>
        <w:rPr>
          <w:spacing w:val="-14"/>
          <w:sz w:val="21"/>
        </w:rPr>
        <w:t xml:space="preserve"> </w:t>
      </w:r>
      <w:r>
        <w:rPr>
          <w:sz w:val="21"/>
        </w:rPr>
        <w:t xml:space="preserve">within </w:t>
      </w:r>
      <w:r>
        <w:rPr>
          <w:sz w:val="21"/>
        </w:rPr>
        <w:t>the Hindu</w:t>
      </w:r>
      <w:r>
        <w:rPr>
          <w:spacing w:val="-2"/>
          <w:sz w:val="21"/>
        </w:rPr>
        <w:t xml:space="preserve"> </w:t>
      </w:r>
      <w:r>
        <w:rPr>
          <w:sz w:val="21"/>
        </w:rPr>
        <w:t>religion…”</w:t>
      </w:r>
      <w:r>
        <w:rPr>
          <w:position w:val="7"/>
          <w:sz w:val="14"/>
        </w:rPr>
        <w:t>62</w:t>
      </w:r>
    </w:p>
    <w:p w:rsidR="003B2FC0" w:rsidRDefault="003B2FC0">
      <w:pPr>
        <w:rPr>
          <w:sz w:val="24"/>
        </w:rPr>
      </w:pPr>
    </w:p>
    <w:p w:rsidR="003B2FC0" w:rsidRDefault="003B2FC0">
      <w:pPr>
        <w:rPr>
          <w:sz w:val="24"/>
        </w:rPr>
      </w:pPr>
    </w:p>
    <w:p w:rsidR="003B2FC0" w:rsidRDefault="003B2FC0">
      <w:pPr>
        <w:spacing w:before="6"/>
        <w:rPr>
          <w:sz w:val="21"/>
        </w:rPr>
      </w:pPr>
    </w:p>
    <w:p w:rsidR="003B2FC0" w:rsidRDefault="00052A49">
      <w:pPr>
        <w:spacing w:before="1" w:line="480" w:lineRule="auto"/>
        <w:ind w:left="400" w:right="461"/>
        <w:jc w:val="both"/>
        <w:rPr>
          <w:sz w:val="26"/>
        </w:rPr>
      </w:pPr>
      <w:r>
        <w:rPr>
          <w:sz w:val="26"/>
        </w:rPr>
        <w:t>In</w:t>
      </w:r>
      <w:r>
        <w:rPr>
          <w:spacing w:val="-8"/>
          <w:sz w:val="26"/>
        </w:rPr>
        <w:t xml:space="preserve"> </w:t>
      </w:r>
      <w:r>
        <w:rPr>
          <w:b/>
          <w:sz w:val="26"/>
        </w:rPr>
        <w:t>Bramchari</w:t>
      </w:r>
      <w:r>
        <w:rPr>
          <w:b/>
          <w:spacing w:val="-7"/>
          <w:sz w:val="26"/>
        </w:rPr>
        <w:t xml:space="preserve"> </w:t>
      </w:r>
      <w:r>
        <w:rPr>
          <w:b/>
          <w:sz w:val="26"/>
        </w:rPr>
        <w:t>Sidheswar</w:t>
      </w:r>
      <w:r>
        <w:rPr>
          <w:b/>
          <w:spacing w:val="-7"/>
          <w:sz w:val="26"/>
        </w:rPr>
        <w:t xml:space="preserve"> </w:t>
      </w:r>
      <w:r>
        <w:rPr>
          <w:b/>
          <w:sz w:val="26"/>
        </w:rPr>
        <w:t>Shai</w:t>
      </w:r>
      <w:r>
        <w:rPr>
          <w:b/>
          <w:spacing w:val="-5"/>
          <w:sz w:val="26"/>
        </w:rPr>
        <w:t xml:space="preserve"> </w:t>
      </w:r>
      <w:r>
        <w:rPr>
          <w:sz w:val="26"/>
        </w:rPr>
        <w:t>v</w:t>
      </w:r>
      <w:r>
        <w:rPr>
          <w:spacing w:val="-9"/>
          <w:sz w:val="26"/>
        </w:rPr>
        <w:t xml:space="preserve"> </w:t>
      </w:r>
      <w:r>
        <w:rPr>
          <w:b/>
          <w:sz w:val="26"/>
        </w:rPr>
        <w:t>State</w:t>
      </w:r>
      <w:r>
        <w:rPr>
          <w:b/>
          <w:spacing w:val="-7"/>
          <w:sz w:val="26"/>
        </w:rPr>
        <w:t xml:space="preserve"> </w:t>
      </w:r>
      <w:r>
        <w:rPr>
          <w:b/>
          <w:sz w:val="26"/>
        </w:rPr>
        <w:t>of</w:t>
      </w:r>
      <w:r>
        <w:rPr>
          <w:b/>
          <w:spacing w:val="-4"/>
          <w:sz w:val="26"/>
        </w:rPr>
        <w:t xml:space="preserve"> </w:t>
      </w:r>
      <w:r>
        <w:rPr>
          <w:b/>
          <w:sz w:val="26"/>
        </w:rPr>
        <w:t>West</w:t>
      </w:r>
      <w:r>
        <w:rPr>
          <w:b/>
          <w:spacing w:val="-7"/>
          <w:sz w:val="26"/>
        </w:rPr>
        <w:t xml:space="preserve"> </w:t>
      </w:r>
      <w:r>
        <w:rPr>
          <w:b/>
          <w:sz w:val="26"/>
        </w:rPr>
        <w:t>Bengal</w:t>
      </w:r>
      <w:r>
        <w:rPr>
          <w:position w:val="9"/>
          <w:sz w:val="17"/>
        </w:rPr>
        <w:t>63</w:t>
      </w:r>
      <w:r>
        <w:rPr>
          <w:sz w:val="26"/>
        </w:rPr>
        <w:t>,</w:t>
      </w:r>
      <w:r>
        <w:rPr>
          <w:spacing w:val="-7"/>
          <w:sz w:val="26"/>
        </w:rPr>
        <w:t xml:space="preserve"> </w:t>
      </w:r>
      <w:r>
        <w:rPr>
          <w:sz w:val="26"/>
        </w:rPr>
        <w:t>a</w:t>
      </w:r>
      <w:r>
        <w:rPr>
          <w:spacing w:val="-7"/>
          <w:sz w:val="26"/>
        </w:rPr>
        <w:t xml:space="preserve"> </w:t>
      </w:r>
      <w:r>
        <w:rPr>
          <w:sz w:val="26"/>
        </w:rPr>
        <w:t>three</w:t>
      </w:r>
      <w:r>
        <w:rPr>
          <w:spacing w:val="-6"/>
          <w:sz w:val="26"/>
        </w:rPr>
        <w:t xml:space="preserve"> </w:t>
      </w:r>
      <w:r>
        <w:rPr>
          <w:sz w:val="26"/>
        </w:rPr>
        <w:t>judge</w:t>
      </w:r>
      <w:r>
        <w:rPr>
          <w:spacing w:val="-7"/>
          <w:sz w:val="26"/>
        </w:rPr>
        <w:t xml:space="preserve"> </w:t>
      </w:r>
      <w:r>
        <w:rPr>
          <w:sz w:val="26"/>
        </w:rPr>
        <w:t xml:space="preserve">Bench of this Court adopted the tests re-stated in </w:t>
      </w:r>
      <w:r>
        <w:rPr>
          <w:b/>
          <w:sz w:val="26"/>
        </w:rPr>
        <w:t xml:space="preserve">Mittal </w:t>
      </w:r>
      <w:r>
        <w:rPr>
          <w:sz w:val="26"/>
        </w:rPr>
        <w:t>to hold that the followers of Ramakrishna constitute a religious</w:t>
      </w:r>
      <w:r>
        <w:rPr>
          <w:spacing w:val="-3"/>
          <w:sz w:val="26"/>
        </w:rPr>
        <w:t xml:space="preserve"> </w:t>
      </w:r>
      <w:r>
        <w:rPr>
          <w:sz w:val="26"/>
        </w:rPr>
        <w:t>denomination:</w:t>
      </w:r>
    </w:p>
    <w:p w:rsidR="003B2FC0" w:rsidRDefault="00052A49">
      <w:pPr>
        <w:spacing w:before="39" w:line="276" w:lineRule="auto"/>
        <w:ind w:left="1840" w:right="2258"/>
        <w:jc w:val="both"/>
        <w:rPr>
          <w:sz w:val="21"/>
        </w:rPr>
      </w:pPr>
      <w:r>
        <w:rPr>
          <w:b/>
          <w:sz w:val="21"/>
        </w:rPr>
        <w:t>“</w:t>
      </w:r>
      <w:r>
        <w:rPr>
          <w:sz w:val="21"/>
        </w:rPr>
        <w:t>57</w:t>
      </w:r>
      <w:r>
        <w:rPr>
          <w:b/>
          <w:sz w:val="21"/>
        </w:rPr>
        <w:t xml:space="preserve">… </w:t>
      </w:r>
      <w:r>
        <w:rPr>
          <w:sz w:val="21"/>
        </w:rPr>
        <w:t>These Maths and Missions of Ramakrishna composed of the followers of principles of Hinduism as expounded, preached or practised by Ramakrishna as his disciples or otherwise form a cult or sect of Hindu religion. They believe in the birth of sage Ramakrishn</w:t>
      </w:r>
      <w:r>
        <w:rPr>
          <w:sz w:val="21"/>
        </w:rPr>
        <w:t>a in Dakshineswar as an Avatar of Rama and Krishna and follow the principles of Hinduism discovered, expounded, preached and practised by him as those</w:t>
      </w:r>
      <w:r>
        <w:rPr>
          <w:spacing w:val="-5"/>
          <w:sz w:val="21"/>
        </w:rPr>
        <w:t xml:space="preserve"> </w:t>
      </w:r>
      <w:r>
        <w:rPr>
          <w:sz w:val="21"/>
        </w:rPr>
        <w:t>conducive</w:t>
      </w:r>
      <w:r>
        <w:rPr>
          <w:spacing w:val="-6"/>
          <w:sz w:val="21"/>
        </w:rPr>
        <w:t xml:space="preserve"> </w:t>
      </w:r>
      <w:r>
        <w:rPr>
          <w:sz w:val="21"/>
        </w:rPr>
        <w:t>to</w:t>
      </w:r>
      <w:r>
        <w:rPr>
          <w:spacing w:val="-6"/>
          <w:sz w:val="21"/>
        </w:rPr>
        <w:t xml:space="preserve"> </w:t>
      </w:r>
      <w:r>
        <w:rPr>
          <w:sz w:val="21"/>
        </w:rPr>
        <w:t>their</w:t>
      </w:r>
      <w:r>
        <w:rPr>
          <w:spacing w:val="-6"/>
          <w:sz w:val="21"/>
        </w:rPr>
        <w:t xml:space="preserve"> </w:t>
      </w:r>
      <w:r>
        <w:rPr>
          <w:sz w:val="21"/>
        </w:rPr>
        <w:t>spiritual</w:t>
      </w:r>
      <w:r>
        <w:rPr>
          <w:spacing w:val="-5"/>
          <w:sz w:val="21"/>
        </w:rPr>
        <w:t xml:space="preserve"> </w:t>
      </w:r>
      <w:r>
        <w:rPr>
          <w:sz w:val="21"/>
        </w:rPr>
        <w:t>well-being</w:t>
      </w:r>
      <w:r>
        <w:rPr>
          <w:spacing w:val="-8"/>
          <w:sz w:val="21"/>
        </w:rPr>
        <w:t xml:space="preserve"> </w:t>
      </w:r>
      <w:r>
        <w:rPr>
          <w:sz w:val="21"/>
        </w:rPr>
        <w:t>as</w:t>
      </w:r>
      <w:r>
        <w:rPr>
          <w:spacing w:val="-6"/>
          <w:sz w:val="21"/>
        </w:rPr>
        <w:t xml:space="preserve"> </w:t>
      </w:r>
      <w:r>
        <w:rPr>
          <w:sz w:val="21"/>
        </w:rPr>
        <w:t>the</w:t>
      </w:r>
      <w:r>
        <w:rPr>
          <w:spacing w:val="-7"/>
          <w:sz w:val="21"/>
        </w:rPr>
        <w:t xml:space="preserve"> </w:t>
      </w:r>
      <w:r>
        <w:rPr>
          <w:sz w:val="21"/>
        </w:rPr>
        <w:t>principles</w:t>
      </w:r>
      <w:r>
        <w:rPr>
          <w:spacing w:val="-6"/>
          <w:sz w:val="21"/>
        </w:rPr>
        <w:t xml:space="preserve"> </w:t>
      </w:r>
      <w:r>
        <w:rPr>
          <w:sz w:val="21"/>
        </w:rPr>
        <w:t>of highest Vedanta which surpassed the principl</w:t>
      </w:r>
      <w:r>
        <w:rPr>
          <w:sz w:val="21"/>
        </w:rPr>
        <w:t>es of Vedanta conceived</w:t>
      </w:r>
      <w:r>
        <w:rPr>
          <w:spacing w:val="-10"/>
          <w:sz w:val="21"/>
        </w:rPr>
        <w:t xml:space="preserve"> </w:t>
      </w:r>
      <w:r>
        <w:rPr>
          <w:sz w:val="21"/>
        </w:rPr>
        <w:t>and</w:t>
      </w:r>
      <w:r>
        <w:rPr>
          <w:spacing w:val="-13"/>
          <w:sz w:val="21"/>
        </w:rPr>
        <w:t xml:space="preserve"> </w:t>
      </w:r>
      <w:r>
        <w:rPr>
          <w:sz w:val="21"/>
        </w:rPr>
        <w:t>propagated</w:t>
      </w:r>
      <w:r>
        <w:rPr>
          <w:spacing w:val="-13"/>
          <w:sz w:val="21"/>
        </w:rPr>
        <w:t xml:space="preserve"> </w:t>
      </w:r>
      <w:r>
        <w:rPr>
          <w:sz w:val="21"/>
        </w:rPr>
        <w:t>by</w:t>
      </w:r>
      <w:r>
        <w:rPr>
          <w:spacing w:val="-13"/>
          <w:sz w:val="21"/>
        </w:rPr>
        <w:t xml:space="preserve"> </w:t>
      </w:r>
      <w:r>
        <w:rPr>
          <w:sz w:val="21"/>
        </w:rPr>
        <w:t>Sankaracharya,</w:t>
      </w:r>
      <w:r>
        <w:rPr>
          <w:spacing w:val="-12"/>
          <w:sz w:val="21"/>
        </w:rPr>
        <w:t xml:space="preserve"> </w:t>
      </w:r>
      <w:r>
        <w:rPr>
          <w:sz w:val="21"/>
        </w:rPr>
        <w:t xml:space="preserve">Madhavacharya and Ramanujacharya, who were earlier exponents of Hinduism. Hence, as rightly held by the Division Bench of the High Court, </w:t>
      </w:r>
      <w:r>
        <w:rPr>
          <w:b/>
          <w:sz w:val="21"/>
        </w:rPr>
        <w:t>followers of Ramakrishna, who are a</w:t>
      </w:r>
      <w:r>
        <w:rPr>
          <w:b/>
          <w:spacing w:val="-31"/>
          <w:sz w:val="21"/>
        </w:rPr>
        <w:t xml:space="preserve"> </w:t>
      </w:r>
      <w:r>
        <w:rPr>
          <w:b/>
          <w:sz w:val="21"/>
        </w:rPr>
        <w:t>collection of individuals</w:t>
      </w:r>
      <w:r>
        <w:rPr>
          <w:b/>
          <w:sz w:val="21"/>
        </w:rPr>
        <w:t>, who adhere to a system of beliefs as conducive to their spiritual well-being, who have organised themselves collectively and who have an organisation of definite name as Ramakrishna Math or Ramakrishna Mission could, in our view, be regarded as a religio</w:t>
      </w:r>
      <w:r>
        <w:rPr>
          <w:b/>
          <w:sz w:val="21"/>
        </w:rPr>
        <w:t>us denomination within Hindu religion...</w:t>
      </w:r>
      <w:r>
        <w:rPr>
          <w:sz w:val="21"/>
        </w:rPr>
        <w:t>”</w:t>
      </w:r>
      <w:r>
        <w:rPr>
          <w:position w:val="7"/>
          <w:sz w:val="14"/>
        </w:rPr>
        <w:t xml:space="preserve">64 </w:t>
      </w:r>
      <w:r>
        <w:rPr>
          <w:sz w:val="21"/>
        </w:rPr>
        <w:t>(Emphasis</w:t>
      </w:r>
      <w:r>
        <w:rPr>
          <w:spacing w:val="-2"/>
          <w:sz w:val="21"/>
        </w:rPr>
        <w:t xml:space="preserve"> </w:t>
      </w:r>
      <w:r>
        <w:rPr>
          <w:sz w:val="21"/>
        </w:rPr>
        <w:t>supplied)</w:t>
      </w:r>
    </w:p>
    <w:p w:rsidR="003B2FC0" w:rsidRDefault="003B2FC0">
      <w:pPr>
        <w:rPr>
          <w:sz w:val="24"/>
        </w:rPr>
      </w:pPr>
    </w:p>
    <w:p w:rsidR="003B2FC0" w:rsidRDefault="003B2FC0">
      <w:pPr>
        <w:rPr>
          <w:sz w:val="24"/>
        </w:rPr>
      </w:pPr>
    </w:p>
    <w:p w:rsidR="003B2FC0" w:rsidRDefault="003B2FC0">
      <w:pPr>
        <w:rPr>
          <w:sz w:val="24"/>
        </w:rPr>
      </w:pPr>
    </w:p>
    <w:p w:rsidR="003B2FC0" w:rsidRDefault="00052A49">
      <w:pPr>
        <w:spacing w:before="146" w:line="475" w:lineRule="auto"/>
        <w:ind w:left="400" w:right="461"/>
        <w:jc w:val="both"/>
        <w:rPr>
          <w:sz w:val="26"/>
        </w:rPr>
      </w:pPr>
      <w:r>
        <w:rPr>
          <w:sz w:val="26"/>
        </w:rPr>
        <w:t xml:space="preserve">In </w:t>
      </w:r>
      <w:r>
        <w:rPr>
          <w:b/>
          <w:sz w:val="26"/>
        </w:rPr>
        <w:t xml:space="preserve">Nallor Marthandam Vellalar </w:t>
      </w:r>
      <w:r>
        <w:rPr>
          <w:sz w:val="26"/>
        </w:rPr>
        <w:t xml:space="preserve">v </w:t>
      </w:r>
      <w:r>
        <w:rPr>
          <w:b/>
          <w:sz w:val="26"/>
        </w:rPr>
        <w:t>Commissioner, Hindu Religious and Charitable Endowments</w:t>
      </w:r>
      <w:r>
        <w:rPr>
          <w:position w:val="9"/>
          <w:sz w:val="17"/>
        </w:rPr>
        <w:t xml:space="preserve">65 </w:t>
      </w:r>
      <w:r>
        <w:rPr>
          <w:sz w:val="26"/>
        </w:rPr>
        <w:t>a two judge Bench held that the Vellala community</w:t>
      </w:r>
    </w:p>
    <w:p w:rsidR="003B2FC0" w:rsidRDefault="003B2FC0">
      <w:pPr>
        <w:rPr>
          <w:sz w:val="20"/>
        </w:rPr>
      </w:pPr>
    </w:p>
    <w:p w:rsidR="003B2FC0" w:rsidRDefault="003B2FC0">
      <w:pPr>
        <w:rPr>
          <w:sz w:val="20"/>
        </w:rPr>
      </w:pPr>
    </w:p>
    <w:p w:rsidR="003B2FC0" w:rsidRDefault="003B2FC0">
      <w:pPr>
        <w:spacing w:before="1"/>
        <w:rPr>
          <w:sz w:val="18"/>
        </w:rPr>
      </w:pPr>
      <w:r w:rsidRPr="003B2FC0">
        <w:pict>
          <v:line id="_x0000_s1109" style="position:absolute;z-index:251606528;mso-wrap-distance-left:0;mso-wrap-distance-right:0;mso-position-horizontal-relative:page" from="1in,12.8pt" to="216.05pt,12.8pt" strokeweight=".72pt">
            <w10:wrap type="topAndBottom" anchorx="page"/>
          </v:line>
        </w:pict>
      </w:r>
    </w:p>
    <w:p w:rsidR="003B2FC0" w:rsidRDefault="00052A49">
      <w:pPr>
        <w:spacing w:before="67" w:line="209" w:lineRule="exact"/>
        <w:ind w:left="400"/>
        <w:rPr>
          <w:sz w:val="18"/>
        </w:rPr>
      </w:pPr>
      <w:r>
        <w:rPr>
          <w:position w:val="6"/>
          <w:sz w:val="12"/>
        </w:rPr>
        <w:t xml:space="preserve">62 </w:t>
      </w:r>
      <w:r>
        <w:rPr>
          <w:sz w:val="18"/>
        </w:rPr>
        <w:t>Ibid, at page 530</w:t>
      </w:r>
    </w:p>
    <w:p w:rsidR="003B2FC0" w:rsidRDefault="00052A49">
      <w:pPr>
        <w:spacing w:line="206" w:lineRule="exact"/>
        <w:ind w:left="400"/>
        <w:rPr>
          <w:sz w:val="18"/>
        </w:rPr>
      </w:pPr>
      <w:r>
        <w:rPr>
          <w:position w:val="6"/>
          <w:sz w:val="12"/>
        </w:rPr>
        <w:t xml:space="preserve">63 </w:t>
      </w:r>
      <w:r>
        <w:rPr>
          <w:sz w:val="18"/>
        </w:rPr>
        <w:t>(1995) 4 SCC 646</w:t>
      </w:r>
    </w:p>
    <w:p w:rsidR="003B2FC0" w:rsidRDefault="00052A49">
      <w:pPr>
        <w:spacing w:line="208" w:lineRule="exact"/>
        <w:ind w:left="400"/>
        <w:rPr>
          <w:sz w:val="18"/>
        </w:rPr>
      </w:pPr>
      <w:r>
        <w:rPr>
          <w:position w:val="6"/>
          <w:sz w:val="12"/>
        </w:rPr>
        <w:t xml:space="preserve">64 </w:t>
      </w:r>
      <w:r>
        <w:rPr>
          <w:sz w:val="18"/>
        </w:rPr>
        <w:t>Ibid, at pages 648-649</w:t>
      </w:r>
    </w:p>
    <w:p w:rsidR="003B2FC0" w:rsidRDefault="00052A49">
      <w:pPr>
        <w:spacing w:line="210" w:lineRule="exact"/>
        <w:ind w:left="400"/>
        <w:rPr>
          <w:sz w:val="18"/>
        </w:rPr>
      </w:pPr>
      <w:r>
        <w:rPr>
          <w:position w:val="6"/>
          <w:sz w:val="12"/>
        </w:rPr>
        <w:t xml:space="preserve">65 </w:t>
      </w:r>
      <w:r>
        <w:rPr>
          <w:sz w:val="18"/>
        </w:rPr>
        <w:t>(2003) 10 SCC 712</w:t>
      </w:r>
    </w:p>
    <w:p w:rsidR="003B2FC0" w:rsidRDefault="003B2FC0">
      <w:pPr>
        <w:spacing w:line="210" w:lineRule="exact"/>
        <w:rPr>
          <w:sz w:val="18"/>
        </w:rPr>
        <w:sectPr w:rsidR="003B2FC0">
          <w:footerReference w:type="default" r:id="rId366"/>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67"/>
        <w:jc w:val="both"/>
        <w:rPr>
          <w:sz w:val="26"/>
        </w:rPr>
      </w:pPr>
      <w:r>
        <w:rPr>
          <w:sz w:val="26"/>
        </w:rPr>
        <w:t>in</w:t>
      </w:r>
      <w:r>
        <w:rPr>
          <w:spacing w:val="-14"/>
          <w:sz w:val="26"/>
        </w:rPr>
        <w:t xml:space="preserve"> </w:t>
      </w:r>
      <w:r>
        <w:rPr>
          <w:sz w:val="26"/>
        </w:rPr>
        <w:t>Tamil</w:t>
      </w:r>
      <w:r>
        <w:rPr>
          <w:spacing w:val="-14"/>
          <w:sz w:val="26"/>
        </w:rPr>
        <w:t xml:space="preserve"> </w:t>
      </w:r>
      <w:r>
        <w:rPr>
          <w:sz w:val="26"/>
        </w:rPr>
        <w:t>Nadu</w:t>
      </w:r>
      <w:r>
        <w:rPr>
          <w:spacing w:val="-12"/>
          <w:sz w:val="26"/>
        </w:rPr>
        <w:t xml:space="preserve"> </w:t>
      </w:r>
      <w:r>
        <w:rPr>
          <w:sz w:val="26"/>
        </w:rPr>
        <w:t>does</w:t>
      </w:r>
      <w:r>
        <w:rPr>
          <w:spacing w:val="-12"/>
          <w:sz w:val="26"/>
        </w:rPr>
        <w:t xml:space="preserve"> </w:t>
      </w:r>
      <w:r>
        <w:rPr>
          <w:sz w:val="26"/>
        </w:rPr>
        <w:t>not</w:t>
      </w:r>
      <w:r>
        <w:rPr>
          <w:spacing w:val="-14"/>
          <w:sz w:val="26"/>
        </w:rPr>
        <w:t xml:space="preserve"> </w:t>
      </w:r>
      <w:r>
        <w:rPr>
          <w:sz w:val="26"/>
        </w:rPr>
        <w:t>constitute</w:t>
      </w:r>
      <w:r>
        <w:rPr>
          <w:spacing w:val="-12"/>
          <w:sz w:val="26"/>
        </w:rPr>
        <w:t xml:space="preserve"> </w:t>
      </w:r>
      <w:r>
        <w:rPr>
          <w:sz w:val="26"/>
        </w:rPr>
        <w:t>a</w:t>
      </w:r>
      <w:r>
        <w:rPr>
          <w:spacing w:val="-12"/>
          <w:sz w:val="26"/>
        </w:rPr>
        <w:t xml:space="preserve"> </w:t>
      </w:r>
      <w:r>
        <w:rPr>
          <w:sz w:val="26"/>
        </w:rPr>
        <w:t>religious</w:t>
      </w:r>
      <w:r>
        <w:rPr>
          <w:spacing w:val="-14"/>
          <w:sz w:val="26"/>
        </w:rPr>
        <w:t xml:space="preserve"> </w:t>
      </w:r>
      <w:r>
        <w:rPr>
          <w:sz w:val="26"/>
        </w:rPr>
        <w:t>denomination.</w:t>
      </w:r>
      <w:r>
        <w:rPr>
          <w:spacing w:val="-12"/>
          <w:sz w:val="26"/>
        </w:rPr>
        <w:t xml:space="preserve"> </w:t>
      </w:r>
      <w:r>
        <w:rPr>
          <w:sz w:val="26"/>
        </w:rPr>
        <w:t>Justice</w:t>
      </w:r>
      <w:r>
        <w:rPr>
          <w:spacing w:val="-14"/>
          <w:sz w:val="26"/>
        </w:rPr>
        <w:t xml:space="preserve"> </w:t>
      </w:r>
      <w:r>
        <w:rPr>
          <w:sz w:val="26"/>
        </w:rPr>
        <w:t>Shivraj</w:t>
      </w:r>
      <w:r>
        <w:rPr>
          <w:spacing w:val="-12"/>
          <w:sz w:val="26"/>
        </w:rPr>
        <w:t xml:space="preserve"> </w:t>
      </w:r>
      <w:r>
        <w:rPr>
          <w:sz w:val="26"/>
        </w:rPr>
        <w:t xml:space="preserve">Patil emphasised that the common faith of the community must find its basis </w:t>
      </w:r>
      <w:r>
        <w:rPr>
          <w:spacing w:val="-6"/>
          <w:sz w:val="26"/>
        </w:rPr>
        <w:t xml:space="preserve">in </w:t>
      </w:r>
      <w:r>
        <w:rPr>
          <w:sz w:val="26"/>
        </w:rPr>
        <w:t>“religion”:</w:t>
      </w:r>
    </w:p>
    <w:p w:rsidR="003B2FC0" w:rsidRDefault="003B2FC0">
      <w:pPr>
        <w:rPr>
          <w:sz w:val="33"/>
        </w:rPr>
      </w:pPr>
    </w:p>
    <w:p w:rsidR="003B2FC0" w:rsidRDefault="00052A49">
      <w:pPr>
        <w:spacing w:line="276" w:lineRule="auto"/>
        <w:ind w:left="1840" w:right="2257"/>
        <w:jc w:val="both"/>
        <w:rPr>
          <w:sz w:val="21"/>
        </w:rPr>
      </w:pPr>
      <w:r>
        <w:rPr>
          <w:sz w:val="21"/>
        </w:rPr>
        <w:t>“7. It is settled position in law, having regard to the various decisions of this Court that the words “religious denomination” take their colour from the word “religion”. The expression “religious denomination” must satisfy three requirements: (</w:t>
      </w:r>
      <w:r>
        <w:rPr>
          <w:i/>
          <w:sz w:val="21"/>
        </w:rPr>
        <w:t>1</w:t>
      </w:r>
      <w:r>
        <w:rPr>
          <w:sz w:val="21"/>
        </w:rPr>
        <w:t>) it must</w:t>
      </w:r>
      <w:r>
        <w:rPr>
          <w:sz w:val="21"/>
        </w:rPr>
        <w:t xml:space="preserve"> be a collection of individuals who have a system of belief or doctrine which they regard as conducive to their spiritual well-being</w:t>
      </w:r>
      <w:r>
        <w:rPr>
          <w:spacing w:val="-11"/>
          <w:sz w:val="21"/>
        </w:rPr>
        <w:t xml:space="preserve"> </w:t>
      </w:r>
      <w:r>
        <w:rPr>
          <w:sz w:val="21"/>
        </w:rPr>
        <w:t>i.e.</w:t>
      </w:r>
      <w:r>
        <w:rPr>
          <w:spacing w:val="-9"/>
          <w:sz w:val="21"/>
        </w:rPr>
        <w:t xml:space="preserve"> </w:t>
      </w:r>
      <w:r>
        <w:rPr>
          <w:sz w:val="21"/>
        </w:rPr>
        <w:t>a</w:t>
      </w:r>
      <w:r>
        <w:rPr>
          <w:spacing w:val="-8"/>
          <w:sz w:val="21"/>
        </w:rPr>
        <w:t xml:space="preserve"> </w:t>
      </w:r>
      <w:r>
        <w:rPr>
          <w:sz w:val="21"/>
        </w:rPr>
        <w:t>common</w:t>
      </w:r>
      <w:r>
        <w:rPr>
          <w:spacing w:val="-11"/>
          <w:sz w:val="21"/>
        </w:rPr>
        <w:t xml:space="preserve"> </w:t>
      </w:r>
      <w:r>
        <w:rPr>
          <w:sz w:val="21"/>
        </w:rPr>
        <w:t>faith;</w:t>
      </w:r>
      <w:r>
        <w:rPr>
          <w:spacing w:val="-12"/>
          <w:sz w:val="21"/>
        </w:rPr>
        <w:t xml:space="preserve"> </w:t>
      </w:r>
      <w:r>
        <w:rPr>
          <w:sz w:val="21"/>
        </w:rPr>
        <w:t>(</w:t>
      </w:r>
      <w:r>
        <w:rPr>
          <w:i/>
          <w:sz w:val="21"/>
        </w:rPr>
        <w:t>2</w:t>
      </w:r>
      <w:r>
        <w:rPr>
          <w:sz w:val="21"/>
        </w:rPr>
        <w:t>)</w:t>
      </w:r>
      <w:r>
        <w:rPr>
          <w:spacing w:val="-9"/>
          <w:sz w:val="21"/>
        </w:rPr>
        <w:t xml:space="preserve"> </w:t>
      </w:r>
      <w:r>
        <w:rPr>
          <w:sz w:val="21"/>
        </w:rPr>
        <w:t>a</w:t>
      </w:r>
      <w:r>
        <w:rPr>
          <w:spacing w:val="-9"/>
          <w:sz w:val="21"/>
        </w:rPr>
        <w:t xml:space="preserve"> </w:t>
      </w:r>
      <w:r>
        <w:rPr>
          <w:sz w:val="21"/>
        </w:rPr>
        <w:t>common</w:t>
      </w:r>
      <w:r>
        <w:rPr>
          <w:spacing w:val="-10"/>
          <w:sz w:val="21"/>
        </w:rPr>
        <w:t xml:space="preserve"> </w:t>
      </w:r>
      <w:r>
        <w:rPr>
          <w:sz w:val="21"/>
        </w:rPr>
        <w:t>organisation;</w:t>
      </w:r>
      <w:r>
        <w:rPr>
          <w:spacing w:val="-12"/>
          <w:sz w:val="21"/>
        </w:rPr>
        <w:t xml:space="preserve"> </w:t>
      </w:r>
      <w:r>
        <w:rPr>
          <w:sz w:val="21"/>
        </w:rPr>
        <w:t>and</w:t>
      </w:r>
    </w:p>
    <w:p w:rsidR="003B2FC0" w:rsidRDefault="00052A49">
      <w:pPr>
        <w:spacing w:line="276" w:lineRule="auto"/>
        <w:ind w:left="1840" w:right="2257"/>
        <w:jc w:val="both"/>
        <w:rPr>
          <w:sz w:val="14"/>
        </w:rPr>
      </w:pPr>
      <w:r>
        <w:rPr>
          <w:sz w:val="21"/>
        </w:rPr>
        <w:t>(</w:t>
      </w:r>
      <w:r>
        <w:rPr>
          <w:i/>
          <w:sz w:val="21"/>
        </w:rPr>
        <w:t>3</w:t>
      </w:r>
      <w:r>
        <w:rPr>
          <w:sz w:val="21"/>
        </w:rPr>
        <w:t xml:space="preserve">) designation of a distinctive name. </w:t>
      </w:r>
      <w:r>
        <w:rPr>
          <w:b/>
          <w:sz w:val="21"/>
        </w:rPr>
        <w:t xml:space="preserve">It necessarily follows that the </w:t>
      </w:r>
      <w:r>
        <w:rPr>
          <w:b/>
          <w:sz w:val="21"/>
        </w:rPr>
        <w:t>common faith of the community should be based on</w:t>
      </w:r>
      <w:r>
        <w:rPr>
          <w:b/>
          <w:spacing w:val="-6"/>
          <w:sz w:val="21"/>
        </w:rPr>
        <w:t xml:space="preserve"> </w:t>
      </w:r>
      <w:r>
        <w:rPr>
          <w:b/>
          <w:sz w:val="21"/>
        </w:rPr>
        <w:t>religion</w:t>
      </w:r>
      <w:r>
        <w:rPr>
          <w:b/>
          <w:spacing w:val="-6"/>
          <w:sz w:val="21"/>
        </w:rPr>
        <w:t xml:space="preserve"> </w:t>
      </w:r>
      <w:r>
        <w:rPr>
          <w:b/>
          <w:sz w:val="21"/>
        </w:rPr>
        <w:t>and</w:t>
      </w:r>
      <w:r>
        <w:rPr>
          <w:b/>
          <w:spacing w:val="-6"/>
          <w:sz w:val="21"/>
        </w:rPr>
        <w:t xml:space="preserve"> </w:t>
      </w:r>
      <w:r>
        <w:rPr>
          <w:b/>
          <w:sz w:val="21"/>
        </w:rPr>
        <w:t>in</w:t>
      </w:r>
      <w:r>
        <w:rPr>
          <w:b/>
          <w:spacing w:val="-6"/>
          <w:sz w:val="21"/>
        </w:rPr>
        <w:t xml:space="preserve"> </w:t>
      </w:r>
      <w:r>
        <w:rPr>
          <w:b/>
          <w:sz w:val="21"/>
        </w:rPr>
        <w:t>that</w:t>
      </w:r>
      <w:r>
        <w:rPr>
          <w:b/>
          <w:spacing w:val="-7"/>
          <w:sz w:val="21"/>
        </w:rPr>
        <w:t xml:space="preserve"> </w:t>
      </w:r>
      <w:r>
        <w:rPr>
          <w:b/>
          <w:sz w:val="21"/>
        </w:rPr>
        <w:t>they</w:t>
      </w:r>
      <w:r>
        <w:rPr>
          <w:b/>
          <w:spacing w:val="-11"/>
          <w:sz w:val="21"/>
        </w:rPr>
        <w:t xml:space="preserve"> </w:t>
      </w:r>
      <w:r>
        <w:rPr>
          <w:b/>
          <w:sz w:val="21"/>
        </w:rPr>
        <w:t>should</w:t>
      </w:r>
      <w:r>
        <w:rPr>
          <w:b/>
          <w:spacing w:val="-6"/>
          <w:sz w:val="21"/>
        </w:rPr>
        <w:t xml:space="preserve"> </w:t>
      </w:r>
      <w:r>
        <w:rPr>
          <w:b/>
          <w:sz w:val="21"/>
        </w:rPr>
        <w:t>have</w:t>
      </w:r>
      <w:r>
        <w:rPr>
          <w:b/>
          <w:spacing w:val="-4"/>
          <w:sz w:val="21"/>
        </w:rPr>
        <w:t xml:space="preserve"> </w:t>
      </w:r>
      <w:r>
        <w:rPr>
          <w:b/>
          <w:sz w:val="21"/>
        </w:rPr>
        <w:t>common</w:t>
      </w:r>
      <w:r>
        <w:rPr>
          <w:b/>
          <w:spacing w:val="-8"/>
          <w:sz w:val="21"/>
        </w:rPr>
        <w:t xml:space="preserve"> </w:t>
      </w:r>
      <w:r>
        <w:rPr>
          <w:b/>
          <w:sz w:val="21"/>
        </w:rPr>
        <w:t>religious tenets</w:t>
      </w:r>
      <w:r>
        <w:rPr>
          <w:b/>
          <w:spacing w:val="-9"/>
          <w:sz w:val="21"/>
        </w:rPr>
        <w:t xml:space="preserve"> </w:t>
      </w:r>
      <w:r>
        <w:rPr>
          <w:b/>
          <w:sz w:val="21"/>
        </w:rPr>
        <w:t>and</w:t>
      </w:r>
      <w:r>
        <w:rPr>
          <w:b/>
          <w:spacing w:val="-5"/>
          <w:sz w:val="21"/>
        </w:rPr>
        <w:t xml:space="preserve"> </w:t>
      </w:r>
      <w:r>
        <w:rPr>
          <w:b/>
          <w:sz w:val="21"/>
        </w:rPr>
        <w:t>the</w:t>
      </w:r>
      <w:r>
        <w:rPr>
          <w:b/>
          <w:spacing w:val="-7"/>
          <w:sz w:val="21"/>
        </w:rPr>
        <w:t xml:space="preserve"> </w:t>
      </w:r>
      <w:r>
        <w:rPr>
          <w:b/>
          <w:sz w:val="21"/>
        </w:rPr>
        <w:t>basic</w:t>
      </w:r>
      <w:r>
        <w:rPr>
          <w:b/>
          <w:spacing w:val="-6"/>
          <w:sz w:val="21"/>
        </w:rPr>
        <w:t xml:space="preserve"> </w:t>
      </w:r>
      <w:r>
        <w:rPr>
          <w:b/>
          <w:sz w:val="21"/>
        </w:rPr>
        <w:t>cord</w:t>
      </w:r>
      <w:r>
        <w:rPr>
          <w:b/>
          <w:spacing w:val="-7"/>
          <w:sz w:val="21"/>
        </w:rPr>
        <w:t xml:space="preserve"> </w:t>
      </w:r>
      <w:r>
        <w:rPr>
          <w:b/>
          <w:sz w:val="21"/>
        </w:rPr>
        <w:t>which</w:t>
      </w:r>
      <w:r>
        <w:rPr>
          <w:b/>
          <w:spacing w:val="-5"/>
          <w:sz w:val="21"/>
        </w:rPr>
        <w:t xml:space="preserve"> </w:t>
      </w:r>
      <w:r>
        <w:rPr>
          <w:b/>
          <w:sz w:val="21"/>
        </w:rPr>
        <w:t>connects</w:t>
      </w:r>
      <w:r>
        <w:rPr>
          <w:b/>
          <w:spacing w:val="-5"/>
          <w:sz w:val="21"/>
        </w:rPr>
        <w:t xml:space="preserve"> </w:t>
      </w:r>
      <w:r>
        <w:rPr>
          <w:b/>
          <w:sz w:val="21"/>
        </w:rPr>
        <w:t>them,</w:t>
      </w:r>
      <w:r>
        <w:rPr>
          <w:b/>
          <w:spacing w:val="-10"/>
          <w:sz w:val="21"/>
        </w:rPr>
        <w:t xml:space="preserve"> </w:t>
      </w:r>
      <w:r>
        <w:rPr>
          <w:b/>
          <w:sz w:val="21"/>
        </w:rPr>
        <w:t>should</w:t>
      </w:r>
      <w:r>
        <w:rPr>
          <w:b/>
          <w:spacing w:val="-7"/>
          <w:sz w:val="21"/>
        </w:rPr>
        <w:t xml:space="preserve"> </w:t>
      </w:r>
      <w:r>
        <w:rPr>
          <w:b/>
          <w:sz w:val="21"/>
        </w:rPr>
        <w:t>be religion and not merely considerations of caste or community or societal</w:t>
      </w:r>
      <w:r>
        <w:rPr>
          <w:b/>
          <w:spacing w:val="-10"/>
          <w:sz w:val="21"/>
        </w:rPr>
        <w:t xml:space="preserve"> </w:t>
      </w:r>
      <w:r>
        <w:rPr>
          <w:b/>
          <w:sz w:val="21"/>
        </w:rPr>
        <w:t>status</w:t>
      </w:r>
      <w:r>
        <w:rPr>
          <w:sz w:val="21"/>
        </w:rPr>
        <w:t>…”</w:t>
      </w:r>
      <w:r>
        <w:rPr>
          <w:position w:val="7"/>
          <w:sz w:val="14"/>
        </w:rPr>
        <w:t>66</w:t>
      </w:r>
    </w:p>
    <w:p w:rsidR="003B2FC0" w:rsidRDefault="00052A49">
      <w:pPr>
        <w:spacing w:line="239" w:lineRule="exact"/>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202" w:line="480" w:lineRule="auto"/>
        <w:ind w:left="400" w:right="462"/>
        <w:jc w:val="both"/>
        <w:rPr>
          <w:sz w:val="26"/>
        </w:rPr>
      </w:pPr>
      <w:r>
        <w:rPr>
          <w:sz w:val="26"/>
        </w:rPr>
        <w:t>Though</w:t>
      </w:r>
      <w:r>
        <w:rPr>
          <w:spacing w:val="-7"/>
          <w:sz w:val="26"/>
        </w:rPr>
        <w:t xml:space="preserve"> </w:t>
      </w:r>
      <w:r>
        <w:rPr>
          <w:sz w:val="26"/>
        </w:rPr>
        <w:t>formulated</w:t>
      </w:r>
      <w:r>
        <w:rPr>
          <w:spacing w:val="-5"/>
          <w:sz w:val="26"/>
        </w:rPr>
        <w:t xml:space="preserve"> </w:t>
      </w:r>
      <w:r>
        <w:rPr>
          <w:sz w:val="26"/>
        </w:rPr>
        <w:t>as</w:t>
      </w:r>
      <w:r>
        <w:rPr>
          <w:spacing w:val="-6"/>
          <w:sz w:val="26"/>
        </w:rPr>
        <w:t xml:space="preserve"> </w:t>
      </w:r>
      <w:r>
        <w:rPr>
          <w:sz w:val="26"/>
        </w:rPr>
        <w:t>a</w:t>
      </w:r>
      <w:r>
        <w:rPr>
          <w:spacing w:val="-5"/>
          <w:sz w:val="26"/>
        </w:rPr>
        <w:t xml:space="preserve"> </w:t>
      </w:r>
      <w:r>
        <w:rPr>
          <w:sz w:val="26"/>
        </w:rPr>
        <w:t>three-pronged</w:t>
      </w:r>
      <w:r>
        <w:rPr>
          <w:spacing w:val="-4"/>
          <w:sz w:val="26"/>
        </w:rPr>
        <w:t xml:space="preserve"> </w:t>
      </w:r>
      <w:r>
        <w:rPr>
          <w:sz w:val="26"/>
        </w:rPr>
        <w:t>test,</w:t>
      </w:r>
      <w:r>
        <w:rPr>
          <w:spacing w:val="-7"/>
          <w:sz w:val="26"/>
        </w:rPr>
        <w:t xml:space="preserve"> </w:t>
      </w:r>
      <w:r>
        <w:rPr>
          <w:sz w:val="26"/>
        </w:rPr>
        <w:t>a</w:t>
      </w:r>
      <w:r>
        <w:rPr>
          <w:spacing w:val="-7"/>
          <w:sz w:val="26"/>
        </w:rPr>
        <w:t xml:space="preserve"> </w:t>
      </w:r>
      <w:r>
        <w:rPr>
          <w:sz w:val="26"/>
        </w:rPr>
        <w:t>fourth</w:t>
      </w:r>
      <w:r>
        <w:rPr>
          <w:spacing w:val="-6"/>
          <w:sz w:val="26"/>
        </w:rPr>
        <w:t xml:space="preserve"> </w:t>
      </w:r>
      <w:r>
        <w:rPr>
          <w:sz w:val="26"/>
        </w:rPr>
        <w:t>element</w:t>
      </w:r>
      <w:r>
        <w:rPr>
          <w:spacing w:val="-5"/>
          <w:sz w:val="26"/>
        </w:rPr>
        <w:t xml:space="preserve"> </w:t>
      </w:r>
      <w:r>
        <w:rPr>
          <w:sz w:val="26"/>
        </w:rPr>
        <w:t>emerges</w:t>
      </w:r>
      <w:r>
        <w:rPr>
          <w:spacing w:val="-6"/>
          <w:sz w:val="26"/>
        </w:rPr>
        <w:t xml:space="preserve"> </w:t>
      </w:r>
      <w:r>
        <w:rPr>
          <w:sz w:val="26"/>
        </w:rPr>
        <w:t>from</w:t>
      </w:r>
      <w:r>
        <w:rPr>
          <w:spacing w:val="-7"/>
          <w:sz w:val="26"/>
        </w:rPr>
        <w:t xml:space="preserve"> </w:t>
      </w:r>
      <w:r>
        <w:rPr>
          <w:sz w:val="26"/>
        </w:rPr>
        <w:t>the narrative. That is the position of a common set of religious tenets. Religion is what</w:t>
      </w:r>
      <w:r>
        <w:rPr>
          <w:spacing w:val="-15"/>
          <w:sz w:val="26"/>
        </w:rPr>
        <w:t xml:space="preserve"> </w:t>
      </w:r>
      <w:r>
        <w:rPr>
          <w:sz w:val="26"/>
        </w:rPr>
        <w:t>binds</w:t>
      </w:r>
      <w:r>
        <w:rPr>
          <w:spacing w:val="-14"/>
          <w:sz w:val="26"/>
        </w:rPr>
        <w:t xml:space="preserve"> </w:t>
      </w:r>
      <w:r>
        <w:rPr>
          <w:sz w:val="26"/>
        </w:rPr>
        <w:t>a</w:t>
      </w:r>
      <w:r>
        <w:rPr>
          <w:spacing w:val="-14"/>
          <w:sz w:val="26"/>
        </w:rPr>
        <w:t xml:space="preserve"> </w:t>
      </w:r>
      <w:r>
        <w:rPr>
          <w:sz w:val="26"/>
        </w:rPr>
        <w:t>religious</w:t>
      </w:r>
      <w:r>
        <w:rPr>
          <w:spacing w:val="-14"/>
          <w:sz w:val="26"/>
        </w:rPr>
        <w:t xml:space="preserve"> </w:t>
      </w:r>
      <w:r>
        <w:rPr>
          <w:sz w:val="26"/>
        </w:rPr>
        <w:t>denomination.</w:t>
      </w:r>
      <w:r>
        <w:rPr>
          <w:spacing w:val="-14"/>
          <w:sz w:val="26"/>
        </w:rPr>
        <w:t xml:space="preserve"> </w:t>
      </w:r>
      <w:r>
        <w:rPr>
          <w:sz w:val="26"/>
        </w:rPr>
        <w:t>Caste,</w:t>
      </w:r>
      <w:r>
        <w:rPr>
          <w:spacing w:val="-14"/>
          <w:sz w:val="26"/>
        </w:rPr>
        <w:t xml:space="preserve"> </w:t>
      </w:r>
      <w:r>
        <w:rPr>
          <w:sz w:val="26"/>
        </w:rPr>
        <w:t>community</w:t>
      </w:r>
      <w:r>
        <w:rPr>
          <w:spacing w:val="-16"/>
          <w:sz w:val="26"/>
        </w:rPr>
        <w:t xml:space="preserve"> </w:t>
      </w:r>
      <w:r>
        <w:rPr>
          <w:sz w:val="26"/>
        </w:rPr>
        <w:t>and</w:t>
      </w:r>
      <w:r>
        <w:rPr>
          <w:spacing w:val="-14"/>
          <w:sz w:val="26"/>
        </w:rPr>
        <w:t xml:space="preserve"> </w:t>
      </w:r>
      <w:r>
        <w:rPr>
          <w:sz w:val="26"/>
        </w:rPr>
        <w:t>social</w:t>
      </w:r>
      <w:r>
        <w:rPr>
          <w:spacing w:val="-14"/>
          <w:sz w:val="26"/>
        </w:rPr>
        <w:t xml:space="preserve"> </w:t>
      </w:r>
      <w:r>
        <w:rPr>
          <w:sz w:val="26"/>
        </w:rPr>
        <w:t>status</w:t>
      </w:r>
      <w:r>
        <w:rPr>
          <w:spacing w:val="-12"/>
          <w:sz w:val="26"/>
        </w:rPr>
        <w:t xml:space="preserve"> </w:t>
      </w:r>
      <w:r>
        <w:rPr>
          <w:sz w:val="26"/>
        </w:rPr>
        <w:t>do</w:t>
      </w:r>
      <w:r>
        <w:rPr>
          <w:spacing w:val="-14"/>
          <w:sz w:val="26"/>
        </w:rPr>
        <w:t xml:space="preserve"> </w:t>
      </w:r>
      <w:r>
        <w:rPr>
          <w:sz w:val="26"/>
        </w:rPr>
        <w:t>n</w:t>
      </w:r>
      <w:r>
        <w:rPr>
          <w:sz w:val="26"/>
        </w:rPr>
        <w:t>ot bring into being a religious</w:t>
      </w:r>
      <w:r>
        <w:rPr>
          <w:spacing w:val="-6"/>
          <w:sz w:val="26"/>
        </w:rPr>
        <w:t xml:space="preserve"> </w:t>
      </w:r>
      <w:r>
        <w:rPr>
          <w:sz w:val="26"/>
        </w:rPr>
        <w:t>denomination.</w:t>
      </w:r>
    </w:p>
    <w:p w:rsidR="003B2FC0" w:rsidRDefault="003B2FC0">
      <w:pPr>
        <w:rPr>
          <w:sz w:val="28"/>
        </w:rPr>
      </w:pPr>
    </w:p>
    <w:p w:rsidR="003B2FC0" w:rsidRDefault="003B2FC0">
      <w:pPr>
        <w:rPr>
          <w:sz w:val="31"/>
        </w:rPr>
      </w:pPr>
    </w:p>
    <w:p w:rsidR="003B2FC0" w:rsidRDefault="00052A49">
      <w:pPr>
        <w:pStyle w:val="ListParagraph"/>
        <w:numPr>
          <w:ilvl w:val="0"/>
          <w:numId w:val="39"/>
        </w:numPr>
        <w:tabs>
          <w:tab w:val="left" w:pos="1121"/>
        </w:tabs>
        <w:spacing w:line="480" w:lineRule="auto"/>
        <w:ind w:right="462" w:firstLine="0"/>
        <w:jc w:val="both"/>
        <w:rPr>
          <w:sz w:val="26"/>
        </w:rPr>
      </w:pPr>
      <w:r>
        <w:rPr>
          <w:sz w:val="26"/>
        </w:rPr>
        <w:t>These precedents indicate the ingredients which must be present for a set of individuals to be regarded as a religious denomination. These are a common faith, a common organisation and a distinctive name brought</w:t>
      </w:r>
      <w:r>
        <w:rPr>
          <w:spacing w:val="-34"/>
          <w:sz w:val="26"/>
        </w:rPr>
        <w:t xml:space="preserve"> </w:t>
      </w:r>
      <w:r>
        <w:rPr>
          <w:sz w:val="26"/>
        </w:rPr>
        <w:t>together under the rubric of religion. A com</w:t>
      </w:r>
      <w:r>
        <w:rPr>
          <w:sz w:val="26"/>
        </w:rPr>
        <w:t>mon thread which runs through them is the requirement of a religious identity, which is fundamental to the character of a religious denomination.</w:t>
      </w:r>
    </w:p>
    <w:p w:rsidR="003B2FC0" w:rsidRDefault="003B2FC0">
      <w:pPr>
        <w:spacing w:before="10"/>
        <w:rPr>
          <w:sz w:val="13"/>
        </w:rPr>
      </w:pPr>
      <w:r w:rsidRPr="003B2FC0">
        <w:pict>
          <v:line id="_x0000_s1108" style="position:absolute;z-index:251607552;mso-wrap-distance-left:0;mso-wrap-distance-right:0;mso-position-horizontal-relative:page" from="1in,10.35pt" to="216.05pt,10.35pt" strokeweight=".72pt">
            <w10:wrap type="topAndBottom" anchorx="page"/>
          </v:line>
        </w:pict>
      </w:r>
    </w:p>
    <w:p w:rsidR="003B2FC0" w:rsidRDefault="00052A49">
      <w:pPr>
        <w:spacing w:before="66"/>
        <w:ind w:left="400"/>
        <w:rPr>
          <w:sz w:val="18"/>
        </w:rPr>
      </w:pPr>
      <w:r>
        <w:rPr>
          <w:position w:val="6"/>
          <w:sz w:val="12"/>
        </w:rPr>
        <w:t xml:space="preserve">66 </w:t>
      </w:r>
      <w:r>
        <w:rPr>
          <w:sz w:val="18"/>
        </w:rPr>
        <w:t>Ibid, at page 716</w:t>
      </w:r>
    </w:p>
    <w:p w:rsidR="003B2FC0" w:rsidRDefault="003B2FC0">
      <w:pPr>
        <w:rPr>
          <w:sz w:val="18"/>
        </w:rPr>
        <w:sectPr w:rsidR="003B2FC0">
          <w:footerReference w:type="default" r:id="rId367"/>
          <w:pgSz w:w="11910" w:h="16840"/>
          <w:pgMar w:top="1080" w:right="980" w:bottom="1200" w:left="1040" w:header="708" w:footer="1000" w:gutter="0"/>
          <w:pgNumType w:start="84"/>
          <w:cols w:space="720"/>
        </w:sectPr>
      </w:pPr>
    </w:p>
    <w:p w:rsidR="003B2FC0" w:rsidRDefault="003B2FC0">
      <w:pPr>
        <w:spacing w:before="9"/>
        <w:rPr>
          <w:sz w:val="21"/>
        </w:rPr>
      </w:pPr>
    </w:p>
    <w:p w:rsidR="003B2FC0" w:rsidRDefault="00052A49">
      <w:pPr>
        <w:tabs>
          <w:tab w:val="left" w:pos="1551"/>
          <w:tab w:val="left" w:pos="2206"/>
          <w:tab w:val="left" w:pos="3624"/>
          <w:tab w:val="left" w:pos="4130"/>
          <w:tab w:val="left" w:pos="4984"/>
          <w:tab w:val="left" w:pos="6356"/>
          <w:tab w:val="left" w:pos="7896"/>
          <w:tab w:val="left" w:pos="8294"/>
        </w:tabs>
        <w:spacing w:before="92" w:line="360" w:lineRule="auto"/>
        <w:ind w:left="940" w:right="461" w:hanging="632"/>
        <w:rPr>
          <w:b/>
          <w:sz w:val="27"/>
        </w:rPr>
      </w:pPr>
      <w:r>
        <w:rPr>
          <w:b/>
          <w:sz w:val="27"/>
        </w:rPr>
        <w:t>H.</w:t>
      </w:r>
      <w:r>
        <w:rPr>
          <w:b/>
          <w:spacing w:val="-2"/>
          <w:sz w:val="27"/>
        </w:rPr>
        <w:t xml:space="preserve"> </w:t>
      </w:r>
      <w:r>
        <w:rPr>
          <w:b/>
          <w:sz w:val="27"/>
        </w:rPr>
        <w:t>1</w:t>
      </w:r>
      <w:r>
        <w:rPr>
          <w:b/>
          <w:spacing w:val="61"/>
          <w:sz w:val="27"/>
        </w:rPr>
        <w:t xml:space="preserve"> </w:t>
      </w:r>
      <w:r>
        <w:rPr>
          <w:b/>
          <w:sz w:val="27"/>
        </w:rPr>
        <w:t>Do</w:t>
      </w:r>
      <w:r>
        <w:rPr>
          <w:b/>
          <w:sz w:val="27"/>
        </w:rPr>
        <w:tab/>
        <w:t>the</w:t>
      </w:r>
      <w:r>
        <w:rPr>
          <w:b/>
          <w:sz w:val="27"/>
        </w:rPr>
        <w:tab/>
        <w:t>devotees</w:t>
      </w:r>
      <w:r>
        <w:rPr>
          <w:b/>
          <w:sz w:val="27"/>
        </w:rPr>
        <w:tab/>
        <w:t>of</w:t>
      </w:r>
      <w:r>
        <w:rPr>
          <w:b/>
          <w:sz w:val="27"/>
        </w:rPr>
        <w:tab/>
        <w:t>Lord</w:t>
      </w:r>
      <w:r>
        <w:rPr>
          <w:b/>
          <w:sz w:val="27"/>
        </w:rPr>
        <w:tab/>
        <w:t>Ayyappa</w:t>
      </w:r>
      <w:r>
        <w:rPr>
          <w:b/>
          <w:sz w:val="27"/>
        </w:rPr>
        <w:tab/>
      </w:r>
      <w:r>
        <w:rPr>
          <w:b/>
          <w:sz w:val="27"/>
        </w:rPr>
        <w:t>constitute</w:t>
      </w:r>
      <w:r>
        <w:rPr>
          <w:b/>
          <w:sz w:val="27"/>
        </w:rPr>
        <w:tab/>
        <w:t>a</w:t>
      </w:r>
      <w:r>
        <w:rPr>
          <w:b/>
          <w:sz w:val="27"/>
        </w:rPr>
        <w:tab/>
      </w:r>
      <w:r>
        <w:rPr>
          <w:b/>
          <w:spacing w:val="-3"/>
          <w:sz w:val="27"/>
        </w:rPr>
        <w:t xml:space="preserve">religious </w:t>
      </w:r>
      <w:r>
        <w:rPr>
          <w:b/>
          <w:sz w:val="27"/>
        </w:rPr>
        <w:t>denomination?</w:t>
      </w:r>
    </w:p>
    <w:p w:rsidR="003B2FC0" w:rsidRDefault="003B2FC0">
      <w:pPr>
        <w:rPr>
          <w:b/>
          <w:sz w:val="30"/>
        </w:rPr>
      </w:pPr>
    </w:p>
    <w:p w:rsidR="003B2FC0" w:rsidRDefault="00052A49">
      <w:pPr>
        <w:pStyle w:val="ListParagraph"/>
        <w:numPr>
          <w:ilvl w:val="0"/>
          <w:numId w:val="39"/>
        </w:numPr>
        <w:tabs>
          <w:tab w:val="left" w:pos="1121"/>
        </w:tabs>
        <w:spacing w:before="185" w:line="480" w:lineRule="auto"/>
        <w:ind w:right="459" w:firstLine="0"/>
        <w:jc w:val="both"/>
        <w:rPr>
          <w:sz w:val="26"/>
        </w:rPr>
      </w:pPr>
      <w:r>
        <w:rPr>
          <w:sz w:val="26"/>
        </w:rPr>
        <w:t>Dr Abhishek Manu Singhvi, learned Senior Counsel submitted that devotees who undertake a forty one day penance form a denomination or section called “Ayyappaswamis” and the common organisation is the organisation</w:t>
      </w:r>
      <w:r>
        <w:rPr>
          <w:spacing w:val="-20"/>
          <w:sz w:val="26"/>
        </w:rPr>
        <w:t xml:space="preserve"> </w:t>
      </w:r>
      <w:r>
        <w:rPr>
          <w:sz w:val="26"/>
        </w:rPr>
        <w:t>of</w:t>
      </w:r>
      <w:r>
        <w:rPr>
          <w:spacing w:val="-22"/>
          <w:sz w:val="26"/>
        </w:rPr>
        <w:t xml:space="preserve"> </w:t>
      </w:r>
      <w:r>
        <w:rPr>
          <w:sz w:val="26"/>
        </w:rPr>
        <w:t>‘Ayyappas’.</w:t>
      </w:r>
      <w:r>
        <w:rPr>
          <w:spacing w:val="-20"/>
          <w:sz w:val="26"/>
        </w:rPr>
        <w:t xml:space="preserve"> </w:t>
      </w:r>
      <w:r>
        <w:rPr>
          <w:sz w:val="26"/>
        </w:rPr>
        <w:t>He</w:t>
      </w:r>
      <w:r>
        <w:rPr>
          <w:spacing w:val="-22"/>
          <w:sz w:val="26"/>
        </w:rPr>
        <w:t xml:space="preserve"> </w:t>
      </w:r>
      <w:r>
        <w:rPr>
          <w:sz w:val="26"/>
        </w:rPr>
        <w:t>submits</w:t>
      </w:r>
      <w:r>
        <w:rPr>
          <w:spacing w:val="-19"/>
          <w:sz w:val="26"/>
        </w:rPr>
        <w:t xml:space="preserve"> </w:t>
      </w:r>
      <w:r>
        <w:rPr>
          <w:sz w:val="26"/>
        </w:rPr>
        <w:t>that</w:t>
      </w:r>
      <w:r>
        <w:rPr>
          <w:spacing w:val="-20"/>
          <w:sz w:val="26"/>
        </w:rPr>
        <w:t xml:space="preserve"> </w:t>
      </w:r>
      <w:r>
        <w:rPr>
          <w:sz w:val="26"/>
        </w:rPr>
        <w:t>the</w:t>
      </w:r>
      <w:r>
        <w:rPr>
          <w:spacing w:val="-22"/>
          <w:sz w:val="26"/>
        </w:rPr>
        <w:t xml:space="preserve"> </w:t>
      </w:r>
      <w:r>
        <w:rPr>
          <w:sz w:val="26"/>
        </w:rPr>
        <w:t>‘Ayyappas’</w:t>
      </w:r>
      <w:r>
        <w:rPr>
          <w:spacing w:val="-19"/>
          <w:sz w:val="26"/>
        </w:rPr>
        <w:t xml:space="preserve"> </w:t>
      </w:r>
      <w:r>
        <w:rPr>
          <w:sz w:val="26"/>
        </w:rPr>
        <w:t>believe</w:t>
      </w:r>
      <w:r>
        <w:rPr>
          <w:spacing w:val="-19"/>
          <w:sz w:val="26"/>
        </w:rPr>
        <w:t xml:space="preserve"> </w:t>
      </w:r>
      <w:r>
        <w:rPr>
          <w:sz w:val="26"/>
        </w:rPr>
        <w:t>in</w:t>
      </w:r>
      <w:r>
        <w:rPr>
          <w:spacing w:val="-22"/>
          <w:sz w:val="26"/>
        </w:rPr>
        <w:t xml:space="preserve"> </w:t>
      </w:r>
      <w:r>
        <w:rPr>
          <w:sz w:val="26"/>
        </w:rPr>
        <w:t>a</w:t>
      </w:r>
      <w:r>
        <w:rPr>
          <w:spacing w:val="-19"/>
          <w:sz w:val="26"/>
        </w:rPr>
        <w:t xml:space="preserve"> </w:t>
      </w:r>
      <w:r>
        <w:rPr>
          <w:sz w:val="26"/>
        </w:rPr>
        <w:t>common faith and hold the belief that if they undertake the penance of forty-one days in the manner prescribed, by maintaining themselves pure and unpolluted, they would be one with Lord Ayyappa. It h</w:t>
      </w:r>
      <w:r>
        <w:rPr>
          <w:sz w:val="26"/>
        </w:rPr>
        <w:t>as been submitted by Mr K Parasaran, learned Senior Counsel that the devotees of Lord Ayyappa hold a sacred religious</w:t>
      </w:r>
      <w:r>
        <w:rPr>
          <w:spacing w:val="-14"/>
          <w:sz w:val="26"/>
        </w:rPr>
        <w:t xml:space="preserve"> </w:t>
      </w:r>
      <w:r>
        <w:rPr>
          <w:sz w:val="26"/>
        </w:rPr>
        <w:t>belief</w:t>
      </w:r>
      <w:r>
        <w:rPr>
          <w:spacing w:val="-16"/>
          <w:sz w:val="26"/>
        </w:rPr>
        <w:t xml:space="preserve"> </w:t>
      </w:r>
      <w:r>
        <w:rPr>
          <w:sz w:val="26"/>
        </w:rPr>
        <w:t>that</w:t>
      </w:r>
      <w:r>
        <w:rPr>
          <w:spacing w:val="-16"/>
          <w:sz w:val="26"/>
        </w:rPr>
        <w:t xml:space="preserve"> </w:t>
      </w:r>
      <w:r>
        <w:rPr>
          <w:sz w:val="26"/>
        </w:rPr>
        <w:t>the</w:t>
      </w:r>
      <w:r>
        <w:rPr>
          <w:spacing w:val="-16"/>
          <w:sz w:val="26"/>
        </w:rPr>
        <w:t xml:space="preserve"> </w:t>
      </w:r>
      <w:r>
        <w:rPr>
          <w:sz w:val="26"/>
        </w:rPr>
        <w:t>deity</w:t>
      </w:r>
      <w:r>
        <w:rPr>
          <w:spacing w:val="-16"/>
          <w:sz w:val="26"/>
        </w:rPr>
        <w:t xml:space="preserve"> </w:t>
      </w:r>
      <w:r>
        <w:rPr>
          <w:sz w:val="26"/>
        </w:rPr>
        <w:t>at</w:t>
      </w:r>
      <w:r>
        <w:rPr>
          <w:spacing w:val="-13"/>
          <w:sz w:val="26"/>
        </w:rPr>
        <w:t xml:space="preserve"> </w:t>
      </w:r>
      <w:r>
        <w:rPr>
          <w:sz w:val="26"/>
        </w:rPr>
        <w:t>Sabarimala</w:t>
      </w:r>
      <w:r>
        <w:rPr>
          <w:spacing w:val="-14"/>
          <w:sz w:val="26"/>
        </w:rPr>
        <w:t xml:space="preserve"> </w:t>
      </w:r>
      <w:r>
        <w:rPr>
          <w:sz w:val="26"/>
        </w:rPr>
        <w:t>is</w:t>
      </w:r>
      <w:r>
        <w:rPr>
          <w:spacing w:val="-16"/>
          <w:sz w:val="26"/>
        </w:rPr>
        <w:t xml:space="preserve"> </w:t>
      </w:r>
      <w:r>
        <w:rPr>
          <w:sz w:val="26"/>
        </w:rPr>
        <w:t>celibate</w:t>
      </w:r>
      <w:r>
        <w:rPr>
          <w:spacing w:val="-11"/>
          <w:sz w:val="26"/>
        </w:rPr>
        <w:t xml:space="preserve"> </w:t>
      </w:r>
      <w:r>
        <w:rPr>
          <w:sz w:val="26"/>
        </w:rPr>
        <w:t>-</w:t>
      </w:r>
      <w:r>
        <w:rPr>
          <w:spacing w:val="-16"/>
          <w:sz w:val="26"/>
        </w:rPr>
        <w:t xml:space="preserve"> </w:t>
      </w:r>
      <w:r>
        <w:rPr>
          <w:sz w:val="26"/>
        </w:rPr>
        <w:t>a</w:t>
      </w:r>
      <w:r>
        <w:rPr>
          <w:spacing w:val="-14"/>
          <w:sz w:val="26"/>
        </w:rPr>
        <w:t xml:space="preserve"> </w:t>
      </w:r>
      <w:r>
        <w:rPr>
          <w:sz w:val="26"/>
        </w:rPr>
        <w:t>Naishtika</w:t>
      </w:r>
      <w:r>
        <w:rPr>
          <w:spacing w:val="-15"/>
          <w:sz w:val="26"/>
        </w:rPr>
        <w:t xml:space="preserve"> </w:t>
      </w:r>
      <w:r>
        <w:rPr>
          <w:sz w:val="26"/>
        </w:rPr>
        <w:t>Brahmachari</w:t>
      </w:r>
    </w:p>
    <w:p w:rsidR="003B2FC0" w:rsidRDefault="00052A49">
      <w:pPr>
        <w:spacing w:before="1" w:line="480" w:lineRule="auto"/>
        <w:ind w:left="400" w:right="468"/>
        <w:jc w:val="both"/>
        <w:rPr>
          <w:sz w:val="26"/>
        </w:rPr>
      </w:pPr>
      <w:r>
        <w:rPr>
          <w:sz w:val="26"/>
        </w:rPr>
        <w:t>- who practises strict penance and the strictest form of celibac</w:t>
      </w:r>
      <w:r>
        <w:rPr>
          <w:sz w:val="26"/>
        </w:rPr>
        <w:t>y, in which he cannot find himself in the presence of young women.</w:t>
      </w:r>
    </w:p>
    <w:p w:rsidR="003B2FC0" w:rsidRDefault="003B2FC0">
      <w:pPr>
        <w:rPr>
          <w:sz w:val="28"/>
        </w:rPr>
      </w:pPr>
    </w:p>
    <w:p w:rsidR="003B2FC0" w:rsidRDefault="003B2FC0">
      <w:pPr>
        <w:spacing w:before="11"/>
        <w:rPr>
          <w:sz w:val="30"/>
        </w:rPr>
      </w:pPr>
    </w:p>
    <w:p w:rsidR="003B2FC0" w:rsidRDefault="00052A49">
      <w:pPr>
        <w:spacing w:line="480" w:lineRule="auto"/>
        <w:ind w:left="400" w:right="460"/>
        <w:jc w:val="both"/>
        <w:rPr>
          <w:sz w:val="26"/>
        </w:rPr>
      </w:pPr>
      <w:r>
        <w:rPr>
          <w:sz w:val="26"/>
        </w:rPr>
        <w:t xml:space="preserve">It has been submitted that Lord Ayyappa has female devotees. Hence, girls below the age of ten and women above the age of fifty would be included as members of the denomination. However, </w:t>
      </w:r>
      <w:r>
        <w:rPr>
          <w:sz w:val="26"/>
        </w:rPr>
        <w:t>it is unclear as to how they may be considered as members of a denomination that seeks their exclusion. The judgements of this Court lay</w:t>
      </w:r>
      <w:r>
        <w:rPr>
          <w:spacing w:val="-53"/>
          <w:sz w:val="26"/>
        </w:rPr>
        <w:t xml:space="preserve"> </w:t>
      </w:r>
      <w:r>
        <w:rPr>
          <w:sz w:val="26"/>
        </w:rPr>
        <w:t>down that the collective of individuals must have a common</w:t>
      </w:r>
      <w:r>
        <w:rPr>
          <w:spacing w:val="-16"/>
          <w:sz w:val="26"/>
        </w:rPr>
        <w:t xml:space="preserve"> </w:t>
      </w:r>
      <w:r>
        <w:rPr>
          <w:sz w:val="26"/>
        </w:rPr>
        <w:t>faith</w:t>
      </w:r>
      <w:r>
        <w:rPr>
          <w:spacing w:val="-19"/>
          <w:sz w:val="26"/>
        </w:rPr>
        <w:t xml:space="preserve"> </w:t>
      </w:r>
      <w:r>
        <w:rPr>
          <w:sz w:val="26"/>
        </w:rPr>
        <w:t>and</w:t>
      </w:r>
      <w:r>
        <w:rPr>
          <w:spacing w:val="-18"/>
          <w:sz w:val="26"/>
        </w:rPr>
        <w:t xml:space="preserve"> </w:t>
      </w:r>
      <w:r>
        <w:rPr>
          <w:sz w:val="26"/>
        </w:rPr>
        <w:t>set</w:t>
      </w:r>
      <w:r>
        <w:rPr>
          <w:spacing w:val="-16"/>
          <w:sz w:val="26"/>
        </w:rPr>
        <w:t xml:space="preserve"> </w:t>
      </w:r>
      <w:r>
        <w:rPr>
          <w:sz w:val="26"/>
        </w:rPr>
        <w:t>of</w:t>
      </w:r>
      <w:r>
        <w:rPr>
          <w:spacing w:val="-19"/>
          <w:sz w:val="26"/>
        </w:rPr>
        <w:t xml:space="preserve"> </w:t>
      </w:r>
      <w:r>
        <w:rPr>
          <w:sz w:val="26"/>
        </w:rPr>
        <w:t>beliefs</w:t>
      </w:r>
      <w:r>
        <w:rPr>
          <w:spacing w:val="-16"/>
          <w:sz w:val="26"/>
        </w:rPr>
        <w:t xml:space="preserve"> </w:t>
      </w:r>
      <w:r>
        <w:rPr>
          <w:sz w:val="26"/>
        </w:rPr>
        <w:t>that</w:t>
      </w:r>
      <w:r>
        <w:rPr>
          <w:spacing w:val="-16"/>
          <w:sz w:val="26"/>
        </w:rPr>
        <w:t xml:space="preserve"> </w:t>
      </w:r>
      <w:r>
        <w:rPr>
          <w:sz w:val="26"/>
        </w:rPr>
        <w:t>aid</w:t>
      </w:r>
      <w:r>
        <w:rPr>
          <w:spacing w:val="-16"/>
          <w:sz w:val="26"/>
        </w:rPr>
        <w:t xml:space="preserve"> </w:t>
      </w:r>
      <w:r>
        <w:rPr>
          <w:sz w:val="26"/>
        </w:rPr>
        <w:t>their</w:t>
      </w:r>
      <w:r>
        <w:rPr>
          <w:spacing w:val="-19"/>
          <w:sz w:val="26"/>
        </w:rPr>
        <w:t xml:space="preserve"> </w:t>
      </w:r>
      <w:r>
        <w:rPr>
          <w:sz w:val="26"/>
        </w:rPr>
        <w:t>spiritual</w:t>
      </w:r>
      <w:r>
        <w:rPr>
          <w:spacing w:val="-15"/>
          <w:sz w:val="26"/>
        </w:rPr>
        <w:t xml:space="preserve"> </w:t>
      </w:r>
      <w:r>
        <w:rPr>
          <w:sz w:val="26"/>
        </w:rPr>
        <w:t>well-being</w:t>
      </w:r>
      <w:r>
        <w:rPr>
          <w:sz w:val="26"/>
        </w:rPr>
        <w:t>.</w:t>
      </w:r>
      <w:r>
        <w:rPr>
          <w:spacing w:val="-16"/>
          <w:sz w:val="26"/>
        </w:rPr>
        <w:t xml:space="preserve"> </w:t>
      </w:r>
      <w:r>
        <w:rPr>
          <w:sz w:val="26"/>
        </w:rPr>
        <w:t>It</w:t>
      </w:r>
      <w:r>
        <w:rPr>
          <w:spacing w:val="-19"/>
          <w:sz w:val="26"/>
        </w:rPr>
        <w:t xml:space="preserve"> </w:t>
      </w:r>
      <w:r>
        <w:rPr>
          <w:sz w:val="26"/>
        </w:rPr>
        <w:t>is</w:t>
      </w:r>
      <w:r>
        <w:rPr>
          <w:spacing w:val="-18"/>
          <w:sz w:val="26"/>
        </w:rPr>
        <w:t xml:space="preserve"> </w:t>
      </w:r>
      <w:r>
        <w:rPr>
          <w:sz w:val="26"/>
        </w:rPr>
        <w:t>implausible that</w:t>
      </w:r>
      <w:r>
        <w:rPr>
          <w:spacing w:val="-7"/>
          <w:sz w:val="26"/>
        </w:rPr>
        <w:t xml:space="preserve"> </w:t>
      </w:r>
      <w:r>
        <w:rPr>
          <w:sz w:val="26"/>
        </w:rPr>
        <w:t>women</w:t>
      </w:r>
      <w:r>
        <w:rPr>
          <w:spacing w:val="-7"/>
          <w:sz w:val="26"/>
        </w:rPr>
        <w:t xml:space="preserve"> </w:t>
      </w:r>
      <w:r>
        <w:rPr>
          <w:sz w:val="26"/>
        </w:rPr>
        <w:t>should</w:t>
      </w:r>
      <w:r>
        <w:rPr>
          <w:spacing w:val="-6"/>
          <w:sz w:val="26"/>
        </w:rPr>
        <w:t xml:space="preserve"> </w:t>
      </w:r>
      <w:r>
        <w:rPr>
          <w:sz w:val="26"/>
        </w:rPr>
        <w:t>leave</w:t>
      </w:r>
      <w:r>
        <w:rPr>
          <w:spacing w:val="-9"/>
          <w:sz w:val="26"/>
        </w:rPr>
        <w:t xml:space="preserve"> </w:t>
      </w:r>
      <w:r>
        <w:rPr>
          <w:sz w:val="26"/>
        </w:rPr>
        <w:t>the</w:t>
      </w:r>
      <w:r>
        <w:rPr>
          <w:spacing w:val="-7"/>
          <w:sz w:val="26"/>
        </w:rPr>
        <w:t xml:space="preserve"> </w:t>
      </w:r>
      <w:r>
        <w:rPr>
          <w:sz w:val="26"/>
        </w:rPr>
        <w:t>membership</w:t>
      </w:r>
      <w:r>
        <w:rPr>
          <w:spacing w:val="-4"/>
          <w:sz w:val="26"/>
        </w:rPr>
        <w:t xml:space="preserve"> </w:t>
      </w:r>
      <w:r>
        <w:rPr>
          <w:sz w:val="26"/>
        </w:rPr>
        <w:t>of</w:t>
      </w:r>
      <w:r>
        <w:rPr>
          <w:spacing w:val="-9"/>
          <w:sz w:val="26"/>
        </w:rPr>
        <w:t xml:space="preserve"> </w:t>
      </w:r>
      <w:r>
        <w:rPr>
          <w:sz w:val="26"/>
        </w:rPr>
        <w:t>a</w:t>
      </w:r>
      <w:r>
        <w:rPr>
          <w:spacing w:val="-7"/>
          <w:sz w:val="26"/>
        </w:rPr>
        <w:t xml:space="preserve"> </w:t>
      </w:r>
      <w:r>
        <w:rPr>
          <w:sz w:val="26"/>
        </w:rPr>
        <w:t>common</w:t>
      </w:r>
      <w:r>
        <w:rPr>
          <w:spacing w:val="-6"/>
          <w:sz w:val="26"/>
        </w:rPr>
        <w:t xml:space="preserve"> </w:t>
      </w:r>
      <w:r>
        <w:rPr>
          <w:sz w:val="26"/>
        </w:rPr>
        <w:t>faith,</w:t>
      </w:r>
      <w:r>
        <w:rPr>
          <w:spacing w:val="-5"/>
          <w:sz w:val="26"/>
        </w:rPr>
        <w:t xml:space="preserve"> </w:t>
      </w:r>
      <w:r>
        <w:rPr>
          <w:sz w:val="26"/>
        </w:rPr>
        <w:t>which</w:t>
      </w:r>
      <w:r>
        <w:rPr>
          <w:spacing w:val="-8"/>
          <w:sz w:val="26"/>
        </w:rPr>
        <w:t xml:space="preserve"> </w:t>
      </w:r>
      <w:r>
        <w:rPr>
          <w:sz w:val="26"/>
        </w:rPr>
        <w:t>is</w:t>
      </w:r>
      <w:r>
        <w:rPr>
          <w:spacing w:val="-9"/>
          <w:sz w:val="26"/>
        </w:rPr>
        <w:t xml:space="preserve"> </w:t>
      </w:r>
      <w:r>
        <w:rPr>
          <w:sz w:val="26"/>
        </w:rPr>
        <w:t>meant</w:t>
      </w:r>
      <w:r>
        <w:rPr>
          <w:spacing w:val="-7"/>
          <w:sz w:val="26"/>
        </w:rPr>
        <w:t xml:space="preserve"> </w:t>
      </w:r>
      <w:r>
        <w:rPr>
          <w:sz w:val="26"/>
        </w:rPr>
        <w:t>to be</w:t>
      </w:r>
      <w:r>
        <w:rPr>
          <w:spacing w:val="28"/>
          <w:sz w:val="26"/>
        </w:rPr>
        <w:t xml:space="preserve"> </w:t>
      </w:r>
      <w:r>
        <w:rPr>
          <w:sz w:val="26"/>
        </w:rPr>
        <w:t>conducive</w:t>
      </w:r>
      <w:r>
        <w:rPr>
          <w:spacing w:val="29"/>
          <w:sz w:val="26"/>
        </w:rPr>
        <w:t xml:space="preserve"> </w:t>
      </w:r>
      <w:r>
        <w:rPr>
          <w:sz w:val="26"/>
        </w:rPr>
        <w:t>to</w:t>
      </w:r>
      <w:r>
        <w:rPr>
          <w:spacing w:val="29"/>
          <w:sz w:val="26"/>
        </w:rPr>
        <w:t xml:space="preserve"> </w:t>
      </w:r>
      <w:r>
        <w:rPr>
          <w:sz w:val="26"/>
        </w:rPr>
        <w:t>their</w:t>
      </w:r>
      <w:r>
        <w:rPr>
          <w:spacing w:val="29"/>
          <w:sz w:val="26"/>
        </w:rPr>
        <w:t xml:space="preserve"> </w:t>
      </w:r>
      <w:r>
        <w:rPr>
          <w:sz w:val="26"/>
        </w:rPr>
        <w:t>spiritual</w:t>
      </w:r>
      <w:r>
        <w:rPr>
          <w:spacing w:val="29"/>
          <w:sz w:val="26"/>
        </w:rPr>
        <w:t xml:space="preserve"> </w:t>
      </w:r>
      <w:r>
        <w:rPr>
          <w:sz w:val="26"/>
        </w:rPr>
        <w:t>growth</w:t>
      </w:r>
      <w:r>
        <w:rPr>
          <w:spacing w:val="29"/>
          <w:sz w:val="26"/>
        </w:rPr>
        <w:t xml:space="preserve"> </w:t>
      </w:r>
      <w:r>
        <w:rPr>
          <w:sz w:val="26"/>
        </w:rPr>
        <w:t>for</w:t>
      </w:r>
      <w:r>
        <w:rPr>
          <w:spacing w:val="31"/>
          <w:sz w:val="26"/>
        </w:rPr>
        <w:t xml:space="preserve"> </w:t>
      </w:r>
      <w:r>
        <w:rPr>
          <w:sz w:val="26"/>
        </w:rPr>
        <w:t>a</w:t>
      </w:r>
      <w:r>
        <w:rPr>
          <w:spacing w:val="29"/>
          <w:sz w:val="26"/>
        </w:rPr>
        <w:t xml:space="preserve"> </w:t>
      </w:r>
      <w:r>
        <w:rPr>
          <w:sz w:val="26"/>
        </w:rPr>
        <w:t>period</w:t>
      </w:r>
      <w:r>
        <w:rPr>
          <w:spacing w:val="28"/>
          <w:sz w:val="26"/>
        </w:rPr>
        <w:t xml:space="preserve"> </w:t>
      </w:r>
      <w:r>
        <w:rPr>
          <w:sz w:val="26"/>
        </w:rPr>
        <w:t>of</w:t>
      </w:r>
      <w:r>
        <w:rPr>
          <w:spacing w:val="29"/>
          <w:sz w:val="26"/>
        </w:rPr>
        <w:t xml:space="preserve"> </w:t>
      </w:r>
      <w:r>
        <w:rPr>
          <w:sz w:val="26"/>
        </w:rPr>
        <w:t>forty</w:t>
      </w:r>
      <w:r>
        <w:rPr>
          <w:spacing w:val="29"/>
          <w:sz w:val="26"/>
        </w:rPr>
        <w:t xml:space="preserve"> </w:t>
      </w:r>
      <w:r>
        <w:rPr>
          <w:sz w:val="26"/>
        </w:rPr>
        <w:t>years</w:t>
      </w:r>
      <w:r>
        <w:rPr>
          <w:spacing w:val="29"/>
          <w:sz w:val="26"/>
        </w:rPr>
        <w:t xml:space="preserve"> </w:t>
      </w:r>
      <w:r>
        <w:rPr>
          <w:sz w:val="26"/>
        </w:rPr>
        <w:t>and</w:t>
      </w:r>
      <w:r>
        <w:rPr>
          <w:spacing w:val="29"/>
          <w:sz w:val="26"/>
        </w:rPr>
        <w:t xml:space="preserve"> </w:t>
      </w:r>
      <w:r>
        <w:rPr>
          <w:sz w:val="26"/>
        </w:rPr>
        <w:t>resume</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65"/>
        <w:jc w:val="both"/>
        <w:rPr>
          <w:sz w:val="26"/>
        </w:rPr>
      </w:pPr>
      <w:r>
        <w:rPr>
          <w:sz w:val="26"/>
        </w:rPr>
        <w:t>membership</w:t>
      </w:r>
      <w:r>
        <w:rPr>
          <w:spacing w:val="-15"/>
          <w:sz w:val="26"/>
        </w:rPr>
        <w:t xml:space="preserve"> </w:t>
      </w:r>
      <w:r>
        <w:rPr>
          <w:sz w:val="26"/>
        </w:rPr>
        <w:t>at</w:t>
      </w:r>
      <w:r>
        <w:rPr>
          <w:spacing w:val="-16"/>
          <w:sz w:val="26"/>
        </w:rPr>
        <w:t xml:space="preserve"> </w:t>
      </w:r>
      <w:r>
        <w:rPr>
          <w:sz w:val="26"/>
        </w:rPr>
        <w:t>the</w:t>
      </w:r>
      <w:r>
        <w:rPr>
          <w:spacing w:val="-16"/>
          <w:sz w:val="26"/>
        </w:rPr>
        <w:t xml:space="preserve"> </w:t>
      </w:r>
      <w:r>
        <w:rPr>
          <w:sz w:val="26"/>
        </w:rPr>
        <w:t>age</w:t>
      </w:r>
      <w:r>
        <w:rPr>
          <w:spacing w:val="-17"/>
          <w:sz w:val="26"/>
        </w:rPr>
        <w:t xml:space="preserve"> </w:t>
      </w:r>
      <w:r>
        <w:rPr>
          <w:sz w:val="26"/>
        </w:rPr>
        <w:t>of</w:t>
      </w:r>
      <w:r>
        <w:rPr>
          <w:spacing w:val="-14"/>
          <w:sz w:val="26"/>
        </w:rPr>
        <w:t xml:space="preserve"> </w:t>
      </w:r>
      <w:r>
        <w:rPr>
          <w:sz w:val="26"/>
        </w:rPr>
        <w:t>fifty.</w:t>
      </w:r>
      <w:r>
        <w:rPr>
          <w:spacing w:val="-14"/>
          <w:sz w:val="26"/>
        </w:rPr>
        <w:t xml:space="preserve"> </w:t>
      </w:r>
      <w:r>
        <w:rPr>
          <w:sz w:val="26"/>
        </w:rPr>
        <w:t>Such</w:t>
      </w:r>
      <w:r>
        <w:rPr>
          <w:spacing w:val="-14"/>
          <w:sz w:val="26"/>
        </w:rPr>
        <w:t xml:space="preserve"> </w:t>
      </w:r>
      <w:r>
        <w:rPr>
          <w:sz w:val="26"/>
        </w:rPr>
        <w:t>a</w:t>
      </w:r>
      <w:r>
        <w:rPr>
          <w:spacing w:val="-17"/>
          <w:sz w:val="26"/>
        </w:rPr>
        <w:t xml:space="preserve"> </w:t>
      </w:r>
      <w:r>
        <w:rPr>
          <w:sz w:val="26"/>
        </w:rPr>
        <w:t>requirement</w:t>
      </w:r>
      <w:r>
        <w:rPr>
          <w:spacing w:val="-16"/>
          <w:sz w:val="26"/>
        </w:rPr>
        <w:t xml:space="preserve"> </w:t>
      </w:r>
      <w:r>
        <w:rPr>
          <w:sz w:val="26"/>
        </w:rPr>
        <w:t>takes</w:t>
      </w:r>
      <w:r>
        <w:rPr>
          <w:spacing w:val="-16"/>
          <w:sz w:val="26"/>
        </w:rPr>
        <w:t xml:space="preserve"> </w:t>
      </w:r>
      <w:r>
        <w:rPr>
          <w:sz w:val="26"/>
        </w:rPr>
        <w:t>away</w:t>
      </w:r>
      <w:r>
        <w:rPr>
          <w:spacing w:val="-16"/>
          <w:sz w:val="26"/>
        </w:rPr>
        <w:t xml:space="preserve"> </w:t>
      </w:r>
      <w:r>
        <w:rPr>
          <w:sz w:val="26"/>
        </w:rPr>
        <w:t>from</w:t>
      </w:r>
      <w:r>
        <w:rPr>
          <w:spacing w:val="-17"/>
          <w:sz w:val="26"/>
        </w:rPr>
        <w:t xml:space="preserve"> </w:t>
      </w:r>
      <w:r>
        <w:rPr>
          <w:sz w:val="26"/>
        </w:rPr>
        <w:t>the</w:t>
      </w:r>
      <w:r>
        <w:rPr>
          <w:spacing w:val="-16"/>
          <w:sz w:val="26"/>
        </w:rPr>
        <w:t xml:space="preserve"> </w:t>
      </w:r>
      <w:r>
        <w:rPr>
          <w:sz w:val="26"/>
        </w:rPr>
        <w:t>spiritual character of the</w:t>
      </w:r>
      <w:r>
        <w:rPr>
          <w:spacing w:val="-4"/>
          <w:sz w:val="26"/>
        </w:rPr>
        <w:t xml:space="preserve"> </w:t>
      </w:r>
      <w:r>
        <w:rPr>
          <w:sz w:val="26"/>
        </w:rPr>
        <w:t>denomination.</w:t>
      </w:r>
    </w:p>
    <w:p w:rsidR="003B2FC0" w:rsidRDefault="003B2FC0">
      <w:pPr>
        <w:rPr>
          <w:sz w:val="28"/>
        </w:rPr>
      </w:pPr>
    </w:p>
    <w:p w:rsidR="003B2FC0" w:rsidRDefault="003B2FC0">
      <w:pPr>
        <w:rPr>
          <w:sz w:val="31"/>
        </w:rPr>
      </w:pPr>
    </w:p>
    <w:p w:rsidR="003B2FC0" w:rsidRDefault="00052A49">
      <w:pPr>
        <w:pStyle w:val="ListParagraph"/>
        <w:numPr>
          <w:ilvl w:val="0"/>
          <w:numId w:val="39"/>
        </w:numPr>
        <w:tabs>
          <w:tab w:val="left" w:pos="1121"/>
        </w:tabs>
        <w:spacing w:line="480" w:lineRule="auto"/>
        <w:ind w:right="461" w:firstLine="0"/>
        <w:jc w:val="both"/>
        <w:rPr>
          <w:sz w:val="26"/>
        </w:rPr>
      </w:pPr>
      <w:r>
        <w:rPr>
          <w:sz w:val="26"/>
        </w:rPr>
        <w:t xml:space="preserve">The decision of the Kerala High Court in </w:t>
      </w:r>
      <w:r>
        <w:rPr>
          <w:b/>
          <w:sz w:val="26"/>
        </w:rPr>
        <w:t xml:space="preserve">Mahendran </w:t>
      </w:r>
      <w:r>
        <w:rPr>
          <w:sz w:val="26"/>
        </w:rPr>
        <w:t>brought on the record several facets which would in fact establish that Ayyappans do not constitute a religious denomination. While it is stated in the i</w:t>
      </w:r>
      <w:r>
        <w:rPr>
          <w:sz w:val="26"/>
        </w:rPr>
        <w:t>mpugned notification that women between the age of ten and fifty five are forbidden</w:t>
      </w:r>
      <w:r>
        <w:rPr>
          <w:spacing w:val="-47"/>
          <w:sz w:val="26"/>
        </w:rPr>
        <w:t xml:space="preserve"> </w:t>
      </w:r>
      <w:r>
        <w:rPr>
          <w:sz w:val="26"/>
        </w:rPr>
        <w:t>from entering the temple as a matter of custom followed since time immemorial, the stand taken by the Respondent before the Kerala High Court differs to a great extent. The</w:t>
      </w:r>
      <w:r>
        <w:rPr>
          <w:sz w:val="26"/>
        </w:rPr>
        <w:t xml:space="preserve"> Board had submitted before the High</w:t>
      </w:r>
      <w:r>
        <w:rPr>
          <w:spacing w:val="-9"/>
          <w:sz w:val="26"/>
        </w:rPr>
        <w:t xml:space="preserve"> </w:t>
      </w:r>
      <w:r>
        <w:rPr>
          <w:sz w:val="26"/>
        </w:rPr>
        <w:t>Court:</w:t>
      </w:r>
    </w:p>
    <w:p w:rsidR="003B2FC0" w:rsidRDefault="00052A49">
      <w:pPr>
        <w:spacing w:before="40" w:line="276" w:lineRule="auto"/>
        <w:ind w:left="1840" w:right="2256"/>
        <w:jc w:val="both"/>
        <w:rPr>
          <w:b/>
          <w:sz w:val="21"/>
        </w:rPr>
      </w:pPr>
      <w:r>
        <w:rPr>
          <w:sz w:val="21"/>
        </w:rPr>
        <w:t>“7. In olden days worshippers visit the temple only after observing penance for 41 days. Since pilgrims to Sabarimala temple ought to undergo ‘Vrathams’ or penance for 41 days, usually ladies between the age of 1</w:t>
      </w:r>
      <w:r>
        <w:rPr>
          <w:sz w:val="21"/>
        </w:rPr>
        <w:t>0 and 50 will not be physically capable of observing vratham for 41 days on physiological grounds. The religious practices and customs followed earlier had changed during the last 40 years particularly from 1950, the year in which the renovation of the tem</w:t>
      </w:r>
      <w:r>
        <w:rPr>
          <w:sz w:val="21"/>
        </w:rPr>
        <w:t xml:space="preserve">ple took place after the “fire disaster”. </w:t>
      </w:r>
      <w:r>
        <w:rPr>
          <w:b/>
          <w:sz w:val="21"/>
        </w:rPr>
        <w:t>Even while the old customs</w:t>
      </w:r>
      <w:r>
        <w:rPr>
          <w:b/>
          <w:spacing w:val="-12"/>
          <w:sz w:val="21"/>
        </w:rPr>
        <w:t xml:space="preserve"> </w:t>
      </w:r>
      <w:r>
        <w:rPr>
          <w:b/>
          <w:sz w:val="21"/>
        </w:rPr>
        <w:t>prevailed,</w:t>
      </w:r>
      <w:r>
        <w:rPr>
          <w:b/>
          <w:spacing w:val="-12"/>
          <w:sz w:val="21"/>
        </w:rPr>
        <w:t xml:space="preserve"> </w:t>
      </w:r>
      <w:r>
        <w:rPr>
          <w:b/>
          <w:sz w:val="21"/>
        </w:rPr>
        <w:t>women</w:t>
      </w:r>
      <w:r>
        <w:rPr>
          <w:b/>
          <w:spacing w:val="-8"/>
          <w:sz w:val="21"/>
        </w:rPr>
        <w:t xml:space="preserve"> </w:t>
      </w:r>
      <w:r>
        <w:rPr>
          <w:b/>
          <w:sz w:val="21"/>
        </w:rPr>
        <w:t>used</w:t>
      </w:r>
      <w:r>
        <w:rPr>
          <w:b/>
          <w:spacing w:val="-8"/>
          <w:sz w:val="21"/>
        </w:rPr>
        <w:t xml:space="preserve"> </w:t>
      </w:r>
      <w:r>
        <w:rPr>
          <w:b/>
          <w:sz w:val="21"/>
        </w:rPr>
        <w:t>to</w:t>
      </w:r>
      <w:r>
        <w:rPr>
          <w:b/>
          <w:spacing w:val="-8"/>
          <w:sz w:val="21"/>
        </w:rPr>
        <w:t xml:space="preserve"> </w:t>
      </w:r>
      <w:r>
        <w:rPr>
          <w:b/>
          <w:sz w:val="21"/>
        </w:rPr>
        <w:t>visit</w:t>
      </w:r>
      <w:r>
        <w:rPr>
          <w:b/>
          <w:spacing w:val="-9"/>
          <w:sz w:val="21"/>
        </w:rPr>
        <w:t xml:space="preserve"> </w:t>
      </w:r>
      <w:r>
        <w:rPr>
          <w:b/>
          <w:sz w:val="21"/>
        </w:rPr>
        <w:t>the</w:t>
      </w:r>
      <w:r>
        <w:rPr>
          <w:b/>
          <w:spacing w:val="-8"/>
          <w:sz w:val="21"/>
        </w:rPr>
        <w:t xml:space="preserve"> </w:t>
      </w:r>
      <w:r>
        <w:rPr>
          <w:b/>
          <w:sz w:val="21"/>
        </w:rPr>
        <w:t>temple</w:t>
      </w:r>
      <w:r>
        <w:rPr>
          <w:b/>
          <w:spacing w:val="-9"/>
          <w:sz w:val="21"/>
        </w:rPr>
        <w:t xml:space="preserve"> </w:t>
      </w:r>
      <w:r>
        <w:rPr>
          <w:b/>
          <w:sz w:val="21"/>
        </w:rPr>
        <w:t>though very rarely. The Maharaja of Travancore accompanied by the Maharani and the Divan had visited the temple in</w:t>
      </w:r>
      <w:r>
        <w:rPr>
          <w:b/>
          <w:spacing w:val="2"/>
          <w:sz w:val="21"/>
        </w:rPr>
        <w:t xml:space="preserve"> </w:t>
      </w:r>
      <w:r>
        <w:rPr>
          <w:b/>
          <w:sz w:val="21"/>
        </w:rPr>
        <w:t>1115</w:t>
      </w:r>
    </w:p>
    <w:p w:rsidR="003B2FC0" w:rsidRDefault="00052A49">
      <w:pPr>
        <w:spacing w:line="276" w:lineRule="auto"/>
        <w:ind w:left="1840" w:right="2256"/>
        <w:jc w:val="both"/>
        <w:rPr>
          <w:b/>
          <w:sz w:val="21"/>
        </w:rPr>
      </w:pPr>
      <w:r>
        <w:rPr>
          <w:b/>
          <w:sz w:val="21"/>
        </w:rPr>
        <w:t>M.E. There was thus no pr</w:t>
      </w:r>
      <w:r>
        <w:rPr>
          <w:b/>
          <w:sz w:val="21"/>
        </w:rPr>
        <w:t>ohibition for women to enter</w:t>
      </w:r>
      <w:r>
        <w:rPr>
          <w:b/>
          <w:spacing w:val="-39"/>
          <w:sz w:val="21"/>
        </w:rPr>
        <w:t xml:space="preserve"> </w:t>
      </w:r>
      <w:r>
        <w:rPr>
          <w:b/>
          <w:sz w:val="21"/>
        </w:rPr>
        <w:t>the Sabarimala temple in olden days, but women in large number</w:t>
      </w:r>
      <w:r>
        <w:rPr>
          <w:b/>
          <w:spacing w:val="-16"/>
          <w:sz w:val="21"/>
        </w:rPr>
        <w:t xml:space="preserve"> </w:t>
      </w:r>
      <w:r>
        <w:rPr>
          <w:b/>
          <w:sz w:val="21"/>
        </w:rPr>
        <w:t>were</w:t>
      </w:r>
      <w:r>
        <w:rPr>
          <w:b/>
          <w:spacing w:val="-13"/>
          <w:sz w:val="21"/>
        </w:rPr>
        <w:t xml:space="preserve"> </w:t>
      </w:r>
      <w:r>
        <w:rPr>
          <w:b/>
          <w:sz w:val="21"/>
        </w:rPr>
        <w:t>not</w:t>
      </w:r>
      <w:r>
        <w:rPr>
          <w:b/>
          <w:spacing w:val="-13"/>
          <w:sz w:val="21"/>
        </w:rPr>
        <w:t xml:space="preserve"> </w:t>
      </w:r>
      <w:r>
        <w:rPr>
          <w:b/>
          <w:sz w:val="21"/>
        </w:rPr>
        <w:t>visiting</w:t>
      </w:r>
      <w:r>
        <w:rPr>
          <w:b/>
          <w:spacing w:val="-11"/>
          <w:sz w:val="21"/>
        </w:rPr>
        <w:t xml:space="preserve"> </w:t>
      </w:r>
      <w:r>
        <w:rPr>
          <w:b/>
          <w:sz w:val="21"/>
        </w:rPr>
        <w:t>the</w:t>
      </w:r>
      <w:r>
        <w:rPr>
          <w:b/>
          <w:spacing w:val="-12"/>
          <w:sz w:val="21"/>
        </w:rPr>
        <w:t xml:space="preserve"> </w:t>
      </w:r>
      <w:r>
        <w:rPr>
          <w:b/>
          <w:sz w:val="21"/>
        </w:rPr>
        <w:t>temple.</w:t>
      </w:r>
      <w:r>
        <w:rPr>
          <w:b/>
          <w:spacing w:val="-13"/>
          <w:sz w:val="21"/>
        </w:rPr>
        <w:t xml:space="preserve"> </w:t>
      </w:r>
      <w:r>
        <w:rPr>
          <w:b/>
          <w:sz w:val="21"/>
        </w:rPr>
        <w:t>That</w:t>
      </w:r>
      <w:r>
        <w:rPr>
          <w:b/>
          <w:spacing w:val="-15"/>
          <w:sz w:val="21"/>
        </w:rPr>
        <w:t xml:space="preserve"> </w:t>
      </w:r>
      <w:r>
        <w:rPr>
          <w:b/>
          <w:sz w:val="21"/>
        </w:rPr>
        <w:t>was</w:t>
      </w:r>
      <w:r>
        <w:rPr>
          <w:b/>
          <w:spacing w:val="-12"/>
          <w:sz w:val="21"/>
        </w:rPr>
        <w:t xml:space="preserve"> </w:t>
      </w:r>
      <w:r>
        <w:rPr>
          <w:b/>
          <w:sz w:val="21"/>
        </w:rPr>
        <w:t>not</w:t>
      </w:r>
      <w:r>
        <w:rPr>
          <w:b/>
          <w:spacing w:val="-15"/>
          <w:sz w:val="21"/>
        </w:rPr>
        <w:t xml:space="preserve"> </w:t>
      </w:r>
      <w:r>
        <w:rPr>
          <w:b/>
          <w:sz w:val="21"/>
        </w:rPr>
        <w:t>because of any prohibition imposed by Hindu religion but because of other non-religious factors. In recent years, many worshippers</w:t>
      </w:r>
      <w:r>
        <w:rPr>
          <w:b/>
          <w:spacing w:val="-11"/>
          <w:sz w:val="21"/>
        </w:rPr>
        <w:t xml:space="preserve"> </w:t>
      </w:r>
      <w:r>
        <w:rPr>
          <w:b/>
          <w:sz w:val="21"/>
        </w:rPr>
        <w:t>had</w:t>
      </w:r>
      <w:r>
        <w:rPr>
          <w:b/>
          <w:spacing w:val="-13"/>
          <w:sz w:val="21"/>
        </w:rPr>
        <w:t xml:space="preserve"> </w:t>
      </w:r>
      <w:r>
        <w:rPr>
          <w:b/>
          <w:sz w:val="21"/>
        </w:rPr>
        <w:t>gone</w:t>
      </w:r>
      <w:r>
        <w:rPr>
          <w:b/>
          <w:spacing w:val="-10"/>
          <w:sz w:val="21"/>
        </w:rPr>
        <w:t xml:space="preserve"> </w:t>
      </w:r>
      <w:r>
        <w:rPr>
          <w:b/>
          <w:sz w:val="21"/>
        </w:rPr>
        <w:t>to</w:t>
      </w:r>
      <w:r>
        <w:rPr>
          <w:b/>
          <w:spacing w:val="-10"/>
          <w:sz w:val="21"/>
        </w:rPr>
        <w:t xml:space="preserve"> </w:t>
      </w:r>
      <w:r>
        <w:rPr>
          <w:b/>
          <w:sz w:val="21"/>
        </w:rPr>
        <w:t>the</w:t>
      </w:r>
      <w:r>
        <w:rPr>
          <w:b/>
          <w:spacing w:val="-13"/>
          <w:sz w:val="21"/>
        </w:rPr>
        <w:t xml:space="preserve"> </w:t>
      </w:r>
      <w:r>
        <w:rPr>
          <w:b/>
          <w:sz w:val="21"/>
        </w:rPr>
        <w:t>temple</w:t>
      </w:r>
      <w:r>
        <w:rPr>
          <w:b/>
          <w:spacing w:val="-16"/>
          <w:sz w:val="21"/>
        </w:rPr>
        <w:t xml:space="preserve"> </w:t>
      </w:r>
      <w:r>
        <w:rPr>
          <w:b/>
          <w:sz w:val="21"/>
        </w:rPr>
        <w:t>with</w:t>
      </w:r>
      <w:r>
        <w:rPr>
          <w:b/>
          <w:spacing w:val="-10"/>
          <w:sz w:val="21"/>
        </w:rPr>
        <w:t xml:space="preserve"> </w:t>
      </w:r>
      <w:r>
        <w:rPr>
          <w:b/>
          <w:sz w:val="21"/>
        </w:rPr>
        <w:t>lady</w:t>
      </w:r>
      <w:r>
        <w:rPr>
          <w:b/>
          <w:spacing w:val="-18"/>
          <w:sz w:val="21"/>
        </w:rPr>
        <w:t xml:space="preserve"> </w:t>
      </w:r>
      <w:r>
        <w:rPr>
          <w:b/>
          <w:sz w:val="21"/>
        </w:rPr>
        <w:t>worshippers within the age group 10 to 50 for the first rice-feeding ceremony</w:t>
      </w:r>
      <w:r>
        <w:rPr>
          <w:b/>
          <w:spacing w:val="-16"/>
          <w:sz w:val="21"/>
        </w:rPr>
        <w:t xml:space="preserve"> </w:t>
      </w:r>
      <w:r>
        <w:rPr>
          <w:b/>
          <w:sz w:val="21"/>
        </w:rPr>
        <w:t>of</w:t>
      </w:r>
      <w:r>
        <w:rPr>
          <w:b/>
          <w:spacing w:val="-11"/>
          <w:sz w:val="21"/>
        </w:rPr>
        <w:t xml:space="preserve"> </w:t>
      </w:r>
      <w:r>
        <w:rPr>
          <w:b/>
          <w:sz w:val="21"/>
        </w:rPr>
        <w:t>their</w:t>
      </w:r>
      <w:r>
        <w:rPr>
          <w:b/>
          <w:spacing w:val="-10"/>
          <w:sz w:val="21"/>
        </w:rPr>
        <w:t xml:space="preserve"> </w:t>
      </w:r>
      <w:r>
        <w:rPr>
          <w:b/>
          <w:sz w:val="21"/>
        </w:rPr>
        <w:t>child</w:t>
      </w:r>
      <w:r>
        <w:rPr>
          <w:b/>
          <w:sz w:val="21"/>
        </w:rPr>
        <w:t>ren</w:t>
      </w:r>
      <w:r>
        <w:rPr>
          <w:b/>
          <w:spacing w:val="-10"/>
          <w:sz w:val="21"/>
        </w:rPr>
        <w:t xml:space="preserve"> </w:t>
      </w:r>
      <w:r>
        <w:rPr>
          <w:b/>
          <w:sz w:val="21"/>
        </w:rPr>
        <w:t>(Chottoonu).</w:t>
      </w:r>
      <w:r>
        <w:rPr>
          <w:b/>
          <w:spacing w:val="-12"/>
          <w:sz w:val="21"/>
        </w:rPr>
        <w:t xml:space="preserve"> </w:t>
      </w:r>
      <w:r>
        <w:rPr>
          <w:b/>
          <w:sz w:val="21"/>
        </w:rPr>
        <w:t>The</w:t>
      </w:r>
      <w:r>
        <w:rPr>
          <w:b/>
          <w:spacing w:val="-12"/>
          <w:sz w:val="21"/>
        </w:rPr>
        <w:t xml:space="preserve"> </w:t>
      </w:r>
      <w:r>
        <w:rPr>
          <w:b/>
          <w:sz w:val="21"/>
        </w:rPr>
        <w:t>Board</w:t>
      </w:r>
      <w:r>
        <w:rPr>
          <w:b/>
          <w:spacing w:val="-11"/>
          <w:sz w:val="21"/>
        </w:rPr>
        <w:t xml:space="preserve"> </w:t>
      </w:r>
      <w:r>
        <w:rPr>
          <w:b/>
          <w:sz w:val="21"/>
        </w:rPr>
        <w:t>used</w:t>
      </w:r>
      <w:r>
        <w:rPr>
          <w:b/>
          <w:spacing w:val="-10"/>
          <w:sz w:val="21"/>
        </w:rPr>
        <w:t xml:space="preserve"> </w:t>
      </w:r>
      <w:r>
        <w:rPr>
          <w:b/>
          <w:sz w:val="21"/>
        </w:rPr>
        <w:t xml:space="preserve">to issue receipts on such occasions on payment of </w:t>
      </w:r>
      <w:r>
        <w:rPr>
          <w:b/>
          <w:spacing w:val="-2"/>
          <w:sz w:val="21"/>
        </w:rPr>
        <w:t xml:space="preserve">the </w:t>
      </w:r>
      <w:r>
        <w:rPr>
          <w:b/>
          <w:sz w:val="21"/>
        </w:rPr>
        <w:t>prescribed charges. A change in the old custom and practice was brought about by installing a flag staff (Dhwajam) in 1969. Another change was brought about by the introd</w:t>
      </w:r>
      <w:r>
        <w:rPr>
          <w:b/>
          <w:sz w:val="21"/>
        </w:rPr>
        <w:t>uction of Padipooja. These were done on the advice</w:t>
      </w:r>
      <w:r>
        <w:rPr>
          <w:b/>
          <w:spacing w:val="-14"/>
          <w:sz w:val="21"/>
        </w:rPr>
        <w:t xml:space="preserve"> </w:t>
      </w:r>
      <w:r>
        <w:rPr>
          <w:b/>
          <w:sz w:val="21"/>
        </w:rPr>
        <w:t>of</w:t>
      </w:r>
      <w:r>
        <w:rPr>
          <w:b/>
          <w:spacing w:val="-13"/>
          <w:sz w:val="21"/>
        </w:rPr>
        <w:t xml:space="preserve"> </w:t>
      </w:r>
      <w:r>
        <w:rPr>
          <w:b/>
          <w:sz w:val="21"/>
        </w:rPr>
        <w:t>the</w:t>
      </w:r>
      <w:r>
        <w:rPr>
          <w:b/>
          <w:spacing w:val="-13"/>
          <w:sz w:val="21"/>
        </w:rPr>
        <w:t xml:space="preserve"> </w:t>
      </w:r>
      <w:r>
        <w:rPr>
          <w:b/>
          <w:sz w:val="21"/>
        </w:rPr>
        <w:t>Thanthri.</w:t>
      </w:r>
      <w:r>
        <w:rPr>
          <w:b/>
          <w:spacing w:val="-14"/>
          <w:sz w:val="21"/>
        </w:rPr>
        <w:t xml:space="preserve"> </w:t>
      </w:r>
      <w:r>
        <w:rPr>
          <w:b/>
          <w:sz w:val="21"/>
        </w:rPr>
        <w:t>Changes</w:t>
      </w:r>
      <w:r>
        <w:rPr>
          <w:b/>
          <w:spacing w:val="-16"/>
          <w:sz w:val="21"/>
        </w:rPr>
        <w:t xml:space="preserve"> </w:t>
      </w:r>
      <w:r>
        <w:rPr>
          <w:b/>
          <w:sz w:val="21"/>
        </w:rPr>
        <w:t>were</w:t>
      </w:r>
      <w:r>
        <w:rPr>
          <w:b/>
          <w:spacing w:val="-13"/>
          <w:sz w:val="21"/>
        </w:rPr>
        <w:t xml:space="preserve"> </w:t>
      </w:r>
      <w:r>
        <w:rPr>
          <w:b/>
          <w:sz w:val="21"/>
        </w:rPr>
        <w:t>also</w:t>
      </w:r>
      <w:r>
        <w:rPr>
          <w:b/>
          <w:spacing w:val="-13"/>
          <w:sz w:val="21"/>
        </w:rPr>
        <w:t xml:space="preserve"> </w:t>
      </w:r>
      <w:r>
        <w:rPr>
          <w:b/>
          <w:sz w:val="21"/>
        </w:rPr>
        <w:t>effected</w:t>
      </w:r>
      <w:r>
        <w:rPr>
          <w:b/>
          <w:spacing w:val="-13"/>
          <w:sz w:val="21"/>
        </w:rPr>
        <w:t xml:space="preserve"> </w:t>
      </w:r>
      <w:r>
        <w:rPr>
          <w:b/>
          <w:sz w:val="21"/>
        </w:rPr>
        <w:t>in</w:t>
      </w:r>
      <w:r>
        <w:rPr>
          <w:b/>
          <w:spacing w:val="-13"/>
          <w:sz w:val="21"/>
        </w:rPr>
        <w:t xml:space="preserve"> </w:t>
      </w:r>
      <w:r>
        <w:rPr>
          <w:b/>
          <w:sz w:val="21"/>
        </w:rPr>
        <w:t>other practices. The practice of breaking coconuts on the 18 steps was discontinued and worshippers were allowed</w:t>
      </w:r>
      <w:r>
        <w:rPr>
          <w:b/>
          <w:spacing w:val="40"/>
          <w:sz w:val="21"/>
        </w:rPr>
        <w:t xml:space="preserve"> </w:t>
      </w:r>
      <w:r>
        <w:rPr>
          <w:b/>
          <w:sz w:val="21"/>
        </w:rPr>
        <w:t>to</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b/>
          <w:sz w:val="21"/>
        </w:rPr>
      </w:pPr>
    </w:p>
    <w:p w:rsidR="003B2FC0" w:rsidRDefault="00052A49">
      <w:pPr>
        <w:spacing w:before="94" w:line="273" w:lineRule="auto"/>
        <w:ind w:left="1840" w:right="2257"/>
        <w:jc w:val="both"/>
        <w:rPr>
          <w:sz w:val="14"/>
        </w:rPr>
      </w:pPr>
      <w:r>
        <w:rPr>
          <w:b/>
          <w:sz w:val="21"/>
        </w:rPr>
        <w:t xml:space="preserve">crack the coconuts only on a stone placed below the eighteen sacred steps (Pathinettaam Padi). </w:t>
      </w:r>
      <w:r>
        <w:rPr>
          <w:sz w:val="21"/>
        </w:rPr>
        <w:t>These changes had</w:t>
      </w:r>
      <w:r>
        <w:rPr>
          <w:spacing w:val="-13"/>
          <w:sz w:val="21"/>
        </w:rPr>
        <w:t xml:space="preserve"> </w:t>
      </w:r>
      <w:r>
        <w:rPr>
          <w:sz w:val="21"/>
        </w:rPr>
        <w:t>been</w:t>
      </w:r>
      <w:r>
        <w:rPr>
          <w:spacing w:val="-12"/>
          <w:sz w:val="21"/>
        </w:rPr>
        <w:t xml:space="preserve"> </w:t>
      </w:r>
      <w:r>
        <w:rPr>
          <w:sz w:val="21"/>
        </w:rPr>
        <w:t>brought</w:t>
      </w:r>
      <w:r>
        <w:rPr>
          <w:spacing w:val="-13"/>
          <w:sz w:val="21"/>
        </w:rPr>
        <w:t xml:space="preserve"> </w:t>
      </w:r>
      <w:r>
        <w:rPr>
          <w:sz w:val="21"/>
        </w:rPr>
        <w:t>about</w:t>
      </w:r>
      <w:r>
        <w:rPr>
          <w:spacing w:val="-13"/>
          <w:sz w:val="21"/>
        </w:rPr>
        <w:t xml:space="preserve"> </w:t>
      </w:r>
      <w:r>
        <w:rPr>
          <w:sz w:val="21"/>
        </w:rPr>
        <w:t>in</w:t>
      </w:r>
      <w:r>
        <w:rPr>
          <w:spacing w:val="-12"/>
          <w:sz w:val="21"/>
        </w:rPr>
        <w:t xml:space="preserve"> </w:t>
      </w:r>
      <w:r>
        <w:rPr>
          <w:sz w:val="21"/>
        </w:rPr>
        <w:t>order</w:t>
      </w:r>
      <w:r>
        <w:rPr>
          <w:spacing w:val="-13"/>
          <w:sz w:val="21"/>
        </w:rPr>
        <w:t xml:space="preserve"> </w:t>
      </w:r>
      <w:r>
        <w:rPr>
          <w:sz w:val="21"/>
        </w:rPr>
        <w:t>to</w:t>
      </w:r>
      <w:r>
        <w:rPr>
          <w:spacing w:val="-12"/>
          <w:sz w:val="21"/>
        </w:rPr>
        <w:t xml:space="preserve"> </w:t>
      </w:r>
      <w:r>
        <w:rPr>
          <w:sz w:val="21"/>
        </w:rPr>
        <w:t>preserve</w:t>
      </w:r>
      <w:r>
        <w:rPr>
          <w:spacing w:val="-12"/>
          <w:sz w:val="21"/>
        </w:rPr>
        <w:t xml:space="preserve"> </w:t>
      </w:r>
      <w:r>
        <w:rPr>
          <w:sz w:val="21"/>
        </w:rPr>
        <w:t>the</w:t>
      </w:r>
      <w:r>
        <w:rPr>
          <w:spacing w:val="-13"/>
          <w:sz w:val="21"/>
        </w:rPr>
        <w:t xml:space="preserve"> </w:t>
      </w:r>
      <w:r>
        <w:rPr>
          <w:sz w:val="21"/>
        </w:rPr>
        <w:t>temple</w:t>
      </w:r>
      <w:r>
        <w:rPr>
          <w:spacing w:val="-12"/>
          <w:sz w:val="21"/>
        </w:rPr>
        <w:t xml:space="preserve"> </w:t>
      </w:r>
      <w:r>
        <w:rPr>
          <w:sz w:val="21"/>
        </w:rPr>
        <w:t>and</w:t>
      </w:r>
      <w:r>
        <w:rPr>
          <w:spacing w:val="-12"/>
          <w:sz w:val="21"/>
        </w:rPr>
        <w:t xml:space="preserve"> </w:t>
      </w:r>
      <w:r>
        <w:rPr>
          <w:sz w:val="21"/>
        </w:rPr>
        <w:t>the precinct in all its gaiety and</w:t>
      </w:r>
      <w:r>
        <w:rPr>
          <w:spacing w:val="-13"/>
          <w:sz w:val="21"/>
        </w:rPr>
        <w:t xml:space="preserve"> </w:t>
      </w:r>
      <w:r>
        <w:rPr>
          <w:sz w:val="21"/>
        </w:rPr>
        <w:t>sanctity.”</w:t>
      </w:r>
      <w:r>
        <w:rPr>
          <w:position w:val="7"/>
          <w:sz w:val="14"/>
        </w:rPr>
        <w:t>67</w:t>
      </w:r>
    </w:p>
    <w:p w:rsidR="003B2FC0" w:rsidRDefault="00052A49">
      <w:pPr>
        <w:spacing w:before="6"/>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82" w:line="480" w:lineRule="auto"/>
        <w:ind w:left="400" w:right="461"/>
        <w:jc w:val="both"/>
        <w:rPr>
          <w:sz w:val="26"/>
        </w:rPr>
      </w:pPr>
      <w:r>
        <w:rPr>
          <w:sz w:val="26"/>
        </w:rPr>
        <w:t>According to the above extract, in the “olden days” there was no ‘religious prohibition’</w:t>
      </w:r>
      <w:r>
        <w:rPr>
          <w:spacing w:val="-10"/>
          <w:sz w:val="26"/>
        </w:rPr>
        <w:t xml:space="preserve"> </w:t>
      </w:r>
      <w:r>
        <w:rPr>
          <w:sz w:val="26"/>
        </w:rPr>
        <w:t>on</w:t>
      </w:r>
      <w:r>
        <w:rPr>
          <w:spacing w:val="-11"/>
          <w:sz w:val="26"/>
        </w:rPr>
        <w:t xml:space="preserve"> </w:t>
      </w:r>
      <w:r>
        <w:rPr>
          <w:sz w:val="26"/>
        </w:rPr>
        <w:t>the</w:t>
      </w:r>
      <w:r>
        <w:rPr>
          <w:spacing w:val="-11"/>
          <w:sz w:val="26"/>
        </w:rPr>
        <w:t xml:space="preserve"> </w:t>
      </w:r>
      <w:r>
        <w:rPr>
          <w:sz w:val="26"/>
        </w:rPr>
        <w:t>entry</w:t>
      </w:r>
      <w:r>
        <w:rPr>
          <w:spacing w:val="-11"/>
          <w:sz w:val="26"/>
        </w:rPr>
        <w:t xml:space="preserve"> </w:t>
      </w:r>
      <w:r>
        <w:rPr>
          <w:sz w:val="26"/>
        </w:rPr>
        <w:t>of</w:t>
      </w:r>
      <w:r>
        <w:rPr>
          <w:spacing w:val="-9"/>
          <w:sz w:val="26"/>
        </w:rPr>
        <w:t xml:space="preserve"> </w:t>
      </w:r>
      <w:r>
        <w:rPr>
          <w:sz w:val="26"/>
        </w:rPr>
        <w:t>women</w:t>
      </w:r>
      <w:r>
        <w:rPr>
          <w:spacing w:val="-11"/>
          <w:sz w:val="26"/>
        </w:rPr>
        <w:t xml:space="preserve"> </w:t>
      </w:r>
      <w:r>
        <w:rPr>
          <w:sz w:val="26"/>
        </w:rPr>
        <w:t>in</w:t>
      </w:r>
      <w:r>
        <w:rPr>
          <w:spacing w:val="-9"/>
          <w:sz w:val="26"/>
        </w:rPr>
        <w:t xml:space="preserve"> </w:t>
      </w:r>
      <w:r>
        <w:rPr>
          <w:sz w:val="26"/>
        </w:rPr>
        <w:t>the</w:t>
      </w:r>
      <w:r>
        <w:rPr>
          <w:spacing w:val="-9"/>
          <w:sz w:val="26"/>
        </w:rPr>
        <w:t xml:space="preserve"> </w:t>
      </w:r>
      <w:r>
        <w:rPr>
          <w:sz w:val="26"/>
        </w:rPr>
        <w:t>Sabarimala</w:t>
      </w:r>
      <w:r>
        <w:rPr>
          <w:spacing w:val="-11"/>
          <w:sz w:val="26"/>
        </w:rPr>
        <w:t xml:space="preserve"> </w:t>
      </w:r>
      <w:r>
        <w:rPr>
          <w:sz w:val="26"/>
        </w:rPr>
        <w:t>temple.</w:t>
      </w:r>
      <w:r>
        <w:rPr>
          <w:spacing w:val="-9"/>
          <w:sz w:val="26"/>
        </w:rPr>
        <w:t xml:space="preserve"> </w:t>
      </w:r>
      <w:r>
        <w:rPr>
          <w:sz w:val="26"/>
        </w:rPr>
        <w:t>But</w:t>
      </w:r>
      <w:r>
        <w:rPr>
          <w:spacing w:val="-6"/>
          <w:sz w:val="26"/>
        </w:rPr>
        <w:t xml:space="preserve"> </w:t>
      </w:r>
      <w:r>
        <w:rPr>
          <w:sz w:val="26"/>
        </w:rPr>
        <w:t>women</w:t>
      </w:r>
      <w:r>
        <w:rPr>
          <w:spacing w:val="-9"/>
          <w:sz w:val="26"/>
        </w:rPr>
        <w:t xml:space="preserve"> </w:t>
      </w:r>
      <w:r>
        <w:rPr>
          <w:sz w:val="26"/>
        </w:rPr>
        <w:t xml:space="preserve">visited the temple in fewer numbers for ‘non-religious’ reasons. The submission of the Board before the High </w:t>
      </w:r>
      <w:r>
        <w:rPr>
          <w:sz w:val="26"/>
        </w:rPr>
        <w:t>Court reveals that the prohibition has not been consistently followed even after the notification was</w:t>
      </w:r>
      <w:r>
        <w:rPr>
          <w:spacing w:val="-7"/>
          <w:sz w:val="26"/>
        </w:rPr>
        <w:t xml:space="preserve"> </w:t>
      </w:r>
      <w:r>
        <w:rPr>
          <w:sz w:val="26"/>
        </w:rPr>
        <w:t>issued.</w:t>
      </w:r>
    </w:p>
    <w:p w:rsidR="003B2FC0" w:rsidRDefault="00052A49">
      <w:pPr>
        <w:spacing w:before="41" w:line="276" w:lineRule="auto"/>
        <w:ind w:left="1840" w:right="2256"/>
        <w:jc w:val="both"/>
        <w:rPr>
          <w:sz w:val="14"/>
        </w:rPr>
      </w:pPr>
      <w:r>
        <w:rPr>
          <w:sz w:val="21"/>
        </w:rPr>
        <w:t xml:space="preserve">“8. </w:t>
      </w:r>
      <w:r>
        <w:rPr>
          <w:b/>
          <w:sz w:val="21"/>
        </w:rPr>
        <w:t>For the last 20 years women irrespective of their age were</w:t>
      </w:r>
      <w:r>
        <w:rPr>
          <w:b/>
          <w:spacing w:val="-6"/>
          <w:sz w:val="21"/>
        </w:rPr>
        <w:t xml:space="preserve"> </w:t>
      </w:r>
      <w:r>
        <w:rPr>
          <w:b/>
          <w:sz w:val="21"/>
        </w:rPr>
        <w:t>allowed</w:t>
      </w:r>
      <w:r>
        <w:rPr>
          <w:b/>
          <w:spacing w:val="-4"/>
          <w:sz w:val="21"/>
        </w:rPr>
        <w:t xml:space="preserve"> </w:t>
      </w:r>
      <w:r>
        <w:rPr>
          <w:b/>
          <w:sz w:val="21"/>
        </w:rPr>
        <w:t>to</w:t>
      </w:r>
      <w:r>
        <w:rPr>
          <w:b/>
          <w:spacing w:val="-4"/>
          <w:sz w:val="21"/>
        </w:rPr>
        <w:t xml:space="preserve"> </w:t>
      </w:r>
      <w:r>
        <w:rPr>
          <w:b/>
          <w:sz w:val="21"/>
        </w:rPr>
        <w:t>visit</w:t>
      </w:r>
      <w:r>
        <w:rPr>
          <w:b/>
          <w:spacing w:val="-4"/>
          <w:sz w:val="21"/>
        </w:rPr>
        <w:t xml:space="preserve"> </w:t>
      </w:r>
      <w:r>
        <w:rPr>
          <w:b/>
          <w:sz w:val="21"/>
        </w:rPr>
        <w:t>the</w:t>
      </w:r>
      <w:r>
        <w:rPr>
          <w:b/>
          <w:spacing w:val="-2"/>
          <w:sz w:val="21"/>
        </w:rPr>
        <w:t xml:space="preserve"> </w:t>
      </w:r>
      <w:r>
        <w:rPr>
          <w:b/>
          <w:sz w:val="21"/>
        </w:rPr>
        <w:t>temple</w:t>
      </w:r>
      <w:r>
        <w:rPr>
          <w:b/>
          <w:spacing w:val="-8"/>
          <w:sz w:val="21"/>
        </w:rPr>
        <w:t xml:space="preserve"> </w:t>
      </w:r>
      <w:r>
        <w:rPr>
          <w:b/>
          <w:sz w:val="21"/>
        </w:rPr>
        <w:t>when</w:t>
      </w:r>
      <w:r>
        <w:rPr>
          <w:b/>
          <w:spacing w:val="-4"/>
          <w:sz w:val="21"/>
        </w:rPr>
        <w:t xml:space="preserve"> </w:t>
      </w:r>
      <w:r>
        <w:rPr>
          <w:b/>
          <w:sz w:val="21"/>
        </w:rPr>
        <w:t>it</w:t>
      </w:r>
      <w:r>
        <w:rPr>
          <w:b/>
          <w:spacing w:val="-6"/>
          <w:sz w:val="21"/>
        </w:rPr>
        <w:t xml:space="preserve"> </w:t>
      </w:r>
      <w:r>
        <w:rPr>
          <w:b/>
          <w:sz w:val="21"/>
        </w:rPr>
        <w:t>opens</w:t>
      </w:r>
      <w:r>
        <w:rPr>
          <w:b/>
          <w:spacing w:val="-5"/>
          <w:sz w:val="21"/>
        </w:rPr>
        <w:t xml:space="preserve"> </w:t>
      </w:r>
      <w:r>
        <w:rPr>
          <w:b/>
          <w:sz w:val="21"/>
        </w:rPr>
        <w:t>for</w:t>
      </w:r>
      <w:r>
        <w:rPr>
          <w:b/>
          <w:spacing w:val="-7"/>
          <w:sz w:val="21"/>
        </w:rPr>
        <w:t xml:space="preserve"> </w:t>
      </w:r>
      <w:r>
        <w:rPr>
          <w:b/>
          <w:sz w:val="21"/>
        </w:rPr>
        <w:t>monthly poojas.</w:t>
      </w:r>
      <w:r>
        <w:rPr>
          <w:b/>
          <w:spacing w:val="-12"/>
          <w:sz w:val="21"/>
        </w:rPr>
        <w:t xml:space="preserve"> </w:t>
      </w:r>
      <w:r>
        <w:rPr>
          <w:b/>
          <w:sz w:val="21"/>
        </w:rPr>
        <w:t>They</w:t>
      </w:r>
      <w:r>
        <w:rPr>
          <w:b/>
          <w:spacing w:val="-14"/>
          <w:sz w:val="21"/>
        </w:rPr>
        <w:t xml:space="preserve"> </w:t>
      </w:r>
      <w:r>
        <w:rPr>
          <w:b/>
          <w:sz w:val="21"/>
        </w:rPr>
        <w:t>were</w:t>
      </w:r>
      <w:r>
        <w:rPr>
          <w:b/>
          <w:spacing w:val="-10"/>
          <w:sz w:val="21"/>
        </w:rPr>
        <w:t xml:space="preserve"> </w:t>
      </w:r>
      <w:r>
        <w:rPr>
          <w:b/>
          <w:sz w:val="21"/>
        </w:rPr>
        <w:t>not</w:t>
      </w:r>
      <w:r>
        <w:rPr>
          <w:b/>
          <w:spacing w:val="-10"/>
          <w:sz w:val="21"/>
        </w:rPr>
        <w:t xml:space="preserve"> </w:t>
      </w:r>
      <w:r>
        <w:rPr>
          <w:b/>
          <w:sz w:val="21"/>
        </w:rPr>
        <w:t>permitted</w:t>
      </w:r>
      <w:r>
        <w:rPr>
          <w:b/>
          <w:spacing w:val="-9"/>
          <w:sz w:val="21"/>
        </w:rPr>
        <w:t xml:space="preserve"> </w:t>
      </w:r>
      <w:r>
        <w:rPr>
          <w:b/>
          <w:sz w:val="21"/>
        </w:rPr>
        <w:t>to</w:t>
      </w:r>
      <w:r>
        <w:rPr>
          <w:b/>
          <w:spacing w:val="-10"/>
          <w:sz w:val="21"/>
        </w:rPr>
        <w:t xml:space="preserve"> </w:t>
      </w:r>
      <w:r>
        <w:rPr>
          <w:b/>
          <w:sz w:val="21"/>
        </w:rPr>
        <w:t>enter</w:t>
      </w:r>
      <w:r>
        <w:rPr>
          <w:b/>
          <w:spacing w:val="-10"/>
          <w:sz w:val="21"/>
        </w:rPr>
        <w:t xml:space="preserve"> </w:t>
      </w:r>
      <w:r>
        <w:rPr>
          <w:b/>
          <w:sz w:val="21"/>
        </w:rPr>
        <w:t>the</w:t>
      </w:r>
      <w:r>
        <w:rPr>
          <w:b/>
          <w:spacing w:val="-10"/>
          <w:sz w:val="21"/>
        </w:rPr>
        <w:t xml:space="preserve"> </w:t>
      </w:r>
      <w:r>
        <w:rPr>
          <w:b/>
          <w:sz w:val="21"/>
        </w:rPr>
        <w:t>temple</w:t>
      </w:r>
      <w:r>
        <w:rPr>
          <w:b/>
          <w:spacing w:val="-10"/>
          <w:sz w:val="21"/>
        </w:rPr>
        <w:t xml:space="preserve"> </w:t>
      </w:r>
      <w:r>
        <w:rPr>
          <w:b/>
          <w:sz w:val="21"/>
        </w:rPr>
        <w:t>during Mandalam,</w:t>
      </w:r>
      <w:r>
        <w:rPr>
          <w:b/>
          <w:spacing w:val="-13"/>
          <w:sz w:val="21"/>
        </w:rPr>
        <w:t xml:space="preserve"> </w:t>
      </w:r>
      <w:r>
        <w:rPr>
          <w:b/>
          <w:sz w:val="21"/>
        </w:rPr>
        <w:t>Makaravilakku</w:t>
      </w:r>
      <w:r>
        <w:rPr>
          <w:b/>
          <w:spacing w:val="-9"/>
          <w:sz w:val="21"/>
        </w:rPr>
        <w:t xml:space="preserve"> </w:t>
      </w:r>
      <w:r>
        <w:rPr>
          <w:b/>
          <w:sz w:val="21"/>
        </w:rPr>
        <w:t>and</w:t>
      </w:r>
      <w:r>
        <w:rPr>
          <w:b/>
          <w:spacing w:val="-8"/>
          <w:sz w:val="21"/>
        </w:rPr>
        <w:t xml:space="preserve"> </w:t>
      </w:r>
      <w:r>
        <w:rPr>
          <w:b/>
          <w:sz w:val="21"/>
        </w:rPr>
        <w:t>Vishu</w:t>
      </w:r>
      <w:r>
        <w:rPr>
          <w:b/>
          <w:spacing w:val="-9"/>
          <w:sz w:val="21"/>
        </w:rPr>
        <w:t xml:space="preserve"> </w:t>
      </w:r>
      <w:r>
        <w:rPr>
          <w:b/>
          <w:sz w:val="21"/>
        </w:rPr>
        <w:t>seasons.</w:t>
      </w:r>
      <w:r>
        <w:rPr>
          <w:b/>
          <w:spacing w:val="-7"/>
          <w:sz w:val="21"/>
        </w:rPr>
        <w:t xml:space="preserve"> </w:t>
      </w:r>
      <w:r>
        <w:rPr>
          <w:sz w:val="21"/>
        </w:rPr>
        <w:t>The</w:t>
      </w:r>
      <w:r>
        <w:rPr>
          <w:spacing w:val="-9"/>
          <w:sz w:val="21"/>
        </w:rPr>
        <w:t xml:space="preserve"> </w:t>
      </w:r>
      <w:r>
        <w:rPr>
          <w:sz w:val="21"/>
        </w:rPr>
        <w:t>rule</w:t>
      </w:r>
      <w:r>
        <w:rPr>
          <w:spacing w:val="-8"/>
          <w:sz w:val="21"/>
        </w:rPr>
        <w:t xml:space="preserve"> </w:t>
      </w:r>
      <w:r>
        <w:rPr>
          <w:sz w:val="21"/>
        </w:rPr>
        <w:t>that during</w:t>
      </w:r>
      <w:r>
        <w:rPr>
          <w:spacing w:val="-13"/>
          <w:sz w:val="21"/>
        </w:rPr>
        <w:t xml:space="preserve"> </w:t>
      </w:r>
      <w:r>
        <w:rPr>
          <w:sz w:val="21"/>
        </w:rPr>
        <w:t>these</w:t>
      </w:r>
      <w:r>
        <w:rPr>
          <w:spacing w:val="-12"/>
          <w:sz w:val="21"/>
        </w:rPr>
        <w:t xml:space="preserve"> </w:t>
      </w:r>
      <w:r>
        <w:rPr>
          <w:sz w:val="21"/>
        </w:rPr>
        <w:t>seasons</w:t>
      </w:r>
      <w:r>
        <w:rPr>
          <w:spacing w:val="-12"/>
          <w:sz w:val="21"/>
        </w:rPr>
        <w:t xml:space="preserve"> </w:t>
      </w:r>
      <w:r>
        <w:rPr>
          <w:sz w:val="21"/>
        </w:rPr>
        <w:t>no</w:t>
      </w:r>
      <w:r>
        <w:rPr>
          <w:spacing w:val="-12"/>
          <w:sz w:val="21"/>
        </w:rPr>
        <w:t xml:space="preserve"> </w:t>
      </w:r>
      <w:r>
        <w:rPr>
          <w:sz w:val="21"/>
        </w:rPr>
        <w:t>woman</w:t>
      </w:r>
      <w:r>
        <w:rPr>
          <w:spacing w:val="-12"/>
          <w:sz w:val="21"/>
        </w:rPr>
        <w:t xml:space="preserve"> </w:t>
      </w:r>
      <w:r>
        <w:rPr>
          <w:sz w:val="21"/>
        </w:rPr>
        <w:t>who</w:t>
      </w:r>
      <w:r>
        <w:rPr>
          <w:spacing w:val="-12"/>
          <w:sz w:val="21"/>
        </w:rPr>
        <w:t xml:space="preserve"> </w:t>
      </w:r>
      <w:r>
        <w:rPr>
          <w:sz w:val="21"/>
        </w:rPr>
        <w:t>is</w:t>
      </w:r>
      <w:r>
        <w:rPr>
          <w:spacing w:val="-12"/>
          <w:sz w:val="21"/>
        </w:rPr>
        <w:t xml:space="preserve"> </w:t>
      </w:r>
      <w:r>
        <w:rPr>
          <w:sz w:val="21"/>
        </w:rPr>
        <w:t>aged</w:t>
      </w:r>
      <w:r>
        <w:rPr>
          <w:spacing w:val="-13"/>
          <w:sz w:val="21"/>
        </w:rPr>
        <w:t xml:space="preserve"> </w:t>
      </w:r>
      <w:r>
        <w:rPr>
          <w:sz w:val="21"/>
        </w:rPr>
        <w:t>more</w:t>
      </w:r>
      <w:r>
        <w:rPr>
          <w:spacing w:val="-13"/>
          <w:sz w:val="21"/>
        </w:rPr>
        <w:t xml:space="preserve"> </w:t>
      </w:r>
      <w:r>
        <w:rPr>
          <w:sz w:val="21"/>
        </w:rPr>
        <w:t>than</w:t>
      </w:r>
      <w:r>
        <w:rPr>
          <w:spacing w:val="-12"/>
          <w:sz w:val="21"/>
        </w:rPr>
        <w:t xml:space="preserve"> </w:t>
      </w:r>
      <w:r>
        <w:rPr>
          <w:sz w:val="21"/>
        </w:rPr>
        <w:t>10</w:t>
      </w:r>
      <w:r>
        <w:rPr>
          <w:spacing w:val="-12"/>
          <w:sz w:val="21"/>
        </w:rPr>
        <w:t xml:space="preserve"> </w:t>
      </w:r>
      <w:r>
        <w:rPr>
          <w:sz w:val="21"/>
        </w:rPr>
        <w:t>and less than 50 shall enter the temple is scrupulously</w:t>
      </w:r>
      <w:r>
        <w:rPr>
          <w:spacing w:val="-23"/>
          <w:sz w:val="21"/>
        </w:rPr>
        <w:t xml:space="preserve"> </w:t>
      </w:r>
      <w:r>
        <w:rPr>
          <w:sz w:val="21"/>
        </w:rPr>
        <w:t>followed.</w:t>
      </w:r>
      <w:r>
        <w:rPr>
          <w:position w:val="7"/>
          <w:sz w:val="14"/>
        </w:rPr>
        <w:t>68</w:t>
      </w:r>
    </w:p>
    <w:p w:rsidR="003B2FC0" w:rsidRDefault="00052A49">
      <w:pPr>
        <w:tabs>
          <w:tab w:val="left" w:pos="3487"/>
        </w:tabs>
        <w:spacing w:before="34" w:line="276" w:lineRule="auto"/>
        <w:ind w:left="1840" w:right="2255"/>
        <w:jc w:val="both"/>
        <w:rPr>
          <w:sz w:val="21"/>
        </w:rPr>
      </w:pPr>
      <w:r>
        <w:rPr>
          <w:sz w:val="21"/>
        </w:rPr>
        <w:t>9. The second respondent, former Devaswom Commissioner Smt.</w:t>
      </w:r>
      <w:r>
        <w:rPr>
          <w:spacing w:val="-10"/>
          <w:sz w:val="21"/>
        </w:rPr>
        <w:t xml:space="preserve"> </w:t>
      </w:r>
      <w:r>
        <w:rPr>
          <w:sz w:val="21"/>
        </w:rPr>
        <w:t>S.</w:t>
      </w:r>
      <w:r>
        <w:rPr>
          <w:spacing w:val="-13"/>
          <w:sz w:val="21"/>
        </w:rPr>
        <w:t xml:space="preserve"> </w:t>
      </w:r>
      <w:r>
        <w:rPr>
          <w:sz w:val="21"/>
        </w:rPr>
        <w:t>Chandrika</w:t>
      </w:r>
      <w:r>
        <w:rPr>
          <w:spacing w:val="-11"/>
          <w:sz w:val="21"/>
        </w:rPr>
        <w:t xml:space="preserve"> </w:t>
      </w:r>
      <w:r>
        <w:rPr>
          <w:sz w:val="21"/>
        </w:rPr>
        <w:t>in</w:t>
      </w:r>
      <w:r>
        <w:rPr>
          <w:spacing w:val="-12"/>
          <w:sz w:val="21"/>
        </w:rPr>
        <w:t xml:space="preserve"> </w:t>
      </w:r>
      <w:r>
        <w:rPr>
          <w:sz w:val="21"/>
        </w:rPr>
        <w:t>her</w:t>
      </w:r>
      <w:r>
        <w:rPr>
          <w:spacing w:val="-10"/>
          <w:sz w:val="21"/>
        </w:rPr>
        <w:t xml:space="preserve"> </w:t>
      </w:r>
      <w:r>
        <w:rPr>
          <w:sz w:val="21"/>
        </w:rPr>
        <w:t>counter-affidavit</w:t>
      </w:r>
      <w:r>
        <w:rPr>
          <w:spacing w:val="-9"/>
          <w:sz w:val="21"/>
        </w:rPr>
        <w:t xml:space="preserve"> </w:t>
      </w:r>
      <w:r>
        <w:rPr>
          <w:sz w:val="21"/>
        </w:rPr>
        <w:t>admitted</w:t>
      </w:r>
      <w:r>
        <w:rPr>
          <w:spacing w:val="-9"/>
          <w:sz w:val="21"/>
        </w:rPr>
        <w:t xml:space="preserve"> </w:t>
      </w:r>
      <w:r>
        <w:rPr>
          <w:sz w:val="21"/>
        </w:rPr>
        <w:t>that</w:t>
      </w:r>
      <w:r>
        <w:rPr>
          <w:spacing w:val="-9"/>
          <w:sz w:val="21"/>
        </w:rPr>
        <w:t xml:space="preserve"> </w:t>
      </w:r>
      <w:r>
        <w:rPr>
          <w:sz w:val="21"/>
        </w:rPr>
        <w:t>the</w:t>
      </w:r>
      <w:r>
        <w:rPr>
          <w:spacing w:val="-11"/>
          <w:sz w:val="21"/>
        </w:rPr>
        <w:t xml:space="preserve"> </w:t>
      </w:r>
      <w:r>
        <w:rPr>
          <w:sz w:val="21"/>
        </w:rPr>
        <w:t>first rice-feeding ceremony of her grandchild was conducted on</w:t>
      </w:r>
      <w:r>
        <w:rPr>
          <w:spacing w:val="-33"/>
          <w:sz w:val="21"/>
        </w:rPr>
        <w:t xml:space="preserve"> </w:t>
      </w:r>
      <w:r>
        <w:rPr>
          <w:sz w:val="21"/>
        </w:rPr>
        <w:t>the 1st of Chingam 1166 at Sabarimala temple while she was holding the post o</w:t>
      </w:r>
      <w:r>
        <w:rPr>
          <w:sz w:val="21"/>
        </w:rPr>
        <w:t>f Devaswom Commissioner…The restriction regarding</w:t>
      </w:r>
      <w:r>
        <w:rPr>
          <w:spacing w:val="-8"/>
          <w:sz w:val="21"/>
        </w:rPr>
        <w:t xml:space="preserve"> </w:t>
      </w:r>
      <w:r>
        <w:rPr>
          <w:sz w:val="21"/>
        </w:rPr>
        <w:t>the</w:t>
      </w:r>
      <w:r>
        <w:rPr>
          <w:spacing w:val="-8"/>
          <w:sz w:val="21"/>
        </w:rPr>
        <w:t xml:space="preserve"> </w:t>
      </w:r>
      <w:r>
        <w:rPr>
          <w:sz w:val="21"/>
        </w:rPr>
        <w:t>entry</w:t>
      </w:r>
      <w:r>
        <w:rPr>
          <w:spacing w:val="-10"/>
          <w:sz w:val="21"/>
        </w:rPr>
        <w:t xml:space="preserve"> </w:t>
      </w:r>
      <w:r>
        <w:rPr>
          <w:sz w:val="21"/>
        </w:rPr>
        <w:t>of</w:t>
      </w:r>
      <w:r>
        <w:rPr>
          <w:spacing w:val="-7"/>
          <w:sz w:val="21"/>
        </w:rPr>
        <w:t xml:space="preserve"> </w:t>
      </w:r>
      <w:r>
        <w:rPr>
          <w:sz w:val="21"/>
        </w:rPr>
        <w:t>women</w:t>
      </w:r>
      <w:r>
        <w:rPr>
          <w:spacing w:val="-8"/>
          <w:sz w:val="21"/>
        </w:rPr>
        <w:t xml:space="preserve"> </w:t>
      </w:r>
      <w:r>
        <w:rPr>
          <w:sz w:val="21"/>
        </w:rPr>
        <w:t>in</w:t>
      </w:r>
      <w:r>
        <w:rPr>
          <w:spacing w:val="-7"/>
          <w:sz w:val="21"/>
        </w:rPr>
        <w:t xml:space="preserve"> </w:t>
      </w:r>
      <w:r>
        <w:rPr>
          <w:sz w:val="21"/>
        </w:rPr>
        <w:t>the</w:t>
      </w:r>
      <w:r>
        <w:rPr>
          <w:spacing w:val="-8"/>
          <w:sz w:val="21"/>
        </w:rPr>
        <w:t xml:space="preserve"> </w:t>
      </w:r>
      <w:r>
        <w:rPr>
          <w:sz w:val="21"/>
        </w:rPr>
        <w:t>age</w:t>
      </w:r>
      <w:r>
        <w:rPr>
          <w:spacing w:val="-7"/>
          <w:sz w:val="21"/>
        </w:rPr>
        <w:t xml:space="preserve"> </w:t>
      </w:r>
      <w:r>
        <w:rPr>
          <w:sz w:val="21"/>
        </w:rPr>
        <w:t>group</w:t>
      </w:r>
      <w:r>
        <w:rPr>
          <w:spacing w:val="-9"/>
          <w:sz w:val="21"/>
        </w:rPr>
        <w:t xml:space="preserve"> </w:t>
      </w:r>
      <w:r>
        <w:rPr>
          <w:sz w:val="21"/>
        </w:rPr>
        <w:t>10</w:t>
      </w:r>
      <w:r>
        <w:rPr>
          <w:spacing w:val="-8"/>
          <w:sz w:val="21"/>
        </w:rPr>
        <w:t xml:space="preserve"> </w:t>
      </w:r>
      <w:r>
        <w:rPr>
          <w:sz w:val="21"/>
        </w:rPr>
        <w:t>to</w:t>
      </w:r>
      <w:r>
        <w:rPr>
          <w:spacing w:val="-7"/>
          <w:sz w:val="21"/>
        </w:rPr>
        <w:t xml:space="preserve"> </w:t>
      </w:r>
      <w:r>
        <w:rPr>
          <w:sz w:val="21"/>
        </w:rPr>
        <w:t>50</w:t>
      </w:r>
      <w:r>
        <w:rPr>
          <w:spacing w:val="-8"/>
          <w:sz w:val="21"/>
        </w:rPr>
        <w:t xml:space="preserve"> </w:t>
      </w:r>
      <w:r>
        <w:rPr>
          <w:sz w:val="21"/>
        </w:rPr>
        <w:t>is</w:t>
      </w:r>
      <w:r>
        <w:rPr>
          <w:spacing w:val="-7"/>
          <w:sz w:val="21"/>
        </w:rPr>
        <w:t xml:space="preserve"> </w:t>
      </w:r>
      <w:r>
        <w:rPr>
          <w:sz w:val="21"/>
        </w:rPr>
        <w:t>there only during Mandalam, Makaravilakku and Vishu. As per the stipulations made by the Devaswom Board there is no restriction during the remaining period. W</w:t>
      </w:r>
      <w:r>
        <w:rPr>
          <w:sz w:val="21"/>
        </w:rPr>
        <w:t>hen monthly poojas are conducted, women of all age groups used to visit Sabarimala. On the 1st of Chingam 1166 the first rice-feeding ceremony of other children were also conducted at the</w:t>
      </w:r>
      <w:r>
        <w:rPr>
          <w:spacing w:val="-31"/>
          <w:sz w:val="21"/>
        </w:rPr>
        <w:t xml:space="preserve"> </w:t>
      </w:r>
      <w:r>
        <w:rPr>
          <w:sz w:val="21"/>
        </w:rPr>
        <w:t>temple. No V.I.P. treatment was given to her grandchild on that day.</w:t>
      </w:r>
      <w:r>
        <w:rPr>
          <w:sz w:val="21"/>
        </w:rPr>
        <w:t xml:space="preserve"> The</w:t>
      </w:r>
      <w:r>
        <w:rPr>
          <w:spacing w:val="-7"/>
          <w:sz w:val="21"/>
        </w:rPr>
        <w:t xml:space="preserve"> </w:t>
      </w:r>
      <w:r>
        <w:rPr>
          <w:sz w:val="21"/>
        </w:rPr>
        <w:t>same</w:t>
      </w:r>
      <w:r>
        <w:rPr>
          <w:spacing w:val="-7"/>
          <w:sz w:val="21"/>
        </w:rPr>
        <w:t xml:space="preserve"> </w:t>
      </w:r>
      <w:r>
        <w:rPr>
          <w:sz w:val="21"/>
        </w:rPr>
        <w:t>facility</w:t>
      </w:r>
      <w:r>
        <w:rPr>
          <w:spacing w:val="-11"/>
          <w:sz w:val="21"/>
        </w:rPr>
        <w:t xml:space="preserve"> </w:t>
      </w:r>
      <w:r>
        <w:rPr>
          <w:sz w:val="21"/>
        </w:rPr>
        <w:t>was</w:t>
      </w:r>
      <w:r>
        <w:rPr>
          <w:spacing w:val="-7"/>
          <w:sz w:val="21"/>
        </w:rPr>
        <w:t xml:space="preserve"> </w:t>
      </w:r>
      <w:r>
        <w:rPr>
          <w:sz w:val="21"/>
        </w:rPr>
        <w:t>afforded</w:t>
      </w:r>
      <w:r>
        <w:rPr>
          <w:spacing w:val="-7"/>
          <w:sz w:val="21"/>
        </w:rPr>
        <w:t xml:space="preserve"> </w:t>
      </w:r>
      <w:r>
        <w:rPr>
          <w:sz w:val="21"/>
        </w:rPr>
        <w:t>to</w:t>
      </w:r>
      <w:r>
        <w:rPr>
          <w:spacing w:val="-7"/>
          <w:sz w:val="21"/>
        </w:rPr>
        <w:t xml:space="preserve"> </w:t>
      </w:r>
      <w:r>
        <w:rPr>
          <w:sz w:val="21"/>
        </w:rPr>
        <w:t>others</w:t>
      </w:r>
      <w:r>
        <w:rPr>
          <w:spacing w:val="-8"/>
          <w:sz w:val="21"/>
        </w:rPr>
        <w:t xml:space="preserve"> </w:t>
      </w:r>
      <w:r>
        <w:rPr>
          <w:sz w:val="21"/>
        </w:rPr>
        <w:t>also.</w:t>
      </w:r>
      <w:r>
        <w:rPr>
          <w:spacing w:val="-8"/>
          <w:sz w:val="21"/>
        </w:rPr>
        <w:t xml:space="preserve"> </w:t>
      </w:r>
      <w:r>
        <w:rPr>
          <w:sz w:val="21"/>
        </w:rPr>
        <w:t>Her</w:t>
      </w:r>
      <w:r>
        <w:rPr>
          <w:spacing w:val="-8"/>
          <w:sz w:val="21"/>
        </w:rPr>
        <w:t xml:space="preserve"> </w:t>
      </w:r>
      <w:r>
        <w:rPr>
          <w:sz w:val="21"/>
        </w:rPr>
        <w:t>daughter</w:t>
      </w:r>
      <w:r>
        <w:rPr>
          <w:spacing w:val="-8"/>
          <w:sz w:val="21"/>
        </w:rPr>
        <w:t xml:space="preserve"> </w:t>
      </w:r>
      <w:r>
        <w:rPr>
          <w:sz w:val="21"/>
        </w:rPr>
        <w:t>got married on 13-7-1984 and was not begetting a child for a considerably long time. She took a vow that the first rice- feeding ceremony would be performed at Sabarimala in case she begets a child. Hence the reason why the first</w:t>
      </w:r>
      <w:r>
        <w:rPr>
          <w:spacing w:val="-33"/>
          <w:sz w:val="21"/>
        </w:rPr>
        <w:t xml:space="preserve"> </w:t>
      </w:r>
      <w:r>
        <w:rPr>
          <w:sz w:val="21"/>
        </w:rPr>
        <w:t>rice-feeding ceremony of t</w:t>
      </w:r>
      <w:r>
        <w:rPr>
          <w:sz w:val="21"/>
        </w:rPr>
        <w:t>he child delivered by her was performed at that temple. The entry of young ladies in the temple during</w:t>
      </w:r>
      <w:r>
        <w:rPr>
          <w:spacing w:val="-36"/>
          <w:sz w:val="21"/>
        </w:rPr>
        <w:t xml:space="preserve"> </w:t>
      </w:r>
      <w:r>
        <w:rPr>
          <w:sz w:val="21"/>
        </w:rPr>
        <w:t>monthly poojas</w:t>
      </w:r>
      <w:r>
        <w:rPr>
          <w:spacing w:val="-8"/>
          <w:sz w:val="21"/>
        </w:rPr>
        <w:t xml:space="preserve"> </w:t>
      </w:r>
      <w:r>
        <w:rPr>
          <w:sz w:val="21"/>
        </w:rPr>
        <w:t>is</w:t>
      </w:r>
      <w:r>
        <w:rPr>
          <w:spacing w:val="-5"/>
          <w:sz w:val="21"/>
        </w:rPr>
        <w:t xml:space="preserve"> </w:t>
      </w:r>
      <w:r>
        <w:rPr>
          <w:sz w:val="21"/>
        </w:rPr>
        <w:t>not</w:t>
      </w:r>
      <w:r>
        <w:rPr>
          <w:spacing w:val="-6"/>
          <w:sz w:val="21"/>
        </w:rPr>
        <w:t xml:space="preserve"> </w:t>
      </w:r>
      <w:r>
        <w:rPr>
          <w:sz w:val="21"/>
        </w:rPr>
        <w:t>against</w:t>
      </w:r>
      <w:r>
        <w:rPr>
          <w:spacing w:val="-6"/>
          <w:sz w:val="21"/>
        </w:rPr>
        <w:t xml:space="preserve"> </w:t>
      </w:r>
      <w:r>
        <w:rPr>
          <w:sz w:val="21"/>
        </w:rPr>
        <w:t>the</w:t>
      </w:r>
      <w:r>
        <w:rPr>
          <w:spacing w:val="-4"/>
          <w:sz w:val="21"/>
        </w:rPr>
        <w:t xml:space="preserve"> </w:t>
      </w:r>
      <w:r>
        <w:rPr>
          <w:sz w:val="21"/>
        </w:rPr>
        <w:t>customs</w:t>
      </w:r>
      <w:r>
        <w:rPr>
          <w:spacing w:val="-5"/>
          <w:sz w:val="21"/>
        </w:rPr>
        <w:t xml:space="preserve"> </w:t>
      </w:r>
      <w:r>
        <w:rPr>
          <w:sz w:val="21"/>
        </w:rPr>
        <w:t>and</w:t>
      </w:r>
      <w:r>
        <w:rPr>
          <w:spacing w:val="-4"/>
          <w:sz w:val="21"/>
        </w:rPr>
        <w:t xml:space="preserve"> </w:t>
      </w:r>
      <w:r>
        <w:rPr>
          <w:sz w:val="21"/>
        </w:rPr>
        <w:t>practices</w:t>
      </w:r>
      <w:r>
        <w:rPr>
          <w:spacing w:val="-6"/>
          <w:sz w:val="21"/>
        </w:rPr>
        <w:t xml:space="preserve"> </w:t>
      </w:r>
      <w:r>
        <w:rPr>
          <w:sz w:val="21"/>
        </w:rPr>
        <w:t>followed</w:t>
      </w:r>
      <w:r>
        <w:rPr>
          <w:spacing w:val="-4"/>
          <w:sz w:val="21"/>
        </w:rPr>
        <w:t xml:space="preserve"> </w:t>
      </w:r>
      <w:r>
        <w:rPr>
          <w:sz w:val="21"/>
        </w:rPr>
        <w:t>in</w:t>
      </w:r>
      <w:r>
        <w:rPr>
          <w:spacing w:val="-5"/>
          <w:sz w:val="21"/>
        </w:rPr>
        <w:t xml:space="preserve"> </w:t>
      </w:r>
      <w:r>
        <w:rPr>
          <w:sz w:val="21"/>
        </w:rPr>
        <w:t>the temple…”</w:t>
      </w:r>
      <w:r>
        <w:rPr>
          <w:position w:val="7"/>
          <w:sz w:val="14"/>
        </w:rPr>
        <w:t>69</w:t>
      </w:r>
      <w:r>
        <w:rPr>
          <w:position w:val="7"/>
          <w:sz w:val="14"/>
        </w:rPr>
        <w:tab/>
      </w:r>
      <w:r>
        <w:rPr>
          <w:sz w:val="21"/>
        </w:rPr>
        <w:t>(Emphasis</w:t>
      </w:r>
      <w:r>
        <w:rPr>
          <w:spacing w:val="-1"/>
          <w:sz w:val="21"/>
        </w:rPr>
        <w:t xml:space="preserve"> </w:t>
      </w:r>
      <w:r>
        <w:rPr>
          <w:sz w:val="21"/>
        </w:rPr>
        <w:t>supplied)</w:t>
      </w:r>
    </w:p>
    <w:p w:rsidR="003B2FC0" w:rsidRDefault="003B2FC0">
      <w:pPr>
        <w:spacing w:before="6"/>
        <w:rPr>
          <w:sz w:val="21"/>
        </w:rPr>
      </w:pPr>
      <w:r w:rsidRPr="003B2FC0">
        <w:pict>
          <v:line id="_x0000_s1107" style="position:absolute;z-index:251608576;mso-wrap-distance-left:0;mso-wrap-distance-right:0;mso-position-horizontal-relative:page" from="1in,14.75pt" to="216.05pt,14.75pt" strokeweight=".72pt">
            <w10:wrap type="topAndBottom" anchorx="page"/>
          </v:line>
        </w:pict>
      </w:r>
    </w:p>
    <w:p w:rsidR="003B2FC0" w:rsidRDefault="00052A49">
      <w:pPr>
        <w:spacing w:before="67" w:line="209" w:lineRule="exact"/>
        <w:ind w:left="400"/>
        <w:rPr>
          <w:sz w:val="18"/>
        </w:rPr>
      </w:pPr>
      <w:r>
        <w:rPr>
          <w:position w:val="6"/>
          <w:sz w:val="12"/>
        </w:rPr>
        <w:t xml:space="preserve">67  </w:t>
      </w:r>
      <w:r>
        <w:rPr>
          <w:sz w:val="18"/>
        </w:rPr>
        <w:t>Ibid, at page</w:t>
      </w:r>
      <w:r>
        <w:rPr>
          <w:spacing w:val="-23"/>
          <w:sz w:val="18"/>
        </w:rPr>
        <w:t xml:space="preserve"> </w:t>
      </w:r>
      <w:r>
        <w:rPr>
          <w:sz w:val="18"/>
        </w:rPr>
        <w:t>45</w:t>
      </w:r>
    </w:p>
    <w:p w:rsidR="003B2FC0" w:rsidRDefault="00052A49">
      <w:pPr>
        <w:spacing w:line="208" w:lineRule="exact"/>
        <w:ind w:left="400"/>
        <w:rPr>
          <w:sz w:val="18"/>
        </w:rPr>
      </w:pPr>
      <w:r>
        <w:rPr>
          <w:position w:val="6"/>
          <w:sz w:val="12"/>
        </w:rPr>
        <w:t xml:space="preserve">68  </w:t>
      </w:r>
      <w:r>
        <w:rPr>
          <w:sz w:val="18"/>
        </w:rPr>
        <w:t>Ibid, at page</w:t>
      </w:r>
      <w:r>
        <w:rPr>
          <w:spacing w:val="-23"/>
          <w:sz w:val="18"/>
        </w:rPr>
        <w:t xml:space="preserve"> </w:t>
      </w:r>
      <w:r>
        <w:rPr>
          <w:sz w:val="18"/>
        </w:rPr>
        <w:t>45</w:t>
      </w:r>
    </w:p>
    <w:p w:rsidR="003B2FC0" w:rsidRDefault="00052A49">
      <w:pPr>
        <w:spacing w:line="210" w:lineRule="exact"/>
        <w:ind w:left="400"/>
        <w:rPr>
          <w:sz w:val="18"/>
        </w:rPr>
      </w:pPr>
      <w:r>
        <w:rPr>
          <w:position w:val="6"/>
          <w:sz w:val="12"/>
        </w:rPr>
        <w:t xml:space="preserve">69 </w:t>
      </w:r>
      <w:r>
        <w:rPr>
          <w:sz w:val="18"/>
        </w:rPr>
        <w:t>Ibi</w:t>
      </w:r>
      <w:r>
        <w:rPr>
          <w:sz w:val="18"/>
        </w:rPr>
        <w:t>d, at pages 45-46</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60" w:firstLine="0"/>
        <w:jc w:val="both"/>
        <w:rPr>
          <w:sz w:val="26"/>
        </w:rPr>
      </w:pPr>
      <w:r>
        <w:rPr>
          <w:sz w:val="26"/>
        </w:rPr>
        <w:t>The stand of the Board demonstrates that the practice of excluding women of a particular age group has not been consistently followed. The</w:t>
      </w:r>
      <w:r>
        <w:rPr>
          <w:spacing w:val="-26"/>
          <w:sz w:val="26"/>
        </w:rPr>
        <w:t xml:space="preserve"> </w:t>
      </w:r>
      <w:r>
        <w:rPr>
          <w:sz w:val="26"/>
        </w:rPr>
        <w:t>basis of the claim that there exists a religious denomination of Ayyapans is tha</w:t>
      </w:r>
      <w:r>
        <w:rPr>
          <w:sz w:val="26"/>
        </w:rPr>
        <w:t>t the presiding deity is celibate and a strict regime of forty one days is prescribed</w:t>
      </w:r>
      <w:r>
        <w:rPr>
          <w:spacing w:val="-27"/>
          <w:sz w:val="26"/>
        </w:rPr>
        <w:t xml:space="preserve"> </w:t>
      </w:r>
      <w:r>
        <w:rPr>
          <w:sz w:val="26"/>
        </w:rPr>
        <w:t>for worship. Women between the age groups of ten and fifty would not for physiological</w:t>
      </w:r>
      <w:r>
        <w:rPr>
          <w:spacing w:val="-17"/>
          <w:sz w:val="26"/>
        </w:rPr>
        <w:t xml:space="preserve"> </w:t>
      </w:r>
      <w:r>
        <w:rPr>
          <w:sz w:val="26"/>
        </w:rPr>
        <w:t>reasons</w:t>
      </w:r>
      <w:r>
        <w:rPr>
          <w:spacing w:val="-16"/>
          <w:sz w:val="26"/>
        </w:rPr>
        <w:t xml:space="preserve"> </w:t>
      </w:r>
      <w:r>
        <w:rPr>
          <w:sz w:val="26"/>
        </w:rPr>
        <w:t>(it</w:t>
      </w:r>
      <w:r>
        <w:rPr>
          <w:spacing w:val="-17"/>
          <w:sz w:val="26"/>
        </w:rPr>
        <w:t xml:space="preserve"> </w:t>
      </w:r>
      <w:r>
        <w:rPr>
          <w:sz w:val="26"/>
        </w:rPr>
        <w:t>is</w:t>
      </w:r>
      <w:r>
        <w:rPr>
          <w:spacing w:val="-16"/>
          <w:sz w:val="26"/>
        </w:rPr>
        <w:t xml:space="preserve"> </w:t>
      </w:r>
      <w:r>
        <w:rPr>
          <w:sz w:val="26"/>
        </w:rPr>
        <w:t>asserted)</w:t>
      </w:r>
      <w:r>
        <w:rPr>
          <w:spacing w:val="-17"/>
          <w:sz w:val="26"/>
        </w:rPr>
        <w:t xml:space="preserve"> </w:t>
      </w:r>
      <w:r>
        <w:rPr>
          <w:sz w:val="26"/>
        </w:rPr>
        <w:t>be</w:t>
      </w:r>
      <w:r>
        <w:rPr>
          <w:spacing w:val="-16"/>
          <w:sz w:val="26"/>
        </w:rPr>
        <w:t xml:space="preserve"> </w:t>
      </w:r>
      <w:r>
        <w:rPr>
          <w:sz w:val="26"/>
        </w:rPr>
        <w:t>able</w:t>
      </w:r>
      <w:r>
        <w:rPr>
          <w:spacing w:val="-17"/>
          <w:sz w:val="26"/>
        </w:rPr>
        <w:t xml:space="preserve"> </w:t>
      </w:r>
      <w:r>
        <w:rPr>
          <w:sz w:val="26"/>
        </w:rPr>
        <w:t>to</w:t>
      </w:r>
      <w:r>
        <w:rPr>
          <w:spacing w:val="-16"/>
          <w:sz w:val="26"/>
        </w:rPr>
        <w:t xml:space="preserve"> </w:t>
      </w:r>
      <w:r>
        <w:rPr>
          <w:sz w:val="26"/>
        </w:rPr>
        <w:t>perform</w:t>
      </w:r>
      <w:r>
        <w:rPr>
          <w:spacing w:val="-16"/>
          <w:sz w:val="26"/>
        </w:rPr>
        <w:t xml:space="preserve"> </w:t>
      </w:r>
      <w:r>
        <w:rPr>
          <w:sz w:val="26"/>
        </w:rPr>
        <w:t>the</w:t>
      </w:r>
      <w:r>
        <w:rPr>
          <w:spacing w:val="-17"/>
          <w:sz w:val="26"/>
        </w:rPr>
        <w:t xml:space="preserve"> </w:t>
      </w:r>
      <w:r>
        <w:rPr>
          <w:sz w:val="26"/>
        </w:rPr>
        <w:t>penance</w:t>
      </w:r>
      <w:r>
        <w:rPr>
          <w:spacing w:val="-17"/>
          <w:sz w:val="26"/>
        </w:rPr>
        <w:t xml:space="preserve"> </w:t>
      </w:r>
      <w:r>
        <w:rPr>
          <w:sz w:val="26"/>
        </w:rPr>
        <w:t>associated with worship and hence their exclusion is intrinsic to a common faith. As indicated earlier, the exclusion of women between the ages of ten and fifty has not</w:t>
      </w:r>
      <w:r>
        <w:rPr>
          <w:spacing w:val="-17"/>
          <w:sz w:val="26"/>
        </w:rPr>
        <w:t xml:space="preserve"> </w:t>
      </w:r>
      <w:r>
        <w:rPr>
          <w:sz w:val="26"/>
        </w:rPr>
        <w:t>been</w:t>
      </w:r>
      <w:r>
        <w:rPr>
          <w:spacing w:val="-17"/>
          <w:sz w:val="26"/>
        </w:rPr>
        <w:t xml:space="preserve"> </w:t>
      </w:r>
      <w:r>
        <w:rPr>
          <w:sz w:val="26"/>
        </w:rPr>
        <w:t>shown</w:t>
      </w:r>
      <w:r>
        <w:rPr>
          <w:spacing w:val="-16"/>
          <w:sz w:val="26"/>
        </w:rPr>
        <w:t xml:space="preserve"> </w:t>
      </w:r>
      <w:r>
        <w:rPr>
          <w:sz w:val="26"/>
        </w:rPr>
        <w:t>to</w:t>
      </w:r>
      <w:r>
        <w:rPr>
          <w:spacing w:val="-16"/>
          <w:sz w:val="26"/>
        </w:rPr>
        <w:t xml:space="preserve"> </w:t>
      </w:r>
      <w:r>
        <w:rPr>
          <w:sz w:val="26"/>
        </w:rPr>
        <w:t>be</w:t>
      </w:r>
      <w:r>
        <w:rPr>
          <w:spacing w:val="-14"/>
          <w:sz w:val="26"/>
        </w:rPr>
        <w:t xml:space="preserve"> </w:t>
      </w:r>
      <w:r>
        <w:rPr>
          <w:sz w:val="26"/>
        </w:rPr>
        <w:t>a</w:t>
      </w:r>
      <w:r>
        <w:rPr>
          <w:spacing w:val="-16"/>
          <w:sz w:val="26"/>
        </w:rPr>
        <w:t xml:space="preserve"> </w:t>
      </w:r>
      <w:r>
        <w:rPr>
          <w:sz w:val="26"/>
        </w:rPr>
        <w:t>uniform</w:t>
      </w:r>
      <w:r>
        <w:rPr>
          <w:spacing w:val="-16"/>
          <w:sz w:val="26"/>
        </w:rPr>
        <w:t xml:space="preserve"> </w:t>
      </w:r>
      <w:r>
        <w:rPr>
          <w:sz w:val="26"/>
        </w:rPr>
        <w:t>practice</w:t>
      </w:r>
      <w:r>
        <w:rPr>
          <w:spacing w:val="-16"/>
          <w:sz w:val="26"/>
        </w:rPr>
        <w:t xml:space="preserve"> </w:t>
      </w:r>
      <w:r>
        <w:rPr>
          <w:sz w:val="26"/>
        </w:rPr>
        <w:t>or</w:t>
      </w:r>
      <w:r>
        <w:rPr>
          <w:spacing w:val="-14"/>
          <w:sz w:val="26"/>
        </w:rPr>
        <w:t xml:space="preserve"> </w:t>
      </w:r>
      <w:r>
        <w:rPr>
          <w:sz w:val="26"/>
        </w:rPr>
        <w:t>tenet.</w:t>
      </w:r>
      <w:r>
        <w:rPr>
          <w:spacing w:val="-17"/>
          <w:sz w:val="26"/>
        </w:rPr>
        <w:t xml:space="preserve"> </w:t>
      </w:r>
      <w:r>
        <w:rPr>
          <w:sz w:val="26"/>
        </w:rPr>
        <w:t>The</w:t>
      </w:r>
      <w:r>
        <w:rPr>
          <w:spacing w:val="-16"/>
          <w:sz w:val="26"/>
        </w:rPr>
        <w:t xml:space="preserve"> </w:t>
      </w:r>
      <w:r>
        <w:rPr>
          <w:sz w:val="26"/>
        </w:rPr>
        <w:t>material</w:t>
      </w:r>
      <w:r>
        <w:rPr>
          <w:spacing w:val="-16"/>
          <w:sz w:val="26"/>
        </w:rPr>
        <w:t xml:space="preserve"> </w:t>
      </w:r>
      <w:r>
        <w:rPr>
          <w:sz w:val="26"/>
        </w:rPr>
        <w:t>before</w:t>
      </w:r>
      <w:r>
        <w:rPr>
          <w:spacing w:val="-16"/>
          <w:sz w:val="26"/>
        </w:rPr>
        <w:t xml:space="preserve"> </w:t>
      </w:r>
      <w:r>
        <w:rPr>
          <w:sz w:val="26"/>
        </w:rPr>
        <w:t>the</w:t>
      </w:r>
      <w:r>
        <w:rPr>
          <w:spacing w:val="-16"/>
          <w:sz w:val="26"/>
        </w:rPr>
        <w:t xml:space="preserve"> </w:t>
      </w:r>
      <w:r>
        <w:rPr>
          <w:sz w:val="26"/>
        </w:rPr>
        <w:t>Kerala High</w:t>
      </w:r>
      <w:r>
        <w:rPr>
          <w:spacing w:val="-15"/>
          <w:sz w:val="26"/>
        </w:rPr>
        <w:t xml:space="preserve"> </w:t>
      </w:r>
      <w:r>
        <w:rPr>
          <w:sz w:val="26"/>
        </w:rPr>
        <w:t>Court</w:t>
      </w:r>
      <w:r>
        <w:rPr>
          <w:spacing w:val="-14"/>
          <w:sz w:val="26"/>
        </w:rPr>
        <w:t xml:space="preserve"> </w:t>
      </w:r>
      <w:r>
        <w:rPr>
          <w:sz w:val="26"/>
        </w:rPr>
        <w:t>in</w:t>
      </w:r>
      <w:r>
        <w:rPr>
          <w:spacing w:val="-14"/>
          <w:sz w:val="26"/>
        </w:rPr>
        <w:t xml:space="preserve"> </w:t>
      </w:r>
      <w:r>
        <w:rPr>
          <w:b/>
          <w:sz w:val="26"/>
        </w:rPr>
        <w:t>Mahendran</w:t>
      </w:r>
      <w:r>
        <w:rPr>
          <w:b/>
          <w:spacing w:val="-13"/>
          <w:sz w:val="26"/>
        </w:rPr>
        <w:t xml:space="preserve"> </w:t>
      </w:r>
      <w:r>
        <w:rPr>
          <w:sz w:val="26"/>
        </w:rPr>
        <w:t>in</w:t>
      </w:r>
      <w:r>
        <w:rPr>
          <w:spacing w:val="-14"/>
          <w:sz w:val="26"/>
        </w:rPr>
        <w:t xml:space="preserve"> </w:t>
      </w:r>
      <w:r>
        <w:rPr>
          <w:sz w:val="26"/>
        </w:rPr>
        <w:t>fact</w:t>
      </w:r>
      <w:r>
        <w:rPr>
          <w:spacing w:val="-14"/>
          <w:sz w:val="26"/>
        </w:rPr>
        <w:t xml:space="preserve"> </w:t>
      </w:r>
      <w:r>
        <w:rPr>
          <w:sz w:val="26"/>
        </w:rPr>
        <w:t>indicates</w:t>
      </w:r>
      <w:r>
        <w:rPr>
          <w:spacing w:val="-14"/>
          <w:sz w:val="26"/>
        </w:rPr>
        <w:t xml:space="preserve"> </w:t>
      </w:r>
      <w:r>
        <w:rPr>
          <w:sz w:val="26"/>
        </w:rPr>
        <w:t>that</w:t>
      </w:r>
      <w:r>
        <w:rPr>
          <w:spacing w:val="-14"/>
          <w:sz w:val="26"/>
        </w:rPr>
        <w:t xml:space="preserve"> </w:t>
      </w:r>
      <w:r>
        <w:rPr>
          <w:sz w:val="26"/>
        </w:rPr>
        <w:t>there</w:t>
      </w:r>
      <w:r>
        <w:rPr>
          <w:spacing w:val="-11"/>
          <w:sz w:val="26"/>
        </w:rPr>
        <w:t xml:space="preserve"> </w:t>
      </w:r>
      <w:r>
        <w:rPr>
          <w:sz w:val="26"/>
        </w:rPr>
        <w:t>was</w:t>
      </w:r>
      <w:r>
        <w:rPr>
          <w:spacing w:val="-14"/>
          <w:sz w:val="26"/>
        </w:rPr>
        <w:t xml:space="preserve"> </w:t>
      </w:r>
      <w:r>
        <w:rPr>
          <w:sz w:val="26"/>
        </w:rPr>
        <w:t>no</w:t>
      </w:r>
      <w:r>
        <w:rPr>
          <w:spacing w:val="-14"/>
          <w:sz w:val="26"/>
        </w:rPr>
        <w:t xml:space="preserve"> </w:t>
      </w:r>
      <w:r>
        <w:rPr>
          <w:sz w:val="26"/>
        </w:rPr>
        <w:t>such</w:t>
      </w:r>
      <w:r>
        <w:rPr>
          <w:spacing w:val="-14"/>
          <w:sz w:val="26"/>
        </w:rPr>
        <w:t xml:space="preserve"> </w:t>
      </w:r>
      <w:r>
        <w:rPr>
          <w:sz w:val="26"/>
        </w:rPr>
        <w:t>uniform</w:t>
      </w:r>
      <w:r>
        <w:rPr>
          <w:spacing w:val="-15"/>
          <w:sz w:val="26"/>
        </w:rPr>
        <w:t xml:space="preserve"> </w:t>
      </w:r>
      <w:r>
        <w:rPr>
          <w:sz w:val="26"/>
        </w:rPr>
        <w:t>tenet, down the ages. Therefore, the claim that the exclusion of women is part of a common set of religious beliefs held by those who worship the deity is not established. Above all, what is cr</w:t>
      </w:r>
      <w:r>
        <w:rPr>
          <w:sz w:val="26"/>
        </w:rPr>
        <w:t>ucial to a religious denomination is a religious sect</w:t>
      </w:r>
      <w:r>
        <w:rPr>
          <w:spacing w:val="-17"/>
          <w:sz w:val="26"/>
        </w:rPr>
        <w:t xml:space="preserve"> </w:t>
      </w:r>
      <w:r>
        <w:rPr>
          <w:sz w:val="26"/>
        </w:rPr>
        <w:t>or</w:t>
      </w:r>
      <w:r>
        <w:rPr>
          <w:spacing w:val="-16"/>
          <w:sz w:val="26"/>
        </w:rPr>
        <w:t xml:space="preserve"> </w:t>
      </w:r>
      <w:r>
        <w:rPr>
          <w:sz w:val="26"/>
        </w:rPr>
        <w:t>body.</w:t>
      </w:r>
      <w:r>
        <w:rPr>
          <w:spacing w:val="-16"/>
          <w:sz w:val="26"/>
        </w:rPr>
        <w:t xml:space="preserve"> </w:t>
      </w:r>
      <w:r>
        <w:rPr>
          <w:sz w:val="26"/>
        </w:rPr>
        <w:t>A</w:t>
      </w:r>
      <w:r>
        <w:rPr>
          <w:spacing w:val="-17"/>
          <w:sz w:val="26"/>
        </w:rPr>
        <w:t xml:space="preserve"> </w:t>
      </w:r>
      <w:r>
        <w:rPr>
          <w:sz w:val="26"/>
        </w:rPr>
        <w:t>common</w:t>
      </w:r>
      <w:r>
        <w:rPr>
          <w:spacing w:val="-16"/>
          <w:sz w:val="26"/>
        </w:rPr>
        <w:t xml:space="preserve"> </w:t>
      </w:r>
      <w:r>
        <w:rPr>
          <w:sz w:val="26"/>
        </w:rPr>
        <w:t>faith</w:t>
      </w:r>
      <w:r>
        <w:rPr>
          <w:spacing w:val="-16"/>
          <w:sz w:val="26"/>
        </w:rPr>
        <w:t xml:space="preserve"> </w:t>
      </w:r>
      <w:r>
        <w:rPr>
          <w:sz w:val="26"/>
        </w:rPr>
        <w:t>and</w:t>
      </w:r>
      <w:r>
        <w:rPr>
          <w:spacing w:val="-17"/>
          <w:sz w:val="26"/>
        </w:rPr>
        <w:t xml:space="preserve"> </w:t>
      </w:r>
      <w:r>
        <w:rPr>
          <w:sz w:val="26"/>
        </w:rPr>
        <w:t>spiritual</w:t>
      </w:r>
      <w:r>
        <w:rPr>
          <w:spacing w:val="-14"/>
          <w:sz w:val="26"/>
        </w:rPr>
        <w:t xml:space="preserve"> </w:t>
      </w:r>
      <w:r>
        <w:rPr>
          <w:sz w:val="26"/>
        </w:rPr>
        <w:t>organisation</w:t>
      </w:r>
      <w:r>
        <w:rPr>
          <w:spacing w:val="-17"/>
          <w:sz w:val="26"/>
        </w:rPr>
        <w:t xml:space="preserve"> </w:t>
      </w:r>
      <w:r>
        <w:rPr>
          <w:sz w:val="26"/>
        </w:rPr>
        <w:t>must</w:t>
      </w:r>
      <w:r>
        <w:rPr>
          <w:spacing w:val="-16"/>
          <w:sz w:val="26"/>
        </w:rPr>
        <w:t xml:space="preserve"> </w:t>
      </w:r>
      <w:r>
        <w:rPr>
          <w:sz w:val="26"/>
        </w:rPr>
        <w:t>be</w:t>
      </w:r>
      <w:r>
        <w:rPr>
          <w:spacing w:val="-14"/>
          <w:sz w:val="26"/>
        </w:rPr>
        <w:t xml:space="preserve"> </w:t>
      </w:r>
      <w:r>
        <w:rPr>
          <w:sz w:val="26"/>
        </w:rPr>
        <w:t>the</w:t>
      </w:r>
      <w:r>
        <w:rPr>
          <w:spacing w:val="-17"/>
          <w:sz w:val="26"/>
        </w:rPr>
        <w:t xml:space="preserve"> </w:t>
      </w:r>
      <w:r>
        <w:rPr>
          <w:sz w:val="26"/>
        </w:rPr>
        <w:t>chord</w:t>
      </w:r>
      <w:r>
        <w:rPr>
          <w:spacing w:val="-14"/>
          <w:sz w:val="26"/>
        </w:rPr>
        <w:t xml:space="preserve"> </w:t>
      </w:r>
      <w:r>
        <w:rPr>
          <w:sz w:val="26"/>
        </w:rPr>
        <w:t>which unites the adherents</w:t>
      </w:r>
      <w:r>
        <w:rPr>
          <w:spacing w:val="-2"/>
          <w:sz w:val="26"/>
        </w:rPr>
        <w:t xml:space="preserve"> </w:t>
      </w:r>
      <w:r>
        <w:rPr>
          <w:sz w:val="26"/>
        </w:rPr>
        <w:t>together.</w:t>
      </w:r>
    </w:p>
    <w:p w:rsidR="003B2FC0" w:rsidRDefault="003B2FC0">
      <w:pPr>
        <w:rPr>
          <w:sz w:val="28"/>
        </w:rPr>
      </w:pPr>
    </w:p>
    <w:p w:rsidR="003B2FC0" w:rsidRDefault="003B2FC0">
      <w:pPr>
        <w:spacing w:before="1"/>
        <w:rPr>
          <w:sz w:val="31"/>
        </w:rPr>
      </w:pPr>
    </w:p>
    <w:p w:rsidR="003B2FC0" w:rsidRDefault="00052A49">
      <w:pPr>
        <w:pStyle w:val="ListParagraph"/>
        <w:numPr>
          <w:ilvl w:val="0"/>
          <w:numId w:val="39"/>
        </w:numPr>
        <w:tabs>
          <w:tab w:val="left" w:pos="1121"/>
        </w:tabs>
        <w:spacing w:line="480" w:lineRule="auto"/>
        <w:ind w:right="460" w:firstLine="0"/>
        <w:jc w:val="both"/>
        <w:rPr>
          <w:sz w:val="26"/>
        </w:rPr>
      </w:pPr>
      <w:r>
        <w:rPr>
          <w:sz w:val="26"/>
        </w:rPr>
        <w:t xml:space="preserve">Justice Rajagopala Ayyangar in his concurring judgement in </w:t>
      </w:r>
      <w:r>
        <w:rPr>
          <w:b/>
          <w:sz w:val="26"/>
        </w:rPr>
        <w:t>Saifuddin</w:t>
      </w:r>
      <w:r>
        <w:rPr>
          <w:sz w:val="26"/>
        </w:rPr>
        <w:t>, emphasised the necessity of an identity of doctrines, creeds and tenets in a ‘religious</w:t>
      </w:r>
      <w:r>
        <w:rPr>
          <w:spacing w:val="-2"/>
          <w:sz w:val="26"/>
        </w:rPr>
        <w:t xml:space="preserve"> </w:t>
      </w:r>
      <w:r>
        <w:rPr>
          <w:sz w:val="26"/>
        </w:rPr>
        <w:t>denomination’:</w:t>
      </w:r>
    </w:p>
    <w:p w:rsidR="003B2FC0" w:rsidRDefault="00052A49">
      <w:pPr>
        <w:spacing w:before="40" w:line="276" w:lineRule="auto"/>
        <w:ind w:left="1840" w:right="2259"/>
        <w:jc w:val="both"/>
        <w:rPr>
          <w:sz w:val="21"/>
        </w:rPr>
      </w:pPr>
      <w:r>
        <w:rPr>
          <w:sz w:val="21"/>
        </w:rPr>
        <w:t>“52…The identity of a religious denomination consists in the identity of its doctrines, creeds and tenets and these are intended to ensure the unity of</w:t>
      </w:r>
      <w:r>
        <w:rPr>
          <w:sz w:val="21"/>
        </w:rPr>
        <w:t xml:space="preserve"> the faith which its adherents profess and the identity of the religious views are the bonds of the union which binds them together as one community.”</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ind w:left="400"/>
        <w:rPr>
          <w:b/>
          <w:sz w:val="26"/>
        </w:rPr>
      </w:pPr>
      <w:r>
        <w:rPr>
          <w:sz w:val="26"/>
        </w:rPr>
        <w:t xml:space="preserve">The judgement cited the ruling of Lord Halsbury in </w:t>
      </w:r>
      <w:r>
        <w:rPr>
          <w:b/>
          <w:sz w:val="26"/>
        </w:rPr>
        <w:t>Free Church of Scotland</w:t>
      </w:r>
    </w:p>
    <w:p w:rsidR="003B2FC0" w:rsidRDefault="003B2FC0">
      <w:pPr>
        <w:spacing w:before="6"/>
        <w:rPr>
          <w:b/>
          <w:sz w:val="25"/>
        </w:rPr>
      </w:pPr>
    </w:p>
    <w:p w:rsidR="003B2FC0" w:rsidRDefault="00052A49">
      <w:pPr>
        <w:ind w:left="400"/>
        <w:rPr>
          <w:sz w:val="26"/>
        </w:rPr>
      </w:pPr>
      <w:r>
        <w:rPr>
          <w:sz w:val="26"/>
        </w:rPr>
        <w:t xml:space="preserve">v </w:t>
      </w:r>
      <w:r>
        <w:rPr>
          <w:b/>
          <w:sz w:val="26"/>
        </w:rPr>
        <w:t>Overtoun</w:t>
      </w:r>
      <w:r>
        <w:rPr>
          <w:i/>
          <w:position w:val="9"/>
          <w:sz w:val="17"/>
        </w:rPr>
        <w:t xml:space="preserve">70 </w:t>
      </w:r>
      <w:r>
        <w:rPr>
          <w:sz w:val="26"/>
        </w:rPr>
        <w:t>:</w:t>
      </w:r>
    </w:p>
    <w:p w:rsidR="003B2FC0" w:rsidRDefault="003B2FC0">
      <w:pPr>
        <w:spacing w:before="4"/>
        <w:rPr>
          <w:sz w:val="29"/>
        </w:rPr>
      </w:pPr>
    </w:p>
    <w:p w:rsidR="003B2FC0" w:rsidRDefault="00052A49">
      <w:pPr>
        <w:spacing w:before="1" w:line="276" w:lineRule="auto"/>
        <w:ind w:left="1840" w:right="2257"/>
        <w:jc w:val="both"/>
        <w:rPr>
          <w:sz w:val="21"/>
        </w:rPr>
      </w:pPr>
      <w:r>
        <w:rPr>
          <w:sz w:val="21"/>
        </w:rPr>
        <w:t>“In the absence of conformity to essentials, the denomination would not be an entity cemented into solidity by harmonious uniformity of opinion, it would be a mere incongruous heap of, as</w:t>
      </w:r>
      <w:r>
        <w:rPr>
          <w:spacing w:val="-12"/>
          <w:sz w:val="21"/>
        </w:rPr>
        <w:t xml:space="preserve"> </w:t>
      </w:r>
      <w:r>
        <w:rPr>
          <w:sz w:val="21"/>
        </w:rPr>
        <w:t>it</w:t>
      </w:r>
      <w:r>
        <w:rPr>
          <w:spacing w:val="-13"/>
          <w:sz w:val="21"/>
        </w:rPr>
        <w:t xml:space="preserve"> </w:t>
      </w:r>
      <w:r>
        <w:rPr>
          <w:sz w:val="21"/>
        </w:rPr>
        <w:t>were,</w:t>
      </w:r>
      <w:r>
        <w:rPr>
          <w:spacing w:val="-14"/>
          <w:sz w:val="21"/>
        </w:rPr>
        <w:t xml:space="preserve"> </w:t>
      </w:r>
      <w:r>
        <w:rPr>
          <w:sz w:val="21"/>
        </w:rPr>
        <w:t>grains</w:t>
      </w:r>
      <w:r>
        <w:rPr>
          <w:spacing w:val="-12"/>
          <w:sz w:val="21"/>
        </w:rPr>
        <w:t xml:space="preserve"> </w:t>
      </w:r>
      <w:r>
        <w:rPr>
          <w:sz w:val="21"/>
        </w:rPr>
        <w:t>of</w:t>
      </w:r>
      <w:r>
        <w:rPr>
          <w:spacing w:val="-10"/>
          <w:sz w:val="21"/>
        </w:rPr>
        <w:t xml:space="preserve"> </w:t>
      </w:r>
      <w:r>
        <w:rPr>
          <w:sz w:val="21"/>
        </w:rPr>
        <w:t>sand,</w:t>
      </w:r>
      <w:r>
        <w:rPr>
          <w:spacing w:val="-13"/>
          <w:sz w:val="21"/>
        </w:rPr>
        <w:t xml:space="preserve"> </w:t>
      </w:r>
      <w:r>
        <w:rPr>
          <w:sz w:val="21"/>
        </w:rPr>
        <w:t>thrown</w:t>
      </w:r>
      <w:r>
        <w:rPr>
          <w:spacing w:val="-12"/>
          <w:sz w:val="21"/>
        </w:rPr>
        <w:t xml:space="preserve"> </w:t>
      </w:r>
      <w:r>
        <w:rPr>
          <w:sz w:val="21"/>
        </w:rPr>
        <w:t>together</w:t>
      </w:r>
      <w:r>
        <w:rPr>
          <w:spacing w:val="-13"/>
          <w:sz w:val="21"/>
        </w:rPr>
        <w:t xml:space="preserve"> </w:t>
      </w:r>
      <w:r>
        <w:rPr>
          <w:sz w:val="21"/>
        </w:rPr>
        <w:t>without</w:t>
      </w:r>
      <w:r>
        <w:rPr>
          <w:spacing w:val="-13"/>
          <w:sz w:val="21"/>
        </w:rPr>
        <w:t xml:space="preserve"> </w:t>
      </w:r>
      <w:r>
        <w:rPr>
          <w:sz w:val="21"/>
        </w:rPr>
        <w:t>being</w:t>
      </w:r>
      <w:r>
        <w:rPr>
          <w:spacing w:val="-12"/>
          <w:sz w:val="21"/>
        </w:rPr>
        <w:t xml:space="preserve"> </w:t>
      </w:r>
      <w:r>
        <w:rPr>
          <w:sz w:val="21"/>
        </w:rPr>
        <w:t>united,</w:t>
      </w:r>
      <w:r>
        <w:rPr>
          <w:sz w:val="21"/>
        </w:rPr>
        <w:t xml:space="preserve"> each of these intellectual and isolated grains differing from every</w:t>
      </w:r>
      <w:r>
        <w:rPr>
          <w:spacing w:val="-11"/>
          <w:sz w:val="21"/>
        </w:rPr>
        <w:t xml:space="preserve"> </w:t>
      </w:r>
      <w:r>
        <w:rPr>
          <w:sz w:val="21"/>
        </w:rPr>
        <w:t>other,</w:t>
      </w:r>
      <w:r>
        <w:rPr>
          <w:spacing w:val="-11"/>
          <w:sz w:val="21"/>
        </w:rPr>
        <w:t xml:space="preserve"> </w:t>
      </w:r>
      <w:r>
        <w:rPr>
          <w:sz w:val="21"/>
        </w:rPr>
        <w:t>and</w:t>
      </w:r>
      <w:r>
        <w:rPr>
          <w:spacing w:val="-9"/>
          <w:sz w:val="21"/>
        </w:rPr>
        <w:t xml:space="preserve"> </w:t>
      </w:r>
      <w:r>
        <w:rPr>
          <w:sz w:val="21"/>
        </w:rPr>
        <w:t>the</w:t>
      </w:r>
      <w:r>
        <w:rPr>
          <w:spacing w:val="-9"/>
          <w:sz w:val="21"/>
        </w:rPr>
        <w:t xml:space="preserve"> </w:t>
      </w:r>
      <w:r>
        <w:rPr>
          <w:sz w:val="21"/>
        </w:rPr>
        <w:t>whole</w:t>
      </w:r>
      <w:r>
        <w:rPr>
          <w:spacing w:val="-11"/>
          <w:sz w:val="21"/>
        </w:rPr>
        <w:t xml:space="preserve"> </w:t>
      </w:r>
      <w:r>
        <w:rPr>
          <w:sz w:val="21"/>
        </w:rPr>
        <w:t>forming</w:t>
      </w:r>
      <w:r>
        <w:rPr>
          <w:spacing w:val="-10"/>
          <w:sz w:val="21"/>
        </w:rPr>
        <w:t xml:space="preserve"> </w:t>
      </w:r>
      <w:r>
        <w:rPr>
          <w:sz w:val="21"/>
        </w:rPr>
        <w:t>a</w:t>
      </w:r>
      <w:r>
        <w:rPr>
          <w:spacing w:val="-10"/>
          <w:sz w:val="21"/>
        </w:rPr>
        <w:t xml:space="preserve"> </w:t>
      </w:r>
      <w:r>
        <w:rPr>
          <w:sz w:val="21"/>
        </w:rPr>
        <w:t>but</w:t>
      </w:r>
      <w:r>
        <w:rPr>
          <w:spacing w:val="-11"/>
          <w:sz w:val="21"/>
        </w:rPr>
        <w:t xml:space="preserve"> </w:t>
      </w:r>
      <w:r>
        <w:rPr>
          <w:sz w:val="21"/>
        </w:rPr>
        <w:t>nominally</w:t>
      </w:r>
      <w:r>
        <w:rPr>
          <w:spacing w:val="-13"/>
          <w:sz w:val="21"/>
        </w:rPr>
        <w:t xml:space="preserve"> </w:t>
      </w:r>
      <w:r>
        <w:rPr>
          <w:sz w:val="21"/>
        </w:rPr>
        <w:t>united</w:t>
      </w:r>
      <w:r>
        <w:rPr>
          <w:spacing w:val="-9"/>
          <w:sz w:val="21"/>
        </w:rPr>
        <w:t xml:space="preserve"> </w:t>
      </w:r>
      <w:r>
        <w:rPr>
          <w:sz w:val="21"/>
        </w:rPr>
        <w:t>while really unconnected mass; fraught with nothing but internal dissimilitude, and mutual and reciprocal contradiction and dissension.”</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68" w:line="480" w:lineRule="auto"/>
        <w:ind w:right="435" w:firstLine="0"/>
        <w:jc w:val="both"/>
        <w:rPr>
          <w:sz w:val="26"/>
        </w:rPr>
      </w:pPr>
      <w:r>
        <w:rPr>
          <w:sz w:val="26"/>
        </w:rPr>
        <w:t>Adherence to a ‘common faith’ would entail that a common set of beliefs have</w:t>
      </w:r>
      <w:r>
        <w:rPr>
          <w:spacing w:val="-8"/>
          <w:sz w:val="26"/>
        </w:rPr>
        <w:t xml:space="preserve"> </w:t>
      </w:r>
      <w:r>
        <w:rPr>
          <w:sz w:val="26"/>
        </w:rPr>
        <w:t>been</w:t>
      </w:r>
      <w:r>
        <w:rPr>
          <w:spacing w:val="-7"/>
          <w:sz w:val="26"/>
        </w:rPr>
        <w:t xml:space="preserve"> </w:t>
      </w:r>
      <w:r>
        <w:rPr>
          <w:sz w:val="26"/>
        </w:rPr>
        <w:t>followed</w:t>
      </w:r>
      <w:r>
        <w:rPr>
          <w:spacing w:val="-4"/>
          <w:sz w:val="26"/>
        </w:rPr>
        <w:t xml:space="preserve"> </w:t>
      </w:r>
      <w:r>
        <w:rPr>
          <w:sz w:val="26"/>
        </w:rPr>
        <w:t>since</w:t>
      </w:r>
      <w:r>
        <w:rPr>
          <w:spacing w:val="-7"/>
          <w:sz w:val="26"/>
        </w:rPr>
        <w:t xml:space="preserve"> </w:t>
      </w:r>
      <w:r>
        <w:rPr>
          <w:sz w:val="26"/>
        </w:rPr>
        <w:t>the</w:t>
      </w:r>
      <w:r>
        <w:rPr>
          <w:spacing w:val="-6"/>
          <w:sz w:val="26"/>
        </w:rPr>
        <w:t xml:space="preserve"> </w:t>
      </w:r>
      <w:r>
        <w:rPr>
          <w:sz w:val="26"/>
        </w:rPr>
        <w:t>conception</w:t>
      </w:r>
      <w:r>
        <w:rPr>
          <w:spacing w:val="-5"/>
          <w:sz w:val="26"/>
        </w:rPr>
        <w:t xml:space="preserve"> </w:t>
      </w:r>
      <w:r>
        <w:rPr>
          <w:sz w:val="26"/>
        </w:rPr>
        <w:t>of</w:t>
      </w:r>
      <w:r>
        <w:rPr>
          <w:spacing w:val="-7"/>
          <w:sz w:val="26"/>
        </w:rPr>
        <w:t xml:space="preserve"> </w:t>
      </w:r>
      <w:r>
        <w:rPr>
          <w:sz w:val="26"/>
        </w:rPr>
        <w:t>th</w:t>
      </w:r>
      <w:r>
        <w:rPr>
          <w:sz w:val="26"/>
        </w:rPr>
        <w:t>e</w:t>
      </w:r>
      <w:r>
        <w:rPr>
          <w:spacing w:val="-7"/>
          <w:sz w:val="26"/>
        </w:rPr>
        <w:t xml:space="preserve"> </w:t>
      </w:r>
      <w:r>
        <w:rPr>
          <w:sz w:val="26"/>
        </w:rPr>
        <w:t>particular</w:t>
      </w:r>
      <w:r>
        <w:rPr>
          <w:spacing w:val="-8"/>
          <w:sz w:val="26"/>
        </w:rPr>
        <w:t xml:space="preserve"> </w:t>
      </w:r>
      <w:r>
        <w:rPr>
          <w:sz w:val="26"/>
        </w:rPr>
        <w:t>sect</w:t>
      </w:r>
      <w:r>
        <w:rPr>
          <w:spacing w:val="-7"/>
          <w:sz w:val="26"/>
        </w:rPr>
        <w:t xml:space="preserve"> </w:t>
      </w:r>
      <w:r>
        <w:rPr>
          <w:sz w:val="26"/>
        </w:rPr>
        <w:t>or</w:t>
      </w:r>
      <w:r>
        <w:rPr>
          <w:spacing w:val="-6"/>
          <w:sz w:val="26"/>
        </w:rPr>
        <w:t xml:space="preserve"> </w:t>
      </w:r>
      <w:r>
        <w:rPr>
          <w:sz w:val="26"/>
        </w:rPr>
        <w:t>denomination. A distinctive feature of the pilgrimage is that pilgrims of all religions participate in the pilgrimage on an equal footing. Muslims and Christians undertake the pilgrimage.</w:t>
      </w:r>
      <w:r>
        <w:rPr>
          <w:spacing w:val="-16"/>
          <w:sz w:val="26"/>
        </w:rPr>
        <w:t xml:space="preserve"> </w:t>
      </w:r>
      <w:r>
        <w:rPr>
          <w:sz w:val="26"/>
        </w:rPr>
        <w:t>A</w:t>
      </w:r>
      <w:r>
        <w:rPr>
          <w:spacing w:val="-16"/>
          <w:sz w:val="26"/>
        </w:rPr>
        <w:t xml:space="preserve"> </w:t>
      </w:r>
      <w:r>
        <w:rPr>
          <w:sz w:val="26"/>
        </w:rPr>
        <w:t>member</w:t>
      </w:r>
      <w:r>
        <w:rPr>
          <w:spacing w:val="-16"/>
          <w:sz w:val="26"/>
        </w:rPr>
        <w:t xml:space="preserve"> </w:t>
      </w:r>
      <w:r>
        <w:rPr>
          <w:sz w:val="26"/>
        </w:rPr>
        <w:t>of</w:t>
      </w:r>
      <w:r>
        <w:rPr>
          <w:spacing w:val="-16"/>
          <w:sz w:val="26"/>
        </w:rPr>
        <w:t xml:space="preserve"> </w:t>
      </w:r>
      <w:r>
        <w:rPr>
          <w:sz w:val="26"/>
        </w:rPr>
        <w:t>any</w:t>
      </w:r>
      <w:r>
        <w:rPr>
          <w:spacing w:val="-19"/>
          <w:sz w:val="26"/>
        </w:rPr>
        <w:t xml:space="preserve"> </w:t>
      </w:r>
      <w:r>
        <w:rPr>
          <w:sz w:val="26"/>
        </w:rPr>
        <w:t>religion</w:t>
      </w:r>
      <w:r>
        <w:rPr>
          <w:spacing w:val="-16"/>
          <w:sz w:val="26"/>
        </w:rPr>
        <w:t xml:space="preserve"> </w:t>
      </w:r>
      <w:r>
        <w:rPr>
          <w:sz w:val="26"/>
        </w:rPr>
        <w:t>can</w:t>
      </w:r>
      <w:r>
        <w:rPr>
          <w:spacing w:val="-16"/>
          <w:sz w:val="26"/>
        </w:rPr>
        <w:t xml:space="preserve"> </w:t>
      </w:r>
      <w:r>
        <w:rPr>
          <w:sz w:val="26"/>
        </w:rPr>
        <w:t>be</w:t>
      </w:r>
      <w:r>
        <w:rPr>
          <w:spacing w:val="-16"/>
          <w:sz w:val="26"/>
        </w:rPr>
        <w:t xml:space="preserve"> </w:t>
      </w:r>
      <w:r>
        <w:rPr>
          <w:sz w:val="26"/>
        </w:rPr>
        <w:t>a</w:t>
      </w:r>
      <w:r>
        <w:rPr>
          <w:spacing w:val="-16"/>
          <w:sz w:val="26"/>
        </w:rPr>
        <w:t xml:space="preserve"> </w:t>
      </w:r>
      <w:r>
        <w:rPr>
          <w:sz w:val="26"/>
        </w:rPr>
        <w:t>part</w:t>
      </w:r>
      <w:r>
        <w:rPr>
          <w:spacing w:val="-16"/>
          <w:sz w:val="26"/>
        </w:rPr>
        <w:t xml:space="preserve"> </w:t>
      </w:r>
      <w:r>
        <w:rPr>
          <w:sz w:val="26"/>
        </w:rPr>
        <w:t>of</w:t>
      </w:r>
      <w:r>
        <w:rPr>
          <w:spacing w:val="-15"/>
          <w:sz w:val="26"/>
        </w:rPr>
        <w:t xml:space="preserve"> </w:t>
      </w:r>
      <w:r>
        <w:rPr>
          <w:sz w:val="26"/>
        </w:rPr>
        <w:t>the</w:t>
      </w:r>
      <w:r>
        <w:rPr>
          <w:spacing w:val="-16"/>
          <w:sz w:val="26"/>
        </w:rPr>
        <w:t xml:space="preserve"> </w:t>
      </w:r>
      <w:r>
        <w:rPr>
          <w:sz w:val="26"/>
        </w:rPr>
        <w:t>c</w:t>
      </w:r>
      <w:r>
        <w:rPr>
          <w:sz w:val="26"/>
        </w:rPr>
        <w:t>ollective</w:t>
      </w:r>
      <w:r>
        <w:rPr>
          <w:spacing w:val="-16"/>
          <w:sz w:val="26"/>
        </w:rPr>
        <w:t xml:space="preserve"> </w:t>
      </w:r>
      <w:r>
        <w:rPr>
          <w:sz w:val="26"/>
        </w:rPr>
        <w:t>of</w:t>
      </w:r>
      <w:r>
        <w:rPr>
          <w:spacing w:val="-16"/>
          <w:sz w:val="26"/>
        </w:rPr>
        <w:t xml:space="preserve"> </w:t>
      </w:r>
      <w:r>
        <w:rPr>
          <w:sz w:val="26"/>
        </w:rPr>
        <w:t>individuals who worship Lord Ayyappa. Religion is not the basis of the collective of individuals who worship the deity. Bereft of a religious identity, the collective cannot</w:t>
      </w:r>
      <w:r>
        <w:rPr>
          <w:spacing w:val="-12"/>
          <w:sz w:val="26"/>
        </w:rPr>
        <w:t xml:space="preserve"> </w:t>
      </w:r>
      <w:r>
        <w:rPr>
          <w:sz w:val="26"/>
        </w:rPr>
        <w:t>claim</w:t>
      </w:r>
      <w:r>
        <w:rPr>
          <w:spacing w:val="-11"/>
          <w:sz w:val="26"/>
        </w:rPr>
        <w:t xml:space="preserve"> </w:t>
      </w:r>
      <w:r>
        <w:rPr>
          <w:sz w:val="26"/>
        </w:rPr>
        <w:t>to</w:t>
      </w:r>
      <w:r>
        <w:rPr>
          <w:spacing w:val="-13"/>
          <w:sz w:val="26"/>
        </w:rPr>
        <w:t xml:space="preserve"> </w:t>
      </w:r>
      <w:r>
        <w:rPr>
          <w:sz w:val="26"/>
        </w:rPr>
        <w:t>be</w:t>
      </w:r>
      <w:r>
        <w:rPr>
          <w:spacing w:val="-11"/>
          <w:sz w:val="26"/>
        </w:rPr>
        <w:t xml:space="preserve"> </w:t>
      </w:r>
      <w:r>
        <w:rPr>
          <w:sz w:val="26"/>
        </w:rPr>
        <w:t>regarded</w:t>
      </w:r>
      <w:r>
        <w:rPr>
          <w:spacing w:val="-12"/>
          <w:sz w:val="26"/>
        </w:rPr>
        <w:t xml:space="preserve"> </w:t>
      </w:r>
      <w:r>
        <w:rPr>
          <w:sz w:val="26"/>
        </w:rPr>
        <w:t>as</w:t>
      </w:r>
      <w:r>
        <w:rPr>
          <w:spacing w:val="-14"/>
          <w:sz w:val="26"/>
        </w:rPr>
        <w:t xml:space="preserve"> </w:t>
      </w:r>
      <w:r>
        <w:rPr>
          <w:sz w:val="26"/>
        </w:rPr>
        <w:t>a</w:t>
      </w:r>
      <w:r>
        <w:rPr>
          <w:spacing w:val="-11"/>
          <w:sz w:val="26"/>
        </w:rPr>
        <w:t xml:space="preserve"> </w:t>
      </w:r>
      <w:r>
        <w:rPr>
          <w:sz w:val="26"/>
        </w:rPr>
        <w:t>‘religious</w:t>
      </w:r>
      <w:r>
        <w:rPr>
          <w:spacing w:val="-11"/>
          <w:sz w:val="26"/>
        </w:rPr>
        <w:t xml:space="preserve"> </w:t>
      </w:r>
      <w:r>
        <w:rPr>
          <w:sz w:val="26"/>
        </w:rPr>
        <w:t>denomination’.</w:t>
      </w:r>
      <w:r>
        <w:rPr>
          <w:spacing w:val="33"/>
          <w:sz w:val="26"/>
        </w:rPr>
        <w:t xml:space="preserve"> </w:t>
      </w:r>
      <w:r>
        <w:rPr>
          <w:sz w:val="26"/>
        </w:rPr>
        <w:t>To</w:t>
      </w:r>
      <w:r>
        <w:rPr>
          <w:spacing w:val="-14"/>
          <w:sz w:val="26"/>
        </w:rPr>
        <w:t xml:space="preserve"> </w:t>
      </w:r>
      <w:r>
        <w:rPr>
          <w:sz w:val="26"/>
        </w:rPr>
        <w:t>be</w:t>
      </w:r>
      <w:r>
        <w:rPr>
          <w:spacing w:val="-12"/>
          <w:sz w:val="26"/>
        </w:rPr>
        <w:t xml:space="preserve"> </w:t>
      </w:r>
      <w:r>
        <w:rPr>
          <w:sz w:val="26"/>
        </w:rPr>
        <w:t>within</w:t>
      </w:r>
      <w:r>
        <w:rPr>
          <w:spacing w:val="-11"/>
          <w:sz w:val="26"/>
        </w:rPr>
        <w:t xml:space="preserve"> </w:t>
      </w:r>
      <w:r>
        <w:rPr>
          <w:sz w:val="26"/>
        </w:rPr>
        <w:t>the</w:t>
      </w:r>
      <w:r>
        <w:rPr>
          <w:spacing w:val="-13"/>
          <w:sz w:val="26"/>
        </w:rPr>
        <w:t xml:space="preserve"> </w:t>
      </w:r>
      <w:r>
        <w:rPr>
          <w:sz w:val="26"/>
        </w:rPr>
        <w:t>fold of Article 26, a denomination must be a religious sect or body. Worship of the presiding</w:t>
      </w:r>
      <w:r>
        <w:rPr>
          <w:spacing w:val="-11"/>
          <w:sz w:val="26"/>
        </w:rPr>
        <w:t xml:space="preserve"> </w:t>
      </w:r>
      <w:r>
        <w:rPr>
          <w:sz w:val="26"/>
        </w:rPr>
        <w:t>deity</w:t>
      </w:r>
      <w:r>
        <w:rPr>
          <w:spacing w:val="-13"/>
          <w:sz w:val="26"/>
        </w:rPr>
        <w:t xml:space="preserve"> </w:t>
      </w:r>
      <w:r>
        <w:rPr>
          <w:sz w:val="26"/>
        </w:rPr>
        <w:t>is</w:t>
      </w:r>
      <w:r>
        <w:rPr>
          <w:spacing w:val="-11"/>
          <w:sz w:val="26"/>
        </w:rPr>
        <w:t xml:space="preserve"> </w:t>
      </w:r>
      <w:r>
        <w:rPr>
          <w:sz w:val="26"/>
        </w:rPr>
        <w:t>not</w:t>
      </w:r>
      <w:r>
        <w:rPr>
          <w:spacing w:val="-9"/>
          <w:sz w:val="26"/>
        </w:rPr>
        <w:t xml:space="preserve"> </w:t>
      </w:r>
      <w:r>
        <w:rPr>
          <w:sz w:val="26"/>
        </w:rPr>
        <w:t>confined</w:t>
      </w:r>
      <w:r>
        <w:rPr>
          <w:spacing w:val="-11"/>
          <w:sz w:val="26"/>
        </w:rPr>
        <w:t xml:space="preserve"> </w:t>
      </w:r>
      <w:r>
        <w:rPr>
          <w:sz w:val="26"/>
        </w:rPr>
        <w:t>to</w:t>
      </w:r>
      <w:r>
        <w:rPr>
          <w:spacing w:val="-11"/>
          <w:sz w:val="26"/>
        </w:rPr>
        <w:t xml:space="preserve"> </w:t>
      </w:r>
      <w:r>
        <w:rPr>
          <w:sz w:val="26"/>
        </w:rPr>
        <w:t>adherents</w:t>
      </w:r>
      <w:r>
        <w:rPr>
          <w:spacing w:val="-11"/>
          <w:sz w:val="26"/>
        </w:rPr>
        <w:t xml:space="preserve"> </w:t>
      </w:r>
      <w:r>
        <w:rPr>
          <w:sz w:val="26"/>
        </w:rPr>
        <w:t>of</w:t>
      </w:r>
      <w:r>
        <w:rPr>
          <w:spacing w:val="-11"/>
          <w:sz w:val="26"/>
        </w:rPr>
        <w:t xml:space="preserve"> </w:t>
      </w:r>
      <w:r>
        <w:rPr>
          <w:sz w:val="26"/>
        </w:rPr>
        <w:t>a</w:t>
      </w:r>
      <w:r>
        <w:rPr>
          <w:spacing w:val="-11"/>
          <w:sz w:val="26"/>
        </w:rPr>
        <w:t xml:space="preserve"> </w:t>
      </w:r>
      <w:r>
        <w:rPr>
          <w:sz w:val="26"/>
        </w:rPr>
        <w:t>particular</w:t>
      </w:r>
      <w:r>
        <w:rPr>
          <w:spacing w:val="-11"/>
          <w:sz w:val="26"/>
        </w:rPr>
        <w:t xml:space="preserve"> </w:t>
      </w:r>
      <w:r>
        <w:rPr>
          <w:sz w:val="26"/>
        </w:rPr>
        <w:t>religion.</w:t>
      </w:r>
      <w:r>
        <w:rPr>
          <w:spacing w:val="-11"/>
          <w:sz w:val="26"/>
        </w:rPr>
        <w:t xml:space="preserve"> </w:t>
      </w:r>
      <w:r>
        <w:rPr>
          <w:sz w:val="26"/>
        </w:rPr>
        <w:t>Coupled</w:t>
      </w:r>
      <w:r>
        <w:rPr>
          <w:spacing w:val="-9"/>
          <w:sz w:val="26"/>
        </w:rPr>
        <w:t xml:space="preserve"> </w:t>
      </w:r>
      <w:r>
        <w:rPr>
          <w:sz w:val="26"/>
        </w:rPr>
        <w:t xml:space="preserve">with this is the absence of a common spiritual organisation, which is a necessary element to </w:t>
      </w:r>
      <w:r>
        <w:rPr>
          <w:sz w:val="26"/>
        </w:rPr>
        <w:t>constitute a religious denomination. The temple at which worship is carried out is dedicated to the public and represents truly, the plural character of society. Everyone, irrespective of religious belief, can worship the deity.</w:t>
      </w:r>
      <w:r>
        <w:rPr>
          <w:spacing w:val="-30"/>
          <w:sz w:val="26"/>
        </w:rPr>
        <w:t xml:space="preserve"> </w:t>
      </w:r>
      <w:r>
        <w:rPr>
          <w:sz w:val="26"/>
        </w:rPr>
        <w:t>The</w:t>
      </w:r>
    </w:p>
    <w:p w:rsidR="003B2FC0" w:rsidRDefault="003B2FC0">
      <w:pPr>
        <w:rPr>
          <w:sz w:val="20"/>
        </w:rPr>
      </w:pPr>
    </w:p>
    <w:p w:rsidR="003B2FC0" w:rsidRDefault="003B2FC0">
      <w:pPr>
        <w:rPr>
          <w:sz w:val="20"/>
        </w:rPr>
      </w:pPr>
    </w:p>
    <w:p w:rsidR="003B2FC0" w:rsidRDefault="003B2FC0">
      <w:pPr>
        <w:spacing w:before="2"/>
        <w:rPr>
          <w:sz w:val="27"/>
        </w:rPr>
      </w:pPr>
      <w:r w:rsidRPr="003B2FC0">
        <w:pict>
          <v:line id="_x0000_s1106" style="position:absolute;z-index:251609600;mso-wrap-distance-left:0;mso-wrap-distance-right:0;mso-position-horizontal-relative:page" from="1in,18pt" to="216.05pt,18pt" strokeweight=".72pt">
            <w10:wrap type="topAndBottom" anchorx="page"/>
          </v:line>
        </w:pict>
      </w:r>
    </w:p>
    <w:p w:rsidR="003B2FC0" w:rsidRDefault="00052A49">
      <w:pPr>
        <w:spacing w:before="66"/>
        <w:ind w:left="400"/>
        <w:rPr>
          <w:sz w:val="18"/>
        </w:rPr>
      </w:pPr>
      <w:r>
        <w:rPr>
          <w:position w:val="6"/>
          <w:sz w:val="12"/>
        </w:rPr>
        <w:t xml:space="preserve">70 </w:t>
      </w:r>
      <w:r>
        <w:rPr>
          <w:sz w:val="18"/>
        </w:rPr>
        <w:t>(1904) AC 515, at page 616</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5"/>
        <w:rPr>
          <w:sz w:val="25"/>
        </w:rPr>
      </w:pPr>
    </w:p>
    <w:p w:rsidR="003B2FC0" w:rsidRDefault="00052A49">
      <w:pPr>
        <w:spacing w:before="91" w:line="480" w:lineRule="auto"/>
        <w:ind w:left="400" w:right="435"/>
        <w:jc w:val="both"/>
        <w:rPr>
          <w:sz w:val="26"/>
        </w:rPr>
      </w:pPr>
      <w:r>
        <w:rPr>
          <w:sz w:val="26"/>
        </w:rPr>
        <w:t>practices associated with the forms of worship do not constitute the devotees into a religious denomination.</w:t>
      </w:r>
    </w:p>
    <w:p w:rsidR="003B2FC0" w:rsidRDefault="003B2FC0">
      <w:pPr>
        <w:spacing w:before="10"/>
        <w:rPr>
          <w:sz w:val="32"/>
        </w:rPr>
      </w:pPr>
    </w:p>
    <w:p w:rsidR="003B2FC0" w:rsidRDefault="00052A49">
      <w:pPr>
        <w:spacing w:line="480" w:lineRule="auto"/>
        <w:ind w:left="400" w:right="460"/>
        <w:jc w:val="both"/>
        <w:rPr>
          <w:sz w:val="26"/>
        </w:rPr>
      </w:pPr>
      <w:r>
        <w:rPr>
          <w:sz w:val="26"/>
        </w:rPr>
        <w:t>Considering the inability of the collective of individuals to satisfy the judicially- enunciated requirements, we cannot recognise the set of individuals who refer to themselves as “Ayyappans” or devotees of Lord Ayyappa as a ‘religious denomination’.</w:t>
      </w:r>
    </w:p>
    <w:p w:rsidR="003B2FC0" w:rsidRDefault="003B2FC0">
      <w:pPr>
        <w:rPr>
          <w:sz w:val="28"/>
        </w:rPr>
      </w:pPr>
    </w:p>
    <w:p w:rsidR="003B2FC0" w:rsidRDefault="003B2FC0">
      <w:pPr>
        <w:spacing w:before="3"/>
        <w:rPr>
          <w:sz w:val="27"/>
        </w:rPr>
      </w:pPr>
    </w:p>
    <w:p w:rsidR="003B2FC0" w:rsidRDefault="00052A49">
      <w:pPr>
        <w:pStyle w:val="Heading1"/>
        <w:numPr>
          <w:ilvl w:val="0"/>
          <w:numId w:val="20"/>
        </w:numPr>
        <w:tabs>
          <w:tab w:val="left" w:pos="1120"/>
          <w:tab w:val="left" w:pos="1121"/>
        </w:tabs>
        <w:spacing w:before="1"/>
      </w:pPr>
      <w:r>
        <w:t>Ar</w:t>
      </w:r>
      <w:r>
        <w:t>ticle 17, “Untouchability” and the notions of</w:t>
      </w:r>
      <w:r>
        <w:rPr>
          <w:spacing w:val="-11"/>
        </w:rPr>
        <w:t xml:space="preserve"> </w:t>
      </w:r>
      <w:r>
        <w:t>purity</w:t>
      </w:r>
    </w:p>
    <w:p w:rsidR="003B2FC0" w:rsidRDefault="003B2FC0">
      <w:pPr>
        <w:rPr>
          <w:b/>
          <w:sz w:val="30"/>
        </w:rPr>
      </w:pPr>
    </w:p>
    <w:p w:rsidR="003B2FC0" w:rsidRDefault="003B2FC0">
      <w:pPr>
        <w:spacing w:before="7"/>
        <w:rPr>
          <w:b/>
          <w:sz w:val="29"/>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The petitioners and the learned Amicus Curiae Mr. Raju Ramachandran urge</w:t>
      </w:r>
      <w:r>
        <w:rPr>
          <w:spacing w:val="-7"/>
          <w:sz w:val="26"/>
        </w:rPr>
        <w:t xml:space="preserve"> </w:t>
      </w:r>
      <w:r>
        <w:rPr>
          <w:sz w:val="26"/>
        </w:rPr>
        <w:t>that</w:t>
      </w:r>
      <w:r>
        <w:rPr>
          <w:spacing w:val="-7"/>
          <w:sz w:val="26"/>
        </w:rPr>
        <w:t xml:space="preserve"> </w:t>
      </w:r>
      <w:r>
        <w:rPr>
          <w:sz w:val="26"/>
        </w:rPr>
        <w:t>the</w:t>
      </w:r>
      <w:r>
        <w:rPr>
          <w:spacing w:val="-6"/>
          <w:sz w:val="26"/>
        </w:rPr>
        <w:t xml:space="preserve"> </w:t>
      </w:r>
      <w:r>
        <w:rPr>
          <w:sz w:val="26"/>
        </w:rPr>
        <w:t>denial</w:t>
      </w:r>
      <w:r>
        <w:rPr>
          <w:spacing w:val="-4"/>
          <w:sz w:val="26"/>
        </w:rPr>
        <w:t xml:space="preserve"> </w:t>
      </w:r>
      <w:r>
        <w:rPr>
          <w:sz w:val="26"/>
        </w:rPr>
        <w:t>of</w:t>
      </w:r>
      <w:r>
        <w:rPr>
          <w:spacing w:val="-6"/>
          <w:sz w:val="26"/>
        </w:rPr>
        <w:t xml:space="preserve"> </w:t>
      </w:r>
      <w:r>
        <w:rPr>
          <w:sz w:val="26"/>
        </w:rPr>
        <w:t>entry</w:t>
      </w:r>
      <w:r>
        <w:rPr>
          <w:spacing w:val="-9"/>
          <w:sz w:val="26"/>
        </w:rPr>
        <w:t xml:space="preserve"> </w:t>
      </w:r>
      <w:r>
        <w:rPr>
          <w:sz w:val="26"/>
        </w:rPr>
        <w:t>to</w:t>
      </w:r>
      <w:r>
        <w:rPr>
          <w:spacing w:val="-4"/>
          <w:sz w:val="26"/>
        </w:rPr>
        <w:t xml:space="preserve"> </w:t>
      </w:r>
      <w:r>
        <w:rPr>
          <w:sz w:val="26"/>
        </w:rPr>
        <w:t>women</w:t>
      </w:r>
      <w:r>
        <w:rPr>
          <w:spacing w:val="-6"/>
          <w:sz w:val="26"/>
        </w:rPr>
        <w:t xml:space="preserve"> </w:t>
      </w:r>
      <w:r>
        <w:rPr>
          <w:sz w:val="26"/>
        </w:rPr>
        <w:t>in</w:t>
      </w:r>
      <w:r>
        <w:rPr>
          <w:spacing w:val="-7"/>
          <w:sz w:val="26"/>
        </w:rPr>
        <w:t xml:space="preserve"> </w:t>
      </w:r>
      <w:r>
        <w:rPr>
          <w:sz w:val="26"/>
        </w:rPr>
        <w:t>the</w:t>
      </w:r>
      <w:r>
        <w:rPr>
          <w:spacing w:val="-6"/>
          <w:sz w:val="26"/>
        </w:rPr>
        <w:t xml:space="preserve"> </w:t>
      </w:r>
      <w:r>
        <w:rPr>
          <w:sz w:val="26"/>
        </w:rPr>
        <w:t>Ayyappa</w:t>
      </w:r>
      <w:r>
        <w:rPr>
          <w:spacing w:val="-7"/>
          <w:sz w:val="26"/>
        </w:rPr>
        <w:t xml:space="preserve"> </w:t>
      </w:r>
      <w:r>
        <w:rPr>
          <w:sz w:val="26"/>
        </w:rPr>
        <w:t>temple</w:t>
      </w:r>
      <w:r>
        <w:rPr>
          <w:spacing w:val="-3"/>
          <w:sz w:val="26"/>
        </w:rPr>
        <w:t xml:space="preserve"> </w:t>
      </w:r>
      <w:r>
        <w:rPr>
          <w:sz w:val="26"/>
        </w:rPr>
        <w:t>at</w:t>
      </w:r>
      <w:r>
        <w:rPr>
          <w:spacing w:val="-7"/>
          <w:sz w:val="26"/>
        </w:rPr>
        <w:t xml:space="preserve"> </w:t>
      </w:r>
      <w:r>
        <w:rPr>
          <w:sz w:val="26"/>
        </w:rPr>
        <w:t>Sabarimala,</w:t>
      </w:r>
      <w:r>
        <w:rPr>
          <w:spacing w:val="-7"/>
          <w:sz w:val="26"/>
        </w:rPr>
        <w:t xml:space="preserve"> </w:t>
      </w:r>
      <w:r>
        <w:rPr>
          <w:sz w:val="26"/>
        </w:rPr>
        <w:t>on the</w:t>
      </w:r>
      <w:r>
        <w:rPr>
          <w:spacing w:val="-18"/>
          <w:sz w:val="26"/>
        </w:rPr>
        <w:t xml:space="preserve"> </w:t>
      </w:r>
      <w:r>
        <w:rPr>
          <w:sz w:val="26"/>
        </w:rPr>
        <w:t>basis</w:t>
      </w:r>
      <w:r>
        <w:rPr>
          <w:spacing w:val="-18"/>
          <w:sz w:val="26"/>
        </w:rPr>
        <w:t xml:space="preserve"> </w:t>
      </w:r>
      <w:r>
        <w:rPr>
          <w:sz w:val="26"/>
        </w:rPr>
        <w:t>of</w:t>
      </w:r>
      <w:r>
        <w:rPr>
          <w:spacing w:val="-16"/>
          <w:sz w:val="26"/>
        </w:rPr>
        <w:t xml:space="preserve"> </w:t>
      </w:r>
      <w:r>
        <w:rPr>
          <w:sz w:val="26"/>
        </w:rPr>
        <w:t>customs,</w:t>
      </w:r>
      <w:r>
        <w:rPr>
          <w:spacing w:val="-16"/>
          <w:sz w:val="26"/>
        </w:rPr>
        <w:t xml:space="preserve"> </w:t>
      </w:r>
      <w:r>
        <w:rPr>
          <w:sz w:val="26"/>
        </w:rPr>
        <w:t>is</w:t>
      </w:r>
      <w:r>
        <w:rPr>
          <w:spacing w:val="-18"/>
          <w:sz w:val="26"/>
        </w:rPr>
        <w:t xml:space="preserve"> </w:t>
      </w:r>
      <w:r>
        <w:rPr>
          <w:sz w:val="26"/>
        </w:rPr>
        <w:t>a</w:t>
      </w:r>
      <w:r>
        <w:rPr>
          <w:spacing w:val="-18"/>
          <w:sz w:val="26"/>
        </w:rPr>
        <w:t xml:space="preserve"> </w:t>
      </w:r>
      <w:r>
        <w:rPr>
          <w:sz w:val="26"/>
        </w:rPr>
        <w:t>manifestation</w:t>
      </w:r>
      <w:r>
        <w:rPr>
          <w:spacing w:val="-16"/>
          <w:sz w:val="26"/>
        </w:rPr>
        <w:t xml:space="preserve"> </w:t>
      </w:r>
      <w:r>
        <w:rPr>
          <w:sz w:val="26"/>
        </w:rPr>
        <w:t>of</w:t>
      </w:r>
      <w:r>
        <w:rPr>
          <w:spacing w:val="-16"/>
          <w:sz w:val="26"/>
        </w:rPr>
        <w:t xml:space="preserve"> </w:t>
      </w:r>
      <w:r>
        <w:rPr>
          <w:sz w:val="26"/>
        </w:rPr>
        <w:t>“untouchab</w:t>
      </w:r>
      <w:r>
        <w:rPr>
          <w:sz w:val="26"/>
        </w:rPr>
        <w:t>ility”</w:t>
      </w:r>
      <w:r>
        <w:rPr>
          <w:spacing w:val="-18"/>
          <w:sz w:val="26"/>
        </w:rPr>
        <w:t xml:space="preserve"> </w:t>
      </w:r>
      <w:r>
        <w:rPr>
          <w:sz w:val="26"/>
        </w:rPr>
        <w:t>and</w:t>
      </w:r>
      <w:r>
        <w:rPr>
          <w:spacing w:val="-18"/>
          <w:sz w:val="26"/>
        </w:rPr>
        <w:t xml:space="preserve"> </w:t>
      </w:r>
      <w:r>
        <w:rPr>
          <w:sz w:val="26"/>
        </w:rPr>
        <w:t>is</w:t>
      </w:r>
      <w:r>
        <w:rPr>
          <w:spacing w:val="-18"/>
          <w:sz w:val="26"/>
        </w:rPr>
        <w:t xml:space="preserve"> </w:t>
      </w:r>
      <w:r>
        <w:rPr>
          <w:sz w:val="26"/>
        </w:rPr>
        <w:t>hence</w:t>
      </w:r>
      <w:r>
        <w:rPr>
          <w:spacing w:val="-16"/>
          <w:sz w:val="26"/>
        </w:rPr>
        <w:t xml:space="preserve"> </w:t>
      </w:r>
      <w:r>
        <w:rPr>
          <w:sz w:val="26"/>
        </w:rPr>
        <w:t>violative of Article 17 of the Constitution. The contention has been countered by the argument</w:t>
      </w:r>
      <w:r>
        <w:rPr>
          <w:spacing w:val="-8"/>
          <w:sz w:val="26"/>
        </w:rPr>
        <w:t xml:space="preserve"> </w:t>
      </w:r>
      <w:r>
        <w:rPr>
          <w:sz w:val="26"/>
        </w:rPr>
        <w:t>that</w:t>
      </w:r>
      <w:r>
        <w:rPr>
          <w:spacing w:val="-8"/>
          <w:sz w:val="26"/>
        </w:rPr>
        <w:t xml:space="preserve"> </w:t>
      </w:r>
      <w:r>
        <w:rPr>
          <w:sz w:val="26"/>
        </w:rPr>
        <w:t>Article</w:t>
      </w:r>
      <w:r>
        <w:rPr>
          <w:spacing w:val="-6"/>
          <w:sz w:val="26"/>
        </w:rPr>
        <w:t xml:space="preserve"> </w:t>
      </w:r>
      <w:r>
        <w:rPr>
          <w:sz w:val="26"/>
        </w:rPr>
        <w:t>17</w:t>
      </w:r>
      <w:r>
        <w:rPr>
          <w:spacing w:val="-8"/>
          <w:sz w:val="26"/>
        </w:rPr>
        <w:t xml:space="preserve"> </w:t>
      </w:r>
      <w:r>
        <w:rPr>
          <w:sz w:val="26"/>
        </w:rPr>
        <w:t>is</w:t>
      </w:r>
      <w:r>
        <w:rPr>
          <w:spacing w:val="-8"/>
          <w:sz w:val="26"/>
        </w:rPr>
        <w:t xml:space="preserve"> </w:t>
      </w:r>
      <w:r>
        <w:rPr>
          <w:sz w:val="26"/>
        </w:rPr>
        <w:t>specifically</w:t>
      </w:r>
      <w:r>
        <w:rPr>
          <w:spacing w:val="-9"/>
          <w:sz w:val="26"/>
        </w:rPr>
        <w:t xml:space="preserve"> </w:t>
      </w:r>
      <w:r>
        <w:rPr>
          <w:sz w:val="26"/>
        </w:rPr>
        <w:t>limited</w:t>
      </w:r>
      <w:r>
        <w:rPr>
          <w:spacing w:val="-8"/>
          <w:sz w:val="26"/>
        </w:rPr>
        <w:t xml:space="preserve"> </w:t>
      </w:r>
      <w:r>
        <w:rPr>
          <w:sz w:val="26"/>
        </w:rPr>
        <w:t>to</w:t>
      </w:r>
      <w:r>
        <w:rPr>
          <w:spacing w:val="-8"/>
          <w:sz w:val="26"/>
        </w:rPr>
        <w:t xml:space="preserve"> </w:t>
      </w:r>
      <w:r>
        <w:rPr>
          <w:sz w:val="26"/>
        </w:rPr>
        <w:t>caste-based</w:t>
      </w:r>
      <w:r>
        <w:rPr>
          <w:spacing w:val="-8"/>
          <w:sz w:val="26"/>
        </w:rPr>
        <w:t xml:space="preserve"> </w:t>
      </w:r>
      <w:r>
        <w:rPr>
          <w:sz w:val="26"/>
        </w:rPr>
        <w:t>untouchability</w:t>
      </w:r>
      <w:r>
        <w:rPr>
          <w:spacing w:val="-10"/>
          <w:sz w:val="26"/>
        </w:rPr>
        <w:t xml:space="preserve"> </w:t>
      </w:r>
      <w:r>
        <w:rPr>
          <w:sz w:val="26"/>
        </w:rPr>
        <w:t>and cannot be expanded to include gender-based exclusion. Understanding these rival positions requires the Court to contemplate on the historical background behind the insertion of Article 17 into the Constitution and the intent of the framers.</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8" w:firstLine="0"/>
        <w:jc w:val="both"/>
        <w:rPr>
          <w:sz w:val="26"/>
        </w:rPr>
      </w:pPr>
      <w:r>
        <w:rPr>
          <w:sz w:val="26"/>
        </w:rPr>
        <w:t>Article 1</w:t>
      </w:r>
      <w:r>
        <w:rPr>
          <w:sz w:val="26"/>
        </w:rPr>
        <w:t>7 occupies a unique position in our constitutional scheme. The Article, which prohibits a social practice, is located in the chapter on fundamental rights. The framers introduced Article 17, which prohibits a discriminatory</w:t>
      </w:r>
      <w:r>
        <w:rPr>
          <w:spacing w:val="25"/>
          <w:sz w:val="26"/>
        </w:rPr>
        <w:t xml:space="preserve"> </w:t>
      </w:r>
      <w:r>
        <w:rPr>
          <w:sz w:val="26"/>
        </w:rPr>
        <w:t>and</w:t>
      </w:r>
      <w:r>
        <w:rPr>
          <w:spacing w:val="27"/>
          <w:sz w:val="26"/>
        </w:rPr>
        <w:t xml:space="preserve"> </w:t>
      </w:r>
      <w:r>
        <w:rPr>
          <w:sz w:val="26"/>
        </w:rPr>
        <w:t>inhuman</w:t>
      </w:r>
      <w:r>
        <w:rPr>
          <w:spacing w:val="26"/>
          <w:sz w:val="26"/>
        </w:rPr>
        <w:t xml:space="preserve"> </w:t>
      </w:r>
      <w:r>
        <w:rPr>
          <w:sz w:val="26"/>
        </w:rPr>
        <w:t>social</w:t>
      </w:r>
      <w:r>
        <w:rPr>
          <w:spacing w:val="28"/>
          <w:sz w:val="26"/>
        </w:rPr>
        <w:t xml:space="preserve"> </w:t>
      </w:r>
      <w:r>
        <w:rPr>
          <w:sz w:val="26"/>
        </w:rPr>
        <w:t>practice,</w:t>
      </w:r>
      <w:r>
        <w:rPr>
          <w:spacing w:val="27"/>
          <w:sz w:val="26"/>
        </w:rPr>
        <w:t xml:space="preserve"> </w:t>
      </w:r>
      <w:r>
        <w:rPr>
          <w:sz w:val="26"/>
        </w:rPr>
        <w:t>in</w:t>
      </w:r>
      <w:r>
        <w:rPr>
          <w:spacing w:val="27"/>
          <w:sz w:val="26"/>
        </w:rPr>
        <w:t xml:space="preserve"> </w:t>
      </w:r>
      <w:r>
        <w:rPr>
          <w:sz w:val="26"/>
        </w:rPr>
        <w:t>addition</w:t>
      </w:r>
      <w:r>
        <w:rPr>
          <w:spacing w:val="27"/>
          <w:sz w:val="26"/>
        </w:rPr>
        <w:t xml:space="preserve"> </w:t>
      </w:r>
      <w:r>
        <w:rPr>
          <w:sz w:val="26"/>
        </w:rPr>
        <w:t>to</w:t>
      </w:r>
      <w:r>
        <w:rPr>
          <w:spacing w:val="28"/>
          <w:sz w:val="26"/>
        </w:rPr>
        <w:t xml:space="preserve"> </w:t>
      </w:r>
      <w:r>
        <w:rPr>
          <w:sz w:val="26"/>
        </w:rPr>
        <w:t>Articles</w:t>
      </w:r>
      <w:r>
        <w:rPr>
          <w:spacing w:val="27"/>
          <w:sz w:val="26"/>
        </w:rPr>
        <w:t xml:space="preserve"> </w:t>
      </w:r>
      <w:r>
        <w:rPr>
          <w:sz w:val="26"/>
        </w:rPr>
        <w:t>14</w:t>
      </w:r>
      <w:r>
        <w:rPr>
          <w:spacing w:val="27"/>
          <w:sz w:val="26"/>
        </w:rPr>
        <w:t xml:space="preserve"> </w:t>
      </w:r>
      <w:r>
        <w:rPr>
          <w:sz w:val="26"/>
        </w:rPr>
        <w:t>and</w:t>
      </w:r>
      <w:r>
        <w:rPr>
          <w:spacing w:val="28"/>
          <w:sz w:val="26"/>
        </w:rPr>
        <w:t xml:space="preserve"> </w:t>
      </w:r>
      <w:r>
        <w:rPr>
          <w:spacing w:val="-4"/>
          <w:sz w:val="26"/>
        </w:rPr>
        <w:t>15,</w:t>
      </w:r>
    </w:p>
    <w:p w:rsidR="003B2FC0" w:rsidRDefault="003B2FC0">
      <w:pPr>
        <w:spacing w:line="480" w:lineRule="auto"/>
        <w:jc w:val="both"/>
        <w:rPr>
          <w:sz w:val="26"/>
        </w:rPr>
        <w:sectPr w:rsidR="003B2FC0">
          <w:headerReference w:type="default" r:id="rId368"/>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which provide for equality and non-discrimination. While there has been little discussion about Article 17 in textbooks on constitutional law, it is a provision which has a paramount social significance both in terms of acknowledging the past and in defini</w:t>
      </w:r>
      <w:r>
        <w:rPr>
          <w:sz w:val="26"/>
        </w:rPr>
        <w:t xml:space="preserve">ng the vision of the Constitution for the present and for </w:t>
      </w:r>
      <w:r>
        <w:rPr>
          <w:spacing w:val="-4"/>
          <w:sz w:val="26"/>
        </w:rPr>
        <w:t>the</w:t>
      </w:r>
      <w:r>
        <w:rPr>
          <w:spacing w:val="64"/>
          <w:sz w:val="26"/>
        </w:rPr>
        <w:t xml:space="preserve"> </w:t>
      </w:r>
      <w:r>
        <w:rPr>
          <w:sz w:val="26"/>
        </w:rPr>
        <w:t>future. Article 17 provides:</w:t>
      </w:r>
    </w:p>
    <w:p w:rsidR="003B2FC0" w:rsidRDefault="00052A49">
      <w:pPr>
        <w:spacing w:before="199" w:line="276" w:lineRule="auto"/>
        <w:ind w:left="1840" w:right="2285"/>
        <w:jc w:val="both"/>
        <w:rPr>
          <w:sz w:val="21"/>
        </w:rPr>
      </w:pPr>
      <w:r>
        <w:rPr>
          <w:sz w:val="21"/>
        </w:rPr>
        <w:t>““Untouchability” is abolished and its practice in any form is forbidden. The enforcement of any disability arising out of “Untouchability” shall be an offence punis</w:t>
      </w:r>
      <w:r>
        <w:rPr>
          <w:sz w:val="21"/>
        </w:rPr>
        <w:t>hable in accordance with law.”</w:t>
      </w:r>
    </w:p>
    <w:p w:rsidR="003B2FC0" w:rsidRDefault="003B2FC0">
      <w:pPr>
        <w:rPr>
          <w:sz w:val="24"/>
        </w:rPr>
      </w:pPr>
    </w:p>
    <w:p w:rsidR="003B2FC0" w:rsidRDefault="003B2FC0">
      <w:pPr>
        <w:rPr>
          <w:sz w:val="24"/>
        </w:rPr>
      </w:pPr>
    </w:p>
    <w:p w:rsidR="003B2FC0" w:rsidRDefault="00052A49">
      <w:pPr>
        <w:spacing w:before="141" w:line="480" w:lineRule="auto"/>
        <w:ind w:left="400" w:right="432"/>
        <w:jc w:val="both"/>
        <w:rPr>
          <w:sz w:val="26"/>
        </w:rPr>
      </w:pPr>
      <w:r>
        <w:rPr>
          <w:sz w:val="26"/>
        </w:rPr>
        <w:t>Article 17 abolished the age old practice of “untouchability”, by forbidding its practice “in any form”. By abolishing “untouchability”, the Constitution attempts to transform and replace the traditional and hierarchical so</w:t>
      </w:r>
      <w:r>
        <w:rPr>
          <w:sz w:val="26"/>
        </w:rPr>
        <w:t>cial order. Article</w:t>
      </w:r>
      <w:r>
        <w:rPr>
          <w:spacing w:val="-35"/>
          <w:sz w:val="26"/>
        </w:rPr>
        <w:t xml:space="preserve"> </w:t>
      </w:r>
      <w:r>
        <w:rPr>
          <w:sz w:val="26"/>
        </w:rPr>
        <w:t>17, among other provisions of the Constitution, envisaged bringing into “the mainstream of society, individuals and groups that would otherwise have remained at society’s bottom or at its edges”</w:t>
      </w:r>
      <w:r>
        <w:rPr>
          <w:position w:val="9"/>
          <w:sz w:val="17"/>
        </w:rPr>
        <w:t>71</w:t>
      </w:r>
      <w:r>
        <w:rPr>
          <w:sz w:val="26"/>
        </w:rPr>
        <w:t>. Article 17 is the constitutional promi</w:t>
      </w:r>
      <w:r>
        <w:rPr>
          <w:sz w:val="26"/>
        </w:rPr>
        <w:t>se of equality and justice to those who have remained at the lowest rung of a traditional belief system founded in graded inequality. Article 17 is enforceable against everyone – the State, groups, individuals, legal persons, entities and organised religio</w:t>
      </w:r>
      <w:r>
        <w:rPr>
          <w:sz w:val="26"/>
        </w:rPr>
        <w:t>n – and embodies an enforceable constitutional mandate. It has been placed on a constitutional pedestal of enforceable fundamental rights, beyond being only a directive principle, for two reasons. First,</w:t>
      </w:r>
      <w:r>
        <w:rPr>
          <w:spacing w:val="9"/>
          <w:sz w:val="26"/>
        </w:rPr>
        <w:t xml:space="preserve"> </w:t>
      </w:r>
      <w:r>
        <w:rPr>
          <w:sz w:val="26"/>
        </w:rPr>
        <w:t>“untouchability”</w:t>
      </w:r>
      <w:r>
        <w:rPr>
          <w:spacing w:val="9"/>
          <w:sz w:val="26"/>
        </w:rPr>
        <w:t xml:space="preserve"> </w:t>
      </w:r>
      <w:r>
        <w:rPr>
          <w:sz w:val="26"/>
        </w:rPr>
        <w:t>is</w:t>
      </w:r>
      <w:r>
        <w:rPr>
          <w:spacing w:val="9"/>
          <w:sz w:val="26"/>
        </w:rPr>
        <w:t xml:space="preserve"> </w:t>
      </w:r>
      <w:r>
        <w:rPr>
          <w:sz w:val="26"/>
        </w:rPr>
        <w:t>violative</w:t>
      </w:r>
      <w:r>
        <w:rPr>
          <w:spacing w:val="9"/>
          <w:sz w:val="26"/>
        </w:rPr>
        <w:t xml:space="preserve"> </w:t>
      </w:r>
      <w:r>
        <w:rPr>
          <w:sz w:val="26"/>
        </w:rPr>
        <w:t>of</w:t>
      </w:r>
      <w:r>
        <w:rPr>
          <w:spacing w:val="9"/>
          <w:sz w:val="26"/>
        </w:rPr>
        <w:t xml:space="preserve"> </w:t>
      </w:r>
      <w:r>
        <w:rPr>
          <w:sz w:val="26"/>
        </w:rPr>
        <w:t>the</w:t>
      </w:r>
      <w:r>
        <w:rPr>
          <w:spacing w:val="11"/>
          <w:sz w:val="26"/>
        </w:rPr>
        <w:t xml:space="preserve"> </w:t>
      </w:r>
      <w:r>
        <w:rPr>
          <w:sz w:val="26"/>
        </w:rPr>
        <w:t>basic</w:t>
      </w:r>
      <w:r>
        <w:rPr>
          <w:spacing w:val="9"/>
          <w:sz w:val="26"/>
        </w:rPr>
        <w:t xml:space="preserve"> </w:t>
      </w:r>
      <w:r>
        <w:rPr>
          <w:sz w:val="26"/>
        </w:rPr>
        <w:t>rights</w:t>
      </w:r>
      <w:r>
        <w:rPr>
          <w:spacing w:val="11"/>
          <w:sz w:val="26"/>
        </w:rPr>
        <w:t xml:space="preserve"> </w:t>
      </w:r>
      <w:r>
        <w:rPr>
          <w:sz w:val="26"/>
        </w:rPr>
        <w:t>of</w:t>
      </w:r>
      <w:r>
        <w:rPr>
          <w:spacing w:val="10"/>
          <w:sz w:val="26"/>
        </w:rPr>
        <w:t xml:space="preserve"> </w:t>
      </w:r>
      <w:r>
        <w:rPr>
          <w:sz w:val="26"/>
        </w:rPr>
        <w:t>socially</w:t>
      </w:r>
      <w:r>
        <w:rPr>
          <w:spacing w:val="7"/>
          <w:sz w:val="26"/>
        </w:rPr>
        <w:t xml:space="preserve"> </w:t>
      </w:r>
      <w:r>
        <w:rPr>
          <w:sz w:val="26"/>
        </w:rPr>
        <w:t>backward</w:t>
      </w:r>
    </w:p>
    <w:p w:rsidR="003B2FC0" w:rsidRDefault="003B2FC0">
      <w:pPr>
        <w:rPr>
          <w:sz w:val="20"/>
        </w:rPr>
      </w:pPr>
    </w:p>
    <w:p w:rsidR="003B2FC0" w:rsidRDefault="003B2FC0">
      <w:pPr>
        <w:rPr>
          <w:sz w:val="20"/>
        </w:rPr>
      </w:pPr>
    </w:p>
    <w:p w:rsidR="003B2FC0" w:rsidRDefault="003B2FC0">
      <w:pPr>
        <w:spacing w:before="8"/>
        <w:rPr>
          <w:sz w:val="13"/>
        </w:rPr>
      </w:pPr>
      <w:r w:rsidRPr="003B2FC0">
        <w:pict>
          <v:line id="_x0000_s1105" style="position:absolute;z-index:251610624;mso-wrap-distance-left:0;mso-wrap-distance-right:0;mso-position-horizontal-relative:page" from="1in,10.25pt" to="216.05pt,10.25pt" strokeweight=".72pt">
            <w10:wrap type="topAndBottom" anchorx="page"/>
          </v:line>
        </w:pict>
      </w:r>
    </w:p>
    <w:p w:rsidR="003B2FC0" w:rsidRDefault="00052A49">
      <w:pPr>
        <w:spacing w:before="66"/>
        <w:ind w:left="580" w:right="346" w:hanging="180"/>
        <w:rPr>
          <w:sz w:val="18"/>
        </w:rPr>
      </w:pPr>
      <w:r>
        <w:rPr>
          <w:position w:val="6"/>
          <w:sz w:val="12"/>
        </w:rPr>
        <w:t xml:space="preserve">71 </w:t>
      </w:r>
      <w:r>
        <w:rPr>
          <w:sz w:val="18"/>
        </w:rPr>
        <w:t>Granville Austin, The Indian Constitution: Cornerstone of a Nation, Oxford University Press (1999), at pages xii- xiii</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5"/>
        <w:jc w:val="both"/>
        <w:rPr>
          <w:sz w:val="26"/>
        </w:rPr>
      </w:pPr>
      <w:r>
        <w:rPr>
          <w:sz w:val="26"/>
        </w:rPr>
        <w:t xml:space="preserve">individuals and their dignity. Second, the framers believed that the abolition of “untouchability” is a constitutional imperative to establish an equal social order. Its presence together and on an equal footing with other fundamental rights, was designed </w:t>
      </w:r>
      <w:r>
        <w:rPr>
          <w:sz w:val="26"/>
        </w:rPr>
        <w:t>to “give vulnerable people the power to achieve collective good”</w:t>
      </w:r>
      <w:r>
        <w:rPr>
          <w:position w:val="9"/>
          <w:sz w:val="17"/>
        </w:rPr>
        <w:t>72</w:t>
      </w:r>
      <w:r>
        <w:rPr>
          <w:sz w:val="26"/>
        </w:rPr>
        <w:t>. Article 17 is a reflection of the transformative ideal of the Constitution, which gives expression to the aspirations of socially disempowered individuals and communities, and provides a m</w:t>
      </w:r>
      <w:r>
        <w:rPr>
          <w:sz w:val="26"/>
        </w:rPr>
        <w:t>oral framework for radical social transformation. Article 17, along with other constitutional provisions</w:t>
      </w:r>
      <w:r>
        <w:rPr>
          <w:position w:val="9"/>
          <w:sz w:val="17"/>
        </w:rPr>
        <w:t>73</w:t>
      </w:r>
      <w:r>
        <w:rPr>
          <w:sz w:val="26"/>
        </w:rPr>
        <w:t>, must be seen as the recognition and endorsement of a hope for a better future for marginalized communities and individuals, who have had their desti</w:t>
      </w:r>
      <w:r>
        <w:rPr>
          <w:sz w:val="26"/>
        </w:rPr>
        <w:t>nies crushed by a feudal and caste-based social order.</w:t>
      </w:r>
    </w:p>
    <w:p w:rsidR="003B2FC0" w:rsidRDefault="003B2FC0">
      <w:pPr>
        <w:rPr>
          <w:sz w:val="28"/>
        </w:rPr>
      </w:pPr>
    </w:p>
    <w:p w:rsidR="003B2FC0" w:rsidRDefault="003B2FC0">
      <w:pPr>
        <w:spacing w:before="11"/>
        <w:rPr>
          <w:sz w:val="31"/>
        </w:rPr>
      </w:pPr>
    </w:p>
    <w:p w:rsidR="003B2FC0" w:rsidRDefault="00052A49">
      <w:pPr>
        <w:pStyle w:val="ListParagraph"/>
        <w:numPr>
          <w:ilvl w:val="0"/>
          <w:numId w:val="39"/>
        </w:numPr>
        <w:tabs>
          <w:tab w:val="left" w:pos="1120"/>
          <w:tab w:val="left" w:pos="1121"/>
        </w:tabs>
        <w:ind w:left="1120"/>
        <w:rPr>
          <w:sz w:val="26"/>
        </w:rPr>
      </w:pPr>
      <w:r>
        <w:rPr>
          <w:sz w:val="26"/>
        </w:rPr>
        <w:t>The</w:t>
      </w:r>
      <w:r>
        <w:rPr>
          <w:spacing w:val="16"/>
          <w:sz w:val="26"/>
        </w:rPr>
        <w:t xml:space="preserve"> </w:t>
      </w:r>
      <w:r>
        <w:rPr>
          <w:sz w:val="26"/>
        </w:rPr>
        <w:t>framers</w:t>
      </w:r>
      <w:r>
        <w:rPr>
          <w:spacing w:val="18"/>
          <w:sz w:val="26"/>
        </w:rPr>
        <w:t xml:space="preserve"> </w:t>
      </w:r>
      <w:r>
        <w:rPr>
          <w:sz w:val="26"/>
        </w:rPr>
        <w:t>of</w:t>
      </w:r>
      <w:r>
        <w:rPr>
          <w:spacing w:val="20"/>
          <w:sz w:val="26"/>
        </w:rPr>
        <w:t xml:space="preserve"> </w:t>
      </w:r>
      <w:r>
        <w:rPr>
          <w:sz w:val="26"/>
        </w:rPr>
        <w:t>the</w:t>
      </w:r>
      <w:r>
        <w:rPr>
          <w:spacing w:val="20"/>
          <w:sz w:val="26"/>
        </w:rPr>
        <w:t xml:space="preserve"> </w:t>
      </w:r>
      <w:r>
        <w:rPr>
          <w:sz w:val="26"/>
        </w:rPr>
        <w:t>Constitution</w:t>
      </w:r>
      <w:r>
        <w:rPr>
          <w:spacing w:val="17"/>
          <w:sz w:val="26"/>
        </w:rPr>
        <w:t xml:space="preserve"> </w:t>
      </w:r>
      <w:r>
        <w:rPr>
          <w:sz w:val="26"/>
        </w:rPr>
        <w:t>left</w:t>
      </w:r>
      <w:r>
        <w:rPr>
          <w:spacing w:val="17"/>
          <w:sz w:val="26"/>
        </w:rPr>
        <w:t xml:space="preserve"> </w:t>
      </w:r>
      <w:r>
        <w:rPr>
          <w:sz w:val="26"/>
        </w:rPr>
        <w:t>the</w:t>
      </w:r>
      <w:r>
        <w:rPr>
          <w:spacing w:val="20"/>
          <w:sz w:val="26"/>
        </w:rPr>
        <w:t xml:space="preserve"> </w:t>
      </w:r>
      <w:r>
        <w:rPr>
          <w:sz w:val="26"/>
        </w:rPr>
        <w:t>term</w:t>
      </w:r>
      <w:r>
        <w:rPr>
          <w:spacing w:val="18"/>
          <w:sz w:val="26"/>
        </w:rPr>
        <w:t xml:space="preserve"> </w:t>
      </w:r>
      <w:r>
        <w:rPr>
          <w:sz w:val="26"/>
        </w:rPr>
        <w:t>“untouchability”</w:t>
      </w:r>
      <w:r>
        <w:rPr>
          <w:spacing w:val="20"/>
          <w:sz w:val="26"/>
        </w:rPr>
        <w:t xml:space="preserve"> </w:t>
      </w:r>
      <w:r>
        <w:rPr>
          <w:sz w:val="26"/>
        </w:rPr>
        <w:t>undefined.</w:t>
      </w:r>
    </w:p>
    <w:p w:rsidR="003B2FC0" w:rsidRDefault="003B2FC0">
      <w:pPr>
        <w:spacing w:before="11"/>
        <w:rPr>
          <w:sz w:val="25"/>
        </w:rPr>
      </w:pPr>
    </w:p>
    <w:p w:rsidR="003B2FC0" w:rsidRDefault="00052A49">
      <w:pPr>
        <w:spacing w:line="480" w:lineRule="auto"/>
        <w:ind w:left="400" w:right="434"/>
        <w:jc w:val="both"/>
        <w:rPr>
          <w:sz w:val="26"/>
        </w:rPr>
      </w:pPr>
      <w:r>
        <w:rPr>
          <w:sz w:val="26"/>
        </w:rPr>
        <w:t>The proceedings of the Constituent Assembly suggest that this was deliberate. B Shiva Rao has recounted</w:t>
      </w:r>
      <w:r>
        <w:rPr>
          <w:position w:val="9"/>
          <w:sz w:val="17"/>
        </w:rPr>
        <w:t xml:space="preserve">74 </w:t>
      </w:r>
      <w:r>
        <w:rPr>
          <w:sz w:val="26"/>
        </w:rPr>
        <w:t xml:space="preserve">the proceedings of the Sub-Committee on Fundamental Rights, which was undertaking the task of preparing the draft provisions on fundamental rights. A clause providing for the abolition of “untouchability” was contained in K M Munshi’s draft of Fundamental </w:t>
      </w:r>
      <w:r>
        <w:rPr>
          <w:sz w:val="26"/>
        </w:rPr>
        <w:t>Rights. Clause 4(a) of Article III of his draft provided:</w:t>
      </w:r>
    </w:p>
    <w:p w:rsidR="003B2FC0" w:rsidRDefault="00052A49">
      <w:pPr>
        <w:spacing w:before="193" w:line="276" w:lineRule="auto"/>
        <w:ind w:left="1840" w:right="2035"/>
        <w:rPr>
          <w:sz w:val="21"/>
        </w:rPr>
      </w:pPr>
      <w:r>
        <w:rPr>
          <w:sz w:val="21"/>
        </w:rPr>
        <w:t>“Untouchability is abolished and the practice thereof is punishable by the law of the Union.”</w:t>
      </w:r>
    </w:p>
    <w:p w:rsidR="003B2FC0" w:rsidRDefault="003B2FC0">
      <w:pPr>
        <w:rPr>
          <w:sz w:val="20"/>
        </w:rPr>
      </w:pPr>
    </w:p>
    <w:p w:rsidR="003B2FC0" w:rsidRDefault="003B2FC0">
      <w:pPr>
        <w:rPr>
          <w:sz w:val="20"/>
        </w:rPr>
      </w:pPr>
    </w:p>
    <w:p w:rsidR="003B2FC0" w:rsidRDefault="003B2FC0">
      <w:pPr>
        <w:rPr>
          <w:sz w:val="26"/>
        </w:rPr>
      </w:pPr>
      <w:r w:rsidRPr="003B2FC0">
        <w:pict>
          <v:line id="_x0000_s1104" style="position:absolute;z-index:251611648;mso-wrap-distance-left:0;mso-wrap-distance-right:0;mso-position-horizontal-relative:page" from="1in,17.3pt" to="216.05pt,17.3pt" strokeweight=".72pt">
            <w10:wrap type="topAndBottom" anchorx="page"/>
          </v:line>
        </w:pict>
      </w:r>
    </w:p>
    <w:p w:rsidR="003B2FC0" w:rsidRDefault="00052A49">
      <w:pPr>
        <w:spacing w:before="67" w:line="209" w:lineRule="exact"/>
        <w:ind w:left="400"/>
        <w:rPr>
          <w:sz w:val="18"/>
        </w:rPr>
      </w:pPr>
      <w:r>
        <w:rPr>
          <w:position w:val="6"/>
          <w:sz w:val="12"/>
        </w:rPr>
        <w:t xml:space="preserve">72 </w:t>
      </w:r>
      <w:r>
        <w:rPr>
          <w:sz w:val="18"/>
        </w:rPr>
        <w:t>Politics and Ethics of the Indian Constitution Rajeev Bhagava (ed.), Oxford University Press (200</w:t>
      </w:r>
      <w:r>
        <w:rPr>
          <w:sz w:val="18"/>
        </w:rPr>
        <w:t>8), at page 15</w:t>
      </w:r>
    </w:p>
    <w:p w:rsidR="003B2FC0" w:rsidRDefault="00052A49">
      <w:pPr>
        <w:spacing w:line="206" w:lineRule="exact"/>
        <w:ind w:left="400"/>
        <w:rPr>
          <w:sz w:val="18"/>
        </w:rPr>
      </w:pPr>
      <w:r>
        <w:rPr>
          <w:position w:val="6"/>
          <w:sz w:val="12"/>
        </w:rPr>
        <w:t xml:space="preserve">73 </w:t>
      </w:r>
      <w:r>
        <w:rPr>
          <w:sz w:val="18"/>
        </w:rPr>
        <w:t>Articles 15(2) and 23, The Constitution of India</w:t>
      </w:r>
    </w:p>
    <w:p w:rsidR="003B2FC0" w:rsidRDefault="00052A49">
      <w:pPr>
        <w:spacing w:line="209" w:lineRule="exact"/>
        <w:ind w:left="400"/>
        <w:rPr>
          <w:sz w:val="18"/>
        </w:rPr>
      </w:pPr>
      <w:r>
        <w:rPr>
          <w:position w:val="6"/>
          <w:sz w:val="12"/>
        </w:rPr>
        <w:t xml:space="preserve">74 </w:t>
      </w:r>
      <w:r>
        <w:rPr>
          <w:sz w:val="18"/>
        </w:rPr>
        <w:t>B Shiva Rao, The Framing of India’s Constitution: A Study, Indian Institution of Public Administration (1968), at</w:t>
      </w:r>
    </w:p>
    <w:p w:rsidR="003B2FC0" w:rsidRDefault="003B2FC0">
      <w:pPr>
        <w:spacing w:line="209" w:lineRule="exact"/>
        <w:rPr>
          <w:sz w:val="18"/>
        </w:rPr>
        <w:sectPr w:rsidR="003B2FC0">
          <w:footerReference w:type="default" r:id="rId369"/>
          <w:pgSz w:w="11910" w:h="16840"/>
          <w:pgMar w:top="1080" w:right="980" w:bottom="1560" w:left="1040" w:header="708" w:footer="1367" w:gutter="0"/>
          <w:pgNumType w:start="92"/>
          <w:cols w:space="720"/>
        </w:sectPr>
      </w:pPr>
    </w:p>
    <w:p w:rsidR="003B2FC0" w:rsidRDefault="003B2FC0">
      <w:pPr>
        <w:spacing w:before="10"/>
        <w:rPr>
          <w:sz w:val="21"/>
        </w:rPr>
      </w:pPr>
    </w:p>
    <w:p w:rsidR="003B2FC0" w:rsidRDefault="00052A49">
      <w:pPr>
        <w:spacing w:before="91"/>
        <w:ind w:left="400"/>
        <w:rPr>
          <w:sz w:val="26"/>
        </w:rPr>
      </w:pPr>
      <w:r>
        <w:rPr>
          <w:sz w:val="26"/>
        </w:rPr>
        <w:t>Clause 1 of Article II of Dr Ambedkar’s draft provided that:</w:t>
      </w:r>
    </w:p>
    <w:p w:rsidR="003B2FC0" w:rsidRDefault="003B2FC0">
      <w:pPr>
        <w:rPr>
          <w:sz w:val="28"/>
        </w:rPr>
      </w:pPr>
    </w:p>
    <w:p w:rsidR="003B2FC0" w:rsidRDefault="00052A49">
      <w:pPr>
        <w:spacing w:before="175" w:line="276" w:lineRule="auto"/>
        <w:ind w:left="1840" w:right="2035"/>
        <w:rPr>
          <w:sz w:val="21"/>
        </w:rPr>
      </w:pPr>
      <w:r>
        <w:rPr>
          <w:sz w:val="21"/>
        </w:rPr>
        <w:t>“any privilege or disability arising out of rank, birth, person, family, religion or religious usage and custom is abolished.”</w:t>
      </w:r>
    </w:p>
    <w:p w:rsidR="003B2FC0" w:rsidRDefault="003B2FC0">
      <w:pPr>
        <w:rPr>
          <w:sz w:val="24"/>
        </w:rPr>
      </w:pPr>
    </w:p>
    <w:p w:rsidR="003B2FC0" w:rsidRDefault="003B2FC0">
      <w:pPr>
        <w:rPr>
          <w:sz w:val="24"/>
        </w:rPr>
      </w:pPr>
    </w:p>
    <w:p w:rsidR="003B2FC0" w:rsidRDefault="00052A49">
      <w:pPr>
        <w:spacing w:before="194" w:line="480" w:lineRule="auto"/>
        <w:ind w:left="400" w:right="432"/>
        <w:jc w:val="both"/>
        <w:rPr>
          <w:sz w:val="26"/>
        </w:rPr>
      </w:pPr>
      <w:r>
        <w:rPr>
          <w:sz w:val="26"/>
        </w:rPr>
        <w:t>While discussing the clause on “untouchability” on 29 March 1947,</w:t>
      </w:r>
      <w:r>
        <w:rPr>
          <w:sz w:val="26"/>
        </w:rPr>
        <w:t xml:space="preserve"> the Sub- Committee on Fundamental Rights accepted Munshi’s draft with a verbal modification</w:t>
      </w:r>
      <w:r>
        <w:rPr>
          <w:spacing w:val="-21"/>
          <w:sz w:val="26"/>
        </w:rPr>
        <w:t xml:space="preserve"> </w:t>
      </w:r>
      <w:r>
        <w:rPr>
          <w:sz w:val="26"/>
        </w:rPr>
        <w:t>that</w:t>
      </w:r>
      <w:r>
        <w:rPr>
          <w:spacing w:val="-20"/>
          <w:sz w:val="26"/>
        </w:rPr>
        <w:t xml:space="preserve"> </w:t>
      </w:r>
      <w:r>
        <w:rPr>
          <w:sz w:val="26"/>
        </w:rPr>
        <w:t>the</w:t>
      </w:r>
      <w:r>
        <w:rPr>
          <w:spacing w:val="-17"/>
          <w:sz w:val="26"/>
        </w:rPr>
        <w:t xml:space="preserve"> </w:t>
      </w:r>
      <w:r>
        <w:rPr>
          <w:sz w:val="26"/>
        </w:rPr>
        <w:t>words</w:t>
      </w:r>
      <w:r>
        <w:rPr>
          <w:spacing w:val="-20"/>
          <w:sz w:val="26"/>
        </w:rPr>
        <w:t xml:space="preserve"> </w:t>
      </w:r>
      <w:r>
        <w:rPr>
          <w:sz w:val="26"/>
        </w:rPr>
        <w:t>“is</w:t>
      </w:r>
      <w:r>
        <w:rPr>
          <w:spacing w:val="-20"/>
          <w:sz w:val="26"/>
        </w:rPr>
        <w:t xml:space="preserve"> </w:t>
      </w:r>
      <w:r>
        <w:rPr>
          <w:sz w:val="26"/>
        </w:rPr>
        <w:t>punishable</w:t>
      </w:r>
      <w:r>
        <w:rPr>
          <w:spacing w:val="-17"/>
          <w:sz w:val="26"/>
        </w:rPr>
        <w:t xml:space="preserve"> </w:t>
      </w:r>
      <w:r>
        <w:rPr>
          <w:sz w:val="26"/>
        </w:rPr>
        <w:t>by</w:t>
      </w:r>
      <w:r>
        <w:rPr>
          <w:spacing w:val="-20"/>
          <w:sz w:val="26"/>
        </w:rPr>
        <w:t xml:space="preserve"> </w:t>
      </w:r>
      <w:r>
        <w:rPr>
          <w:sz w:val="26"/>
        </w:rPr>
        <w:t>the</w:t>
      </w:r>
      <w:r>
        <w:rPr>
          <w:spacing w:val="-18"/>
          <w:sz w:val="26"/>
        </w:rPr>
        <w:t xml:space="preserve"> </w:t>
      </w:r>
      <w:r>
        <w:rPr>
          <w:sz w:val="26"/>
        </w:rPr>
        <w:t>law</w:t>
      </w:r>
      <w:r>
        <w:rPr>
          <w:spacing w:val="-20"/>
          <w:sz w:val="26"/>
        </w:rPr>
        <w:t xml:space="preserve"> </w:t>
      </w:r>
      <w:r>
        <w:rPr>
          <w:sz w:val="26"/>
        </w:rPr>
        <w:t>of</w:t>
      </w:r>
      <w:r>
        <w:rPr>
          <w:spacing w:val="-20"/>
          <w:sz w:val="26"/>
        </w:rPr>
        <w:t xml:space="preserve"> </w:t>
      </w:r>
      <w:r>
        <w:rPr>
          <w:sz w:val="26"/>
        </w:rPr>
        <w:t>the</w:t>
      </w:r>
      <w:r>
        <w:rPr>
          <w:spacing w:val="-21"/>
          <w:sz w:val="26"/>
        </w:rPr>
        <w:t xml:space="preserve"> </w:t>
      </w:r>
      <w:r>
        <w:rPr>
          <w:sz w:val="26"/>
        </w:rPr>
        <w:t>Union”</w:t>
      </w:r>
      <w:r>
        <w:rPr>
          <w:spacing w:val="-20"/>
          <w:sz w:val="26"/>
        </w:rPr>
        <w:t xml:space="preserve"> </w:t>
      </w:r>
      <w:r>
        <w:rPr>
          <w:sz w:val="26"/>
        </w:rPr>
        <w:t>be</w:t>
      </w:r>
      <w:r>
        <w:rPr>
          <w:spacing w:val="-20"/>
          <w:sz w:val="26"/>
        </w:rPr>
        <w:t xml:space="preserve"> </w:t>
      </w:r>
      <w:r>
        <w:rPr>
          <w:sz w:val="26"/>
        </w:rPr>
        <w:t>substituted by the expression “shall be an offence”.</w:t>
      </w:r>
      <w:r>
        <w:rPr>
          <w:position w:val="9"/>
          <w:sz w:val="17"/>
        </w:rPr>
        <w:t xml:space="preserve">75 </w:t>
      </w:r>
      <w:r>
        <w:rPr>
          <w:sz w:val="26"/>
        </w:rPr>
        <w:t>Reflecting on the draft, the constitutional adviso</w:t>
      </w:r>
      <w:r>
        <w:rPr>
          <w:sz w:val="26"/>
        </w:rPr>
        <w:t xml:space="preserve">r, B N Rau, remarked that the meaning of “untouchability” would have to be defined in the law which would </w:t>
      </w:r>
      <w:r>
        <w:rPr>
          <w:spacing w:val="3"/>
          <w:sz w:val="26"/>
        </w:rPr>
        <w:t xml:space="preserve">be </w:t>
      </w:r>
      <w:r>
        <w:rPr>
          <w:sz w:val="26"/>
        </w:rPr>
        <w:t xml:space="preserve">enacted in future to implement the provision. Bearing in mind the comments received, the </w:t>
      </w:r>
      <w:r>
        <w:rPr>
          <w:spacing w:val="2"/>
          <w:sz w:val="26"/>
        </w:rPr>
        <w:t xml:space="preserve">Sub- </w:t>
      </w:r>
      <w:r>
        <w:rPr>
          <w:sz w:val="26"/>
        </w:rPr>
        <w:t>Committee when it met on 14 April 1947 to consider it</w:t>
      </w:r>
      <w:r>
        <w:rPr>
          <w:sz w:val="26"/>
        </w:rPr>
        <w:t>s draft report, decided to add the words “in any form” after the word “Untouchability”. This was done specifically in order “to make the prohibition of practice [of “untouchability”] comprehensive”</w:t>
      </w:r>
      <w:r>
        <w:rPr>
          <w:position w:val="9"/>
          <w:sz w:val="17"/>
        </w:rPr>
        <w:t>76</w:t>
      </w:r>
      <w:r>
        <w:rPr>
          <w:sz w:val="26"/>
        </w:rPr>
        <w:t>.</w:t>
      </w:r>
    </w:p>
    <w:p w:rsidR="003B2FC0" w:rsidRDefault="003B2FC0">
      <w:pPr>
        <w:rPr>
          <w:sz w:val="30"/>
        </w:rPr>
      </w:pPr>
    </w:p>
    <w:p w:rsidR="003B2FC0" w:rsidRDefault="003B2FC0">
      <w:pPr>
        <w:spacing w:before="11"/>
        <w:rPr>
          <w:sz w:val="29"/>
        </w:rPr>
      </w:pPr>
    </w:p>
    <w:p w:rsidR="003B2FC0" w:rsidRDefault="00052A49">
      <w:pPr>
        <w:spacing w:line="480" w:lineRule="auto"/>
        <w:ind w:left="400" w:right="432"/>
        <w:jc w:val="both"/>
        <w:rPr>
          <w:sz w:val="26"/>
        </w:rPr>
      </w:pPr>
      <w:r>
        <w:rPr>
          <w:sz w:val="26"/>
        </w:rPr>
        <w:t>Subsequently,</w:t>
      </w:r>
      <w:r>
        <w:rPr>
          <w:spacing w:val="-9"/>
          <w:sz w:val="26"/>
        </w:rPr>
        <w:t xml:space="preserve"> </w:t>
      </w:r>
      <w:r>
        <w:rPr>
          <w:sz w:val="26"/>
        </w:rPr>
        <w:t>on</w:t>
      </w:r>
      <w:r>
        <w:rPr>
          <w:spacing w:val="-8"/>
          <w:sz w:val="26"/>
        </w:rPr>
        <w:t xml:space="preserve"> </w:t>
      </w:r>
      <w:r>
        <w:rPr>
          <w:sz w:val="26"/>
        </w:rPr>
        <w:t>21</w:t>
      </w:r>
      <w:r>
        <w:rPr>
          <w:spacing w:val="-7"/>
          <w:sz w:val="26"/>
        </w:rPr>
        <w:t xml:space="preserve"> </w:t>
      </w:r>
      <w:r>
        <w:rPr>
          <w:sz w:val="26"/>
        </w:rPr>
        <w:t>April</w:t>
      </w:r>
      <w:r>
        <w:rPr>
          <w:spacing w:val="-8"/>
          <w:sz w:val="26"/>
        </w:rPr>
        <w:t xml:space="preserve"> </w:t>
      </w:r>
      <w:r>
        <w:rPr>
          <w:sz w:val="26"/>
        </w:rPr>
        <w:t>1947,</w:t>
      </w:r>
      <w:r>
        <w:rPr>
          <w:spacing w:val="-6"/>
          <w:sz w:val="26"/>
        </w:rPr>
        <w:t xml:space="preserve"> </w:t>
      </w:r>
      <w:r>
        <w:rPr>
          <w:sz w:val="26"/>
        </w:rPr>
        <w:t>the</w:t>
      </w:r>
      <w:r>
        <w:rPr>
          <w:spacing w:val="-7"/>
          <w:sz w:val="26"/>
        </w:rPr>
        <w:t xml:space="preserve"> </w:t>
      </w:r>
      <w:r>
        <w:rPr>
          <w:sz w:val="26"/>
        </w:rPr>
        <w:t>clause</w:t>
      </w:r>
      <w:r>
        <w:rPr>
          <w:spacing w:val="-8"/>
          <w:sz w:val="26"/>
        </w:rPr>
        <w:t xml:space="preserve"> </w:t>
      </w:r>
      <w:r>
        <w:rPr>
          <w:sz w:val="26"/>
        </w:rPr>
        <w:t>proposed</w:t>
      </w:r>
      <w:r>
        <w:rPr>
          <w:spacing w:val="-6"/>
          <w:sz w:val="26"/>
        </w:rPr>
        <w:t xml:space="preserve"> </w:t>
      </w:r>
      <w:r>
        <w:rPr>
          <w:sz w:val="26"/>
        </w:rPr>
        <w:t>by</w:t>
      </w:r>
      <w:r>
        <w:rPr>
          <w:spacing w:val="-9"/>
          <w:sz w:val="26"/>
        </w:rPr>
        <w:t xml:space="preserve"> </w:t>
      </w:r>
      <w:r>
        <w:rPr>
          <w:sz w:val="26"/>
        </w:rPr>
        <w:t>the</w:t>
      </w:r>
      <w:r>
        <w:rPr>
          <w:spacing w:val="-6"/>
          <w:sz w:val="26"/>
        </w:rPr>
        <w:t xml:space="preserve"> </w:t>
      </w:r>
      <w:r>
        <w:rPr>
          <w:sz w:val="26"/>
        </w:rPr>
        <w:t>Sub-Committee</w:t>
      </w:r>
      <w:r>
        <w:rPr>
          <w:spacing w:val="-6"/>
          <w:sz w:val="26"/>
        </w:rPr>
        <w:t xml:space="preserve"> </w:t>
      </w:r>
      <w:r>
        <w:rPr>
          <w:sz w:val="26"/>
        </w:rPr>
        <w:t>on Fundamental</w:t>
      </w:r>
      <w:r>
        <w:rPr>
          <w:spacing w:val="-6"/>
          <w:sz w:val="26"/>
        </w:rPr>
        <w:t xml:space="preserve"> </w:t>
      </w:r>
      <w:r>
        <w:rPr>
          <w:sz w:val="26"/>
        </w:rPr>
        <w:t>Rights</w:t>
      </w:r>
      <w:r>
        <w:rPr>
          <w:spacing w:val="-4"/>
          <w:sz w:val="26"/>
        </w:rPr>
        <w:t xml:space="preserve"> </w:t>
      </w:r>
      <w:r>
        <w:rPr>
          <w:sz w:val="26"/>
        </w:rPr>
        <w:t>was</w:t>
      </w:r>
      <w:r>
        <w:rPr>
          <w:spacing w:val="-8"/>
          <w:sz w:val="26"/>
        </w:rPr>
        <w:t xml:space="preserve"> </w:t>
      </w:r>
      <w:r>
        <w:rPr>
          <w:sz w:val="26"/>
        </w:rPr>
        <w:t>dealt</w:t>
      </w:r>
      <w:r>
        <w:rPr>
          <w:spacing w:val="-4"/>
          <w:sz w:val="26"/>
        </w:rPr>
        <w:t xml:space="preserve"> </w:t>
      </w:r>
      <w:r>
        <w:rPr>
          <w:sz w:val="26"/>
        </w:rPr>
        <w:t>with</w:t>
      </w:r>
      <w:r>
        <w:rPr>
          <w:spacing w:val="-5"/>
          <w:sz w:val="26"/>
        </w:rPr>
        <w:t xml:space="preserve"> </w:t>
      </w:r>
      <w:r>
        <w:rPr>
          <w:sz w:val="26"/>
        </w:rPr>
        <w:t>by</w:t>
      </w:r>
      <w:r>
        <w:rPr>
          <w:spacing w:val="-7"/>
          <w:sz w:val="26"/>
        </w:rPr>
        <w:t xml:space="preserve"> </w:t>
      </w:r>
      <w:r>
        <w:rPr>
          <w:sz w:val="26"/>
        </w:rPr>
        <w:t>the</w:t>
      </w:r>
      <w:r>
        <w:rPr>
          <w:spacing w:val="-5"/>
          <w:sz w:val="26"/>
        </w:rPr>
        <w:t xml:space="preserve"> </w:t>
      </w:r>
      <w:r>
        <w:rPr>
          <w:sz w:val="26"/>
        </w:rPr>
        <w:t>Advisory</w:t>
      </w:r>
      <w:r>
        <w:rPr>
          <w:spacing w:val="-6"/>
          <w:sz w:val="26"/>
        </w:rPr>
        <w:t xml:space="preserve"> </w:t>
      </w:r>
      <w:r>
        <w:rPr>
          <w:sz w:val="26"/>
        </w:rPr>
        <w:t>Committee,</w:t>
      </w:r>
      <w:r>
        <w:rPr>
          <w:spacing w:val="-5"/>
          <w:sz w:val="26"/>
        </w:rPr>
        <w:t xml:space="preserve"> </w:t>
      </w:r>
      <w:r>
        <w:rPr>
          <w:sz w:val="26"/>
        </w:rPr>
        <w:t>where</w:t>
      </w:r>
      <w:r>
        <w:rPr>
          <w:spacing w:val="-7"/>
          <w:sz w:val="26"/>
        </w:rPr>
        <w:t xml:space="preserve"> </w:t>
      </w:r>
      <w:r>
        <w:rPr>
          <w:sz w:val="26"/>
        </w:rPr>
        <w:t>Jagjivan Ram</w:t>
      </w:r>
      <w:r>
        <w:rPr>
          <w:spacing w:val="-19"/>
          <w:sz w:val="26"/>
        </w:rPr>
        <w:t xml:space="preserve"> </w:t>
      </w:r>
      <w:r>
        <w:rPr>
          <w:sz w:val="26"/>
        </w:rPr>
        <w:t>had</w:t>
      </w:r>
      <w:r>
        <w:rPr>
          <w:spacing w:val="-19"/>
          <w:sz w:val="26"/>
        </w:rPr>
        <w:t xml:space="preserve"> </w:t>
      </w:r>
      <w:r>
        <w:rPr>
          <w:sz w:val="26"/>
        </w:rPr>
        <w:t>an</w:t>
      </w:r>
      <w:r>
        <w:rPr>
          <w:spacing w:val="-17"/>
          <w:sz w:val="26"/>
        </w:rPr>
        <w:t xml:space="preserve"> </w:t>
      </w:r>
      <w:r>
        <w:rPr>
          <w:sz w:val="26"/>
        </w:rPr>
        <w:t>incisive</w:t>
      </w:r>
      <w:r>
        <w:rPr>
          <w:spacing w:val="-16"/>
          <w:sz w:val="26"/>
        </w:rPr>
        <w:t xml:space="preserve"> </w:t>
      </w:r>
      <w:r>
        <w:rPr>
          <w:sz w:val="26"/>
        </w:rPr>
        <w:t>query.</w:t>
      </w:r>
      <w:r>
        <w:rPr>
          <w:spacing w:val="-19"/>
          <w:sz w:val="26"/>
        </w:rPr>
        <w:t xml:space="preserve"> </w:t>
      </w:r>
      <w:r>
        <w:rPr>
          <w:sz w:val="26"/>
        </w:rPr>
        <w:t>While</w:t>
      </w:r>
      <w:r>
        <w:rPr>
          <w:spacing w:val="-19"/>
          <w:sz w:val="26"/>
        </w:rPr>
        <w:t xml:space="preserve"> </w:t>
      </w:r>
      <w:r>
        <w:rPr>
          <w:sz w:val="26"/>
        </w:rPr>
        <w:t>noting</w:t>
      </w:r>
      <w:r>
        <w:rPr>
          <w:spacing w:val="-19"/>
          <w:sz w:val="26"/>
        </w:rPr>
        <w:t xml:space="preserve"> </w:t>
      </w:r>
      <w:r>
        <w:rPr>
          <w:sz w:val="26"/>
        </w:rPr>
        <w:t>that</w:t>
      </w:r>
      <w:r>
        <w:rPr>
          <w:spacing w:val="-20"/>
          <w:sz w:val="26"/>
        </w:rPr>
        <w:t xml:space="preserve"> </w:t>
      </w:r>
      <w:r>
        <w:rPr>
          <w:sz w:val="26"/>
        </w:rPr>
        <w:t>ordinarily,</w:t>
      </w:r>
      <w:r>
        <w:rPr>
          <w:spacing w:val="-17"/>
          <w:sz w:val="26"/>
        </w:rPr>
        <w:t xml:space="preserve"> </w:t>
      </w:r>
      <w:r>
        <w:rPr>
          <w:sz w:val="26"/>
        </w:rPr>
        <w:t>the</w:t>
      </w:r>
      <w:r>
        <w:rPr>
          <w:spacing w:val="-16"/>
          <w:sz w:val="26"/>
        </w:rPr>
        <w:t xml:space="preserve"> </w:t>
      </w:r>
      <w:r>
        <w:rPr>
          <w:sz w:val="26"/>
        </w:rPr>
        <w:t>term</w:t>
      </w:r>
      <w:r>
        <w:rPr>
          <w:spacing w:val="-19"/>
          <w:sz w:val="26"/>
        </w:rPr>
        <w:t xml:space="preserve"> </w:t>
      </w:r>
      <w:r>
        <w:rPr>
          <w:sz w:val="26"/>
        </w:rPr>
        <w:t>“untouchability” referred to a practice prevalent in Hindu society, he queried whether the</w:t>
      </w:r>
      <w:r>
        <w:rPr>
          <w:sz w:val="26"/>
        </w:rPr>
        <w:t xml:space="preserve"> intention of the committee was to abolish untouchability among Hindus, Christians</w:t>
      </w:r>
      <w:r>
        <w:rPr>
          <w:spacing w:val="13"/>
          <w:sz w:val="26"/>
        </w:rPr>
        <w:t xml:space="preserve"> </w:t>
      </w:r>
      <w:r>
        <w:rPr>
          <w:sz w:val="26"/>
        </w:rPr>
        <w:t>or</w:t>
      </w:r>
      <w:r>
        <w:rPr>
          <w:spacing w:val="14"/>
          <w:sz w:val="26"/>
        </w:rPr>
        <w:t xml:space="preserve"> </w:t>
      </w:r>
      <w:r>
        <w:rPr>
          <w:sz w:val="26"/>
        </w:rPr>
        <w:t>other</w:t>
      </w:r>
      <w:r>
        <w:rPr>
          <w:spacing w:val="14"/>
          <w:sz w:val="26"/>
        </w:rPr>
        <w:t xml:space="preserve"> </w:t>
      </w:r>
      <w:r>
        <w:rPr>
          <w:sz w:val="26"/>
        </w:rPr>
        <w:t>communities</w:t>
      </w:r>
      <w:r>
        <w:rPr>
          <w:spacing w:val="14"/>
          <w:sz w:val="26"/>
        </w:rPr>
        <w:t xml:space="preserve"> </w:t>
      </w:r>
      <w:r>
        <w:rPr>
          <w:sz w:val="26"/>
        </w:rPr>
        <w:t>or</w:t>
      </w:r>
      <w:r>
        <w:rPr>
          <w:spacing w:val="16"/>
          <w:sz w:val="26"/>
        </w:rPr>
        <w:t xml:space="preserve"> </w:t>
      </w:r>
      <w:r>
        <w:rPr>
          <w:sz w:val="26"/>
        </w:rPr>
        <w:t>whether</w:t>
      </w:r>
      <w:r>
        <w:rPr>
          <w:spacing w:val="14"/>
          <w:sz w:val="26"/>
        </w:rPr>
        <w:t xml:space="preserve"> </w:t>
      </w:r>
      <w:r>
        <w:rPr>
          <w:sz w:val="26"/>
        </w:rPr>
        <w:t>it</w:t>
      </w:r>
      <w:r>
        <w:rPr>
          <w:spacing w:val="14"/>
          <w:sz w:val="26"/>
        </w:rPr>
        <w:t xml:space="preserve"> </w:t>
      </w:r>
      <w:r>
        <w:rPr>
          <w:sz w:val="26"/>
        </w:rPr>
        <w:t>applied</w:t>
      </w:r>
      <w:r>
        <w:rPr>
          <w:spacing w:val="14"/>
          <w:sz w:val="26"/>
        </w:rPr>
        <w:t xml:space="preserve"> </w:t>
      </w:r>
      <w:r>
        <w:rPr>
          <w:sz w:val="26"/>
        </w:rPr>
        <w:t>also</w:t>
      </w:r>
      <w:r>
        <w:rPr>
          <w:spacing w:val="14"/>
          <w:sz w:val="26"/>
        </w:rPr>
        <w:t xml:space="preserve"> </w:t>
      </w:r>
      <w:r>
        <w:rPr>
          <w:sz w:val="26"/>
        </w:rPr>
        <w:t>to</w:t>
      </w:r>
      <w:r>
        <w:rPr>
          <w:spacing w:val="14"/>
          <w:sz w:val="26"/>
        </w:rPr>
        <w:t xml:space="preserve"> </w:t>
      </w:r>
      <w:r>
        <w:rPr>
          <w:sz w:val="26"/>
        </w:rPr>
        <w:t>‘inter-communal’</w:t>
      </w:r>
    </w:p>
    <w:p w:rsidR="003B2FC0" w:rsidRDefault="003B2FC0">
      <w:pPr>
        <w:spacing w:before="1"/>
        <w:rPr>
          <w:sz w:val="19"/>
        </w:rPr>
      </w:pPr>
      <w:r w:rsidRPr="003B2FC0">
        <w:pict>
          <v:line id="_x0000_s1103" style="position:absolute;z-index:251612672;mso-wrap-distance-left:0;mso-wrap-distance-right:0;mso-position-horizontal-relative:page" from="1in,13.35pt" to="216.05pt,13.35pt" strokeweight=".72pt">
            <w10:wrap type="topAndBottom" anchorx="page"/>
          </v:line>
        </w:pict>
      </w:r>
    </w:p>
    <w:p w:rsidR="003B2FC0" w:rsidRDefault="00052A49">
      <w:pPr>
        <w:spacing w:before="67" w:line="209" w:lineRule="exact"/>
        <w:ind w:left="400"/>
        <w:rPr>
          <w:sz w:val="18"/>
        </w:rPr>
      </w:pPr>
      <w:r>
        <w:rPr>
          <w:position w:val="6"/>
          <w:sz w:val="12"/>
        </w:rPr>
        <w:t xml:space="preserve">75 </w:t>
      </w:r>
      <w:r>
        <w:rPr>
          <w:sz w:val="18"/>
        </w:rPr>
        <w:t>Ibid</w:t>
      </w:r>
    </w:p>
    <w:p w:rsidR="003B2FC0" w:rsidRDefault="00052A49">
      <w:pPr>
        <w:spacing w:line="209" w:lineRule="exact"/>
        <w:ind w:left="400"/>
        <w:rPr>
          <w:sz w:val="18"/>
        </w:rPr>
      </w:pPr>
      <w:r>
        <w:rPr>
          <w:position w:val="6"/>
          <w:sz w:val="12"/>
        </w:rPr>
        <w:t xml:space="preserve">76 </w:t>
      </w:r>
      <w:r>
        <w:rPr>
          <w:sz w:val="18"/>
        </w:rPr>
        <w:t>B Shiva Rao, The Framing of India’s Constitution: A Study, Indian Institution of Public Administration (1968), at</w:t>
      </w:r>
    </w:p>
    <w:p w:rsidR="003B2FC0" w:rsidRDefault="003B2FC0">
      <w:pPr>
        <w:spacing w:line="209" w:lineRule="exact"/>
        <w:rPr>
          <w:sz w:val="18"/>
        </w:rPr>
        <w:sectPr w:rsidR="003B2FC0">
          <w:pgSz w:w="11910" w:h="16840"/>
          <w:pgMar w:top="1080" w:right="980" w:bottom="1560" w:left="1040" w:header="708" w:footer="1367" w:gutter="0"/>
          <w:cols w:space="720"/>
        </w:sectPr>
      </w:pPr>
    </w:p>
    <w:p w:rsidR="003B2FC0" w:rsidRDefault="003B2FC0">
      <w:pPr>
        <w:spacing w:before="10"/>
        <w:rPr>
          <w:sz w:val="21"/>
        </w:rPr>
      </w:pPr>
    </w:p>
    <w:p w:rsidR="003B2FC0" w:rsidRDefault="00052A49">
      <w:pPr>
        <w:spacing w:before="91" w:line="477" w:lineRule="auto"/>
        <w:ind w:left="400" w:right="435"/>
        <w:jc w:val="both"/>
        <w:rPr>
          <w:sz w:val="26"/>
        </w:rPr>
      </w:pPr>
      <w:r>
        <w:rPr>
          <w:sz w:val="26"/>
        </w:rPr>
        <w:t>untouchability. Shiva Rao has recounted that the Committee came to the general conclusion that “the purpose of the clause w</w:t>
      </w:r>
      <w:r>
        <w:rPr>
          <w:sz w:val="26"/>
        </w:rPr>
        <w:t xml:space="preserve">as to abolish </w:t>
      </w:r>
      <w:r>
        <w:rPr>
          <w:b/>
          <w:sz w:val="26"/>
        </w:rPr>
        <w:t>untouchability in all its forms</w:t>
      </w:r>
      <w:r>
        <w:rPr>
          <w:sz w:val="26"/>
        </w:rPr>
        <w:t>— whether it was untouchability within a community or between various communities”</w:t>
      </w:r>
      <w:r>
        <w:rPr>
          <w:position w:val="9"/>
          <w:sz w:val="17"/>
        </w:rPr>
        <w:t>77</w:t>
      </w:r>
      <w:r>
        <w:rPr>
          <w:sz w:val="26"/>
        </w:rPr>
        <w:t>. In the proceedings, K M Panikkar elaborated the point by observing that the clause intended to abolish various disabilities a</w:t>
      </w:r>
      <w:r>
        <w:rPr>
          <w:sz w:val="26"/>
        </w:rPr>
        <w:t>rising out of untouchability, irrespective of religion.</w:t>
      </w:r>
      <w:r>
        <w:rPr>
          <w:position w:val="9"/>
          <w:sz w:val="17"/>
        </w:rPr>
        <w:t xml:space="preserve">78 </w:t>
      </w:r>
      <w:r>
        <w:rPr>
          <w:sz w:val="26"/>
        </w:rPr>
        <w:t>He remarked:</w:t>
      </w:r>
    </w:p>
    <w:p w:rsidR="003B2FC0" w:rsidRDefault="00052A49">
      <w:pPr>
        <w:spacing w:before="209" w:line="276" w:lineRule="auto"/>
        <w:ind w:left="1840" w:right="2282"/>
        <w:jc w:val="both"/>
        <w:rPr>
          <w:sz w:val="14"/>
        </w:rPr>
      </w:pPr>
      <w:r>
        <w:rPr>
          <w:sz w:val="21"/>
        </w:rPr>
        <w:t>“If somebody says that he is not going to touch me, that is not a civil right which I can enforce in a court of law. There are certain complex of disabilities that arise from the practi</w:t>
      </w:r>
      <w:r>
        <w:rPr>
          <w:sz w:val="21"/>
        </w:rPr>
        <w:t>ce of untouchability in India. Those disabilities are in the nature of civil</w:t>
      </w:r>
      <w:r>
        <w:rPr>
          <w:spacing w:val="-11"/>
          <w:sz w:val="21"/>
        </w:rPr>
        <w:t xml:space="preserve"> </w:t>
      </w:r>
      <w:r>
        <w:rPr>
          <w:sz w:val="21"/>
        </w:rPr>
        <w:t>obligations</w:t>
      </w:r>
      <w:r>
        <w:rPr>
          <w:spacing w:val="-11"/>
          <w:sz w:val="21"/>
        </w:rPr>
        <w:t xml:space="preserve"> </w:t>
      </w:r>
      <w:r>
        <w:rPr>
          <w:sz w:val="21"/>
        </w:rPr>
        <w:t>or</w:t>
      </w:r>
      <w:r>
        <w:rPr>
          <w:spacing w:val="-11"/>
          <w:sz w:val="21"/>
        </w:rPr>
        <w:t xml:space="preserve"> </w:t>
      </w:r>
      <w:r>
        <w:rPr>
          <w:sz w:val="21"/>
        </w:rPr>
        <w:t>civil</w:t>
      </w:r>
      <w:r>
        <w:rPr>
          <w:spacing w:val="-10"/>
          <w:sz w:val="21"/>
        </w:rPr>
        <w:t xml:space="preserve"> </w:t>
      </w:r>
      <w:r>
        <w:rPr>
          <w:sz w:val="21"/>
        </w:rPr>
        <w:t>disabilities</w:t>
      </w:r>
      <w:r>
        <w:rPr>
          <w:spacing w:val="-11"/>
          <w:sz w:val="21"/>
        </w:rPr>
        <w:t xml:space="preserve"> </w:t>
      </w:r>
      <w:r>
        <w:rPr>
          <w:sz w:val="21"/>
        </w:rPr>
        <w:t>and</w:t>
      </w:r>
      <w:r>
        <w:rPr>
          <w:spacing w:val="-10"/>
          <w:sz w:val="21"/>
        </w:rPr>
        <w:t xml:space="preserve"> </w:t>
      </w:r>
      <w:r>
        <w:rPr>
          <w:sz w:val="21"/>
        </w:rPr>
        <w:t>what</w:t>
      </w:r>
      <w:r>
        <w:rPr>
          <w:spacing w:val="-12"/>
          <w:sz w:val="21"/>
        </w:rPr>
        <w:t xml:space="preserve"> </w:t>
      </w:r>
      <w:r>
        <w:rPr>
          <w:sz w:val="21"/>
        </w:rPr>
        <w:t>we</w:t>
      </w:r>
      <w:r>
        <w:rPr>
          <w:spacing w:val="-11"/>
          <w:sz w:val="21"/>
        </w:rPr>
        <w:t xml:space="preserve"> </w:t>
      </w:r>
      <w:r>
        <w:rPr>
          <w:sz w:val="21"/>
        </w:rPr>
        <w:t>have</w:t>
      </w:r>
      <w:r>
        <w:rPr>
          <w:spacing w:val="-11"/>
          <w:sz w:val="21"/>
        </w:rPr>
        <w:t xml:space="preserve"> </w:t>
      </w:r>
      <w:r>
        <w:rPr>
          <w:sz w:val="21"/>
        </w:rPr>
        <w:t>attempted to</w:t>
      </w:r>
      <w:r>
        <w:rPr>
          <w:spacing w:val="-7"/>
          <w:sz w:val="21"/>
        </w:rPr>
        <w:t xml:space="preserve"> </w:t>
      </w:r>
      <w:r>
        <w:rPr>
          <w:sz w:val="21"/>
        </w:rPr>
        <w:t>provide</w:t>
      </w:r>
      <w:r>
        <w:rPr>
          <w:spacing w:val="-6"/>
          <w:sz w:val="21"/>
        </w:rPr>
        <w:t xml:space="preserve"> </w:t>
      </w:r>
      <w:r>
        <w:rPr>
          <w:sz w:val="21"/>
        </w:rPr>
        <w:t>for</w:t>
      </w:r>
      <w:r>
        <w:rPr>
          <w:spacing w:val="-7"/>
          <w:sz w:val="21"/>
        </w:rPr>
        <w:t xml:space="preserve"> </w:t>
      </w:r>
      <w:r>
        <w:rPr>
          <w:sz w:val="21"/>
        </w:rPr>
        <w:t>is</w:t>
      </w:r>
      <w:r>
        <w:rPr>
          <w:spacing w:val="-6"/>
          <w:sz w:val="21"/>
        </w:rPr>
        <w:t xml:space="preserve"> </w:t>
      </w:r>
      <w:r>
        <w:rPr>
          <w:sz w:val="21"/>
        </w:rPr>
        <w:t>that</w:t>
      </w:r>
      <w:r>
        <w:rPr>
          <w:spacing w:val="-7"/>
          <w:sz w:val="21"/>
        </w:rPr>
        <w:t xml:space="preserve"> </w:t>
      </w:r>
      <w:r>
        <w:rPr>
          <w:sz w:val="21"/>
        </w:rPr>
        <w:t>these</w:t>
      </w:r>
      <w:r>
        <w:rPr>
          <w:spacing w:val="-8"/>
          <w:sz w:val="21"/>
        </w:rPr>
        <w:t xml:space="preserve"> </w:t>
      </w:r>
      <w:r>
        <w:rPr>
          <w:sz w:val="21"/>
        </w:rPr>
        <w:t>disabilities</w:t>
      </w:r>
      <w:r>
        <w:rPr>
          <w:spacing w:val="-6"/>
          <w:sz w:val="21"/>
        </w:rPr>
        <w:t xml:space="preserve"> </w:t>
      </w:r>
      <w:r>
        <w:rPr>
          <w:sz w:val="21"/>
        </w:rPr>
        <w:t>that</w:t>
      </w:r>
      <w:r>
        <w:rPr>
          <w:spacing w:val="-7"/>
          <w:sz w:val="21"/>
        </w:rPr>
        <w:t xml:space="preserve"> </w:t>
      </w:r>
      <w:r>
        <w:rPr>
          <w:sz w:val="21"/>
        </w:rPr>
        <w:t>exist</w:t>
      </w:r>
      <w:r>
        <w:rPr>
          <w:spacing w:val="-7"/>
          <w:sz w:val="21"/>
        </w:rPr>
        <w:t xml:space="preserve"> </w:t>
      </w:r>
      <w:r>
        <w:rPr>
          <w:sz w:val="21"/>
        </w:rPr>
        <w:t>in</w:t>
      </w:r>
      <w:r>
        <w:rPr>
          <w:spacing w:val="-6"/>
          <w:sz w:val="21"/>
        </w:rPr>
        <w:t xml:space="preserve"> </w:t>
      </w:r>
      <w:r>
        <w:rPr>
          <w:sz w:val="21"/>
        </w:rPr>
        <w:t>regard</w:t>
      </w:r>
      <w:r>
        <w:rPr>
          <w:spacing w:val="-6"/>
          <w:sz w:val="21"/>
        </w:rPr>
        <w:t xml:space="preserve"> </w:t>
      </w:r>
      <w:r>
        <w:rPr>
          <w:sz w:val="21"/>
        </w:rPr>
        <w:t>to</w:t>
      </w:r>
      <w:r>
        <w:rPr>
          <w:spacing w:val="-6"/>
          <w:sz w:val="21"/>
        </w:rPr>
        <w:t xml:space="preserve"> </w:t>
      </w:r>
      <w:r>
        <w:rPr>
          <w:sz w:val="21"/>
        </w:rPr>
        <w:t>the individual, whether he be a Christian, Muslim or anybody</w:t>
      </w:r>
      <w:r>
        <w:rPr>
          <w:spacing w:val="-27"/>
          <w:sz w:val="21"/>
        </w:rPr>
        <w:t xml:space="preserve"> </w:t>
      </w:r>
      <w:r>
        <w:rPr>
          <w:sz w:val="21"/>
        </w:rPr>
        <w:t>else, if he suffers from these disabilities, they should be eradicated through the process of</w:t>
      </w:r>
      <w:r>
        <w:rPr>
          <w:spacing w:val="-4"/>
          <w:sz w:val="21"/>
        </w:rPr>
        <w:t xml:space="preserve"> </w:t>
      </w:r>
      <w:r>
        <w:rPr>
          <w:sz w:val="21"/>
        </w:rPr>
        <w:t>law.”</w:t>
      </w:r>
      <w:r>
        <w:rPr>
          <w:position w:val="7"/>
          <w:sz w:val="14"/>
        </w:rPr>
        <w:t>79</w:t>
      </w:r>
    </w:p>
    <w:p w:rsidR="003B2FC0" w:rsidRDefault="003B2FC0">
      <w:pPr>
        <w:rPr>
          <w:sz w:val="24"/>
        </w:rPr>
      </w:pPr>
    </w:p>
    <w:p w:rsidR="003B2FC0" w:rsidRDefault="003B2FC0">
      <w:pPr>
        <w:spacing w:before="11"/>
        <w:rPr>
          <w:sz w:val="35"/>
        </w:rPr>
      </w:pPr>
    </w:p>
    <w:p w:rsidR="003B2FC0" w:rsidRDefault="00052A49">
      <w:pPr>
        <w:spacing w:line="480" w:lineRule="auto"/>
        <w:ind w:left="400" w:right="439"/>
        <w:jc w:val="both"/>
        <w:rPr>
          <w:sz w:val="26"/>
        </w:rPr>
      </w:pPr>
      <w:r>
        <w:rPr>
          <w:sz w:val="26"/>
        </w:rPr>
        <w:t>Rajagopalachari suggested a minor amendment of the clause, which sought to make “the imposi</w:t>
      </w:r>
      <w:r>
        <w:rPr>
          <w:sz w:val="26"/>
        </w:rPr>
        <w:t>tion of any disability of any kind or any such custom of ‘untouchability’” an offence. Taking note of the suggestions and views expressed, the clause was redrafted as clause 6 in the Interim Report of the Advisory Committee as follows:</w:t>
      </w:r>
    </w:p>
    <w:p w:rsidR="003B2FC0" w:rsidRDefault="00052A49">
      <w:pPr>
        <w:spacing w:before="200" w:line="278" w:lineRule="auto"/>
        <w:ind w:left="1840" w:right="2283"/>
        <w:jc w:val="both"/>
      </w:pPr>
      <w:r>
        <w:t>““Untouchability”</w:t>
      </w:r>
      <w:r>
        <w:rPr>
          <w:spacing w:val="-10"/>
        </w:rPr>
        <w:t xml:space="preserve"> </w:t>
      </w:r>
      <w:r>
        <w:t>in</w:t>
      </w:r>
      <w:r>
        <w:rPr>
          <w:spacing w:val="-11"/>
        </w:rPr>
        <w:t xml:space="preserve"> </w:t>
      </w:r>
      <w:r>
        <w:t>any</w:t>
      </w:r>
      <w:r>
        <w:rPr>
          <w:spacing w:val="-14"/>
        </w:rPr>
        <w:t xml:space="preserve"> </w:t>
      </w:r>
      <w:r>
        <w:t>form</w:t>
      </w:r>
      <w:r>
        <w:rPr>
          <w:spacing w:val="-11"/>
        </w:rPr>
        <w:t xml:space="preserve"> </w:t>
      </w:r>
      <w:r>
        <w:t>is</w:t>
      </w:r>
      <w:r>
        <w:rPr>
          <w:spacing w:val="-10"/>
        </w:rPr>
        <w:t xml:space="preserve"> </w:t>
      </w:r>
      <w:r>
        <w:t>abolished</w:t>
      </w:r>
      <w:r>
        <w:rPr>
          <w:spacing w:val="-12"/>
        </w:rPr>
        <w:t xml:space="preserve"> </w:t>
      </w:r>
      <w:r>
        <w:t>and</w:t>
      </w:r>
      <w:r>
        <w:rPr>
          <w:spacing w:val="-13"/>
        </w:rPr>
        <w:t xml:space="preserve"> </w:t>
      </w:r>
      <w:r>
        <w:t>the</w:t>
      </w:r>
      <w:r>
        <w:rPr>
          <w:spacing w:val="-13"/>
        </w:rPr>
        <w:t xml:space="preserve"> </w:t>
      </w:r>
      <w:r>
        <w:t>imposition of any disability on that account shall be an</w:t>
      </w:r>
      <w:r>
        <w:rPr>
          <w:spacing w:val="-14"/>
        </w:rPr>
        <w:t xml:space="preserve"> </w:t>
      </w:r>
      <w:r>
        <w:t>offence.”</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11"/>
        <w:rPr>
          <w:sz w:val="26"/>
        </w:rPr>
      </w:pPr>
      <w:r w:rsidRPr="003B2FC0">
        <w:pict>
          <v:line id="_x0000_s1102" style="position:absolute;z-index:251613696;mso-wrap-distance-left:0;mso-wrap-distance-right:0;mso-position-horizontal-relative:page" from="1in,17.85pt" to="216.05pt,17.85pt" strokeweight=".72pt">
            <w10:wrap type="topAndBottom" anchorx="page"/>
          </v:line>
        </w:pict>
      </w:r>
    </w:p>
    <w:p w:rsidR="003B2FC0" w:rsidRDefault="00052A49">
      <w:pPr>
        <w:spacing w:before="66"/>
        <w:ind w:left="580" w:right="432" w:hanging="180"/>
        <w:jc w:val="both"/>
        <w:rPr>
          <w:sz w:val="18"/>
        </w:rPr>
      </w:pPr>
      <w:r>
        <w:rPr>
          <w:position w:val="6"/>
          <w:sz w:val="12"/>
        </w:rPr>
        <w:t xml:space="preserve">77 </w:t>
      </w:r>
      <w:r>
        <w:rPr>
          <w:sz w:val="18"/>
        </w:rPr>
        <w:t>B Shiva Rao, The Framing of India’s Constitution: A Study, Indian Institution of Public Administration (1968), at page 202</w:t>
      </w:r>
    </w:p>
    <w:p w:rsidR="003B2FC0" w:rsidRDefault="00052A49">
      <w:pPr>
        <w:ind w:left="580" w:right="430" w:hanging="180"/>
        <w:jc w:val="both"/>
        <w:rPr>
          <w:sz w:val="18"/>
        </w:rPr>
      </w:pPr>
      <w:r>
        <w:rPr>
          <w:position w:val="6"/>
          <w:sz w:val="12"/>
        </w:rPr>
        <w:t xml:space="preserve">78 </w:t>
      </w:r>
      <w:r>
        <w:rPr>
          <w:sz w:val="18"/>
        </w:rPr>
        <w:t>B Shiva Rao has remarked that Panikkar’s reference was to the depressed classes who had been converted to Christianity in Travancore-Cochin and Malabar. See B Shiva Rao, The Framing of India’s Constitution: A Study, Indian Institution of Public Administrat</w:t>
      </w:r>
      <w:r>
        <w:rPr>
          <w:sz w:val="18"/>
        </w:rPr>
        <w:t>ion (1968), at page 202</w:t>
      </w:r>
    </w:p>
    <w:p w:rsidR="003B2FC0" w:rsidRDefault="00052A49">
      <w:pPr>
        <w:spacing w:line="242" w:lineRule="auto"/>
        <w:ind w:left="580" w:right="435" w:hanging="180"/>
        <w:jc w:val="both"/>
        <w:rPr>
          <w:sz w:val="18"/>
        </w:rPr>
      </w:pPr>
      <w:r>
        <w:rPr>
          <w:position w:val="6"/>
          <w:sz w:val="12"/>
        </w:rPr>
        <w:t xml:space="preserve">79 </w:t>
      </w:r>
      <w:r>
        <w:rPr>
          <w:sz w:val="18"/>
        </w:rPr>
        <w:t>B Shiva Rao, The Framing of India’s Constitution: A Study, Indian Institution of Public Administration (1968), at page 203</w:t>
      </w:r>
    </w:p>
    <w:p w:rsidR="003B2FC0" w:rsidRDefault="003B2FC0">
      <w:pPr>
        <w:spacing w:line="242" w:lineRule="auto"/>
        <w:jc w:val="both"/>
        <w:rPr>
          <w:sz w:val="18"/>
        </w:rPr>
        <w:sectPr w:rsidR="003B2FC0">
          <w:footerReference w:type="default" r:id="rId370"/>
          <w:pgSz w:w="11910" w:h="16840"/>
          <w:pgMar w:top="1080" w:right="980" w:bottom="1200" w:left="1040" w:header="708" w:footer="1000" w:gutter="0"/>
          <w:pgNumType w:start="94"/>
          <w:cols w:space="720"/>
        </w:sectPr>
      </w:pPr>
    </w:p>
    <w:p w:rsidR="003B2FC0" w:rsidRDefault="003B2FC0">
      <w:pPr>
        <w:spacing w:before="10"/>
        <w:rPr>
          <w:sz w:val="21"/>
        </w:rPr>
      </w:pPr>
    </w:p>
    <w:p w:rsidR="003B2FC0" w:rsidRDefault="00052A49">
      <w:pPr>
        <w:spacing w:before="91" w:line="480" w:lineRule="auto"/>
        <w:ind w:left="400" w:right="438"/>
        <w:jc w:val="both"/>
        <w:rPr>
          <w:sz w:val="26"/>
        </w:rPr>
      </w:pPr>
      <w:r>
        <w:rPr>
          <w:sz w:val="26"/>
        </w:rPr>
        <w:t>The</w:t>
      </w:r>
      <w:r>
        <w:rPr>
          <w:spacing w:val="-14"/>
          <w:sz w:val="26"/>
        </w:rPr>
        <w:t xml:space="preserve"> </w:t>
      </w:r>
      <w:r>
        <w:rPr>
          <w:sz w:val="26"/>
        </w:rPr>
        <w:t>Interim</w:t>
      </w:r>
      <w:r>
        <w:rPr>
          <w:spacing w:val="-12"/>
          <w:sz w:val="26"/>
        </w:rPr>
        <w:t xml:space="preserve"> </w:t>
      </w:r>
      <w:r>
        <w:rPr>
          <w:sz w:val="26"/>
        </w:rPr>
        <w:t>Report</w:t>
      </w:r>
      <w:r>
        <w:rPr>
          <w:spacing w:val="-12"/>
          <w:sz w:val="26"/>
        </w:rPr>
        <w:t xml:space="preserve"> </w:t>
      </w:r>
      <w:r>
        <w:rPr>
          <w:sz w:val="26"/>
        </w:rPr>
        <w:t>was</w:t>
      </w:r>
      <w:r>
        <w:rPr>
          <w:spacing w:val="-14"/>
          <w:sz w:val="26"/>
        </w:rPr>
        <w:t xml:space="preserve"> </w:t>
      </w:r>
      <w:r>
        <w:rPr>
          <w:sz w:val="26"/>
        </w:rPr>
        <w:t>moved</w:t>
      </w:r>
      <w:r>
        <w:rPr>
          <w:spacing w:val="-12"/>
          <w:sz w:val="26"/>
        </w:rPr>
        <w:t xml:space="preserve"> </w:t>
      </w:r>
      <w:r>
        <w:rPr>
          <w:sz w:val="26"/>
        </w:rPr>
        <w:t>before</w:t>
      </w:r>
      <w:r>
        <w:rPr>
          <w:spacing w:val="-14"/>
          <w:sz w:val="26"/>
        </w:rPr>
        <w:t xml:space="preserve"> </w:t>
      </w:r>
      <w:r>
        <w:rPr>
          <w:sz w:val="26"/>
        </w:rPr>
        <w:t>the</w:t>
      </w:r>
      <w:r>
        <w:rPr>
          <w:spacing w:val="-12"/>
          <w:sz w:val="26"/>
        </w:rPr>
        <w:t xml:space="preserve"> </w:t>
      </w:r>
      <w:r>
        <w:rPr>
          <w:sz w:val="26"/>
        </w:rPr>
        <w:t>Constituent</w:t>
      </w:r>
      <w:r>
        <w:rPr>
          <w:spacing w:val="-12"/>
          <w:sz w:val="26"/>
        </w:rPr>
        <w:t xml:space="preserve"> </w:t>
      </w:r>
      <w:r>
        <w:rPr>
          <w:sz w:val="26"/>
        </w:rPr>
        <w:t>Assembly</w:t>
      </w:r>
      <w:r>
        <w:rPr>
          <w:spacing w:val="-14"/>
          <w:sz w:val="26"/>
        </w:rPr>
        <w:t xml:space="preserve"> </w:t>
      </w:r>
      <w:r>
        <w:rPr>
          <w:sz w:val="26"/>
        </w:rPr>
        <w:t>by</w:t>
      </w:r>
      <w:r>
        <w:rPr>
          <w:spacing w:val="-14"/>
          <w:sz w:val="26"/>
        </w:rPr>
        <w:t xml:space="preserve"> </w:t>
      </w:r>
      <w:r>
        <w:rPr>
          <w:sz w:val="26"/>
        </w:rPr>
        <w:t>Vallabhbhai Patel on 29 April 1947. Commenting on Clause 6, one member, Promatha Ranjan Thakur, observed that “untouchability” cannot be abolished without abolishing the caste system, since “untouchability” is its symptom. Srijut Rohini Kumar</w:t>
      </w:r>
      <w:r>
        <w:rPr>
          <w:spacing w:val="-17"/>
          <w:sz w:val="26"/>
        </w:rPr>
        <w:t xml:space="preserve"> </w:t>
      </w:r>
      <w:r>
        <w:rPr>
          <w:sz w:val="26"/>
        </w:rPr>
        <w:t>Chaudhury,</w:t>
      </w:r>
      <w:r>
        <w:rPr>
          <w:spacing w:val="-16"/>
          <w:sz w:val="26"/>
        </w:rPr>
        <w:t xml:space="preserve"> </w:t>
      </w:r>
      <w:r>
        <w:rPr>
          <w:sz w:val="26"/>
        </w:rPr>
        <w:t>S</w:t>
      </w:r>
      <w:r>
        <w:rPr>
          <w:sz w:val="26"/>
        </w:rPr>
        <w:t>C</w:t>
      </w:r>
      <w:r>
        <w:rPr>
          <w:spacing w:val="-19"/>
          <w:sz w:val="26"/>
        </w:rPr>
        <w:t xml:space="preserve"> </w:t>
      </w:r>
      <w:r>
        <w:rPr>
          <w:sz w:val="26"/>
        </w:rPr>
        <w:t>Banerjee</w:t>
      </w:r>
      <w:r>
        <w:rPr>
          <w:spacing w:val="-19"/>
          <w:sz w:val="26"/>
        </w:rPr>
        <w:t xml:space="preserve"> </w:t>
      </w:r>
      <w:r>
        <w:rPr>
          <w:sz w:val="26"/>
        </w:rPr>
        <w:t>and</w:t>
      </w:r>
      <w:r>
        <w:rPr>
          <w:spacing w:val="-16"/>
          <w:sz w:val="26"/>
        </w:rPr>
        <w:t xml:space="preserve"> </w:t>
      </w:r>
      <w:r>
        <w:rPr>
          <w:sz w:val="26"/>
        </w:rPr>
        <w:t>Dhirendra</w:t>
      </w:r>
      <w:r>
        <w:rPr>
          <w:spacing w:val="-16"/>
          <w:sz w:val="26"/>
        </w:rPr>
        <w:t xml:space="preserve"> </w:t>
      </w:r>
      <w:r>
        <w:rPr>
          <w:sz w:val="26"/>
        </w:rPr>
        <w:t>Nath</w:t>
      </w:r>
      <w:r>
        <w:rPr>
          <w:spacing w:val="-17"/>
          <w:sz w:val="26"/>
        </w:rPr>
        <w:t xml:space="preserve"> </w:t>
      </w:r>
      <w:r>
        <w:rPr>
          <w:sz w:val="26"/>
        </w:rPr>
        <w:t>Datta</w:t>
      </w:r>
      <w:r>
        <w:rPr>
          <w:spacing w:val="-17"/>
          <w:sz w:val="26"/>
        </w:rPr>
        <w:t xml:space="preserve"> </w:t>
      </w:r>
      <w:r>
        <w:rPr>
          <w:sz w:val="26"/>
        </w:rPr>
        <w:t>sought</w:t>
      </w:r>
      <w:r>
        <w:rPr>
          <w:spacing w:val="-19"/>
          <w:sz w:val="26"/>
        </w:rPr>
        <w:t xml:space="preserve"> </w:t>
      </w:r>
      <w:r>
        <w:rPr>
          <w:sz w:val="26"/>
        </w:rPr>
        <w:t>a</w:t>
      </w:r>
      <w:r>
        <w:rPr>
          <w:spacing w:val="-16"/>
          <w:sz w:val="26"/>
        </w:rPr>
        <w:t xml:space="preserve"> </w:t>
      </w:r>
      <w:r>
        <w:rPr>
          <w:sz w:val="26"/>
        </w:rPr>
        <w:t>clarification on the definition of the term “untouchability”. Chaudhary even suggested the following amendment to define the term</w:t>
      </w:r>
      <w:r>
        <w:rPr>
          <w:spacing w:val="-9"/>
          <w:sz w:val="26"/>
        </w:rPr>
        <w:t xml:space="preserve"> </w:t>
      </w:r>
      <w:r>
        <w:rPr>
          <w:sz w:val="26"/>
        </w:rPr>
        <w:t>“untouchability”:</w:t>
      </w:r>
    </w:p>
    <w:p w:rsidR="003B2FC0" w:rsidRDefault="00052A49">
      <w:pPr>
        <w:spacing w:before="199" w:line="276" w:lineRule="auto"/>
        <w:ind w:left="1840" w:right="2285"/>
        <w:jc w:val="both"/>
        <w:rPr>
          <w:sz w:val="21"/>
        </w:rPr>
      </w:pPr>
      <w:r>
        <w:rPr>
          <w:sz w:val="21"/>
        </w:rPr>
        <w:t>“‘Untouchability’ means any act committed in exercise of discri</w:t>
      </w:r>
      <w:r>
        <w:rPr>
          <w:sz w:val="21"/>
        </w:rPr>
        <w:t>mination on, grounds of religion, caste or lawful vocation of life mentioned in clause 4.”</w:t>
      </w:r>
    </w:p>
    <w:p w:rsidR="003B2FC0" w:rsidRDefault="003B2FC0">
      <w:pPr>
        <w:rPr>
          <w:sz w:val="24"/>
        </w:rPr>
      </w:pPr>
    </w:p>
    <w:p w:rsidR="003B2FC0" w:rsidRDefault="003B2FC0">
      <w:pPr>
        <w:rPr>
          <w:sz w:val="24"/>
        </w:rPr>
      </w:pPr>
    </w:p>
    <w:p w:rsidR="003B2FC0" w:rsidRDefault="00052A49">
      <w:pPr>
        <w:spacing w:before="140" w:line="480" w:lineRule="auto"/>
        <w:ind w:left="400" w:right="435"/>
        <w:jc w:val="both"/>
        <w:rPr>
          <w:sz w:val="26"/>
        </w:rPr>
      </w:pPr>
      <w:r>
        <w:rPr>
          <w:sz w:val="26"/>
        </w:rPr>
        <w:t>Opposing</w:t>
      </w:r>
      <w:r>
        <w:rPr>
          <w:spacing w:val="-17"/>
          <w:sz w:val="26"/>
        </w:rPr>
        <w:t xml:space="preserve"> </w:t>
      </w:r>
      <w:r>
        <w:rPr>
          <w:sz w:val="26"/>
        </w:rPr>
        <w:t>the</w:t>
      </w:r>
      <w:r>
        <w:rPr>
          <w:spacing w:val="-16"/>
          <w:sz w:val="26"/>
        </w:rPr>
        <w:t xml:space="preserve"> </w:t>
      </w:r>
      <w:r>
        <w:rPr>
          <w:sz w:val="26"/>
        </w:rPr>
        <w:t>amendment,</w:t>
      </w:r>
      <w:r>
        <w:rPr>
          <w:spacing w:val="-17"/>
          <w:sz w:val="26"/>
        </w:rPr>
        <w:t xml:space="preserve"> </w:t>
      </w:r>
      <w:r>
        <w:rPr>
          <w:sz w:val="26"/>
        </w:rPr>
        <w:t>K</w:t>
      </w:r>
      <w:r>
        <w:rPr>
          <w:spacing w:val="-14"/>
          <w:sz w:val="26"/>
        </w:rPr>
        <w:t xml:space="preserve"> </w:t>
      </w:r>
      <w:r>
        <w:rPr>
          <w:sz w:val="26"/>
        </w:rPr>
        <w:t>M</w:t>
      </w:r>
      <w:r>
        <w:rPr>
          <w:spacing w:val="-17"/>
          <w:sz w:val="26"/>
        </w:rPr>
        <w:t xml:space="preserve"> </w:t>
      </w:r>
      <w:r>
        <w:rPr>
          <w:sz w:val="26"/>
        </w:rPr>
        <w:t>Munshi</w:t>
      </w:r>
      <w:r>
        <w:rPr>
          <w:spacing w:val="-16"/>
          <w:sz w:val="26"/>
        </w:rPr>
        <w:t xml:space="preserve"> </w:t>
      </w:r>
      <w:r>
        <w:rPr>
          <w:sz w:val="26"/>
        </w:rPr>
        <w:t>stated</w:t>
      </w:r>
      <w:r>
        <w:rPr>
          <w:spacing w:val="-17"/>
          <w:sz w:val="26"/>
        </w:rPr>
        <w:t xml:space="preserve"> </w:t>
      </w:r>
      <w:r>
        <w:rPr>
          <w:sz w:val="26"/>
        </w:rPr>
        <w:t>that</w:t>
      </w:r>
      <w:r>
        <w:rPr>
          <w:spacing w:val="-16"/>
          <w:sz w:val="26"/>
        </w:rPr>
        <w:t xml:space="preserve"> </w:t>
      </w:r>
      <w:r>
        <w:rPr>
          <w:sz w:val="26"/>
        </w:rPr>
        <w:t>the</w:t>
      </w:r>
      <w:r>
        <w:rPr>
          <w:spacing w:val="-15"/>
          <w:sz w:val="26"/>
        </w:rPr>
        <w:t xml:space="preserve"> </w:t>
      </w:r>
      <w:r>
        <w:rPr>
          <w:sz w:val="26"/>
        </w:rPr>
        <w:t>word</w:t>
      </w:r>
      <w:r>
        <w:rPr>
          <w:spacing w:val="-16"/>
          <w:sz w:val="26"/>
        </w:rPr>
        <w:t xml:space="preserve"> </w:t>
      </w:r>
      <w:r>
        <w:rPr>
          <w:sz w:val="26"/>
        </w:rPr>
        <w:t>“untouchability”</w:t>
      </w:r>
      <w:r>
        <w:rPr>
          <w:spacing w:val="-17"/>
          <w:sz w:val="26"/>
        </w:rPr>
        <w:t xml:space="preserve"> </w:t>
      </w:r>
      <w:r>
        <w:rPr>
          <w:sz w:val="26"/>
        </w:rPr>
        <w:t>has been “put purposely within inverted commas in order to indicate that the Union legislature</w:t>
      </w:r>
      <w:r>
        <w:rPr>
          <w:spacing w:val="-11"/>
          <w:sz w:val="26"/>
        </w:rPr>
        <w:t xml:space="preserve"> </w:t>
      </w:r>
      <w:r>
        <w:rPr>
          <w:sz w:val="26"/>
        </w:rPr>
        <w:t>when</w:t>
      </w:r>
      <w:r>
        <w:rPr>
          <w:spacing w:val="-12"/>
          <w:sz w:val="26"/>
        </w:rPr>
        <w:t xml:space="preserve"> </w:t>
      </w:r>
      <w:r>
        <w:rPr>
          <w:sz w:val="26"/>
        </w:rPr>
        <w:t>it</w:t>
      </w:r>
      <w:r>
        <w:rPr>
          <w:spacing w:val="-13"/>
          <w:sz w:val="26"/>
        </w:rPr>
        <w:t xml:space="preserve"> </w:t>
      </w:r>
      <w:r>
        <w:rPr>
          <w:sz w:val="26"/>
        </w:rPr>
        <w:t>defines</w:t>
      </w:r>
      <w:r>
        <w:rPr>
          <w:spacing w:val="-13"/>
          <w:sz w:val="26"/>
        </w:rPr>
        <w:t xml:space="preserve"> </w:t>
      </w:r>
      <w:r>
        <w:rPr>
          <w:sz w:val="26"/>
        </w:rPr>
        <w:t>‘untouchability’</w:t>
      </w:r>
      <w:r>
        <w:rPr>
          <w:spacing w:val="-11"/>
          <w:sz w:val="26"/>
        </w:rPr>
        <w:t xml:space="preserve"> </w:t>
      </w:r>
      <w:r>
        <w:rPr>
          <w:sz w:val="26"/>
        </w:rPr>
        <w:t>will</w:t>
      </w:r>
      <w:r>
        <w:rPr>
          <w:spacing w:val="-10"/>
          <w:sz w:val="26"/>
        </w:rPr>
        <w:t xml:space="preserve"> </w:t>
      </w:r>
      <w:r>
        <w:rPr>
          <w:sz w:val="26"/>
        </w:rPr>
        <w:t>be</w:t>
      </w:r>
      <w:r>
        <w:rPr>
          <w:spacing w:val="-14"/>
          <w:sz w:val="26"/>
        </w:rPr>
        <w:t xml:space="preserve"> </w:t>
      </w:r>
      <w:r>
        <w:rPr>
          <w:sz w:val="26"/>
        </w:rPr>
        <w:t>able</w:t>
      </w:r>
      <w:r>
        <w:rPr>
          <w:spacing w:val="-12"/>
          <w:sz w:val="26"/>
        </w:rPr>
        <w:t xml:space="preserve"> </w:t>
      </w:r>
      <w:r>
        <w:rPr>
          <w:sz w:val="26"/>
        </w:rPr>
        <w:t>to</w:t>
      </w:r>
      <w:r>
        <w:rPr>
          <w:spacing w:val="-13"/>
          <w:sz w:val="26"/>
        </w:rPr>
        <w:t xml:space="preserve"> </w:t>
      </w:r>
      <w:r>
        <w:rPr>
          <w:sz w:val="26"/>
        </w:rPr>
        <w:t>deal</w:t>
      </w:r>
      <w:r>
        <w:rPr>
          <w:spacing w:val="-11"/>
          <w:sz w:val="26"/>
        </w:rPr>
        <w:t xml:space="preserve"> </w:t>
      </w:r>
      <w:r>
        <w:rPr>
          <w:sz w:val="26"/>
        </w:rPr>
        <w:t>with</w:t>
      </w:r>
      <w:r>
        <w:rPr>
          <w:spacing w:val="-13"/>
          <w:sz w:val="26"/>
        </w:rPr>
        <w:t xml:space="preserve"> </w:t>
      </w:r>
      <w:r>
        <w:rPr>
          <w:sz w:val="26"/>
        </w:rPr>
        <w:t>it</w:t>
      </w:r>
      <w:r>
        <w:rPr>
          <w:spacing w:val="-13"/>
          <w:sz w:val="26"/>
        </w:rPr>
        <w:t xml:space="preserve"> </w:t>
      </w:r>
      <w:r>
        <w:rPr>
          <w:sz w:val="26"/>
        </w:rPr>
        <w:t>in</w:t>
      </w:r>
      <w:r>
        <w:rPr>
          <w:spacing w:val="-12"/>
          <w:sz w:val="26"/>
        </w:rPr>
        <w:t xml:space="preserve"> </w:t>
      </w:r>
      <w:r>
        <w:rPr>
          <w:sz w:val="26"/>
        </w:rPr>
        <w:t>the</w:t>
      </w:r>
      <w:r>
        <w:rPr>
          <w:spacing w:val="-13"/>
          <w:sz w:val="26"/>
        </w:rPr>
        <w:t xml:space="preserve"> </w:t>
      </w:r>
      <w:r>
        <w:rPr>
          <w:sz w:val="26"/>
        </w:rPr>
        <w:t>sense in which it is normally understood”</w:t>
      </w:r>
      <w:r>
        <w:rPr>
          <w:position w:val="9"/>
          <w:sz w:val="17"/>
        </w:rPr>
        <w:t>80</w:t>
      </w:r>
      <w:r>
        <w:rPr>
          <w:sz w:val="26"/>
        </w:rPr>
        <w:t>. Subsequently, only three amendments were</w:t>
      </w:r>
      <w:r>
        <w:rPr>
          <w:spacing w:val="-16"/>
          <w:sz w:val="26"/>
        </w:rPr>
        <w:t xml:space="preserve"> </w:t>
      </w:r>
      <w:r>
        <w:rPr>
          <w:sz w:val="26"/>
        </w:rPr>
        <w:t>moved.</w:t>
      </w:r>
      <w:r>
        <w:rPr>
          <w:spacing w:val="-14"/>
          <w:sz w:val="26"/>
        </w:rPr>
        <w:t xml:space="preserve"> </w:t>
      </w:r>
      <w:r>
        <w:rPr>
          <w:sz w:val="26"/>
        </w:rPr>
        <w:t>H</w:t>
      </w:r>
      <w:r>
        <w:rPr>
          <w:spacing w:val="-16"/>
          <w:sz w:val="26"/>
        </w:rPr>
        <w:t xml:space="preserve"> </w:t>
      </w:r>
      <w:r>
        <w:rPr>
          <w:sz w:val="26"/>
        </w:rPr>
        <w:t>V</w:t>
      </w:r>
      <w:r>
        <w:rPr>
          <w:spacing w:val="-14"/>
          <w:sz w:val="26"/>
        </w:rPr>
        <w:t xml:space="preserve"> </w:t>
      </w:r>
      <w:r>
        <w:rPr>
          <w:sz w:val="26"/>
        </w:rPr>
        <w:t>Kamath</w:t>
      </w:r>
      <w:r>
        <w:rPr>
          <w:spacing w:val="-16"/>
          <w:sz w:val="26"/>
        </w:rPr>
        <w:t xml:space="preserve"> </w:t>
      </w:r>
      <w:r>
        <w:rPr>
          <w:sz w:val="26"/>
        </w:rPr>
        <w:t>sought</w:t>
      </w:r>
      <w:r>
        <w:rPr>
          <w:spacing w:val="-14"/>
          <w:sz w:val="26"/>
        </w:rPr>
        <w:t xml:space="preserve"> </w:t>
      </w:r>
      <w:r>
        <w:rPr>
          <w:sz w:val="26"/>
        </w:rPr>
        <w:t>to</w:t>
      </w:r>
      <w:r>
        <w:rPr>
          <w:spacing w:val="-15"/>
          <w:sz w:val="26"/>
        </w:rPr>
        <w:t xml:space="preserve"> </w:t>
      </w:r>
      <w:r>
        <w:rPr>
          <w:sz w:val="26"/>
        </w:rPr>
        <w:t>insert</w:t>
      </w:r>
      <w:r>
        <w:rPr>
          <w:spacing w:val="-11"/>
          <w:sz w:val="26"/>
        </w:rPr>
        <w:t xml:space="preserve"> </w:t>
      </w:r>
      <w:r>
        <w:rPr>
          <w:sz w:val="26"/>
        </w:rPr>
        <w:t>the</w:t>
      </w:r>
      <w:r>
        <w:rPr>
          <w:spacing w:val="-13"/>
          <w:sz w:val="26"/>
        </w:rPr>
        <w:t xml:space="preserve"> </w:t>
      </w:r>
      <w:r>
        <w:rPr>
          <w:sz w:val="26"/>
        </w:rPr>
        <w:t>word</w:t>
      </w:r>
      <w:r>
        <w:rPr>
          <w:spacing w:val="-16"/>
          <w:sz w:val="26"/>
        </w:rPr>
        <w:t xml:space="preserve"> </w:t>
      </w:r>
      <w:r>
        <w:rPr>
          <w:sz w:val="26"/>
        </w:rPr>
        <w:t>“unapproachability”</w:t>
      </w:r>
      <w:r>
        <w:rPr>
          <w:spacing w:val="-14"/>
          <w:sz w:val="26"/>
        </w:rPr>
        <w:t xml:space="preserve"> </w:t>
      </w:r>
      <w:r>
        <w:rPr>
          <w:sz w:val="26"/>
        </w:rPr>
        <w:t>after</w:t>
      </w:r>
      <w:r>
        <w:rPr>
          <w:spacing w:val="-14"/>
          <w:sz w:val="26"/>
        </w:rPr>
        <w:t xml:space="preserve"> </w:t>
      </w:r>
      <w:r>
        <w:rPr>
          <w:sz w:val="26"/>
        </w:rPr>
        <w:t>the term “untouchability” and the words “and every” after the word “any”. S. Nagappa wanted to substitute the words “imposition of any disability” with the words “observance of any disability”. P Kunhiraman wanted to add the words “punishable</w:t>
      </w:r>
      <w:r>
        <w:rPr>
          <w:spacing w:val="-11"/>
          <w:sz w:val="26"/>
        </w:rPr>
        <w:t xml:space="preserve"> </w:t>
      </w:r>
      <w:r>
        <w:rPr>
          <w:sz w:val="26"/>
        </w:rPr>
        <w:t>by</w:t>
      </w:r>
      <w:r>
        <w:rPr>
          <w:spacing w:val="-14"/>
          <w:sz w:val="26"/>
        </w:rPr>
        <w:t xml:space="preserve"> </w:t>
      </w:r>
      <w:r>
        <w:rPr>
          <w:sz w:val="26"/>
        </w:rPr>
        <w:t>law”</w:t>
      </w:r>
      <w:r>
        <w:rPr>
          <w:spacing w:val="-10"/>
          <w:sz w:val="26"/>
        </w:rPr>
        <w:t xml:space="preserve"> </w:t>
      </w:r>
      <w:r>
        <w:rPr>
          <w:sz w:val="26"/>
        </w:rPr>
        <w:t>after</w:t>
      </w:r>
      <w:r>
        <w:rPr>
          <w:spacing w:val="-12"/>
          <w:sz w:val="26"/>
        </w:rPr>
        <w:t xml:space="preserve"> </w:t>
      </w:r>
      <w:r>
        <w:rPr>
          <w:sz w:val="26"/>
        </w:rPr>
        <w:t>the</w:t>
      </w:r>
      <w:r>
        <w:rPr>
          <w:spacing w:val="-10"/>
          <w:sz w:val="26"/>
        </w:rPr>
        <w:t xml:space="preserve"> </w:t>
      </w:r>
      <w:r>
        <w:rPr>
          <w:sz w:val="26"/>
        </w:rPr>
        <w:t>word</w:t>
      </w:r>
      <w:r>
        <w:rPr>
          <w:spacing w:val="-13"/>
          <w:sz w:val="26"/>
        </w:rPr>
        <w:t xml:space="preserve"> </w:t>
      </w:r>
      <w:r>
        <w:rPr>
          <w:sz w:val="26"/>
        </w:rPr>
        <w:t>“offence”.</w:t>
      </w:r>
      <w:r>
        <w:rPr>
          <w:spacing w:val="-12"/>
          <w:sz w:val="26"/>
        </w:rPr>
        <w:t xml:space="preserve"> </w:t>
      </w:r>
      <w:r>
        <w:rPr>
          <w:sz w:val="26"/>
        </w:rPr>
        <w:t>Vallabhbhai</w:t>
      </w:r>
      <w:r>
        <w:rPr>
          <w:spacing w:val="-12"/>
          <w:sz w:val="26"/>
        </w:rPr>
        <w:t xml:space="preserve"> </w:t>
      </w:r>
      <w:r>
        <w:rPr>
          <w:sz w:val="26"/>
        </w:rPr>
        <w:t>Patel,</w:t>
      </w:r>
      <w:r>
        <w:rPr>
          <w:spacing w:val="-8"/>
          <w:sz w:val="26"/>
        </w:rPr>
        <w:t xml:space="preserve"> </w:t>
      </w:r>
      <w:r>
        <w:rPr>
          <w:sz w:val="26"/>
        </w:rPr>
        <w:t>who</w:t>
      </w:r>
      <w:r>
        <w:rPr>
          <w:spacing w:val="-13"/>
          <w:sz w:val="26"/>
        </w:rPr>
        <w:t xml:space="preserve"> </w:t>
      </w:r>
      <w:r>
        <w:rPr>
          <w:sz w:val="26"/>
        </w:rPr>
        <w:t>had</w:t>
      </w:r>
      <w:r>
        <w:rPr>
          <w:spacing w:val="-13"/>
          <w:sz w:val="26"/>
        </w:rPr>
        <w:t xml:space="preserve"> </w:t>
      </w:r>
      <w:r>
        <w:rPr>
          <w:sz w:val="26"/>
        </w:rPr>
        <w:t>moved the clause, considered the amendments to be unnecessary and</w:t>
      </w:r>
      <w:r>
        <w:rPr>
          <w:spacing w:val="-29"/>
          <w:sz w:val="26"/>
        </w:rPr>
        <w:t xml:space="preserve"> </w:t>
      </w:r>
      <w:r>
        <w:rPr>
          <w:sz w:val="26"/>
        </w:rPr>
        <w:t>observed:</w:t>
      </w:r>
    </w:p>
    <w:p w:rsidR="003B2FC0" w:rsidRDefault="00052A49">
      <w:pPr>
        <w:spacing w:before="195" w:line="276" w:lineRule="auto"/>
        <w:ind w:left="1840" w:right="2280" w:firstLine="9"/>
        <w:jc w:val="both"/>
        <w:rPr>
          <w:sz w:val="21"/>
        </w:rPr>
      </w:pPr>
      <w:r>
        <w:rPr>
          <w:sz w:val="21"/>
        </w:rPr>
        <w:t>“The first amendment is by Mr. Kamath. He wants the</w:t>
      </w:r>
      <w:r>
        <w:rPr>
          <w:spacing w:val="-40"/>
          <w:sz w:val="21"/>
        </w:rPr>
        <w:t xml:space="preserve"> </w:t>
      </w:r>
      <w:r>
        <w:rPr>
          <w:sz w:val="21"/>
        </w:rPr>
        <w:t>addition of</w:t>
      </w:r>
      <w:r>
        <w:rPr>
          <w:spacing w:val="-8"/>
          <w:sz w:val="21"/>
        </w:rPr>
        <w:t xml:space="preserve"> </w:t>
      </w:r>
      <w:r>
        <w:rPr>
          <w:sz w:val="21"/>
        </w:rPr>
        <w:t>the</w:t>
      </w:r>
      <w:r>
        <w:rPr>
          <w:spacing w:val="-8"/>
          <w:sz w:val="21"/>
        </w:rPr>
        <w:t xml:space="preserve"> </w:t>
      </w:r>
      <w:r>
        <w:rPr>
          <w:sz w:val="21"/>
        </w:rPr>
        <w:t>word</w:t>
      </w:r>
      <w:r>
        <w:rPr>
          <w:spacing w:val="-11"/>
          <w:sz w:val="21"/>
        </w:rPr>
        <w:t xml:space="preserve"> </w:t>
      </w:r>
      <w:r>
        <w:rPr>
          <w:sz w:val="21"/>
        </w:rPr>
        <w:t>‘unapproachability’.</w:t>
      </w:r>
      <w:r>
        <w:rPr>
          <w:spacing w:val="-10"/>
          <w:sz w:val="21"/>
        </w:rPr>
        <w:t xml:space="preserve"> </w:t>
      </w:r>
      <w:r>
        <w:rPr>
          <w:sz w:val="21"/>
        </w:rPr>
        <w:t>If untouchability</w:t>
      </w:r>
      <w:r>
        <w:rPr>
          <w:spacing w:val="-6"/>
          <w:sz w:val="21"/>
        </w:rPr>
        <w:t xml:space="preserve"> </w:t>
      </w:r>
      <w:r>
        <w:rPr>
          <w:sz w:val="21"/>
        </w:rPr>
        <w:t>is</w:t>
      </w:r>
      <w:r>
        <w:rPr>
          <w:spacing w:val="-8"/>
          <w:sz w:val="21"/>
        </w:rPr>
        <w:t xml:space="preserve"> </w:t>
      </w:r>
      <w:r>
        <w:rPr>
          <w:sz w:val="21"/>
        </w:rPr>
        <w:t>provided</w:t>
      </w:r>
      <w:r>
        <w:rPr>
          <w:spacing w:val="-9"/>
          <w:sz w:val="21"/>
        </w:rPr>
        <w:t xml:space="preserve"> </w:t>
      </w:r>
      <w:r>
        <w:rPr>
          <w:sz w:val="21"/>
        </w:rPr>
        <w:t>for in the fundamental rights as an offence, all necessary adjustments</w:t>
      </w:r>
      <w:r>
        <w:rPr>
          <w:spacing w:val="-6"/>
          <w:sz w:val="21"/>
        </w:rPr>
        <w:t xml:space="preserve"> </w:t>
      </w:r>
      <w:r>
        <w:rPr>
          <w:sz w:val="21"/>
        </w:rPr>
        <w:t>will</w:t>
      </w:r>
      <w:r>
        <w:rPr>
          <w:spacing w:val="-5"/>
          <w:sz w:val="21"/>
        </w:rPr>
        <w:t xml:space="preserve"> </w:t>
      </w:r>
      <w:r>
        <w:rPr>
          <w:sz w:val="21"/>
        </w:rPr>
        <w:t>be</w:t>
      </w:r>
      <w:r>
        <w:rPr>
          <w:spacing w:val="-8"/>
          <w:sz w:val="21"/>
        </w:rPr>
        <w:t xml:space="preserve"> </w:t>
      </w:r>
      <w:r>
        <w:rPr>
          <w:sz w:val="21"/>
        </w:rPr>
        <w:t>made</w:t>
      </w:r>
      <w:r>
        <w:rPr>
          <w:spacing w:val="-8"/>
          <w:sz w:val="21"/>
        </w:rPr>
        <w:t xml:space="preserve"> </w:t>
      </w:r>
      <w:r>
        <w:rPr>
          <w:sz w:val="21"/>
        </w:rPr>
        <w:t>in</w:t>
      </w:r>
      <w:r>
        <w:rPr>
          <w:spacing w:val="-6"/>
          <w:sz w:val="21"/>
        </w:rPr>
        <w:t xml:space="preserve"> </w:t>
      </w:r>
      <w:r>
        <w:rPr>
          <w:sz w:val="21"/>
        </w:rPr>
        <w:t>the</w:t>
      </w:r>
      <w:r>
        <w:rPr>
          <w:spacing w:val="-6"/>
          <w:sz w:val="21"/>
        </w:rPr>
        <w:t xml:space="preserve"> </w:t>
      </w:r>
      <w:r>
        <w:rPr>
          <w:sz w:val="21"/>
        </w:rPr>
        <w:t>law</w:t>
      </w:r>
      <w:r>
        <w:rPr>
          <w:spacing w:val="-7"/>
          <w:sz w:val="21"/>
        </w:rPr>
        <w:t xml:space="preserve"> </w:t>
      </w:r>
      <w:r>
        <w:rPr>
          <w:sz w:val="21"/>
        </w:rPr>
        <w:t>that</w:t>
      </w:r>
      <w:r>
        <w:rPr>
          <w:spacing w:val="-7"/>
          <w:sz w:val="21"/>
        </w:rPr>
        <w:t xml:space="preserve"> </w:t>
      </w:r>
      <w:r>
        <w:rPr>
          <w:sz w:val="21"/>
        </w:rPr>
        <w:t>may</w:t>
      </w:r>
      <w:r>
        <w:rPr>
          <w:spacing w:val="-8"/>
          <w:sz w:val="21"/>
        </w:rPr>
        <w:t xml:space="preserve"> </w:t>
      </w:r>
      <w:r>
        <w:rPr>
          <w:sz w:val="21"/>
        </w:rPr>
        <w:t>be</w:t>
      </w:r>
      <w:r>
        <w:rPr>
          <w:spacing w:val="-5"/>
          <w:sz w:val="21"/>
        </w:rPr>
        <w:t xml:space="preserve"> </w:t>
      </w:r>
      <w:r>
        <w:rPr>
          <w:sz w:val="21"/>
        </w:rPr>
        <w:t>passed</w:t>
      </w:r>
      <w:r>
        <w:rPr>
          <w:spacing w:val="-6"/>
          <w:sz w:val="21"/>
        </w:rPr>
        <w:t xml:space="preserve"> </w:t>
      </w:r>
      <w:r>
        <w:rPr>
          <w:sz w:val="21"/>
        </w:rPr>
        <w:t>by</w:t>
      </w:r>
      <w:r>
        <w:rPr>
          <w:spacing w:val="-8"/>
          <w:sz w:val="21"/>
        </w:rPr>
        <w:t xml:space="preserve"> </w:t>
      </w:r>
      <w:r>
        <w:rPr>
          <w:sz w:val="21"/>
        </w:rPr>
        <w:t>the Legislature. I do not think it is right or wise to provide for</w:t>
      </w:r>
      <w:r>
        <w:rPr>
          <w:spacing w:val="41"/>
          <w:sz w:val="21"/>
        </w:rPr>
        <w:t xml:space="preserve"> </w:t>
      </w:r>
      <w:r>
        <w:rPr>
          <w:sz w:val="21"/>
        </w:rPr>
        <w:t>such</w:t>
      </w:r>
    </w:p>
    <w:p w:rsidR="003B2FC0" w:rsidRDefault="003B2FC0">
      <w:pPr>
        <w:spacing w:before="5"/>
        <w:rPr>
          <w:sz w:val="10"/>
        </w:rPr>
      </w:pPr>
      <w:r w:rsidRPr="003B2FC0">
        <w:pict>
          <v:line id="_x0000_s1101" style="position:absolute;z-index:251614720;mso-wrap-distance-left:0;mso-wrap-distance-right:0;mso-position-horizontal-relative:page" from="1in,8.35pt" to="216.05pt,8.35pt" strokeweight=".72pt">
            <w10:wrap type="topAndBottom" anchorx="page"/>
          </v:line>
        </w:pict>
      </w:r>
    </w:p>
    <w:p w:rsidR="003B2FC0" w:rsidRDefault="00052A49">
      <w:pPr>
        <w:spacing w:before="66"/>
        <w:ind w:left="400"/>
        <w:rPr>
          <w:sz w:val="18"/>
        </w:rPr>
      </w:pPr>
      <w:r>
        <w:rPr>
          <w:position w:val="6"/>
          <w:sz w:val="12"/>
        </w:rPr>
        <w:t xml:space="preserve">80 </w:t>
      </w:r>
      <w:r>
        <w:rPr>
          <w:sz w:val="18"/>
        </w:rPr>
        <w:t>Constituent Assembly Debates (29 April 1947)</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3"/>
        <w:jc w:val="both"/>
        <w:rPr>
          <w:sz w:val="21"/>
        </w:rPr>
      </w:pPr>
      <w:r>
        <w:rPr>
          <w:sz w:val="21"/>
        </w:rPr>
        <w:t>necessary corollaries and, therefore, I do not accept this amendment.</w:t>
      </w:r>
    </w:p>
    <w:p w:rsidR="003B2FC0" w:rsidRDefault="00052A49">
      <w:pPr>
        <w:spacing w:before="201" w:line="276" w:lineRule="auto"/>
        <w:ind w:left="1840" w:right="2281" w:firstLine="9"/>
        <w:jc w:val="both"/>
        <w:rPr>
          <w:sz w:val="21"/>
        </w:rPr>
      </w:pPr>
      <w:r>
        <w:rPr>
          <w:sz w:val="21"/>
        </w:rPr>
        <w:t xml:space="preserve">The other amendment is by Mr. Nagappa who has suggested that for the words “imposition of any disability’’ the words “observance of any disability’’ may be </w:t>
      </w:r>
      <w:r>
        <w:rPr>
          <w:i/>
          <w:sz w:val="21"/>
        </w:rPr>
        <w:t>substituted</w:t>
      </w:r>
      <w:r>
        <w:rPr>
          <w:sz w:val="21"/>
        </w:rPr>
        <w:t>. I cannot unders</w:t>
      </w:r>
      <w:r>
        <w:rPr>
          <w:sz w:val="21"/>
        </w:rPr>
        <w:t>tand his point. I can observe one man imposing a disability</w:t>
      </w:r>
      <w:r>
        <w:rPr>
          <w:spacing w:val="-9"/>
          <w:sz w:val="21"/>
        </w:rPr>
        <w:t xml:space="preserve"> </w:t>
      </w:r>
      <w:r>
        <w:rPr>
          <w:sz w:val="21"/>
        </w:rPr>
        <w:t>on</w:t>
      </w:r>
      <w:r>
        <w:rPr>
          <w:spacing w:val="-6"/>
          <w:sz w:val="21"/>
        </w:rPr>
        <w:t xml:space="preserve"> </w:t>
      </w:r>
      <w:r>
        <w:rPr>
          <w:sz w:val="21"/>
        </w:rPr>
        <w:t>another,</w:t>
      </w:r>
      <w:r>
        <w:rPr>
          <w:spacing w:val="-8"/>
          <w:sz w:val="21"/>
        </w:rPr>
        <w:t xml:space="preserve"> </w:t>
      </w:r>
      <w:r>
        <w:rPr>
          <w:sz w:val="21"/>
        </w:rPr>
        <w:t>and</w:t>
      </w:r>
      <w:r>
        <w:rPr>
          <w:spacing w:val="-6"/>
          <w:sz w:val="21"/>
        </w:rPr>
        <w:t xml:space="preserve"> </w:t>
      </w:r>
      <w:r>
        <w:rPr>
          <w:sz w:val="21"/>
        </w:rPr>
        <w:t>I</w:t>
      </w:r>
      <w:r>
        <w:rPr>
          <w:spacing w:val="-11"/>
          <w:sz w:val="21"/>
        </w:rPr>
        <w:t xml:space="preserve"> </w:t>
      </w:r>
      <w:r>
        <w:rPr>
          <w:sz w:val="21"/>
        </w:rPr>
        <w:t>will</w:t>
      </w:r>
      <w:r>
        <w:rPr>
          <w:spacing w:val="-5"/>
          <w:sz w:val="21"/>
        </w:rPr>
        <w:t xml:space="preserve"> </w:t>
      </w:r>
      <w:r>
        <w:rPr>
          <w:sz w:val="21"/>
        </w:rPr>
        <w:t>be</w:t>
      </w:r>
      <w:r>
        <w:rPr>
          <w:spacing w:val="-6"/>
          <w:sz w:val="21"/>
        </w:rPr>
        <w:t xml:space="preserve"> </w:t>
      </w:r>
      <w:r>
        <w:rPr>
          <w:sz w:val="21"/>
        </w:rPr>
        <w:t>guilty</w:t>
      </w:r>
      <w:r>
        <w:rPr>
          <w:spacing w:val="-8"/>
          <w:sz w:val="21"/>
        </w:rPr>
        <w:t xml:space="preserve"> </w:t>
      </w:r>
      <w:r>
        <w:rPr>
          <w:sz w:val="21"/>
        </w:rPr>
        <w:t>I</w:t>
      </w:r>
      <w:r>
        <w:rPr>
          <w:spacing w:val="-7"/>
          <w:sz w:val="21"/>
        </w:rPr>
        <w:t xml:space="preserve"> </w:t>
      </w:r>
      <w:r>
        <w:rPr>
          <w:sz w:val="21"/>
        </w:rPr>
        <w:t>have</w:t>
      </w:r>
      <w:r>
        <w:rPr>
          <w:spacing w:val="-7"/>
          <w:sz w:val="21"/>
        </w:rPr>
        <w:t xml:space="preserve"> </w:t>
      </w:r>
      <w:r>
        <w:rPr>
          <w:sz w:val="21"/>
        </w:rPr>
        <w:t>observed</w:t>
      </w:r>
      <w:r>
        <w:rPr>
          <w:spacing w:val="-6"/>
          <w:sz w:val="21"/>
        </w:rPr>
        <w:t xml:space="preserve"> </w:t>
      </w:r>
      <w:r>
        <w:rPr>
          <w:sz w:val="21"/>
        </w:rPr>
        <w:t>it.</w:t>
      </w:r>
      <w:r>
        <w:rPr>
          <w:spacing w:val="-7"/>
          <w:sz w:val="21"/>
        </w:rPr>
        <w:t xml:space="preserve"> </w:t>
      </w:r>
      <w:r>
        <w:rPr>
          <w:sz w:val="21"/>
        </w:rPr>
        <w:t>I</w:t>
      </w:r>
      <w:r>
        <w:rPr>
          <w:spacing w:val="-7"/>
          <w:sz w:val="21"/>
        </w:rPr>
        <w:t xml:space="preserve"> </w:t>
      </w:r>
      <w:r>
        <w:rPr>
          <w:sz w:val="21"/>
        </w:rPr>
        <w:t>do not think such extreme things should be provided for. The removal    of untouchability is     the     main     idea,     and     if untouc</w:t>
      </w:r>
      <w:r>
        <w:rPr>
          <w:sz w:val="21"/>
        </w:rPr>
        <w:t>hability</w:t>
      </w:r>
      <w:r>
        <w:rPr>
          <w:spacing w:val="-2"/>
          <w:sz w:val="21"/>
        </w:rPr>
        <w:t xml:space="preserve"> </w:t>
      </w:r>
      <w:r>
        <w:rPr>
          <w:sz w:val="21"/>
        </w:rPr>
        <w:t>is</w:t>
      </w:r>
      <w:r>
        <w:rPr>
          <w:spacing w:val="-16"/>
          <w:sz w:val="21"/>
        </w:rPr>
        <w:t xml:space="preserve"> </w:t>
      </w:r>
      <w:r>
        <w:rPr>
          <w:sz w:val="21"/>
        </w:rPr>
        <w:t>made</w:t>
      </w:r>
      <w:r>
        <w:rPr>
          <w:spacing w:val="-16"/>
          <w:sz w:val="21"/>
        </w:rPr>
        <w:t xml:space="preserve"> </w:t>
      </w:r>
      <w:r>
        <w:rPr>
          <w:sz w:val="21"/>
        </w:rPr>
        <w:t>illegal</w:t>
      </w:r>
      <w:r>
        <w:rPr>
          <w:spacing w:val="-15"/>
          <w:sz w:val="21"/>
        </w:rPr>
        <w:t xml:space="preserve"> </w:t>
      </w:r>
      <w:r>
        <w:rPr>
          <w:sz w:val="21"/>
        </w:rPr>
        <w:t>or</w:t>
      </w:r>
      <w:r>
        <w:rPr>
          <w:spacing w:val="-16"/>
          <w:sz w:val="21"/>
        </w:rPr>
        <w:t xml:space="preserve"> </w:t>
      </w:r>
      <w:r>
        <w:rPr>
          <w:sz w:val="21"/>
        </w:rPr>
        <w:t>an</w:t>
      </w:r>
      <w:r>
        <w:rPr>
          <w:spacing w:val="-15"/>
          <w:sz w:val="21"/>
        </w:rPr>
        <w:t xml:space="preserve"> </w:t>
      </w:r>
      <w:r>
        <w:rPr>
          <w:sz w:val="21"/>
        </w:rPr>
        <w:t>offence,</w:t>
      </w:r>
      <w:r>
        <w:rPr>
          <w:spacing w:val="-16"/>
          <w:sz w:val="21"/>
        </w:rPr>
        <w:t xml:space="preserve"> </w:t>
      </w:r>
      <w:r>
        <w:rPr>
          <w:sz w:val="21"/>
        </w:rPr>
        <w:t>it</w:t>
      </w:r>
      <w:r>
        <w:rPr>
          <w:spacing w:val="-17"/>
          <w:sz w:val="21"/>
        </w:rPr>
        <w:t xml:space="preserve"> </w:t>
      </w:r>
      <w:r>
        <w:rPr>
          <w:sz w:val="21"/>
        </w:rPr>
        <w:t>is</w:t>
      </w:r>
      <w:r>
        <w:rPr>
          <w:spacing w:val="-16"/>
          <w:sz w:val="21"/>
        </w:rPr>
        <w:t xml:space="preserve"> </w:t>
      </w:r>
      <w:r>
        <w:rPr>
          <w:sz w:val="21"/>
        </w:rPr>
        <w:t>quite</w:t>
      </w:r>
      <w:r>
        <w:rPr>
          <w:spacing w:val="-16"/>
          <w:sz w:val="21"/>
        </w:rPr>
        <w:t xml:space="preserve"> </w:t>
      </w:r>
      <w:r>
        <w:rPr>
          <w:sz w:val="21"/>
        </w:rPr>
        <w:t>enough.</w:t>
      </w:r>
    </w:p>
    <w:p w:rsidR="003B2FC0" w:rsidRDefault="00052A49">
      <w:pPr>
        <w:spacing w:before="200" w:line="276" w:lineRule="auto"/>
        <w:ind w:left="1840" w:right="2280" w:firstLine="9"/>
        <w:jc w:val="both"/>
        <w:rPr>
          <w:sz w:val="21"/>
        </w:rPr>
      </w:pPr>
      <w:r>
        <w:rPr>
          <w:sz w:val="21"/>
        </w:rPr>
        <w:t>The next amendment was moved by Mr. Kunhiraman. He has suggested the insertion of ‘punishable by law’. We have provided that imposition of untouchability shall be an offence. Perhaps his idea is that an offence could be excusable, or sometimes an offence m</w:t>
      </w:r>
      <w:r>
        <w:rPr>
          <w:sz w:val="21"/>
        </w:rPr>
        <w:t>ay be rewarded. Offence is an offence; it is not necessary to provide that offence should be punishable by law. Sir, I do not accept this amendment</w:t>
      </w:r>
      <w:r>
        <w:rPr>
          <w:spacing w:val="-15"/>
          <w:sz w:val="21"/>
        </w:rPr>
        <w:t xml:space="preserve"> </w:t>
      </w:r>
      <w:r>
        <w:rPr>
          <w:sz w:val="21"/>
        </w:rPr>
        <w:t>either.</w:t>
      </w:r>
    </w:p>
    <w:p w:rsidR="003B2FC0" w:rsidRDefault="00052A49">
      <w:pPr>
        <w:spacing w:before="200" w:line="273" w:lineRule="auto"/>
        <w:ind w:left="1840" w:right="2283" w:firstLine="9"/>
        <w:jc w:val="both"/>
        <w:rPr>
          <w:sz w:val="14"/>
        </w:rPr>
      </w:pPr>
      <w:r>
        <w:rPr>
          <w:sz w:val="21"/>
        </w:rPr>
        <w:t>Then, it was proposed that for the words ‘any form’, the words ‘all forms’ be substituted. Untouchab</w:t>
      </w:r>
      <w:r>
        <w:rPr>
          <w:sz w:val="21"/>
        </w:rPr>
        <w:t>ility in any form is a legal phraseology, and no more addition is necessary.”</w:t>
      </w:r>
      <w:r>
        <w:rPr>
          <w:position w:val="7"/>
          <w:sz w:val="14"/>
        </w:rPr>
        <w:t>81</w:t>
      </w:r>
    </w:p>
    <w:p w:rsidR="003B2FC0" w:rsidRDefault="003B2FC0">
      <w:pPr>
        <w:rPr>
          <w:sz w:val="24"/>
        </w:rPr>
      </w:pPr>
    </w:p>
    <w:p w:rsidR="003B2FC0" w:rsidRDefault="003B2FC0">
      <w:pPr>
        <w:rPr>
          <w:sz w:val="24"/>
        </w:rPr>
      </w:pPr>
    </w:p>
    <w:p w:rsidR="003B2FC0" w:rsidRDefault="00052A49">
      <w:pPr>
        <w:spacing w:before="143" w:line="480" w:lineRule="auto"/>
        <w:ind w:left="400" w:right="434"/>
        <w:jc w:val="both"/>
        <w:rPr>
          <w:sz w:val="26"/>
        </w:rPr>
      </w:pPr>
      <w:r>
        <w:rPr>
          <w:sz w:val="26"/>
        </w:rPr>
        <w:t>After Patel’s explanation, HV Kamath and P Kunhiraman withdrew their amendments, while the amendment moved by Nagappan was rejected.</w:t>
      </w:r>
      <w:r>
        <w:rPr>
          <w:spacing w:val="-40"/>
          <w:sz w:val="26"/>
        </w:rPr>
        <w:t xml:space="preserve"> </w:t>
      </w:r>
      <w:r>
        <w:rPr>
          <w:sz w:val="26"/>
        </w:rPr>
        <w:t>Clause 6</w:t>
      </w:r>
      <w:r>
        <w:rPr>
          <w:spacing w:val="-4"/>
          <w:sz w:val="26"/>
        </w:rPr>
        <w:t xml:space="preserve"> </w:t>
      </w:r>
      <w:r>
        <w:rPr>
          <w:sz w:val="26"/>
        </w:rPr>
        <w:t>was</w:t>
      </w:r>
      <w:r>
        <w:rPr>
          <w:spacing w:val="-5"/>
          <w:sz w:val="26"/>
        </w:rPr>
        <w:t xml:space="preserve"> </w:t>
      </w:r>
      <w:r>
        <w:rPr>
          <w:sz w:val="26"/>
        </w:rPr>
        <w:t>adopted</w:t>
      </w:r>
      <w:r>
        <w:rPr>
          <w:spacing w:val="-3"/>
          <w:sz w:val="26"/>
        </w:rPr>
        <w:t xml:space="preserve"> </w:t>
      </w:r>
      <w:r>
        <w:rPr>
          <w:sz w:val="26"/>
        </w:rPr>
        <w:t>by</w:t>
      </w:r>
      <w:r>
        <w:rPr>
          <w:spacing w:val="-9"/>
          <w:sz w:val="26"/>
        </w:rPr>
        <w:t xml:space="preserve"> </w:t>
      </w:r>
      <w:r>
        <w:rPr>
          <w:sz w:val="26"/>
        </w:rPr>
        <w:t>the</w:t>
      </w:r>
      <w:r>
        <w:rPr>
          <w:spacing w:val="-6"/>
          <w:sz w:val="26"/>
        </w:rPr>
        <w:t xml:space="preserve"> </w:t>
      </w:r>
      <w:r>
        <w:rPr>
          <w:sz w:val="26"/>
        </w:rPr>
        <w:t>Constituent</w:t>
      </w:r>
      <w:r>
        <w:rPr>
          <w:spacing w:val="-5"/>
          <w:sz w:val="26"/>
        </w:rPr>
        <w:t xml:space="preserve"> </w:t>
      </w:r>
      <w:r>
        <w:rPr>
          <w:sz w:val="26"/>
        </w:rPr>
        <w:t>A</w:t>
      </w:r>
      <w:r>
        <w:rPr>
          <w:sz w:val="26"/>
        </w:rPr>
        <w:t>ssembly.</w:t>
      </w:r>
      <w:r>
        <w:rPr>
          <w:spacing w:val="-6"/>
          <w:sz w:val="26"/>
        </w:rPr>
        <w:t xml:space="preserve"> </w:t>
      </w:r>
      <w:r>
        <w:rPr>
          <w:sz w:val="26"/>
        </w:rPr>
        <w:t>However,</w:t>
      </w:r>
      <w:r>
        <w:rPr>
          <w:spacing w:val="-6"/>
          <w:sz w:val="26"/>
        </w:rPr>
        <w:t xml:space="preserve"> </w:t>
      </w:r>
      <w:r>
        <w:rPr>
          <w:sz w:val="26"/>
        </w:rPr>
        <w:t>in</w:t>
      </w:r>
      <w:r>
        <w:rPr>
          <w:spacing w:val="-7"/>
          <w:sz w:val="26"/>
        </w:rPr>
        <w:t xml:space="preserve"> </w:t>
      </w:r>
      <w:r>
        <w:rPr>
          <w:sz w:val="26"/>
        </w:rPr>
        <w:t>the</w:t>
      </w:r>
      <w:r>
        <w:rPr>
          <w:spacing w:val="-4"/>
          <w:sz w:val="26"/>
        </w:rPr>
        <w:t xml:space="preserve"> </w:t>
      </w:r>
      <w:r>
        <w:rPr>
          <w:sz w:val="26"/>
        </w:rPr>
        <w:t>Draft</w:t>
      </w:r>
      <w:r>
        <w:rPr>
          <w:spacing w:val="-3"/>
          <w:sz w:val="26"/>
        </w:rPr>
        <w:t xml:space="preserve"> </w:t>
      </w:r>
      <w:r>
        <w:rPr>
          <w:sz w:val="26"/>
        </w:rPr>
        <w:t>Constitution (dated October 1947) prepared by the constitutional advisor, B N Rau, the</w:t>
      </w:r>
      <w:r>
        <w:rPr>
          <w:spacing w:val="-41"/>
          <w:sz w:val="26"/>
        </w:rPr>
        <w:t xml:space="preserve"> </w:t>
      </w:r>
      <w:r>
        <w:rPr>
          <w:sz w:val="26"/>
        </w:rPr>
        <w:t xml:space="preserve">third amendment moved by Kunhiraman was adopted in effect and after the word “offence” the words “which shall be punishable in accordance </w:t>
      </w:r>
      <w:r>
        <w:rPr>
          <w:sz w:val="26"/>
        </w:rPr>
        <w:t>with law” were inserted.</w:t>
      </w:r>
      <w:r>
        <w:rPr>
          <w:position w:val="9"/>
          <w:sz w:val="17"/>
        </w:rPr>
        <w:t xml:space="preserve">82 </w:t>
      </w:r>
      <w:r>
        <w:rPr>
          <w:sz w:val="26"/>
        </w:rPr>
        <w:t>On 30-31 October 1947, the Drafting Committee considered the “untouchability” provision and redrafted it as article 11. It was proposed</w:t>
      </w:r>
      <w:r>
        <w:rPr>
          <w:position w:val="9"/>
          <w:sz w:val="17"/>
        </w:rPr>
        <w:t xml:space="preserve">83 </w:t>
      </w:r>
      <w:r>
        <w:rPr>
          <w:sz w:val="26"/>
        </w:rPr>
        <w:t>by Dr Ambedkar before the Constituent Assembly as</w:t>
      </w:r>
      <w:r>
        <w:rPr>
          <w:spacing w:val="-4"/>
          <w:sz w:val="26"/>
        </w:rPr>
        <w:t xml:space="preserve"> </w:t>
      </w:r>
      <w:r>
        <w:rPr>
          <w:sz w:val="26"/>
        </w:rPr>
        <w:t>follows:</w:t>
      </w:r>
    </w:p>
    <w:p w:rsidR="003B2FC0" w:rsidRDefault="003B2FC0">
      <w:pPr>
        <w:rPr>
          <w:sz w:val="20"/>
        </w:rPr>
      </w:pPr>
    </w:p>
    <w:p w:rsidR="003B2FC0" w:rsidRDefault="003B2FC0">
      <w:pPr>
        <w:spacing w:before="2"/>
        <w:rPr>
          <w:sz w:val="26"/>
        </w:rPr>
      </w:pPr>
      <w:r w:rsidRPr="003B2FC0">
        <w:pict>
          <v:line id="_x0000_s1100" style="position:absolute;z-index:251615744;mso-wrap-distance-left:0;mso-wrap-distance-right:0;mso-position-horizontal-relative:page" from="1in,17.4pt" to="216.05pt,17.4pt" strokeweight=".72pt">
            <w10:wrap type="topAndBottom" anchorx="page"/>
          </v:line>
        </w:pict>
      </w:r>
    </w:p>
    <w:p w:rsidR="003B2FC0" w:rsidRDefault="00052A49">
      <w:pPr>
        <w:spacing w:before="66" w:line="209" w:lineRule="exact"/>
        <w:ind w:left="400"/>
        <w:rPr>
          <w:sz w:val="18"/>
        </w:rPr>
      </w:pPr>
      <w:r>
        <w:rPr>
          <w:position w:val="6"/>
          <w:sz w:val="12"/>
        </w:rPr>
        <w:t xml:space="preserve">81 </w:t>
      </w:r>
      <w:r>
        <w:rPr>
          <w:sz w:val="18"/>
        </w:rPr>
        <w:t>Constituent Assembly Debates (29 April 1947)</w:t>
      </w:r>
    </w:p>
    <w:p w:rsidR="003B2FC0" w:rsidRDefault="00052A49">
      <w:pPr>
        <w:ind w:left="580" w:right="434" w:hanging="180"/>
        <w:rPr>
          <w:sz w:val="18"/>
        </w:rPr>
      </w:pPr>
      <w:r>
        <w:rPr>
          <w:position w:val="6"/>
          <w:sz w:val="12"/>
        </w:rPr>
        <w:t xml:space="preserve">82 </w:t>
      </w:r>
      <w:r>
        <w:rPr>
          <w:sz w:val="18"/>
        </w:rPr>
        <w:t>B Shiva Rao, The Framing of India’s Constitution: A Study, Indian Institution of Public Administration (1968), at page</w:t>
      </w:r>
      <w:r>
        <w:rPr>
          <w:spacing w:val="-2"/>
          <w:sz w:val="18"/>
        </w:rPr>
        <w:t xml:space="preserve"> </w:t>
      </w:r>
      <w:r>
        <w:rPr>
          <w:sz w:val="18"/>
        </w:rPr>
        <w:t>204</w:t>
      </w:r>
    </w:p>
    <w:p w:rsidR="003B2FC0" w:rsidRDefault="00052A49">
      <w:pPr>
        <w:spacing w:line="242" w:lineRule="auto"/>
        <w:ind w:left="580" w:right="434" w:hanging="180"/>
        <w:rPr>
          <w:sz w:val="18"/>
        </w:rPr>
      </w:pPr>
      <w:r>
        <w:rPr>
          <w:position w:val="6"/>
          <w:sz w:val="12"/>
        </w:rPr>
        <w:t xml:space="preserve">83 </w:t>
      </w:r>
      <w:r>
        <w:rPr>
          <w:sz w:val="18"/>
        </w:rPr>
        <w:t>B Shiva Rao, The Framing of India’s Constitution: A Study, Indian Institution of Public Administration (1968), at page</w:t>
      </w:r>
      <w:r>
        <w:rPr>
          <w:spacing w:val="-2"/>
          <w:sz w:val="18"/>
        </w:rPr>
        <w:t xml:space="preserve"> </w:t>
      </w:r>
      <w:r>
        <w:rPr>
          <w:sz w:val="18"/>
        </w:rPr>
        <w:t>205</w:t>
      </w:r>
    </w:p>
    <w:p w:rsidR="003B2FC0" w:rsidRDefault="003B2FC0">
      <w:pPr>
        <w:spacing w:line="242" w:lineRule="auto"/>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5" w:firstLine="9"/>
        <w:jc w:val="both"/>
        <w:rPr>
          <w:sz w:val="21"/>
        </w:rPr>
      </w:pPr>
      <w:r>
        <w:rPr>
          <w:sz w:val="21"/>
        </w:rPr>
        <w:t>““Untouchability” is abolished and its practice in any form is forbidden. The enforcement of any disability arisin</w:t>
      </w:r>
      <w:r>
        <w:rPr>
          <w:sz w:val="21"/>
        </w:rPr>
        <w:t>g out of “untouchability” shall be an offence punishable in accordance with law.”</w:t>
      </w:r>
    </w:p>
    <w:p w:rsidR="003B2FC0" w:rsidRDefault="003B2FC0">
      <w:pPr>
        <w:rPr>
          <w:sz w:val="24"/>
        </w:rPr>
      </w:pPr>
    </w:p>
    <w:p w:rsidR="003B2FC0" w:rsidRDefault="003B2FC0">
      <w:pPr>
        <w:rPr>
          <w:sz w:val="24"/>
        </w:rPr>
      </w:pPr>
    </w:p>
    <w:p w:rsidR="003B2FC0" w:rsidRDefault="00052A49">
      <w:pPr>
        <w:spacing w:before="141" w:line="477" w:lineRule="auto"/>
        <w:ind w:left="400" w:right="436"/>
        <w:jc w:val="both"/>
        <w:rPr>
          <w:sz w:val="26"/>
        </w:rPr>
      </w:pPr>
      <w:r>
        <w:rPr>
          <w:sz w:val="26"/>
        </w:rPr>
        <w:t>In response to comments and representations received on the Draft Constitution,</w:t>
      </w:r>
      <w:r>
        <w:rPr>
          <w:spacing w:val="-13"/>
          <w:sz w:val="26"/>
        </w:rPr>
        <w:t xml:space="preserve"> </w:t>
      </w:r>
      <w:r>
        <w:rPr>
          <w:sz w:val="26"/>
        </w:rPr>
        <w:t>B</w:t>
      </w:r>
      <w:r>
        <w:rPr>
          <w:spacing w:val="-15"/>
          <w:sz w:val="26"/>
        </w:rPr>
        <w:t xml:space="preserve"> </w:t>
      </w:r>
      <w:r>
        <w:rPr>
          <w:sz w:val="26"/>
        </w:rPr>
        <w:t>N</w:t>
      </w:r>
      <w:r>
        <w:rPr>
          <w:spacing w:val="-12"/>
          <w:sz w:val="26"/>
        </w:rPr>
        <w:t xml:space="preserve"> </w:t>
      </w:r>
      <w:r>
        <w:rPr>
          <w:sz w:val="26"/>
        </w:rPr>
        <w:t>Rau</w:t>
      </w:r>
      <w:r>
        <w:rPr>
          <w:spacing w:val="-15"/>
          <w:sz w:val="26"/>
        </w:rPr>
        <w:t xml:space="preserve"> </w:t>
      </w:r>
      <w:r>
        <w:rPr>
          <w:sz w:val="26"/>
        </w:rPr>
        <w:t>reiterated</w:t>
      </w:r>
      <w:r>
        <w:rPr>
          <w:spacing w:val="-12"/>
          <w:sz w:val="26"/>
        </w:rPr>
        <w:t xml:space="preserve"> </w:t>
      </w:r>
      <w:r>
        <w:rPr>
          <w:sz w:val="26"/>
        </w:rPr>
        <w:t>that</w:t>
      </w:r>
      <w:r>
        <w:rPr>
          <w:spacing w:val="-13"/>
          <w:sz w:val="26"/>
        </w:rPr>
        <w:t xml:space="preserve"> </w:t>
      </w:r>
      <w:r>
        <w:rPr>
          <w:sz w:val="26"/>
        </w:rPr>
        <w:t>Parliament</w:t>
      </w:r>
      <w:r>
        <w:rPr>
          <w:spacing w:val="-13"/>
          <w:sz w:val="26"/>
        </w:rPr>
        <w:t xml:space="preserve"> </w:t>
      </w:r>
      <w:r>
        <w:rPr>
          <w:sz w:val="26"/>
        </w:rPr>
        <w:t>would</w:t>
      </w:r>
      <w:r>
        <w:rPr>
          <w:spacing w:val="-12"/>
          <w:sz w:val="26"/>
        </w:rPr>
        <w:t xml:space="preserve"> </w:t>
      </w:r>
      <w:r>
        <w:rPr>
          <w:sz w:val="26"/>
        </w:rPr>
        <w:t>have</w:t>
      </w:r>
      <w:r>
        <w:rPr>
          <w:spacing w:val="-15"/>
          <w:sz w:val="26"/>
        </w:rPr>
        <w:t xml:space="preserve"> </w:t>
      </w:r>
      <w:r>
        <w:rPr>
          <w:sz w:val="26"/>
        </w:rPr>
        <w:t>to</w:t>
      </w:r>
      <w:r>
        <w:rPr>
          <w:spacing w:val="-10"/>
          <w:sz w:val="26"/>
        </w:rPr>
        <w:t xml:space="preserve"> </w:t>
      </w:r>
      <w:r>
        <w:rPr>
          <w:sz w:val="26"/>
        </w:rPr>
        <w:t>enact</w:t>
      </w:r>
      <w:r>
        <w:rPr>
          <w:spacing w:val="-14"/>
          <w:sz w:val="26"/>
        </w:rPr>
        <w:t xml:space="preserve"> </w:t>
      </w:r>
      <w:r>
        <w:rPr>
          <w:sz w:val="26"/>
        </w:rPr>
        <w:t>legislation, which would provide a de</w:t>
      </w:r>
      <w:r>
        <w:rPr>
          <w:sz w:val="26"/>
        </w:rPr>
        <w:t>finition of “untouchability”.</w:t>
      </w:r>
      <w:r>
        <w:rPr>
          <w:position w:val="9"/>
          <w:sz w:val="17"/>
        </w:rPr>
        <w:t xml:space="preserve">84 </w:t>
      </w:r>
      <w:r>
        <w:rPr>
          <w:sz w:val="26"/>
        </w:rPr>
        <w:t xml:space="preserve">When the draft Article 11 came for discussion before the Constituent Assembly on 29 November </w:t>
      </w:r>
      <w:r>
        <w:rPr>
          <w:spacing w:val="-4"/>
          <w:sz w:val="26"/>
        </w:rPr>
        <w:t xml:space="preserve">1948, </w:t>
      </w:r>
      <w:r>
        <w:rPr>
          <w:sz w:val="26"/>
        </w:rPr>
        <w:t>one member, Naziruddin Ahmad, sought to substitute it by the following</w:t>
      </w:r>
      <w:r>
        <w:rPr>
          <w:spacing w:val="-39"/>
          <w:sz w:val="26"/>
        </w:rPr>
        <w:t xml:space="preserve"> </w:t>
      </w:r>
      <w:r>
        <w:rPr>
          <w:sz w:val="26"/>
        </w:rPr>
        <w:t>Article:</w:t>
      </w:r>
    </w:p>
    <w:p w:rsidR="003B2FC0" w:rsidRDefault="00052A49">
      <w:pPr>
        <w:spacing w:before="209" w:line="273" w:lineRule="auto"/>
        <w:ind w:left="1840" w:right="2285" w:firstLine="9"/>
        <w:jc w:val="both"/>
        <w:rPr>
          <w:sz w:val="14"/>
        </w:rPr>
      </w:pPr>
      <w:r>
        <w:rPr>
          <w:sz w:val="21"/>
        </w:rPr>
        <w:t>“No one shall on account of his religion or c</w:t>
      </w:r>
      <w:r>
        <w:rPr>
          <w:sz w:val="21"/>
        </w:rPr>
        <w:t>aste be treated or regarded as an ‘untouchable’; and its observance in any form may be made punishable by law.”</w:t>
      </w:r>
      <w:r>
        <w:rPr>
          <w:position w:val="7"/>
          <w:sz w:val="14"/>
        </w:rPr>
        <w:t>85</w:t>
      </w:r>
    </w:p>
    <w:p w:rsidR="003B2FC0" w:rsidRDefault="003B2FC0">
      <w:pPr>
        <w:rPr>
          <w:sz w:val="24"/>
        </w:rPr>
      </w:pPr>
    </w:p>
    <w:p w:rsidR="003B2FC0" w:rsidRDefault="003B2FC0">
      <w:pPr>
        <w:rPr>
          <w:sz w:val="24"/>
        </w:rPr>
      </w:pPr>
    </w:p>
    <w:p w:rsidR="003B2FC0" w:rsidRDefault="00052A49">
      <w:pPr>
        <w:spacing w:before="143" w:line="480" w:lineRule="auto"/>
        <w:ind w:left="400" w:right="388"/>
        <w:jc w:val="both"/>
        <w:rPr>
          <w:sz w:val="26"/>
        </w:rPr>
      </w:pPr>
      <w:r>
        <w:rPr>
          <w:sz w:val="26"/>
        </w:rPr>
        <w:t>The</w:t>
      </w:r>
      <w:r>
        <w:rPr>
          <w:spacing w:val="-8"/>
          <w:sz w:val="26"/>
        </w:rPr>
        <w:t xml:space="preserve"> </w:t>
      </w:r>
      <w:r>
        <w:rPr>
          <w:sz w:val="26"/>
        </w:rPr>
        <w:t>amendment</w:t>
      </w:r>
      <w:r>
        <w:rPr>
          <w:spacing w:val="-5"/>
          <w:sz w:val="26"/>
        </w:rPr>
        <w:t xml:space="preserve"> </w:t>
      </w:r>
      <w:r>
        <w:rPr>
          <w:sz w:val="26"/>
        </w:rPr>
        <w:t>proposed</w:t>
      </w:r>
      <w:r>
        <w:rPr>
          <w:spacing w:val="-2"/>
          <w:sz w:val="26"/>
        </w:rPr>
        <w:t xml:space="preserve"> </w:t>
      </w:r>
      <w:r>
        <w:rPr>
          <w:sz w:val="26"/>
        </w:rPr>
        <w:t>would</w:t>
      </w:r>
      <w:r>
        <w:rPr>
          <w:spacing w:val="-7"/>
          <w:sz w:val="26"/>
        </w:rPr>
        <w:t xml:space="preserve"> </w:t>
      </w:r>
      <w:r>
        <w:rPr>
          <w:sz w:val="26"/>
        </w:rPr>
        <w:t>obviously</w:t>
      </w:r>
      <w:r>
        <w:rPr>
          <w:spacing w:val="-7"/>
          <w:sz w:val="26"/>
        </w:rPr>
        <w:t xml:space="preserve"> </w:t>
      </w:r>
      <w:r>
        <w:rPr>
          <w:sz w:val="26"/>
        </w:rPr>
        <w:t>restrict</w:t>
      </w:r>
      <w:r>
        <w:rPr>
          <w:spacing w:val="-7"/>
          <w:sz w:val="26"/>
        </w:rPr>
        <w:t xml:space="preserve"> </w:t>
      </w:r>
      <w:r>
        <w:rPr>
          <w:sz w:val="26"/>
        </w:rPr>
        <w:t>untouchability</w:t>
      </w:r>
      <w:r>
        <w:rPr>
          <w:spacing w:val="-7"/>
          <w:sz w:val="26"/>
        </w:rPr>
        <w:t xml:space="preserve"> </w:t>
      </w:r>
      <w:r>
        <w:rPr>
          <w:sz w:val="26"/>
        </w:rPr>
        <w:t>to</w:t>
      </w:r>
      <w:r>
        <w:rPr>
          <w:spacing w:val="-7"/>
          <w:sz w:val="26"/>
        </w:rPr>
        <w:t xml:space="preserve"> </w:t>
      </w:r>
      <w:r>
        <w:rPr>
          <w:sz w:val="26"/>
        </w:rPr>
        <w:t>its</w:t>
      </w:r>
      <w:r>
        <w:rPr>
          <w:spacing w:val="-7"/>
          <w:sz w:val="26"/>
        </w:rPr>
        <w:t xml:space="preserve"> </w:t>
      </w:r>
      <w:r>
        <w:rPr>
          <w:sz w:val="26"/>
        </w:rPr>
        <w:t>religious and</w:t>
      </w:r>
      <w:r>
        <w:rPr>
          <w:spacing w:val="-17"/>
          <w:sz w:val="26"/>
        </w:rPr>
        <w:t xml:space="preserve"> </w:t>
      </w:r>
      <w:r>
        <w:rPr>
          <w:sz w:val="26"/>
        </w:rPr>
        <w:t>caste-based</w:t>
      </w:r>
      <w:r>
        <w:rPr>
          <w:spacing w:val="-14"/>
          <w:sz w:val="26"/>
        </w:rPr>
        <w:t xml:space="preserve"> </w:t>
      </w:r>
      <w:r>
        <w:rPr>
          <w:sz w:val="26"/>
        </w:rPr>
        <w:t>manifestations.</w:t>
      </w:r>
      <w:r>
        <w:rPr>
          <w:spacing w:val="-15"/>
          <w:sz w:val="26"/>
        </w:rPr>
        <w:t xml:space="preserve"> </w:t>
      </w:r>
      <w:r>
        <w:rPr>
          <w:sz w:val="26"/>
        </w:rPr>
        <w:t>Naziruddin</w:t>
      </w:r>
      <w:r>
        <w:rPr>
          <w:spacing w:val="-16"/>
          <w:sz w:val="26"/>
        </w:rPr>
        <w:t xml:space="preserve"> </w:t>
      </w:r>
      <w:r>
        <w:rPr>
          <w:sz w:val="26"/>
        </w:rPr>
        <w:t>Ahmad</w:t>
      </w:r>
      <w:r>
        <w:rPr>
          <w:spacing w:val="-15"/>
          <w:sz w:val="26"/>
        </w:rPr>
        <w:t xml:space="preserve"> </w:t>
      </w:r>
      <w:r>
        <w:rPr>
          <w:sz w:val="26"/>
        </w:rPr>
        <w:t>supported</w:t>
      </w:r>
      <w:r>
        <w:rPr>
          <w:spacing w:val="-14"/>
          <w:sz w:val="26"/>
        </w:rPr>
        <w:t xml:space="preserve"> </w:t>
      </w:r>
      <w:r>
        <w:rPr>
          <w:sz w:val="26"/>
        </w:rPr>
        <w:t>his</w:t>
      </w:r>
      <w:r>
        <w:rPr>
          <w:spacing w:val="-17"/>
          <w:sz w:val="26"/>
        </w:rPr>
        <w:t xml:space="preserve"> </w:t>
      </w:r>
      <w:r>
        <w:rPr>
          <w:sz w:val="26"/>
        </w:rPr>
        <w:t>contention</w:t>
      </w:r>
      <w:r>
        <w:rPr>
          <w:spacing w:val="-14"/>
          <w:sz w:val="26"/>
        </w:rPr>
        <w:t xml:space="preserve"> </w:t>
      </w:r>
      <w:r>
        <w:rPr>
          <w:sz w:val="26"/>
        </w:rPr>
        <w:t>by observing that draft Article 11 prepared by the Drafting Committee was vague, as it provides no legal meaning of the term “untouchability”. Stressing that the term was “rather loose”, Ahmad wanted the draft Article to be given “a better s</w:t>
      </w:r>
      <w:r>
        <w:rPr>
          <w:sz w:val="26"/>
        </w:rPr>
        <w:t>hape”. Professor KT Shah had a similar concern. He</w:t>
      </w:r>
      <w:r>
        <w:rPr>
          <w:spacing w:val="-6"/>
          <w:sz w:val="26"/>
        </w:rPr>
        <w:t xml:space="preserve"> </w:t>
      </w:r>
      <w:r>
        <w:rPr>
          <w:sz w:val="26"/>
        </w:rPr>
        <w:t>observed:</w:t>
      </w:r>
    </w:p>
    <w:p w:rsidR="003B2FC0" w:rsidRDefault="00052A49">
      <w:pPr>
        <w:spacing w:before="199" w:line="276" w:lineRule="auto"/>
        <w:ind w:left="1840" w:right="2282"/>
        <w:jc w:val="both"/>
        <w:rPr>
          <w:b/>
          <w:sz w:val="21"/>
        </w:rPr>
      </w:pPr>
      <w:r>
        <w:rPr>
          <w:sz w:val="21"/>
        </w:rPr>
        <w:t xml:space="preserve">“… I would like to point out that the term ‘untouchability’ is nowhere defined. This Constitution lacks very much in a definition clause; and consequently we are at a great loss in understanding </w:t>
      </w:r>
      <w:r>
        <w:rPr>
          <w:sz w:val="21"/>
        </w:rPr>
        <w:t>what is meant by a given clause and how it is going to be given effect to. You follow up the general proposition about abolishing untouchability, by saying that it will</w:t>
      </w:r>
      <w:r>
        <w:rPr>
          <w:spacing w:val="-9"/>
          <w:sz w:val="21"/>
        </w:rPr>
        <w:t xml:space="preserve"> </w:t>
      </w:r>
      <w:r>
        <w:rPr>
          <w:sz w:val="21"/>
        </w:rPr>
        <w:t>be</w:t>
      </w:r>
      <w:r>
        <w:rPr>
          <w:spacing w:val="-8"/>
          <w:sz w:val="21"/>
        </w:rPr>
        <w:t xml:space="preserve"> </w:t>
      </w:r>
      <w:r>
        <w:rPr>
          <w:sz w:val="21"/>
        </w:rPr>
        <w:t>in</w:t>
      </w:r>
      <w:r>
        <w:rPr>
          <w:spacing w:val="-9"/>
          <w:sz w:val="21"/>
        </w:rPr>
        <w:t xml:space="preserve"> </w:t>
      </w:r>
      <w:r>
        <w:rPr>
          <w:sz w:val="21"/>
        </w:rPr>
        <w:t>any</w:t>
      </w:r>
      <w:r>
        <w:rPr>
          <w:spacing w:val="-10"/>
          <w:sz w:val="21"/>
        </w:rPr>
        <w:t xml:space="preserve"> </w:t>
      </w:r>
      <w:r>
        <w:rPr>
          <w:sz w:val="21"/>
        </w:rPr>
        <w:t>form</w:t>
      </w:r>
      <w:r>
        <w:rPr>
          <w:spacing w:val="-7"/>
          <w:sz w:val="21"/>
        </w:rPr>
        <w:t xml:space="preserve"> </w:t>
      </w:r>
      <w:r>
        <w:rPr>
          <w:sz w:val="21"/>
        </w:rPr>
        <w:t>an</w:t>
      </w:r>
      <w:r>
        <w:rPr>
          <w:spacing w:val="-9"/>
          <w:sz w:val="21"/>
        </w:rPr>
        <w:t xml:space="preserve"> </w:t>
      </w:r>
      <w:r>
        <w:rPr>
          <w:sz w:val="21"/>
        </w:rPr>
        <w:t>offence</w:t>
      </w:r>
      <w:r>
        <w:rPr>
          <w:spacing w:val="-8"/>
          <w:sz w:val="21"/>
        </w:rPr>
        <w:t xml:space="preserve"> </w:t>
      </w:r>
      <w:r>
        <w:rPr>
          <w:sz w:val="21"/>
        </w:rPr>
        <w:t>and</w:t>
      </w:r>
      <w:r>
        <w:rPr>
          <w:spacing w:val="-8"/>
          <w:sz w:val="21"/>
        </w:rPr>
        <w:t xml:space="preserve"> </w:t>
      </w:r>
      <w:r>
        <w:rPr>
          <w:sz w:val="21"/>
        </w:rPr>
        <w:t>will</w:t>
      </w:r>
      <w:r>
        <w:rPr>
          <w:spacing w:val="-9"/>
          <w:sz w:val="21"/>
        </w:rPr>
        <w:t xml:space="preserve"> </w:t>
      </w:r>
      <w:r>
        <w:rPr>
          <w:sz w:val="21"/>
        </w:rPr>
        <w:t>be</w:t>
      </w:r>
      <w:r>
        <w:rPr>
          <w:spacing w:val="-8"/>
          <w:sz w:val="21"/>
        </w:rPr>
        <w:t xml:space="preserve"> </w:t>
      </w:r>
      <w:r>
        <w:rPr>
          <w:sz w:val="21"/>
        </w:rPr>
        <w:t>punished</w:t>
      </w:r>
      <w:r>
        <w:rPr>
          <w:spacing w:val="-9"/>
          <w:sz w:val="21"/>
        </w:rPr>
        <w:t xml:space="preserve"> </w:t>
      </w:r>
      <w:r>
        <w:rPr>
          <w:sz w:val="21"/>
        </w:rPr>
        <w:t>at</w:t>
      </w:r>
      <w:r>
        <w:rPr>
          <w:spacing w:val="-9"/>
          <w:sz w:val="21"/>
        </w:rPr>
        <w:t xml:space="preserve"> </w:t>
      </w:r>
      <w:r>
        <w:rPr>
          <w:sz w:val="21"/>
        </w:rPr>
        <w:t>law.</w:t>
      </w:r>
      <w:r>
        <w:rPr>
          <w:spacing w:val="-5"/>
          <w:sz w:val="21"/>
        </w:rPr>
        <w:t xml:space="preserve"> </w:t>
      </w:r>
      <w:r>
        <w:rPr>
          <w:b/>
          <w:sz w:val="21"/>
        </w:rPr>
        <w:t>Now I</w:t>
      </w:r>
      <w:r>
        <w:rPr>
          <w:b/>
          <w:spacing w:val="-17"/>
          <w:sz w:val="21"/>
        </w:rPr>
        <w:t xml:space="preserve"> </w:t>
      </w:r>
      <w:r>
        <w:rPr>
          <w:b/>
          <w:sz w:val="21"/>
        </w:rPr>
        <w:t>want</w:t>
      </w:r>
      <w:r>
        <w:rPr>
          <w:b/>
          <w:spacing w:val="-15"/>
          <w:sz w:val="21"/>
        </w:rPr>
        <w:t xml:space="preserve"> </w:t>
      </w:r>
      <w:r>
        <w:rPr>
          <w:b/>
          <w:sz w:val="21"/>
        </w:rPr>
        <w:t>to</w:t>
      </w:r>
      <w:r>
        <w:rPr>
          <w:b/>
          <w:spacing w:val="-15"/>
          <w:sz w:val="21"/>
        </w:rPr>
        <w:t xml:space="preserve"> </w:t>
      </w:r>
      <w:r>
        <w:rPr>
          <w:b/>
          <w:sz w:val="21"/>
        </w:rPr>
        <w:t>give</w:t>
      </w:r>
      <w:r>
        <w:rPr>
          <w:b/>
          <w:spacing w:val="-15"/>
          <w:sz w:val="21"/>
        </w:rPr>
        <w:t xml:space="preserve"> </w:t>
      </w:r>
      <w:r>
        <w:rPr>
          <w:b/>
          <w:sz w:val="21"/>
        </w:rPr>
        <w:t>the</w:t>
      </w:r>
      <w:r>
        <w:rPr>
          <w:b/>
          <w:spacing w:val="-18"/>
          <w:sz w:val="21"/>
        </w:rPr>
        <w:t xml:space="preserve"> </w:t>
      </w:r>
      <w:r>
        <w:rPr>
          <w:b/>
          <w:sz w:val="21"/>
        </w:rPr>
        <w:t>House</w:t>
      </w:r>
      <w:r>
        <w:rPr>
          <w:b/>
          <w:spacing w:val="-15"/>
          <w:sz w:val="21"/>
        </w:rPr>
        <w:t xml:space="preserve"> </w:t>
      </w:r>
      <w:r>
        <w:rPr>
          <w:b/>
          <w:sz w:val="21"/>
        </w:rPr>
        <w:t>some</w:t>
      </w:r>
      <w:r>
        <w:rPr>
          <w:b/>
          <w:spacing w:val="-16"/>
          <w:sz w:val="21"/>
        </w:rPr>
        <w:t xml:space="preserve"> </w:t>
      </w:r>
      <w:r>
        <w:rPr>
          <w:b/>
          <w:sz w:val="21"/>
        </w:rPr>
        <w:t>instances</w:t>
      </w:r>
      <w:r>
        <w:rPr>
          <w:b/>
          <w:spacing w:val="-16"/>
          <w:sz w:val="21"/>
        </w:rPr>
        <w:t xml:space="preserve"> </w:t>
      </w:r>
      <w:r>
        <w:rPr>
          <w:b/>
          <w:sz w:val="21"/>
        </w:rPr>
        <w:t>of</w:t>
      </w:r>
      <w:r>
        <w:rPr>
          <w:b/>
          <w:spacing w:val="-16"/>
          <w:sz w:val="21"/>
        </w:rPr>
        <w:t xml:space="preserve"> </w:t>
      </w:r>
      <w:r>
        <w:rPr>
          <w:b/>
          <w:sz w:val="21"/>
        </w:rPr>
        <w:t>recognised</w:t>
      </w:r>
      <w:r>
        <w:rPr>
          <w:b/>
          <w:spacing w:val="-14"/>
          <w:sz w:val="21"/>
        </w:rPr>
        <w:t xml:space="preserve"> </w:t>
      </w:r>
      <w:r>
        <w:rPr>
          <w:b/>
          <w:sz w:val="21"/>
        </w:rPr>
        <w:t>and permitted untouchability whereby particular</w:t>
      </w:r>
      <w:r>
        <w:rPr>
          <w:b/>
          <w:spacing w:val="13"/>
          <w:sz w:val="21"/>
        </w:rPr>
        <w:t xml:space="preserve"> </w:t>
      </w:r>
      <w:r>
        <w:rPr>
          <w:b/>
          <w:sz w:val="21"/>
        </w:rPr>
        <w:t>communities</w:t>
      </w:r>
    </w:p>
    <w:p w:rsidR="003B2FC0" w:rsidRDefault="003B2FC0">
      <w:pPr>
        <w:rPr>
          <w:b/>
          <w:sz w:val="20"/>
        </w:rPr>
      </w:pPr>
    </w:p>
    <w:p w:rsidR="003B2FC0" w:rsidRDefault="003B2FC0">
      <w:pPr>
        <w:rPr>
          <w:b/>
          <w:sz w:val="13"/>
        </w:rPr>
      </w:pPr>
      <w:r w:rsidRPr="003B2FC0">
        <w:pict>
          <v:line id="_x0000_s1099" style="position:absolute;z-index:251616768;mso-wrap-distance-left:0;mso-wrap-distance-right:0;mso-position-horizontal-relative:page" from="1in,9.85pt" to="216.05pt,9.85pt" strokeweight=".72pt">
            <w10:wrap type="topAndBottom" anchorx="page"/>
          </v:line>
        </w:pict>
      </w:r>
    </w:p>
    <w:p w:rsidR="003B2FC0" w:rsidRDefault="00052A49">
      <w:pPr>
        <w:spacing w:before="67"/>
        <w:ind w:left="580" w:right="434" w:hanging="180"/>
        <w:rPr>
          <w:sz w:val="18"/>
        </w:rPr>
      </w:pPr>
      <w:r>
        <w:rPr>
          <w:position w:val="6"/>
          <w:sz w:val="12"/>
        </w:rPr>
        <w:t xml:space="preserve">84 </w:t>
      </w:r>
      <w:r>
        <w:rPr>
          <w:sz w:val="18"/>
        </w:rPr>
        <w:t>B Shiva Rao, The Framing of India’s Constitution: A Study, Indian Institution of Public Administration (1968), at page 204</w:t>
      </w:r>
    </w:p>
    <w:p w:rsidR="003B2FC0" w:rsidRDefault="00052A49">
      <w:pPr>
        <w:spacing w:line="208" w:lineRule="exact"/>
        <w:ind w:left="400"/>
        <w:rPr>
          <w:sz w:val="18"/>
        </w:rPr>
      </w:pPr>
      <w:r>
        <w:rPr>
          <w:position w:val="6"/>
          <w:sz w:val="12"/>
        </w:rPr>
        <w:t xml:space="preserve">85 </w:t>
      </w:r>
      <w:r>
        <w:rPr>
          <w:sz w:val="18"/>
        </w:rPr>
        <w:t>Ibid, at page 205</w:t>
      </w:r>
    </w:p>
    <w:p w:rsidR="003B2FC0" w:rsidRDefault="003B2FC0">
      <w:pPr>
        <w:spacing w:line="208" w:lineRule="exact"/>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2"/>
        <w:jc w:val="both"/>
        <w:rPr>
          <w:sz w:val="14"/>
        </w:rPr>
      </w:pPr>
      <w:r>
        <w:rPr>
          <w:b/>
          <w:sz w:val="21"/>
        </w:rPr>
        <w:t>or</w:t>
      </w:r>
      <w:r>
        <w:rPr>
          <w:b/>
          <w:spacing w:val="-4"/>
          <w:sz w:val="21"/>
        </w:rPr>
        <w:t xml:space="preserve"> </w:t>
      </w:r>
      <w:r>
        <w:rPr>
          <w:b/>
          <w:sz w:val="21"/>
        </w:rPr>
        <w:t>individuals</w:t>
      </w:r>
      <w:r>
        <w:rPr>
          <w:b/>
          <w:spacing w:val="-6"/>
          <w:sz w:val="21"/>
        </w:rPr>
        <w:t xml:space="preserve"> </w:t>
      </w:r>
      <w:r>
        <w:rPr>
          <w:b/>
          <w:sz w:val="21"/>
        </w:rPr>
        <w:t>are</w:t>
      </w:r>
      <w:r>
        <w:rPr>
          <w:b/>
          <w:spacing w:val="-4"/>
          <w:sz w:val="21"/>
        </w:rPr>
        <w:t xml:space="preserve"> </w:t>
      </w:r>
      <w:r>
        <w:rPr>
          <w:b/>
          <w:sz w:val="21"/>
        </w:rPr>
        <w:t>for</w:t>
      </w:r>
      <w:r>
        <w:rPr>
          <w:b/>
          <w:spacing w:val="-5"/>
          <w:sz w:val="21"/>
        </w:rPr>
        <w:t xml:space="preserve"> </w:t>
      </w:r>
      <w:r>
        <w:rPr>
          <w:b/>
          <w:sz w:val="21"/>
        </w:rPr>
        <w:t>a</w:t>
      </w:r>
      <w:r>
        <w:rPr>
          <w:b/>
          <w:spacing w:val="-4"/>
          <w:sz w:val="21"/>
        </w:rPr>
        <w:t xml:space="preserve"> </w:t>
      </w:r>
      <w:r>
        <w:rPr>
          <w:b/>
          <w:sz w:val="21"/>
        </w:rPr>
        <w:t>time</w:t>
      </w:r>
      <w:r>
        <w:rPr>
          <w:b/>
          <w:spacing w:val="-4"/>
          <w:sz w:val="21"/>
        </w:rPr>
        <w:t xml:space="preserve"> </w:t>
      </w:r>
      <w:r>
        <w:rPr>
          <w:b/>
          <w:sz w:val="21"/>
        </w:rPr>
        <w:t>placed</w:t>
      </w:r>
      <w:r>
        <w:rPr>
          <w:b/>
          <w:spacing w:val="-6"/>
          <w:sz w:val="21"/>
        </w:rPr>
        <w:t xml:space="preserve"> </w:t>
      </w:r>
      <w:r>
        <w:rPr>
          <w:b/>
          <w:sz w:val="21"/>
        </w:rPr>
        <w:t>under</w:t>
      </w:r>
      <w:r>
        <w:rPr>
          <w:b/>
          <w:spacing w:val="-6"/>
          <w:sz w:val="21"/>
        </w:rPr>
        <w:t xml:space="preserve"> </w:t>
      </w:r>
      <w:r>
        <w:rPr>
          <w:b/>
          <w:sz w:val="21"/>
        </w:rPr>
        <w:t>disability,</w:t>
      </w:r>
      <w:r>
        <w:rPr>
          <w:b/>
          <w:spacing w:val="-5"/>
          <w:sz w:val="21"/>
        </w:rPr>
        <w:t xml:space="preserve"> </w:t>
      </w:r>
      <w:r>
        <w:rPr>
          <w:b/>
          <w:sz w:val="21"/>
        </w:rPr>
        <w:t xml:space="preserve">which is actually untouchability. We all know that at certain periods women are regarded as untouchables. </w:t>
      </w:r>
      <w:r>
        <w:rPr>
          <w:sz w:val="21"/>
        </w:rPr>
        <w:t>Is that supposed to be, will it be regarded as an offence under this article? I think if I am</w:t>
      </w:r>
      <w:r>
        <w:rPr>
          <w:sz w:val="21"/>
        </w:rPr>
        <w:t xml:space="preserve"> not mistaken, I am speaking from memory, but I believe I am right that in the Quran in a certain 'Sura', this is mentioned specifically and categorically. Will</w:t>
      </w:r>
      <w:r>
        <w:rPr>
          <w:spacing w:val="-36"/>
          <w:sz w:val="21"/>
        </w:rPr>
        <w:t xml:space="preserve"> </w:t>
      </w:r>
      <w:r>
        <w:rPr>
          <w:sz w:val="21"/>
        </w:rPr>
        <w:t xml:space="preserve">you make the practice of their religion by the followers of the Prophetan offence? Again there </w:t>
      </w:r>
      <w:r>
        <w:rPr>
          <w:sz w:val="21"/>
        </w:rPr>
        <w:t>are many ceremonies in connection</w:t>
      </w:r>
      <w:r>
        <w:rPr>
          <w:spacing w:val="-14"/>
          <w:sz w:val="21"/>
        </w:rPr>
        <w:t xml:space="preserve"> </w:t>
      </w:r>
      <w:r>
        <w:rPr>
          <w:sz w:val="21"/>
        </w:rPr>
        <w:t>with</w:t>
      </w:r>
      <w:r>
        <w:rPr>
          <w:spacing w:val="-17"/>
          <w:sz w:val="21"/>
        </w:rPr>
        <w:t xml:space="preserve"> </w:t>
      </w:r>
      <w:r>
        <w:rPr>
          <w:sz w:val="21"/>
        </w:rPr>
        <w:t>funerals</w:t>
      </w:r>
      <w:r>
        <w:rPr>
          <w:spacing w:val="-13"/>
          <w:sz w:val="21"/>
        </w:rPr>
        <w:t xml:space="preserve"> </w:t>
      </w:r>
      <w:r>
        <w:rPr>
          <w:sz w:val="21"/>
        </w:rPr>
        <w:t>and</w:t>
      </w:r>
      <w:r>
        <w:rPr>
          <w:spacing w:val="-14"/>
          <w:sz w:val="21"/>
        </w:rPr>
        <w:t xml:space="preserve"> </w:t>
      </w:r>
      <w:r>
        <w:rPr>
          <w:sz w:val="21"/>
        </w:rPr>
        <w:t>obsequies</w:t>
      </w:r>
      <w:r>
        <w:rPr>
          <w:spacing w:val="-14"/>
          <w:sz w:val="21"/>
        </w:rPr>
        <w:t xml:space="preserve"> </w:t>
      </w:r>
      <w:r>
        <w:rPr>
          <w:sz w:val="21"/>
        </w:rPr>
        <w:t>which</w:t>
      </w:r>
      <w:r>
        <w:rPr>
          <w:spacing w:val="-16"/>
          <w:sz w:val="21"/>
        </w:rPr>
        <w:t xml:space="preserve"> </w:t>
      </w:r>
      <w:r>
        <w:rPr>
          <w:sz w:val="21"/>
        </w:rPr>
        <w:t>make</w:t>
      </w:r>
      <w:r>
        <w:rPr>
          <w:spacing w:val="-17"/>
          <w:sz w:val="21"/>
        </w:rPr>
        <w:t xml:space="preserve"> </w:t>
      </w:r>
      <w:r>
        <w:rPr>
          <w:sz w:val="21"/>
        </w:rPr>
        <w:t>those</w:t>
      </w:r>
      <w:r>
        <w:rPr>
          <w:spacing w:val="-13"/>
          <w:sz w:val="21"/>
        </w:rPr>
        <w:t xml:space="preserve"> </w:t>
      </w:r>
      <w:r>
        <w:rPr>
          <w:sz w:val="21"/>
        </w:rPr>
        <w:t>who have</w:t>
      </w:r>
      <w:r>
        <w:rPr>
          <w:spacing w:val="-6"/>
          <w:sz w:val="21"/>
        </w:rPr>
        <w:t xml:space="preserve"> </w:t>
      </w:r>
      <w:r>
        <w:rPr>
          <w:sz w:val="21"/>
        </w:rPr>
        <w:t>taken</w:t>
      </w:r>
      <w:r>
        <w:rPr>
          <w:spacing w:val="-6"/>
          <w:sz w:val="21"/>
        </w:rPr>
        <w:t xml:space="preserve"> </w:t>
      </w:r>
      <w:r>
        <w:rPr>
          <w:sz w:val="21"/>
        </w:rPr>
        <w:t>part</w:t>
      </w:r>
      <w:r>
        <w:rPr>
          <w:spacing w:val="-8"/>
          <w:sz w:val="21"/>
        </w:rPr>
        <w:t xml:space="preserve"> </w:t>
      </w:r>
      <w:r>
        <w:rPr>
          <w:sz w:val="21"/>
        </w:rPr>
        <w:t>in</w:t>
      </w:r>
      <w:r>
        <w:rPr>
          <w:spacing w:val="-5"/>
          <w:sz w:val="21"/>
        </w:rPr>
        <w:t xml:space="preserve"> </w:t>
      </w:r>
      <w:r>
        <w:rPr>
          <w:sz w:val="21"/>
        </w:rPr>
        <w:t>them</w:t>
      </w:r>
      <w:r>
        <w:rPr>
          <w:spacing w:val="-5"/>
          <w:sz w:val="21"/>
        </w:rPr>
        <w:t xml:space="preserve"> </w:t>
      </w:r>
      <w:r>
        <w:rPr>
          <w:sz w:val="21"/>
        </w:rPr>
        <w:t>untouchables</w:t>
      </w:r>
      <w:r>
        <w:rPr>
          <w:spacing w:val="-6"/>
          <w:sz w:val="21"/>
        </w:rPr>
        <w:t xml:space="preserve"> </w:t>
      </w:r>
      <w:r>
        <w:rPr>
          <w:sz w:val="21"/>
        </w:rPr>
        <w:t>for</w:t>
      </w:r>
      <w:r>
        <w:rPr>
          <w:spacing w:val="-7"/>
          <w:sz w:val="21"/>
        </w:rPr>
        <w:t xml:space="preserve"> </w:t>
      </w:r>
      <w:r>
        <w:rPr>
          <w:sz w:val="21"/>
        </w:rPr>
        <w:t>a</w:t>
      </w:r>
      <w:r>
        <w:rPr>
          <w:spacing w:val="-5"/>
          <w:sz w:val="21"/>
        </w:rPr>
        <w:t xml:space="preserve"> </w:t>
      </w:r>
      <w:r>
        <w:rPr>
          <w:sz w:val="21"/>
        </w:rPr>
        <w:t>while.</w:t>
      </w:r>
      <w:r>
        <w:rPr>
          <w:spacing w:val="-7"/>
          <w:sz w:val="21"/>
        </w:rPr>
        <w:t xml:space="preserve"> </w:t>
      </w:r>
      <w:r>
        <w:rPr>
          <w:sz w:val="21"/>
        </w:rPr>
        <w:t>I</w:t>
      </w:r>
      <w:r>
        <w:rPr>
          <w:spacing w:val="-5"/>
          <w:sz w:val="21"/>
        </w:rPr>
        <w:t xml:space="preserve"> </w:t>
      </w:r>
      <w:r>
        <w:rPr>
          <w:sz w:val="21"/>
        </w:rPr>
        <w:t>do</w:t>
      </w:r>
      <w:r>
        <w:rPr>
          <w:spacing w:val="-6"/>
          <w:sz w:val="21"/>
        </w:rPr>
        <w:t xml:space="preserve"> </w:t>
      </w:r>
      <w:r>
        <w:rPr>
          <w:sz w:val="21"/>
        </w:rPr>
        <w:t>not</w:t>
      </w:r>
      <w:r>
        <w:rPr>
          <w:spacing w:val="-6"/>
          <w:sz w:val="21"/>
        </w:rPr>
        <w:t xml:space="preserve"> </w:t>
      </w:r>
      <w:r>
        <w:rPr>
          <w:sz w:val="21"/>
        </w:rPr>
        <w:t>wish to inflict a lecture upon this House on anthropological or connected</w:t>
      </w:r>
      <w:r>
        <w:rPr>
          <w:spacing w:val="-15"/>
          <w:sz w:val="21"/>
        </w:rPr>
        <w:t xml:space="preserve"> </w:t>
      </w:r>
      <w:r>
        <w:rPr>
          <w:sz w:val="21"/>
        </w:rPr>
        <w:t>matters;</w:t>
      </w:r>
      <w:r>
        <w:rPr>
          <w:spacing w:val="-14"/>
          <w:sz w:val="21"/>
        </w:rPr>
        <w:t xml:space="preserve"> </w:t>
      </w:r>
      <w:r>
        <w:rPr>
          <w:sz w:val="21"/>
        </w:rPr>
        <w:t>but</w:t>
      </w:r>
      <w:r>
        <w:rPr>
          <w:spacing w:val="-13"/>
          <w:sz w:val="21"/>
        </w:rPr>
        <w:t xml:space="preserve"> </w:t>
      </w:r>
      <w:r>
        <w:rPr>
          <w:sz w:val="21"/>
        </w:rPr>
        <w:t>I</w:t>
      </w:r>
      <w:r>
        <w:rPr>
          <w:spacing w:val="-11"/>
          <w:sz w:val="21"/>
        </w:rPr>
        <w:t xml:space="preserve"> </w:t>
      </w:r>
      <w:r>
        <w:rPr>
          <w:sz w:val="21"/>
        </w:rPr>
        <w:t>would</w:t>
      </w:r>
      <w:r>
        <w:rPr>
          <w:spacing w:val="-12"/>
          <w:sz w:val="21"/>
        </w:rPr>
        <w:t xml:space="preserve"> </w:t>
      </w:r>
      <w:r>
        <w:rPr>
          <w:sz w:val="21"/>
        </w:rPr>
        <w:t>like</w:t>
      </w:r>
      <w:r>
        <w:rPr>
          <w:spacing w:val="-12"/>
          <w:sz w:val="21"/>
        </w:rPr>
        <w:t xml:space="preserve"> </w:t>
      </w:r>
      <w:r>
        <w:rPr>
          <w:sz w:val="21"/>
        </w:rPr>
        <w:t>it</w:t>
      </w:r>
      <w:r>
        <w:rPr>
          <w:spacing w:val="-13"/>
          <w:sz w:val="21"/>
        </w:rPr>
        <w:t xml:space="preserve"> </w:t>
      </w:r>
      <w:r>
        <w:rPr>
          <w:sz w:val="21"/>
        </w:rPr>
        <w:t>to</w:t>
      </w:r>
      <w:r>
        <w:rPr>
          <w:spacing w:val="-12"/>
          <w:sz w:val="21"/>
        </w:rPr>
        <w:t xml:space="preserve"> </w:t>
      </w:r>
      <w:r>
        <w:rPr>
          <w:sz w:val="21"/>
        </w:rPr>
        <w:t>be</w:t>
      </w:r>
      <w:r>
        <w:rPr>
          <w:spacing w:val="-13"/>
          <w:sz w:val="21"/>
        </w:rPr>
        <w:t xml:space="preserve"> </w:t>
      </w:r>
      <w:r>
        <w:rPr>
          <w:sz w:val="21"/>
        </w:rPr>
        <w:t>brought</w:t>
      </w:r>
      <w:r>
        <w:rPr>
          <w:spacing w:val="-13"/>
          <w:sz w:val="21"/>
        </w:rPr>
        <w:t xml:space="preserve"> </w:t>
      </w:r>
      <w:r>
        <w:rPr>
          <w:sz w:val="21"/>
        </w:rPr>
        <w:t>to</w:t>
      </w:r>
      <w:r>
        <w:rPr>
          <w:spacing w:val="-10"/>
          <w:sz w:val="21"/>
        </w:rPr>
        <w:t xml:space="preserve"> </w:t>
      </w:r>
      <w:r>
        <w:rPr>
          <w:sz w:val="21"/>
        </w:rPr>
        <w:t>the</w:t>
      </w:r>
      <w:r>
        <w:rPr>
          <w:spacing w:val="-12"/>
          <w:sz w:val="21"/>
        </w:rPr>
        <w:t xml:space="preserve"> </w:t>
      </w:r>
      <w:r>
        <w:rPr>
          <w:sz w:val="21"/>
        </w:rPr>
        <w:t xml:space="preserve">notice that </w:t>
      </w:r>
      <w:r>
        <w:rPr>
          <w:b/>
          <w:sz w:val="21"/>
        </w:rPr>
        <w:t>the lack of any definition of the term ‘untouchability’ makes</w:t>
      </w:r>
      <w:r>
        <w:rPr>
          <w:b/>
          <w:spacing w:val="-11"/>
          <w:sz w:val="21"/>
        </w:rPr>
        <w:t xml:space="preserve"> </w:t>
      </w:r>
      <w:r>
        <w:rPr>
          <w:b/>
          <w:sz w:val="21"/>
        </w:rPr>
        <w:t>it</w:t>
      </w:r>
      <w:r>
        <w:rPr>
          <w:b/>
          <w:spacing w:val="-12"/>
          <w:sz w:val="21"/>
        </w:rPr>
        <w:t xml:space="preserve"> </w:t>
      </w:r>
      <w:r>
        <w:rPr>
          <w:b/>
          <w:sz w:val="21"/>
        </w:rPr>
        <w:t>open</w:t>
      </w:r>
      <w:r>
        <w:rPr>
          <w:b/>
          <w:spacing w:val="-10"/>
          <w:sz w:val="21"/>
        </w:rPr>
        <w:t xml:space="preserve"> </w:t>
      </w:r>
      <w:r>
        <w:rPr>
          <w:b/>
          <w:sz w:val="21"/>
        </w:rPr>
        <w:t>for</w:t>
      </w:r>
      <w:r>
        <w:rPr>
          <w:b/>
          <w:spacing w:val="-11"/>
          <w:sz w:val="21"/>
        </w:rPr>
        <w:t xml:space="preserve"> </w:t>
      </w:r>
      <w:r>
        <w:rPr>
          <w:b/>
          <w:sz w:val="21"/>
        </w:rPr>
        <w:t>busy</w:t>
      </w:r>
      <w:r>
        <w:rPr>
          <w:b/>
          <w:spacing w:val="-16"/>
          <w:sz w:val="21"/>
        </w:rPr>
        <w:t xml:space="preserve"> </w:t>
      </w:r>
      <w:r>
        <w:rPr>
          <w:b/>
          <w:sz w:val="21"/>
        </w:rPr>
        <w:t>bodies</w:t>
      </w:r>
      <w:r>
        <w:rPr>
          <w:b/>
          <w:spacing w:val="-13"/>
          <w:sz w:val="21"/>
        </w:rPr>
        <w:t xml:space="preserve"> </w:t>
      </w:r>
      <w:r>
        <w:rPr>
          <w:b/>
          <w:sz w:val="21"/>
        </w:rPr>
        <w:t>and</w:t>
      </w:r>
      <w:r>
        <w:rPr>
          <w:b/>
          <w:spacing w:val="-10"/>
          <w:sz w:val="21"/>
        </w:rPr>
        <w:t xml:space="preserve"> </w:t>
      </w:r>
      <w:r>
        <w:rPr>
          <w:b/>
          <w:sz w:val="21"/>
        </w:rPr>
        <w:t>lawyers</w:t>
      </w:r>
      <w:r>
        <w:rPr>
          <w:b/>
          <w:spacing w:val="-11"/>
          <w:sz w:val="21"/>
        </w:rPr>
        <w:t xml:space="preserve"> </w:t>
      </w:r>
      <w:r>
        <w:rPr>
          <w:b/>
          <w:sz w:val="21"/>
        </w:rPr>
        <w:t>to</w:t>
      </w:r>
      <w:r>
        <w:rPr>
          <w:b/>
          <w:spacing w:val="-10"/>
          <w:sz w:val="21"/>
        </w:rPr>
        <w:t xml:space="preserve"> </w:t>
      </w:r>
      <w:r>
        <w:rPr>
          <w:b/>
          <w:sz w:val="21"/>
        </w:rPr>
        <w:t>make</w:t>
      </w:r>
      <w:r>
        <w:rPr>
          <w:b/>
          <w:spacing w:val="-9"/>
          <w:sz w:val="21"/>
        </w:rPr>
        <w:t xml:space="preserve"> </w:t>
      </w:r>
      <w:r>
        <w:rPr>
          <w:b/>
          <w:sz w:val="21"/>
        </w:rPr>
        <w:t>capital out of a clause like this, which I am sure was not the intention of the Drafting Committee to</w:t>
      </w:r>
      <w:r>
        <w:rPr>
          <w:b/>
          <w:spacing w:val="-11"/>
          <w:sz w:val="21"/>
        </w:rPr>
        <w:t xml:space="preserve"> </w:t>
      </w:r>
      <w:r>
        <w:rPr>
          <w:b/>
          <w:sz w:val="21"/>
        </w:rPr>
        <w:t>make.</w:t>
      </w:r>
      <w:r>
        <w:rPr>
          <w:sz w:val="21"/>
        </w:rPr>
        <w:t>”</w:t>
      </w:r>
      <w:r>
        <w:rPr>
          <w:position w:val="7"/>
          <w:sz w:val="14"/>
        </w:rPr>
        <w:t>86</w:t>
      </w:r>
    </w:p>
    <w:p w:rsidR="003B2FC0" w:rsidRDefault="00052A49">
      <w:pPr>
        <w:spacing w:line="238" w:lineRule="exact"/>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77" w:line="480" w:lineRule="auto"/>
        <w:ind w:left="400" w:right="440"/>
        <w:jc w:val="both"/>
        <w:rPr>
          <w:sz w:val="26"/>
        </w:rPr>
      </w:pPr>
      <w:r>
        <w:rPr>
          <w:sz w:val="26"/>
        </w:rPr>
        <w:t>Dr Ambedkar neither accepted Naziruddin Ahmad’s amendment nor replied to the points raised by KT Shah. The amendment proposed by Ahmad was negatived by the Constituent Assembly and the draft Article as proposed by Dr Ambedkar was adop</w:t>
      </w:r>
      <w:r>
        <w:rPr>
          <w:sz w:val="26"/>
        </w:rPr>
        <w:t>ted. Draft Article 11 has been renumbered as the current Article 17 of the Constitution.</w:t>
      </w:r>
    </w:p>
    <w:p w:rsidR="003B2FC0" w:rsidRDefault="003B2FC0">
      <w:pPr>
        <w:rPr>
          <w:sz w:val="28"/>
        </w:rPr>
      </w:pPr>
    </w:p>
    <w:p w:rsidR="003B2FC0" w:rsidRDefault="003B2FC0">
      <w:pPr>
        <w:spacing w:before="10"/>
        <w:rPr>
          <w:sz w:val="32"/>
        </w:rPr>
      </w:pPr>
    </w:p>
    <w:p w:rsidR="003B2FC0" w:rsidRDefault="00052A49">
      <w:pPr>
        <w:spacing w:line="480" w:lineRule="auto"/>
        <w:ind w:left="400" w:right="434"/>
        <w:jc w:val="both"/>
        <w:rPr>
          <w:sz w:val="26"/>
        </w:rPr>
      </w:pPr>
      <w:r>
        <w:rPr>
          <w:sz w:val="26"/>
        </w:rPr>
        <w:t xml:space="preserve">The refusal of the Constituent Assembly to provide any definite meaning to “untouchability” (despite specific amendments and proposals voicing the need for a definition) indicates that the framers did not wish to make the term restrictive. The addition of </w:t>
      </w:r>
      <w:r>
        <w:rPr>
          <w:sz w:val="26"/>
        </w:rPr>
        <w:t>the words “</w:t>
      </w:r>
      <w:r>
        <w:rPr>
          <w:b/>
          <w:sz w:val="26"/>
        </w:rPr>
        <w:t>in any form</w:t>
      </w:r>
      <w:r>
        <w:rPr>
          <w:sz w:val="26"/>
        </w:rPr>
        <w:t>” in the initial draft prepared by</w:t>
      </w:r>
      <w:r>
        <w:rPr>
          <w:spacing w:val="-9"/>
          <w:sz w:val="26"/>
        </w:rPr>
        <w:t xml:space="preserve"> </w:t>
      </w:r>
      <w:r>
        <w:rPr>
          <w:sz w:val="26"/>
        </w:rPr>
        <w:t>the</w:t>
      </w:r>
      <w:r>
        <w:rPr>
          <w:spacing w:val="-7"/>
          <w:sz w:val="26"/>
        </w:rPr>
        <w:t xml:space="preserve"> </w:t>
      </w:r>
      <w:r>
        <w:rPr>
          <w:sz w:val="26"/>
        </w:rPr>
        <w:t>Sub-Committee</w:t>
      </w:r>
      <w:r>
        <w:rPr>
          <w:spacing w:val="-7"/>
          <w:sz w:val="26"/>
        </w:rPr>
        <w:t xml:space="preserve"> </w:t>
      </w:r>
      <w:r>
        <w:rPr>
          <w:sz w:val="26"/>
        </w:rPr>
        <w:t>on</w:t>
      </w:r>
      <w:r>
        <w:rPr>
          <w:spacing w:val="-7"/>
          <w:sz w:val="26"/>
        </w:rPr>
        <w:t xml:space="preserve"> </w:t>
      </w:r>
      <w:r>
        <w:rPr>
          <w:sz w:val="26"/>
        </w:rPr>
        <w:t>Fundamental</w:t>
      </w:r>
      <w:r>
        <w:rPr>
          <w:spacing w:val="-7"/>
          <w:sz w:val="26"/>
        </w:rPr>
        <w:t xml:space="preserve"> </w:t>
      </w:r>
      <w:r>
        <w:rPr>
          <w:sz w:val="26"/>
        </w:rPr>
        <w:t>Rights</w:t>
      </w:r>
      <w:r>
        <w:rPr>
          <w:spacing w:val="-7"/>
          <w:sz w:val="26"/>
        </w:rPr>
        <w:t xml:space="preserve"> </w:t>
      </w:r>
      <w:r>
        <w:rPr>
          <w:sz w:val="26"/>
        </w:rPr>
        <w:t>is</w:t>
      </w:r>
      <w:r>
        <w:rPr>
          <w:spacing w:val="-7"/>
          <w:sz w:val="26"/>
        </w:rPr>
        <w:t xml:space="preserve"> </w:t>
      </w:r>
      <w:r>
        <w:rPr>
          <w:sz w:val="26"/>
        </w:rPr>
        <w:t>an</w:t>
      </w:r>
      <w:r>
        <w:rPr>
          <w:spacing w:val="-7"/>
          <w:sz w:val="26"/>
        </w:rPr>
        <w:t xml:space="preserve"> </w:t>
      </w:r>
      <w:r>
        <w:rPr>
          <w:sz w:val="26"/>
        </w:rPr>
        <w:t>unambiguous</w:t>
      </w:r>
      <w:r>
        <w:rPr>
          <w:spacing w:val="-7"/>
          <w:sz w:val="26"/>
        </w:rPr>
        <w:t xml:space="preserve"> </w:t>
      </w:r>
      <w:r>
        <w:rPr>
          <w:sz w:val="26"/>
        </w:rPr>
        <w:t>statement</w:t>
      </w:r>
      <w:r>
        <w:rPr>
          <w:spacing w:val="-7"/>
          <w:sz w:val="26"/>
        </w:rPr>
        <w:t xml:space="preserve"> </w:t>
      </w:r>
      <w:r>
        <w:rPr>
          <w:sz w:val="26"/>
        </w:rPr>
        <w:t>to the</w:t>
      </w:r>
      <w:r>
        <w:rPr>
          <w:spacing w:val="-19"/>
          <w:sz w:val="26"/>
        </w:rPr>
        <w:t xml:space="preserve"> </w:t>
      </w:r>
      <w:r>
        <w:rPr>
          <w:sz w:val="26"/>
        </w:rPr>
        <w:t>effect</w:t>
      </w:r>
      <w:r>
        <w:rPr>
          <w:spacing w:val="-18"/>
          <w:sz w:val="26"/>
        </w:rPr>
        <w:t xml:space="preserve"> </w:t>
      </w:r>
      <w:r>
        <w:rPr>
          <w:sz w:val="26"/>
        </w:rPr>
        <w:t>that</w:t>
      </w:r>
      <w:r>
        <w:rPr>
          <w:spacing w:val="-18"/>
          <w:sz w:val="26"/>
        </w:rPr>
        <w:t xml:space="preserve"> </w:t>
      </w:r>
      <w:r>
        <w:rPr>
          <w:sz w:val="26"/>
        </w:rPr>
        <w:t>the</w:t>
      </w:r>
      <w:r>
        <w:rPr>
          <w:spacing w:val="-16"/>
          <w:sz w:val="26"/>
        </w:rPr>
        <w:t xml:space="preserve"> </w:t>
      </w:r>
      <w:r>
        <w:rPr>
          <w:sz w:val="26"/>
        </w:rPr>
        <w:t>draftspersons</w:t>
      </w:r>
      <w:r>
        <w:rPr>
          <w:spacing w:val="-16"/>
          <w:sz w:val="26"/>
        </w:rPr>
        <w:t xml:space="preserve"> </w:t>
      </w:r>
      <w:r>
        <w:rPr>
          <w:sz w:val="26"/>
        </w:rPr>
        <w:t>wanted</w:t>
      </w:r>
      <w:r>
        <w:rPr>
          <w:spacing w:val="-16"/>
          <w:sz w:val="26"/>
        </w:rPr>
        <w:t xml:space="preserve"> </w:t>
      </w:r>
      <w:r>
        <w:rPr>
          <w:sz w:val="26"/>
        </w:rPr>
        <w:t>to</w:t>
      </w:r>
      <w:r>
        <w:rPr>
          <w:spacing w:val="-16"/>
          <w:sz w:val="26"/>
        </w:rPr>
        <w:t xml:space="preserve"> </w:t>
      </w:r>
      <w:r>
        <w:rPr>
          <w:sz w:val="26"/>
        </w:rPr>
        <w:t>give</w:t>
      </w:r>
      <w:r>
        <w:rPr>
          <w:spacing w:val="-18"/>
          <w:sz w:val="26"/>
        </w:rPr>
        <w:t xml:space="preserve"> </w:t>
      </w:r>
      <w:r>
        <w:rPr>
          <w:sz w:val="26"/>
        </w:rPr>
        <w:t>the</w:t>
      </w:r>
      <w:r>
        <w:rPr>
          <w:spacing w:val="-19"/>
          <w:sz w:val="26"/>
        </w:rPr>
        <w:t xml:space="preserve"> </w:t>
      </w:r>
      <w:r>
        <w:rPr>
          <w:sz w:val="26"/>
        </w:rPr>
        <w:t>term</w:t>
      </w:r>
      <w:r>
        <w:rPr>
          <w:spacing w:val="-16"/>
          <w:sz w:val="26"/>
        </w:rPr>
        <w:t xml:space="preserve"> </w:t>
      </w:r>
      <w:r>
        <w:rPr>
          <w:sz w:val="26"/>
        </w:rPr>
        <w:t>“untouchability”</w:t>
      </w:r>
      <w:r>
        <w:rPr>
          <w:spacing w:val="-16"/>
          <w:sz w:val="26"/>
        </w:rPr>
        <w:t xml:space="preserve"> </w:t>
      </w:r>
      <w:r>
        <w:rPr>
          <w:sz w:val="26"/>
        </w:rPr>
        <w:t>a</w:t>
      </w:r>
      <w:r>
        <w:rPr>
          <w:spacing w:val="-18"/>
          <w:sz w:val="26"/>
        </w:rPr>
        <w:t xml:space="preserve"> </w:t>
      </w:r>
      <w:r>
        <w:rPr>
          <w:sz w:val="26"/>
        </w:rPr>
        <w:t>broad</w:t>
      </w:r>
    </w:p>
    <w:p w:rsidR="003B2FC0" w:rsidRDefault="003B2FC0">
      <w:pPr>
        <w:spacing w:line="480" w:lineRule="auto"/>
        <w:jc w:val="both"/>
        <w:rPr>
          <w:sz w:val="26"/>
        </w:rPr>
        <w:sectPr w:rsidR="003B2FC0">
          <w:footerReference w:type="default" r:id="rId371"/>
          <w:pgSz w:w="11910" w:h="16840"/>
          <w:pgMar w:top="1080" w:right="980" w:bottom="1740" w:left="1040" w:header="708" w:footer="1559" w:gutter="0"/>
          <w:pgNumType w:start="86"/>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 xml:space="preserve">scope. A reconstruction of the proceedings of the Constituent Assembly suggests that the members agreed to the Constitutional Advisor’s insistence that the law which is to be </w:t>
      </w:r>
      <w:r>
        <w:rPr>
          <w:sz w:val="26"/>
        </w:rPr>
        <w:t>enacted for implementing the provision on “untouchability” would provide a definition of the term. The rejection of Naziruddin Ahmad’s amendment by the members of the Constituent Assembly reflects a conscious effort not to limit the scope of the legislatio</w:t>
      </w:r>
      <w:r>
        <w:rPr>
          <w:sz w:val="26"/>
        </w:rPr>
        <w:t>n to be</w:t>
      </w:r>
      <w:r>
        <w:rPr>
          <w:spacing w:val="-40"/>
          <w:sz w:val="26"/>
        </w:rPr>
        <w:t xml:space="preserve"> </w:t>
      </w:r>
      <w:r>
        <w:rPr>
          <w:sz w:val="26"/>
        </w:rPr>
        <w:t>enacted.</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before="1" w:line="480" w:lineRule="auto"/>
        <w:ind w:right="435" w:firstLine="0"/>
        <w:jc w:val="both"/>
        <w:rPr>
          <w:sz w:val="26"/>
        </w:rPr>
      </w:pPr>
      <w:r>
        <w:rPr>
          <w:sz w:val="26"/>
        </w:rPr>
        <w:t>In order to fully understand the constitutional philosophy underlying the insertion</w:t>
      </w:r>
      <w:r>
        <w:rPr>
          <w:spacing w:val="-17"/>
          <w:sz w:val="26"/>
        </w:rPr>
        <w:t xml:space="preserve"> </w:t>
      </w:r>
      <w:r>
        <w:rPr>
          <w:sz w:val="26"/>
        </w:rPr>
        <w:t>of</w:t>
      </w:r>
      <w:r>
        <w:rPr>
          <w:spacing w:val="-17"/>
          <w:sz w:val="26"/>
        </w:rPr>
        <w:t xml:space="preserve"> </w:t>
      </w:r>
      <w:r>
        <w:rPr>
          <w:sz w:val="26"/>
        </w:rPr>
        <w:t>Article</w:t>
      </w:r>
      <w:r>
        <w:rPr>
          <w:spacing w:val="-17"/>
          <w:sz w:val="26"/>
        </w:rPr>
        <w:t xml:space="preserve"> </w:t>
      </w:r>
      <w:r>
        <w:rPr>
          <w:sz w:val="26"/>
        </w:rPr>
        <w:t>17,</w:t>
      </w:r>
      <w:r>
        <w:rPr>
          <w:spacing w:val="-15"/>
          <w:sz w:val="26"/>
        </w:rPr>
        <w:t xml:space="preserve"> </w:t>
      </w:r>
      <w:r>
        <w:rPr>
          <w:sz w:val="26"/>
        </w:rPr>
        <w:t>this</w:t>
      </w:r>
      <w:r>
        <w:rPr>
          <w:spacing w:val="-17"/>
          <w:sz w:val="26"/>
        </w:rPr>
        <w:t xml:space="preserve"> </w:t>
      </w:r>
      <w:r>
        <w:rPr>
          <w:sz w:val="26"/>
        </w:rPr>
        <w:t>Court</w:t>
      </w:r>
      <w:r>
        <w:rPr>
          <w:spacing w:val="-17"/>
          <w:sz w:val="26"/>
        </w:rPr>
        <w:t xml:space="preserve"> </w:t>
      </w:r>
      <w:r>
        <w:rPr>
          <w:sz w:val="26"/>
        </w:rPr>
        <w:t>must</w:t>
      </w:r>
      <w:r>
        <w:rPr>
          <w:spacing w:val="-17"/>
          <w:sz w:val="26"/>
        </w:rPr>
        <w:t xml:space="preserve"> </w:t>
      </w:r>
      <w:r>
        <w:rPr>
          <w:sz w:val="26"/>
        </w:rPr>
        <w:t>also</w:t>
      </w:r>
      <w:r>
        <w:rPr>
          <w:spacing w:val="-15"/>
          <w:sz w:val="26"/>
        </w:rPr>
        <w:t xml:space="preserve"> </w:t>
      </w:r>
      <w:r>
        <w:rPr>
          <w:sz w:val="26"/>
        </w:rPr>
        <w:t>deal</w:t>
      </w:r>
      <w:r>
        <w:rPr>
          <w:spacing w:val="-14"/>
          <w:sz w:val="26"/>
        </w:rPr>
        <w:t xml:space="preserve"> </w:t>
      </w:r>
      <w:r>
        <w:rPr>
          <w:sz w:val="26"/>
        </w:rPr>
        <w:t>with</w:t>
      </w:r>
      <w:r>
        <w:rPr>
          <w:spacing w:val="-17"/>
          <w:sz w:val="26"/>
        </w:rPr>
        <w:t xml:space="preserve"> </w:t>
      </w:r>
      <w:r>
        <w:rPr>
          <w:sz w:val="26"/>
        </w:rPr>
        <w:t>one</w:t>
      </w:r>
      <w:r>
        <w:rPr>
          <w:spacing w:val="-17"/>
          <w:sz w:val="26"/>
        </w:rPr>
        <w:t xml:space="preserve"> </w:t>
      </w:r>
      <w:r>
        <w:rPr>
          <w:sz w:val="26"/>
        </w:rPr>
        <w:t>specific</w:t>
      </w:r>
      <w:r>
        <w:rPr>
          <w:spacing w:val="-14"/>
          <w:sz w:val="26"/>
        </w:rPr>
        <w:t xml:space="preserve"> </w:t>
      </w:r>
      <w:r>
        <w:rPr>
          <w:sz w:val="26"/>
        </w:rPr>
        <w:t>instance</w:t>
      </w:r>
      <w:r>
        <w:rPr>
          <w:spacing w:val="-18"/>
          <w:sz w:val="26"/>
        </w:rPr>
        <w:t xml:space="preserve"> </w:t>
      </w:r>
      <w:r>
        <w:rPr>
          <w:sz w:val="26"/>
        </w:rPr>
        <w:t>during the proceedings of the Constituent Assembly. As mentioned above,</w:t>
      </w:r>
      <w:r>
        <w:rPr>
          <w:spacing w:val="45"/>
          <w:sz w:val="26"/>
        </w:rPr>
        <w:t xml:space="preserve"> </w:t>
      </w:r>
      <w:r>
        <w:rPr>
          <w:sz w:val="26"/>
        </w:rPr>
        <w:t>while Professor</w:t>
      </w:r>
      <w:r>
        <w:rPr>
          <w:spacing w:val="-9"/>
          <w:sz w:val="26"/>
        </w:rPr>
        <w:t xml:space="preserve"> </w:t>
      </w:r>
      <w:r>
        <w:rPr>
          <w:sz w:val="26"/>
        </w:rPr>
        <w:t>KT</w:t>
      </w:r>
      <w:r>
        <w:rPr>
          <w:spacing w:val="-7"/>
          <w:sz w:val="26"/>
        </w:rPr>
        <w:t xml:space="preserve"> </w:t>
      </w:r>
      <w:r>
        <w:rPr>
          <w:sz w:val="26"/>
        </w:rPr>
        <w:t>Shah</w:t>
      </w:r>
      <w:r>
        <w:rPr>
          <w:spacing w:val="-7"/>
          <w:sz w:val="26"/>
        </w:rPr>
        <w:t xml:space="preserve"> </w:t>
      </w:r>
      <w:r>
        <w:rPr>
          <w:sz w:val="26"/>
        </w:rPr>
        <w:t>gave</w:t>
      </w:r>
      <w:r>
        <w:rPr>
          <w:spacing w:val="-9"/>
          <w:sz w:val="26"/>
        </w:rPr>
        <w:t xml:space="preserve"> </w:t>
      </w:r>
      <w:r>
        <w:rPr>
          <w:sz w:val="26"/>
        </w:rPr>
        <w:t>specific</w:t>
      </w:r>
      <w:r>
        <w:rPr>
          <w:spacing w:val="-7"/>
          <w:sz w:val="26"/>
        </w:rPr>
        <w:t xml:space="preserve"> </w:t>
      </w:r>
      <w:r>
        <w:rPr>
          <w:sz w:val="26"/>
        </w:rPr>
        <w:t>examples</w:t>
      </w:r>
      <w:r>
        <w:rPr>
          <w:spacing w:val="-9"/>
          <w:sz w:val="26"/>
        </w:rPr>
        <w:t xml:space="preserve"> </w:t>
      </w:r>
      <w:r>
        <w:rPr>
          <w:sz w:val="26"/>
        </w:rPr>
        <w:t>of</w:t>
      </w:r>
      <w:r>
        <w:rPr>
          <w:spacing w:val="-6"/>
          <w:sz w:val="26"/>
        </w:rPr>
        <w:t xml:space="preserve"> </w:t>
      </w:r>
      <w:r>
        <w:rPr>
          <w:sz w:val="26"/>
        </w:rPr>
        <w:t>acts</w:t>
      </w:r>
      <w:r>
        <w:rPr>
          <w:spacing w:val="-7"/>
          <w:sz w:val="26"/>
        </w:rPr>
        <w:t xml:space="preserve"> </w:t>
      </w:r>
      <w:r>
        <w:rPr>
          <w:sz w:val="26"/>
        </w:rPr>
        <w:t>of</w:t>
      </w:r>
      <w:r>
        <w:rPr>
          <w:spacing w:val="-9"/>
          <w:sz w:val="26"/>
        </w:rPr>
        <w:t xml:space="preserve"> </w:t>
      </w:r>
      <w:r>
        <w:rPr>
          <w:sz w:val="26"/>
        </w:rPr>
        <w:t>“untouchability”,</w:t>
      </w:r>
      <w:r>
        <w:rPr>
          <w:spacing w:val="-7"/>
          <w:sz w:val="26"/>
        </w:rPr>
        <w:t xml:space="preserve"> </w:t>
      </w:r>
      <w:r>
        <w:rPr>
          <w:sz w:val="26"/>
        </w:rPr>
        <w:t>including that of women being considered untouchables “in certain periods”, and argued for a specific definition, Dr Ambedkar furnished no reply. This raises the question as to why</w:t>
      </w:r>
      <w:r>
        <w:rPr>
          <w:sz w:val="26"/>
        </w:rPr>
        <w:t xml:space="preserve"> Dr Ambedkar did not accept Naziruddin Ahmad’s amendment and refused to reply to KT Shah’s remarks. One member of the Constituent Assembly, Monomohan Das, remarked during the debate on the draft Article on</w:t>
      </w:r>
      <w:r>
        <w:rPr>
          <w:spacing w:val="-4"/>
          <w:sz w:val="26"/>
        </w:rPr>
        <w:t xml:space="preserve"> </w:t>
      </w:r>
      <w:r>
        <w:rPr>
          <w:sz w:val="26"/>
        </w:rPr>
        <w:t>“untouchability”:</w:t>
      </w:r>
    </w:p>
    <w:p w:rsidR="003B2FC0" w:rsidRDefault="00052A49">
      <w:pPr>
        <w:spacing w:before="200" w:line="276" w:lineRule="auto"/>
        <w:ind w:left="1840" w:right="2281"/>
        <w:jc w:val="both"/>
        <w:rPr>
          <w:sz w:val="14"/>
        </w:rPr>
      </w:pPr>
      <w:r>
        <w:rPr>
          <w:sz w:val="21"/>
        </w:rPr>
        <w:t>“…It is an irony of fate that th</w:t>
      </w:r>
      <w:r>
        <w:rPr>
          <w:sz w:val="21"/>
        </w:rPr>
        <w:t xml:space="preserve">e man who was driven from one school to another, who was forced to take his lessons outside the class room, has been entrusted with this great job of framing the Constitution of free and independent India, and it is he who has finally dealt the death blow </w:t>
      </w:r>
      <w:r>
        <w:rPr>
          <w:sz w:val="21"/>
        </w:rPr>
        <w:t>to this custom of untouchability, of which he was himself a victim in his younger days.”</w:t>
      </w:r>
      <w:r>
        <w:rPr>
          <w:position w:val="7"/>
          <w:sz w:val="14"/>
        </w:rPr>
        <w:t>87</w:t>
      </w:r>
    </w:p>
    <w:p w:rsidR="003B2FC0" w:rsidRDefault="003B2FC0">
      <w:pPr>
        <w:spacing w:line="276" w:lineRule="auto"/>
        <w:jc w:val="both"/>
        <w:rPr>
          <w:sz w:val="14"/>
        </w:rPr>
        <w:sectPr w:rsidR="003B2FC0">
          <w:footerReference w:type="default" r:id="rId372"/>
          <w:pgSz w:w="11910" w:h="16840"/>
          <w:pgMar w:top="1080" w:right="980" w:bottom="1740" w:left="1040" w:header="708" w:footer="1559" w:gutter="0"/>
          <w:pgNumType w:start="87"/>
          <w:cols w:space="720"/>
        </w:sectPr>
      </w:pPr>
    </w:p>
    <w:p w:rsidR="003B2FC0" w:rsidRDefault="003B2FC0">
      <w:pPr>
        <w:spacing w:before="10"/>
        <w:rPr>
          <w:sz w:val="21"/>
        </w:rPr>
      </w:pPr>
    </w:p>
    <w:p w:rsidR="003B2FC0" w:rsidRDefault="00052A49">
      <w:pPr>
        <w:spacing w:before="91" w:line="480" w:lineRule="auto"/>
        <w:ind w:left="400" w:right="435"/>
        <w:jc w:val="both"/>
        <w:rPr>
          <w:sz w:val="26"/>
        </w:rPr>
      </w:pPr>
      <w:r>
        <w:rPr>
          <w:sz w:val="26"/>
        </w:rPr>
        <w:t>The answers lie in the struggle for social emancipation and justice which was the</w:t>
      </w:r>
      <w:r>
        <w:rPr>
          <w:spacing w:val="-14"/>
          <w:sz w:val="26"/>
        </w:rPr>
        <w:t xml:space="preserve"> </w:t>
      </w:r>
      <w:r>
        <w:rPr>
          <w:sz w:val="26"/>
        </w:rPr>
        <w:t>defining</w:t>
      </w:r>
      <w:r>
        <w:rPr>
          <w:spacing w:val="-12"/>
          <w:sz w:val="26"/>
        </w:rPr>
        <w:t xml:space="preserve"> </w:t>
      </w:r>
      <w:r>
        <w:rPr>
          <w:sz w:val="26"/>
        </w:rPr>
        <w:t>symbol</w:t>
      </w:r>
      <w:r>
        <w:rPr>
          <w:spacing w:val="-14"/>
          <w:sz w:val="26"/>
        </w:rPr>
        <w:t xml:space="preserve"> </w:t>
      </w:r>
      <w:r>
        <w:rPr>
          <w:sz w:val="26"/>
        </w:rPr>
        <w:t>of</w:t>
      </w:r>
      <w:r>
        <w:rPr>
          <w:spacing w:val="-14"/>
          <w:sz w:val="26"/>
        </w:rPr>
        <w:t xml:space="preserve"> </w:t>
      </w:r>
      <w:r>
        <w:rPr>
          <w:sz w:val="26"/>
        </w:rPr>
        <w:t>the</w:t>
      </w:r>
      <w:r>
        <w:rPr>
          <w:spacing w:val="-14"/>
          <w:sz w:val="26"/>
        </w:rPr>
        <w:t xml:space="preserve"> </w:t>
      </w:r>
      <w:r>
        <w:rPr>
          <w:sz w:val="26"/>
        </w:rPr>
        <w:t>age,</w:t>
      </w:r>
      <w:r>
        <w:rPr>
          <w:spacing w:val="-13"/>
          <w:sz w:val="26"/>
        </w:rPr>
        <w:t xml:space="preserve"> </w:t>
      </w:r>
      <w:r>
        <w:rPr>
          <w:sz w:val="26"/>
        </w:rPr>
        <w:t>together</w:t>
      </w:r>
      <w:r>
        <w:rPr>
          <w:spacing w:val="-11"/>
          <w:sz w:val="26"/>
        </w:rPr>
        <w:t xml:space="preserve"> </w:t>
      </w:r>
      <w:r>
        <w:rPr>
          <w:sz w:val="26"/>
        </w:rPr>
        <w:t>with</w:t>
      </w:r>
      <w:r>
        <w:rPr>
          <w:spacing w:val="-14"/>
          <w:sz w:val="26"/>
        </w:rPr>
        <w:t xml:space="preserve"> </w:t>
      </w:r>
      <w:r>
        <w:rPr>
          <w:sz w:val="26"/>
        </w:rPr>
        <w:t>the</w:t>
      </w:r>
      <w:r>
        <w:rPr>
          <w:spacing w:val="-14"/>
          <w:sz w:val="26"/>
        </w:rPr>
        <w:t xml:space="preserve"> </w:t>
      </w:r>
      <w:r>
        <w:rPr>
          <w:sz w:val="26"/>
        </w:rPr>
        <w:t>movement</w:t>
      </w:r>
      <w:r>
        <w:rPr>
          <w:spacing w:val="-14"/>
          <w:sz w:val="26"/>
        </w:rPr>
        <w:t xml:space="preserve"> </w:t>
      </w:r>
      <w:r>
        <w:rPr>
          <w:sz w:val="26"/>
        </w:rPr>
        <w:t>for</w:t>
      </w:r>
      <w:r>
        <w:rPr>
          <w:spacing w:val="-13"/>
          <w:sz w:val="26"/>
        </w:rPr>
        <w:t xml:space="preserve"> </w:t>
      </w:r>
      <w:r>
        <w:rPr>
          <w:sz w:val="26"/>
        </w:rPr>
        <w:t>attaining</w:t>
      </w:r>
      <w:r>
        <w:rPr>
          <w:spacing w:val="-12"/>
          <w:sz w:val="26"/>
        </w:rPr>
        <w:t xml:space="preserve"> </w:t>
      </w:r>
      <w:r>
        <w:rPr>
          <w:sz w:val="26"/>
        </w:rPr>
        <w:t>political freedom</w:t>
      </w:r>
      <w:r>
        <w:rPr>
          <w:spacing w:val="-19"/>
          <w:sz w:val="26"/>
        </w:rPr>
        <w:t xml:space="preserve"> </w:t>
      </w:r>
      <w:r>
        <w:rPr>
          <w:sz w:val="26"/>
        </w:rPr>
        <w:t>but</w:t>
      </w:r>
      <w:r>
        <w:rPr>
          <w:spacing w:val="-20"/>
          <w:sz w:val="26"/>
        </w:rPr>
        <w:t xml:space="preserve"> </w:t>
      </w:r>
      <w:r>
        <w:rPr>
          <w:sz w:val="26"/>
        </w:rPr>
        <w:t>in</w:t>
      </w:r>
      <w:r>
        <w:rPr>
          <w:spacing w:val="-20"/>
          <w:sz w:val="26"/>
        </w:rPr>
        <w:t xml:space="preserve"> </w:t>
      </w:r>
      <w:r>
        <w:rPr>
          <w:sz w:val="26"/>
        </w:rPr>
        <w:t>a</w:t>
      </w:r>
      <w:r>
        <w:rPr>
          <w:spacing w:val="-18"/>
          <w:sz w:val="26"/>
        </w:rPr>
        <w:t xml:space="preserve"> </w:t>
      </w:r>
      <w:r>
        <w:rPr>
          <w:sz w:val="26"/>
        </w:rPr>
        <w:t>radical</w:t>
      </w:r>
      <w:r>
        <w:rPr>
          <w:spacing w:val="-20"/>
          <w:sz w:val="26"/>
        </w:rPr>
        <w:t xml:space="preserve"> </w:t>
      </w:r>
      <w:r>
        <w:rPr>
          <w:sz w:val="26"/>
        </w:rPr>
        <w:t>transformation</w:t>
      </w:r>
      <w:r>
        <w:rPr>
          <w:spacing w:val="-18"/>
          <w:sz w:val="26"/>
        </w:rPr>
        <w:t xml:space="preserve"> </w:t>
      </w:r>
      <w:r>
        <w:rPr>
          <w:sz w:val="26"/>
        </w:rPr>
        <w:t>of</w:t>
      </w:r>
      <w:r>
        <w:rPr>
          <w:spacing w:val="-19"/>
          <w:sz w:val="26"/>
        </w:rPr>
        <w:t xml:space="preserve"> </w:t>
      </w:r>
      <w:r>
        <w:rPr>
          <w:sz w:val="26"/>
        </w:rPr>
        <w:t>society</w:t>
      </w:r>
      <w:r>
        <w:rPr>
          <w:spacing w:val="-20"/>
          <w:sz w:val="26"/>
        </w:rPr>
        <w:t xml:space="preserve"> </w:t>
      </w:r>
      <w:r>
        <w:rPr>
          <w:sz w:val="26"/>
        </w:rPr>
        <w:t>as</w:t>
      </w:r>
      <w:r>
        <w:rPr>
          <w:spacing w:val="-15"/>
          <w:sz w:val="26"/>
        </w:rPr>
        <w:t xml:space="preserve"> </w:t>
      </w:r>
      <w:r>
        <w:rPr>
          <w:sz w:val="26"/>
        </w:rPr>
        <w:t>well.</w:t>
      </w:r>
      <w:r>
        <w:rPr>
          <w:spacing w:val="35"/>
          <w:sz w:val="26"/>
        </w:rPr>
        <w:t xml:space="preserve"> </w:t>
      </w:r>
      <w:r>
        <w:rPr>
          <w:sz w:val="26"/>
        </w:rPr>
        <w:t>To</w:t>
      </w:r>
      <w:r>
        <w:rPr>
          <w:spacing w:val="-18"/>
          <w:sz w:val="26"/>
        </w:rPr>
        <w:t xml:space="preserve"> </w:t>
      </w:r>
      <w:r>
        <w:rPr>
          <w:sz w:val="26"/>
        </w:rPr>
        <w:t>focus</w:t>
      </w:r>
      <w:r>
        <w:rPr>
          <w:spacing w:val="-20"/>
          <w:sz w:val="26"/>
        </w:rPr>
        <w:t xml:space="preserve"> </w:t>
      </w:r>
      <w:r>
        <w:rPr>
          <w:sz w:val="26"/>
        </w:rPr>
        <w:t>on</w:t>
      </w:r>
      <w:r>
        <w:rPr>
          <w:spacing w:val="-21"/>
          <w:sz w:val="26"/>
        </w:rPr>
        <w:t xml:space="preserve"> </w:t>
      </w:r>
      <w:r>
        <w:rPr>
          <w:sz w:val="26"/>
        </w:rPr>
        <w:t>the</w:t>
      </w:r>
      <w:r>
        <w:rPr>
          <w:spacing w:val="-20"/>
          <w:sz w:val="26"/>
        </w:rPr>
        <w:t xml:space="preserve"> </w:t>
      </w:r>
      <w:r>
        <w:rPr>
          <w:sz w:val="26"/>
        </w:rPr>
        <w:t>former without comprehending the latter would be to miss the inter-connected nature of the document as a compact for political and social</w:t>
      </w:r>
      <w:r>
        <w:rPr>
          <w:spacing w:val="-14"/>
          <w:sz w:val="26"/>
        </w:rPr>
        <w:t xml:space="preserve"> </w:t>
      </w:r>
      <w:r>
        <w:rPr>
          <w:sz w:val="26"/>
        </w:rPr>
        <w:t>reform.</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5" w:firstLine="0"/>
        <w:jc w:val="both"/>
        <w:rPr>
          <w:sz w:val="26"/>
        </w:rPr>
      </w:pPr>
      <w:r>
        <w:rPr>
          <w:sz w:val="26"/>
        </w:rPr>
        <w:t xml:space="preserve">Reading Dr Ambedkar compels us to look at the other side of the independence movement. Besides the struggle </w:t>
      </w:r>
      <w:r>
        <w:rPr>
          <w:sz w:val="26"/>
        </w:rPr>
        <w:t>for independence from the British rule, there was another struggle going on since centuries and which still continues. That struggle has been for social emancipation. It has been the struggle for the replacement of an unequal social order. It has been a fi</w:t>
      </w:r>
      <w:r>
        <w:rPr>
          <w:sz w:val="26"/>
        </w:rPr>
        <w:t>ght for undoing historical injustices and for righting fundamental wrongs with fundamental rights. The Constitution of India is the end product of both these struggles.</w:t>
      </w:r>
      <w:r>
        <w:rPr>
          <w:spacing w:val="-12"/>
          <w:sz w:val="26"/>
        </w:rPr>
        <w:t xml:space="preserve"> </w:t>
      </w:r>
      <w:r>
        <w:rPr>
          <w:sz w:val="26"/>
        </w:rPr>
        <w:t>It</w:t>
      </w:r>
      <w:r>
        <w:rPr>
          <w:spacing w:val="-9"/>
          <w:sz w:val="26"/>
        </w:rPr>
        <w:t xml:space="preserve"> </w:t>
      </w:r>
      <w:r>
        <w:rPr>
          <w:sz w:val="26"/>
        </w:rPr>
        <w:t>is</w:t>
      </w:r>
      <w:r>
        <w:rPr>
          <w:spacing w:val="-9"/>
          <w:sz w:val="26"/>
        </w:rPr>
        <w:t xml:space="preserve"> </w:t>
      </w:r>
      <w:r>
        <w:rPr>
          <w:sz w:val="26"/>
        </w:rPr>
        <w:t>the</w:t>
      </w:r>
      <w:r>
        <w:rPr>
          <w:spacing w:val="-9"/>
          <w:sz w:val="26"/>
        </w:rPr>
        <w:t xml:space="preserve"> </w:t>
      </w:r>
      <w:r>
        <w:rPr>
          <w:sz w:val="26"/>
        </w:rPr>
        <w:t>foundational</w:t>
      </w:r>
      <w:r>
        <w:rPr>
          <w:spacing w:val="-9"/>
          <w:sz w:val="26"/>
        </w:rPr>
        <w:t xml:space="preserve"> </w:t>
      </w:r>
      <w:r>
        <w:rPr>
          <w:sz w:val="26"/>
        </w:rPr>
        <w:t>document,</w:t>
      </w:r>
      <w:r>
        <w:rPr>
          <w:spacing w:val="-8"/>
          <w:sz w:val="26"/>
        </w:rPr>
        <w:t xml:space="preserve"> </w:t>
      </w:r>
      <w:r>
        <w:rPr>
          <w:sz w:val="26"/>
        </w:rPr>
        <w:t>which</w:t>
      </w:r>
      <w:r>
        <w:rPr>
          <w:spacing w:val="-9"/>
          <w:sz w:val="26"/>
        </w:rPr>
        <w:t xml:space="preserve"> </w:t>
      </w:r>
      <w:r>
        <w:rPr>
          <w:sz w:val="26"/>
        </w:rPr>
        <w:t>in</w:t>
      </w:r>
      <w:r>
        <w:rPr>
          <w:spacing w:val="-11"/>
          <w:sz w:val="26"/>
        </w:rPr>
        <w:t xml:space="preserve"> </w:t>
      </w:r>
      <w:r>
        <w:rPr>
          <w:sz w:val="26"/>
        </w:rPr>
        <w:t>text</w:t>
      </w:r>
      <w:r>
        <w:rPr>
          <w:spacing w:val="-9"/>
          <w:sz w:val="26"/>
        </w:rPr>
        <w:t xml:space="preserve"> </w:t>
      </w:r>
      <w:r>
        <w:rPr>
          <w:sz w:val="26"/>
        </w:rPr>
        <w:t>and</w:t>
      </w:r>
      <w:r>
        <w:rPr>
          <w:spacing w:val="-9"/>
          <w:sz w:val="26"/>
        </w:rPr>
        <w:t xml:space="preserve"> </w:t>
      </w:r>
      <w:r>
        <w:rPr>
          <w:sz w:val="26"/>
        </w:rPr>
        <w:t>spirit,</w:t>
      </w:r>
      <w:r>
        <w:rPr>
          <w:spacing w:val="-12"/>
          <w:sz w:val="26"/>
        </w:rPr>
        <w:t xml:space="preserve"> </w:t>
      </w:r>
      <w:r>
        <w:rPr>
          <w:sz w:val="26"/>
        </w:rPr>
        <w:t>aims</w:t>
      </w:r>
      <w:r>
        <w:rPr>
          <w:spacing w:val="-9"/>
          <w:sz w:val="26"/>
        </w:rPr>
        <w:t xml:space="preserve"> </w:t>
      </w:r>
      <w:r>
        <w:rPr>
          <w:sz w:val="26"/>
        </w:rPr>
        <w:t>at</w:t>
      </w:r>
      <w:r>
        <w:rPr>
          <w:spacing w:val="-10"/>
          <w:sz w:val="26"/>
        </w:rPr>
        <w:t xml:space="preserve"> </w:t>
      </w:r>
      <w:r>
        <w:rPr>
          <w:sz w:val="26"/>
        </w:rPr>
        <w:t>social transformatio</w:t>
      </w:r>
      <w:r>
        <w:rPr>
          <w:sz w:val="26"/>
        </w:rPr>
        <w:t>n namely, the creation and preservation of an equal social order. The</w:t>
      </w:r>
      <w:r>
        <w:rPr>
          <w:spacing w:val="-15"/>
          <w:sz w:val="26"/>
        </w:rPr>
        <w:t xml:space="preserve"> </w:t>
      </w:r>
      <w:r>
        <w:rPr>
          <w:sz w:val="26"/>
        </w:rPr>
        <w:t>Constitution</w:t>
      </w:r>
      <w:r>
        <w:rPr>
          <w:spacing w:val="-14"/>
          <w:sz w:val="26"/>
        </w:rPr>
        <w:t xml:space="preserve"> </w:t>
      </w:r>
      <w:r>
        <w:rPr>
          <w:sz w:val="26"/>
        </w:rPr>
        <w:t>represents</w:t>
      </w:r>
      <w:r>
        <w:rPr>
          <w:spacing w:val="-13"/>
          <w:sz w:val="26"/>
        </w:rPr>
        <w:t xml:space="preserve"> </w:t>
      </w:r>
      <w:r>
        <w:rPr>
          <w:sz w:val="26"/>
        </w:rPr>
        <w:t>the</w:t>
      </w:r>
      <w:r>
        <w:rPr>
          <w:spacing w:val="-12"/>
          <w:sz w:val="26"/>
        </w:rPr>
        <w:t xml:space="preserve"> </w:t>
      </w:r>
      <w:r>
        <w:rPr>
          <w:sz w:val="26"/>
        </w:rPr>
        <w:t>aspirations</w:t>
      </w:r>
      <w:r>
        <w:rPr>
          <w:spacing w:val="-15"/>
          <w:sz w:val="26"/>
        </w:rPr>
        <w:t xml:space="preserve"> </w:t>
      </w:r>
      <w:r>
        <w:rPr>
          <w:sz w:val="26"/>
        </w:rPr>
        <w:t>of</w:t>
      </w:r>
      <w:r>
        <w:rPr>
          <w:spacing w:val="-14"/>
          <w:sz w:val="26"/>
        </w:rPr>
        <w:t xml:space="preserve"> </w:t>
      </w:r>
      <w:r>
        <w:rPr>
          <w:sz w:val="26"/>
        </w:rPr>
        <w:t>those,</w:t>
      </w:r>
      <w:r>
        <w:rPr>
          <w:spacing w:val="-12"/>
          <w:sz w:val="26"/>
        </w:rPr>
        <w:t xml:space="preserve"> </w:t>
      </w:r>
      <w:r>
        <w:rPr>
          <w:sz w:val="26"/>
        </w:rPr>
        <w:t>who</w:t>
      </w:r>
      <w:r>
        <w:rPr>
          <w:spacing w:val="-13"/>
          <w:sz w:val="26"/>
        </w:rPr>
        <w:t xml:space="preserve"> </w:t>
      </w:r>
      <w:r>
        <w:rPr>
          <w:sz w:val="26"/>
        </w:rPr>
        <w:t>were</w:t>
      </w:r>
      <w:r>
        <w:rPr>
          <w:spacing w:val="-9"/>
          <w:sz w:val="26"/>
        </w:rPr>
        <w:t xml:space="preserve"> </w:t>
      </w:r>
      <w:r>
        <w:rPr>
          <w:sz w:val="26"/>
        </w:rPr>
        <w:t>denied</w:t>
      </w:r>
      <w:r>
        <w:rPr>
          <w:spacing w:val="-13"/>
          <w:sz w:val="26"/>
        </w:rPr>
        <w:t xml:space="preserve"> </w:t>
      </w:r>
      <w:r>
        <w:rPr>
          <w:sz w:val="26"/>
        </w:rPr>
        <w:t>the</w:t>
      </w:r>
      <w:r>
        <w:rPr>
          <w:spacing w:val="-12"/>
          <w:sz w:val="26"/>
        </w:rPr>
        <w:t xml:space="preserve"> </w:t>
      </w:r>
      <w:r>
        <w:rPr>
          <w:sz w:val="26"/>
        </w:rPr>
        <w:t>basic ingredients</w:t>
      </w:r>
      <w:r>
        <w:rPr>
          <w:spacing w:val="-10"/>
          <w:sz w:val="26"/>
        </w:rPr>
        <w:t xml:space="preserve"> </w:t>
      </w:r>
      <w:r>
        <w:rPr>
          <w:sz w:val="26"/>
        </w:rPr>
        <w:t>of</w:t>
      </w:r>
      <w:r>
        <w:rPr>
          <w:spacing w:val="-7"/>
          <w:sz w:val="26"/>
        </w:rPr>
        <w:t xml:space="preserve"> </w:t>
      </w:r>
      <w:r>
        <w:rPr>
          <w:sz w:val="26"/>
        </w:rPr>
        <w:t>a</w:t>
      </w:r>
      <w:r>
        <w:rPr>
          <w:spacing w:val="-9"/>
          <w:sz w:val="26"/>
        </w:rPr>
        <w:t xml:space="preserve"> </w:t>
      </w:r>
      <w:r>
        <w:rPr>
          <w:sz w:val="26"/>
        </w:rPr>
        <w:t>dignified</w:t>
      </w:r>
      <w:r>
        <w:rPr>
          <w:spacing w:val="-10"/>
          <w:sz w:val="26"/>
        </w:rPr>
        <w:t xml:space="preserve"> </w:t>
      </w:r>
      <w:r>
        <w:rPr>
          <w:sz w:val="26"/>
        </w:rPr>
        <w:t>existence.</w:t>
      </w:r>
      <w:r>
        <w:rPr>
          <w:spacing w:val="-10"/>
          <w:sz w:val="26"/>
        </w:rPr>
        <w:t xml:space="preserve"> </w:t>
      </w:r>
      <w:r>
        <w:rPr>
          <w:sz w:val="26"/>
        </w:rPr>
        <w:t>It</w:t>
      </w:r>
      <w:r>
        <w:rPr>
          <w:spacing w:val="-7"/>
          <w:sz w:val="26"/>
        </w:rPr>
        <w:t xml:space="preserve"> </w:t>
      </w:r>
      <w:r>
        <w:rPr>
          <w:sz w:val="26"/>
        </w:rPr>
        <w:t>contains</w:t>
      </w:r>
      <w:r>
        <w:rPr>
          <w:spacing w:val="-9"/>
          <w:sz w:val="26"/>
        </w:rPr>
        <w:t xml:space="preserve"> </w:t>
      </w:r>
      <w:r>
        <w:rPr>
          <w:sz w:val="26"/>
        </w:rPr>
        <w:t>a</w:t>
      </w:r>
      <w:r>
        <w:rPr>
          <w:spacing w:val="-8"/>
          <w:sz w:val="26"/>
        </w:rPr>
        <w:t xml:space="preserve"> </w:t>
      </w:r>
      <w:r>
        <w:rPr>
          <w:sz w:val="26"/>
        </w:rPr>
        <w:t>vision</w:t>
      </w:r>
      <w:r>
        <w:rPr>
          <w:spacing w:val="-9"/>
          <w:sz w:val="26"/>
        </w:rPr>
        <w:t xml:space="preserve"> </w:t>
      </w:r>
      <w:r>
        <w:rPr>
          <w:sz w:val="26"/>
        </w:rPr>
        <w:t>of</w:t>
      </w:r>
      <w:r>
        <w:rPr>
          <w:spacing w:val="-9"/>
          <w:sz w:val="26"/>
        </w:rPr>
        <w:t xml:space="preserve"> </w:t>
      </w:r>
      <w:r>
        <w:rPr>
          <w:sz w:val="26"/>
        </w:rPr>
        <w:t>social</w:t>
      </w:r>
      <w:r>
        <w:rPr>
          <w:spacing w:val="-7"/>
          <w:sz w:val="26"/>
        </w:rPr>
        <w:t xml:space="preserve"> </w:t>
      </w:r>
      <w:r>
        <w:rPr>
          <w:sz w:val="26"/>
        </w:rPr>
        <w:t>justice</w:t>
      </w:r>
      <w:r>
        <w:rPr>
          <w:spacing w:val="-10"/>
          <w:sz w:val="26"/>
        </w:rPr>
        <w:t xml:space="preserve"> </w:t>
      </w:r>
      <w:r>
        <w:rPr>
          <w:sz w:val="26"/>
        </w:rPr>
        <w:t>and</w:t>
      </w:r>
      <w:r>
        <w:rPr>
          <w:spacing w:val="-9"/>
          <w:sz w:val="26"/>
        </w:rPr>
        <w:t xml:space="preserve"> </w:t>
      </w:r>
      <w:r>
        <w:rPr>
          <w:sz w:val="26"/>
        </w:rPr>
        <w:t>lays down a roadmap for successive governments to achieve that vision. The document sets out a moral trajectory, which citizens must pursue for</w:t>
      </w:r>
      <w:r>
        <w:rPr>
          <w:spacing w:val="50"/>
          <w:sz w:val="26"/>
        </w:rPr>
        <w:t xml:space="preserve"> </w:t>
      </w:r>
      <w:r>
        <w:rPr>
          <w:sz w:val="26"/>
        </w:rPr>
        <w:t>the realization of the values of liberty, equality, fraternity and justice. It is an assurance to the marginaliz</w:t>
      </w:r>
      <w:r>
        <w:rPr>
          <w:sz w:val="26"/>
        </w:rPr>
        <w:t>ed to be able to rise to the challenges of human existence. The Constituent Assembly was enriched by the shared wisdom and experiences</w:t>
      </w:r>
      <w:r>
        <w:rPr>
          <w:spacing w:val="57"/>
          <w:sz w:val="26"/>
        </w:rPr>
        <w:t xml:space="preserve"> </w:t>
      </w:r>
      <w:r>
        <w:rPr>
          <w:sz w:val="26"/>
        </w:rPr>
        <w:t>gathered</w:t>
      </w:r>
      <w:r>
        <w:rPr>
          <w:spacing w:val="55"/>
          <w:sz w:val="26"/>
        </w:rPr>
        <w:t xml:space="preserve"> </w:t>
      </w:r>
      <w:r>
        <w:rPr>
          <w:sz w:val="26"/>
        </w:rPr>
        <w:t>by</w:t>
      </w:r>
      <w:r>
        <w:rPr>
          <w:spacing w:val="54"/>
          <w:sz w:val="26"/>
        </w:rPr>
        <w:t xml:space="preserve"> </w:t>
      </w:r>
      <w:r>
        <w:rPr>
          <w:sz w:val="26"/>
        </w:rPr>
        <w:t>its</w:t>
      </w:r>
      <w:r>
        <w:rPr>
          <w:spacing w:val="55"/>
          <w:sz w:val="26"/>
        </w:rPr>
        <w:t xml:space="preserve"> </w:t>
      </w:r>
      <w:r>
        <w:rPr>
          <w:sz w:val="26"/>
        </w:rPr>
        <w:t>members</w:t>
      </w:r>
      <w:r>
        <w:rPr>
          <w:spacing w:val="58"/>
          <w:sz w:val="26"/>
        </w:rPr>
        <w:t xml:space="preserve"> </w:t>
      </w:r>
      <w:r>
        <w:rPr>
          <w:sz w:val="26"/>
        </w:rPr>
        <w:t>from</w:t>
      </w:r>
      <w:r>
        <w:rPr>
          <w:spacing w:val="55"/>
          <w:sz w:val="26"/>
        </w:rPr>
        <w:t xml:space="preserve"> </w:t>
      </w:r>
      <w:r>
        <w:rPr>
          <w:sz w:val="26"/>
        </w:rPr>
        <w:t>the</w:t>
      </w:r>
      <w:r>
        <w:rPr>
          <w:spacing w:val="58"/>
          <w:sz w:val="26"/>
        </w:rPr>
        <w:t xml:space="preserve"> </w:t>
      </w:r>
      <w:r>
        <w:rPr>
          <w:sz w:val="26"/>
        </w:rPr>
        <w:t>ongoing</w:t>
      </w:r>
      <w:r>
        <w:rPr>
          <w:spacing w:val="57"/>
          <w:sz w:val="26"/>
        </w:rPr>
        <w:t xml:space="preserve"> </w:t>
      </w:r>
      <w:r>
        <w:rPr>
          <w:sz w:val="26"/>
        </w:rPr>
        <w:t>social</w:t>
      </w:r>
      <w:r>
        <w:rPr>
          <w:spacing w:val="56"/>
          <w:sz w:val="26"/>
        </w:rPr>
        <w:t xml:space="preserve"> </w:t>
      </w:r>
      <w:r>
        <w:rPr>
          <w:sz w:val="26"/>
        </w:rPr>
        <w:t>struggle</w:t>
      </w:r>
      <w:r>
        <w:rPr>
          <w:spacing w:val="57"/>
          <w:sz w:val="26"/>
        </w:rPr>
        <w:t xml:space="preserve"> </w:t>
      </w:r>
      <w:r>
        <w:rPr>
          <w:sz w:val="26"/>
        </w:rPr>
        <w:t>for</w:t>
      </w:r>
    </w:p>
    <w:p w:rsidR="003B2FC0" w:rsidRDefault="003B2FC0">
      <w:pPr>
        <w:spacing w:line="480" w:lineRule="auto"/>
        <w:jc w:val="both"/>
        <w:rPr>
          <w:sz w:val="26"/>
        </w:rPr>
        <w:sectPr w:rsidR="003B2FC0">
          <w:footerReference w:type="default" r:id="rId373"/>
          <w:pgSz w:w="11910" w:h="16840"/>
          <w:pgMar w:top="1080" w:right="980" w:bottom="1200" w:left="1040" w:header="708" w:footer="1000" w:gutter="0"/>
          <w:pgNumType w:start="10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 xml:space="preserve">equality and justice. In particular, as the Chairman of the Drafting Committee, Dr Ambedkar brought with himself ideas, values and scholarship, which were derived from the experiences and struggles which singularly were his own. He drew as well from other </w:t>
      </w:r>
      <w:r>
        <w:rPr>
          <w:sz w:val="26"/>
        </w:rPr>
        <w:t>social reformers in their movements against social injustice. Some of these experiences and literature ought to be discussed in order to understand the vision behind the philosophy of the Constitution and, particularly, Article 17.</w:t>
      </w:r>
    </w:p>
    <w:p w:rsidR="003B2FC0" w:rsidRDefault="003B2FC0">
      <w:pPr>
        <w:rPr>
          <w:sz w:val="28"/>
        </w:rPr>
      </w:pPr>
    </w:p>
    <w:p w:rsidR="003B2FC0" w:rsidRDefault="003B2FC0">
      <w:pPr>
        <w:spacing w:before="9"/>
        <w:rPr>
          <w:sz w:val="32"/>
        </w:rPr>
      </w:pPr>
    </w:p>
    <w:p w:rsidR="003B2FC0" w:rsidRDefault="00052A49">
      <w:pPr>
        <w:spacing w:line="480" w:lineRule="auto"/>
        <w:ind w:left="400" w:right="434"/>
        <w:jc w:val="both"/>
        <w:rPr>
          <w:sz w:val="26"/>
        </w:rPr>
      </w:pPr>
      <w:r>
        <w:rPr>
          <w:sz w:val="26"/>
        </w:rPr>
        <w:t>Having himself faced d</w:t>
      </w:r>
      <w:r>
        <w:rPr>
          <w:sz w:val="26"/>
        </w:rPr>
        <w:t xml:space="preserve">iscrimination and stigmatization, Dr Ambedkar </w:t>
      </w:r>
      <w:r>
        <w:rPr>
          <w:spacing w:val="-4"/>
          <w:sz w:val="26"/>
        </w:rPr>
        <w:t xml:space="preserve">had </w:t>
      </w:r>
      <w:r>
        <w:rPr>
          <w:sz w:val="26"/>
        </w:rPr>
        <w:t>launched</w:t>
      </w:r>
      <w:r>
        <w:rPr>
          <w:spacing w:val="-11"/>
          <w:sz w:val="26"/>
        </w:rPr>
        <w:t xml:space="preserve"> </w:t>
      </w:r>
      <w:r>
        <w:rPr>
          <w:sz w:val="26"/>
        </w:rPr>
        <w:t>an</w:t>
      </w:r>
      <w:r>
        <w:rPr>
          <w:spacing w:val="-10"/>
          <w:sz w:val="26"/>
        </w:rPr>
        <w:t xml:space="preserve"> </w:t>
      </w:r>
      <w:r>
        <w:rPr>
          <w:sz w:val="26"/>
        </w:rPr>
        <w:t>active</w:t>
      </w:r>
      <w:r>
        <w:rPr>
          <w:spacing w:val="-7"/>
          <w:sz w:val="26"/>
        </w:rPr>
        <w:t xml:space="preserve"> </w:t>
      </w:r>
      <w:r>
        <w:rPr>
          <w:sz w:val="26"/>
        </w:rPr>
        <w:t>movement</w:t>
      </w:r>
      <w:r>
        <w:rPr>
          <w:spacing w:val="-10"/>
          <w:sz w:val="26"/>
        </w:rPr>
        <w:t xml:space="preserve"> </w:t>
      </w:r>
      <w:r>
        <w:rPr>
          <w:sz w:val="26"/>
        </w:rPr>
        <w:t>against</w:t>
      </w:r>
      <w:r>
        <w:rPr>
          <w:spacing w:val="-8"/>
          <w:sz w:val="26"/>
        </w:rPr>
        <w:t xml:space="preserve"> </w:t>
      </w:r>
      <w:r>
        <w:rPr>
          <w:sz w:val="26"/>
        </w:rPr>
        <w:t>“untouchability”.</w:t>
      </w:r>
      <w:r>
        <w:rPr>
          <w:spacing w:val="-7"/>
          <w:sz w:val="26"/>
        </w:rPr>
        <w:t xml:space="preserve"> </w:t>
      </w:r>
      <w:r>
        <w:rPr>
          <w:sz w:val="26"/>
        </w:rPr>
        <w:t>In</w:t>
      </w:r>
      <w:r>
        <w:rPr>
          <w:spacing w:val="-10"/>
          <w:sz w:val="26"/>
        </w:rPr>
        <w:t xml:space="preserve"> </w:t>
      </w:r>
      <w:r>
        <w:rPr>
          <w:sz w:val="26"/>
        </w:rPr>
        <w:t>1924,</w:t>
      </w:r>
      <w:r>
        <w:rPr>
          <w:spacing w:val="-9"/>
          <w:sz w:val="26"/>
        </w:rPr>
        <w:t xml:space="preserve"> </w:t>
      </w:r>
      <w:r>
        <w:rPr>
          <w:sz w:val="26"/>
        </w:rPr>
        <w:t>he</w:t>
      </w:r>
      <w:r>
        <w:rPr>
          <w:spacing w:val="-10"/>
          <w:sz w:val="26"/>
        </w:rPr>
        <w:t xml:space="preserve"> </w:t>
      </w:r>
      <w:r>
        <w:rPr>
          <w:sz w:val="26"/>
        </w:rPr>
        <w:t>founded</w:t>
      </w:r>
      <w:r>
        <w:rPr>
          <w:spacing w:val="-10"/>
          <w:sz w:val="26"/>
        </w:rPr>
        <w:t xml:space="preserve"> </w:t>
      </w:r>
      <w:r>
        <w:rPr>
          <w:sz w:val="26"/>
        </w:rPr>
        <w:t>the Bahishkrut Hitkarani Sabha, aimed at advancing the rights of those who were neglected by society. Over the following years, Dr A</w:t>
      </w:r>
      <w:r>
        <w:rPr>
          <w:sz w:val="26"/>
        </w:rPr>
        <w:t>mbedkar organised marches demanding rights for untouchables to drinking water from public resources, and their right to enter temples. These movements were part of the larger demand of equality for the</w:t>
      </w:r>
      <w:r>
        <w:rPr>
          <w:spacing w:val="-5"/>
          <w:sz w:val="26"/>
        </w:rPr>
        <w:t xml:space="preserve"> </w:t>
      </w:r>
      <w:r>
        <w:rPr>
          <w:sz w:val="26"/>
        </w:rPr>
        <w:t>untouchables.</w:t>
      </w:r>
    </w:p>
    <w:p w:rsidR="003B2FC0" w:rsidRDefault="003B2FC0">
      <w:pPr>
        <w:rPr>
          <w:sz w:val="28"/>
        </w:rPr>
      </w:pPr>
    </w:p>
    <w:p w:rsidR="003B2FC0" w:rsidRDefault="003B2FC0">
      <w:pPr>
        <w:rPr>
          <w:sz w:val="33"/>
        </w:rPr>
      </w:pPr>
    </w:p>
    <w:p w:rsidR="003B2FC0" w:rsidRDefault="00052A49">
      <w:pPr>
        <w:spacing w:line="480" w:lineRule="auto"/>
        <w:ind w:left="400" w:right="441"/>
        <w:jc w:val="both"/>
        <w:rPr>
          <w:sz w:val="26"/>
        </w:rPr>
      </w:pPr>
      <w:r>
        <w:rPr>
          <w:sz w:val="26"/>
        </w:rPr>
        <w:t>In his profound work, “Annihilation of</w:t>
      </w:r>
      <w:r>
        <w:rPr>
          <w:sz w:val="26"/>
        </w:rPr>
        <w:t xml:space="preserve"> Caste”, while advocating the destruction of the caste system, Dr Ambedkar recorded some of the “untouchability” practices by which the Untouchables were subjected to inhuman treatment:</w:t>
      </w:r>
    </w:p>
    <w:p w:rsidR="003B2FC0" w:rsidRDefault="00052A49">
      <w:pPr>
        <w:spacing w:before="198" w:line="276" w:lineRule="auto"/>
        <w:ind w:left="1840" w:right="2280"/>
        <w:jc w:val="both"/>
        <w:rPr>
          <w:sz w:val="21"/>
        </w:rPr>
      </w:pPr>
      <w:r>
        <w:rPr>
          <w:sz w:val="21"/>
        </w:rPr>
        <w:t>“Under the rule of the Peshwas in the Maratha country, the Untouchable</w:t>
      </w:r>
      <w:r>
        <w:rPr>
          <w:sz w:val="21"/>
        </w:rPr>
        <w:t xml:space="preserve"> was not allowed to use the public streets if a Hindu was coming along, lest he should pollute the Hindu by his shadow. The Untouchable was required to have a black thread either on his wrist or around his neck, as a sign or a mark to prevent the Hindus fr</w:t>
      </w:r>
      <w:r>
        <w:rPr>
          <w:sz w:val="21"/>
        </w:rPr>
        <w:t>om getting themselves polluted by his touch by mistake. In Poona, the capital of the Peshwa, the Untouchable was required to carry, strung from his waist,</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1"/>
        <w:jc w:val="both"/>
        <w:rPr>
          <w:sz w:val="14"/>
        </w:rPr>
      </w:pPr>
      <w:r>
        <w:rPr>
          <w:sz w:val="21"/>
        </w:rPr>
        <w:t>a broom to sweep away from behind himself the dust he trod on, lest a Hindu walkin</w:t>
      </w:r>
      <w:r>
        <w:rPr>
          <w:sz w:val="21"/>
        </w:rPr>
        <w:t>g on the same dust should be polluted. In Poona, the Untouchable was required to carry an earthen pot hung around his neck wherever he went—for holding his spit,</w:t>
      </w:r>
      <w:r>
        <w:rPr>
          <w:spacing w:val="-10"/>
          <w:sz w:val="21"/>
        </w:rPr>
        <w:t xml:space="preserve"> </w:t>
      </w:r>
      <w:r>
        <w:rPr>
          <w:sz w:val="21"/>
        </w:rPr>
        <w:t>lest</w:t>
      </w:r>
      <w:r>
        <w:rPr>
          <w:spacing w:val="-10"/>
          <w:sz w:val="21"/>
        </w:rPr>
        <w:t xml:space="preserve"> </w:t>
      </w:r>
      <w:r>
        <w:rPr>
          <w:sz w:val="21"/>
        </w:rPr>
        <w:t>his</w:t>
      </w:r>
      <w:r>
        <w:rPr>
          <w:spacing w:val="-9"/>
          <w:sz w:val="21"/>
        </w:rPr>
        <w:t xml:space="preserve"> </w:t>
      </w:r>
      <w:r>
        <w:rPr>
          <w:sz w:val="21"/>
        </w:rPr>
        <w:t>spit</w:t>
      </w:r>
      <w:r>
        <w:rPr>
          <w:spacing w:val="-10"/>
          <w:sz w:val="21"/>
        </w:rPr>
        <w:t xml:space="preserve"> </w:t>
      </w:r>
      <w:r>
        <w:rPr>
          <w:sz w:val="21"/>
        </w:rPr>
        <w:t>falling</w:t>
      </w:r>
      <w:r>
        <w:rPr>
          <w:spacing w:val="-9"/>
          <w:sz w:val="21"/>
        </w:rPr>
        <w:t xml:space="preserve"> </w:t>
      </w:r>
      <w:r>
        <w:rPr>
          <w:sz w:val="21"/>
        </w:rPr>
        <w:t>on</w:t>
      </w:r>
      <w:r>
        <w:rPr>
          <w:spacing w:val="-9"/>
          <w:sz w:val="21"/>
        </w:rPr>
        <w:t xml:space="preserve"> </w:t>
      </w:r>
      <w:r>
        <w:rPr>
          <w:sz w:val="21"/>
        </w:rPr>
        <w:t>the</w:t>
      </w:r>
      <w:r>
        <w:rPr>
          <w:spacing w:val="-8"/>
          <w:sz w:val="21"/>
        </w:rPr>
        <w:t xml:space="preserve"> </w:t>
      </w:r>
      <w:r>
        <w:rPr>
          <w:sz w:val="21"/>
        </w:rPr>
        <w:t>earth</w:t>
      </w:r>
      <w:r>
        <w:rPr>
          <w:spacing w:val="-9"/>
          <w:sz w:val="21"/>
        </w:rPr>
        <w:t xml:space="preserve"> </w:t>
      </w:r>
      <w:r>
        <w:rPr>
          <w:sz w:val="21"/>
        </w:rPr>
        <w:t>should</w:t>
      </w:r>
      <w:r>
        <w:rPr>
          <w:spacing w:val="-9"/>
          <w:sz w:val="21"/>
        </w:rPr>
        <w:t xml:space="preserve"> </w:t>
      </w:r>
      <w:r>
        <w:rPr>
          <w:sz w:val="21"/>
        </w:rPr>
        <w:t>pollute</w:t>
      </w:r>
      <w:r>
        <w:rPr>
          <w:spacing w:val="-9"/>
          <w:sz w:val="21"/>
        </w:rPr>
        <w:t xml:space="preserve"> </w:t>
      </w:r>
      <w:r>
        <w:rPr>
          <w:sz w:val="21"/>
        </w:rPr>
        <w:t>a</w:t>
      </w:r>
      <w:r>
        <w:rPr>
          <w:spacing w:val="-12"/>
          <w:sz w:val="21"/>
        </w:rPr>
        <w:t xml:space="preserve"> </w:t>
      </w:r>
      <w:r>
        <w:rPr>
          <w:sz w:val="21"/>
        </w:rPr>
        <w:t>Hindu</w:t>
      </w:r>
      <w:r>
        <w:rPr>
          <w:spacing w:val="-9"/>
          <w:sz w:val="21"/>
        </w:rPr>
        <w:t xml:space="preserve"> </w:t>
      </w:r>
      <w:r>
        <w:rPr>
          <w:sz w:val="21"/>
        </w:rPr>
        <w:t>who might unknowingly happen to tread on</w:t>
      </w:r>
      <w:r>
        <w:rPr>
          <w:spacing w:val="-12"/>
          <w:sz w:val="21"/>
        </w:rPr>
        <w:t xml:space="preserve"> </w:t>
      </w:r>
      <w:r>
        <w:rPr>
          <w:sz w:val="21"/>
        </w:rPr>
        <w:t>it.”</w:t>
      </w:r>
      <w:r>
        <w:rPr>
          <w:position w:val="7"/>
          <w:sz w:val="14"/>
        </w:rPr>
        <w:t>88</w:t>
      </w:r>
    </w:p>
    <w:p w:rsidR="003B2FC0" w:rsidRDefault="003B2FC0">
      <w:pPr>
        <w:rPr>
          <w:sz w:val="24"/>
        </w:rPr>
      </w:pPr>
    </w:p>
    <w:p w:rsidR="003B2FC0" w:rsidRDefault="003B2FC0">
      <w:pPr>
        <w:spacing w:before="5"/>
        <w:rPr>
          <w:sz w:val="32"/>
        </w:rPr>
      </w:pPr>
    </w:p>
    <w:p w:rsidR="003B2FC0" w:rsidRDefault="00052A49">
      <w:pPr>
        <w:spacing w:line="480" w:lineRule="auto"/>
        <w:ind w:left="400" w:right="431"/>
        <w:jc w:val="both"/>
        <w:rPr>
          <w:sz w:val="26"/>
        </w:rPr>
      </w:pPr>
      <w:r>
        <w:rPr>
          <w:sz w:val="26"/>
        </w:rPr>
        <w:t>His autobiographical notes published after his death with the title “Waiting for a Visa”</w:t>
      </w:r>
      <w:r>
        <w:rPr>
          <w:position w:val="9"/>
          <w:sz w:val="17"/>
        </w:rPr>
        <w:t>89</w:t>
      </w:r>
      <w:r>
        <w:rPr>
          <w:sz w:val="26"/>
        </w:rPr>
        <w:t>, contain reminiscences drawn by Dr Ambedkar on his own experiences with “untouchability”. Dr Ambedkar mentions seve</w:t>
      </w:r>
      <w:r>
        <w:rPr>
          <w:sz w:val="26"/>
        </w:rPr>
        <w:t>ral experiences from his childhood. No barber would consent to shave an untouchable. During his days as an Officer in Baroda State, he was denied a place to stay in quarters. In another note, which was handwritten by Dr Ambedkar and was later published wit</w:t>
      </w:r>
      <w:r>
        <w:rPr>
          <w:sz w:val="26"/>
        </w:rPr>
        <w:t>h the title “Frustration”, he wrote:</w:t>
      </w:r>
    </w:p>
    <w:p w:rsidR="003B2FC0" w:rsidRDefault="00052A49">
      <w:pPr>
        <w:spacing w:before="196" w:line="276" w:lineRule="auto"/>
        <w:ind w:left="1840" w:right="2281"/>
        <w:jc w:val="both"/>
        <w:rPr>
          <w:sz w:val="14"/>
        </w:rPr>
      </w:pPr>
      <w:r>
        <w:rPr>
          <w:sz w:val="21"/>
        </w:rPr>
        <w:t>“The Untouchables are the weariest, most loathed and the most miserable people that history can witness. They are a spent and sacrificed people… To put it in simple language the Untouchables have been completely overtaken by a sense of utter frustration. A</w:t>
      </w:r>
      <w:r>
        <w:rPr>
          <w:sz w:val="21"/>
        </w:rPr>
        <w:t>s Mathew Arnold says “life consists in the effort</w:t>
      </w:r>
      <w:r>
        <w:rPr>
          <w:spacing w:val="-9"/>
          <w:sz w:val="21"/>
        </w:rPr>
        <w:t xml:space="preserve"> </w:t>
      </w:r>
      <w:r>
        <w:rPr>
          <w:sz w:val="21"/>
        </w:rPr>
        <w:t>to</w:t>
      </w:r>
      <w:r>
        <w:rPr>
          <w:spacing w:val="-7"/>
          <w:sz w:val="21"/>
        </w:rPr>
        <w:t xml:space="preserve"> </w:t>
      </w:r>
      <w:r>
        <w:rPr>
          <w:sz w:val="21"/>
        </w:rPr>
        <w:t>affirm</w:t>
      </w:r>
      <w:r>
        <w:rPr>
          <w:spacing w:val="-6"/>
          <w:sz w:val="21"/>
        </w:rPr>
        <w:t xml:space="preserve"> </w:t>
      </w:r>
      <w:r>
        <w:rPr>
          <w:sz w:val="21"/>
        </w:rPr>
        <w:t>one’s</w:t>
      </w:r>
      <w:r>
        <w:rPr>
          <w:spacing w:val="-9"/>
          <w:sz w:val="21"/>
        </w:rPr>
        <w:t xml:space="preserve"> </w:t>
      </w:r>
      <w:r>
        <w:rPr>
          <w:sz w:val="21"/>
        </w:rPr>
        <w:t>own</w:t>
      </w:r>
      <w:r>
        <w:rPr>
          <w:spacing w:val="-7"/>
          <w:sz w:val="21"/>
        </w:rPr>
        <w:t xml:space="preserve"> </w:t>
      </w:r>
      <w:r>
        <w:rPr>
          <w:sz w:val="21"/>
        </w:rPr>
        <w:t>essence;</w:t>
      </w:r>
      <w:r>
        <w:rPr>
          <w:spacing w:val="-7"/>
          <w:sz w:val="21"/>
        </w:rPr>
        <w:t xml:space="preserve"> </w:t>
      </w:r>
      <w:r>
        <w:rPr>
          <w:sz w:val="21"/>
        </w:rPr>
        <w:t>meaning</w:t>
      </w:r>
      <w:r>
        <w:rPr>
          <w:spacing w:val="-7"/>
          <w:sz w:val="21"/>
        </w:rPr>
        <w:t xml:space="preserve"> </w:t>
      </w:r>
      <w:r>
        <w:rPr>
          <w:sz w:val="21"/>
        </w:rPr>
        <w:t>by</w:t>
      </w:r>
      <w:r>
        <w:rPr>
          <w:spacing w:val="-9"/>
          <w:sz w:val="21"/>
        </w:rPr>
        <w:t xml:space="preserve"> </w:t>
      </w:r>
      <w:r>
        <w:rPr>
          <w:sz w:val="21"/>
        </w:rPr>
        <w:t>this,</w:t>
      </w:r>
      <w:r>
        <w:rPr>
          <w:spacing w:val="-8"/>
          <w:sz w:val="21"/>
        </w:rPr>
        <w:t xml:space="preserve"> </w:t>
      </w:r>
      <w:r>
        <w:rPr>
          <w:sz w:val="21"/>
        </w:rPr>
        <w:t>to</w:t>
      </w:r>
      <w:r>
        <w:rPr>
          <w:spacing w:val="-7"/>
          <w:sz w:val="21"/>
        </w:rPr>
        <w:t xml:space="preserve"> </w:t>
      </w:r>
      <w:r>
        <w:rPr>
          <w:sz w:val="21"/>
        </w:rPr>
        <w:t>develop one’s own existence fully and freely... Failure to affirm ones own essence is simply another name for frustration… ” Many people suffer such frustrat</w:t>
      </w:r>
      <w:r>
        <w:rPr>
          <w:sz w:val="21"/>
        </w:rPr>
        <w:t>ions in their history. But they soon recover from the blight and rise to glory again with new vibrations. The case of the Untouchables stands on a different footing. Their frustration is frustration for ever. It is unrelieved by space or time. In this resp</w:t>
      </w:r>
      <w:r>
        <w:rPr>
          <w:sz w:val="21"/>
        </w:rPr>
        <w:t>ect the story of the Untouchables stands in strange contrast with that of the</w:t>
      </w:r>
      <w:r>
        <w:rPr>
          <w:spacing w:val="-14"/>
          <w:sz w:val="21"/>
        </w:rPr>
        <w:t xml:space="preserve"> </w:t>
      </w:r>
      <w:r>
        <w:rPr>
          <w:sz w:val="21"/>
        </w:rPr>
        <w:t>Jews.”</w:t>
      </w:r>
      <w:r>
        <w:rPr>
          <w:position w:val="7"/>
          <w:sz w:val="14"/>
        </w:rPr>
        <w:t>90</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10"/>
        <w:rPr>
          <w:sz w:val="28"/>
        </w:rPr>
      </w:pPr>
      <w:r w:rsidRPr="003B2FC0">
        <w:pict>
          <v:line id="_x0000_s1098" style="position:absolute;z-index:251617792;mso-wrap-distance-left:0;mso-wrap-distance-right:0;mso-position-horizontal-relative:page" from="1in,18.95pt" to="216.05pt,18.95pt" strokeweight=".72pt">
            <w10:wrap type="topAndBottom" anchorx="page"/>
          </v:line>
        </w:pict>
      </w:r>
    </w:p>
    <w:p w:rsidR="003B2FC0" w:rsidRDefault="00052A49">
      <w:pPr>
        <w:spacing w:before="66"/>
        <w:ind w:left="580" w:right="434" w:hanging="180"/>
        <w:rPr>
          <w:sz w:val="18"/>
        </w:rPr>
      </w:pPr>
      <w:r>
        <w:rPr>
          <w:position w:val="6"/>
          <w:sz w:val="12"/>
        </w:rPr>
        <w:t xml:space="preserve">88 </w:t>
      </w:r>
      <w:r>
        <w:rPr>
          <w:sz w:val="18"/>
        </w:rPr>
        <w:t>Dr. Babasaheb Ambedkar: Writings and Speeches, (Vasant Moon ed.) Government of Maharashtra, Vol. 1 (2014), at pages 39</w:t>
      </w:r>
    </w:p>
    <w:p w:rsidR="003B2FC0" w:rsidRDefault="00052A49">
      <w:pPr>
        <w:ind w:left="580" w:right="434" w:hanging="180"/>
        <w:rPr>
          <w:sz w:val="18"/>
        </w:rPr>
      </w:pPr>
      <w:r>
        <w:rPr>
          <w:position w:val="6"/>
          <w:sz w:val="12"/>
        </w:rPr>
        <w:t xml:space="preserve">89 </w:t>
      </w:r>
      <w:r>
        <w:rPr>
          <w:sz w:val="18"/>
        </w:rPr>
        <w:t>Dr. Babasaheb Ambedkar: Writings a</w:t>
      </w:r>
      <w:r>
        <w:rPr>
          <w:sz w:val="18"/>
        </w:rPr>
        <w:t>nd Speeches, (Vasant Moon ed.) Government of Maharashtra, Vol. 12 (2014), at pages 661-691</w:t>
      </w:r>
    </w:p>
    <w:p w:rsidR="003B2FC0" w:rsidRDefault="00052A49">
      <w:pPr>
        <w:spacing w:line="208" w:lineRule="exact"/>
        <w:ind w:left="400"/>
        <w:rPr>
          <w:sz w:val="18"/>
        </w:rPr>
      </w:pPr>
      <w:r>
        <w:rPr>
          <w:position w:val="6"/>
          <w:sz w:val="12"/>
        </w:rPr>
        <w:t xml:space="preserve">90 </w:t>
      </w:r>
      <w:r>
        <w:rPr>
          <w:sz w:val="18"/>
        </w:rPr>
        <w:t>Ibid, at pages 733-735</w:t>
      </w:r>
    </w:p>
    <w:p w:rsidR="003B2FC0" w:rsidRDefault="003B2FC0">
      <w:pPr>
        <w:spacing w:line="208" w:lineRule="exact"/>
        <w:rPr>
          <w:sz w:val="18"/>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spacing w:before="97" w:line="480" w:lineRule="auto"/>
        <w:ind w:left="400" w:right="437"/>
        <w:jc w:val="both"/>
        <w:rPr>
          <w:sz w:val="26"/>
        </w:rPr>
      </w:pPr>
      <w:r>
        <w:rPr>
          <w:sz w:val="26"/>
        </w:rPr>
        <w:t>In his writing titled “Slaves and Untouchables”</w:t>
      </w:r>
      <w:r>
        <w:rPr>
          <w:position w:val="9"/>
          <w:sz w:val="17"/>
        </w:rPr>
        <w:t>91</w:t>
      </w:r>
      <w:r>
        <w:rPr>
          <w:sz w:val="26"/>
        </w:rPr>
        <w:t>, he described “untouchability” to be worse than slavery. In his words:</w:t>
      </w:r>
    </w:p>
    <w:p w:rsidR="003B2FC0" w:rsidRDefault="00052A49">
      <w:pPr>
        <w:spacing w:before="200" w:line="276" w:lineRule="auto"/>
        <w:ind w:left="1840" w:right="2280"/>
        <w:jc w:val="both"/>
        <w:rPr>
          <w:sz w:val="14"/>
        </w:rPr>
      </w:pPr>
      <w:r>
        <w:rPr>
          <w:sz w:val="21"/>
        </w:rPr>
        <w:t>“.. untouchability is obligatory. A person is permitted to hold another</w:t>
      </w:r>
      <w:r>
        <w:rPr>
          <w:spacing w:val="-7"/>
          <w:sz w:val="21"/>
        </w:rPr>
        <w:t xml:space="preserve"> </w:t>
      </w:r>
      <w:r>
        <w:rPr>
          <w:sz w:val="21"/>
        </w:rPr>
        <w:t>as</w:t>
      </w:r>
      <w:r>
        <w:rPr>
          <w:spacing w:val="-6"/>
          <w:sz w:val="21"/>
        </w:rPr>
        <w:t xml:space="preserve"> </w:t>
      </w:r>
      <w:r>
        <w:rPr>
          <w:sz w:val="21"/>
        </w:rPr>
        <w:t>his</w:t>
      </w:r>
      <w:r>
        <w:rPr>
          <w:spacing w:val="-6"/>
          <w:sz w:val="21"/>
        </w:rPr>
        <w:t xml:space="preserve"> </w:t>
      </w:r>
      <w:r>
        <w:rPr>
          <w:sz w:val="21"/>
        </w:rPr>
        <w:t>slave.</w:t>
      </w:r>
      <w:r>
        <w:rPr>
          <w:spacing w:val="-7"/>
          <w:sz w:val="21"/>
        </w:rPr>
        <w:t xml:space="preserve"> </w:t>
      </w:r>
      <w:r>
        <w:rPr>
          <w:sz w:val="21"/>
        </w:rPr>
        <w:t>There</w:t>
      </w:r>
      <w:r>
        <w:rPr>
          <w:spacing w:val="-6"/>
          <w:sz w:val="21"/>
        </w:rPr>
        <w:t xml:space="preserve"> </w:t>
      </w:r>
      <w:r>
        <w:rPr>
          <w:sz w:val="21"/>
        </w:rPr>
        <w:t>is</w:t>
      </w:r>
      <w:r>
        <w:rPr>
          <w:spacing w:val="-5"/>
          <w:sz w:val="21"/>
        </w:rPr>
        <w:t xml:space="preserve"> </w:t>
      </w:r>
      <w:r>
        <w:rPr>
          <w:sz w:val="21"/>
        </w:rPr>
        <w:t>no</w:t>
      </w:r>
      <w:r>
        <w:rPr>
          <w:spacing w:val="-6"/>
          <w:sz w:val="21"/>
        </w:rPr>
        <w:t xml:space="preserve"> </w:t>
      </w:r>
      <w:r>
        <w:rPr>
          <w:sz w:val="21"/>
        </w:rPr>
        <w:t>compulsion</w:t>
      </w:r>
      <w:r>
        <w:rPr>
          <w:spacing w:val="-6"/>
          <w:sz w:val="21"/>
        </w:rPr>
        <w:t xml:space="preserve"> </w:t>
      </w:r>
      <w:r>
        <w:rPr>
          <w:sz w:val="21"/>
        </w:rPr>
        <w:t>on</w:t>
      </w:r>
      <w:r>
        <w:rPr>
          <w:spacing w:val="-3"/>
          <w:sz w:val="21"/>
        </w:rPr>
        <w:t xml:space="preserve"> </w:t>
      </w:r>
      <w:r>
        <w:rPr>
          <w:sz w:val="21"/>
        </w:rPr>
        <w:t>him</w:t>
      </w:r>
      <w:r>
        <w:rPr>
          <w:spacing w:val="-9"/>
          <w:sz w:val="21"/>
        </w:rPr>
        <w:t xml:space="preserve"> </w:t>
      </w:r>
      <w:r>
        <w:rPr>
          <w:sz w:val="21"/>
        </w:rPr>
        <w:t>if</w:t>
      </w:r>
      <w:r>
        <w:rPr>
          <w:spacing w:val="-5"/>
          <w:sz w:val="21"/>
        </w:rPr>
        <w:t xml:space="preserve"> </w:t>
      </w:r>
      <w:r>
        <w:rPr>
          <w:sz w:val="21"/>
        </w:rPr>
        <w:t>he</w:t>
      </w:r>
      <w:r>
        <w:rPr>
          <w:spacing w:val="-5"/>
          <w:sz w:val="21"/>
        </w:rPr>
        <w:t xml:space="preserve"> </w:t>
      </w:r>
      <w:r>
        <w:rPr>
          <w:sz w:val="21"/>
        </w:rPr>
        <w:t>does not</w:t>
      </w:r>
      <w:r>
        <w:rPr>
          <w:spacing w:val="-14"/>
          <w:sz w:val="21"/>
        </w:rPr>
        <w:t xml:space="preserve"> </w:t>
      </w:r>
      <w:r>
        <w:rPr>
          <w:sz w:val="21"/>
        </w:rPr>
        <w:t>want</w:t>
      </w:r>
      <w:r>
        <w:rPr>
          <w:spacing w:val="-14"/>
          <w:sz w:val="21"/>
        </w:rPr>
        <w:t xml:space="preserve"> </w:t>
      </w:r>
      <w:r>
        <w:rPr>
          <w:sz w:val="21"/>
        </w:rPr>
        <w:t>to.</w:t>
      </w:r>
      <w:r>
        <w:rPr>
          <w:spacing w:val="-14"/>
          <w:sz w:val="21"/>
        </w:rPr>
        <w:t xml:space="preserve"> </w:t>
      </w:r>
      <w:r>
        <w:rPr>
          <w:sz w:val="21"/>
        </w:rPr>
        <w:t>But</w:t>
      </w:r>
      <w:r>
        <w:rPr>
          <w:spacing w:val="-14"/>
          <w:sz w:val="21"/>
        </w:rPr>
        <w:t xml:space="preserve"> </w:t>
      </w:r>
      <w:r>
        <w:rPr>
          <w:sz w:val="21"/>
        </w:rPr>
        <w:t>an</w:t>
      </w:r>
      <w:r>
        <w:rPr>
          <w:spacing w:val="-13"/>
          <w:sz w:val="21"/>
        </w:rPr>
        <w:t xml:space="preserve"> </w:t>
      </w:r>
      <w:r>
        <w:rPr>
          <w:sz w:val="21"/>
        </w:rPr>
        <w:t>Untouchable</w:t>
      </w:r>
      <w:r>
        <w:rPr>
          <w:spacing w:val="-13"/>
          <w:sz w:val="21"/>
        </w:rPr>
        <w:t xml:space="preserve"> </w:t>
      </w:r>
      <w:r>
        <w:rPr>
          <w:sz w:val="21"/>
        </w:rPr>
        <w:t>has</w:t>
      </w:r>
      <w:r>
        <w:rPr>
          <w:spacing w:val="-12"/>
          <w:sz w:val="21"/>
        </w:rPr>
        <w:t xml:space="preserve"> </w:t>
      </w:r>
      <w:r>
        <w:rPr>
          <w:sz w:val="21"/>
        </w:rPr>
        <w:t>no</w:t>
      </w:r>
      <w:r>
        <w:rPr>
          <w:spacing w:val="-13"/>
          <w:sz w:val="21"/>
        </w:rPr>
        <w:t xml:space="preserve"> </w:t>
      </w:r>
      <w:r>
        <w:rPr>
          <w:sz w:val="21"/>
        </w:rPr>
        <w:t>option.</w:t>
      </w:r>
      <w:r>
        <w:rPr>
          <w:spacing w:val="-14"/>
          <w:sz w:val="21"/>
        </w:rPr>
        <w:t xml:space="preserve"> </w:t>
      </w:r>
      <w:r>
        <w:rPr>
          <w:sz w:val="21"/>
        </w:rPr>
        <w:t>Once</w:t>
      </w:r>
      <w:r>
        <w:rPr>
          <w:spacing w:val="-16"/>
          <w:sz w:val="21"/>
        </w:rPr>
        <w:t xml:space="preserve"> </w:t>
      </w:r>
      <w:r>
        <w:rPr>
          <w:sz w:val="21"/>
        </w:rPr>
        <w:t>he</w:t>
      </w:r>
      <w:r>
        <w:rPr>
          <w:spacing w:val="-13"/>
          <w:sz w:val="21"/>
        </w:rPr>
        <w:t xml:space="preserve"> </w:t>
      </w:r>
      <w:r>
        <w:rPr>
          <w:sz w:val="21"/>
        </w:rPr>
        <w:t>is</w:t>
      </w:r>
      <w:r>
        <w:rPr>
          <w:spacing w:val="-13"/>
          <w:sz w:val="21"/>
        </w:rPr>
        <w:t xml:space="preserve"> </w:t>
      </w:r>
      <w:r>
        <w:rPr>
          <w:sz w:val="21"/>
        </w:rPr>
        <w:t>born an Untouchable, he is subject to all the disabilities of an Untouchable…</w:t>
      </w:r>
      <w:r>
        <w:rPr>
          <w:spacing w:val="-8"/>
          <w:sz w:val="21"/>
        </w:rPr>
        <w:t xml:space="preserve"> </w:t>
      </w:r>
      <w:r>
        <w:rPr>
          <w:sz w:val="21"/>
        </w:rPr>
        <w:t>[U]ntouchability</w:t>
      </w:r>
      <w:r>
        <w:rPr>
          <w:spacing w:val="-10"/>
          <w:sz w:val="21"/>
        </w:rPr>
        <w:t xml:space="preserve"> </w:t>
      </w:r>
      <w:r>
        <w:rPr>
          <w:sz w:val="21"/>
        </w:rPr>
        <w:t>is</w:t>
      </w:r>
      <w:r>
        <w:rPr>
          <w:spacing w:val="-7"/>
          <w:sz w:val="21"/>
        </w:rPr>
        <w:t xml:space="preserve"> </w:t>
      </w:r>
      <w:r>
        <w:rPr>
          <w:sz w:val="21"/>
        </w:rPr>
        <w:t>an</w:t>
      </w:r>
      <w:r>
        <w:rPr>
          <w:spacing w:val="-10"/>
          <w:sz w:val="21"/>
        </w:rPr>
        <w:t xml:space="preserve"> </w:t>
      </w:r>
      <w:r>
        <w:rPr>
          <w:sz w:val="21"/>
        </w:rPr>
        <w:t>indirect</w:t>
      </w:r>
      <w:r>
        <w:rPr>
          <w:spacing w:val="-9"/>
          <w:sz w:val="21"/>
        </w:rPr>
        <w:t xml:space="preserve"> </w:t>
      </w:r>
      <w:r>
        <w:rPr>
          <w:sz w:val="21"/>
        </w:rPr>
        <w:t>and</w:t>
      </w:r>
      <w:r>
        <w:rPr>
          <w:spacing w:val="-7"/>
          <w:sz w:val="21"/>
        </w:rPr>
        <w:t xml:space="preserve"> </w:t>
      </w:r>
      <w:r>
        <w:rPr>
          <w:sz w:val="21"/>
        </w:rPr>
        <w:t>therefore</w:t>
      </w:r>
      <w:r>
        <w:rPr>
          <w:spacing w:val="-8"/>
          <w:sz w:val="21"/>
        </w:rPr>
        <w:t xml:space="preserve"> </w:t>
      </w:r>
      <w:r>
        <w:rPr>
          <w:sz w:val="21"/>
        </w:rPr>
        <w:t>the worst form of slavery… It is enslavement without making the Untouchables conscious of their</w:t>
      </w:r>
      <w:r>
        <w:rPr>
          <w:spacing w:val="-8"/>
          <w:sz w:val="21"/>
        </w:rPr>
        <w:t xml:space="preserve"> </w:t>
      </w:r>
      <w:r>
        <w:rPr>
          <w:sz w:val="21"/>
        </w:rPr>
        <w:t>enslavement.”</w:t>
      </w:r>
      <w:r>
        <w:rPr>
          <w:position w:val="7"/>
          <w:sz w:val="14"/>
        </w:rPr>
        <w:t>92</w:t>
      </w:r>
    </w:p>
    <w:p w:rsidR="003B2FC0" w:rsidRDefault="003B2FC0">
      <w:pPr>
        <w:rPr>
          <w:sz w:val="24"/>
        </w:rPr>
      </w:pPr>
    </w:p>
    <w:p w:rsidR="003B2FC0" w:rsidRDefault="003B2FC0">
      <w:pPr>
        <w:spacing w:before="7"/>
        <w:rPr>
          <w:sz w:val="35"/>
        </w:rPr>
      </w:pPr>
    </w:p>
    <w:p w:rsidR="003B2FC0" w:rsidRDefault="00052A49">
      <w:pPr>
        <w:spacing w:before="1" w:line="480" w:lineRule="auto"/>
        <w:ind w:left="400" w:right="438"/>
        <w:jc w:val="both"/>
        <w:rPr>
          <w:sz w:val="26"/>
        </w:rPr>
      </w:pPr>
      <w:r>
        <w:rPr>
          <w:sz w:val="26"/>
        </w:rPr>
        <w:t>Dr</w:t>
      </w:r>
      <w:r>
        <w:rPr>
          <w:spacing w:val="-17"/>
          <w:sz w:val="26"/>
        </w:rPr>
        <w:t xml:space="preserve"> </w:t>
      </w:r>
      <w:r>
        <w:rPr>
          <w:sz w:val="26"/>
        </w:rPr>
        <w:t>Ambedkar’s</w:t>
      </w:r>
      <w:r>
        <w:rPr>
          <w:spacing w:val="-17"/>
          <w:sz w:val="26"/>
        </w:rPr>
        <w:t xml:space="preserve"> </w:t>
      </w:r>
      <w:r>
        <w:rPr>
          <w:sz w:val="26"/>
        </w:rPr>
        <w:t>thoughts</w:t>
      </w:r>
      <w:r>
        <w:rPr>
          <w:spacing w:val="-16"/>
          <w:sz w:val="26"/>
        </w:rPr>
        <w:t xml:space="preserve"> </w:t>
      </w:r>
      <w:r>
        <w:rPr>
          <w:sz w:val="26"/>
        </w:rPr>
        <w:t>and</w:t>
      </w:r>
      <w:r>
        <w:rPr>
          <w:spacing w:val="-17"/>
          <w:sz w:val="26"/>
        </w:rPr>
        <w:t xml:space="preserve"> </w:t>
      </w:r>
      <w:r>
        <w:rPr>
          <w:sz w:val="26"/>
        </w:rPr>
        <w:t>ideas</w:t>
      </w:r>
      <w:r>
        <w:rPr>
          <w:spacing w:val="-17"/>
          <w:sz w:val="26"/>
        </w:rPr>
        <w:t xml:space="preserve"> </w:t>
      </w:r>
      <w:r>
        <w:rPr>
          <w:sz w:val="26"/>
        </w:rPr>
        <w:t>bear</w:t>
      </w:r>
      <w:r>
        <w:rPr>
          <w:spacing w:val="-16"/>
          <w:sz w:val="26"/>
        </w:rPr>
        <w:t xml:space="preserve"> </w:t>
      </w:r>
      <w:r>
        <w:rPr>
          <w:sz w:val="26"/>
        </w:rPr>
        <w:t>an</w:t>
      </w:r>
      <w:r>
        <w:rPr>
          <w:spacing w:val="-15"/>
          <w:sz w:val="26"/>
        </w:rPr>
        <w:t xml:space="preserve"> </w:t>
      </w:r>
      <w:r>
        <w:rPr>
          <w:sz w:val="26"/>
        </w:rPr>
        <w:t>impact</w:t>
      </w:r>
      <w:r>
        <w:rPr>
          <w:spacing w:val="-17"/>
          <w:sz w:val="26"/>
        </w:rPr>
        <w:t xml:space="preserve"> </w:t>
      </w:r>
      <w:r>
        <w:rPr>
          <w:sz w:val="26"/>
        </w:rPr>
        <w:t>of</w:t>
      </w:r>
      <w:r>
        <w:rPr>
          <w:spacing w:val="-16"/>
          <w:sz w:val="26"/>
        </w:rPr>
        <w:t xml:space="preserve"> </w:t>
      </w:r>
      <w:r>
        <w:rPr>
          <w:sz w:val="26"/>
        </w:rPr>
        <w:t>other</w:t>
      </w:r>
      <w:r>
        <w:rPr>
          <w:spacing w:val="-17"/>
          <w:sz w:val="26"/>
        </w:rPr>
        <w:t xml:space="preserve"> </w:t>
      </w:r>
      <w:r>
        <w:rPr>
          <w:sz w:val="26"/>
        </w:rPr>
        <w:t>social</w:t>
      </w:r>
      <w:r>
        <w:rPr>
          <w:spacing w:val="-17"/>
          <w:sz w:val="26"/>
        </w:rPr>
        <w:t xml:space="preserve"> </w:t>
      </w:r>
      <w:r>
        <w:rPr>
          <w:sz w:val="26"/>
        </w:rPr>
        <w:t>reformers</w:t>
      </w:r>
      <w:r>
        <w:rPr>
          <w:spacing w:val="-13"/>
          <w:sz w:val="26"/>
        </w:rPr>
        <w:t xml:space="preserve"> </w:t>
      </w:r>
      <w:r>
        <w:rPr>
          <w:sz w:val="26"/>
        </w:rPr>
        <w:t>who preceded him, in particular Jyotirao Phule and Savitribai Phule. In 1873, in the preface to his book titled “Gulamgiri” (Slavery), Jyotirao Phule made a stinging critique on the cause of</w:t>
      </w:r>
      <w:r>
        <w:rPr>
          <w:spacing w:val="-3"/>
          <w:sz w:val="26"/>
        </w:rPr>
        <w:t xml:space="preserve"> </w:t>
      </w:r>
      <w:r>
        <w:rPr>
          <w:sz w:val="26"/>
        </w:rPr>
        <w:t>“unto</w:t>
      </w:r>
      <w:r>
        <w:rPr>
          <w:sz w:val="26"/>
        </w:rPr>
        <w:t>uchability”:</w:t>
      </w:r>
    </w:p>
    <w:p w:rsidR="003B2FC0" w:rsidRDefault="00052A49">
      <w:pPr>
        <w:spacing w:before="199" w:line="276" w:lineRule="auto"/>
        <w:ind w:left="1840" w:right="2281"/>
        <w:jc w:val="both"/>
        <w:rPr>
          <w:sz w:val="14"/>
        </w:rPr>
      </w:pPr>
      <w:r>
        <w:rPr>
          <w:sz w:val="21"/>
        </w:rPr>
        <w:t>“[The] Sudras and Atisudras were regarded with supreme hatred and contempt, and the commonest rights of humanity were denied [to] them. Their touch, nay, even their shadow, is deemed</w:t>
      </w:r>
      <w:r>
        <w:rPr>
          <w:spacing w:val="-14"/>
          <w:sz w:val="21"/>
        </w:rPr>
        <w:t xml:space="preserve"> </w:t>
      </w:r>
      <w:r>
        <w:rPr>
          <w:sz w:val="21"/>
        </w:rPr>
        <w:t>a</w:t>
      </w:r>
      <w:r>
        <w:rPr>
          <w:spacing w:val="-13"/>
          <w:sz w:val="21"/>
        </w:rPr>
        <w:t xml:space="preserve"> </w:t>
      </w:r>
      <w:r>
        <w:rPr>
          <w:sz w:val="21"/>
        </w:rPr>
        <w:t>pollution.</w:t>
      </w:r>
      <w:r>
        <w:rPr>
          <w:spacing w:val="-14"/>
          <w:sz w:val="21"/>
        </w:rPr>
        <w:t xml:space="preserve"> </w:t>
      </w:r>
      <w:r>
        <w:rPr>
          <w:sz w:val="21"/>
        </w:rPr>
        <w:t>They</w:t>
      </w:r>
      <w:r>
        <w:rPr>
          <w:spacing w:val="-16"/>
          <w:sz w:val="21"/>
        </w:rPr>
        <w:t xml:space="preserve"> </w:t>
      </w:r>
      <w:r>
        <w:rPr>
          <w:sz w:val="21"/>
        </w:rPr>
        <w:t>are</w:t>
      </w:r>
      <w:r>
        <w:rPr>
          <w:spacing w:val="-14"/>
          <w:sz w:val="21"/>
        </w:rPr>
        <w:t xml:space="preserve"> </w:t>
      </w:r>
      <w:r>
        <w:rPr>
          <w:sz w:val="21"/>
        </w:rPr>
        <w:t>considered</w:t>
      </w:r>
      <w:r>
        <w:rPr>
          <w:spacing w:val="-13"/>
          <w:sz w:val="21"/>
        </w:rPr>
        <w:t xml:space="preserve"> </w:t>
      </w:r>
      <w:r>
        <w:rPr>
          <w:sz w:val="21"/>
        </w:rPr>
        <w:t>as</w:t>
      </w:r>
      <w:r>
        <w:rPr>
          <w:spacing w:val="-16"/>
          <w:sz w:val="21"/>
        </w:rPr>
        <w:t xml:space="preserve"> </w:t>
      </w:r>
      <w:r>
        <w:rPr>
          <w:sz w:val="21"/>
        </w:rPr>
        <w:t>mere</w:t>
      </w:r>
      <w:r>
        <w:rPr>
          <w:spacing w:val="-14"/>
          <w:sz w:val="21"/>
        </w:rPr>
        <w:t xml:space="preserve"> </w:t>
      </w:r>
      <w:r>
        <w:rPr>
          <w:sz w:val="21"/>
        </w:rPr>
        <w:t>chattels,</w:t>
      </w:r>
      <w:r>
        <w:rPr>
          <w:spacing w:val="-14"/>
          <w:sz w:val="21"/>
        </w:rPr>
        <w:t xml:space="preserve"> </w:t>
      </w:r>
      <w:r>
        <w:rPr>
          <w:sz w:val="21"/>
        </w:rPr>
        <w:t>and their</w:t>
      </w:r>
      <w:r>
        <w:rPr>
          <w:sz w:val="21"/>
        </w:rPr>
        <w:t xml:space="preserve"> life of no more value than that of meanest reptile… How far the Brahmins have succeeded in their endeavours to enslave the minds of the Sudras and Atisudras... For generations past [the Sudras and Atisudras] have borne</w:t>
      </w:r>
      <w:r>
        <w:rPr>
          <w:spacing w:val="-22"/>
          <w:sz w:val="21"/>
        </w:rPr>
        <w:t xml:space="preserve"> </w:t>
      </w:r>
      <w:r>
        <w:rPr>
          <w:sz w:val="21"/>
        </w:rPr>
        <w:t>these chains of slavery and bondage…</w:t>
      </w:r>
      <w:r>
        <w:rPr>
          <w:sz w:val="21"/>
        </w:rPr>
        <w:t xml:space="preserve"> This system of slavery, to which</w:t>
      </w:r>
      <w:r>
        <w:rPr>
          <w:spacing w:val="-5"/>
          <w:sz w:val="21"/>
        </w:rPr>
        <w:t xml:space="preserve"> </w:t>
      </w:r>
      <w:r>
        <w:rPr>
          <w:sz w:val="21"/>
        </w:rPr>
        <w:t>the</w:t>
      </w:r>
      <w:r>
        <w:rPr>
          <w:spacing w:val="-5"/>
          <w:sz w:val="21"/>
        </w:rPr>
        <w:t xml:space="preserve"> </w:t>
      </w:r>
      <w:r>
        <w:rPr>
          <w:sz w:val="21"/>
        </w:rPr>
        <w:t>Brahmins</w:t>
      </w:r>
      <w:r>
        <w:rPr>
          <w:spacing w:val="-5"/>
          <w:sz w:val="21"/>
        </w:rPr>
        <w:t xml:space="preserve"> </w:t>
      </w:r>
      <w:r>
        <w:rPr>
          <w:sz w:val="21"/>
        </w:rPr>
        <w:t>reduced</w:t>
      </w:r>
      <w:r>
        <w:rPr>
          <w:spacing w:val="-4"/>
          <w:sz w:val="21"/>
        </w:rPr>
        <w:t xml:space="preserve"> </w:t>
      </w:r>
      <w:r>
        <w:rPr>
          <w:sz w:val="21"/>
        </w:rPr>
        <w:t>the</w:t>
      </w:r>
      <w:r>
        <w:rPr>
          <w:spacing w:val="-4"/>
          <w:sz w:val="21"/>
        </w:rPr>
        <w:t xml:space="preserve"> </w:t>
      </w:r>
      <w:r>
        <w:rPr>
          <w:sz w:val="21"/>
        </w:rPr>
        <w:t>lower</w:t>
      </w:r>
      <w:r>
        <w:rPr>
          <w:spacing w:val="-5"/>
          <w:sz w:val="21"/>
        </w:rPr>
        <w:t xml:space="preserve"> </w:t>
      </w:r>
      <w:r>
        <w:rPr>
          <w:sz w:val="21"/>
        </w:rPr>
        <w:t>classes</w:t>
      </w:r>
      <w:r>
        <w:rPr>
          <w:spacing w:val="-5"/>
          <w:sz w:val="21"/>
        </w:rPr>
        <w:t xml:space="preserve"> </w:t>
      </w:r>
      <w:r>
        <w:rPr>
          <w:sz w:val="21"/>
        </w:rPr>
        <w:t>is</w:t>
      </w:r>
      <w:r>
        <w:rPr>
          <w:spacing w:val="-5"/>
          <w:sz w:val="21"/>
        </w:rPr>
        <w:t xml:space="preserve"> </w:t>
      </w:r>
      <w:r>
        <w:rPr>
          <w:sz w:val="21"/>
        </w:rPr>
        <w:t>in</w:t>
      </w:r>
      <w:r>
        <w:rPr>
          <w:spacing w:val="-6"/>
          <w:sz w:val="21"/>
        </w:rPr>
        <w:t xml:space="preserve"> </w:t>
      </w:r>
      <w:r>
        <w:rPr>
          <w:sz w:val="21"/>
        </w:rPr>
        <w:t>no</w:t>
      </w:r>
      <w:r>
        <w:rPr>
          <w:spacing w:val="-4"/>
          <w:sz w:val="21"/>
        </w:rPr>
        <w:t xml:space="preserve"> </w:t>
      </w:r>
      <w:r>
        <w:rPr>
          <w:sz w:val="21"/>
        </w:rPr>
        <w:t>respect inferior to that which obtained a few years ago in America. In the days of rigid Brahmin dominancy, so lately as that of the time of the Peshwa, my Sudra brethren had</w:t>
      </w:r>
      <w:r>
        <w:rPr>
          <w:sz w:val="21"/>
        </w:rPr>
        <w:t xml:space="preserve"> even greater hardships</w:t>
      </w:r>
      <w:r>
        <w:rPr>
          <w:spacing w:val="-13"/>
          <w:sz w:val="21"/>
        </w:rPr>
        <w:t xml:space="preserve"> </w:t>
      </w:r>
      <w:r>
        <w:rPr>
          <w:sz w:val="21"/>
        </w:rPr>
        <w:t>and</w:t>
      </w:r>
      <w:r>
        <w:rPr>
          <w:spacing w:val="-13"/>
          <w:sz w:val="21"/>
        </w:rPr>
        <w:t xml:space="preserve"> </w:t>
      </w:r>
      <w:r>
        <w:rPr>
          <w:sz w:val="21"/>
        </w:rPr>
        <w:t>oppression</w:t>
      </w:r>
      <w:r>
        <w:rPr>
          <w:spacing w:val="-13"/>
          <w:sz w:val="21"/>
        </w:rPr>
        <w:t xml:space="preserve"> </w:t>
      </w:r>
      <w:r>
        <w:rPr>
          <w:sz w:val="21"/>
        </w:rPr>
        <w:t>practiced</w:t>
      </w:r>
      <w:r>
        <w:rPr>
          <w:spacing w:val="-12"/>
          <w:sz w:val="21"/>
        </w:rPr>
        <w:t xml:space="preserve"> </w:t>
      </w:r>
      <w:r>
        <w:rPr>
          <w:sz w:val="21"/>
        </w:rPr>
        <w:t>upon</w:t>
      </w:r>
      <w:r>
        <w:rPr>
          <w:spacing w:val="-13"/>
          <w:sz w:val="21"/>
        </w:rPr>
        <w:t xml:space="preserve"> </w:t>
      </w:r>
      <w:r>
        <w:rPr>
          <w:sz w:val="21"/>
        </w:rPr>
        <w:t>them</w:t>
      </w:r>
      <w:r>
        <w:rPr>
          <w:spacing w:val="-11"/>
          <w:sz w:val="21"/>
        </w:rPr>
        <w:t xml:space="preserve"> </w:t>
      </w:r>
      <w:r>
        <w:rPr>
          <w:sz w:val="21"/>
        </w:rPr>
        <w:t>than</w:t>
      </w:r>
      <w:r>
        <w:rPr>
          <w:spacing w:val="-14"/>
          <w:sz w:val="21"/>
        </w:rPr>
        <w:t xml:space="preserve"> </w:t>
      </w:r>
      <w:r>
        <w:rPr>
          <w:sz w:val="21"/>
        </w:rPr>
        <w:t>what</w:t>
      </w:r>
      <w:r>
        <w:rPr>
          <w:spacing w:val="-14"/>
          <w:sz w:val="21"/>
        </w:rPr>
        <w:t xml:space="preserve"> </w:t>
      </w:r>
      <w:r>
        <w:rPr>
          <w:sz w:val="21"/>
        </w:rPr>
        <w:t>even the slaves in America had to suffer. To this system of selfish superstition and bigotry, we are to attribute the stagnation and all the evils under which India has been groaning for many centuries</w:t>
      </w:r>
      <w:r>
        <w:rPr>
          <w:spacing w:val="-2"/>
          <w:sz w:val="21"/>
        </w:rPr>
        <w:t xml:space="preserve"> </w:t>
      </w:r>
      <w:r>
        <w:rPr>
          <w:sz w:val="21"/>
        </w:rPr>
        <w:t>past.”</w:t>
      </w:r>
      <w:r>
        <w:rPr>
          <w:position w:val="7"/>
          <w:sz w:val="14"/>
        </w:rPr>
        <w:t>93</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rPr>
          <w:sz w:val="24"/>
        </w:rPr>
      </w:pPr>
    </w:p>
    <w:p w:rsidR="003B2FC0" w:rsidRDefault="00052A49">
      <w:pPr>
        <w:spacing w:before="96"/>
        <w:ind w:left="580" w:right="434" w:hanging="180"/>
        <w:rPr>
          <w:sz w:val="18"/>
        </w:rPr>
      </w:pPr>
      <w:r>
        <w:rPr>
          <w:position w:val="6"/>
          <w:sz w:val="12"/>
        </w:rPr>
        <w:t>91</w:t>
      </w:r>
      <w:r>
        <w:rPr>
          <w:spacing w:val="3"/>
          <w:position w:val="6"/>
          <w:sz w:val="12"/>
        </w:rPr>
        <w:t xml:space="preserve"> </w:t>
      </w:r>
      <w:r>
        <w:rPr>
          <w:sz w:val="18"/>
        </w:rPr>
        <w:t>Dr</w:t>
      </w:r>
      <w:r>
        <w:rPr>
          <w:spacing w:val="-14"/>
          <w:sz w:val="18"/>
        </w:rPr>
        <w:t xml:space="preserve"> </w:t>
      </w:r>
      <w:r>
        <w:rPr>
          <w:sz w:val="18"/>
        </w:rPr>
        <w:t>Babasaheb</w:t>
      </w:r>
      <w:r>
        <w:rPr>
          <w:spacing w:val="-14"/>
          <w:sz w:val="18"/>
        </w:rPr>
        <w:t xml:space="preserve"> </w:t>
      </w:r>
      <w:r>
        <w:rPr>
          <w:sz w:val="18"/>
        </w:rPr>
        <w:t>Ambedkar:</w:t>
      </w:r>
      <w:r>
        <w:rPr>
          <w:spacing w:val="-17"/>
          <w:sz w:val="18"/>
        </w:rPr>
        <w:t xml:space="preserve"> </w:t>
      </w:r>
      <w:r>
        <w:rPr>
          <w:sz w:val="18"/>
        </w:rPr>
        <w:t>Writings</w:t>
      </w:r>
      <w:r>
        <w:rPr>
          <w:spacing w:val="-15"/>
          <w:sz w:val="18"/>
        </w:rPr>
        <w:t xml:space="preserve"> </w:t>
      </w:r>
      <w:r>
        <w:rPr>
          <w:sz w:val="18"/>
        </w:rPr>
        <w:t>and</w:t>
      </w:r>
      <w:r>
        <w:rPr>
          <w:spacing w:val="-13"/>
          <w:sz w:val="18"/>
        </w:rPr>
        <w:t xml:space="preserve"> </w:t>
      </w:r>
      <w:r>
        <w:rPr>
          <w:sz w:val="18"/>
        </w:rPr>
        <w:t>S</w:t>
      </w:r>
      <w:r>
        <w:rPr>
          <w:sz w:val="18"/>
        </w:rPr>
        <w:t>peeches,</w:t>
      </w:r>
      <w:r>
        <w:rPr>
          <w:spacing w:val="-14"/>
          <w:sz w:val="18"/>
        </w:rPr>
        <w:t xml:space="preserve"> </w:t>
      </w:r>
      <w:r>
        <w:rPr>
          <w:sz w:val="18"/>
        </w:rPr>
        <w:t>(Vasant</w:t>
      </w:r>
      <w:r>
        <w:rPr>
          <w:spacing w:val="-14"/>
          <w:sz w:val="18"/>
        </w:rPr>
        <w:t xml:space="preserve"> </w:t>
      </w:r>
      <w:r>
        <w:rPr>
          <w:sz w:val="18"/>
        </w:rPr>
        <w:t>Moon</w:t>
      </w:r>
      <w:r>
        <w:rPr>
          <w:spacing w:val="-13"/>
          <w:sz w:val="18"/>
        </w:rPr>
        <w:t xml:space="preserve"> </w:t>
      </w:r>
      <w:r>
        <w:rPr>
          <w:sz w:val="18"/>
        </w:rPr>
        <w:t>ed.)</w:t>
      </w:r>
      <w:r>
        <w:rPr>
          <w:spacing w:val="-14"/>
          <w:sz w:val="18"/>
        </w:rPr>
        <w:t xml:space="preserve"> </w:t>
      </w:r>
      <w:r>
        <w:rPr>
          <w:sz w:val="18"/>
        </w:rPr>
        <w:t>Government</w:t>
      </w:r>
      <w:r>
        <w:rPr>
          <w:spacing w:val="-14"/>
          <w:sz w:val="18"/>
        </w:rPr>
        <w:t xml:space="preserve"> </w:t>
      </w:r>
      <w:r>
        <w:rPr>
          <w:sz w:val="18"/>
        </w:rPr>
        <w:t>of</w:t>
      </w:r>
      <w:r>
        <w:rPr>
          <w:spacing w:val="-13"/>
          <w:sz w:val="18"/>
        </w:rPr>
        <w:t xml:space="preserve"> </w:t>
      </w:r>
      <w:r>
        <w:rPr>
          <w:sz w:val="18"/>
        </w:rPr>
        <w:t>Maharashtra,</w:t>
      </w:r>
      <w:r>
        <w:rPr>
          <w:spacing w:val="-14"/>
          <w:sz w:val="18"/>
        </w:rPr>
        <w:t xml:space="preserve"> </w:t>
      </w:r>
      <w:r>
        <w:rPr>
          <w:sz w:val="18"/>
        </w:rPr>
        <w:t>Vol.</w:t>
      </w:r>
      <w:r>
        <w:rPr>
          <w:spacing w:val="-14"/>
          <w:sz w:val="18"/>
        </w:rPr>
        <w:t xml:space="preserve"> </w:t>
      </w:r>
      <w:r>
        <w:rPr>
          <w:sz w:val="18"/>
        </w:rPr>
        <w:t>5</w:t>
      </w:r>
      <w:r>
        <w:rPr>
          <w:spacing w:val="-14"/>
          <w:sz w:val="18"/>
        </w:rPr>
        <w:t xml:space="preserve"> </w:t>
      </w:r>
      <w:r>
        <w:rPr>
          <w:sz w:val="18"/>
        </w:rPr>
        <w:t>(2014), at pages</w:t>
      </w:r>
      <w:r>
        <w:rPr>
          <w:spacing w:val="-2"/>
          <w:sz w:val="18"/>
        </w:rPr>
        <w:t xml:space="preserve"> </w:t>
      </w:r>
      <w:r>
        <w:rPr>
          <w:sz w:val="18"/>
        </w:rPr>
        <w:t>9-18</w:t>
      </w:r>
    </w:p>
    <w:p w:rsidR="003B2FC0" w:rsidRDefault="00052A49">
      <w:pPr>
        <w:spacing w:line="204" w:lineRule="exact"/>
        <w:ind w:left="400"/>
        <w:rPr>
          <w:sz w:val="18"/>
        </w:rPr>
      </w:pPr>
      <w:r>
        <w:rPr>
          <w:position w:val="6"/>
          <w:sz w:val="12"/>
        </w:rPr>
        <w:t xml:space="preserve">92 </w:t>
      </w:r>
      <w:r>
        <w:rPr>
          <w:sz w:val="18"/>
        </w:rPr>
        <w:t>Ibid, at page 15</w:t>
      </w:r>
    </w:p>
    <w:p w:rsidR="003B2FC0" w:rsidRDefault="00052A49">
      <w:pPr>
        <w:spacing w:line="242" w:lineRule="auto"/>
        <w:ind w:left="580" w:right="418" w:hanging="180"/>
        <w:rPr>
          <w:sz w:val="18"/>
        </w:rPr>
      </w:pPr>
      <w:r>
        <w:rPr>
          <w:position w:val="6"/>
          <w:sz w:val="12"/>
        </w:rPr>
        <w:t xml:space="preserve">93 </w:t>
      </w:r>
      <w:r>
        <w:rPr>
          <w:sz w:val="18"/>
        </w:rPr>
        <w:t>India Dissents: 3,000 Years of Difference, Doubt and Argument, (Ashok Vajpeyi ed.), Speaking Tiger Publishing Private Limited (2017), at pages 86-88</w:t>
      </w:r>
    </w:p>
    <w:p w:rsidR="003B2FC0" w:rsidRDefault="003B2FC0">
      <w:pPr>
        <w:spacing w:line="242" w:lineRule="auto"/>
        <w:rPr>
          <w:sz w:val="18"/>
        </w:rPr>
        <w:sectPr w:rsidR="003B2FC0">
          <w:footerReference w:type="default" r:id="rId374"/>
          <w:pgSz w:w="11910" w:h="16840"/>
          <w:pgMar w:top="1080" w:right="980" w:bottom="1340" w:left="1040" w:header="708" w:footer="1158" w:gutter="0"/>
          <w:cols w:space="720"/>
        </w:sectPr>
      </w:pPr>
    </w:p>
    <w:p w:rsidR="003B2FC0" w:rsidRDefault="003B2FC0">
      <w:pPr>
        <w:spacing w:before="10"/>
        <w:rPr>
          <w:sz w:val="21"/>
        </w:rPr>
      </w:pPr>
    </w:p>
    <w:p w:rsidR="003B2FC0" w:rsidRDefault="00052A49">
      <w:pPr>
        <w:spacing w:before="91" w:line="480" w:lineRule="auto"/>
        <w:ind w:left="400" w:right="439"/>
        <w:jc w:val="both"/>
        <w:rPr>
          <w:sz w:val="26"/>
        </w:rPr>
      </w:pPr>
      <w:r>
        <w:rPr>
          <w:sz w:val="26"/>
        </w:rPr>
        <w:t>Savitribai</w:t>
      </w:r>
      <w:r>
        <w:rPr>
          <w:spacing w:val="-9"/>
          <w:sz w:val="26"/>
        </w:rPr>
        <w:t xml:space="preserve"> </w:t>
      </w:r>
      <w:r>
        <w:rPr>
          <w:sz w:val="26"/>
        </w:rPr>
        <w:t>Phule</w:t>
      </w:r>
      <w:r>
        <w:rPr>
          <w:spacing w:val="-9"/>
          <w:sz w:val="26"/>
        </w:rPr>
        <w:t xml:space="preserve"> </w:t>
      </w:r>
      <w:r>
        <w:rPr>
          <w:sz w:val="26"/>
        </w:rPr>
        <w:t>expresses</w:t>
      </w:r>
      <w:r>
        <w:rPr>
          <w:spacing w:val="-9"/>
          <w:sz w:val="26"/>
        </w:rPr>
        <w:t xml:space="preserve"> </w:t>
      </w:r>
      <w:r>
        <w:rPr>
          <w:sz w:val="26"/>
        </w:rPr>
        <w:t>the</w:t>
      </w:r>
      <w:r>
        <w:rPr>
          <w:spacing w:val="-9"/>
          <w:sz w:val="26"/>
        </w:rPr>
        <w:t xml:space="preserve"> </w:t>
      </w:r>
      <w:r>
        <w:rPr>
          <w:sz w:val="26"/>
        </w:rPr>
        <w:t>feeling</w:t>
      </w:r>
      <w:r>
        <w:rPr>
          <w:spacing w:val="-7"/>
          <w:sz w:val="26"/>
        </w:rPr>
        <w:t xml:space="preserve"> </w:t>
      </w:r>
      <w:r>
        <w:rPr>
          <w:sz w:val="26"/>
        </w:rPr>
        <w:t>of</w:t>
      </w:r>
      <w:r>
        <w:rPr>
          <w:spacing w:val="-8"/>
          <w:sz w:val="26"/>
        </w:rPr>
        <w:t xml:space="preserve"> </w:t>
      </w:r>
      <w:r>
        <w:rPr>
          <w:sz w:val="26"/>
        </w:rPr>
        <w:t>resentment</w:t>
      </w:r>
      <w:r>
        <w:rPr>
          <w:spacing w:val="-9"/>
          <w:sz w:val="26"/>
        </w:rPr>
        <w:t xml:space="preserve"> </w:t>
      </w:r>
      <w:r>
        <w:rPr>
          <w:sz w:val="26"/>
        </w:rPr>
        <w:t>among</w:t>
      </w:r>
      <w:r>
        <w:rPr>
          <w:spacing w:val="-7"/>
          <w:sz w:val="26"/>
        </w:rPr>
        <w:t xml:space="preserve"> </w:t>
      </w:r>
      <w:r>
        <w:rPr>
          <w:sz w:val="26"/>
        </w:rPr>
        <w:t>the</w:t>
      </w:r>
      <w:r>
        <w:rPr>
          <w:spacing w:val="-9"/>
          <w:sz w:val="26"/>
        </w:rPr>
        <w:t xml:space="preserve"> </w:t>
      </w:r>
      <w:r>
        <w:rPr>
          <w:sz w:val="26"/>
        </w:rPr>
        <w:t>marginalized</w:t>
      </w:r>
      <w:r>
        <w:rPr>
          <w:spacing w:val="-9"/>
          <w:sz w:val="26"/>
        </w:rPr>
        <w:t xml:space="preserve"> </w:t>
      </w:r>
      <w:r>
        <w:rPr>
          <w:sz w:val="26"/>
        </w:rPr>
        <w:t>in form of a</w:t>
      </w:r>
      <w:r>
        <w:rPr>
          <w:spacing w:val="-1"/>
          <w:sz w:val="26"/>
        </w:rPr>
        <w:t xml:space="preserve"> </w:t>
      </w:r>
      <w:r>
        <w:rPr>
          <w:sz w:val="26"/>
        </w:rPr>
        <w:t>poem:</w:t>
      </w:r>
    </w:p>
    <w:p w:rsidR="003B2FC0" w:rsidRDefault="00052A49">
      <w:pPr>
        <w:spacing w:before="200" w:line="273" w:lineRule="auto"/>
        <w:ind w:left="2885" w:right="2920"/>
        <w:jc w:val="center"/>
        <w:rPr>
          <w:sz w:val="23"/>
        </w:rPr>
      </w:pPr>
      <w:r>
        <w:rPr>
          <w:sz w:val="23"/>
        </w:rPr>
        <w:t>“Arise brothers, lowest of low shudras wake up, arise.</w:t>
      </w:r>
    </w:p>
    <w:p w:rsidR="003B2FC0" w:rsidRDefault="00052A49">
      <w:pPr>
        <w:spacing w:before="5" w:line="276" w:lineRule="auto"/>
        <w:ind w:left="3326" w:right="3365"/>
        <w:jc w:val="center"/>
        <w:rPr>
          <w:sz w:val="23"/>
        </w:rPr>
      </w:pPr>
      <w:r>
        <w:rPr>
          <w:sz w:val="23"/>
        </w:rPr>
        <w:t>Rise and throw off the shackles put by custom upon us.</w:t>
      </w:r>
    </w:p>
    <w:p w:rsidR="003B2FC0" w:rsidRDefault="00052A49">
      <w:pPr>
        <w:spacing w:before="1"/>
        <w:ind w:left="2271" w:right="2304"/>
        <w:jc w:val="center"/>
        <w:rPr>
          <w:sz w:val="23"/>
        </w:rPr>
      </w:pPr>
      <w:r>
        <w:rPr>
          <w:sz w:val="23"/>
        </w:rPr>
        <w:t>Brothers, arise and learn…</w:t>
      </w:r>
    </w:p>
    <w:p w:rsidR="003B2FC0" w:rsidRDefault="003B2FC0">
      <w:pPr>
        <w:spacing w:before="9"/>
        <w:rPr>
          <w:sz w:val="20"/>
        </w:rPr>
      </w:pPr>
    </w:p>
    <w:p w:rsidR="003B2FC0" w:rsidRDefault="00052A49">
      <w:pPr>
        <w:spacing w:line="276" w:lineRule="auto"/>
        <w:ind w:left="3480" w:right="3519" w:firstLine="4"/>
        <w:jc w:val="center"/>
        <w:rPr>
          <w:sz w:val="23"/>
        </w:rPr>
      </w:pPr>
      <w:r>
        <w:rPr>
          <w:spacing w:val="2"/>
          <w:sz w:val="23"/>
        </w:rPr>
        <w:t xml:space="preserve">We </w:t>
      </w:r>
      <w:r>
        <w:rPr>
          <w:sz w:val="23"/>
        </w:rPr>
        <w:t>will educate our</w:t>
      </w:r>
      <w:r>
        <w:rPr>
          <w:spacing w:val="-15"/>
          <w:sz w:val="23"/>
        </w:rPr>
        <w:t xml:space="preserve"> </w:t>
      </w:r>
      <w:r>
        <w:rPr>
          <w:sz w:val="23"/>
        </w:rPr>
        <w:t xml:space="preserve">children and teach ourselves as </w:t>
      </w:r>
      <w:r>
        <w:rPr>
          <w:spacing w:val="-5"/>
          <w:sz w:val="23"/>
        </w:rPr>
        <w:t>well.</w:t>
      </w:r>
    </w:p>
    <w:p w:rsidR="003B2FC0" w:rsidRDefault="00052A49">
      <w:pPr>
        <w:spacing w:line="276" w:lineRule="auto"/>
        <w:ind w:left="3422" w:right="3434" w:firstLine="146"/>
        <w:rPr>
          <w:sz w:val="23"/>
        </w:rPr>
      </w:pPr>
      <w:r>
        <w:rPr>
          <w:spacing w:val="2"/>
          <w:sz w:val="23"/>
        </w:rPr>
        <w:t xml:space="preserve">We </w:t>
      </w:r>
      <w:r>
        <w:rPr>
          <w:sz w:val="23"/>
        </w:rPr>
        <w:t>will acquire knowledge of religion and</w:t>
      </w:r>
      <w:r>
        <w:rPr>
          <w:spacing w:val="-20"/>
          <w:sz w:val="23"/>
        </w:rPr>
        <w:t xml:space="preserve"> </w:t>
      </w:r>
      <w:r>
        <w:rPr>
          <w:sz w:val="23"/>
        </w:rPr>
        <w:t>righteousness.</w:t>
      </w:r>
    </w:p>
    <w:p w:rsidR="003B2FC0" w:rsidRDefault="00052A49">
      <w:pPr>
        <w:spacing w:before="1" w:line="273" w:lineRule="auto"/>
        <w:ind w:left="2885" w:right="2921"/>
        <w:jc w:val="center"/>
        <w:rPr>
          <w:sz w:val="23"/>
        </w:rPr>
      </w:pPr>
      <w:r>
        <w:rPr>
          <w:sz w:val="23"/>
        </w:rPr>
        <w:t>Let the thirst for books and learning dance in our every vein.</w:t>
      </w:r>
    </w:p>
    <w:p w:rsidR="003B2FC0" w:rsidRDefault="00052A49">
      <w:pPr>
        <w:spacing w:before="4" w:line="276" w:lineRule="auto"/>
        <w:ind w:left="2885" w:right="2922"/>
        <w:jc w:val="center"/>
        <w:rPr>
          <w:sz w:val="15"/>
        </w:rPr>
      </w:pPr>
      <w:r>
        <w:rPr>
          <w:sz w:val="23"/>
        </w:rPr>
        <w:t>Let each one struggle and forever erase our low-caste stain.”</w:t>
      </w:r>
      <w:r>
        <w:rPr>
          <w:position w:val="7"/>
          <w:sz w:val="15"/>
        </w:rPr>
        <w:t>94</w:t>
      </w:r>
    </w:p>
    <w:p w:rsidR="003B2FC0" w:rsidRDefault="003B2FC0">
      <w:pPr>
        <w:rPr>
          <w:sz w:val="26"/>
        </w:rPr>
      </w:pPr>
    </w:p>
    <w:p w:rsidR="003B2FC0" w:rsidRDefault="003B2FC0">
      <w:pPr>
        <w:spacing w:before="1"/>
        <w:rPr>
          <w:sz w:val="34"/>
        </w:rPr>
      </w:pPr>
    </w:p>
    <w:p w:rsidR="003B2FC0" w:rsidRDefault="00052A49">
      <w:pPr>
        <w:pStyle w:val="ListParagraph"/>
        <w:numPr>
          <w:ilvl w:val="0"/>
          <w:numId w:val="39"/>
        </w:numPr>
        <w:tabs>
          <w:tab w:val="left" w:pos="1121"/>
        </w:tabs>
        <w:spacing w:line="480" w:lineRule="auto"/>
        <w:ind w:right="433" w:firstLine="0"/>
        <w:jc w:val="both"/>
        <w:rPr>
          <w:sz w:val="26"/>
        </w:rPr>
      </w:pPr>
      <w:r>
        <w:rPr>
          <w:sz w:val="26"/>
        </w:rPr>
        <w:t>The consistent discourse flowing through these writings reflects a longstanding</w:t>
      </w:r>
      <w:r>
        <w:rPr>
          <w:spacing w:val="-17"/>
          <w:sz w:val="26"/>
        </w:rPr>
        <w:t xml:space="preserve"> </w:t>
      </w:r>
      <w:r>
        <w:rPr>
          <w:sz w:val="26"/>
        </w:rPr>
        <w:t>fight</w:t>
      </w:r>
      <w:r>
        <w:rPr>
          <w:spacing w:val="-19"/>
          <w:sz w:val="26"/>
        </w:rPr>
        <w:t xml:space="preserve"> </w:t>
      </w:r>
      <w:r>
        <w:rPr>
          <w:sz w:val="26"/>
        </w:rPr>
        <w:t>against</w:t>
      </w:r>
      <w:r>
        <w:rPr>
          <w:spacing w:val="-19"/>
          <w:sz w:val="26"/>
        </w:rPr>
        <w:t xml:space="preserve"> </w:t>
      </w:r>
      <w:r>
        <w:rPr>
          <w:sz w:val="26"/>
        </w:rPr>
        <w:t>subjugation</w:t>
      </w:r>
      <w:r>
        <w:rPr>
          <w:spacing w:val="-20"/>
          <w:sz w:val="26"/>
        </w:rPr>
        <w:t xml:space="preserve"> </w:t>
      </w:r>
      <w:r>
        <w:rPr>
          <w:sz w:val="26"/>
        </w:rPr>
        <w:t>and</w:t>
      </w:r>
      <w:r>
        <w:rPr>
          <w:spacing w:val="-16"/>
          <w:sz w:val="26"/>
        </w:rPr>
        <w:t xml:space="preserve"> </w:t>
      </w:r>
      <w:r>
        <w:rPr>
          <w:sz w:val="26"/>
        </w:rPr>
        <w:t>of</w:t>
      </w:r>
      <w:r>
        <w:rPr>
          <w:spacing w:val="-19"/>
          <w:sz w:val="26"/>
        </w:rPr>
        <w:t xml:space="preserve"> </w:t>
      </w:r>
      <w:r>
        <w:rPr>
          <w:sz w:val="26"/>
        </w:rPr>
        <w:t>atrocities</w:t>
      </w:r>
      <w:r>
        <w:rPr>
          <w:spacing w:val="-20"/>
          <w:sz w:val="26"/>
        </w:rPr>
        <w:t xml:space="preserve"> </w:t>
      </w:r>
      <w:r>
        <w:rPr>
          <w:sz w:val="26"/>
        </w:rPr>
        <w:t>undergone</w:t>
      </w:r>
      <w:r>
        <w:rPr>
          <w:spacing w:val="-19"/>
          <w:sz w:val="26"/>
        </w:rPr>
        <w:t xml:space="preserve"> </w:t>
      </w:r>
      <w:r>
        <w:rPr>
          <w:sz w:val="26"/>
        </w:rPr>
        <w:t>by</w:t>
      </w:r>
      <w:r>
        <w:rPr>
          <w:spacing w:val="-21"/>
          <w:sz w:val="26"/>
        </w:rPr>
        <w:t xml:space="preserve"> </w:t>
      </w:r>
      <w:r>
        <w:rPr>
          <w:sz w:val="26"/>
        </w:rPr>
        <w:t>the</w:t>
      </w:r>
      <w:r>
        <w:rPr>
          <w:spacing w:val="-17"/>
          <w:sz w:val="26"/>
        </w:rPr>
        <w:t xml:space="preserve"> </w:t>
      </w:r>
      <w:r>
        <w:rPr>
          <w:sz w:val="26"/>
        </w:rPr>
        <w:t>victims of an unequal society. Article 17 is a constitutional recognition of these resentments. The incorporation of Article 17 into the Constitution is symbolic of valuing</w:t>
      </w:r>
      <w:r>
        <w:rPr>
          <w:spacing w:val="-8"/>
          <w:sz w:val="26"/>
        </w:rPr>
        <w:t xml:space="preserve"> </w:t>
      </w:r>
      <w:r>
        <w:rPr>
          <w:sz w:val="26"/>
        </w:rPr>
        <w:t>the</w:t>
      </w:r>
      <w:r>
        <w:rPr>
          <w:spacing w:val="-6"/>
          <w:sz w:val="26"/>
        </w:rPr>
        <w:t xml:space="preserve"> </w:t>
      </w:r>
      <w:r>
        <w:rPr>
          <w:sz w:val="26"/>
        </w:rPr>
        <w:t>centuries’</w:t>
      </w:r>
      <w:r>
        <w:rPr>
          <w:spacing w:val="-8"/>
          <w:sz w:val="26"/>
        </w:rPr>
        <w:t xml:space="preserve"> </w:t>
      </w:r>
      <w:r>
        <w:rPr>
          <w:sz w:val="26"/>
        </w:rPr>
        <w:t>old</w:t>
      </w:r>
      <w:r>
        <w:rPr>
          <w:spacing w:val="-9"/>
          <w:sz w:val="26"/>
        </w:rPr>
        <w:t xml:space="preserve"> </w:t>
      </w:r>
      <w:r>
        <w:rPr>
          <w:sz w:val="26"/>
        </w:rPr>
        <w:t>struggle</w:t>
      </w:r>
      <w:r>
        <w:rPr>
          <w:spacing w:val="-7"/>
          <w:sz w:val="26"/>
        </w:rPr>
        <w:t xml:space="preserve"> </w:t>
      </w:r>
      <w:r>
        <w:rPr>
          <w:sz w:val="26"/>
        </w:rPr>
        <w:t>of</w:t>
      </w:r>
      <w:r>
        <w:rPr>
          <w:spacing w:val="-9"/>
          <w:sz w:val="26"/>
        </w:rPr>
        <w:t xml:space="preserve"> </w:t>
      </w:r>
      <w:r>
        <w:rPr>
          <w:sz w:val="26"/>
        </w:rPr>
        <w:t>social</w:t>
      </w:r>
      <w:r>
        <w:rPr>
          <w:spacing w:val="-8"/>
          <w:sz w:val="26"/>
        </w:rPr>
        <w:t xml:space="preserve"> </w:t>
      </w:r>
      <w:r>
        <w:rPr>
          <w:sz w:val="26"/>
        </w:rPr>
        <w:t>reformers</w:t>
      </w:r>
      <w:r>
        <w:rPr>
          <w:spacing w:val="-8"/>
          <w:sz w:val="26"/>
        </w:rPr>
        <w:t xml:space="preserve"> </w:t>
      </w:r>
      <w:r>
        <w:rPr>
          <w:sz w:val="26"/>
        </w:rPr>
        <w:t>and</w:t>
      </w:r>
      <w:r>
        <w:rPr>
          <w:spacing w:val="-9"/>
          <w:sz w:val="26"/>
        </w:rPr>
        <w:t xml:space="preserve"> </w:t>
      </w:r>
      <w:r>
        <w:rPr>
          <w:sz w:val="26"/>
        </w:rPr>
        <w:t>revolutionaries.</w:t>
      </w:r>
      <w:r>
        <w:rPr>
          <w:spacing w:val="-10"/>
          <w:sz w:val="26"/>
        </w:rPr>
        <w:t xml:space="preserve"> </w:t>
      </w:r>
      <w:r>
        <w:rPr>
          <w:sz w:val="26"/>
        </w:rPr>
        <w:t>It</w:t>
      </w:r>
      <w:r>
        <w:rPr>
          <w:spacing w:val="-6"/>
          <w:sz w:val="26"/>
        </w:rPr>
        <w:t xml:space="preserve"> </w:t>
      </w:r>
      <w:r>
        <w:rPr>
          <w:sz w:val="26"/>
        </w:rPr>
        <w:t>is</w:t>
      </w:r>
      <w:r>
        <w:rPr>
          <w:spacing w:val="-9"/>
          <w:sz w:val="26"/>
        </w:rPr>
        <w:t xml:space="preserve"> </w:t>
      </w:r>
      <w:r>
        <w:rPr>
          <w:sz w:val="26"/>
        </w:rPr>
        <w:t>a move</w:t>
      </w:r>
      <w:r>
        <w:rPr>
          <w:spacing w:val="-4"/>
          <w:sz w:val="26"/>
        </w:rPr>
        <w:t xml:space="preserve"> </w:t>
      </w:r>
      <w:r>
        <w:rPr>
          <w:sz w:val="26"/>
        </w:rPr>
        <w:t>b</w:t>
      </w:r>
      <w:r>
        <w:rPr>
          <w:sz w:val="26"/>
        </w:rPr>
        <w:t>y</w:t>
      </w:r>
      <w:r>
        <w:rPr>
          <w:spacing w:val="-8"/>
          <w:sz w:val="26"/>
        </w:rPr>
        <w:t xml:space="preserve"> </w:t>
      </w:r>
      <w:r>
        <w:rPr>
          <w:sz w:val="26"/>
        </w:rPr>
        <w:t>the</w:t>
      </w:r>
      <w:r>
        <w:rPr>
          <w:spacing w:val="-6"/>
          <w:sz w:val="26"/>
        </w:rPr>
        <w:t xml:space="preserve"> </w:t>
      </w:r>
      <w:r>
        <w:rPr>
          <w:sz w:val="26"/>
        </w:rPr>
        <w:t>Constitution</w:t>
      </w:r>
      <w:r>
        <w:rPr>
          <w:spacing w:val="-6"/>
          <w:sz w:val="26"/>
        </w:rPr>
        <w:t xml:space="preserve"> </w:t>
      </w:r>
      <w:r>
        <w:rPr>
          <w:sz w:val="26"/>
        </w:rPr>
        <w:t>makers</w:t>
      </w:r>
      <w:r>
        <w:rPr>
          <w:spacing w:val="-5"/>
          <w:sz w:val="26"/>
        </w:rPr>
        <w:t xml:space="preserve"> </w:t>
      </w:r>
      <w:r>
        <w:rPr>
          <w:sz w:val="26"/>
        </w:rPr>
        <w:t>to</w:t>
      </w:r>
      <w:r>
        <w:rPr>
          <w:spacing w:val="-6"/>
          <w:sz w:val="26"/>
        </w:rPr>
        <w:t xml:space="preserve"> </w:t>
      </w:r>
      <w:r>
        <w:rPr>
          <w:sz w:val="26"/>
        </w:rPr>
        <w:t>find</w:t>
      </w:r>
      <w:r>
        <w:rPr>
          <w:spacing w:val="-3"/>
          <w:sz w:val="26"/>
        </w:rPr>
        <w:t xml:space="preserve"> </w:t>
      </w:r>
      <w:r>
        <w:rPr>
          <w:sz w:val="26"/>
        </w:rPr>
        <w:t>catharsis</w:t>
      </w:r>
      <w:r>
        <w:rPr>
          <w:spacing w:val="-3"/>
          <w:sz w:val="26"/>
        </w:rPr>
        <w:t xml:space="preserve"> </w:t>
      </w:r>
      <w:r>
        <w:rPr>
          <w:sz w:val="26"/>
        </w:rPr>
        <w:t>in</w:t>
      </w:r>
      <w:r>
        <w:rPr>
          <w:spacing w:val="-7"/>
          <w:sz w:val="26"/>
        </w:rPr>
        <w:t xml:space="preserve"> </w:t>
      </w:r>
      <w:r>
        <w:rPr>
          <w:sz w:val="26"/>
        </w:rPr>
        <w:t>the</w:t>
      </w:r>
      <w:r>
        <w:rPr>
          <w:spacing w:val="-6"/>
          <w:sz w:val="26"/>
        </w:rPr>
        <w:t xml:space="preserve"> </w:t>
      </w:r>
      <w:r>
        <w:rPr>
          <w:sz w:val="26"/>
        </w:rPr>
        <w:t>face</w:t>
      </w:r>
      <w:r>
        <w:rPr>
          <w:spacing w:val="-3"/>
          <w:sz w:val="26"/>
        </w:rPr>
        <w:t xml:space="preserve"> </w:t>
      </w:r>
      <w:r>
        <w:rPr>
          <w:sz w:val="26"/>
        </w:rPr>
        <w:t>of</w:t>
      </w:r>
      <w:r>
        <w:rPr>
          <w:spacing w:val="-3"/>
          <w:sz w:val="26"/>
        </w:rPr>
        <w:t xml:space="preserve"> </w:t>
      </w:r>
      <w:r>
        <w:rPr>
          <w:sz w:val="26"/>
        </w:rPr>
        <w:t>historic</w:t>
      </w:r>
      <w:r>
        <w:rPr>
          <w:spacing w:val="-5"/>
          <w:sz w:val="26"/>
        </w:rPr>
        <w:t xml:space="preserve"> </w:t>
      </w:r>
      <w:r>
        <w:rPr>
          <w:sz w:val="26"/>
        </w:rPr>
        <w:t>horrors. It</w:t>
      </w:r>
      <w:r>
        <w:rPr>
          <w:spacing w:val="-5"/>
          <w:sz w:val="26"/>
        </w:rPr>
        <w:t xml:space="preserve"> </w:t>
      </w:r>
      <w:r>
        <w:rPr>
          <w:sz w:val="26"/>
        </w:rPr>
        <w:t>is</w:t>
      </w:r>
      <w:r>
        <w:rPr>
          <w:spacing w:val="-4"/>
          <w:sz w:val="26"/>
        </w:rPr>
        <w:t xml:space="preserve"> </w:t>
      </w:r>
      <w:r>
        <w:rPr>
          <w:sz w:val="26"/>
        </w:rPr>
        <w:t>an</w:t>
      </w:r>
      <w:r>
        <w:rPr>
          <w:spacing w:val="-4"/>
          <w:sz w:val="26"/>
        </w:rPr>
        <w:t xml:space="preserve"> </w:t>
      </w:r>
      <w:r>
        <w:rPr>
          <w:sz w:val="26"/>
        </w:rPr>
        <w:t>attempt</w:t>
      </w:r>
      <w:r>
        <w:rPr>
          <w:spacing w:val="-4"/>
          <w:sz w:val="26"/>
        </w:rPr>
        <w:t xml:space="preserve"> </w:t>
      </w:r>
      <w:r>
        <w:rPr>
          <w:sz w:val="26"/>
        </w:rPr>
        <w:t>to</w:t>
      </w:r>
      <w:r>
        <w:rPr>
          <w:spacing w:val="-4"/>
          <w:sz w:val="26"/>
        </w:rPr>
        <w:t xml:space="preserve"> </w:t>
      </w:r>
      <w:r>
        <w:rPr>
          <w:sz w:val="26"/>
        </w:rPr>
        <w:t>make</w:t>
      </w:r>
      <w:r>
        <w:rPr>
          <w:spacing w:val="-4"/>
          <w:sz w:val="26"/>
        </w:rPr>
        <w:t xml:space="preserve"> </w:t>
      </w:r>
      <w:r>
        <w:rPr>
          <w:sz w:val="26"/>
        </w:rPr>
        <w:t>reparations</w:t>
      </w:r>
      <w:r>
        <w:rPr>
          <w:spacing w:val="-4"/>
          <w:sz w:val="26"/>
        </w:rPr>
        <w:t xml:space="preserve"> </w:t>
      </w:r>
      <w:r>
        <w:rPr>
          <w:sz w:val="26"/>
        </w:rPr>
        <w:t>to</w:t>
      </w:r>
      <w:r>
        <w:rPr>
          <w:spacing w:val="-5"/>
          <w:sz w:val="26"/>
        </w:rPr>
        <w:t xml:space="preserve"> </w:t>
      </w:r>
      <w:r>
        <w:rPr>
          <w:sz w:val="26"/>
        </w:rPr>
        <w:t>those,</w:t>
      </w:r>
      <w:r>
        <w:rPr>
          <w:spacing w:val="-2"/>
          <w:sz w:val="26"/>
        </w:rPr>
        <w:t xml:space="preserve"> </w:t>
      </w:r>
      <w:r>
        <w:rPr>
          <w:sz w:val="26"/>
        </w:rPr>
        <w:t>whose</w:t>
      </w:r>
      <w:r>
        <w:rPr>
          <w:spacing w:val="-4"/>
          <w:sz w:val="26"/>
        </w:rPr>
        <w:t xml:space="preserve"> </w:t>
      </w:r>
      <w:r>
        <w:rPr>
          <w:sz w:val="26"/>
        </w:rPr>
        <w:t>identity</w:t>
      </w:r>
      <w:r>
        <w:rPr>
          <w:spacing w:val="-4"/>
          <w:sz w:val="26"/>
        </w:rPr>
        <w:t xml:space="preserve"> </w:t>
      </w:r>
      <w:r>
        <w:rPr>
          <w:sz w:val="26"/>
        </w:rPr>
        <w:t>was</w:t>
      </w:r>
      <w:r>
        <w:rPr>
          <w:spacing w:val="-4"/>
          <w:sz w:val="26"/>
        </w:rPr>
        <w:t xml:space="preserve"> </w:t>
      </w:r>
      <w:r>
        <w:rPr>
          <w:sz w:val="26"/>
        </w:rPr>
        <w:t>subjugated</w:t>
      </w:r>
      <w:r>
        <w:rPr>
          <w:spacing w:val="-5"/>
          <w:sz w:val="26"/>
        </w:rPr>
        <w:t xml:space="preserve"> </w:t>
      </w:r>
      <w:r>
        <w:rPr>
          <w:sz w:val="26"/>
        </w:rPr>
        <w:t>by society.</w:t>
      </w:r>
      <w:r>
        <w:rPr>
          <w:spacing w:val="-5"/>
          <w:sz w:val="26"/>
        </w:rPr>
        <w:t xml:space="preserve"> </w:t>
      </w:r>
      <w:r>
        <w:rPr>
          <w:sz w:val="26"/>
        </w:rPr>
        <w:t>Article</w:t>
      </w:r>
      <w:r>
        <w:rPr>
          <w:spacing w:val="-5"/>
          <w:sz w:val="26"/>
        </w:rPr>
        <w:t xml:space="preserve"> </w:t>
      </w:r>
      <w:r>
        <w:rPr>
          <w:sz w:val="26"/>
        </w:rPr>
        <w:t>17</w:t>
      </w:r>
      <w:r>
        <w:rPr>
          <w:spacing w:val="-8"/>
          <w:sz w:val="26"/>
        </w:rPr>
        <w:t xml:space="preserve"> </w:t>
      </w:r>
      <w:r>
        <w:rPr>
          <w:sz w:val="26"/>
        </w:rPr>
        <w:t>is</w:t>
      </w:r>
      <w:r>
        <w:rPr>
          <w:spacing w:val="-4"/>
          <w:sz w:val="26"/>
        </w:rPr>
        <w:t xml:space="preserve"> </w:t>
      </w:r>
      <w:r>
        <w:rPr>
          <w:sz w:val="26"/>
        </w:rPr>
        <w:t>a</w:t>
      </w:r>
      <w:r>
        <w:rPr>
          <w:spacing w:val="-8"/>
          <w:sz w:val="26"/>
        </w:rPr>
        <w:t xml:space="preserve"> </w:t>
      </w:r>
      <w:r>
        <w:rPr>
          <w:sz w:val="26"/>
        </w:rPr>
        <w:t>revolt</w:t>
      </w:r>
      <w:r>
        <w:rPr>
          <w:spacing w:val="-5"/>
          <w:sz w:val="26"/>
        </w:rPr>
        <w:t xml:space="preserve"> </w:t>
      </w:r>
      <w:r>
        <w:rPr>
          <w:sz w:val="26"/>
        </w:rPr>
        <w:t>against</w:t>
      </w:r>
      <w:r>
        <w:rPr>
          <w:spacing w:val="-7"/>
          <w:sz w:val="26"/>
        </w:rPr>
        <w:t xml:space="preserve"> </w:t>
      </w:r>
      <w:r>
        <w:rPr>
          <w:sz w:val="26"/>
        </w:rPr>
        <w:t>social</w:t>
      </w:r>
      <w:r>
        <w:rPr>
          <w:spacing w:val="-8"/>
          <w:sz w:val="26"/>
        </w:rPr>
        <w:t xml:space="preserve"> </w:t>
      </w:r>
      <w:r>
        <w:rPr>
          <w:sz w:val="26"/>
        </w:rPr>
        <w:t>norms,</w:t>
      </w:r>
      <w:r>
        <w:rPr>
          <w:spacing w:val="-5"/>
          <w:sz w:val="26"/>
        </w:rPr>
        <w:t xml:space="preserve"> </w:t>
      </w:r>
      <w:r>
        <w:rPr>
          <w:sz w:val="26"/>
        </w:rPr>
        <w:t>which</w:t>
      </w:r>
      <w:r>
        <w:rPr>
          <w:spacing w:val="-7"/>
          <w:sz w:val="26"/>
        </w:rPr>
        <w:t xml:space="preserve"> </w:t>
      </w:r>
      <w:r>
        <w:rPr>
          <w:sz w:val="26"/>
        </w:rPr>
        <w:t>subjugated</w:t>
      </w:r>
      <w:r>
        <w:rPr>
          <w:spacing w:val="-8"/>
          <w:sz w:val="26"/>
        </w:rPr>
        <w:t xml:space="preserve"> </w:t>
      </w:r>
      <w:r>
        <w:rPr>
          <w:sz w:val="26"/>
        </w:rPr>
        <w:t>individuals into stigmatised hierarchies. By abolishing “untouchability”, Article 17 protects them</w:t>
      </w:r>
      <w:r>
        <w:rPr>
          <w:spacing w:val="7"/>
          <w:sz w:val="26"/>
        </w:rPr>
        <w:t xml:space="preserve"> </w:t>
      </w:r>
      <w:r>
        <w:rPr>
          <w:sz w:val="26"/>
        </w:rPr>
        <w:t>from</w:t>
      </w:r>
      <w:r>
        <w:rPr>
          <w:spacing w:val="8"/>
          <w:sz w:val="26"/>
        </w:rPr>
        <w:t xml:space="preserve"> </w:t>
      </w:r>
      <w:r>
        <w:rPr>
          <w:sz w:val="26"/>
        </w:rPr>
        <w:t>a</w:t>
      </w:r>
      <w:r>
        <w:rPr>
          <w:spacing w:val="8"/>
          <w:sz w:val="26"/>
        </w:rPr>
        <w:t xml:space="preserve"> </w:t>
      </w:r>
      <w:r>
        <w:rPr>
          <w:sz w:val="26"/>
        </w:rPr>
        <w:t>repetition</w:t>
      </w:r>
      <w:r>
        <w:rPr>
          <w:spacing w:val="7"/>
          <w:sz w:val="26"/>
        </w:rPr>
        <w:t xml:space="preserve"> </w:t>
      </w:r>
      <w:r>
        <w:rPr>
          <w:sz w:val="26"/>
        </w:rPr>
        <w:t>of</w:t>
      </w:r>
      <w:r>
        <w:rPr>
          <w:spacing w:val="8"/>
          <w:sz w:val="26"/>
        </w:rPr>
        <w:t xml:space="preserve"> </w:t>
      </w:r>
      <w:r>
        <w:rPr>
          <w:sz w:val="26"/>
        </w:rPr>
        <w:t>history</w:t>
      </w:r>
      <w:r>
        <w:rPr>
          <w:spacing w:val="5"/>
          <w:sz w:val="26"/>
        </w:rPr>
        <w:t xml:space="preserve"> </w:t>
      </w:r>
      <w:r>
        <w:rPr>
          <w:sz w:val="26"/>
        </w:rPr>
        <w:t>in</w:t>
      </w:r>
      <w:r>
        <w:rPr>
          <w:spacing w:val="10"/>
          <w:sz w:val="26"/>
        </w:rPr>
        <w:t xml:space="preserve"> </w:t>
      </w:r>
      <w:r>
        <w:rPr>
          <w:sz w:val="26"/>
        </w:rPr>
        <w:t>a</w:t>
      </w:r>
      <w:r>
        <w:rPr>
          <w:spacing w:val="8"/>
          <w:sz w:val="26"/>
        </w:rPr>
        <w:t xml:space="preserve"> </w:t>
      </w:r>
      <w:r>
        <w:rPr>
          <w:sz w:val="26"/>
        </w:rPr>
        <w:t>free</w:t>
      </w:r>
      <w:r>
        <w:rPr>
          <w:spacing w:val="10"/>
          <w:sz w:val="26"/>
        </w:rPr>
        <w:t xml:space="preserve"> </w:t>
      </w:r>
      <w:r>
        <w:rPr>
          <w:sz w:val="26"/>
        </w:rPr>
        <w:t>nation.</w:t>
      </w:r>
      <w:r>
        <w:rPr>
          <w:spacing w:val="8"/>
          <w:sz w:val="26"/>
        </w:rPr>
        <w:t xml:space="preserve"> </w:t>
      </w:r>
      <w:r>
        <w:rPr>
          <w:sz w:val="26"/>
        </w:rPr>
        <w:t>The</w:t>
      </w:r>
      <w:r>
        <w:rPr>
          <w:spacing w:val="7"/>
          <w:sz w:val="26"/>
        </w:rPr>
        <w:t xml:space="preserve"> </w:t>
      </w:r>
      <w:r>
        <w:rPr>
          <w:sz w:val="26"/>
        </w:rPr>
        <w:t>background</w:t>
      </w:r>
      <w:r>
        <w:rPr>
          <w:spacing w:val="7"/>
          <w:sz w:val="26"/>
        </w:rPr>
        <w:t xml:space="preserve"> </w:t>
      </w:r>
      <w:r>
        <w:rPr>
          <w:sz w:val="26"/>
        </w:rPr>
        <w:t>of</w:t>
      </w:r>
      <w:r>
        <w:rPr>
          <w:spacing w:val="11"/>
          <w:sz w:val="26"/>
        </w:rPr>
        <w:t xml:space="preserve"> </w:t>
      </w:r>
      <w:r>
        <w:rPr>
          <w:sz w:val="26"/>
        </w:rPr>
        <w:t>Article</w:t>
      </w:r>
      <w:r>
        <w:rPr>
          <w:spacing w:val="10"/>
          <w:sz w:val="26"/>
        </w:rPr>
        <w:t xml:space="preserve"> </w:t>
      </w:r>
      <w:r>
        <w:rPr>
          <w:sz w:val="26"/>
        </w:rPr>
        <w:t>17</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10"/>
        <w:rPr>
          <w:sz w:val="19"/>
        </w:rPr>
      </w:pPr>
      <w:r w:rsidRPr="003B2FC0">
        <w:pict>
          <v:line id="_x0000_s1097" style="position:absolute;z-index:251618816;mso-wrap-distance-left:0;mso-wrap-distance-right:0;mso-position-horizontal-relative:page" from="1in,13.8pt" to="216.05pt,13.8pt" strokeweight=".72pt">
            <w10:wrap type="topAndBottom" anchorx="page"/>
          </v:line>
        </w:pict>
      </w:r>
    </w:p>
    <w:p w:rsidR="003B2FC0" w:rsidRDefault="00052A49">
      <w:pPr>
        <w:spacing w:before="66"/>
        <w:ind w:left="400"/>
        <w:rPr>
          <w:sz w:val="18"/>
        </w:rPr>
      </w:pPr>
      <w:r>
        <w:rPr>
          <w:position w:val="6"/>
          <w:sz w:val="12"/>
        </w:rPr>
        <w:t xml:space="preserve">94 </w:t>
      </w:r>
      <w:r>
        <w:rPr>
          <w:sz w:val="18"/>
        </w:rPr>
        <w:t>Ibid, at page 88</w:t>
      </w:r>
    </w:p>
    <w:p w:rsidR="003B2FC0" w:rsidRDefault="003B2FC0">
      <w:pPr>
        <w:rPr>
          <w:sz w:val="18"/>
        </w:rPr>
        <w:sectPr w:rsidR="003B2FC0">
          <w:footerReference w:type="default" r:id="rId375"/>
          <w:pgSz w:w="11910" w:h="16840"/>
          <w:pgMar w:top="1080" w:right="980" w:bottom="1200" w:left="1040" w:header="708" w:footer="1000" w:gutter="0"/>
          <w:pgNumType w:start="104"/>
          <w:cols w:space="720"/>
        </w:sectPr>
      </w:pPr>
    </w:p>
    <w:p w:rsidR="003B2FC0" w:rsidRDefault="003B2FC0">
      <w:pPr>
        <w:spacing w:before="10"/>
        <w:rPr>
          <w:sz w:val="21"/>
        </w:rPr>
      </w:pPr>
    </w:p>
    <w:p w:rsidR="003B2FC0" w:rsidRDefault="00052A49">
      <w:pPr>
        <w:spacing w:before="91" w:line="480" w:lineRule="auto"/>
        <w:ind w:left="400" w:right="441"/>
        <w:jc w:val="both"/>
        <w:rPr>
          <w:sz w:val="26"/>
        </w:rPr>
      </w:pPr>
      <w:r>
        <w:rPr>
          <w:sz w:val="26"/>
        </w:rPr>
        <w:t>thus lies in protecting the dignity of those who have been victims of discrimination, prejudice and social exclusion.</w:t>
      </w:r>
    </w:p>
    <w:p w:rsidR="003B2FC0" w:rsidRDefault="003B2FC0">
      <w:pPr>
        <w:rPr>
          <w:sz w:val="28"/>
        </w:rPr>
      </w:pPr>
    </w:p>
    <w:p w:rsidR="003B2FC0" w:rsidRDefault="003B2FC0">
      <w:pPr>
        <w:spacing w:before="10"/>
        <w:rPr>
          <w:sz w:val="32"/>
        </w:rPr>
      </w:pPr>
    </w:p>
    <w:p w:rsidR="003B2FC0" w:rsidRDefault="00052A49">
      <w:pPr>
        <w:spacing w:line="480" w:lineRule="auto"/>
        <w:ind w:left="400" w:right="434"/>
        <w:jc w:val="both"/>
        <w:rPr>
          <w:sz w:val="26"/>
        </w:rPr>
      </w:pPr>
      <w:r>
        <w:rPr>
          <w:sz w:val="26"/>
        </w:rPr>
        <w:t>Article 17 must be construed from the perspective of its position as a powerful guarantee to preserve human dignity and against the stig</w:t>
      </w:r>
      <w:r>
        <w:rPr>
          <w:sz w:val="26"/>
        </w:rPr>
        <w:t>matization and exclusion</w:t>
      </w:r>
      <w:r>
        <w:rPr>
          <w:spacing w:val="-15"/>
          <w:sz w:val="26"/>
        </w:rPr>
        <w:t xml:space="preserve"> </w:t>
      </w:r>
      <w:r>
        <w:rPr>
          <w:sz w:val="26"/>
        </w:rPr>
        <w:t>of</w:t>
      </w:r>
      <w:r>
        <w:rPr>
          <w:spacing w:val="-15"/>
          <w:sz w:val="26"/>
        </w:rPr>
        <w:t xml:space="preserve"> </w:t>
      </w:r>
      <w:r>
        <w:rPr>
          <w:sz w:val="26"/>
        </w:rPr>
        <w:t>individuals</w:t>
      </w:r>
      <w:r>
        <w:rPr>
          <w:spacing w:val="-15"/>
          <w:sz w:val="26"/>
        </w:rPr>
        <w:t xml:space="preserve"> </w:t>
      </w:r>
      <w:r>
        <w:rPr>
          <w:sz w:val="26"/>
        </w:rPr>
        <w:t>and</w:t>
      </w:r>
      <w:r>
        <w:rPr>
          <w:spacing w:val="-15"/>
          <w:sz w:val="26"/>
        </w:rPr>
        <w:t xml:space="preserve"> </w:t>
      </w:r>
      <w:r>
        <w:rPr>
          <w:sz w:val="26"/>
        </w:rPr>
        <w:t>groups</w:t>
      </w:r>
      <w:r>
        <w:rPr>
          <w:spacing w:val="-15"/>
          <w:sz w:val="26"/>
        </w:rPr>
        <w:t xml:space="preserve"> </w:t>
      </w:r>
      <w:r>
        <w:rPr>
          <w:sz w:val="26"/>
        </w:rPr>
        <w:t>on</w:t>
      </w:r>
      <w:r>
        <w:rPr>
          <w:spacing w:val="-15"/>
          <w:sz w:val="26"/>
        </w:rPr>
        <w:t xml:space="preserve"> </w:t>
      </w:r>
      <w:r>
        <w:rPr>
          <w:sz w:val="26"/>
        </w:rPr>
        <w:t>the</w:t>
      </w:r>
      <w:r>
        <w:rPr>
          <w:spacing w:val="-13"/>
          <w:sz w:val="26"/>
        </w:rPr>
        <w:t xml:space="preserve"> </w:t>
      </w:r>
      <w:r>
        <w:rPr>
          <w:sz w:val="26"/>
        </w:rPr>
        <w:t>basis</w:t>
      </w:r>
      <w:r>
        <w:rPr>
          <w:spacing w:val="-15"/>
          <w:sz w:val="26"/>
        </w:rPr>
        <w:t xml:space="preserve"> </w:t>
      </w:r>
      <w:r>
        <w:rPr>
          <w:sz w:val="26"/>
        </w:rPr>
        <w:t>of</w:t>
      </w:r>
      <w:r>
        <w:rPr>
          <w:spacing w:val="-15"/>
          <w:sz w:val="26"/>
        </w:rPr>
        <w:t xml:space="preserve"> </w:t>
      </w:r>
      <w:r>
        <w:rPr>
          <w:sz w:val="26"/>
        </w:rPr>
        <w:t>social</w:t>
      </w:r>
      <w:r>
        <w:rPr>
          <w:spacing w:val="-15"/>
          <w:sz w:val="26"/>
        </w:rPr>
        <w:t xml:space="preserve"> </w:t>
      </w:r>
      <w:r>
        <w:rPr>
          <w:sz w:val="26"/>
        </w:rPr>
        <w:t>hierarchism.</w:t>
      </w:r>
      <w:r>
        <w:rPr>
          <w:spacing w:val="-15"/>
          <w:sz w:val="26"/>
        </w:rPr>
        <w:t xml:space="preserve"> </w:t>
      </w:r>
      <w:r>
        <w:rPr>
          <w:sz w:val="26"/>
        </w:rPr>
        <w:t>Article</w:t>
      </w:r>
      <w:r>
        <w:rPr>
          <w:spacing w:val="-15"/>
          <w:sz w:val="26"/>
        </w:rPr>
        <w:t xml:space="preserve"> </w:t>
      </w:r>
      <w:r>
        <w:rPr>
          <w:sz w:val="26"/>
        </w:rPr>
        <w:t>17 and</w:t>
      </w:r>
      <w:r>
        <w:rPr>
          <w:spacing w:val="-12"/>
          <w:sz w:val="26"/>
        </w:rPr>
        <w:t xml:space="preserve"> </w:t>
      </w:r>
      <w:r>
        <w:rPr>
          <w:sz w:val="26"/>
        </w:rPr>
        <w:t>Articles</w:t>
      </w:r>
      <w:r>
        <w:rPr>
          <w:spacing w:val="-11"/>
          <w:sz w:val="26"/>
        </w:rPr>
        <w:t xml:space="preserve"> </w:t>
      </w:r>
      <w:r>
        <w:rPr>
          <w:sz w:val="26"/>
        </w:rPr>
        <w:t>15(2)</w:t>
      </w:r>
      <w:r>
        <w:rPr>
          <w:spacing w:val="-11"/>
          <w:sz w:val="26"/>
        </w:rPr>
        <w:t xml:space="preserve"> </w:t>
      </w:r>
      <w:r>
        <w:rPr>
          <w:sz w:val="26"/>
        </w:rPr>
        <w:t>and</w:t>
      </w:r>
      <w:r>
        <w:rPr>
          <w:spacing w:val="-11"/>
          <w:sz w:val="26"/>
        </w:rPr>
        <w:t xml:space="preserve"> </w:t>
      </w:r>
      <w:r>
        <w:rPr>
          <w:sz w:val="26"/>
        </w:rPr>
        <w:t>23,</w:t>
      </w:r>
      <w:r>
        <w:rPr>
          <w:spacing w:val="-12"/>
          <w:sz w:val="26"/>
        </w:rPr>
        <w:t xml:space="preserve"> </w:t>
      </w:r>
      <w:r>
        <w:rPr>
          <w:sz w:val="26"/>
        </w:rPr>
        <w:t>provide</w:t>
      </w:r>
      <w:r>
        <w:rPr>
          <w:spacing w:val="-12"/>
          <w:sz w:val="26"/>
        </w:rPr>
        <w:t xml:space="preserve"> </w:t>
      </w:r>
      <w:r>
        <w:rPr>
          <w:sz w:val="26"/>
        </w:rPr>
        <w:t>the</w:t>
      </w:r>
      <w:r>
        <w:rPr>
          <w:spacing w:val="-12"/>
          <w:sz w:val="26"/>
        </w:rPr>
        <w:t xml:space="preserve"> </w:t>
      </w:r>
      <w:r>
        <w:rPr>
          <w:sz w:val="26"/>
        </w:rPr>
        <w:t>supporting</w:t>
      </w:r>
      <w:r>
        <w:rPr>
          <w:spacing w:val="-11"/>
          <w:sz w:val="26"/>
        </w:rPr>
        <w:t xml:space="preserve"> </w:t>
      </w:r>
      <w:r>
        <w:rPr>
          <w:sz w:val="26"/>
        </w:rPr>
        <w:t>foundation</w:t>
      </w:r>
      <w:r>
        <w:rPr>
          <w:spacing w:val="-12"/>
          <w:sz w:val="26"/>
        </w:rPr>
        <w:t xml:space="preserve"> </w:t>
      </w:r>
      <w:r>
        <w:rPr>
          <w:sz w:val="26"/>
        </w:rPr>
        <w:t>for</w:t>
      </w:r>
      <w:r>
        <w:rPr>
          <w:spacing w:val="-9"/>
          <w:sz w:val="26"/>
        </w:rPr>
        <w:t xml:space="preserve"> </w:t>
      </w:r>
      <w:r>
        <w:rPr>
          <w:sz w:val="26"/>
        </w:rPr>
        <w:t>the</w:t>
      </w:r>
      <w:r>
        <w:rPr>
          <w:spacing w:val="-7"/>
          <w:sz w:val="26"/>
        </w:rPr>
        <w:t xml:space="preserve"> </w:t>
      </w:r>
      <w:r>
        <w:rPr>
          <w:sz w:val="26"/>
        </w:rPr>
        <w:t>arc</w:t>
      </w:r>
      <w:r>
        <w:rPr>
          <w:spacing w:val="-10"/>
          <w:sz w:val="26"/>
        </w:rPr>
        <w:t xml:space="preserve"> </w:t>
      </w:r>
      <w:r>
        <w:rPr>
          <w:sz w:val="26"/>
        </w:rPr>
        <w:t>of</w:t>
      </w:r>
      <w:r>
        <w:rPr>
          <w:spacing w:val="-9"/>
          <w:sz w:val="26"/>
        </w:rPr>
        <w:t xml:space="preserve"> </w:t>
      </w:r>
      <w:r>
        <w:rPr>
          <w:sz w:val="26"/>
        </w:rPr>
        <w:t>social justice.</w:t>
      </w:r>
      <w:r>
        <w:rPr>
          <w:spacing w:val="-18"/>
          <w:sz w:val="26"/>
        </w:rPr>
        <w:t xml:space="preserve"> </w:t>
      </w:r>
      <w:r>
        <w:rPr>
          <w:sz w:val="26"/>
        </w:rPr>
        <w:t>Locating</w:t>
      </w:r>
      <w:r>
        <w:rPr>
          <w:spacing w:val="-17"/>
          <w:sz w:val="26"/>
        </w:rPr>
        <w:t xml:space="preserve"> </w:t>
      </w:r>
      <w:r>
        <w:rPr>
          <w:sz w:val="26"/>
        </w:rPr>
        <w:t>the</w:t>
      </w:r>
      <w:r>
        <w:rPr>
          <w:spacing w:val="-16"/>
          <w:sz w:val="26"/>
        </w:rPr>
        <w:t xml:space="preserve"> </w:t>
      </w:r>
      <w:r>
        <w:rPr>
          <w:sz w:val="26"/>
        </w:rPr>
        <w:t>basis</w:t>
      </w:r>
      <w:r>
        <w:rPr>
          <w:spacing w:val="-18"/>
          <w:sz w:val="26"/>
        </w:rPr>
        <w:t xml:space="preserve"> </w:t>
      </w:r>
      <w:r>
        <w:rPr>
          <w:sz w:val="26"/>
        </w:rPr>
        <w:t>of</w:t>
      </w:r>
      <w:r>
        <w:rPr>
          <w:spacing w:val="-16"/>
          <w:sz w:val="26"/>
        </w:rPr>
        <w:t xml:space="preserve"> </w:t>
      </w:r>
      <w:r>
        <w:rPr>
          <w:sz w:val="26"/>
        </w:rPr>
        <w:t>Article</w:t>
      </w:r>
      <w:r>
        <w:rPr>
          <w:spacing w:val="-16"/>
          <w:sz w:val="26"/>
        </w:rPr>
        <w:t xml:space="preserve"> </w:t>
      </w:r>
      <w:r>
        <w:rPr>
          <w:sz w:val="26"/>
        </w:rPr>
        <w:t>17</w:t>
      </w:r>
      <w:r>
        <w:rPr>
          <w:spacing w:val="-16"/>
          <w:sz w:val="26"/>
        </w:rPr>
        <w:t xml:space="preserve"> </w:t>
      </w:r>
      <w:r>
        <w:rPr>
          <w:sz w:val="26"/>
        </w:rPr>
        <w:t>in</w:t>
      </w:r>
      <w:r>
        <w:rPr>
          <w:spacing w:val="-17"/>
          <w:sz w:val="26"/>
        </w:rPr>
        <w:t xml:space="preserve"> </w:t>
      </w:r>
      <w:r>
        <w:rPr>
          <w:sz w:val="26"/>
        </w:rPr>
        <w:t>the</w:t>
      </w:r>
      <w:r>
        <w:rPr>
          <w:spacing w:val="-16"/>
          <w:sz w:val="26"/>
        </w:rPr>
        <w:t xml:space="preserve"> </w:t>
      </w:r>
      <w:r>
        <w:rPr>
          <w:sz w:val="26"/>
        </w:rPr>
        <w:t>protection</w:t>
      </w:r>
      <w:r>
        <w:rPr>
          <w:spacing w:val="-16"/>
          <w:sz w:val="26"/>
        </w:rPr>
        <w:t xml:space="preserve"> </w:t>
      </w:r>
      <w:r>
        <w:rPr>
          <w:sz w:val="26"/>
        </w:rPr>
        <w:t>of</w:t>
      </w:r>
      <w:r>
        <w:rPr>
          <w:spacing w:val="-16"/>
          <w:sz w:val="26"/>
        </w:rPr>
        <w:t xml:space="preserve"> </w:t>
      </w:r>
      <w:r>
        <w:rPr>
          <w:sz w:val="26"/>
        </w:rPr>
        <w:t>dignity</w:t>
      </w:r>
      <w:r>
        <w:rPr>
          <w:spacing w:val="-19"/>
          <w:sz w:val="26"/>
        </w:rPr>
        <w:t xml:space="preserve"> </w:t>
      </w:r>
      <w:r>
        <w:rPr>
          <w:sz w:val="26"/>
        </w:rPr>
        <w:t>and</w:t>
      </w:r>
      <w:r>
        <w:rPr>
          <w:spacing w:val="-16"/>
          <w:sz w:val="26"/>
        </w:rPr>
        <w:t xml:space="preserve"> </w:t>
      </w:r>
      <w:r>
        <w:rPr>
          <w:sz w:val="26"/>
        </w:rPr>
        <w:t>preventing stigmatization and social exclusion, would perhaps be the apt answer to Professor</w:t>
      </w:r>
      <w:r>
        <w:rPr>
          <w:spacing w:val="-8"/>
          <w:sz w:val="26"/>
        </w:rPr>
        <w:t xml:space="preserve"> </w:t>
      </w:r>
      <w:r>
        <w:rPr>
          <w:sz w:val="26"/>
        </w:rPr>
        <w:t>KT</w:t>
      </w:r>
      <w:r>
        <w:rPr>
          <w:spacing w:val="-7"/>
          <w:sz w:val="26"/>
        </w:rPr>
        <w:t xml:space="preserve"> </w:t>
      </w:r>
      <w:r>
        <w:rPr>
          <w:sz w:val="26"/>
        </w:rPr>
        <w:t>Shah’s</w:t>
      </w:r>
      <w:r>
        <w:rPr>
          <w:spacing w:val="-4"/>
          <w:sz w:val="26"/>
        </w:rPr>
        <w:t xml:space="preserve"> </w:t>
      </w:r>
      <w:r>
        <w:rPr>
          <w:sz w:val="26"/>
        </w:rPr>
        <w:t>unanswered</w:t>
      </w:r>
      <w:r>
        <w:rPr>
          <w:spacing w:val="-6"/>
          <w:sz w:val="26"/>
        </w:rPr>
        <w:t xml:space="preserve"> </w:t>
      </w:r>
      <w:r>
        <w:rPr>
          <w:sz w:val="26"/>
        </w:rPr>
        <w:t>queries.</w:t>
      </w:r>
      <w:r>
        <w:rPr>
          <w:spacing w:val="-6"/>
          <w:sz w:val="26"/>
        </w:rPr>
        <w:t xml:space="preserve"> </w:t>
      </w:r>
      <w:r>
        <w:rPr>
          <w:sz w:val="26"/>
        </w:rPr>
        <w:t>The</w:t>
      </w:r>
      <w:r>
        <w:rPr>
          <w:spacing w:val="-8"/>
          <w:sz w:val="26"/>
        </w:rPr>
        <w:t xml:space="preserve"> </w:t>
      </w:r>
      <w:r>
        <w:rPr>
          <w:sz w:val="26"/>
        </w:rPr>
        <w:t>Constitution</w:t>
      </w:r>
      <w:r>
        <w:rPr>
          <w:spacing w:val="-6"/>
          <w:sz w:val="26"/>
        </w:rPr>
        <w:t xml:space="preserve"> </w:t>
      </w:r>
      <w:r>
        <w:rPr>
          <w:sz w:val="26"/>
        </w:rPr>
        <w:t>has</w:t>
      </w:r>
      <w:r>
        <w:rPr>
          <w:spacing w:val="-6"/>
          <w:sz w:val="26"/>
        </w:rPr>
        <w:t xml:space="preserve"> </w:t>
      </w:r>
      <w:r>
        <w:rPr>
          <w:sz w:val="26"/>
        </w:rPr>
        <w:t>designedly</w:t>
      </w:r>
      <w:r>
        <w:rPr>
          <w:spacing w:val="-8"/>
          <w:sz w:val="26"/>
        </w:rPr>
        <w:t xml:space="preserve"> </w:t>
      </w:r>
      <w:r>
        <w:rPr>
          <w:sz w:val="26"/>
        </w:rPr>
        <w:t>left untouchability undefined. Any form of stigmatization which leads to social exclusion is violative of human dignity and would constitute a form of “untouchability”.</w:t>
      </w:r>
      <w:r>
        <w:rPr>
          <w:spacing w:val="-6"/>
          <w:sz w:val="26"/>
        </w:rPr>
        <w:t xml:space="preserve"> </w:t>
      </w:r>
      <w:r>
        <w:rPr>
          <w:sz w:val="26"/>
        </w:rPr>
        <w:t>The</w:t>
      </w:r>
      <w:r>
        <w:rPr>
          <w:spacing w:val="-7"/>
          <w:sz w:val="26"/>
        </w:rPr>
        <w:t xml:space="preserve"> </w:t>
      </w:r>
      <w:r>
        <w:rPr>
          <w:sz w:val="26"/>
        </w:rPr>
        <w:t>Drafting</w:t>
      </w:r>
      <w:r>
        <w:rPr>
          <w:spacing w:val="-6"/>
          <w:sz w:val="26"/>
        </w:rPr>
        <w:t xml:space="preserve"> </w:t>
      </w:r>
      <w:r>
        <w:rPr>
          <w:sz w:val="26"/>
        </w:rPr>
        <w:t>Committee</w:t>
      </w:r>
      <w:r>
        <w:rPr>
          <w:spacing w:val="-6"/>
          <w:sz w:val="26"/>
        </w:rPr>
        <w:t xml:space="preserve"> </w:t>
      </w:r>
      <w:r>
        <w:rPr>
          <w:sz w:val="26"/>
        </w:rPr>
        <w:t>did</w:t>
      </w:r>
      <w:r>
        <w:rPr>
          <w:spacing w:val="-6"/>
          <w:sz w:val="26"/>
        </w:rPr>
        <w:t xml:space="preserve"> </w:t>
      </w:r>
      <w:r>
        <w:rPr>
          <w:sz w:val="26"/>
        </w:rPr>
        <w:t>not</w:t>
      </w:r>
      <w:r>
        <w:rPr>
          <w:spacing w:val="-6"/>
          <w:sz w:val="26"/>
        </w:rPr>
        <w:t xml:space="preserve"> </w:t>
      </w:r>
      <w:r>
        <w:rPr>
          <w:sz w:val="26"/>
        </w:rPr>
        <w:t>restrict</w:t>
      </w:r>
      <w:r>
        <w:rPr>
          <w:spacing w:val="-6"/>
          <w:sz w:val="26"/>
        </w:rPr>
        <w:t xml:space="preserve"> </w:t>
      </w:r>
      <w:r>
        <w:rPr>
          <w:sz w:val="26"/>
        </w:rPr>
        <w:t>the</w:t>
      </w:r>
      <w:r>
        <w:rPr>
          <w:spacing w:val="-7"/>
          <w:sz w:val="26"/>
        </w:rPr>
        <w:t xml:space="preserve"> </w:t>
      </w:r>
      <w:r>
        <w:rPr>
          <w:sz w:val="26"/>
        </w:rPr>
        <w:t>scope</w:t>
      </w:r>
      <w:r>
        <w:rPr>
          <w:spacing w:val="-6"/>
          <w:sz w:val="26"/>
        </w:rPr>
        <w:t xml:space="preserve"> </w:t>
      </w:r>
      <w:r>
        <w:rPr>
          <w:sz w:val="26"/>
        </w:rPr>
        <w:t>of</w:t>
      </w:r>
      <w:r>
        <w:rPr>
          <w:spacing w:val="-6"/>
          <w:sz w:val="26"/>
        </w:rPr>
        <w:t xml:space="preserve"> </w:t>
      </w:r>
      <w:r>
        <w:rPr>
          <w:sz w:val="26"/>
        </w:rPr>
        <w:t>Article</w:t>
      </w:r>
      <w:r>
        <w:rPr>
          <w:spacing w:val="-6"/>
          <w:sz w:val="26"/>
        </w:rPr>
        <w:t xml:space="preserve"> </w:t>
      </w:r>
      <w:r>
        <w:rPr>
          <w:sz w:val="26"/>
        </w:rPr>
        <w:t>17. The prohibition of “un</w:t>
      </w:r>
      <w:r>
        <w:rPr>
          <w:sz w:val="26"/>
        </w:rPr>
        <w:t>touchability”, as part of the process of protecting dignity and preventing stigmatization and exclusion, is the broader notion, which this Court seeks to adopt, as underlying the framework of these</w:t>
      </w:r>
      <w:r>
        <w:rPr>
          <w:spacing w:val="-12"/>
          <w:sz w:val="26"/>
        </w:rPr>
        <w:t xml:space="preserve"> </w:t>
      </w:r>
      <w:r>
        <w:rPr>
          <w:sz w:val="26"/>
        </w:rPr>
        <w:t>articles.</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before="1" w:line="477" w:lineRule="auto"/>
        <w:ind w:right="435" w:firstLine="0"/>
        <w:jc w:val="both"/>
        <w:rPr>
          <w:sz w:val="26"/>
        </w:rPr>
      </w:pPr>
      <w:r>
        <w:rPr>
          <w:sz w:val="26"/>
        </w:rPr>
        <w:t>The practice of “untouchability”, as pointed out by the members of the Constituent Assembly, is a symptom of the caste system. The root cause of “untouchability”</w:t>
      </w:r>
      <w:r>
        <w:rPr>
          <w:spacing w:val="50"/>
          <w:sz w:val="26"/>
        </w:rPr>
        <w:t xml:space="preserve"> </w:t>
      </w:r>
      <w:r>
        <w:rPr>
          <w:sz w:val="26"/>
        </w:rPr>
        <w:t>is</w:t>
      </w:r>
      <w:r>
        <w:rPr>
          <w:spacing w:val="49"/>
          <w:sz w:val="26"/>
        </w:rPr>
        <w:t xml:space="preserve"> </w:t>
      </w:r>
      <w:r>
        <w:rPr>
          <w:sz w:val="26"/>
        </w:rPr>
        <w:t>the</w:t>
      </w:r>
      <w:r>
        <w:rPr>
          <w:spacing w:val="49"/>
          <w:sz w:val="26"/>
        </w:rPr>
        <w:t xml:space="preserve"> </w:t>
      </w:r>
      <w:r>
        <w:rPr>
          <w:sz w:val="26"/>
        </w:rPr>
        <w:t>caste</w:t>
      </w:r>
      <w:r>
        <w:rPr>
          <w:spacing w:val="49"/>
          <w:sz w:val="26"/>
        </w:rPr>
        <w:t xml:space="preserve"> </w:t>
      </w:r>
      <w:r>
        <w:rPr>
          <w:sz w:val="26"/>
        </w:rPr>
        <w:t>system.</w:t>
      </w:r>
      <w:r>
        <w:rPr>
          <w:position w:val="9"/>
          <w:sz w:val="17"/>
        </w:rPr>
        <w:t>95</w:t>
      </w:r>
      <w:r>
        <w:rPr>
          <w:spacing w:val="5"/>
          <w:position w:val="9"/>
          <w:sz w:val="17"/>
        </w:rPr>
        <w:t xml:space="preserve"> </w:t>
      </w:r>
      <w:r>
        <w:rPr>
          <w:sz w:val="26"/>
        </w:rPr>
        <w:t>The</w:t>
      </w:r>
      <w:r>
        <w:rPr>
          <w:spacing w:val="49"/>
          <w:sz w:val="26"/>
        </w:rPr>
        <w:t xml:space="preserve"> </w:t>
      </w:r>
      <w:r>
        <w:rPr>
          <w:sz w:val="26"/>
        </w:rPr>
        <w:t>caste</w:t>
      </w:r>
      <w:r>
        <w:rPr>
          <w:spacing w:val="50"/>
          <w:sz w:val="26"/>
        </w:rPr>
        <w:t xml:space="preserve"> </w:t>
      </w:r>
      <w:r>
        <w:rPr>
          <w:sz w:val="26"/>
        </w:rPr>
        <w:t>system</w:t>
      </w:r>
      <w:r>
        <w:rPr>
          <w:spacing w:val="51"/>
          <w:sz w:val="26"/>
        </w:rPr>
        <w:t xml:space="preserve"> </w:t>
      </w:r>
      <w:r>
        <w:rPr>
          <w:sz w:val="26"/>
        </w:rPr>
        <w:t>represents</w:t>
      </w:r>
      <w:r>
        <w:rPr>
          <w:spacing w:val="49"/>
          <w:sz w:val="26"/>
        </w:rPr>
        <w:t xml:space="preserve"> </w:t>
      </w:r>
      <w:r>
        <w:rPr>
          <w:sz w:val="26"/>
        </w:rPr>
        <w:t>a</w:t>
      </w:r>
    </w:p>
    <w:p w:rsidR="003B2FC0" w:rsidRDefault="003B2FC0">
      <w:pPr>
        <w:spacing w:before="10"/>
        <w:rPr>
          <w:sz w:val="16"/>
        </w:rPr>
      </w:pPr>
      <w:r w:rsidRPr="003B2FC0">
        <w:pict>
          <v:line id="_x0000_s1096" style="position:absolute;z-index:251619840;mso-wrap-distance-left:0;mso-wrap-distance-right:0;mso-position-horizontal-relative:page" from="1in,12.05pt" to="216.05pt,12.05pt" strokeweight=".72pt">
            <w10:wrap type="topAndBottom" anchorx="page"/>
          </v:line>
        </w:pict>
      </w:r>
    </w:p>
    <w:p w:rsidR="003B2FC0" w:rsidRDefault="00052A49">
      <w:pPr>
        <w:spacing w:before="66"/>
        <w:ind w:left="580" w:right="429" w:hanging="180"/>
        <w:jc w:val="both"/>
        <w:rPr>
          <w:sz w:val="18"/>
        </w:rPr>
      </w:pPr>
      <w:r>
        <w:rPr>
          <w:position w:val="6"/>
          <w:sz w:val="12"/>
        </w:rPr>
        <w:t>95</w:t>
      </w:r>
      <w:r>
        <w:rPr>
          <w:spacing w:val="7"/>
          <w:position w:val="6"/>
          <w:sz w:val="12"/>
        </w:rPr>
        <w:t xml:space="preserve"> </w:t>
      </w:r>
      <w:r>
        <w:rPr>
          <w:sz w:val="18"/>
        </w:rPr>
        <w:t>In</w:t>
      </w:r>
      <w:r>
        <w:rPr>
          <w:spacing w:val="-8"/>
          <w:sz w:val="18"/>
        </w:rPr>
        <w:t xml:space="preserve"> </w:t>
      </w:r>
      <w:r>
        <w:rPr>
          <w:sz w:val="18"/>
        </w:rPr>
        <w:t>his</w:t>
      </w:r>
      <w:r>
        <w:rPr>
          <w:spacing w:val="-8"/>
          <w:sz w:val="18"/>
        </w:rPr>
        <w:t xml:space="preserve"> </w:t>
      </w:r>
      <w:r>
        <w:rPr>
          <w:sz w:val="18"/>
        </w:rPr>
        <w:t>paper</w:t>
      </w:r>
      <w:r>
        <w:rPr>
          <w:spacing w:val="-9"/>
          <w:sz w:val="18"/>
        </w:rPr>
        <w:t xml:space="preserve"> </w:t>
      </w:r>
      <w:r>
        <w:rPr>
          <w:sz w:val="18"/>
        </w:rPr>
        <w:t>on</w:t>
      </w:r>
      <w:r>
        <w:rPr>
          <w:spacing w:val="-10"/>
          <w:sz w:val="18"/>
        </w:rPr>
        <w:t xml:space="preserve"> </w:t>
      </w:r>
      <w:r>
        <w:rPr>
          <w:sz w:val="18"/>
        </w:rPr>
        <w:t>“Castes</w:t>
      </w:r>
      <w:r>
        <w:rPr>
          <w:spacing w:val="-11"/>
          <w:sz w:val="18"/>
        </w:rPr>
        <w:t xml:space="preserve"> </w:t>
      </w:r>
      <w:r>
        <w:rPr>
          <w:sz w:val="18"/>
        </w:rPr>
        <w:t>in</w:t>
      </w:r>
      <w:r>
        <w:rPr>
          <w:spacing w:val="-9"/>
          <w:sz w:val="18"/>
        </w:rPr>
        <w:t xml:space="preserve"> </w:t>
      </w:r>
      <w:r>
        <w:rPr>
          <w:sz w:val="18"/>
        </w:rPr>
        <w:t>India:</w:t>
      </w:r>
      <w:r>
        <w:rPr>
          <w:spacing w:val="-9"/>
          <w:sz w:val="18"/>
        </w:rPr>
        <w:t xml:space="preserve"> </w:t>
      </w:r>
      <w:r>
        <w:rPr>
          <w:sz w:val="18"/>
        </w:rPr>
        <w:t>Their</w:t>
      </w:r>
      <w:r>
        <w:rPr>
          <w:spacing w:val="-9"/>
          <w:sz w:val="18"/>
        </w:rPr>
        <w:t xml:space="preserve"> </w:t>
      </w:r>
      <w:r>
        <w:rPr>
          <w:sz w:val="18"/>
        </w:rPr>
        <w:t>Mechanism,</w:t>
      </w:r>
      <w:r>
        <w:rPr>
          <w:spacing w:val="-9"/>
          <w:sz w:val="18"/>
        </w:rPr>
        <w:t xml:space="preserve"> </w:t>
      </w:r>
      <w:r>
        <w:rPr>
          <w:sz w:val="18"/>
        </w:rPr>
        <w:t>Genesis</w:t>
      </w:r>
      <w:r>
        <w:rPr>
          <w:spacing w:val="-12"/>
          <w:sz w:val="18"/>
        </w:rPr>
        <w:t xml:space="preserve"> </w:t>
      </w:r>
      <w:r>
        <w:rPr>
          <w:sz w:val="18"/>
        </w:rPr>
        <w:t>and</w:t>
      </w:r>
      <w:r>
        <w:rPr>
          <w:spacing w:val="-9"/>
          <w:sz w:val="18"/>
        </w:rPr>
        <w:t xml:space="preserve"> </w:t>
      </w:r>
      <w:r>
        <w:rPr>
          <w:sz w:val="18"/>
        </w:rPr>
        <w:t>Development”</w:t>
      </w:r>
      <w:r>
        <w:rPr>
          <w:spacing w:val="-9"/>
          <w:sz w:val="18"/>
        </w:rPr>
        <w:t xml:space="preserve"> </w:t>
      </w:r>
      <w:r>
        <w:rPr>
          <w:sz w:val="18"/>
        </w:rPr>
        <w:t>(1916)</w:t>
      </w:r>
      <w:r>
        <w:rPr>
          <w:spacing w:val="-12"/>
          <w:sz w:val="18"/>
        </w:rPr>
        <w:t xml:space="preserve"> </w:t>
      </w:r>
      <w:r>
        <w:rPr>
          <w:sz w:val="18"/>
        </w:rPr>
        <w:t>presented</w:t>
      </w:r>
      <w:r>
        <w:rPr>
          <w:spacing w:val="-11"/>
          <w:sz w:val="18"/>
        </w:rPr>
        <w:t xml:space="preserve"> </w:t>
      </w:r>
      <w:r>
        <w:rPr>
          <w:sz w:val="18"/>
        </w:rPr>
        <w:t>at</w:t>
      </w:r>
      <w:r>
        <w:rPr>
          <w:spacing w:val="-9"/>
          <w:sz w:val="18"/>
        </w:rPr>
        <w:t xml:space="preserve"> </w:t>
      </w:r>
      <w:r>
        <w:rPr>
          <w:sz w:val="18"/>
        </w:rPr>
        <w:t>the</w:t>
      </w:r>
      <w:r>
        <w:rPr>
          <w:spacing w:val="-10"/>
          <w:sz w:val="18"/>
        </w:rPr>
        <w:t xml:space="preserve"> </w:t>
      </w:r>
      <w:r>
        <w:rPr>
          <w:sz w:val="18"/>
        </w:rPr>
        <w:t>Columbia University, Dr Ambedkar wrote: “The caste problem is a vast one, both theoretically and practically. Practically, it is an institution that portends tremendous consequences. It is a</w:t>
      </w:r>
      <w:r>
        <w:rPr>
          <w:sz w:val="18"/>
        </w:rPr>
        <w:t xml:space="preserve"> local problem, but one capable of much wider mischief,</w:t>
      </w:r>
      <w:r>
        <w:rPr>
          <w:spacing w:val="-9"/>
          <w:sz w:val="18"/>
        </w:rPr>
        <w:t xml:space="preserve"> </w:t>
      </w:r>
      <w:r>
        <w:rPr>
          <w:sz w:val="18"/>
        </w:rPr>
        <w:t>for</w:t>
      </w:r>
      <w:r>
        <w:rPr>
          <w:spacing w:val="-9"/>
          <w:sz w:val="18"/>
        </w:rPr>
        <w:t xml:space="preserve"> </w:t>
      </w:r>
      <w:r>
        <w:rPr>
          <w:sz w:val="18"/>
        </w:rPr>
        <w:t>as</w:t>
      </w:r>
      <w:r>
        <w:rPr>
          <w:spacing w:val="-7"/>
          <w:sz w:val="18"/>
        </w:rPr>
        <w:t xml:space="preserve"> </w:t>
      </w:r>
      <w:r>
        <w:rPr>
          <w:sz w:val="18"/>
        </w:rPr>
        <w:t>long</w:t>
      </w:r>
      <w:r>
        <w:rPr>
          <w:spacing w:val="-9"/>
          <w:sz w:val="18"/>
        </w:rPr>
        <w:t xml:space="preserve"> </w:t>
      </w:r>
      <w:r>
        <w:rPr>
          <w:sz w:val="18"/>
        </w:rPr>
        <w:t>as</w:t>
      </w:r>
      <w:r>
        <w:rPr>
          <w:spacing w:val="-8"/>
          <w:sz w:val="18"/>
        </w:rPr>
        <w:t xml:space="preserve"> </w:t>
      </w:r>
      <w:r>
        <w:rPr>
          <w:sz w:val="18"/>
        </w:rPr>
        <w:t>caste</w:t>
      </w:r>
      <w:r>
        <w:rPr>
          <w:spacing w:val="-7"/>
          <w:sz w:val="18"/>
        </w:rPr>
        <w:t xml:space="preserve"> </w:t>
      </w:r>
      <w:r>
        <w:rPr>
          <w:sz w:val="18"/>
        </w:rPr>
        <w:t>in</w:t>
      </w:r>
      <w:r>
        <w:rPr>
          <w:spacing w:val="-6"/>
          <w:sz w:val="18"/>
        </w:rPr>
        <w:t xml:space="preserve"> </w:t>
      </w:r>
      <w:r>
        <w:rPr>
          <w:sz w:val="18"/>
        </w:rPr>
        <w:t>India</w:t>
      </w:r>
      <w:r>
        <w:rPr>
          <w:spacing w:val="-8"/>
          <w:sz w:val="18"/>
        </w:rPr>
        <w:t xml:space="preserve"> </w:t>
      </w:r>
      <w:r>
        <w:rPr>
          <w:sz w:val="18"/>
        </w:rPr>
        <w:t>does</w:t>
      </w:r>
      <w:r>
        <w:rPr>
          <w:spacing w:val="-8"/>
          <w:sz w:val="18"/>
        </w:rPr>
        <w:t xml:space="preserve"> </w:t>
      </w:r>
      <w:r>
        <w:rPr>
          <w:sz w:val="18"/>
        </w:rPr>
        <w:t>exist,</w:t>
      </w:r>
      <w:r>
        <w:rPr>
          <w:spacing w:val="-9"/>
          <w:sz w:val="18"/>
        </w:rPr>
        <w:t xml:space="preserve"> </w:t>
      </w:r>
      <w:r>
        <w:rPr>
          <w:sz w:val="18"/>
        </w:rPr>
        <w:t>Hindus</w:t>
      </w:r>
      <w:r>
        <w:rPr>
          <w:spacing w:val="-7"/>
          <w:sz w:val="18"/>
        </w:rPr>
        <w:t xml:space="preserve"> </w:t>
      </w:r>
      <w:r>
        <w:rPr>
          <w:sz w:val="18"/>
        </w:rPr>
        <w:t>will</w:t>
      </w:r>
      <w:r>
        <w:rPr>
          <w:spacing w:val="-9"/>
          <w:sz w:val="18"/>
        </w:rPr>
        <w:t xml:space="preserve"> </w:t>
      </w:r>
      <w:r>
        <w:rPr>
          <w:sz w:val="18"/>
        </w:rPr>
        <w:t>hardly</w:t>
      </w:r>
      <w:r>
        <w:rPr>
          <w:spacing w:val="-10"/>
          <w:sz w:val="18"/>
        </w:rPr>
        <w:t xml:space="preserve"> </w:t>
      </w:r>
      <w:r>
        <w:rPr>
          <w:sz w:val="18"/>
        </w:rPr>
        <w:t>intermarry</w:t>
      </w:r>
      <w:r>
        <w:rPr>
          <w:spacing w:val="-10"/>
          <w:sz w:val="18"/>
        </w:rPr>
        <w:t xml:space="preserve"> </w:t>
      </w:r>
      <w:r>
        <w:rPr>
          <w:spacing w:val="3"/>
          <w:sz w:val="18"/>
        </w:rPr>
        <w:t>or</w:t>
      </w:r>
      <w:r>
        <w:rPr>
          <w:spacing w:val="-9"/>
          <w:sz w:val="18"/>
        </w:rPr>
        <w:t xml:space="preserve"> </w:t>
      </w:r>
      <w:r>
        <w:rPr>
          <w:sz w:val="18"/>
        </w:rPr>
        <w:t>have</w:t>
      </w:r>
      <w:r>
        <w:rPr>
          <w:spacing w:val="-8"/>
          <w:sz w:val="18"/>
        </w:rPr>
        <w:t xml:space="preserve"> </w:t>
      </w:r>
      <w:r>
        <w:rPr>
          <w:sz w:val="18"/>
        </w:rPr>
        <w:t>any</w:t>
      </w:r>
      <w:r>
        <w:rPr>
          <w:spacing w:val="-11"/>
          <w:sz w:val="18"/>
        </w:rPr>
        <w:t xml:space="preserve"> </w:t>
      </w:r>
      <w:r>
        <w:rPr>
          <w:sz w:val="18"/>
        </w:rPr>
        <w:t>social</w:t>
      </w:r>
      <w:r>
        <w:rPr>
          <w:spacing w:val="-8"/>
          <w:sz w:val="18"/>
        </w:rPr>
        <w:t xml:space="preserve"> </w:t>
      </w:r>
      <w:r>
        <w:rPr>
          <w:sz w:val="18"/>
        </w:rPr>
        <w:t>intercourse</w:t>
      </w:r>
      <w:r>
        <w:rPr>
          <w:spacing w:val="-9"/>
          <w:sz w:val="18"/>
        </w:rPr>
        <w:t xml:space="preserve"> </w:t>
      </w:r>
      <w:r>
        <w:rPr>
          <w:sz w:val="18"/>
        </w:rPr>
        <w:t>with outsiders;</w:t>
      </w:r>
      <w:r>
        <w:rPr>
          <w:spacing w:val="-7"/>
          <w:sz w:val="18"/>
        </w:rPr>
        <w:t xml:space="preserve"> </w:t>
      </w:r>
      <w:r>
        <w:rPr>
          <w:sz w:val="18"/>
        </w:rPr>
        <w:t>and</w:t>
      </w:r>
      <w:r>
        <w:rPr>
          <w:spacing w:val="-6"/>
          <w:sz w:val="18"/>
        </w:rPr>
        <w:t xml:space="preserve"> </w:t>
      </w:r>
      <w:r>
        <w:rPr>
          <w:sz w:val="18"/>
        </w:rPr>
        <w:t>if</w:t>
      </w:r>
      <w:r>
        <w:rPr>
          <w:spacing w:val="-4"/>
          <w:sz w:val="18"/>
        </w:rPr>
        <w:t xml:space="preserve"> </w:t>
      </w:r>
      <w:r>
        <w:rPr>
          <w:sz w:val="18"/>
        </w:rPr>
        <w:t>Hindus</w:t>
      </w:r>
      <w:r>
        <w:rPr>
          <w:spacing w:val="-6"/>
          <w:sz w:val="18"/>
        </w:rPr>
        <w:t xml:space="preserve"> </w:t>
      </w:r>
      <w:r>
        <w:rPr>
          <w:sz w:val="18"/>
        </w:rPr>
        <w:t>migrate</w:t>
      </w:r>
      <w:r>
        <w:rPr>
          <w:spacing w:val="-3"/>
          <w:sz w:val="18"/>
        </w:rPr>
        <w:t xml:space="preserve"> </w:t>
      </w:r>
      <w:r>
        <w:rPr>
          <w:sz w:val="18"/>
        </w:rPr>
        <w:t>to</w:t>
      </w:r>
      <w:r>
        <w:rPr>
          <w:spacing w:val="-6"/>
          <w:sz w:val="18"/>
        </w:rPr>
        <w:t xml:space="preserve"> </w:t>
      </w:r>
      <w:r>
        <w:rPr>
          <w:sz w:val="18"/>
        </w:rPr>
        <w:t>other</w:t>
      </w:r>
      <w:r>
        <w:rPr>
          <w:spacing w:val="-4"/>
          <w:sz w:val="18"/>
        </w:rPr>
        <w:t xml:space="preserve"> </w:t>
      </w:r>
      <w:r>
        <w:rPr>
          <w:sz w:val="18"/>
        </w:rPr>
        <w:t>regions</w:t>
      </w:r>
      <w:r>
        <w:rPr>
          <w:spacing w:val="-6"/>
          <w:sz w:val="18"/>
        </w:rPr>
        <w:t xml:space="preserve"> </w:t>
      </w:r>
      <w:r>
        <w:rPr>
          <w:sz w:val="18"/>
        </w:rPr>
        <w:t>on</w:t>
      </w:r>
      <w:r>
        <w:rPr>
          <w:spacing w:val="-6"/>
          <w:sz w:val="18"/>
        </w:rPr>
        <w:t xml:space="preserve"> </w:t>
      </w:r>
      <w:r>
        <w:rPr>
          <w:sz w:val="18"/>
        </w:rPr>
        <w:t>earth,</w:t>
      </w:r>
      <w:r>
        <w:rPr>
          <w:spacing w:val="-3"/>
          <w:sz w:val="18"/>
        </w:rPr>
        <w:t xml:space="preserve"> </w:t>
      </w:r>
      <w:r>
        <w:rPr>
          <w:sz w:val="18"/>
        </w:rPr>
        <w:t>Indian</w:t>
      </w:r>
      <w:r>
        <w:rPr>
          <w:spacing w:val="-6"/>
          <w:sz w:val="18"/>
        </w:rPr>
        <w:t xml:space="preserve"> </w:t>
      </w:r>
      <w:r>
        <w:rPr>
          <w:sz w:val="18"/>
        </w:rPr>
        <w:t>caste</w:t>
      </w:r>
      <w:r>
        <w:rPr>
          <w:spacing w:val="-4"/>
          <w:sz w:val="18"/>
        </w:rPr>
        <w:t xml:space="preserve"> </w:t>
      </w:r>
      <w:r>
        <w:rPr>
          <w:sz w:val="18"/>
        </w:rPr>
        <w:t>would</w:t>
      </w:r>
      <w:r>
        <w:rPr>
          <w:spacing w:val="-4"/>
          <w:sz w:val="18"/>
        </w:rPr>
        <w:t xml:space="preserve"> </w:t>
      </w:r>
      <w:r>
        <w:rPr>
          <w:sz w:val="18"/>
        </w:rPr>
        <w:t>become</w:t>
      </w:r>
      <w:r>
        <w:rPr>
          <w:spacing w:val="-6"/>
          <w:sz w:val="18"/>
        </w:rPr>
        <w:t xml:space="preserve"> </w:t>
      </w:r>
      <w:r>
        <w:rPr>
          <w:sz w:val="18"/>
        </w:rPr>
        <w:t>a</w:t>
      </w:r>
      <w:r>
        <w:rPr>
          <w:spacing w:val="-4"/>
          <w:sz w:val="18"/>
        </w:rPr>
        <w:t xml:space="preserve"> </w:t>
      </w:r>
      <w:r>
        <w:rPr>
          <w:sz w:val="18"/>
        </w:rPr>
        <w:t>world</w:t>
      </w:r>
      <w:r>
        <w:rPr>
          <w:spacing w:val="-3"/>
          <w:sz w:val="18"/>
        </w:rPr>
        <w:t xml:space="preserve"> </w:t>
      </w:r>
      <w:r>
        <w:rPr>
          <w:sz w:val="18"/>
        </w:rPr>
        <w:t>problem”.</w:t>
      </w:r>
      <w:r>
        <w:rPr>
          <w:spacing w:val="-4"/>
          <w:sz w:val="18"/>
        </w:rPr>
        <w:t xml:space="preserve"> </w:t>
      </w:r>
      <w:r>
        <w:rPr>
          <w:sz w:val="18"/>
        </w:rPr>
        <w:t>See</w:t>
      </w:r>
      <w:r>
        <w:rPr>
          <w:spacing w:val="-4"/>
          <w:sz w:val="18"/>
        </w:rPr>
        <w:t xml:space="preserve"> </w:t>
      </w:r>
      <w:r>
        <w:rPr>
          <w:sz w:val="18"/>
        </w:rPr>
        <w:t>Dr. Babasaheb Ambedkar: Writings and Speeches, (Vasant Moon ed.) Government of Maharashtra, Vol. 1 (2014), at pages</w:t>
      </w:r>
      <w:r>
        <w:rPr>
          <w:spacing w:val="-2"/>
          <w:sz w:val="18"/>
        </w:rPr>
        <w:t xml:space="preserve"> </w:t>
      </w:r>
      <w:r>
        <w:rPr>
          <w:sz w:val="18"/>
        </w:rPr>
        <w:t>5-6</w:t>
      </w:r>
    </w:p>
    <w:p w:rsidR="003B2FC0" w:rsidRDefault="003B2FC0">
      <w:pPr>
        <w:jc w:val="both"/>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1"/>
        <w:jc w:val="both"/>
        <w:rPr>
          <w:sz w:val="26"/>
        </w:rPr>
      </w:pPr>
      <w:r>
        <w:rPr>
          <w:sz w:val="26"/>
        </w:rPr>
        <w:t>hierarchical order of purity and pollution enforced by social compulsion. Purity and pollution co</w:t>
      </w:r>
      <w:r>
        <w:rPr>
          <w:sz w:val="26"/>
        </w:rPr>
        <w:t>nstitute the core of caste. While the top of the caste pyramid is considered</w:t>
      </w:r>
      <w:r>
        <w:rPr>
          <w:spacing w:val="-10"/>
          <w:sz w:val="26"/>
        </w:rPr>
        <w:t xml:space="preserve"> </w:t>
      </w:r>
      <w:r>
        <w:rPr>
          <w:sz w:val="26"/>
        </w:rPr>
        <w:t>pure</w:t>
      </w:r>
      <w:r>
        <w:rPr>
          <w:spacing w:val="-9"/>
          <w:sz w:val="26"/>
        </w:rPr>
        <w:t xml:space="preserve"> </w:t>
      </w:r>
      <w:r>
        <w:rPr>
          <w:sz w:val="26"/>
        </w:rPr>
        <w:t>and</w:t>
      </w:r>
      <w:r>
        <w:rPr>
          <w:spacing w:val="-9"/>
          <w:sz w:val="26"/>
        </w:rPr>
        <w:t xml:space="preserve"> </w:t>
      </w:r>
      <w:r>
        <w:rPr>
          <w:sz w:val="26"/>
        </w:rPr>
        <w:t>enjoys</w:t>
      </w:r>
      <w:r>
        <w:rPr>
          <w:spacing w:val="-9"/>
          <w:sz w:val="26"/>
        </w:rPr>
        <w:t xml:space="preserve"> </w:t>
      </w:r>
      <w:r>
        <w:rPr>
          <w:sz w:val="26"/>
        </w:rPr>
        <w:t>entitlements,</w:t>
      </w:r>
      <w:r>
        <w:rPr>
          <w:spacing w:val="-9"/>
          <w:sz w:val="26"/>
        </w:rPr>
        <w:t xml:space="preserve"> </w:t>
      </w:r>
      <w:r>
        <w:rPr>
          <w:sz w:val="26"/>
        </w:rPr>
        <w:t>the</w:t>
      </w:r>
      <w:r>
        <w:rPr>
          <w:spacing w:val="-12"/>
          <w:sz w:val="26"/>
        </w:rPr>
        <w:t xml:space="preserve"> </w:t>
      </w:r>
      <w:r>
        <w:rPr>
          <w:sz w:val="26"/>
        </w:rPr>
        <w:t>bottom</w:t>
      </w:r>
      <w:r>
        <w:rPr>
          <w:spacing w:val="-9"/>
          <w:sz w:val="26"/>
        </w:rPr>
        <w:t xml:space="preserve"> </w:t>
      </w:r>
      <w:r>
        <w:rPr>
          <w:sz w:val="26"/>
        </w:rPr>
        <w:t>is</w:t>
      </w:r>
      <w:r>
        <w:rPr>
          <w:spacing w:val="-9"/>
          <w:sz w:val="26"/>
        </w:rPr>
        <w:t xml:space="preserve"> </w:t>
      </w:r>
      <w:r>
        <w:rPr>
          <w:sz w:val="26"/>
        </w:rPr>
        <w:t>considered</w:t>
      </w:r>
      <w:r>
        <w:rPr>
          <w:spacing w:val="-12"/>
          <w:sz w:val="26"/>
        </w:rPr>
        <w:t xml:space="preserve"> </w:t>
      </w:r>
      <w:r>
        <w:rPr>
          <w:sz w:val="26"/>
        </w:rPr>
        <w:t>polluted</w:t>
      </w:r>
      <w:r>
        <w:rPr>
          <w:spacing w:val="-13"/>
          <w:sz w:val="26"/>
        </w:rPr>
        <w:t xml:space="preserve"> </w:t>
      </w:r>
      <w:r>
        <w:rPr>
          <w:sz w:val="26"/>
        </w:rPr>
        <w:t>and has no entitlements. Ideas of “purity and pollution” are used to justify this distinction</w:t>
      </w:r>
      <w:r>
        <w:rPr>
          <w:spacing w:val="-6"/>
          <w:sz w:val="26"/>
        </w:rPr>
        <w:t xml:space="preserve"> </w:t>
      </w:r>
      <w:r>
        <w:rPr>
          <w:sz w:val="26"/>
        </w:rPr>
        <w:t>which</w:t>
      </w:r>
      <w:r>
        <w:rPr>
          <w:spacing w:val="-5"/>
          <w:sz w:val="26"/>
        </w:rPr>
        <w:t xml:space="preserve"> </w:t>
      </w:r>
      <w:r>
        <w:rPr>
          <w:sz w:val="26"/>
        </w:rPr>
        <w:t>is</w:t>
      </w:r>
      <w:r>
        <w:rPr>
          <w:spacing w:val="-5"/>
          <w:sz w:val="26"/>
        </w:rPr>
        <w:t xml:space="preserve"> </w:t>
      </w:r>
      <w:r>
        <w:rPr>
          <w:sz w:val="26"/>
        </w:rPr>
        <w:t>self-perpetuality.</w:t>
      </w:r>
      <w:r>
        <w:rPr>
          <w:spacing w:val="-9"/>
          <w:sz w:val="26"/>
        </w:rPr>
        <w:t xml:space="preserve"> </w:t>
      </w:r>
      <w:r>
        <w:rPr>
          <w:sz w:val="26"/>
        </w:rPr>
        <w:t>The</w:t>
      </w:r>
      <w:r>
        <w:rPr>
          <w:spacing w:val="-5"/>
          <w:sz w:val="26"/>
        </w:rPr>
        <w:t xml:space="preserve"> </w:t>
      </w:r>
      <w:r>
        <w:rPr>
          <w:sz w:val="26"/>
        </w:rPr>
        <w:t>upper</w:t>
      </w:r>
      <w:r>
        <w:rPr>
          <w:spacing w:val="-6"/>
          <w:sz w:val="26"/>
        </w:rPr>
        <w:t xml:space="preserve"> </w:t>
      </w:r>
      <w:r>
        <w:rPr>
          <w:sz w:val="26"/>
        </w:rPr>
        <w:t>castes</w:t>
      </w:r>
      <w:r>
        <w:rPr>
          <w:spacing w:val="-8"/>
          <w:sz w:val="26"/>
        </w:rPr>
        <w:t xml:space="preserve"> </w:t>
      </w:r>
      <w:r>
        <w:rPr>
          <w:sz w:val="26"/>
        </w:rPr>
        <w:t>perform</w:t>
      </w:r>
      <w:r>
        <w:rPr>
          <w:spacing w:val="-7"/>
          <w:sz w:val="26"/>
        </w:rPr>
        <w:t xml:space="preserve"> </w:t>
      </w:r>
      <w:r>
        <w:rPr>
          <w:sz w:val="26"/>
        </w:rPr>
        <w:t>rituals</w:t>
      </w:r>
      <w:r>
        <w:rPr>
          <w:spacing w:val="-6"/>
          <w:sz w:val="26"/>
        </w:rPr>
        <w:t xml:space="preserve"> </w:t>
      </w:r>
      <w:r>
        <w:rPr>
          <w:sz w:val="26"/>
        </w:rPr>
        <w:t>that,</w:t>
      </w:r>
      <w:r>
        <w:rPr>
          <w:spacing w:val="-8"/>
          <w:sz w:val="26"/>
        </w:rPr>
        <w:t xml:space="preserve"> </w:t>
      </w:r>
      <w:r>
        <w:rPr>
          <w:sz w:val="26"/>
        </w:rPr>
        <w:t>they believe, assert and maintain their purity over lower castes. Rules of purity and pollution are used to reinforce caste hierarchies.</w:t>
      </w:r>
      <w:r>
        <w:rPr>
          <w:position w:val="9"/>
          <w:sz w:val="17"/>
        </w:rPr>
        <w:t xml:space="preserve">96 </w:t>
      </w:r>
      <w:r>
        <w:rPr>
          <w:sz w:val="26"/>
        </w:rPr>
        <w:t xml:space="preserve">The notion of “purity and pollution” influences who people </w:t>
      </w:r>
      <w:r>
        <w:rPr>
          <w:sz w:val="26"/>
        </w:rPr>
        <w:t>associate with, and how they treat and are treated by other people. Dr Ambedkar’s rejection of privileges associated with caste, in “Annihilation of Caste”</w:t>
      </w:r>
      <w:r>
        <w:rPr>
          <w:position w:val="9"/>
          <w:sz w:val="17"/>
        </w:rPr>
        <w:t>97</w:t>
      </w:r>
      <w:r>
        <w:rPr>
          <w:sz w:val="26"/>
        </w:rPr>
        <w:t>, is hence a battle for human dignity. Dr Ambedkar perceived the caste system to be violative of in</w:t>
      </w:r>
      <w:r>
        <w:rPr>
          <w:sz w:val="26"/>
        </w:rPr>
        <w:t>dividual dignity.</w:t>
      </w:r>
      <w:r>
        <w:rPr>
          <w:position w:val="9"/>
          <w:sz w:val="17"/>
        </w:rPr>
        <w:t xml:space="preserve">98 </w:t>
      </w:r>
      <w:r>
        <w:rPr>
          <w:sz w:val="26"/>
        </w:rPr>
        <w:t>In his</w:t>
      </w:r>
      <w:r>
        <w:rPr>
          <w:spacing w:val="-7"/>
          <w:sz w:val="26"/>
        </w:rPr>
        <w:t xml:space="preserve"> </w:t>
      </w:r>
      <w:r>
        <w:rPr>
          <w:sz w:val="26"/>
        </w:rPr>
        <w:t>last</w:t>
      </w:r>
      <w:r>
        <w:rPr>
          <w:spacing w:val="-7"/>
          <w:sz w:val="26"/>
        </w:rPr>
        <w:t xml:space="preserve"> </w:t>
      </w:r>
      <w:r>
        <w:rPr>
          <w:sz w:val="26"/>
        </w:rPr>
        <w:t>address</w:t>
      </w:r>
      <w:r>
        <w:rPr>
          <w:spacing w:val="-6"/>
          <w:sz w:val="26"/>
        </w:rPr>
        <w:t xml:space="preserve"> </w:t>
      </w:r>
      <w:r>
        <w:rPr>
          <w:sz w:val="26"/>
        </w:rPr>
        <w:t>to</w:t>
      </w:r>
      <w:r>
        <w:rPr>
          <w:spacing w:val="-7"/>
          <w:sz w:val="26"/>
        </w:rPr>
        <w:t xml:space="preserve"> </w:t>
      </w:r>
      <w:r>
        <w:rPr>
          <w:sz w:val="26"/>
        </w:rPr>
        <w:t>the</w:t>
      </w:r>
      <w:r>
        <w:rPr>
          <w:spacing w:val="-6"/>
          <w:sz w:val="26"/>
        </w:rPr>
        <w:t xml:space="preserve"> </w:t>
      </w:r>
      <w:r>
        <w:rPr>
          <w:sz w:val="26"/>
        </w:rPr>
        <w:t>Constituent</w:t>
      </w:r>
      <w:r>
        <w:rPr>
          <w:spacing w:val="-7"/>
          <w:sz w:val="26"/>
        </w:rPr>
        <w:t xml:space="preserve"> </w:t>
      </w:r>
      <w:r>
        <w:rPr>
          <w:sz w:val="26"/>
        </w:rPr>
        <w:t>Assembly,</w:t>
      </w:r>
      <w:r>
        <w:rPr>
          <w:spacing w:val="-7"/>
          <w:sz w:val="26"/>
        </w:rPr>
        <w:t xml:space="preserve"> </w:t>
      </w:r>
      <w:r>
        <w:rPr>
          <w:sz w:val="26"/>
        </w:rPr>
        <w:t>he</w:t>
      </w:r>
      <w:r>
        <w:rPr>
          <w:spacing w:val="-6"/>
          <w:sz w:val="26"/>
        </w:rPr>
        <w:t xml:space="preserve"> </w:t>
      </w:r>
      <w:r>
        <w:rPr>
          <w:sz w:val="26"/>
        </w:rPr>
        <w:t>stated</w:t>
      </w:r>
      <w:r>
        <w:rPr>
          <w:spacing w:val="-7"/>
          <w:sz w:val="26"/>
        </w:rPr>
        <w:t xml:space="preserve"> </w:t>
      </w:r>
      <w:r>
        <w:rPr>
          <w:sz w:val="26"/>
        </w:rPr>
        <w:t>that</w:t>
      </w:r>
      <w:r>
        <w:rPr>
          <w:spacing w:val="-6"/>
          <w:sz w:val="26"/>
        </w:rPr>
        <w:t xml:space="preserve"> </w:t>
      </w:r>
      <w:r>
        <w:rPr>
          <w:sz w:val="26"/>
        </w:rPr>
        <w:t>the</w:t>
      </w:r>
      <w:r>
        <w:rPr>
          <w:spacing w:val="-7"/>
          <w:sz w:val="26"/>
        </w:rPr>
        <w:t xml:space="preserve"> </w:t>
      </w:r>
      <w:r>
        <w:rPr>
          <w:sz w:val="26"/>
        </w:rPr>
        <w:t>caste</w:t>
      </w:r>
      <w:r>
        <w:rPr>
          <w:spacing w:val="-7"/>
          <w:sz w:val="26"/>
        </w:rPr>
        <w:t xml:space="preserve"> </w:t>
      </w:r>
      <w:r>
        <w:rPr>
          <w:sz w:val="26"/>
        </w:rPr>
        <w:t>system</w:t>
      </w:r>
      <w:r>
        <w:rPr>
          <w:spacing w:val="-6"/>
          <w:sz w:val="26"/>
        </w:rPr>
        <w:t xml:space="preserve"> </w:t>
      </w:r>
      <w:r>
        <w:rPr>
          <w:sz w:val="26"/>
        </w:rPr>
        <w:t>is contrary to the country’s unity and integrity, and described it as bringing “separation in social life”.</w:t>
      </w:r>
      <w:r>
        <w:rPr>
          <w:position w:val="9"/>
          <w:sz w:val="17"/>
        </w:rPr>
        <w:t xml:space="preserve">99 </w:t>
      </w:r>
      <w:r>
        <w:rPr>
          <w:sz w:val="26"/>
        </w:rPr>
        <w:t>Individual dignity cannot be based on the not</w:t>
      </w:r>
      <w:r>
        <w:rPr>
          <w:sz w:val="26"/>
        </w:rPr>
        <w:t>ions of purity and pollution. “Untouchability” against lower castes was based on these notions, and violated their dignity. It is for this reason that Article 17 abolishes “untouchability”, which arises out of caste hierarchies. Article 17 strikes at the f</w:t>
      </w:r>
      <w:r>
        <w:rPr>
          <w:sz w:val="26"/>
        </w:rPr>
        <w:t>oundation of the notions about “purity and</w:t>
      </w:r>
      <w:r>
        <w:rPr>
          <w:spacing w:val="-10"/>
          <w:sz w:val="26"/>
        </w:rPr>
        <w:t xml:space="preserve"> </w:t>
      </w:r>
      <w:r>
        <w:rPr>
          <w:sz w:val="26"/>
        </w:rPr>
        <w:t>pollution”.</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2"/>
        <w:rPr>
          <w:sz w:val="21"/>
        </w:rPr>
      </w:pPr>
    </w:p>
    <w:p w:rsidR="003B2FC0" w:rsidRDefault="00052A49">
      <w:pPr>
        <w:spacing w:before="96"/>
        <w:ind w:left="580" w:hanging="180"/>
        <w:rPr>
          <w:sz w:val="18"/>
        </w:rPr>
      </w:pPr>
      <w:r>
        <w:rPr>
          <w:position w:val="6"/>
          <w:sz w:val="12"/>
        </w:rPr>
        <w:t xml:space="preserve">96 </w:t>
      </w:r>
      <w:r>
        <w:rPr>
          <w:sz w:val="18"/>
        </w:rPr>
        <w:t>Diane Coffey and Dean Spears, Where India Goes: Abandoned Toilets, Stunted Development and the Costs of Caste, Harper Collins (2017), at pages 74-79</w:t>
      </w:r>
    </w:p>
    <w:p w:rsidR="003B2FC0" w:rsidRDefault="00052A49">
      <w:pPr>
        <w:ind w:left="580" w:hanging="180"/>
        <w:rPr>
          <w:sz w:val="18"/>
        </w:rPr>
      </w:pPr>
      <w:r>
        <w:rPr>
          <w:position w:val="6"/>
          <w:sz w:val="12"/>
        </w:rPr>
        <w:t xml:space="preserve">97 </w:t>
      </w:r>
      <w:r>
        <w:rPr>
          <w:sz w:val="18"/>
        </w:rPr>
        <w:t>See Dr. Babasaheb Ambedkar: Writings an</w:t>
      </w:r>
      <w:r>
        <w:rPr>
          <w:sz w:val="18"/>
        </w:rPr>
        <w:t>d Speeches, (Vasant Moon ed.) Government of Maharashtra, Vol. 1 (2014), at pages 23-96</w:t>
      </w:r>
    </w:p>
    <w:p w:rsidR="003B2FC0" w:rsidRDefault="00052A49">
      <w:pPr>
        <w:ind w:left="580" w:right="368" w:hanging="180"/>
        <w:rPr>
          <w:sz w:val="18"/>
        </w:rPr>
      </w:pPr>
      <w:r>
        <w:rPr>
          <w:position w:val="6"/>
          <w:sz w:val="12"/>
        </w:rPr>
        <w:t xml:space="preserve">98 </w:t>
      </w:r>
      <w:r>
        <w:rPr>
          <w:sz w:val="18"/>
        </w:rPr>
        <w:t>See Dr. Babasaheb Ambedkar: Writings and Speeches, (Vasant Moon ed.) Government of Maharashtra, Vol. 12 (2014), at pages 661-691.</w:t>
      </w:r>
    </w:p>
    <w:p w:rsidR="003B2FC0" w:rsidRDefault="00052A49">
      <w:pPr>
        <w:spacing w:line="208" w:lineRule="exact"/>
        <w:ind w:left="400"/>
        <w:rPr>
          <w:sz w:val="18"/>
        </w:rPr>
      </w:pPr>
      <w:r>
        <w:rPr>
          <w:position w:val="6"/>
          <w:sz w:val="12"/>
        </w:rPr>
        <w:t xml:space="preserve">99 </w:t>
      </w:r>
      <w:r>
        <w:rPr>
          <w:sz w:val="18"/>
        </w:rPr>
        <w:t>Constituent Assembly Debates (25 November 1949)</w:t>
      </w:r>
    </w:p>
    <w:p w:rsidR="003B2FC0" w:rsidRDefault="003B2FC0">
      <w:pPr>
        <w:spacing w:line="208" w:lineRule="exact"/>
        <w:rPr>
          <w:sz w:val="18"/>
        </w:rPr>
        <w:sectPr w:rsidR="003B2FC0">
          <w:footerReference w:type="default" r:id="rId376"/>
          <w:pgSz w:w="11910" w:h="16840"/>
          <w:pgMar w:top="1080" w:right="980" w:bottom="1340" w:left="1040" w:header="708" w:footer="1158"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2" w:firstLine="0"/>
        <w:jc w:val="both"/>
        <w:rPr>
          <w:sz w:val="26"/>
        </w:rPr>
      </w:pPr>
      <w:r>
        <w:rPr>
          <w:sz w:val="26"/>
        </w:rPr>
        <w:t>Notions of “purity and pollution”, entrenched in the caste system, still continue to dominate society. Though the Constitution abolished untouchability and other forms of social oppression for the marginalised and for the Dalits,</w:t>
      </w:r>
      <w:r>
        <w:rPr>
          <w:spacing w:val="-51"/>
          <w:sz w:val="26"/>
        </w:rPr>
        <w:t xml:space="preserve"> </w:t>
      </w:r>
      <w:r>
        <w:rPr>
          <w:sz w:val="26"/>
        </w:rPr>
        <w:t>the quest for dignity is y</w:t>
      </w:r>
      <w:r>
        <w:rPr>
          <w:sz w:val="26"/>
        </w:rPr>
        <w:t>et a daily struggle. The conditions that reproduce “untouchability” are still in existence. Though the Constitution guarantees to every human being dignity as inalienable to existence, the indignity and social prejudices which Dalits face continue to haunt</w:t>
      </w:r>
      <w:r>
        <w:rPr>
          <w:sz w:val="26"/>
        </w:rPr>
        <w:t xml:space="preserve"> their lives. Seventy years after independence,</w:t>
      </w:r>
      <w:r>
        <w:rPr>
          <w:spacing w:val="-8"/>
          <w:sz w:val="26"/>
        </w:rPr>
        <w:t xml:space="preserve"> </w:t>
      </w:r>
      <w:r>
        <w:rPr>
          <w:sz w:val="26"/>
        </w:rPr>
        <w:t>a</w:t>
      </w:r>
      <w:r>
        <w:rPr>
          <w:spacing w:val="-4"/>
          <w:sz w:val="26"/>
        </w:rPr>
        <w:t xml:space="preserve"> </w:t>
      </w:r>
      <w:r>
        <w:rPr>
          <w:sz w:val="26"/>
        </w:rPr>
        <w:t>section</w:t>
      </w:r>
      <w:r>
        <w:rPr>
          <w:spacing w:val="-7"/>
          <w:sz w:val="26"/>
        </w:rPr>
        <w:t xml:space="preserve"> </w:t>
      </w:r>
      <w:r>
        <w:rPr>
          <w:sz w:val="26"/>
        </w:rPr>
        <w:t>of</w:t>
      </w:r>
      <w:r>
        <w:rPr>
          <w:spacing w:val="-5"/>
          <w:sz w:val="26"/>
        </w:rPr>
        <w:t xml:space="preserve"> </w:t>
      </w:r>
      <w:r>
        <w:rPr>
          <w:sz w:val="26"/>
        </w:rPr>
        <w:t>Dalits</w:t>
      </w:r>
      <w:r>
        <w:rPr>
          <w:spacing w:val="-4"/>
          <w:sz w:val="26"/>
        </w:rPr>
        <w:t xml:space="preserve"> </w:t>
      </w:r>
      <w:r>
        <w:rPr>
          <w:sz w:val="26"/>
        </w:rPr>
        <w:t>has</w:t>
      </w:r>
      <w:r>
        <w:rPr>
          <w:spacing w:val="-4"/>
          <w:sz w:val="26"/>
        </w:rPr>
        <w:t xml:space="preserve"> </w:t>
      </w:r>
      <w:r>
        <w:rPr>
          <w:sz w:val="26"/>
        </w:rPr>
        <w:t>been</w:t>
      </w:r>
      <w:r>
        <w:rPr>
          <w:spacing w:val="-8"/>
          <w:sz w:val="26"/>
        </w:rPr>
        <w:t xml:space="preserve"> </w:t>
      </w:r>
      <w:r>
        <w:rPr>
          <w:sz w:val="26"/>
        </w:rPr>
        <w:t>forced</w:t>
      </w:r>
      <w:r>
        <w:rPr>
          <w:spacing w:val="-7"/>
          <w:sz w:val="26"/>
        </w:rPr>
        <w:t xml:space="preserve"> </w:t>
      </w:r>
      <w:r>
        <w:rPr>
          <w:sz w:val="26"/>
        </w:rPr>
        <w:t>to</w:t>
      </w:r>
      <w:r>
        <w:rPr>
          <w:spacing w:val="-7"/>
          <w:sz w:val="26"/>
        </w:rPr>
        <w:t xml:space="preserve"> </w:t>
      </w:r>
      <w:r>
        <w:rPr>
          <w:sz w:val="26"/>
        </w:rPr>
        <w:t>continue</w:t>
      </w:r>
      <w:r>
        <w:rPr>
          <w:spacing w:val="-4"/>
          <w:sz w:val="26"/>
        </w:rPr>
        <w:t xml:space="preserve"> </w:t>
      </w:r>
      <w:r>
        <w:rPr>
          <w:sz w:val="26"/>
        </w:rPr>
        <w:t>with</w:t>
      </w:r>
      <w:r>
        <w:rPr>
          <w:spacing w:val="-8"/>
          <w:sz w:val="26"/>
        </w:rPr>
        <w:t xml:space="preserve"> </w:t>
      </w:r>
      <w:r>
        <w:rPr>
          <w:sz w:val="26"/>
        </w:rPr>
        <w:t>the</w:t>
      </w:r>
      <w:r>
        <w:rPr>
          <w:spacing w:val="-5"/>
          <w:sz w:val="26"/>
        </w:rPr>
        <w:t xml:space="preserve"> </w:t>
      </w:r>
      <w:r>
        <w:rPr>
          <w:sz w:val="26"/>
        </w:rPr>
        <w:t>indignity of manual scavenging. In a recent work, “Ants Among Elephants: An Untouchable Family and the Making of Modern India”, Sujatha Gidla describes</w:t>
      </w:r>
      <w:r>
        <w:rPr>
          <w:sz w:val="26"/>
        </w:rPr>
        <w:t xml:space="preserve"> the indignified life of a manual</w:t>
      </w:r>
      <w:r>
        <w:rPr>
          <w:spacing w:val="-4"/>
          <w:sz w:val="26"/>
        </w:rPr>
        <w:t xml:space="preserve"> </w:t>
      </w:r>
      <w:r>
        <w:rPr>
          <w:sz w:val="26"/>
        </w:rPr>
        <w:t>scavenger:</w:t>
      </w:r>
    </w:p>
    <w:p w:rsidR="003B2FC0" w:rsidRDefault="00052A49">
      <w:pPr>
        <w:spacing w:before="200" w:line="276" w:lineRule="auto"/>
        <w:ind w:left="1840" w:right="2281" w:firstLine="9"/>
        <w:jc w:val="both"/>
        <w:rPr>
          <w:sz w:val="14"/>
        </w:rPr>
      </w:pPr>
      <w:r>
        <w:rPr>
          <w:sz w:val="21"/>
        </w:rPr>
        <w:t>“As their brooms wear down, they have to bend their backs lower</w:t>
      </w:r>
      <w:r>
        <w:rPr>
          <w:spacing w:val="-9"/>
          <w:sz w:val="21"/>
        </w:rPr>
        <w:t xml:space="preserve"> </w:t>
      </w:r>
      <w:r>
        <w:rPr>
          <w:sz w:val="21"/>
        </w:rPr>
        <w:t>and</w:t>
      </w:r>
      <w:r>
        <w:rPr>
          <w:spacing w:val="-10"/>
          <w:sz w:val="21"/>
        </w:rPr>
        <w:t xml:space="preserve"> </w:t>
      </w:r>
      <w:r>
        <w:rPr>
          <w:sz w:val="21"/>
        </w:rPr>
        <w:t>lower</w:t>
      </w:r>
      <w:r>
        <w:rPr>
          <w:spacing w:val="-9"/>
          <w:sz w:val="21"/>
        </w:rPr>
        <w:t xml:space="preserve"> </w:t>
      </w:r>
      <w:r>
        <w:rPr>
          <w:sz w:val="21"/>
        </w:rPr>
        <w:t>to</w:t>
      </w:r>
      <w:r>
        <w:rPr>
          <w:spacing w:val="-7"/>
          <w:sz w:val="21"/>
        </w:rPr>
        <w:t xml:space="preserve"> </w:t>
      </w:r>
      <w:r>
        <w:rPr>
          <w:sz w:val="21"/>
        </w:rPr>
        <w:t>sweep.</w:t>
      </w:r>
      <w:r>
        <w:rPr>
          <w:spacing w:val="-9"/>
          <w:sz w:val="21"/>
        </w:rPr>
        <w:t xml:space="preserve"> </w:t>
      </w:r>
      <w:r>
        <w:rPr>
          <w:sz w:val="21"/>
        </w:rPr>
        <w:t>When</w:t>
      </w:r>
      <w:r>
        <w:rPr>
          <w:spacing w:val="-8"/>
          <w:sz w:val="21"/>
        </w:rPr>
        <w:t xml:space="preserve"> </w:t>
      </w:r>
      <w:r>
        <w:rPr>
          <w:sz w:val="21"/>
        </w:rPr>
        <w:t>their</w:t>
      </w:r>
      <w:r>
        <w:rPr>
          <w:spacing w:val="-7"/>
          <w:sz w:val="21"/>
        </w:rPr>
        <w:t xml:space="preserve"> </w:t>
      </w:r>
      <w:r>
        <w:rPr>
          <w:sz w:val="21"/>
        </w:rPr>
        <w:t>baskets</w:t>
      </w:r>
      <w:r>
        <w:rPr>
          <w:spacing w:val="-7"/>
          <w:sz w:val="21"/>
        </w:rPr>
        <w:t xml:space="preserve"> </w:t>
      </w:r>
      <w:r>
        <w:rPr>
          <w:sz w:val="21"/>
        </w:rPr>
        <w:t>start</w:t>
      </w:r>
      <w:r>
        <w:rPr>
          <w:spacing w:val="-10"/>
          <w:sz w:val="21"/>
        </w:rPr>
        <w:t xml:space="preserve"> </w:t>
      </w:r>
      <w:r>
        <w:rPr>
          <w:sz w:val="21"/>
        </w:rPr>
        <w:t>to</w:t>
      </w:r>
      <w:r>
        <w:rPr>
          <w:spacing w:val="-8"/>
          <w:sz w:val="21"/>
        </w:rPr>
        <w:t xml:space="preserve"> </w:t>
      </w:r>
      <w:r>
        <w:rPr>
          <w:sz w:val="21"/>
        </w:rPr>
        <w:t>leak,</w:t>
      </w:r>
      <w:r>
        <w:rPr>
          <w:spacing w:val="-9"/>
          <w:sz w:val="21"/>
        </w:rPr>
        <w:t xml:space="preserve"> </w:t>
      </w:r>
      <w:r>
        <w:rPr>
          <w:sz w:val="21"/>
        </w:rPr>
        <w:t>the [human] shit drips down their faces. In the rainy season, the filth</w:t>
      </w:r>
      <w:r>
        <w:rPr>
          <w:spacing w:val="-11"/>
          <w:sz w:val="21"/>
        </w:rPr>
        <w:t xml:space="preserve"> </w:t>
      </w:r>
      <w:r>
        <w:rPr>
          <w:sz w:val="21"/>
        </w:rPr>
        <w:t>runs</w:t>
      </w:r>
      <w:r>
        <w:rPr>
          <w:spacing w:val="-9"/>
          <w:sz w:val="21"/>
        </w:rPr>
        <w:t xml:space="preserve"> </w:t>
      </w:r>
      <w:r>
        <w:rPr>
          <w:sz w:val="21"/>
        </w:rPr>
        <w:t>all</w:t>
      </w:r>
      <w:r>
        <w:rPr>
          <w:spacing w:val="-10"/>
          <w:sz w:val="21"/>
        </w:rPr>
        <w:t xml:space="preserve"> </w:t>
      </w:r>
      <w:r>
        <w:rPr>
          <w:sz w:val="21"/>
        </w:rPr>
        <w:t>over</w:t>
      </w:r>
      <w:r>
        <w:rPr>
          <w:spacing w:val="-10"/>
          <w:sz w:val="21"/>
        </w:rPr>
        <w:t xml:space="preserve"> </w:t>
      </w:r>
      <w:r>
        <w:rPr>
          <w:sz w:val="21"/>
        </w:rPr>
        <w:t>these</w:t>
      </w:r>
      <w:r>
        <w:rPr>
          <w:spacing w:val="-9"/>
          <w:sz w:val="21"/>
        </w:rPr>
        <w:t xml:space="preserve"> </w:t>
      </w:r>
      <w:r>
        <w:rPr>
          <w:sz w:val="21"/>
        </w:rPr>
        <w:t>people,</w:t>
      </w:r>
      <w:r>
        <w:rPr>
          <w:spacing w:val="-12"/>
          <w:sz w:val="21"/>
        </w:rPr>
        <w:t xml:space="preserve"> </w:t>
      </w:r>
      <w:r>
        <w:rPr>
          <w:sz w:val="21"/>
        </w:rPr>
        <w:t>onto</w:t>
      </w:r>
      <w:r>
        <w:rPr>
          <w:spacing w:val="-10"/>
          <w:sz w:val="21"/>
        </w:rPr>
        <w:t xml:space="preserve"> </w:t>
      </w:r>
      <w:r>
        <w:rPr>
          <w:sz w:val="21"/>
        </w:rPr>
        <w:t>their</w:t>
      </w:r>
      <w:r>
        <w:rPr>
          <w:spacing w:val="-12"/>
          <w:sz w:val="21"/>
        </w:rPr>
        <w:t xml:space="preserve"> </w:t>
      </w:r>
      <w:r>
        <w:rPr>
          <w:sz w:val="21"/>
        </w:rPr>
        <w:t>hair,</w:t>
      </w:r>
      <w:r>
        <w:rPr>
          <w:spacing w:val="-11"/>
          <w:sz w:val="21"/>
        </w:rPr>
        <w:t xml:space="preserve"> </w:t>
      </w:r>
      <w:r>
        <w:rPr>
          <w:sz w:val="21"/>
        </w:rPr>
        <w:t>their</w:t>
      </w:r>
      <w:r>
        <w:rPr>
          <w:spacing w:val="-11"/>
          <w:sz w:val="21"/>
        </w:rPr>
        <w:t xml:space="preserve"> </w:t>
      </w:r>
      <w:r>
        <w:rPr>
          <w:sz w:val="21"/>
        </w:rPr>
        <w:t>noses,</w:t>
      </w:r>
      <w:r>
        <w:rPr>
          <w:spacing w:val="-12"/>
          <w:sz w:val="21"/>
        </w:rPr>
        <w:t xml:space="preserve"> </w:t>
      </w:r>
      <w:r>
        <w:rPr>
          <w:sz w:val="21"/>
        </w:rPr>
        <w:t>their moths. Tuberculosis and infectious diseases are endemic among</w:t>
      </w:r>
      <w:r>
        <w:rPr>
          <w:spacing w:val="-2"/>
          <w:sz w:val="21"/>
        </w:rPr>
        <w:t xml:space="preserve"> </w:t>
      </w:r>
      <w:r>
        <w:rPr>
          <w:sz w:val="21"/>
        </w:rPr>
        <w:t>them.”</w:t>
      </w:r>
      <w:r>
        <w:rPr>
          <w:position w:val="7"/>
          <w:sz w:val="14"/>
        </w:rPr>
        <w:t>100</w:t>
      </w:r>
    </w:p>
    <w:p w:rsidR="003B2FC0" w:rsidRDefault="003B2FC0">
      <w:pPr>
        <w:rPr>
          <w:sz w:val="24"/>
        </w:rPr>
      </w:pPr>
    </w:p>
    <w:p w:rsidR="003B2FC0" w:rsidRDefault="003B2FC0">
      <w:pPr>
        <w:spacing w:before="9"/>
        <w:rPr>
          <w:sz w:val="35"/>
        </w:rPr>
      </w:pPr>
    </w:p>
    <w:p w:rsidR="003B2FC0" w:rsidRDefault="00052A49">
      <w:pPr>
        <w:spacing w:line="480" w:lineRule="auto"/>
        <w:ind w:left="400" w:right="435"/>
        <w:jc w:val="both"/>
        <w:rPr>
          <w:sz w:val="26"/>
        </w:rPr>
      </w:pPr>
      <w:r>
        <w:rPr>
          <w:sz w:val="26"/>
        </w:rPr>
        <w:t>The</w:t>
      </w:r>
      <w:r>
        <w:rPr>
          <w:spacing w:val="-19"/>
          <w:sz w:val="26"/>
        </w:rPr>
        <w:t xml:space="preserve"> </w:t>
      </w:r>
      <w:r>
        <w:rPr>
          <w:sz w:val="26"/>
        </w:rPr>
        <w:t>demeaning</w:t>
      </w:r>
      <w:r>
        <w:rPr>
          <w:spacing w:val="-19"/>
          <w:sz w:val="26"/>
        </w:rPr>
        <w:t xml:space="preserve"> </w:t>
      </w:r>
      <w:r>
        <w:rPr>
          <w:sz w:val="26"/>
        </w:rPr>
        <w:t>life</w:t>
      </w:r>
      <w:r>
        <w:rPr>
          <w:spacing w:val="-18"/>
          <w:sz w:val="26"/>
        </w:rPr>
        <w:t xml:space="preserve"> </w:t>
      </w:r>
      <w:r>
        <w:rPr>
          <w:sz w:val="26"/>
        </w:rPr>
        <w:t>of</w:t>
      </w:r>
      <w:r>
        <w:rPr>
          <w:spacing w:val="-16"/>
          <w:sz w:val="26"/>
        </w:rPr>
        <w:t xml:space="preserve"> </w:t>
      </w:r>
      <w:r>
        <w:rPr>
          <w:sz w:val="26"/>
        </w:rPr>
        <w:t>manual</w:t>
      </w:r>
      <w:r>
        <w:rPr>
          <w:spacing w:val="-18"/>
          <w:sz w:val="26"/>
        </w:rPr>
        <w:t xml:space="preserve"> </w:t>
      </w:r>
      <w:r>
        <w:rPr>
          <w:sz w:val="26"/>
        </w:rPr>
        <w:t>scavengers</w:t>
      </w:r>
      <w:r>
        <w:rPr>
          <w:spacing w:val="-19"/>
          <w:sz w:val="26"/>
        </w:rPr>
        <w:t xml:space="preserve"> </w:t>
      </w:r>
      <w:r>
        <w:rPr>
          <w:sz w:val="26"/>
        </w:rPr>
        <w:t>is</w:t>
      </w:r>
      <w:r>
        <w:rPr>
          <w:spacing w:val="-18"/>
          <w:sz w:val="26"/>
        </w:rPr>
        <w:t xml:space="preserve"> </w:t>
      </w:r>
      <w:r>
        <w:rPr>
          <w:sz w:val="26"/>
        </w:rPr>
        <w:t>narrated</w:t>
      </w:r>
      <w:r>
        <w:rPr>
          <w:spacing w:val="-19"/>
          <w:sz w:val="26"/>
        </w:rPr>
        <w:t xml:space="preserve"> </w:t>
      </w:r>
      <w:r>
        <w:rPr>
          <w:sz w:val="26"/>
        </w:rPr>
        <w:t>by</w:t>
      </w:r>
      <w:r>
        <w:rPr>
          <w:spacing w:val="-18"/>
          <w:sz w:val="26"/>
        </w:rPr>
        <w:t xml:space="preserve"> </w:t>
      </w:r>
      <w:r>
        <w:rPr>
          <w:sz w:val="26"/>
        </w:rPr>
        <w:t>Diane</w:t>
      </w:r>
      <w:r>
        <w:rPr>
          <w:spacing w:val="-16"/>
          <w:sz w:val="26"/>
        </w:rPr>
        <w:t xml:space="preserve"> </w:t>
      </w:r>
      <w:r>
        <w:rPr>
          <w:sz w:val="26"/>
        </w:rPr>
        <w:t>Coffey</w:t>
      </w:r>
      <w:r>
        <w:rPr>
          <w:spacing w:val="-18"/>
          <w:sz w:val="26"/>
        </w:rPr>
        <w:t xml:space="preserve"> </w:t>
      </w:r>
      <w:r>
        <w:rPr>
          <w:sz w:val="26"/>
        </w:rPr>
        <w:t>and</w:t>
      </w:r>
      <w:r>
        <w:rPr>
          <w:spacing w:val="-19"/>
          <w:sz w:val="26"/>
        </w:rPr>
        <w:t xml:space="preserve"> </w:t>
      </w:r>
      <w:r>
        <w:rPr>
          <w:sz w:val="26"/>
        </w:rPr>
        <w:t>Dean Spears in “Where India Goes: Abandoned Toilets, Stunted Devel</w:t>
      </w:r>
      <w:r>
        <w:rPr>
          <w:sz w:val="26"/>
        </w:rPr>
        <w:t>opment and the Costs of Caste”</w:t>
      </w:r>
      <w:r>
        <w:rPr>
          <w:position w:val="9"/>
          <w:sz w:val="17"/>
        </w:rPr>
        <w:t>101</w:t>
      </w:r>
      <w:r>
        <w:rPr>
          <w:sz w:val="26"/>
        </w:rPr>
        <w:t>. The social reality of India is that manual scavenging castes face a two-fold discrimination- one, by society, and other, within the Dalits:</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6"/>
        <w:rPr>
          <w:sz w:val="13"/>
        </w:rPr>
      </w:pPr>
      <w:r w:rsidRPr="003B2FC0">
        <w:pict>
          <v:line id="_x0000_s1095" style="position:absolute;z-index:251620864;mso-wrap-distance-left:0;mso-wrap-distance-right:0;mso-position-horizontal-relative:page" from="1in,10.15pt" to="216.05pt,10.15pt" strokeweight=".72pt">
            <w10:wrap type="topAndBottom" anchorx="page"/>
          </v:line>
        </w:pict>
      </w:r>
    </w:p>
    <w:p w:rsidR="003B2FC0" w:rsidRDefault="00052A49">
      <w:pPr>
        <w:spacing w:before="67"/>
        <w:ind w:left="580" w:hanging="180"/>
        <w:rPr>
          <w:sz w:val="18"/>
        </w:rPr>
      </w:pPr>
      <w:r>
        <w:rPr>
          <w:position w:val="6"/>
          <w:sz w:val="12"/>
        </w:rPr>
        <w:t xml:space="preserve">100 </w:t>
      </w:r>
      <w:r>
        <w:rPr>
          <w:sz w:val="18"/>
        </w:rPr>
        <w:t>Sujatha Gidla, Ants among Elephants: An Untouchable Family and the Making of Modern India, Harper Collins (2017), at page 114</w:t>
      </w:r>
    </w:p>
    <w:p w:rsidR="003B2FC0" w:rsidRDefault="00052A49">
      <w:pPr>
        <w:spacing w:line="242" w:lineRule="auto"/>
        <w:ind w:left="580" w:hanging="180"/>
        <w:rPr>
          <w:sz w:val="18"/>
        </w:rPr>
      </w:pPr>
      <w:r>
        <w:rPr>
          <w:position w:val="6"/>
          <w:sz w:val="12"/>
        </w:rPr>
        <w:t xml:space="preserve">101 </w:t>
      </w:r>
      <w:r>
        <w:rPr>
          <w:sz w:val="18"/>
        </w:rPr>
        <w:t xml:space="preserve">Diane Coffey and Dean Spears, Where India Goes: Abandoned Toilets, Stunted Development and the Costs of Caste, Harper Collins </w:t>
      </w:r>
      <w:r>
        <w:rPr>
          <w:sz w:val="18"/>
        </w:rPr>
        <w:t>(2017), at pages 74-79</w:t>
      </w:r>
    </w:p>
    <w:p w:rsidR="003B2FC0" w:rsidRDefault="003B2FC0">
      <w:pPr>
        <w:spacing w:line="242" w:lineRule="auto"/>
        <w:rPr>
          <w:sz w:val="18"/>
        </w:rPr>
        <w:sectPr w:rsidR="003B2FC0">
          <w:footerReference w:type="default" r:id="rId377"/>
          <w:pgSz w:w="11910" w:h="16840"/>
          <w:pgMar w:top="1080" w:right="980" w:bottom="1200" w:left="1040" w:header="708" w:footer="1000" w:gutter="0"/>
          <w:pgNumType w:start="107"/>
          <w:cols w:space="720"/>
        </w:sectPr>
      </w:pPr>
    </w:p>
    <w:p w:rsidR="003B2FC0" w:rsidRDefault="003B2FC0">
      <w:pPr>
        <w:spacing w:before="6"/>
        <w:rPr>
          <w:sz w:val="21"/>
        </w:rPr>
      </w:pPr>
    </w:p>
    <w:p w:rsidR="003B2FC0" w:rsidRDefault="00052A49">
      <w:pPr>
        <w:spacing w:before="94" w:line="273" w:lineRule="auto"/>
        <w:ind w:left="1840" w:right="2255"/>
        <w:jc w:val="both"/>
        <w:rPr>
          <w:sz w:val="14"/>
        </w:rPr>
      </w:pPr>
      <w:r>
        <w:rPr>
          <w:sz w:val="21"/>
        </w:rPr>
        <w:t>“[M]anual scavengers are considered the lowest-ranking among the Dalit castes. The discrimination they face is generally even worse than that which Dalits from non- scavenging castes face.”</w:t>
      </w:r>
      <w:r>
        <w:rPr>
          <w:position w:val="7"/>
          <w:sz w:val="14"/>
        </w:rPr>
        <w:t>102</w:t>
      </w:r>
    </w:p>
    <w:p w:rsidR="003B2FC0" w:rsidRDefault="003B2FC0">
      <w:pPr>
        <w:rPr>
          <w:sz w:val="24"/>
        </w:rPr>
      </w:pPr>
    </w:p>
    <w:p w:rsidR="003B2FC0" w:rsidRDefault="003B2FC0">
      <w:pPr>
        <w:spacing w:before="5"/>
        <w:rPr>
          <w:sz w:val="35"/>
        </w:rPr>
      </w:pPr>
    </w:p>
    <w:p w:rsidR="003B2FC0" w:rsidRDefault="00052A49">
      <w:pPr>
        <w:spacing w:line="480" w:lineRule="auto"/>
        <w:ind w:left="400" w:right="434"/>
        <w:jc w:val="both"/>
        <w:rPr>
          <w:sz w:val="26"/>
        </w:rPr>
      </w:pPr>
      <w:r>
        <w:rPr>
          <w:sz w:val="26"/>
        </w:rPr>
        <w:t>Manual scavengers have been the worst victims of the system of “purity and pollution”. Article 17 was a promise to lower castes that they will be free from social</w:t>
      </w:r>
      <w:r>
        <w:rPr>
          <w:spacing w:val="-17"/>
          <w:sz w:val="26"/>
        </w:rPr>
        <w:t xml:space="preserve"> </w:t>
      </w:r>
      <w:r>
        <w:rPr>
          <w:sz w:val="26"/>
        </w:rPr>
        <w:t>oppression.</w:t>
      </w:r>
      <w:r>
        <w:rPr>
          <w:spacing w:val="-12"/>
          <w:sz w:val="26"/>
        </w:rPr>
        <w:t xml:space="preserve"> </w:t>
      </w:r>
      <w:r>
        <w:rPr>
          <w:sz w:val="26"/>
        </w:rPr>
        <w:t>Yet</w:t>
      </w:r>
      <w:r>
        <w:rPr>
          <w:spacing w:val="-16"/>
          <w:sz w:val="26"/>
        </w:rPr>
        <w:t xml:space="preserve"> </w:t>
      </w:r>
      <w:r>
        <w:rPr>
          <w:sz w:val="26"/>
        </w:rPr>
        <w:t>for</w:t>
      </w:r>
      <w:r>
        <w:rPr>
          <w:spacing w:val="-16"/>
          <w:sz w:val="26"/>
        </w:rPr>
        <w:t xml:space="preserve"> </w:t>
      </w:r>
      <w:r>
        <w:rPr>
          <w:sz w:val="26"/>
        </w:rPr>
        <w:t>the</w:t>
      </w:r>
      <w:r>
        <w:rPr>
          <w:spacing w:val="-16"/>
          <w:sz w:val="26"/>
        </w:rPr>
        <w:t xml:space="preserve"> </w:t>
      </w:r>
      <w:r>
        <w:rPr>
          <w:sz w:val="26"/>
        </w:rPr>
        <w:t>marginalized</w:t>
      </w:r>
      <w:r>
        <w:rPr>
          <w:spacing w:val="-14"/>
          <w:sz w:val="26"/>
        </w:rPr>
        <w:t xml:space="preserve"> </w:t>
      </w:r>
      <w:r>
        <w:rPr>
          <w:sz w:val="26"/>
        </w:rPr>
        <w:t>communities,</w:t>
      </w:r>
      <w:r>
        <w:rPr>
          <w:spacing w:val="-16"/>
          <w:sz w:val="26"/>
        </w:rPr>
        <w:t xml:space="preserve"> </w:t>
      </w:r>
      <w:r>
        <w:rPr>
          <w:sz w:val="26"/>
        </w:rPr>
        <w:t>little</w:t>
      </w:r>
      <w:r>
        <w:rPr>
          <w:spacing w:val="-14"/>
          <w:sz w:val="26"/>
        </w:rPr>
        <w:t xml:space="preserve"> </w:t>
      </w:r>
      <w:r>
        <w:rPr>
          <w:sz w:val="26"/>
        </w:rPr>
        <w:t>has</w:t>
      </w:r>
      <w:r>
        <w:rPr>
          <w:spacing w:val="-17"/>
          <w:sz w:val="26"/>
        </w:rPr>
        <w:t xml:space="preserve"> </w:t>
      </w:r>
      <w:r>
        <w:rPr>
          <w:sz w:val="26"/>
        </w:rPr>
        <w:t>changed.</w:t>
      </w:r>
      <w:r>
        <w:rPr>
          <w:spacing w:val="-16"/>
          <w:sz w:val="26"/>
        </w:rPr>
        <w:t xml:space="preserve"> </w:t>
      </w:r>
      <w:r>
        <w:rPr>
          <w:sz w:val="26"/>
        </w:rPr>
        <w:t>The list of the daily atrocities committed against Dalits is endless. Dalits are being killed for growing a moustache, daring to watch upper-caste folk dances, allegedly for owning and riding a horse and for all kinds of defiance of a social order that dep</w:t>
      </w:r>
      <w:r>
        <w:rPr>
          <w:sz w:val="26"/>
        </w:rPr>
        <w:t>rives them of essential humanity.</w:t>
      </w:r>
      <w:r>
        <w:rPr>
          <w:position w:val="9"/>
          <w:sz w:val="17"/>
        </w:rPr>
        <w:t xml:space="preserve">103 </w:t>
      </w:r>
      <w:r>
        <w:rPr>
          <w:sz w:val="26"/>
        </w:rPr>
        <w:t>The Dalits and other oppressed</w:t>
      </w:r>
      <w:r>
        <w:rPr>
          <w:spacing w:val="-10"/>
          <w:sz w:val="26"/>
        </w:rPr>
        <w:t xml:space="preserve"> </w:t>
      </w:r>
      <w:r>
        <w:rPr>
          <w:sz w:val="26"/>
        </w:rPr>
        <w:t>sections</w:t>
      </w:r>
      <w:r>
        <w:rPr>
          <w:spacing w:val="-7"/>
          <w:sz w:val="26"/>
        </w:rPr>
        <w:t xml:space="preserve"> </w:t>
      </w:r>
      <w:r>
        <w:rPr>
          <w:sz w:val="26"/>
        </w:rPr>
        <w:t>of</w:t>
      </w:r>
      <w:r>
        <w:rPr>
          <w:spacing w:val="-9"/>
          <w:sz w:val="26"/>
        </w:rPr>
        <w:t xml:space="preserve"> </w:t>
      </w:r>
      <w:r>
        <w:rPr>
          <w:sz w:val="26"/>
        </w:rPr>
        <w:t>society</w:t>
      </w:r>
      <w:r>
        <w:rPr>
          <w:spacing w:val="-11"/>
          <w:sz w:val="26"/>
        </w:rPr>
        <w:t xml:space="preserve"> </w:t>
      </w:r>
      <w:r>
        <w:rPr>
          <w:sz w:val="26"/>
        </w:rPr>
        <w:t>have</w:t>
      </w:r>
      <w:r>
        <w:rPr>
          <w:spacing w:val="-9"/>
          <w:sz w:val="26"/>
        </w:rPr>
        <w:t xml:space="preserve"> </w:t>
      </w:r>
      <w:r>
        <w:rPr>
          <w:sz w:val="26"/>
        </w:rPr>
        <w:t>been</w:t>
      </w:r>
      <w:r>
        <w:rPr>
          <w:spacing w:val="-7"/>
          <w:sz w:val="26"/>
        </w:rPr>
        <w:t xml:space="preserve"> </w:t>
      </w:r>
      <w:r>
        <w:rPr>
          <w:sz w:val="26"/>
        </w:rPr>
        <w:t>waiting</w:t>
      </w:r>
      <w:r>
        <w:rPr>
          <w:spacing w:val="-9"/>
          <w:sz w:val="26"/>
        </w:rPr>
        <w:t xml:space="preserve"> </w:t>
      </w:r>
      <w:r>
        <w:rPr>
          <w:sz w:val="26"/>
        </w:rPr>
        <w:t>long</w:t>
      </w:r>
      <w:r>
        <w:rPr>
          <w:spacing w:val="-7"/>
          <w:sz w:val="26"/>
        </w:rPr>
        <w:t xml:space="preserve"> </w:t>
      </w:r>
      <w:r>
        <w:rPr>
          <w:sz w:val="26"/>
        </w:rPr>
        <w:t>years</w:t>
      </w:r>
      <w:r>
        <w:rPr>
          <w:spacing w:val="-9"/>
          <w:sz w:val="26"/>
        </w:rPr>
        <w:t xml:space="preserve"> </w:t>
      </w:r>
      <w:r>
        <w:rPr>
          <w:sz w:val="26"/>
        </w:rPr>
        <w:t>to</w:t>
      </w:r>
      <w:r>
        <w:rPr>
          <w:spacing w:val="-7"/>
          <w:sz w:val="26"/>
        </w:rPr>
        <w:t xml:space="preserve"> </w:t>
      </w:r>
      <w:r>
        <w:rPr>
          <w:sz w:val="26"/>
        </w:rPr>
        <w:t>see</w:t>
      </w:r>
      <w:r>
        <w:rPr>
          <w:spacing w:val="-9"/>
          <w:sz w:val="26"/>
        </w:rPr>
        <w:t xml:space="preserve"> </w:t>
      </w:r>
      <w:r>
        <w:rPr>
          <w:sz w:val="26"/>
        </w:rPr>
        <w:t>the</w:t>
      </w:r>
      <w:r>
        <w:rPr>
          <w:spacing w:val="-9"/>
          <w:sz w:val="26"/>
        </w:rPr>
        <w:t xml:space="preserve"> </w:t>
      </w:r>
      <w:r>
        <w:rPr>
          <w:sz w:val="26"/>
        </w:rPr>
        <w:t>quest</w:t>
      </w:r>
      <w:r>
        <w:rPr>
          <w:spacing w:val="-9"/>
          <w:sz w:val="26"/>
        </w:rPr>
        <w:t xml:space="preserve"> </w:t>
      </w:r>
      <w:r>
        <w:rPr>
          <w:sz w:val="26"/>
        </w:rPr>
        <w:t>for dignity fulfilled. Security from oppression and an opportunity to lead a dignified life is an issue of existence for D</w:t>
      </w:r>
      <w:r>
        <w:rPr>
          <w:sz w:val="26"/>
        </w:rPr>
        <w:t>alits and the other marginalized. Post- independence, Parliament enacted legislations</w:t>
      </w:r>
      <w:r>
        <w:rPr>
          <w:position w:val="9"/>
          <w:sz w:val="17"/>
        </w:rPr>
        <w:t xml:space="preserve">104 </w:t>
      </w:r>
      <w:r>
        <w:rPr>
          <w:sz w:val="26"/>
        </w:rPr>
        <w:t>to undo the injustice done to oppressed social groups. Yet the poor implementation</w:t>
      </w:r>
      <w:r>
        <w:rPr>
          <w:position w:val="9"/>
          <w:sz w:val="17"/>
        </w:rPr>
        <w:t xml:space="preserve">105 </w:t>
      </w:r>
      <w:r>
        <w:rPr>
          <w:sz w:val="26"/>
        </w:rPr>
        <w:t>of law results in a continued denial which the law attempted to</w:t>
      </w:r>
      <w:r>
        <w:rPr>
          <w:spacing w:val="-7"/>
          <w:sz w:val="26"/>
        </w:rPr>
        <w:t xml:space="preserve"> </w:t>
      </w:r>
      <w:r>
        <w:rPr>
          <w:sz w:val="26"/>
        </w:rPr>
        <w:t>remedy.</w:t>
      </w:r>
    </w:p>
    <w:p w:rsidR="003B2FC0" w:rsidRDefault="003B2FC0">
      <w:pPr>
        <w:rPr>
          <w:sz w:val="28"/>
        </w:rPr>
      </w:pPr>
    </w:p>
    <w:p w:rsidR="003B2FC0" w:rsidRDefault="003B2FC0">
      <w:pPr>
        <w:spacing w:before="5"/>
        <w:rPr>
          <w:sz w:val="31"/>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Article</w:t>
      </w:r>
      <w:r>
        <w:rPr>
          <w:sz w:val="26"/>
        </w:rPr>
        <w:t xml:space="preserve"> 17 is a social revolutionary provision. It has certain features. The first</w:t>
      </w:r>
      <w:r>
        <w:rPr>
          <w:spacing w:val="-17"/>
          <w:sz w:val="26"/>
        </w:rPr>
        <w:t xml:space="preserve"> </w:t>
      </w:r>
      <w:r>
        <w:rPr>
          <w:sz w:val="26"/>
        </w:rPr>
        <w:t>is</w:t>
      </w:r>
      <w:r>
        <w:rPr>
          <w:spacing w:val="-17"/>
          <w:sz w:val="26"/>
        </w:rPr>
        <w:t xml:space="preserve"> </w:t>
      </w:r>
      <w:r>
        <w:rPr>
          <w:sz w:val="26"/>
        </w:rPr>
        <w:t>that</w:t>
      </w:r>
      <w:r>
        <w:rPr>
          <w:spacing w:val="-17"/>
          <w:sz w:val="26"/>
        </w:rPr>
        <w:t xml:space="preserve"> </w:t>
      </w:r>
      <w:r>
        <w:rPr>
          <w:sz w:val="26"/>
        </w:rPr>
        <w:t>the</w:t>
      </w:r>
      <w:r>
        <w:rPr>
          <w:spacing w:val="-16"/>
          <w:sz w:val="26"/>
        </w:rPr>
        <w:t xml:space="preserve"> </w:t>
      </w:r>
      <w:r>
        <w:rPr>
          <w:sz w:val="26"/>
        </w:rPr>
        <w:t>Article</w:t>
      </w:r>
      <w:r>
        <w:rPr>
          <w:spacing w:val="-12"/>
          <w:sz w:val="26"/>
        </w:rPr>
        <w:t xml:space="preserve"> </w:t>
      </w:r>
      <w:r>
        <w:rPr>
          <w:sz w:val="26"/>
        </w:rPr>
        <w:t>abolishes</w:t>
      </w:r>
      <w:r>
        <w:rPr>
          <w:spacing w:val="-17"/>
          <w:sz w:val="26"/>
        </w:rPr>
        <w:t xml:space="preserve"> </w:t>
      </w:r>
      <w:r>
        <w:rPr>
          <w:sz w:val="26"/>
        </w:rPr>
        <w:t>“untouchability”.</w:t>
      </w:r>
      <w:r>
        <w:rPr>
          <w:spacing w:val="-17"/>
          <w:sz w:val="26"/>
        </w:rPr>
        <w:t xml:space="preserve"> </w:t>
      </w:r>
      <w:r>
        <w:rPr>
          <w:sz w:val="26"/>
        </w:rPr>
        <w:t>In</w:t>
      </w:r>
      <w:r>
        <w:rPr>
          <w:spacing w:val="-17"/>
          <w:sz w:val="26"/>
        </w:rPr>
        <w:t xml:space="preserve"> </w:t>
      </w:r>
      <w:r>
        <w:rPr>
          <w:sz w:val="26"/>
        </w:rPr>
        <w:t>abolishing</w:t>
      </w:r>
      <w:r>
        <w:rPr>
          <w:spacing w:val="-17"/>
          <w:sz w:val="26"/>
        </w:rPr>
        <w:t xml:space="preserve"> </w:t>
      </w:r>
      <w:r>
        <w:rPr>
          <w:sz w:val="26"/>
        </w:rPr>
        <w:t>it,</w:t>
      </w:r>
      <w:r>
        <w:rPr>
          <w:spacing w:val="-15"/>
          <w:sz w:val="26"/>
        </w:rPr>
        <w:t xml:space="preserve"> </w:t>
      </w:r>
      <w:r>
        <w:rPr>
          <w:sz w:val="26"/>
        </w:rPr>
        <w:t>the</w:t>
      </w:r>
      <w:r>
        <w:rPr>
          <w:spacing w:val="-17"/>
          <w:sz w:val="26"/>
        </w:rPr>
        <w:t xml:space="preserve"> </w:t>
      </w:r>
      <w:r>
        <w:rPr>
          <w:sz w:val="26"/>
        </w:rPr>
        <w:t>Constitution strikes</w:t>
      </w:r>
      <w:r>
        <w:rPr>
          <w:spacing w:val="43"/>
          <w:sz w:val="26"/>
        </w:rPr>
        <w:t xml:space="preserve"> </w:t>
      </w:r>
      <w:r>
        <w:rPr>
          <w:sz w:val="26"/>
        </w:rPr>
        <w:t>at</w:t>
      </w:r>
      <w:r>
        <w:rPr>
          <w:spacing w:val="43"/>
          <w:sz w:val="26"/>
        </w:rPr>
        <w:t xml:space="preserve"> </w:t>
      </w:r>
      <w:r>
        <w:rPr>
          <w:sz w:val="26"/>
        </w:rPr>
        <w:t>the</w:t>
      </w:r>
      <w:r>
        <w:rPr>
          <w:spacing w:val="43"/>
          <w:sz w:val="26"/>
        </w:rPr>
        <w:t xml:space="preserve"> </w:t>
      </w:r>
      <w:r>
        <w:rPr>
          <w:sz w:val="26"/>
        </w:rPr>
        <w:t>root</w:t>
      </w:r>
      <w:r>
        <w:rPr>
          <w:spacing w:val="45"/>
          <w:sz w:val="26"/>
        </w:rPr>
        <w:t xml:space="preserve"> </w:t>
      </w:r>
      <w:r>
        <w:rPr>
          <w:sz w:val="26"/>
        </w:rPr>
        <w:t>of</w:t>
      </w:r>
      <w:r>
        <w:rPr>
          <w:spacing w:val="43"/>
          <w:sz w:val="26"/>
        </w:rPr>
        <w:t xml:space="preserve"> </w:t>
      </w:r>
      <w:r>
        <w:rPr>
          <w:sz w:val="26"/>
        </w:rPr>
        <w:t>the</w:t>
      </w:r>
      <w:r>
        <w:rPr>
          <w:spacing w:val="43"/>
          <w:sz w:val="26"/>
        </w:rPr>
        <w:t xml:space="preserve"> </w:t>
      </w:r>
      <w:r>
        <w:rPr>
          <w:sz w:val="26"/>
        </w:rPr>
        <w:t>institution</w:t>
      </w:r>
      <w:r>
        <w:rPr>
          <w:spacing w:val="45"/>
          <w:sz w:val="26"/>
        </w:rPr>
        <w:t xml:space="preserve"> </w:t>
      </w:r>
      <w:r>
        <w:rPr>
          <w:sz w:val="26"/>
        </w:rPr>
        <w:t>of</w:t>
      </w:r>
      <w:r>
        <w:rPr>
          <w:spacing w:val="44"/>
          <w:sz w:val="26"/>
        </w:rPr>
        <w:t xml:space="preserve"> </w:t>
      </w:r>
      <w:r>
        <w:rPr>
          <w:sz w:val="26"/>
        </w:rPr>
        <w:t>untouchability.</w:t>
      </w:r>
      <w:r>
        <w:rPr>
          <w:spacing w:val="43"/>
          <w:sz w:val="26"/>
        </w:rPr>
        <w:t xml:space="preserve"> </w:t>
      </w:r>
      <w:r>
        <w:rPr>
          <w:sz w:val="26"/>
        </w:rPr>
        <w:t>The</w:t>
      </w:r>
      <w:r>
        <w:rPr>
          <w:spacing w:val="43"/>
          <w:sz w:val="26"/>
        </w:rPr>
        <w:t xml:space="preserve"> </w:t>
      </w:r>
      <w:r>
        <w:rPr>
          <w:sz w:val="26"/>
        </w:rPr>
        <w:t>abolition</w:t>
      </w:r>
      <w:r>
        <w:rPr>
          <w:spacing w:val="43"/>
          <w:sz w:val="26"/>
        </w:rPr>
        <w:t xml:space="preserve"> </w:t>
      </w:r>
      <w:r>
        <w:rPr>
          <w:sz w:val="26"/>
        </w:rPr>
        <w:t>of</w:t>
      </w:r>
    </w:p>
    <w:p w:rsidR="003B2FC0" w:rsidRDefault="003B2FC0">
      <w:pPr>
        <w:rPr>
          <w:sz w:val="20"/>
        </w:rPr>
      </w:pPr>
    </w:p>
    <w:p w:rsidR="003B2FC0" w:rsidRDefault="003B2FC0">
      <w:pPr>
        <w:rPr>
          <w:sz w:val="24"/>
        </w:rPr>
      </w:pPr>
      <w:r w:rsidRPr="003B2FC0">
        <w:pict>
          <v:line id="_x0000_s1094" style="position:absolute;z-index:251621888;mso-wrap-distance-left:0;mso-wrap-distance-right:0;mso-position-horizontal-relative:page" from="1in,16.15pt" to="216.05pt,16.15pt" strokeweight=".72pt">
            <w10:wrap type="topAndBottom" anchorx="page"/>
          </v:line>
        </w:pict>
      </w:r>
    </w:p>
    <w:p w:rsidR="003B2FC0" w:rsidRDefault="00052A49">
      <w:pPr>
        <w:spacing w:before="66" w:line="210" w:lineRule="exact"/>
        <w:ind w:left="400"/>
        <w:rPr>
          <w:sz w:val="18"/>
        </w:rPr>
      </w:pPr>
      <w:r>
        <w:rPr>
          <w:position w:val="6"/>
          <w:sz w:val="12"/>
        </w:rPr>
        <w:t xml:space="preserve">102 </w:t>
      </w:r>
      <w:r>
        <w:rPr>
          <w:sz w:val="18"/>
        </w:rPr>
        <w:t>Ibid, at page 78</w:t>
      </w:r>
    </w:p>
    <w:p w:rsidR="003B2FC0" w:rsidRDefault="00052A49">
      <w:pPr>
        <w:ind w:left="671" w:right="2382" w:hanging="272"/>
        <w:rPr>
          <w:sz w:val="18"/>
        </w:rPr>
      </w:pPr>
      <w:r>
        <w:rPr>
          <w:position w:val="6"/>
          <w:sz w:val="12"/>
        </w:rPr>
        <w:t xml:space="preserve">103 </w:t>
      </w:r>
      <w:r>
        <w:rPr>
          <w:sz w:val="18"/>
        </w:rPr>
        <w:t xml:space="preserve">Rajesh Ramachandran, Death for Moustache, Outlook (16 October 2017), available at </w:t>
      </w:r>
      <w:r>
        <w:rPr>
          <w:sz w:val="18"/>
          <w:u w:val="single"/>
        </w:rPr>
        <w:t>https:/</w:t>
      </w:r>
      <w:hyperlink r:id="rId378">
        <w:r>
          <w:rPr>
            <w:sz w:val="18"/>
            <w:u w:val="single"/>
          </w:rPr>
          <w:t>/www.o</w:t>
        </w:r>
      </w:hyperlink>
      <w:r>
        <w:rPr>
          <w:sz w:val="18"/>
          <w:u w:val="single"/>
        </w:rPr>
        <w:t>u</w:t>
      </w:r>
      <w:hyperlink r:id="rId379">
        <w:r>
          <w:rPr>
            <w:sz w:val="18"/>
            <w:u w:val="single"/>
          </w:rPr>
          <w:t>tlookindia.com/magazine/story/death-for-moustache/299405</w:t>
        </w:r>
      </w:hyperlink>
    </w:p>
    <w:p w:rsidR="003B2FC0" w:rsidRDefault="00052A49">
      <w:pPr>
        <w:ind w:left="671" w:right="434" w:hanging="272"/>
        <w:rPr>
          <w:sz w:val="18"/>
        </w:rPr>
      </w:pPr>
      <w:r>
        <w:rPr>
          <w:position w:val="6"/>
          <w:sz w:val="12"/>
        </w:rPr>
        <w:t xml:space="preserve">104 </w:t>
      </w:r>
      <w:r>
        <w:rPr>
          <w:sz w:val="18"/>
        </w:rPr>
        <w:t>Scheduled Castes &amp; Scheduled Tribes (Prevention of Atrocities) Act, 1989; Prohibition of Manual Scavenging Act, 2013</w:t>
      </w:r>
    </w:p>
    <w:p w:rsidR="003B2FC0" w:rsidRDefault="00052A49">
      <w:pPr>
        <w:spacing w:line="208" w:lineRule="exact"/>
        <w:ind w:left="400"/>
        <w:rPr>
          <w:sz w:val="18"/>
        </w:rPr>
      </w:pPr>
      <w:r>
        <w:rPr>
          <w:position w:val="6"/>
          <w:sz w:val="12"/>
        </w:rPr>
        <w:t xml:space="preserve">105 </w:t>
      </w:r>
      <w:r>
        <w:rPr>
          <w:sz w:val="18"/>
        </w:rPr>
        <w:t>As observed in National Campaign for Da</w:t>
      </w:r>
      <w:r>
        <w:rPr>
          <w:sz w:val="18"/>
        </w:rPr>
        <w:t>lit Human Rights v. Union of India, (2017) 2 SCC 432</w:t>
      </w:r>
    </w:p>
    <w:p w:rsidR="003B2FC0" w:rsidRDefault="003B2FC0">
      <w:pPr>
        <w:spacing w:line="208"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1"/>
        <w:jc w:val="both"/>
        <w:rPr>
          <w:sz w:val="26"/>
        </w:rPr>
      </w:pPr>
      <w:r>
        <w:rPr>
          <w:sz w:val="26"/>
        </w:rPr>
        <w:t>untouchability can only be fulfilled by dealing with notions which it encompasses. Notions of “purity and pollution” have been its sustaining force. In abolishing “untouchability”, the</w:t>
      </w:r>
      <w:r>
        <w:rPr>
          <w:sz w:val="26"/>
        </w:rPr>
        <w:t xml:space="preserve"> Constitution attempts a dynamic shift in the social orderings upon which prejudice and discrimination were</w:t>
      </w:r>
      <w:r>
        <w:rPr>
          <w:spacing w:val="-26"/>
          <w:sz w:val="26"/>
        </w:rPr>
        <w:t xml:space="preserve"> </w:t>
      </w:r>
      <w:r>
        <w:rPr>
          <w:sz w:val="26"/>
        </w:rPr>
        <w:t>institutionalized. The first feature is a moral re-affirmation of human dignity and of a society governed by equal entitlements. The second importan</w:t>
      </w:r>
      <w:r>
        <w:rPr>
          <w:sz w:val="26"/>
        </w:rPr>
        <w:t xml:space="preserve">t feature of Article 17 is that the </w:t>
      </w:r>
      <w:r>
        <w:rPr>
          <w:b/>
          <w:sz w:val="26"/>
        </w:rPr>
        <w:t xml:space="preserve">practice </w:t>
      </w:r>
      <w:r>
        <w:rPr>
          <w:sz w:val="26"/>
        </w:rPr>
        <w:t>of “untouchability” is forbidden. The practice is an emanation of the institution which sustains it. The abolition of the practice as a manifestation is a consequence of the abolition of the institution of “unto</w:t>
      </w:r>
      <w:r>
        <w:rPr>
          <w:sz w:val="26"/>
        </w:rPr>
        <w:t>uchability”. The third significant feature is that the practice of untouchability” is forbidden “</w:t>
      </w:r>
      <w:r>
        <w:rPr>
          <w:b/>
          <w:sz w:val="26"/>
        </w:rPr>
        <w:t xml:space="preserve">in </w:t>
      </w:r>
      <w:r>
        <w:rPr>
          <w:b/>
          <w:spacing w:val="2"/>
          <w:sz w:val="26"/>
        </w:rPr>
        <w:t xml:space="preserve">any </w:t>
      </w:r>
      <w:r>
        <w:rPr>
          <w:b/>
          <w:sz w:val="26"/>
        </w:rPr>
        <w:t>form</w:t>
      </w:r>
      <w:r>
        <w:rPr>
          <w:sz w:val="26"/>
        </w:rPr>
        <w:t>”. The “in any form” prescription has a profound</w:t>
      </w:r>
      <w:r>
        <w:rPr>
          <w:spacing w:val="-10"/>
          <w:sz w:val="26"/>
        </w:rPr>
        <w:t xml:space="preserve"> </w:t>
      </w:r>
      <w:r>
        <w:rPr>
          <w:sz w:val="26"/>
        </w:rPr>
        <w:t>significance</w:t>
      </w:r>
      <w:r>
        <w:rPr>
          <w:spacing w:val="-8"/>
          <w:sz w:val="26"/>
        </w:rPr>
        <w:t xml:space="preserve"> </w:t>
      </w:r>
      <w:r>
        <w:rPr>
          <w:sz w:val="26"/>
        </w:rPr>
        <w:t>in</w:t>
      </w:r>
      <w:r>
        <w:rPr>
          <w:spacing w:val="-9"/>
          <w:sz w:val="26"/>
        </w:rPr>
        <w:t xml:space="preserve"> </w:t>
      </w:r>
      <w:r>
        <w:rPr>
          <w:sz w:val="26"/>
        </w:rPr>
        <w:t>indicating</w:t>
      </w:r>
      <w:r>
        <w:rPr>
          <w:spacing w:val="-10"/>
          <w:sz w:val="26"/>
        </w:rPr>
        <w:t xml:space="preserve"> </w:t>
      </w:r>
      <w:r>
        <w:rPr>
          <w:sz w:val="26"/>
        </w:rPr>
        <w:t>the</w:t>
      </w:r>
      <w:r>
        <w:rPr>
          <w:spacing w:val="-7"/>
          <w:sz w:val="26"/>
        </w:rPr>
        <w:t xml:space="preserve"> </w:t>
      </w:r>
      <w:r>
        <w:rPr>
          <w:sz w:val="26"/>
        </w:rPr>
        <w:t>nature</w:t>
      </w:r>
      <w:r>
        <w:rPr>
          <w:spacing w:val="-10"/>
          <w:sz w:val="26"/>
        </w:rPr>
        <w:t xml:space="preserve"> </w:t>
      </w:r>
      <w:r>
        <w:rPr>
          <w:sz w:val="26"/>
        </w:rPr>
        <w:t>and</w:t>
      </w:r>
      <w:r>
        <w:rPr>
          <w:spacing w:val="-7"/>
          <w:sz w:val="26"/>
        </w:rPr>
        <w:t xml:space="preserve"> </w:t>
      </w:r>
      <w:r>
        <w:rPr>
          <w:sz w:val="26"/>
        </w:rPr>
        <w:t>width</w:t>
      </w:r>
      <w:r>
        <w:rPr>
          <w:spacing w:val="-10"/>
          <w:sz w:val="26"/>
        </w:rPr>
        <w:t xml:space="preserve"> </w:t>
      </w:r>
      <w:r>
        <w:rPr>
          <w:sz w:val="26"/>
        </w:rPr>
        <w:t>of</w:t>
      </w:r>
      <w:r>
        <w:rPr>
          <w:spacing w:val="-9"/>
          <w:sz w:val="26"/>
        </w:rPr>
        <w:t xml:space="preserve"> </w:t>
      </w:r>
      <w:r>
        <w:rPr>
          <w:sz w:val="26"/>
        </w:rPr>
        <w:t>the</w:t>
      </w:r>
      <w:r>
        <w:rPr>
          <w:spacing w:val="-10"/>
          <w:sz w:val="26"/>
        </w:rPr>
        <w:t xml:space="preserve"> </w:t>
      </w:r>
      <w:r>
        <w:rPr>
          <w:sz w:val="26"/>
        </w:rPr>
        <w:t>prohibition.</w:t>
      </w:r>
      <w:r>
        <w:rPr>
          <w:spacing w:val="-9"/>
          <w:sz w:val="26"/>
        </w:rPr>
        <w:t xml:space="preserve"> </w:t>
      </w:r>
      <w:r>
        <w:rPr>
          <w:sz w:val="26"/>
        </w:rPr>
        <w:t>Every manifestation of untouchability without exception lies within the fold of the prohibition.</w:t>
      </w:r>
      <w:r>
        <w:rPr>
          <w:spacing w:val="46"/>
          <w:sz w:val="26"/>
        </w:rPr>
        <w:t xml:space="preserve"> </w:t>
      </w:r>
      <w:r>
        <w:rPr>
          <w:sz w:val="26"/>
        </w:rPr>
        <w:t>The</w:t>
      </w:r>
      <w:r>
        <w:rPr>
          <w:spacing w:val="-14"/>
          <w:sz w:val="26"/>
        </w:rPr>
        <w:t xml:space="preserve"> </w:t>
      </w:r>
      <w:r>
        <w:rPr>
          <w:sz w:val="26"/>
        </w:rPr>
        <w:t>fourth</w:t>
      </w:r>
      <w:r>
        <w:rPr>
          <w:spacing w:val="-13"/>
          <w:sz w:val="26"/>
        </w:rPr>
        <w:t xml:space="preserve"> </w:t>
      </w:r>
      <w:r>
        <w:rPr>
          <w:sz w:val="26"/>
        </w:rPr>
        <w:t>feature</w:t>
      </w:r>
      <w:r>
        <w:rPr>
          <w:spacing w:val="-14"/>
          <w:sz w:val="26"/>
        </w:rPr>
        <w:t xml:space="preserve"> </w:t>
      </w:r>
      <w:r>
        <w:rPr>
          <w:sz w:val="26"/>
        </w:rPr>
        <w:t>of</w:t>
      </w:r>
      <w:r>
        <w:rPr>
          <w:spacing w:val="-13"/>
          <w:sz w:val="26"/>
        </w:rPr>
        <w:t xml:space="preserve"> </w:t>
      </w:r>
      <w:r>
        <w:rPr>
          <w:sz w:val="26"/>
        </w:rPr>
        <w:t>Article</w:t>
      </w:r>
      <w:r>
        <w:rPr>
          <w:spacing w:val="-11"/>
          <w:sz w:val="26"/>
        </w:rPr>
        <w:t xml:space="preserve"> </w:t>
      </w:r>
      <w:r>
        <w:rPr>
          <w:sz w:val="26"/>
        </w:rPr>
        <w:t>17</w:t>
      </w:r>
      <w:r>
        <w:rPr>
          <w:spacing w:val="-11"/>
          <w:sz w:val="26"/>
        </w:rPr>
        <w:t xml:space="preserve"> </w:t>
      </w:r>
      <w:r>
        <w:rPr>
          <w:sz w:val="26"/>
        </w:rPr>
        <w:t>is</w:t>
      </w:r>
      <w:r>
        <w:rPr>
          <w:spacing w:val="-14"/>
          <w:sz w:val="26"/>
        </w:rPr>
        <w:t xml:space="preserve"> </w:t>
      </w:r>
      <w:r>
        <w:rPr>
          <w:sz w:val="26"/>
        </w:rPr>
        <w:t>that</w:t>
      </w:r>
      <w:r>
        <w:rPr>
          <w:spacing w:val="-13"/>
          <w:sz w:val="26"/>
        </w:rPr>
        <w:t xml:space="preserve"> </w:t>
      </w:r>
      <w:r>
        <w:rPr>
          <w:sz w:val="26"/>
        </w:rPr>
        <w:t>the</w:t>
      </w:r>
      <w:r>
        <w:rPr>
          <w:spacing w:val="-14"/>
          <w:sz w:val="26"/>
        </w:rPr>
        <w:t xml:space="preserve"> </w:t>
      </w:r>
      <w:r>
        <w:rPr>
          <w:sz w:val="26"/>
        </w:rPr>
        <w:t>enforcement</w:t>
      </w:r>
      <w:r>
        <w:rPr>
          <w:spacing w:val="-13"/>
          <w:sz w:val="26"/>
        </w:rPr>
        <w:t xml:space="preserve"> </w:t>
      </w:r>
      <w:r>
        <w:rPr>
          <w:sz w:val="26"/>
        </w:rPr>
        <w:t>of</w:t>
      </w:r>
      <w:r>
        <w:rPr>
          <w:spacing w:val="-14"/>
          <w:sz w:val="26"/>
        </w:rPr>
        <w:t xml:space="preserve"> </w:t>
      </w:r>
      <w:r>
        <w:rPr>
          <w:sz w:val="26"/>
        </w:rPr>
        <w:t>disabilities founded upon “untouchability” shall constitute an offence punishable in accordance wit</w:t>
      </w:r>
      <w:r>
        <w:rPr>
          <w:sz w:val="26"/>
        </w:rPr>
        <w:t>h law. The long arms of the criminal law will lend teeth to the enforcement of the prohibition.</w:t>
      </w:r>
    </w:p>
    <w:p w:rsidR="003B2FC0" w:rsidRDefault="003B2FC0">
      <w:pPr>
        <w:rPr>
          <w:sz w:val="28"/>
        </w:rPr>
      </w:pPr>
    </w:p>
    <w:p w:rsidR="003B2FC0" w:rsidRDefault="003B2FC0">
      <w:pPr>
        <w:rPr>
          <w:sz w:val="33"/>
        </w:rPr>
      </w:pPr>
    </w:p>
    <w:p w:rsidR="003B2FC0" w:rsidRDefault="00052A49">
      <w:pPr>
        <w:pStyle w:val="ListParagraph"/>
        <w:numPr>
          <w:ilvl w:val="0"/>
          <w:numId w:val="39"/>
        </w:numPr>
        <w:tabs>
          <w:tab w:val="left" w:pos="1120"/>
          <w:tab w:val="left" w:pos="1121"/>
        </w:tabs>
        <w:ind w:left="1120"/>
        <w:rPr>
          <w:sz w:val="26"/>
        </w:rPr>
      </w:pPr>
      <w:r>
        <w:rPr>
          <w:sz w:val="26"/>
        </w:rPr>
        <w:t>The</w:t>
      </w:r>
      <w:r>
        <w:rPr>
          <w:spacing w:val="13"/>
          <w:sz w:val="26"/>
        </w:rPr>
        <w:t xml:space="preserve"> </w:t>
      </w:r>
      <w:r>
        <w:rPr>
          <w:sz w:val="26"/>
        </w:rPr>
        <w:t>Constitution</w:t>
      </w:r>
      <w:r>
        <w:rPr>
          <w:spacing w:val="13"/>
          <w:sz w:val="26"/>
        </w:rPr>
        <w:t xml:space="preserve"> </w:t>
      </w:r>
      <w:r>
        <w:rPr>
          <w:sz w:val="26"/>
        </w:rPr>
        <w:t>has</w:t>
      </w:r>
      <w:r>
        <w:rPr>
          <w:spacing w:val="16"/>
          <w:sz w:val="26"/>
        </w:rPr>
        <w:t xml:space="preserve"> </w:t>
      </w:r>
      <w:r>
        <w:rPr>
          <w:sz w:val="26"/>
        </w:rPr>
        <w:t>carefully</w:t>
      </w:r>
      <w:r>
        <w:rPr>
          <w:spacing w:val="13"/>
          <w:sz w:val="26"/>
        </w:rPr>
        <w:t xml:space="preserve"> </w:t>
      </w:r>
      <w:r>
        <w:rPr>
          <w:sz w:val="26"/>
        </w:rPr>
        <w:t>eschewed</w:t>
      </w:r>
      <w:r>
        <w:rPr>
          <w:spacing w:val="16"/>
          <w:sz w:val="26"/>
        </w:rPr>
        <w:t xml:space="preserve"> </w:t>
      </w:r>
      <w:r>
        <w:rPr>
          <w:sz w:val="26"/>
        </w:rPr>
        <w:t>a</w:t>
      </w:r>
      <w:r>
        <w:rPr>
          <w:spacing w:val="13"/>
          <w:sz w:val="26"/>
        </w:rPr>
        <w:t xml:space="preserve"> </w:t>
      </w:r>
      <w:r>
        <w:rPr>
          <w:sz w:val="26"/>
        </w:rPr>
        <w:t>definition</w:t>
      </w:r>
      <w:r>
        <w:rPr>
          <w:spacing w:val="15"/>
          <w:sz w:val="26"/>
        </w:rPr>
        <w:t xml:space="preserve"> </w:t>
      </w:r>
      <w:r>
        <w:rPr>
          <w:sz w:val="26"/>
        </w:rPr>
        <w:t>of</w:t>
      </w:r>
      <w:r>
        <w:rPr>
          <w:spacing w:val="14"/>
          <w:sz w:val="26"/>
        </w:rPr>
        <w:t xml:space="preserve"> </w:t>
      </w:r>
      <w:r>
        <w:rPr>
          <w:sz w:val="26"/>
        </w:rPr>
        <w:t>“untouchability”.</w:t>
      </w:r>
    </w:p>
    <w:p w:rsidR="003B2FC0" w:rsidRDefault="003B2FC0">
      <w:pPr>
        <w:spacing w:before="11"/>
        <w:rPr>
          <w:sz w:val="25"/>
        </w:rPr>
      </w:pPr>
    </w:p>
    <w:p w:rsidR="003B2FC0" w:rsidRDefault="00052A49">
      <w:pPr>
        <w:spacing w:line="480" w:lineRule="auto"/>
        <w:ind w:left="400" w:right="438"/>
        <w:jc w:val="both"/>
        <w:rPr>
          <w:sz w:val="26"/>
        </w:rPr>
      </w:pPr>
      <w:r>
        <w:rPr>
          <w:sz w:val="26"/>
        </w:rPr>
        <w:t>The draftspersons realized that even a broadly couched definition may be restrictive. A definition would become restrictive if the words used or the instances depicted are not adequate to cover the manifold complexities of our social life through which pre</w:t>
      </w:r>
      <w:r>
        <w:rPr>
          <w:sz w:val="26"/>
        </w:rPr>
        <w:t>judice and discrimination is manifest. Hence,</w:t>
      </w:r>
      <w:r>
        <w:rPr>
          <w:spacing w:val="66"/>
          <w:sz w:val="26"/>
        </w:rPr>
        <w:t xml:space="preserve"> </w:t>
      </w:r>
      <w:r>
        <w:rPr>
          <w:spacing w:val="-3"/>
          <w:sz w:val="26"/>
        </w:rPr>
        <w:t>even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though</w:t>
      </w:r>
      <w:r>
        <w:rPr>
          <w:spacing w:val="-8"/>
          <w:sz w:val="26"/>
        </w:rPr>
        <w:t xml:space="preserve"> </w:t>
      </w:r>
      <w:r>
        <w:rPr>
          <w:sz w:val="26"/>
        </w:rPr>
        <w:t>the</w:t>
      </w:r>
      <w:r>
        <w:rPr>
          <w:spacing w:val="-7"/>
          <w:sz w:val="26"/>
        </w:rPr>
        <w:t xml:space="preserve"> </w:t>
      </w:r>
      <w:r>
        <w:rPr>
          <w:sz w:val="26"/>
        </w:rPr>
        <w:t>attention</w:t>
      </w:r>
      <w:r>
        <w:rPr>
          <w:spacing w:val="-4"/>
          <w:sz w:val="26"/>
        </w:rPr>
        <w:t xml:space="preserve"> </w:t>
      </w:r>
      <w:r>
        <w:rPr>
          <w:sz w:val="26"/>
        </w:rPr>
        <w:t>of</w:t>
      </w:r>
      <w:r>
        <w:rPr>
          <w:spacing w:val="-9"/>
          <w:sz w:val="26"/>
        </w:rPr>
        <w:t xml:space="preserve"> </w:t>
      </w:r>
      <w:r>
        <w:rPr>
          <w:sz w:val="26"/>
        </w:rPr>
        <w:t>the</w:t>
      </w:r>
      <w:r>
        <w:rPr>
          <w:spacing w:val="-8"/>
          <w:sz w:val="26"/>
        </w:rPr>
        <w:t xml:space="preserve"> </w:t>
      </w:r>
      <w:r>
        <w:rPr>
          <w:sz w:val="26"/>
        </w:rPr>
        <w:t>framers</w:t>
      </w:r>
      <w:r>
        <w:rPr>
          <w:spacing w:val="-6"/>
          <w:sz w:val="26"/>
        </w:rPr>
        <w:t xml:space="preserve"> </w:t>
      </w:r>
      <w:r>
        <w:rPr>
          <w:sz w:val="26"/>
        </w:rPr>
        <w:t>was</w:t>
      </w:r>
      <w:r>
        <w:rPr>
          <w:spacing w:val="-9"/>
          <w:sz w:val="26"/>
        </w:rPr>
        <w:t xml:space="preserve"> </w:t>
      </w:r>
      <w:r>
        <w:rPr>
          <w:sz w:val="26"/>
        </w:rPr>
        <w:t>drawn</w:t>
      </w:r>
      <w:r>
        <w:rPr>
          <w:spacing w:val="-9"/>
          <w:sz w:val="26"/>
        </w:rPr>
        <w:t xml:space="preserve"> </w:t>
      </w:r>
      <w:r>
        <w:rPr>
          <w:sz w:val="26"/>
        </w:rPr>
        <w:t>to</w:t>
      </w:r>
      <w:r>
        <w:rPr>
          <w:spacing w:val="-7"/>
          <w:sz w:val="26"/>
        </w:rPr>
        <w:t xml:space="preserve"> </w:t>
      </w:r>
      <w:r>
        <w:rPr>
          <w:sz w:val="26"/>
        </w:rPr>
        <w:t>the</w:t>
      </w:r>
      <w:r>
        <w:rPr>
          <w:spacing w:val="-7"/>
          <w:sz w:val="26"/>
        </w:rPr>
        <w:t xml:space="preserve"> </w:t>
      </w:r>
      <w:r>
        <w:rPr>
          <w:sz w:val="26"/>
        </w:rPr>
        <w:t>fact</w:t>
      </w:r>
      <w:r>
        <w:rPr>
          <w:spacing w:val="-7"/>
          <w:sz w:val="26"/>
        </w:rPr>
        <w:t xml:space="preserve"> </w:t>
      </w:r>
      <w:r>
        <w:rPr>
          <w:sz w:val="26"/>
        </w:rPr>
        <w:t>that</w:t>
      </w:r>
      <w:r>
        <w:rPr>
          <w:spacing w:val="-7"/>
          <w:sz w:val="26"/>
        </w:rPr>
        <w:t xml:space="preserve"> </w:t>
      </w:r>
      <w:r>
        <w:rPr>
          <w:sz w:val="26"/>
        </w:rPr>
        <w:t>“untouchability”</w:t>
      </w:r>
      <w:r>
        <w:rPr>
          <w:spacing w:val="-8"/>
          <w:sz w:val="26"/>
        </w:rPr>
        <w:t xml:space="preserve"> </w:t>
      </w:r>
      <w:r>
        <w:rPr>
          <w:sz w:val="26"/>
        </w:rPr>
        <w:t>is not a practice referable only to the lowest in the caste ordering but also was practiced against women (and in the absence of a definition, the prohibition would cover all its forms), the expression was designedly left undefined. The Constitution uses t</w:t>
      </w:r>
      <w:r>
        <w:rPr>
          <w:sz w:val="26"/>
        </w:rPr>
        <w:t>he expression “untouchability” in inverted comas. The use</w:t>
      </w:r>
      <w:r>
        <w:rPr>
          <w:spacing w:val="-46"/>
          <w:sz w:val="26"/>
        </w:rPr>
        <w:t xml:space="preserve"> </w:t>
      </w:r>
      <w:r>
        <w:rPr>
          <w:sz w:val="26"/>
        </w:rPr>
        <w:t>of a punctuation mark cannot be construed as intent to circumscribe the constitutional width of the expression. The historical backdrop to the inclusion of the provision was provided by centuries of</w:t>
      </w:r>
      <w:r>
        <w:rPr>
          <w:sz w:val="26"/>
        </w:rPr>
        <w:t xml:space="preserve"> subjugation, discrimination and social exclusion. Article 17 is an intrinsic part of the social transformation</w:t>
      </w:r>
      <w:r>
        <w:rPr>
          <w:spacing w:val="-37"/>
          <w:sz w:val="26"/>
        </w:rPr>
        <w:t xml:space="preserve"> </w:t>
      </w:r>
      <w:r>
        <w:rPr>
          <w:sz w:val="26"/>
        </w:rPr>
        <w:t>which the Constitution seeks to achieve. Hence in construing it, the language of the Constitution should not be ascribed a curtailed meaning whi</w:t>
      </w:r>
      <w:r>
        <w:rPr>
          <w:sz w:val="26"/>
        </w:rPr>
        <w:t>ch will obliterate its true purpose. “Untouchability” in any form is forbidden. The operation of the words used by the Constitution cannot be confined to a particular form or manifestation of “untouchability”. The Constitution as a constantly evolving inst</w:t>
      </w:r>
      <w:r>
        <w:rPr>
          <w:sz w:val="26"/>
        </w:rPr>
        <w:t>rument</w:t>
      </w:r>
      <w:r>
        <w:rPr>
          <w:spacing w:val="-9"/>
          <w:sz w:val="26"/>
        </w:rPr>
        <w:t xml:space="preserve"> </w:t>
      </w:r>
      <w:r>
        <w:rPr>
          <w:sz w:val="26"/>
        </w:rPr>
        <w:t>has</w:t>
      </w:r>
      <w:r>
        <w:rPr>
          <w:spacing w:val="-9"/>
          <w:sz w:val="26"/>
        </w:rPr>
        <w:t xml:space="preserve"> </w:t>
      </w:r>
      <w:r>
        <w:rPr>
          <w:sz w:val="26"/>
        </w:rPr>
        <w:t>to</w:t>
      </w:r>
      <w:r>
        <w:rPr>
          <w:spacing w:val="-9"/>
          <w:sz w:val="26"/>
        </w:rPr>
        <w:t xml:space="preserve"> </w:t>
      </w:r>
      <w:r>
        <w:rPr>
          <w:sz w:val="26"/>
        </w:rPr>
        <w:t>be</w:t>
      </w:r>
      <w:r>
        <w:rPr>
          <w:spacing w:val="-7"/>
          <w:sz w:val="26"/>
        </w:rPr>
        <w:t xml:space="preserve"> </w:t>
      </w:r>
      <w:r>
        <w:rPr>
          <w:sz w:val="26"/>
        </w:rPr>
        <w:t>flexible</w:t>
      </w:r>
      <w:r>
        <w:rPr>
          <w:spacing w:val="-7"/>
          <w:sz w:val="26"/>
        </w:rPr>
        <w:t xml:space="preserve"> </w:t>
      </w:r>
      <w:r>
        <w:rPr>
          <w:sz w:val="26"/>
        </w:rPr>
        <w:t>to</w:t>
      </w:r>
      <w:r>
        <w:rPr>
          <w:spacing w:val="-9"/>
          <w:sz w:val="26"/>
        </w:rPr>
        <w:t xml:space="preserve"> </w:t>
      </w:r>
      <w:r>
        <w:rPr>
          <w:sz w:val="26"/>
        </w:rPr>
        <w:t>reach</w:t>
      </w:r>
      <w:r>
        <w:rPr>
          <w:spacing w:val="-7"/>
          <w:sz w:val="26"/>
        </w:rPr>
        <w:t xml:space="preserve"> </w:t>
      </w:r>
      <w:r>
        <w:rPr>
          <w:sz w:val="26"/>
        </w:rPr>
        <w:t>out</w:t>
      </w:r>
      <w:r>
        <w:rPr>
          <w:spacing w:val="-6"/>
          <w:sz w:val="26"/>
        </w:rPr>
        <w:t xml:space="preserve"> </w:t>
      </w:r>
      <w:r>
        <w:rPr>
          <w:sz w:val="26"/>
        </w:rPr>
        <w:t>to</w:t>
      </w:r>
      <w:r>
        <w:rPr>
          <w:spacing w:val="-9"/>
          <w:sz w:val="26"/>
        </w:rPr>
        <w:t xml:space="preserve"> </w:t>
      </w:r>
      <w:r>
        <w:rPr>
          <w:sz w:val="26"/>
        </w:rPr>
        <w:t>injustice</w:t>
      </w:r>
      <w:r>
        <w:rPr>
          <w:spacing w:val="-7"/>
          <w:sz w:val="26"/>
        </w:rPr>
        <w:t xml:space="preserve"> </w:t>
      </w:r>
      <w:r>
        <w:rPr>
          <w:sz w:val="26"/>
        </w:rPr>
        <w:t>based</w:t>
      </w:r>
      <w:r>
        <w:rPr>
          <w:spacing w:val="-9"/>
          <w:sz w:val="26"/>
        </w:rPr>
        <w:t xml:space="preserve"> </w:t>
      </w:r>
      <w:r>
        <w:rPr>
          <w:sz w:val="26"/>
        </w:rPr>
        <w:t>on</w:t>
      </w:r>
      <w:r>
        <w:rPr>
          <w:spacing w:val="-7"/>
          <w:sz w:val="26"/>
        </w:rPr>
        <w:t xml:space="preserve"> </w:t>
      </w:r>
      <w:r>
        <w:rPr>
          <w:sz w:val="26"/>
        </w:rPr>
        <w:t>untouchability,</w:t>
      </w:r>
      <w:r>
        <w:rPr>
          <w:spacing w:val="-9"/>
          <w:sz w:val="26"/>
        </w:rPr>
        <w:t xml:space="preserve"> </w:t>
      </w:r>
      <w:r>
        <w:rPr>
          <w:sz w:val="26"/>
        </w:rPr>
        <w:t xml:space="preserve">in any of its forms or manifestations. Article 17 </w:t>
      </w:r>
      <w:r>
        <w:rPr>
          <w:spacing w:val="3"/>
          <w:sz w:val="26"/>
        </w:rPr>
        <w:t xml:space="preserve">is </w:t>
      </w:r>
      <w:r>
        <w:rPr>
          <w:sz w:val="26"/>
        </w:rPr>
        <w:t>a powerful guarantee against exclusion. As an expression of the anti-exclusion principle, it cannot be read to exclude women a</w:t>
      </w:r>
      <w:r>
        <w:rPr>
          <w:sz w:val="26"/>
        </w:rPr>
        <w:t>gainst whom social exclusion of the worst kind has been practiced and legitimized on notions of purity and</w:t>
      </w:r>
      <w:r>
        <w:rPr>
          <w:spacing w:val="-3"/>
          <w:sz w:val="26"/>
        </w:rPr>
        <w:t xml:space="preserve"> </w:t>
      </w:r>
      <w:r>
        <w:rPr>
          <w:sz w:val="26"/>
        </w:rPr>
        <w:t>pollution.</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ind w:left="1120"/>
        <w:jc w:val="both"/>
        <w:rPr>
          <w:sz w:val="26"/>
        </w:rPr>
      </w:pPr>
      <w:r>
        <w:rPr>
          <w:sz w:val="26"/>
        </w:rPr>
        <w:t>The</w:t>
      </w:r>
      <w:r>
        <w:rPr>
          <w:spacing w:val="12"/>
          <w:sz w:val="26"/>
        </w:rPr>
        <w:t xml:space="preserve"> </w:t>
      </w:r>
      <w:r>
        <w:rPr>
          <w:sz w:val="26"/>
        </w:rPr>
        <w:t>provisions</w:t>
      </w:r>
      <w:r>
        <w:rPr>
          <w:spacing w:val="12"/>
          <w:sz w:val="26"/>
        </w:rPr>
        <w:t xml:space="preserve"> </w:t>
      </w:r>
      <w:r>
        <w:rPr>
          <w:sz w:val="26"/>
        </w:rPr>
        <w:t>of</w:t>
      </w:r>
      <w:r>
        <w:rPr>
          <w:spacing w:val="15"/>
          <w:sz w:val="26"/>
        </w:rPr>
        <w:t xml:space="preserve"> </w:t>
      </w:r>
      <w:r>
        <w:rPr>
          <w:sz w:val="26"/>
        </w:rPr>
        <w:t>Article</w:t>
      </w:r>
      <w:r>
        <w:rPr>
          <w:spacing w:val="12"/>
          <w:sz w:val="26"/>
        </w:rPr>
        <w:t xml:space="preserve"> </w:t>
      </w:r>
      <w:r>
        <w:rPr>
          <w:sz w:val="26"/>
        </w:rPr>
        <w:t>17</w:t>
      </w:r>
      <w:r>
        <w:rPr>
          <w:spacing w:val="14"/>
          <w:sz w:val="26"/>
        </w:rPr>
        <w:t xml:space="preserve"> </w:t>
      </w:r>
      <w:r>
        <w:rPr>
          <w:sz w:val="26"/>
        </w:rPr>
        <w:t>have</w:t>
      </w:r>
      <w:r>
        <w:rPr>
          <w:spacing w:val="13"/>
          <w:sz w:val="26"/>
        </w:rPr>
        <w:t xml:space="preserve"> </w:t>
      </w:r>
      <w:r>
        <w:rPr>
          <w:sz w:val="26"/>
        </w:rPr>
        <w:t>been</w:t>
      </w:r>
      <w:r>
        <w:rPr>
          <w:spacing w:val="15"/>
          <w:sz w:val="26"/>
        </w:rPr>
        <w:t xml:space="preserve"> </w:t>
      </w:r>
      <w:r>
        <w:rPr>
          <w:sz w:val="26"/>
        </w:rPr>
        <w:t>adverted</w:t>
      </w:r>
      <w:r>
        <w:rPr>
          <w:spacing w:val="15"/>
          <w:sz w:val="26"/>
        </w:rPr>
        <w:t xml:space="preserve"> </w:t>
      </w:r>
      <w:r>
        <w:rPr>
          <w:sz w:val="26"/>
        </w:rPr>
        <w:t>to</w:t>
      </w:r>
      <w:r>
        <w:rPr>
          <w:spacing w:val="12"/>
          <w:sz w:val="26"/>
        </w:rPr>
        <w:t xml:space="preserve"> </w:t>
      </w:r>
      <w:r>
        <w:rPr>
          <w:sz w:val="26"/>
        </w:rPr>
        <w:t>in</w:t>
      </w:r>
      <w:r>
        <w:rPr>
          <w:spacing w:val="12"/>
          <w:sz w:val="26"/>
        </w:rPr>
        <w:t xml:space="preserve"> </w:t>
      </w:r>
      <w:r>
        <w:rPr>
          <w:sz w:val="26"/>
        </w:rPr>
        <w:t>judicial</w:t>
      </w:r>
      <w:r>
        <w:rPr>
          <w:spacing w:val="18"/>
          <w:sz w:val="26"/>
        </w:rPr>
        <w:t xml:space="preserve"> </w:t>
      </w:r>
      <w:r>
        <w:rPr>
          <w:sz w:val="26"/>
        </w:rPr>
        <w:t>decisions.</w:t>
      </w:r>
    </w:p>
    <w:p w:rsidR="003B2FC0" w:rsidRDefault="003B2FC0">
      <w:pPr>
        <w:spacing w:before="5"/>
        <w:rPr>
          <w:sz w:val="25"/>
        </w:rPr>
      </w:pPr>
    </w:p>
    <w:p w:rsidR="003B2FC0" w:rsidRDefault="00052A49">
      <w:pPr>
        <w:ind w:left="400"/>
        <w:jc w:val="both"/>
        <w:rPr>
          <w:sz w:val="26"/>
        </w:rPr>
      </w:pPr>
      <w:r>
        <w:rPr>
          <w:sz w:val="26"/>
        </w:rPr>
        <w:t xml:space="preserve">In </w:t>
      </w:r>
      <w:r>
        <w:rPr>
          <w:b/>
          <w:sz w:val="26"/>
        </w:rPr>
        <w:t xml:space="preserve">Devarajiah </w:t>
      </w:r>
      <w:r>
        <w:rPr>
          <w:sz w:val="26"/>
        </w:rPr>
        <w:t xml:space="preserve">v </w:t>
      </w:r>
      <w:r>
        <w:rPr>
          <w:b/>
          <w:sz w:val="26"/>
        </w:rPr>
        <w:t>B Padmanna</w:t>
      </w:r>
      <w:r>
        <w:rPr>
          <w:position w:val="9"/>
          <w:sz w:val="17"/>
        </w:rPr>
        <w:t>106</w:t>
      </w:r>
      <w:r>
        <w:rPr>
          <w:sz w:val="26"/>
        </w:rPr>
        <w:t>, a learned single judge of the Mysore High</w:t>
      </w:r>
    </w:p>
    <w:p w:rsidR="003B2FC0" w:rsidRDefault="003B2FC0">
      <w:pPr>
        <w:rPr>
          <w:sz w:val="20"/>
        </w:rPr>
      </w:pPr>
    </w:p>
    <w:p w:rsidR="003B2FC0" w:rsidRDefault="003B2FC0">
      <w:pPr>
        <w:rPr>
          <w:sz w:val="20"/>
        </w:rPr>
      </w:pPr>
    </w:p>
    <w:p w:rsidR="003B2FC0" w:rsidRDefault="003B2FC0">
      <w:pPr>
        <w:spacing w:before="8"/>
        <w:rPr>
          <w:sz w:val="15"/>
        </w:rPr>
      </w:pPr>
      <w:r w:rsidRPr="003B2FC0">
        <w:pict>
          <v:line id="_x0000_s1093" style="position:absolute;z-index:251622912;mso-wrap-distance-left:0;mso-wrap-distance-right:0;mso-position-horizontal-relative:page" from="1in,11.4pt" to="216.05pt,11.4pt" strokeweight=".72pt">
            <w10:wrap type="topAndBottom" anchorx="page"/>
          </v:line>
        </w:pict>
      </w:r>
    </w:p>
    <w:p w:rsidR="003B2FC0" w:rsidRDefault="00052A49">
      <w:pPr>
        <w:spacing w:before="66"/>
        <w:ind w:left="400"/>
        <w:rPr>
          <w:sz w:val="18"/>
        </w:rPr>
      </w:pPr>
      <w:r>
        <w:rPr>
          <w:position w:val="6"/>
          <w:sz w:val="12"/>
        </w:rPr>
        <w:t xml:space="preserve">106 </w:t>
      </w:r>
      <w:r>
        <w:rPr>
          <w:sz w:val="18"/>
        </w:rPr>
        <w:t>AIR 1958 Mys 84</w:t>
      </w:r>
    </w:p>
    <w:p w:rsidR="003B2FC0" w:rsidRDefault="003B2FC0">
      <w:pPr>
        <w:rPr>
          <w:sz w:val="18"/>
        </w:rPr>
        <w:sectPr w:rsidR="003B2FC0">
          <w:footerReference w:type="default" r:id="rId380"/>
          <w:pgSz w:w="11910" w:h="16840"/>
          <w:pgMar w:top="1080" w:right="980" w:bottom="1200" w:left="1040" w:header="708" w:footer="1000" w:gutter="0"/>
          <w:pgNumType w:start="11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Court</w:t>
      </w:r>
      <w:r>
        <w:rPr>
          <w:spacing w:val="-17"/>
          <w:sz w:val="26"/>
        </w:rPr>
        <w:t xml:space="preserve"> </w:t>
      </w:r>
      <w:r>
        <w:rPr>
          <w:sz w:val="26"/>
        </w:rPr>
        <w:t>observed</w:t>
      </w:r>
      <w:r>
        <w:rPr>
          <w:spacing w:val="-17"/>
          <w:sz w:val="26"/>
        </w:rPr>
        <w:t xml:space="preserve"> </w:t>
      </w:r>
      <w:r>
        <w:rPr>
          <w:sz w:val="26"/>
        </w:rPr>
        <w:t>that</w:t>
      </w:r>
      <w:r>
        <w:rPr>
          <w:spacing w:val="-16"/>
          <w:sz w:val="26"/>
        </w:rPr>
        <w:t xml:space="preserve"> </w:t>
      </w:r>
      <w:r>
        <w:rPr>
          <w:sz w:val="26"/>
        </w:rPr>
        <w:t>the</w:t>
      </w:r>
      <w:r>
        <w:rPr>
          <w:spacing w:val="-17"/>
          <w:sz w:val="26"/>
        </w:rPr>
        <w:t xml:space="preserve"> </w:t>
      </w:r>
      <w:r>
        <w:rPr>
          <w:sz w:val="26"/>
        </w:rPr>
        <w:t>absence</w:t>
      </w:r>
      <w:r>
        <w:rPr>
          <w:spacing w:val="-16"/>
          <w:sz w:val="26"/>
        </w:rPr>
        <w:t xml:space="preserve"> </w:t>
      </w:r>
      <w:r>
        <w:rPr>
          <w:sz w:val="26"/>
        </w:rPr>
        <w:t>of</w:t>
      </w:r>
      <w:r>
        <w:rPr>
          <w:spacing w:val="-17"/>
          <w:sz w:val="26"/>
        </w:rPr>
        <w:t xml:space="preserve"> </w:t>
      </w:r>
      <w:r>
        <w:rPr>
          <w:sz w:val="26"/>
        </w:rPr>
        <w:t>a</w:t>
      </w:r>
      <w:r>
        <w:rPr>
          <w:spacing w:val="-16"/>
          <w:sz w:val="26"/>
        </w:rPr>
        <w:t xml:space="preserve"> </w:t>
      </w:r>
      <w:r>
        <w:rPr>
          <w:sz w:val="26"/>
        </w:rPr>
        <w:t>definition</w:t>
      </w:r>
      <w:r>
        <w:rPr>
          <w:spacing w:val="-17"/>
          <w:sz w:val="26"/>
        </w:rPr>
        <w:t xml:space="preserve"> </w:t>
      </w:r>
      <w:r>
        <w:rPr>
          <w:sz w:val="26"/>
        </w:rPr>
        <w:t>of</w:t>
      </w:r>
      <w:r>
        <w:rPr>
          <w:spacing w:val="-16"/>
          <w:sz w:val="26"/>
        </w:rPr>
        <w:t xml:space="preserve"> </w:t>
      </w:r>
      <w:r>
        <w:rPr>
          <w:sz w:val="26"/>
        </w:rPr>
        <w:t>the</w:t>
      </w:r>
      <w:r>
        <w:rPr>
          <w:spacing w:val="-17"/>
          <w:sz w:val="26"/>
        </w:rPr>
        <w:t xml:space="preserve"> </w:t>
      </w:r>
      <w:r>
        <w:rPr>
          <w:sz w:val="26"/>
        </w:rPr>
        <w:t>expression</w:t>
      </w:r>
      <w:r>
        <w:rPr>
          <w:spacing w:val="-17"/>
          <w:sz w:val="26"/>
        </w:rPr>
        <w:t xml:space="preserve"> </w:t>
      </w:r>
      <w:r>
        <w:rPr>
          <w:sz w:val="26"/>
        </w:rPr>
        <w:t>“untouchability in the Constitution and the use of inverted commas indicated that “the subject- matter of that Article is not untouchability in its literal or grammatical sense but the practice as it had developed historically in this country”. The learned</w:t>
      </w:r>
      <w:r>
        <w:rPr>
          <w:sz w:val="26"/>
        </w:rPr>
        <w:t xml:space="preserve"> single judge held</w:t>
      </w:r>
      <w:r>
        <w:rPr>
          <w:spacing w:val="-3"/>
          <w:sz w:val="26"/>
        </w:rPr>
        <w:t xml:space="preserve"> </w:t>
      </w:r>
      <w:r>
        <w:rPr>
          <w:sz w:val="26"/>
        </w:rPr>
        <w:t>:</w:t>
      </w:r>
    </w:p>
    <w:p w:rsidR="003B2FC0" w:rsidRDefault="00052A49">
      <w:pPr>
        <w:spacing w:before="199" w:line="276" w:lineRule="auto"/>
        <w:ind w:left="1840" w:right="2257"/>
        <w:jc w:val="both"/>
        <w:rPr>
          <w:sz w:val="14"/>
        </w:rPr>
      </w:pPr>
      <w:r>
        <w:rPr>
          <w:sz w:val="21"/>
        </w:rPr>
        <w:t>“18.Comprehensive as the word ‘untouchables’ in the Act is intended to be, it can only refer to those regarded as untouchables in the course of historical development. A literal construction</w:t>
      </w:r>
      <w:r>
        <w:rPr>
          <w:spacing w:val="-9"/>
          <w:sz w:val="21"/>
        </w:rPr>
        <w:t xml:space="preserve"> </w:t>
      </w:r>
      <w:r>
        <w:rPr>
          <w:sz w:val="21"/>
        </w:rPr>
        <w:t>of</w:t>
      </w:r>
      <w:r>
        <w:rPr>
          <w:spacing w:val="-7"/>
          <w:sz w:val="21"/>
        </w:rPr>
        <w:t xml:space="preserve"> </w:t>
      </w:r>
      <w:r>
        <w:rPr>
          <w:sz w:val="21"/>
        </w:rPr>
        <w:t>the</w:t>
      </w:r>
      <w:r>
        <w:rPr>
          <w:spacing w:val="-9"/>
          <w:sz w:val="21"/>
        </w:rPr>
        <w:t xml:space="preserve"> </w:t>
      </w:r>
      <w:r>
        <w:rPr>
          <w:sz w:val="21"/>
        </w:rPr>
        <w:t>term</w:t>
      </w:r>
      <w:r>
        <w:rPr>
          <w:spacing w:val="-7"/>
          <w:sz w:val="21"/>
        </w:rPr>
        <w:t xml:space="preserve"> </w:t>
      </w:r>
      <w:r>
        <w:rPr>
          <w:sz w:val="21"/>
        </w:rPr>
        <w:t>would</w:t>
      </w:r>
      <w:r>
        <w:rPr>
          <w:spacing w:val="-9"/>
          <w:sz w:val="21"/>
        </w:rPr>
        <w:t xml:space="preserve"> </w:t>
      </w:r>
      <w:r>
        <w:rPr>
          <w:sz w:val="21"/>
        </w:rPr>
        <w:t>include</w:t>
      </w:r>
      <w:r>
        <w:rPr>
          <w:spacing w:val="-8"/>
          <w:sz w:val="21"/>
        </w:rPr>
        <w:t xml:space="preserve"> </w:t>
      </w:r>
      <w:r>
        <w:rPr>
          <w:sz w:val="21"/>
        </w:rPr>
        <w:t>persons</w:t>
      </w:r>
      <w:r>
        <w:rPr>
          <w:spacing w:val="-9"/>
          <w:sz w:val="21"/>
        </w:rPr>
        <w:t xml:space="preserve"> </w:t>
      </w:r>
      <w:r>
        <w:rPr>
          <w:sz w:val="21"/>
        </w:rPr>
        <w:t>who</w:t>
      </w:r>
      <w:r>
        <w:rPr>
          <w:spacing w:val="-10"/>
          <w:sz w:val="21"/>
        </w:rPr>
        <w:t xml:space="preserve"> </w:t>
      </w:r>
      <w:r>
        <w:rPr>
          <w:sz w:val="21"/>
        </w:rPr>
        <w:t>are</w:t>
      </w:r>
      <w:r>
        <w:rPr>
          <w:spacing w:val="-10"/>
          <w:sz w:val="21"/>
        </w:rPr>
        <w:t xml:space="preserve"> </w:t>
      </w:r>
      <w:r>
        <w:rPr>
          <w:sz w:val="21"/>
        </w:rPr>
        <w:t>treated as untouchables either temporarily or otherwise for various reasons,</w:t>
      </w:r>
      <w:r>
        <w:rPr>
          <w:spacing w:val="-17"/>
          <w:sz w:val="21"/>
        </w:rPr>
        <w:t xml:space="preserve"> </w:t>
      </w:r>
      <w:r>
        <w:rPr>
          <w:sz w:val="21"/>
        </w:rPr>
        <w:t>such</w:t>
      </w:r>
      <w:r>
        <w:rPr>
          <w:spacing w:val="-15"/>
          <w:sz w:val="21"/>
        </w:rPr>
        <w:t xml:space="preserve"> </w:t>
      </w:r>
      <w:r>
        <w:rPr>
          <w:sz w:val="21"/>
        </w:rPr>
        <w:t>as</w:t>
      </w:r>
      <w:r>
        <w:rPr>
          <w:spacing w:val="-15"/>
          <w:sz w:val="21"/>
        </w:rPr>
        <w:t xml:space="preserve"> </w:t>
      </w:r>
      <w:r>
        <w:rPr>
          <w:sz w:val="21"/>
        </w:rPr>
        <w:t>their</w:t>
      </w:r>
      <w:r>
        <w:rPr>
          <w:spacing w:val="-16"/>
          <w:sz w:val="21"/>
        </w:rPr>
        <w:t xml:space="preserve"> </w:t>
      </w:r>
      <w:r>
        <w:rPr>
          <w:sz w:val="21"/>
        </w:rPr>
        <w:t>suffering</w:t>
      </w:r>
      <w:r>
        <w:rPr>
          <w:spacing w:val="-15"/>
          <w:sz w:val="21"/>
        </w:rPr>
        <w:t xml:space="preserve"> </w:t>
      </w:r>
      <w:r>
        <w:rPr>
          <w:sz w:val="21"/>
        </w:rPr>
        <w:t>from</w:t>
      </w:r>
      <w:r>
        <w:rPr>
          <w:spacing w:val="-14"/>
          <w:sz w:val="21"/>
        </w:rPr>
        <w:t xml:space="preserve"> </w:t>
      </w:r>
      <w:r>
        <w:rPr>
          <w:sz w:val="21"/>
        </w:rPr>
        <w:t>an</w:t>
      </w:r>
      <w:r>
        <w:rPr>
          <w:spacing w:val="-15"/>
          <w:sz w:val="21"/>
        </w:rPr>
        <w:t xml:space="preserve"> </w:t>
      </w:r>
      <w:r>
        <w:rPr>
          <w:sz w:val="21"/>
        </w:rPr>
        <w:t>epidemic</w:t>
      </w:r>
      <w:r>
        <w:rPr>
          <w:spacing w:val="-15"/>
          <w:sz w:val="21"/>
        </w:rPr>
        <w:t xml:space="preserve"> </w:t>
      </w:r>
      <w:r>
        <w:rPr>
          <w:sz w:val="21"/>
        </w:rPr>
        <w:t>or</w:t>
      </w:r>
      <w:r>
        <w:rPr>
          <w:spacing w:val="-16"/>
          <w:sz w:val="21"/>
        </w:rPr>
        <w:t xml:space="preserve"> </w:t>
      </w:r>
      <w:r>
        <w:rPr>
          <w:sz w:val="21"/>
        </w:rPr>
        <w:t>contagious disease or on account of social observances such as are associated with birth or death or on account of social boycott resulting from caste or other</w:t>
      </w:r>
      <w:r>
        <w:rPr>
          <w:spacing w:val="-10"/>
          <w:sz w:val="21"/>
        </w:rPr>
        <w:t xml:space="preserve"> </w:t>
      </w:r>
      <w:r>
        <w:rPr>
          <w:sz w:val="21"/>
        </w:rPr>
        <w:t>disputes.”</w:t>
      </w:r>
      <w:r>
        <w:rPr>
          <w:position w:val="7"/>
          <w:sz w:val="14"/>
        </w:rPr>
        <w:t>107</w:t>
      </w:r>
    </w:p>
    <w:p w:rsidR="003B2FC0" w:rsidRDefault="003B2FC0">
      <w:pPr>
        <w:rPr>
          <w:sz w:val="24"/>
        </w:rPr>
      </w:pPr>
    </w:p>
    <w:p w:rsidR="003B2FC0" w:rsidRDefault="003B2FC0">
      <w:pPr>
        <w:spacing w:before="3"/>
        <w:rPr>
          <w:sz w:val="34"/>
        </w:rPr>
      </w:pPr>
    </w:p>
    <w:p w:rsidR="003B2FC0" w:rsidRDefault="00052A49">
      <w:pPr>
        <w:spacing w:line="480" w:lineRule="auto"/>
        <w:ind w:left="400" w:right="460"/>
        <w:jc w:val="both"/>
        <w:rPr>
          <w:sz w:val="26"/>
        </w:rPr>
      </w:pPr>
      <w:r>
        <w:rPr>
          <w:sz w:val="26"/>
        </w:rPr>
        <w:t xml:space="preserve">In </w:t>
      </w:r>
      <w:r>
        <w:rPr>
          <w:b/>
          <w:sz w:val="26"/>
        </w:rPr>
        <w:t xml:space="preserve">Jai Singh </w:t>
      </w:r>
      <w:r>
        <w:rPr>
          <w:sz w:val="26"/>
        </w:rPr>
        <w:t xml:space="preserve">v </w:t>
      </w:r>
      <w:r>
        <w:rPr>
          <w:b/>
          <w:sz w:val="26"/>
        </w:rPr>
        <w:t>Union of India</w:t>
      </w:r>
      <w:r>
        <w:rPr>
          <w:position w:val="9"/>
          <w:sz w:val="17"/>
        </w:rPr>
        <w:t>108</w:t>
      </w:r>
      <w:r>
        <w:rPr>
          <w:sz w:val="26"/>
        </w:rPr>
        <w:t>, a Full Bench of the Rajasthan High Court follo</w:t>
      </w:r>
      <w:r>
        <w:rPr>
          <w:sz w:val="26"/>
        </w:rPr>
        <w:t xml:space="preserve">wed the decision of the Mysore High Court in </w:t>
      </w:r>
      <w:r>
        <w:rPr>
          <w:b/>
          <w:sz w:val="26"/>
        </w:rPr>
        <w:t xml:space="preserve">Devarajiah </w:t>
      </w:r>
      <w:r>
        <w:rPr>
          <w:sz w:val="26"/>
        </w:rPr>
        <w:t>while upholding the  constitutional  validity  of   the   Scheduled   Castes and Scheduled  Tribes (Prevention of Atrocities) Act</w:t>
      </w:r>
      <w:r>
        <w:rPr>
          <w:spacing w:val="-1"/>
          <w:sz w:val="26"/>
        </w:rPr>
        <w:t xml:space="preserve"> </w:t>
      </w:r>
      <w:r>
        <w:rPr>
          <w:sz w:val="26"/>
        </w:rPr>
        <w:t>1989.</w:t>
      </w:r>
    </w:p>
    <w:p w:rsidR="003B2FC0" w:rsidRDefault="003B2FC0">
      <w:pPr>
        <w:rPr>
          <w:sz w:val="28"/>
        </w:rPr>
      </w:pPr>
    </w:p>
    <w:p w:rsidR="003B2FC0" w:rsidRDefault="003B2FC0">
      <w:pPr>
        <w:spacing w:before="4"/>
        <w:rPr>
          <w:sz w:val="32"/>
        </w:rPr>
      </w:pPr>
    </w:p>
    <w:p w:rsidR="003B2FC0" w:rsidRDefault="00052A49">
      <w:pPr>
        <w:spacing w:line="480" w:lineRule="auto"/>
        <w:ind w:left="400" w:right="464"/>
        <w:jc w:val="both"/>
        <w:rPr>
          <w:sz w:val="26"/>
        </w:rPr>
      </w:pPr>
      <w:r>
        <w:rPr>
          <w:sz w:val="26"/>
        </w:rPr>
        <w:t xml:space="preserve">In </w:t>
      </w:r>
      <w:r>
        <w:rPr>
          <w:b/>
          <w:sz w:val="26"/>
        </w:rPr>
        <w:t xml:space="preserve">State of Karnataka </w:t>
      </w:r>
      <w:r>
        <w:rPr>
          <w:sz w:val="26"/>
        </w:rPr>
        <w:t xml:space="preserve">v </w:t>
      </w:r>
      <w:r>
        <w:rPr>
          <w:b/>
          <w:sz w:val="26"/>
        </w:rPr>
        <w:t>Appa Balu Ingale</w:t>
      </w:r>
      <w:r>
        <w:rPr>
          <w:position w:val="9"/>
          <w:sz w:val="17"/>
        </w:rPr>
        <w:t>109</w:t>
      </w:r>
      <w:r>
        <w:rPr>
          <w:sz w:val="26"/>
        </w:rPr>
        <w:t>, a two judge Bench</w:t>
      </w:r>
      <w:r>
        <w:rPr>
          <w:sz w:val="26"/>
        </w:rPr>
        <w:t xml:space="preserve"> of this Court traced the origins of untouchability. The court held that “untouchability is an indirect</w:t>
      </w:r>
      <w:r>
        <w:rPr>
          <w:spacing w:val="-6"/>
          <w:sz w:val="26"/>
        </w:rPr>
        <w:t xml:space="preserve"> </w:t>
      </w:r>
      <w:r>
        <w:rPr>
          <w:sz w:val="26"/>
        </w:rPr>
        <w:t>form</w:t>
      </w:r>
      <w:r>
        <w:rPr>
          <w:spacing w:val="-5"/>
          <w:sz w:val="26"/>
        </w:rPr>
        <w:t xml:space="preserve"> </w:t>
      </w:r>
      <w:r>
        <w:rPr>
          <w:sz w:val="26"/>
        </w:rPr>
        <w:t>of</w:t>
      </w:r>
      <w:r>
        <w:rPr>
          <w:spacing w:val="-5"/>
          <w:sz w:val="26"/>
        </w:rPr>
        <w:t xml:space="preserve"> </w:t>
      </w:r>
      <w:r>
        <w:rPr>
          <w:sz w:val="26"/>
        </w:rPr>
        <w:t>slavery</w:t>
      </w:r>
      <w:r>
        <w:rPr>
          <w:spacing w:val="-6"/>
          <w:sz w:val="26"/>
        </w:rPr>
        <w:t xml:space="preserve"> </w:t>
      </w:r>
      <w:r>
        <w:rPr>
          <w:sz w:val="26"/>
        </w:rPr>
        <w:t>and</w:t>
      </w:r>
      <w:r>
        <w:rPr>
          <w:spacing w:val="-5"/>
          <w:sz w:val="26"/>
        </w:rPr>
        <w:t xml:space="preserve"> </w:t>
      </w:r>
      <w:r>
        <w:rPr>
          <w:sz w:val="26"/>
        </w:rPr>
        <w:t>only</w:t>
      </w:r>
      <w:r>
        <w:rPr>
          <w:spacing w:val="-5"/>
          <w:sz w:val="26"/>
        </w:rPr>
        <w:t xml:space="preserve"> </w:t>
      </w:r>
      <w:r>
        <w:rPr>
          <w:sz w:val="26"/>
        </w:rPr>
        <w:t>an</w:t>
      </w:r>
      <w:r>
        <w:rPr>
          <w:spacing w:val="-4"/>
          <w:sz w:val="26"/>
        </w:rPr>
        <w:t xml:space="preserve"> </w:t>
      </w:r>
      <w:r>
        <w:rPr>
          <w:sz w:val="26"/>
        </w:rPr>
        <w:t>extension</w:t>
      </w:r>
      <w:r>
        <w:rPr>
          <w:spacing w:val="-5"/>
          <w:sz w:val="26"/>
        </w:rPr>
        <w:t xml:space="preserve"> </w:t>
      </w:r>
      <w:r>
        <w:rPr>
          <w:sz w:val="26"/>
        </w:rPr>
        <w:t>of</w:t>
      </w:r>
      <w:r>
        <w:rPr>
          <w:spacing w:val="-5"/>
          <w:sz w:val="26"/>
        </w:rPr>
        <w:t xml:space="preserve"> </w:t>
      </w:r>
      <w:r>
        <w:rPr>
          <w:sz w:val="26"/>
        </w:rPr>
        <w:t>caste</w:t>
      </w:r>
      <w:r>
        <w:rPr>
          <w:spacing w:val="-5"/>
          <w:sz w:val="26"/>
        </w:rPr>
        <w:t xml:space="preserve"> </w:t>
      </w:r>
      <w:r>
        <w:rPr>
          <w:sz w:val="26"/>
        </w:rPr>
        <w:t>system”.</w:t>
      </w:r>
      <w:r>
        <w:rPr>
          <w:spacing w:val="-4"/>
          <w:sz w:val="26"/>
        </w:rPr>
        <w:t xml:space="preserve"> </w:t>
      </w:r>
      <w:r>
        <w:rPr>
          <w:sz w:val="26"/>
        </w:rPr>
        <w:t>The</w:t>
      </w:r>
      <w:r>
        <w:rPr>
          <w:spacing w:val="-5"/>
          <w:sz w:val="26"/>
        </w:rPr>
        <w:t xml:space="preserve"> </w:t>
      </w:r>
      <w:r>
        <w:rPr>
          <w:sz w:val="26"/>
        </w:rPr>
        <w:t>court</w:t>
      </w:r>
      <w:r>
        <w:rPr>
          <w:spacing w:val="-6"/>
          <w:sz w:val="26"/>
        </w:rPr>
        <w:t xml:space="preserve"> </w:t>
      </w:r>
      <w:r>
        <w:rPr>
          <w:sz w:val="26"/>
        </w:rPr>
        <w:t>held:</w:t>
      </w:r>
    </w:p>
    <w:p w:rsidR="003B2FC0" w:rsidRDefault="00052A49">
      <w:pPr>
        <w:spacing w:before="198" w:line="276" w:lineRule="auto"/>
        <w:ind w:left="1840" w:right="2257"/>
        <w:jc w:val="both"/>
        <w:rPr>
          <w:sz w:val="21"/>
        </w:rPr>
      </w:pPr>
      <w:r>
        <w:rPr>
          <w:b/>
          <w:sz w:val="21"/>
        </w:rPr>
        <w:t>“</w:t>
      </w:r>
      <w:r>
        <w:rPr>
          <w:sz w:val="21"/>
        </w:rPr>
        <w:t>36</w:t>
      </w:r>
      <w:r>
        <w:rPr>
          <w:b/>
          <w:sz w:val="21"/>
        </w:rPr>
        <w:t>.</w:t>
      </w:r>
      <w:r>
        <w:rPr>
          <w:b/>
          <w:spacing w:val="-14"/>
          <w:sz w:val="21"/>
        </w:rPr>
        <w:t xml:space="preserve"> </w:t>
      </w:r>
      <w:r>
        <w:rPr>
          <w:sz w:val="21"/>
        </w:rPr>
        <w:t>The</w:t>
      </w:r>
      <w:r>
        <w:rPr>
          <w:spacing w:val="-13"/>
          <w:sz w:val="21"/>
        </w:rPr>
        <w:t xml:space="preserve"> </w:t>
      </w:r>
      <w:r>
        <w:rPr>
          <w:sz w:val="21"/>
        </w:rPr>
        <w:t>thrust</w:t>
      </w:r>
      <w:r>
        <w:rPr>
          <w:spacing w:val="-15"/>
          <w:sz w:val="21"/>
        </w:rPr>
        <w:t xml:space="preserve"> </w:t>
      </w:r>
      <w:r>
        <w:rPr>
          <w:sz w:val="21"/>
        </w:rPr>
        <w:t>of</w:t>
      </w:r>
      <w:r>
        <w:rPr>
          <w:spacing w:val="-13"/>
          <w:sz w:val="21"/>
        </w:rPr>
        <w:t xml:space="preserve"> </w:t>
      </w:r>
      <w:r>
        <w:rPr>
          <w:sz w:val="21"/>
        </w:rPr>
        <w:t>Article</w:t>
      </w:r>
      <w:r>
        <w:rPr>
          <w:spacing w:val="-13"/>
          <w:sz w:val="21"/>
        </w:rPr>
        <w:t xml:space="preserve"> </w:t>
      </w:r>
      <w:r>
        <w:rPr>
          <w:sz w:val="21"/>
        </w:rPr>
        <w:t>17</w:t>
      </w:r>
      <w:r>
        <w:rPr>
          <w:spacing w:val="-13"/>
          <w:sz w:val="21"/>
        </w:rPr>
        <w:t xml:space="preserve"> </w:t>
      </w:r>
      <w:r>
        <w:rPr>
          <w:sz w:val="21"/>
        </w:rPr>
        <w:t>and</w:t>
      </w:r>
      <w:r>
        <w:rPr>
          <w:spacing w:val="-12"/>
          <w:sz w:val="21"/>
        </w:rPr>
        <w:t xml:space="preserve"> </w:t>
      </w:r>
      <w:r>
        <w:rPr>
          <w:sz w:val="21"/>
        </w:rPr>
        <w:t>the</w:t>
      </w:r>
      <w:r>
        <w:rPr>
          <w:spacing w:val="-15"/>
          <w:sz w:val="21"/>
        </w:rPr>
        <w:t xml:space="preserve"> </w:t>
      </w:r>
      <w:r>
        <w:rPr>
          <w:sz w:val="21"/>
        </w:rPr>
        <w:t>Act</w:t>
      </w:r>
      <w:r>
        <w:rPr>
          <w:spacing w:val="-14"/>
          <w:sz w:val="21"/>
        </w:rPr>
        <w:t xml:space="preserve"> </w:t>
      </w:r>
      <w:r>
        <w:rPr>
          <w:sz w:val="21"/>
        </w:rPr>
        <w:t>is</w:t>
      </w:r>
      <w:r>
        <w:rPr>
          <w:spacing w:val="-12"/>
          <w:sz w:val="21"/>
        </w:rPr>
        <w:t xml:space="preserve"> </w:t>
      </w:r>
      <w:r>
        <w:rPr>
          <w:sz w:val="21"/>
        </w:rPr>
        <w:t>to</w:t>
      </w:r>
      <w:r>
        <w:rPr>
          <w:spacing w:val="-13"/>
          <w:sz w:val="21"/>
        </w:rPr>
        <w:t xml:space="preserve"> </w:t>
      </w:r>
      <w:r>
        <w:rPr>
          <w:sz w:val="21"/>
        </w:rPr>
        <w:t>liberate</w:t>
      </w:r>
      <w:r>
        <w:rPr>
          <w:spacing w:val="-16"/>
          <w:sz w:val="21"/>
        </w:rPr>
        <w:t xml:space="preserve"> </w:t>
      </w:r>
      <w:r>
        <w:rPr>
          <w:sz w:val="21"/>
        </w:rPr>
        <w:t>the</w:t>
      </w:r>
      <w:r>
        <w:rPr>
          <w:spacing w:val="-13"/>
          <w:sz w:val="21"/>
        </w:rPr>
        <w:t xml:space="preserve"> </w:t>
      </w:r>
      <w:r>
        <w:rPr>
          <w:sz w:val="21"/>
        </w:rPr>
        <w:t>society from</w:t>
      </w:r>
      <w:r>
        <w:rPr>
          <w:spacing w:val="-16"/>
          <w:sz w:val="21"/>
        </w:rPr>
        <w:t xml:space="preserve"> </w:t>
      </w:r>
      <w:r>
        <w:rPr>
          <w:sz w:val="21"/>
        </w:rPr>
        <w:t>blind</w:t>
      </w:r>
      <w:r>
        <w:rPr>
          <w:spacing w:val="-18"/>
          <w:sz w:val="21"/>
        </w:rPr>
        <w:t xml:space="preserve"> </w:t>
      </w:r>
      <w:r>
        <w:rPr>
          <w:sz w:val="21"/>
        </w:rPr>
        <w:t>and</w:t>
      </w:r>
      <w:r>
        <w:rPr>
          <w:spacing w:val="-16"/>
          <w:sz w:val="21"/>
        </w:rPr>
        <w:t xml:space="preserve"> </w:t>
      </w:r>
      <w:r>
        <w:rPr>
          <w:sz w:val="21"/>
        </w:rPr>
        <w:t>ritualistic</w:t>
      </w:r>
      <w:r>
        <w:rPr>
          <w:spacing w:val="-18"/>
          <w:sz w:val="21"/>
        </w:rPr>
        <w:t xml:space="preserve"> </w:t>
      </w:r>
      <w:r>
        <w:rPr>
          <w:sz w:val="21"/>
        </w:rPr>
        <w:t>adherence</w:t>
      </w:r>
      <w:r>
        <w:rPr>
          <w:spacing w:val="-18"/>
          <w:sz w:val="21"/>
        </w:rPr>
        <w:t xml:space="preserve"> </w:t>
      </w:r>
      <w:r>
        <w:rPr>
          <w:sz w:val="21"/>
        </w:rPr>
        <w:t>and</w:t>
      </w:r>
      <w:r>
        <w:rPr>
          <w:spacing w:val="-16"/>
          <w:sz w:val="21"/>
        </w:rPr>
        <w:t xml:space="preserve"> </w:t>
      </w:r>
      <w:r>
        <w:rPr>
          <w:sz w:val="21"/>
        </w:rPr>
        <w:t>traditional</w:t>
      </w:r>
      <w:r>
        <w:rPr>
          <w:spacing w:val="-16"/>
          <w:sz w:val="21"/>
        </w:rPr>
        <w:t xml:space="preserve"> </w:t>
      </w:r>
      <w:r>
        <w:rPr>
          <w:sz w:val="21"/>
        </w:rPr>
        <w:t>beliefs</w:t>
      </w:r>
      <w:r>
        <w:rPr>
          <w:spacing w:val="-17"/>
          <w:sz w:val="21"/>
        </w:rPr>
        <w:t xml:space="preserve"> </w:t>
      </w:r>
      <w:r>
        <w:rPr>
          <w:sz w:val="21"/>
        </w:rPr>
        <w:t>which lost</w:t>
      </w:r>
      <w:r>
        <w:rPr>
          <w:spacing w:val="-5"/>
          <w:sz w:val="21"/>
        </w:rPr>
        <w:t xml:space="preserve"> </w:t>
      </w:r>
      <w:r>
        <w:rPr>
          <w:sz w:val="21"/>
        </w:rPr>
        <w:t>all</w:t>
      </w:r>
      <w:r>
        <w:rPr>
          <w:spacing w:val="-5"/>
          <w:sz w:val="21"/>
        </w:rPr>
        <w:t xml:space="preserve"> </w:t>
      </w:r>
      <w:r>
        <w:rPr>
          <w:sz w:val="21"/>
        </w:rPr>
        <w:t>legal</w:t>
      </w:r>
      <w:r>
        <w:rPr>
          <w:spacing w:val="-5"/>
          <w:sz w:val="21"/>
        </w:rPr>
        <w:t xml:space="preserve"> </w:t>
      </w:r>
      <w:r>
        <w:rPr>
          <w:sz w:val="21"/>
        </w:rPr>
        <w:t>or</w:t>
      </w:r>
      <w:r>
        <w:rPr>
          <w:spacing w:val="-7"/>
          <w:sz w:val="21"/>
        </w:rPr>
        <w:t xml:space="preserve"> </w:t>
      </w:r>
      <w:r>
        <w:rPr>
          <w:sz w:val="21"/>
        </w:rPr>
        <w:t>moral</w:t>
      </w:r>
      <w:r>
        <w:rPr>
          <w:spacing w:val="-3"/>
          <w:sz w:val="21"/>
        </w:rPr>
        <w:t xml:space="preserve"> </w:t>
      </w:r>
      <w:r>
        <w:rPr>
          <w:sz w:val="21"/>
        </w:rPr>
        <w:t>base.</w:t>
      </w:r>
      <w:r>
        <w:rPr>
          <w:spacing w:val="-5"/>
          <w:sz w:val="21"/>
        </w:rPr>
        <w:t xml:space="preserve"> </w:t>
      </w:r>
      <w:r>
        <w:rPr>
          <w:sz w:val="21"/>
        </w:rPr>
        <w:t>It</w:t>
      </w:r>
      <w:r>
        <w:rPr>
          <w:spacing w:val="-4"/>
          <w:sz w:val="21"/>
        </w:rPr>
        <w:t xml:space="preserve"> </w:t>
      </w:r>
      <w:r>
        <w:rPr>
          <w:sz w:val="21"/>
        </w:rPr>
        <w:t>seeks</w:t>
      </w:r>
      <w:r>
        <w:rPr>
          <w:spacing w:val="-4"/>
          <w:sz w:val="21"/>
        </w:rPr>
        <w:t xml:space="preserve"> </w:t>
      </w:r>
      <w:r>
        <w:rPr>
          <w:sz w:val="21"/>
        </w:rPr>
        <w:t>to</w:t>
      </w:r>
      <w:r>
        <w:rPr>
          <w:spacing w:val="-6"/>
          <w:sz w:val="21"/>
        </w:rPr>
        <w:t xml:space="preserve"> </w:t>
      </w:r>
      <w:r>
        <w:rPr>
          <w:sz w:val="21"/>
        </w:rPr>
        <w:t>establish</w:t>
      </w:r>
      <w:r>
        <w:rPr>
          <w:spacing w:val="-4"/>
          <w:sz w:val="21"/>
        </w:rPr>
        <w:t xml:space="preserve"> </w:t>
      </w:r>
      <w:r>
        <w:rPr>
          <w:sz w:val="21"/>
        </w:rPr>
        <w:t>a</w:t>
      </w:r>
      <w:r>
        <w:rPr>
          <w:spacing w:val="-6"/>
          <w:sz w:val="21"/>
        </w:rPr>
        <w:t xml:space="preserve"> </w:t>
      </w:r>
      <w:r>
        <w:rPr>
          <w:sz w:val="21"/>
        </w:rPr>
        <w:t>new</w:t>
      </w:r>
      <w:r>
        <w:rPr>
          <w:spacing w:val="-5"/>
          <w:sz w:val="21"/>
        </w:rPr>
        <w:t xml:space="preserve"> </w:t>
      </w:r>
      <w:r>
        <w:rPr>
          <w:sz w:val="21"/>
        </w:rPr>
        <w:t>ideal</w:t>
      </w:r>
      <w:r>
        <w:rPr>
          <w:spacing w:val="-5"/>
          <w:sz w:val="21"/>
        </w:rPr>
        <w:t xml:space="preserve"> </w:t>
      </w:r>
      <w:r>
        <w:rPr>
          <w:sz w:val="21"/>
        </w:rPr>
        <w:t>for society – equality to the Dalits, on a par with general public, absence</w:t>
      </w:r>
      <w:r>
        <w:rPr>
          <w:spacing w:val="11"/>
          <w:sz w:val="21"/>
        </w:rPr>
        <w:t xml:space="preserve"> </w:t>
      </w:r>
      <w:r>
        <w:rPr>
          <w:sz w:val="21"/>
        </w:rPr>
        <w:t>of</w:t>
      </w:r>
      <w:r>
        <w:rPr>
          <w:spacing w:val="12"/>
          <w:sz w:val="21"/>
        </w:rPr>
        <w:t xml:space="preserve"> </w:t>
      </w:r>
      <w:r>
        <w:rPr>
          <w:sz w:val="21"/>
        </w:rPr>
        <w:t>disabilities,</w:t>
      </w:r>
      <w:r>
        <w:rPr>
          <w:spacing w:val="12"/>
          <w:sz w:val="21"/>
        </w:rPr>
        <w:t xml:space="preserve"> </w:t>
      </w:r>
      <w:r>
        <w:rPr>
          <w:sz w:val="21"/>
        </w:rPr>
        <w:t>restrictions</w:t>
      </w:r>
      <w:r>
        <w:rPr>
          <w:spacing w:val="14"/>
          <w:sz w:val="21"/>
        </w:rPr>
        <w:t xml:space="preserve"> </w:t>
      </w:r>
      <w:r>
        <w:rPr>
          <w:sz w:val="21"/>
        </w:rPr>
        <w:t>or</w:t>
      </w:r>
      <w:r>
        <w:rPr>
          <w:spacing w:val="13"/>
          <w:sz w:val="21"/>
        </w:rPr>
        <w:t xml:space="preserve"> </w:t>
      </w:r>
      <w:r>
        <w:rPr>
          <w:sz w:val="21"/>
        </w:rPr>
        <w:t>prohibitions</w:t>
      </w:r>
      <w:r>
        <w:rPr>
          <w:spacing w:val="12"/>
          <w:sz w:val="21"/>
        </w:rPr>
        <w:t xml:space="preserve"> </w:t>
      </w:r>
      <w:r>
        <w:rPr>
          <w:sz w:val="21"/>
        </w:rPr>
        <w:t>on</w:t>
      </w:r>
      <w:r>
        <w:rPr>
          <w:spacing w:val="14"/>
          <w:sz w:val="21"/>
        </w:rPr>
        <w:t xml:space="preserve"> </w:t>
      </w:r>
      <w:r>
        <w:rPr>
          <w:sz w:val="21"/>
        </w:rPr>
        <w:t>grounds</w:t>
      </w:r>
    </w:p>
    <w:p w:rsidR="003B2FC0" w:rsidRDefault="003B2FC0">
      <w:pPr>
        <w:spacing w:before="9"/>
        <w:rPr>
          <w:sz w:val="29"/>
        </w:rPr>
      </w:pPr>
      <w:r w:rsidRPr="003B2FC0">
        <w:pict>
          <v:line id="_x0000_s1092" style="position:absolute;z-index:251623936;mso-wrap-distance-left:0;mso-wrap-distance-right:0;mso-position-horizontal-relative:page" from="1in,19.5pt" to="216.05pt,19.5pt" strokeweight=".72pt">
            <w10:wrap type="topAndBottom" anchorx="page"/>
          </v:line>
        </w:pict>
      </w:r>
    </w:p>
    <w:p w:rsidR="003B2FC0" w:rsidRDefault="00052A49">
      <w:pPr>
        <w:spacing w:before="67" w:line="209" w:lineRule="exact"/>
        <w:ind w:left="400"/>
        <w:rPr>
          <w:sz w:val="18"/>
        </w:rPr>
      </w:pPr>
      <w:r>
        <w:rPr>
          <w:position w:val="6"/>
          <w:sz w:val="12"/>
        </w:rPr>
        <w:t xml:space="preserve">107 </w:t>
      </w:r>
      <w:r>
        <w:rPr>
          <w:sz w:val="18"/>
        </w:rPr>
        <w:t>Ibid, at page 85</w:t>
      </w:r>
    </w:p>
    <w:p w:rsidR="003B2FC0" w:rsidRDefault="00052A49">
      <w:pPr>
        <w:spacing w:line="208" w:lineRule="exact"/>
        <w:ind w:left="400"/>
        <w:rPr>
          <w:sz w:val="18"/>
        </w:rPr>
      </w:pPr>
      <w:r>
        <w:rPr>
          <w:position w:val="6"/>
          <w:sz w:val="12"/>
        </w:rPr>
        <w:t xml:space="preserve">108 </w:t>
      </w:r>
      <w:r>
        <w:rPr>
          <w:sz w:val="18"/>
        </w:rPr>
        <w:t>AIR 1993 Raj 177</w:t>
      </w:r>
    </w:p>
    <w:p w:rsidR="003B2FC0" w:rsidRDefault="00052A49">
      <w:pPr>
        <w:spacing w:line="210" w:lineRule="exact"/>
        <w:ind w:left="400"/>
        <w:rPr>
          <w:sz w:val="18"/>
        </w:rPr>
      </w:pPr>
      <w:r>
        <w:rPr>
          <w:position w:val="6"/>
          <w:sz w:val="12"/>
        </w:rPr>
        <w:t xml:space="preserve">109 </w:t>
      </w:r>
      <w:r>
        <w:rPr>
          <w:sz w:val="18"/>
        </w:rPr>
        <w:t>1995 Supp (4) SCC 469</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1" w:lineRule="auto"/>
        <w:ind w:left="1840" w:right="2263"/>
        <w:jc w:val="both"/>
        <w:rPr>
          <w:sz w:val="14"/>
        </w:rPr>
      </w:pPr>
      <w:r>
        <w:rPr>
          <w:sz w:val="21"/>
        </w:rPr>
        <w:t>of caste or religion, availability of opportunities and a sense of being a participant in the mainstream of national life.”</w:t>
      </w:r>
      <w:r>
        <w:rPr>
          <w:position w:val="7"/>
          <w:sz w:val="14"/>
        </w:rPr>
        <w:t>110</w:t>
      </w:r>
    </w:p>
    <w:p w:rsidR="003B2FC0" w:rsidRDefault="003B2FC0">
      <w:pPr>
        <w:rPr>
          <w:sz w:val="24"/>
        </w:rPr>
      </w:pPr>
    </w:p>
    <w:p w:rsidR="003B2FC0" w:rsidRDefault="003B2FC0">
      <w:pPr>
        <w:spacing w:before="6"/>
        <w:rPr>
          <w:sz w:val="35"/>
        </w:rPr>
      </w:pPr>
    </w:p>
    <w:p w:rsidR="003B2FC0" w:rsidRDefault="00052A49">
      <w:pPr>
        <w:spacing w:line="477" w:lineRule="auto"/>
        <w:ind w:left="400" w:right="460"/>
        <w:jc w:val="both"/>
        <w:rPr>
          <w:sz w:val="26"/>
        </w:rPr>
      </w:pPr>
      <w:r>
        <w:rPr>
          <w:sz w:val="26"/>
        </w:rPr>
        <w:t xml:space="preserve">In a more recent decision in </w:t>
      </w:r>
      <w:r>
        <w:rPr>
          <w:b/>
          <w:sz w:val="26"/>
        </w:rPr>
        <w:t xml:space="preserve">Adi Saiva Sivachariyargal Nala Sangam </w:t>
      </w:r>
      <w:r>
        <w:rPr>
          <w:sz w:val="26"/>
        </w:rPr>
        <w:t xml:space="preserve">v </w:t>
      </w:r>
      <w:r>
        <w:rPr>
          <w:b/>
          <w:sz w:val="26"/>
        </w:rPr>
        <w:t>Government of Tamil Nadu</w:t>
      </w:r>
      <w:r>
        <w:rPr>
          <w:position w:val="9"/>
          <w:sz w:val="17"/>
        </w:rPr>
        <w:t>111</w:t>
      </w:r>
      <w:r>
        <w:rPr>
          <w:sz w:val="26"/>
        </w:rPr>
        <w:t>, a two judge Bench construed Article 17 in the context of exclusionary caste based practices:</w:t>
      </w:r>
    </w:p>
    <w:p w:rsidR="003B2FC0" w:rsidRDefault="00052A49">
      <w:pPr>
        <w:spacing w:before="203" w:line="276" w:lineRule="auto"/>
        <w:ind w:left="1840" w:right="2256"/>
        <w:jc w:val="both"/>
        <w:rPr>
          <w:sz w:val="21"/>
        </w:rPr>
      </w:pPr>
      <w:r>
        <w:rPr>
          <w:b/>
          <w:sz w:val="21"/>
        </w:rPr>
        <w:t>“</w:t>
      </w:r>
      <w:r>
        <w:rPr>
          <w:sz w:val="21"/>
        </w:rPr>
        <w:t>47.</w:t>
      </w:r>
      <w:r>
        <w:rPr>
          <w:spacing w:val="-12"/>
          <w:sz w:val="21"/>
        </w:rPr>
        <w:t xml:space="preserve"> </w:t>
      </w:r>
      <w:r>
        <w:rPr>
          <w:sz w:val="21"/>
        </w:rPr>
        <w:t>The</w:t>
      </w:r>
      <w:r>
        <w:rPr>
          <w:spacing w:val="-10"/>
          <w:sz w:val="21"/>
        </w:rPr>
        <w:t xml:space="preserve"> </w:t>
      </w:r>
      <w:r>
        <w:rPr>
          <w:sz w:val="21"/>
        </w:rPr>
        <w:t>issue</w:t>
      </w:r>
      <w:r>
        <w:rPr>
          <w:spacing w:val="-9"/>
          <w:sz w:val="21"/>
        </w:rPr>
        <w:t xml:space="preserve"> </w:t>
      </w:r>
      <w:r>
        <w:rPr>
          <w:sz w:val="21"/>
        </w:rPr>
        <w:t>of</w:t>
      </w:r>
      <w:r>
        <w:rPr>
          <w:spacing w:val="-9"/>
          <w:sz w:val="21"/>
        </w:rPr>
        <w:t xml:space="preserve"> </w:t>
      </w:r>
      <w:r>
        <w:rPr>
          <w:sz w:val="21"/>
        </w:rPr>
        <w:t>untouchability</w:t>
      </w:r>
      <w:r>
        <w:rPr>
          <w:spacing w:val="-12"/>
          <w:sz w:val="21"/>
        </w:rPr>
        <w:t xml:space="preserve"> </w:t>
      </w:r>
      <w:r>
        <w:rPr>
          <w:sz w:val="21"/>
        </w:rPr>
        <w:t>raised</w:t>
      </w:r>
      <w:r>
        <w:rPr>
          <w:spacing w:val="-10"/>
          <w:sz w:val="21"/>
        </w:rPr>
        <w:t xml:space="preserve"> </w:t>
      </w:r>
      <w:r>
        <w:rPr>
          <w:sz w:val="21"/>
        </w:rPr>
        <w:t>on</w:t>
      </w:r>
      <w:r>
        <w:rPr>
          <w:spacing w:val="-9"/>
          <w:sz w:val="21"/>
        </w:rPr>
        <w:t xml:space="preserve"> </w:t>
      </w:r>
      <w:r>
        <w:rPr>
          <w:sz w:val="21"/>
        </w:rPr>
        <w:t>the</w:t>
      </w:r>
      <w:r>
        <w:rPr>
          <w:spacing w:val="-10"/>
          <w:sz w:val="21"/>
        </w:rPr>
        <w:t xml:space="preserve"> </w:t>
      </w:r>
      <w:r>
        <w:rPr>
          <w:sz w:val="21"/>
        </w:rPr>
        <w:t>anvil</w:t>
      </w:r>
      <w:r>
        <w:rPr>
          <w:spacing w:val="-9"/>
          <w:sz w:val="21"/>
        </w:rPr>
        <w:t xml:space="preserve"> </w:t>
      </w:r>
      <w:r>
        <w:rPr>
          <w:sz w:val="21"/>
        </w:rPr>
        <w:t>of</w:t>
      </w:r>
      <w:r>
        <w:rPr>
          <w:spacing w:val="-9"/>
          <w:sz w:val="21"/>
        </w:rPr>
        <w:t xml:space="preserve"> </w:t>
      </w:r>
      <w:r>
        <w:rPr>
          <w:sz w:val="21"/>
        </w:rPr>
        <w:t>Article</w:t>
      </w:r>
      <w:r>
        <w:rPr>
          <w:spacing w:val="-10"/>
          <w:sz w:val="21"/>
        </w:rPr>
        <w:t xml:space="preserve"> </w:t>
      </w:r>
      <w:r>
        <w:rPr>
          <w:sz w:val="21"/>
        </w:rPr>
        <w:t>17 of the Constitution stands at the extreme opposite end of the pendulum. Article 17 of the Constitution strikes at caste-based practices built on superstitions and beliefs that have no rationale or</w:t>
      </w:r>
      <w:r>
        <w:rPr>
          <w:spacing w:val="-3"/>
          <w:sz w:val="21"/>
        </w:rPr>
        <w:t xml:space="preserve"> </w:t>
      </w:r>
      <w:r>
        <w:rPr>
          <w:sz w:val="21"/>
        </w:rPr>
        <w:t>logic…”</w:t>
      </w:r>
    </w:p>
    <w:p w:rsidR="003B2FC0" w:rsidRDefault="003B2FC0">
      <w:pPr>
        <w:rPr>
          <w:sz w:val="24"/>
        </w:rPr>
      </w:pPr>
    </w:p>
    <w:p w:rsidR="003B2FC0" w:rsidRDefault="003B2FC0">
      <w:pPr>
        <w:spacing w:before="10"/>
        <w:rPr>
          <w:sz w:val="34"/>
        </w:rPr>
      </w:pPr>
    </w:p>
    <w:p w:rsidR="003B2FC0" w:rsidRDefault="00052A49">
      <w:pPr>
        <w:spacing w:line="480" w:lineRule="auto"/>
        <w:ind w:left="400" w:right="463"/>
        <w:jc w:val="both"/>
        <w:rPr>
          <w:sz w:val="26"/>
        </w:rPr>
      </w:pPr>
      <w:r>
        <w:rPr>
          <w:sz w:val="26"/>
        </w:rPr>
        <w:t>While these judgments focus on “untouchability</w:t>
      </w:r>
      <w:r>
        <w:rPr>
          <w:sz w:val="26"/>
        </w:rPr>
        <w:t>” arising out of caste based practices, it is important to note that the provisions of Article 17 were enforced by means of the Protection of Civil Rights Act 1955 [earlier known as the Untouchability</w:t>
      </w:r>
      <w:r>
        <w:rPr>
          <w:spacing w:val="-15"/>
          <w:sz w:val="26"/>
        </w:rPr>
        <w:t xml:space="preserve"> </w:t>
      </w:r>
      <w:r>
        <w:rPr>
          <w:sz w:val="26"/>
        </w:rPr>
        <w:t>(Offences)</w:t>
      </w:r>
      <w:r>
        <w:rPr>
          <w:spacing w:val="-11"/>
          <w:sz w:val="26"/>
        </w:rPr>
        <w:t xml:space="preserve"> </w:t>
      </w:r>
      <w:r>
        <w:rPr>
          <w:sz w:val="26"/>
        </w:rPr>
        <w:t>Act].</w:t>
      </w:r>
      <w:r>
        <w:rPr>
          <w:spacing w:val="-12"/>
          <w:sz w:val="26"/>
        </w:rPr>
        <w:t xml:space="preserve"> </w:t>
      </w:r>
      <w:r>
        <w:rPr>
          <w:sz w:val="26"/>
        </w:rPr>
        <w:t>Clauses</w:t>
      </w:r>
      <w:r>
        <w:rPr>
          <w:spacing w:val="-12"/>
          <w:sz w:val="26"/>
        </w:rPr>
        <w:t xml:space="preserve"> </w:t>
      </w:r>
      <w:r>
        <w:rPr>
          <w:sz w:val="26"/>
        </w:rPr>
        <w:t>(a)</w:t>
      </w:r>
      <w:r>
        <w:rPr>
          <w:spacing w:val="-10"/>
          <w:sz w:val="26"/>
        </w:rPr>
        <w:t xml:space="preserve"> </w:t>
      </w:r>
      <w:r>
        <w:rPr>
          <w:sz w:val="26"/>
        </w:rPr>
        <w:t>and</w:t>
      </w:r>
      <w:r>
        <w:rPr>
          <w:spacing w:val="-12"/>
          <w:sz w:val="26"/>
        </w:rPr>
        <w:t xml:space="preserve"> </w:t>
      </w:r>
      <w:r>
        <w:rPr>
          <w:sz w:val="26"/>
        </w:rPr>
        <w:t>(b)</w:t>
      </w:r>
      <w:r>
        <w:rPr>
          <w:spacing w:val="-11"/>
          <w:sz w:val="26"/>
        </w:rPr>
        <w:t xml:space="preserve"> </w:t>
      </w:r>
      <w:r>
        <w:rPr>
          <w:sz w:val="26"/>
        </w:rPr>
        <w:t>of</w:t>
      </w:r>
      <w:r>
        <w:rPr>
          <w:spacing w:val="-13"/>
          <w:sz w:val="26"/>
        </w:rPr>
        <w:t xml:space="preserve"> </w:t>
      </w:r>
      <w:r>
        <w:rPr>
          <w:sz w:val="26"/>
        </w:rPr>
        <w:t>Section</w:t>
      </w:r>
      <w:r>
        <w:rPr>
          <w:spacing w:val="-12"/>
          <w:sz w:val="26"/>
        </w:rPr>
        <w:t xml:space="preserve"> </w:t>
      </w:r>
      <w:r>
        <w:rPr>
          <w:sz w:val="26"/>
        </w:rPr>
        <w:t>3</w:t>
      </w:r>
      <w:r>
        <w:rPr>
          <w:spacing w:val="-9"/>
          <w:sz w:val="26"/>
        </w:rPr>
        <w:t xml:space="preserve"> </w:t>
      </w:r>
      <w:r>
        <w:rPr>
          <w:sz w:val="26"/>
        </w:rPr>
        <w:t>penal</w:t>
      </w:r>
      <w:r>
        <w:rPr>
          <w:sz w:val="26"/>
        </w:rPr>
        <w:t>ise</w:t>
      </w:r>
      <w:r>
        <w:rPr>
          <w:spacing w:val="-12"/>
          <w:sz w:val="26"/>
        </w:rPr>
        <w:t xml:space="preserve"> </w:t>
      </w:r>
      <w:r>
        <w:rPr>
          <w:sz w:val="26"/>
        </w:rPr>
        <w:t>the</w:t>
      </w:r>
      <w:r>
        <w:rPr>
          <w:spacing w:val="-13"/>
          <w:sz w:val="26"/>
        </w:rPr>
        <w:t xml:space="preserve"> </w:t>
      </w:r>
      <w:r>
        <w:rPr>
          <w:sz w:val="26"/>
        </w:rPr>
        <w:t>act of preventing any person from entering a place of public worship and from worshiping or offering prayers in such a place. Section 3 reads</w:t>
      </w:r>
      <w:r>
        <w:rPr>
          <w:spacing w:val="-9"/>
          <w:sz w:val="26"/>
        </w:rPr>
        <w:t xml:space="preserve"> </w:t>
      </w:r>
      <w:r>
        <w:rPr>
          <w:sz w:val="26"/>
        </w:rPr>
        <w:t>thus:</w:t>
      </w:r>
    </w:p>
    <w:p w:rsidR="003B2FC0" w:rsidRDefault="00052A49">
      <w:pPr>
        <w:spacing w:before="202"/>
        <w:ind w:left="1840"/>
        <w:rPr>
          <w:sz w:val="21"/>
        </w:rPr>
      </w:pPr>
      <w:r>
        <w:rPr>
          <w:sz w:val="21"/>
        </w:rPr>
        <w:t>“Section 3 - Punishment for enforcing religious disabilities:</w:t>
      </w:r>
    </w:p>
    <w:p w:rsidR="003B2FC0" w:rsidRDefault="003B2FC0">
      <w:pPr>
        <w:spacing w:before="5"/>
        <w:rPr>
          <w:sz w:val="20"/>
        </w:rPr>
      </w:pPr>
    </w:p>
    <w:p w:rsidR="003B2FC0" w:rsidRDefault="00052A49">
      <w:pPr>
        <w:spacing w:before="1" w:line="276" w:lineRule="auto"/>
        <w:ind w:left="1840" w:right="2260"/>
        <w:jc w:val="both"/>
        <w:rPr>
          <w:b/>
          <w:sz w:val="21"/>
        </w:rPr>
      </w:pPr>
      <w:r>
        <w:rPr>
          <w:sz w:val="21"/>
        </w:rPr>
        <w:t xml:space="preserve">Whoever </w:t>
      </w:r>
      <w:r>
        <w:rPr>
          <w:b/>
          <w:sz w:val="21"/>
        </w:rPr>
        <w:t>on the ground of "untouchabil</w:t>
      </w:r>
      <w:r>
        <w:rPr>
          <w:b/>
          <w:sz w:val="21"/>
        </w:rPr>
        <w:t>ity" prevents any person—</w:t>
      </w:r>
    </w:p>
    <w:p w:rsidR="003B2FC0" w:rsidRDefault="003B2FC0">
      <w:pPr>
        <w:pStyle w:val="ListParagraph"/>
        <w:numPr>
          <w:ilvl w:val="1"/>
          <w:numId w:val="39"/>
        </w:numPr>
        <w:tabs>
          <w:tab w:val="left" w:pos="2141"/>
        </w:tabs>
        <w:spacing w:before="198" w:line="276" w:lineRule="auto"/>
        <w:ind w:left="1840" w:right="2258" w:firstLine="0"/>
        <w:jc w:val="both"/>
        <w:rPr>
          <w:sz w:val="21"/>
        </w:rPr>
      </w:pPr>
      <w:r w:rsidRPr="003B2FC0">
        <w:pict>
          <v:rect id="_x0000_s1091" style="position:absolute;left:0;text-align:left;margin-left:219.4pt;margin-top:48.65pt;width:2.9pt;height:.7pt;z-index:-251619840;mso-position-horizontal-relative:page" fillcolor="black" stroked="f">
            <w10:wrap anchorx="page"/>
          </v:rect>
        </w:pict>
      </w:r>
      <w:r w:rsidR="00052A49">
        <w:rPr>
          <w:b/>
          <w:sz w:val="21"/>
        </w:rPr>
        <w:t>from</w:t>
      </w:r>
      <w:r w:rsidR="00052A49">
        <w:rPr>
          <w:b/>
          <w:spacing w:val="-15"/>
          <w:sz w:val="21"/>
        </w:rPr>
        <w:t xml:space="preserve"> </w:t>
      </w:r>
      <w:r w:rsidR="00052A49">
        <w:rPr>
          <w:b/>
          <w:sz w:val="21"/>
        </w:rPr>
        <w:t>entering</w:t>
      </w:r>
      <w:r w:rsidR="00052A49">
        <w:rPr>
          <w:b/>
          <w:spacing w:val="-14"/>
          <w:sz w:val="21"/>
        </w:rPr>
        <w:t xml:space="preserve"> </w:t>
      </w:r>
      <w:r w:rsidR="00052A49">
        <w:rPr>
          <w:b/>
          <w:sz w:val="21"/>
        </w:rPr>
        <w:t>any</w:t>
      </w:r>
      <w:r w:rsidR="00052A49">
        <w:rPr>
          <w:b/>
          <w:spacing w:val="-19"/>
          <w:sz w:val="21"/>
        </w:rPr>
        <w:t xml:space="preserve"> </w:t>
      </w:r>
      <w:r w:rsidR="00052A49">
        <w:rPr>
          <w:b/>
          <w:sz w:val="21"/>
        </w:rPr>
        <w:t>place</w:t>
      </w:r>
      <w:r w:rsidR="00052A49">
        <w:rPr>
          <w:b/>
          <w:spacing w:val="-15"/>
          <w:sz w:val="21"/>
        </w:rPr>
        <w:t xml:space="preserve"> </w:t>
      </w:r>
      <w:r w:rsidR="00052A49">
        <w:rPr>
          <w:b/>
          <w:sz w:val="21"/>
        </w:rPr>
        <w:t>of</w:t>
      </w:r>
      <w:r w:rsidR="00052A49">
        <w:rPr>
          <w:b/>
          <w:spacing w:val="-13"/>
          <w:sz w:val="21"/>
        </w:rPr>
        <w:t xml:space="preserve"> </w:t>
      </w:r>
      <w:r w:rsidR="00052A49">
        <w:rPr>
          <w:b/>
          <w:sz w:val="21"/>
        </w:rPr>
        <w:t>public</w:t>
      </w:r>
      <w:r w:rsidR="00052A49">
        <w:rPr>
          <w:b/>
          <w:spacing w:val="-17"/>
          <w:sz w:val="21"/>
        </w:rPr>
        <w:t xml:space="preserve"> </w:t>
      </w:r>
      <w:r w:rsidR="00052A49">
        <w:rPr>
          <w:b/>
          <w:sz w:val="21"/>
        </w:rPr>
        <w:t>worship</w:t>
      </w:r>
      <w:r w:rsidR="00052A49">
        <w:rPr>
          <w:b/>
          <w:spacing w:val="-17"/>
          <w:sz w:val="21"/>
        </w:rPr>
        <w:t xml:space="preserve"> </w:t>
      </w:r>
      <w:r w:rsidR="00052A49">
        <w:rPr>
          <w:b/>
          <w:sz w:val="21"/>
        </w:rPr>
        <w:t>which</w:t>
      </w:r>
      <w:r w:rsidR="00052A49">
        <w:rPr>
          <w:b/>
          <w:spacing w:val="-14"/>
          <w:sz w:val="21"/>
        </w:rPr>
        <w:t xml:space="preserve"> </w:t>
      </w:r>
      <w:r w:rsidR="00052A49">
        <w:rPr>
          <w:b/>
          <w:sz w:val="21"/>
        </w:rPr>
        <w:t>is</w:t>
      </w:r>
      <w:r w:rsidR="00052A49">
        <w:rPr>
          <w:b/>
          <w:spacing w:val="-14"/>
          <w:sz w:val="21"/>
        </w:rPr>
        <w:t xml:space="preserve"> </w:t>
      </w:r>
      <w:r w:rsidR="00052A49">
        <w:rPr>
          <w:b/>
          <w:sz w:val="21"/>
        </w:rPr>
        <w:t>open to other persons professing the same religion of any section thereof</w:t>
      </w:r>
      <w:r w:rsidR="00052A49">
        <w:rPr>
          <w:sz w:val="21"/>
        </w:rPr>
        <w:t>, as such person;</w:t>
      </w:r>
      <w:r w:rsidR="00052A49">
        <w:rPr>
          <w:spacing w:val="-6"/>
          <w:sz w:val="21"/>
        </w:rPr>
        <w:t xml:space="preserve"> </w:t>
      </w:r>
      <w:r w:rsidR="00052A49">
        <w:rPr>
          <w:sz w:val="21"/>
        </w:rPr>
        <w:t>or</w:t>
      </w:r>
    </w:p>
    <w:p w:rsidR="003B2FC0" w:rsidRDefault="003B2FC0">
      <w:pPr>
        <w:spacing w:before="4"/>
        <w:rPr>
          <w:sz w:val="9"/>
        </w:rPr>
      </w:pPr>
    </w:p>
    <w:p w:rsidR="003B2FC0" w:rsidRDefault="00052A49">
      <w:pPr>
        <w:pStyle w:val="ListParagraph"/>
        <w:numPr>
          <w:ilvl w:val="1"/>
          <w:numId w:val="39"/>
        </w:numPr>
        <w:tabs>
          <w:tab w:val="left" w:pos="2184"/>
        </w:tabs>
        <w:spacing w:before="94" w:line="276" w:lineRule="auto"/>
        <w:ind w:left="1840" w:right="2255" w:firstLine="0"/>
        <w:jc w:val="both"/>
        <w:rPr>
          <w:b/>
          <w:sz w:val="21"/>
        </w:rPr>
      </w:pPr>
      <w:r>
        <w:rPr>
          <w:b/>
          <w:sz w:val="21"/>
        </w:rPr>
        <w:t xml:space="preserve">from worshipping </w:t>
      </w:r>
      <w:r>
        <w:rPr>
          <w:sz w:val="21"/>
        </w:rPr>
        <w:t xml:space="preserve">or offering prayers or performing any religious service </w:t>
      </w:r>
      <w:r>
        <w:rPr>
          <w:b/>
          <w:sz w:val="21"/>
        </w:rPr>
        <w:t>in any place of public worship</w:t>
      </w:r>
      <w:r>
        <w:rPr>
          <w:sz w:val="21"/>
        </w:rPr>
        <w:t>, or bathing in,</w:t>
      </w:r>
      <w:r>
        <w:rPr>
          <w:spacing w:val="-15"/>
          <w:sz w:val="21"/>
        </w:rPr>
        <w:t xml:space="preserve"> </w:t>
      </w:r>
      <w:r>
        <w:rPr>
          <w:sz w:val="21"/>
        </w:rPr>
        <w:t>or</w:t>
      </w:r>
      <w:r>
        <w:rPr>
          <w:spacing w:val="-15"/>
          <w:sz w:val="21"/>
        </w:rPr>
        <w:t xml:space="preserve"> </w:t>
      </w:r>
      <w:r>
        <w:rPr>
          <w:sz w:val="21"/>
        </w:rPr>
        <w:t>using</w:t>
      </w:r>
      <w:r>
        <w:rPr>
          <w:spacing w:val="-13"/>
          <w:sz w:val="21"/>
        </w:rPr>
        <w:t xml:space="preserve"> </w:t>
      </w:r>
      <w:r>
        <w:rPr>
          <w:sz w:val="21"/>
        </w:rPr>
        <w:t>the</w:t>
      </w:r>
      <w:r>
        <w:rPr>
          <w:spacing w:val="-13"/>
          <w:sz w:val="21"/>
        </w:rPr>
        <w:t xml:space="preserve"> </w:t>
      </w:r>
      <w:r>
        <w:rPr>
          <w:sz w:val="21"/>
        </w:rPr>
        <w:t>waters</w:t>
      </w:r>
      <w:r>
        <w:rPr>
          <w:spacing w:val="-14"/>
          <w:sz w:val="21"/>
        </w:rPr>
        <w:t xml:space="preserve"> </w:t>
      </w:r>
      <w:r>
        <w:rPr>
          <w:sz w:val="21"/>
        </w:rPr>
        <w:t>of,</w:t>
      </w:r>
      <w:r>
        <w:rPr>
          <w:spacing w:val="-15"/>
          <w:sz w:val="21"/>
        </w:rPr>
        <w:t xml:space="preserve"> </w:t>
      </w:r>
      <w:r>
        <w:rPr>
          <w:sz w:val="21"/>
        </w:rPr>
        <w:t>any</w:t>
      </w:r>
      <w:r>
        <w:rPr>
          <w:spacing w:val="-16"/>
          <w:sz w:val="21"/>
        </w:rPr>
        <w:t xml:space="preserve"> </w:t>
      </w:r>
      <w:r>
        <w:rPr>
          <w:sz w:val="21"/>
        </w:rPr>
        <w:t>sacred</w:t>
      </w:r>
      <w:r>
        <w:rPr>
          <w:spacing w:val="-14"/>
          <w:sz w:val="21"/>
        </w:rPr>
        <w:t xml:space="preserve"> </w:t>
      </w:r>
      <w:r>
        <w:rPr>
          <w:sz w:val="21"/>
        </w:rPr>
        <w:t>tank,</w:t>
      </w:r>
      <w:r>
        <w:rPr>
          <w:spacing w:val="-14"/>
          <w:sz w:val="21"/>
        </w:rPr>
        <w:t xml:space="preserve"> </w:t>
      </w:r>
      <w:r>
        <w:rPr>
          <w:sz w:val="21"/>
        </w:rPr>
        <w:t>well,</w:t>
      </w:r>
      <w:r>
        <w:rPr>
          <w:spacing w:val="-15"/>
          <w:sz w:val="21"/>
        </w:rPr>
        <w:t xml:space="preserve"> </w:t>
      </w:r>
      <w:r>
        <w:rPr>
          <w:sz w:val="21"/>
        </w:rPr>
        <w:t>spring</w:t>
      </w:r>
      <w:r>
        <w:rPr>
          <w:spacing w:val="-13"/>
          <w:sz w:val="21"/>
        </w:rPr>
        <w:t xml:space="preserve"> </w:t>
      </w:r>
      <w:r>
        <w:rPr>
          <w:sz w:val="21"/>
        </w:rPr>
        <w:t>or</w:t>
      </w:r>
      <w:r>
        <w:rPr>
          <w:spacing w:val="-15"/>
          <w:sz w:val="21"/>
        </w:rPr>
        <w:t xml:space="preserve"> </w:t>
      </w:r>
      <w:r>
        <w:rPr>
          <w:sz w:val="21"/>
        </w:rPr>
        <w:t>water- course</w:t>
      </w:r>
      <w:r>
        <w:rPr>
          <w:spacing w:val="-5"/>
          <w:sz w:val="21"/>
        </w:rPr>
        <w:t xml:space="preserve"> </w:t>
      </w:r>
      <w:r>
        <w:rPr>
          <w:sz w:val="21"/>
        </w:rPr>
        <w:t>[river</w:t>
      </w:r>
      <w:r>
        <w:rPr>
          <w:spacing w:val="-4"/>
          <w:sz w:val="21"/>
        </w:rPr>
        <w:t xml:space="preserve"> </w:t>
      </w:r>
      <w:r>
        <w:rPr>
          <w:sz w:val="21"/>
        </w:rPr>
        <w:t>or</w:t>
      </w:r>
      <w:r>
        <w:rPr>
          <w:spacing w:val="-5"/>
          <w:sz w:val="21"/>
        </w:rPr>
        <w:t xml:space="preserve"> </w:t>
      </w:r>
      <w:r>
        <w:rPr>
          <w:sz w:val="21"/>
        </w:rPr>
        <w:t>lake</w:t>
      </w:r>
      <w:r>
        <w:rPr>
          <w:spacing w:val="-4"/>
          <w:sz w:val="21"/>
        </w:rPr>
        <w:t xml:space="preserve"> </w:t>
      </w:r>
      <w:r>
        <w:rPr>
          <w:sz w:val="21"/>
        </w:rPr>
        <w:t>or</w:t>
      </w:r>
      <w:r>
        <w:rPr>
          <w:spacing w:val="-8"/>
          <w:sz w:val="21"/>
        </w:rPr>
        <w:t xml:space="preserve"> </w:t>
      </w:r>
      <w:r>
        <w:rPr>
          <w:sz w:val="21"/>
        </w:rPr>
        <w:t>bathing</w:t>
      </w:r>
      <w:r>
        <w:rPr>
          <w:spacing w:val="-4"/>
          <w:sz w:val="21"/>
        </w:rPr>
        <w:t xml:space="preserve"> </w:t>
      </w:r>
      <w:r>
        <w:rPr>
          <w:sz w:val="21"/>
        </w:rPr>
        <w:t>at</w:t>
      </w:r>
      <w:r>
        <w:rPr>
          <w:spacing w:val="-6"/>
          <w:sz w:val="21"/>
        </w:rPr>
        <w:t xml:space="preserve"> </w:t>
      </w:r>
      <w:r>
        <w:rPr>
          <w:sz w:val="21"/>
        </w:rPr>
        <w:t>any</w:t>
      </w:r>
      <w:r>
        <w:rPr>
          <w:spacing w:val="-6"/>
          <w:sz w:val="21"/>
        </w:rPr>
        <w:t xml:space="preserve"> </w:t>
      </w:r>
      <w:r>
        <w:rPr>
          <w:sz w:val="21"/>
        </w:rPr>
        <w:t>ghat</w:t>
      </w:r>
      <w:r>
        <w:rPr>
          <w:spacing w:val="-5"/>
          <w:sz w:val="21"/>
        </w:rPr>
        <w:t xml:space="preserve"> </w:t>
      </w:r>
      <w:r>
        <w:rPr>
          <w:sz w:val="21"/>
        </w:rPr>
        <w:t>of</w:t>
      </w:r>
      <w:r>
        <w:rPr>
          <w:spacing w:val="-4"/>
          <w:sz w:val="21"/>
        </w:rPr>
        <w:t xml:space="preserve"> </w:t>
      </w:r>
      <w:r>
        <w:rPr>
          <w:sz w:val="21"/>
        </w:rPr>
        <w:t>such</w:t>
      </w:r>
      <w:r>
        <w:rPr>
          <w:spacing w:val="-4"/>
          <w:sz w:val="21"/>
        </w:rPr>
        <w:t xml:space="preserve"> </w:t>
      </w:r>
      <w:r>
        <w:rPr>
          <w:sz w:val="21"/>
        </w:rPr>
        <w:t>tank,</w:t>
      </w:r>
      <w:r>
        <w:rPr>
          <w:spacing w:val="-6"/>
          <w:sz w:val="21"/>
        </w:rPr>
        <w:t xml:space="preserve"> </w:t>
      </w:r>
      <w:r>
        <w:rPr>
          <w:sz w:val="21"/>
        </w:rPr>
        <w:t>water- course,</w:t>
      </w:r>
      <w:r>
        <w:rPr>
          <w:spacing w:val="15"/>
          <w:sz w:val="21"/>
        </w:rPr>
        <w:t xml:space="preserve"> </w:t>
      </w:r>
      <w:r>
        <w:rPr>
          <w:sz w:val="21"/>
        </w:rPr>
        <w:t>river</w:t>
      </w:r>
      <w:r>
        <w:rPr>
          <w:spacing w:val="16"/>
          <w:sz w:val="21"/>
        </w:rPr>
        <w:t xml:space="preserve"> </w:t>
      </w:r>
      <w:r>
        <w:rPr>
          <w:sz w:val="21"/>
        </w:rPr>
        <w:t>or</w:t>
      </w:r>
      <w:r>
        <w:rPr>
          <w:spacing w:val="17"/>
          <w:sz w:val="21"/>
        </w:rPr>
        <w:t xml:space="preserve"> </w:t>
      </w:r>
      <w:r>
        <w:rPr>
          <w:sz w:val="21"/>
        </w:rPr>
        <w:t>lake]</w:t>
      </w:r>
      <w:r>
        <w:rPr>
          <w:spacing w:val="17"/>
          <w:sz w:val="21"/>
        </w:rPr>
        <w:t xml:space="preserve"> </w:t>
      </w:r>
      <w:r>
        <w:rPr>
          <w:b/>
          <w:sz w:val="21"/>
        </w:rPr>
        <w:t>in</w:t>
      </w:r>
      <w:r>
        <w:rPr>
          <w:b/>
          <w:spacing w:val="18"/>
          <w:sz w:val="21"/>
        </w:rPr>
        <w:t xml:space="preserve"> </w:t>
      </w:r>
      <w:r>
        <w:rPr>
          <w:b/>
          <w:sz w:val="21"/>
        </w:rPr>
        <w:t>the</w:t>
      </w:r>
      <w:r>
        <w:rPr>
          <w:b/>
          <w:spacing w:val="17"/>
          <w:sz w:val="21"/>
        </w:rPr>
        <w:t xml:space="preserve"> </w:t>
      </w:r>
      <w:r>
        <w:rPr>
          <w:b/>
          <w:sz w:val="21"/>
        </w:rPr>
        <w:t>same</w:t>
      </w:r>
      <w:r>
        <w:rPr>
          <w:b/>
          <w:spacing w:val="16"/>
          <w:sz w:val="21"/>
        </w:rPr>
        <w:t xml:space="preserve"> </w:t>
      </w:r>
      <w:r>
        <w:rPr>
          <w:b/>
          <w:sz w:val="21"/>
        </w:rPr>
        <w:t>manner</w:t>
      </w:r>
      <w:r>
        <w:rPr>
          <w:b/>
          <w:spacing w:val="17"/>
          <w:sz w:val="21"/>
        </w:rPr>
        <w:t xml:space="preserve"> </w:t>
      </w:r>
      <w:r>
        <w:rPr>
          <w:b/>
          <w:sz w:val="21"/>
        </w:rPr>
        <w:t>and</w:t>
      </w:r>
      <w:r>
        <w:rPr>
          <w:b/>
          <w:spacing w:val="17"/>
          <w:sz w:val="21"/>
        </w:rPr>
        <w:t xml:space="preserve"> </w:t>
      </w:r>
      <w:r>
        <w:rPr>
          <w:b/>
          <w:sz w:val="21"/>
        </w:rPr>
        <w:t>to</w:t>
      </w:r>
      <w:r>
        <w:rPr>
          <w:b/>
          <w:spacing w:val="15"/>
          <w:sz w:val="21"/>
        </w:rPr>
        <w:t xml:space="preserve"> </w:t>
      </w:r>
      <w:r>
        <w:rPr>
          <w:b/>
          <w:sz w:val="21"/>
        </w:rPr>
        <w:t>the</w:t>
      </w:r>
      <w:r>
        <w:rPr>
          <w:b/>
          <w:spacing w:val="17"/>
          <w:sz w:val="21"/>
        </w:rPr>
        <w:t xml:space="preserve"> </w:t>
      </w:r>
      <w:r>
        <w:rPr>
          <w:b/>
          <w:sz w:val="21"/>
        </w:rPr>
        <w:t>same</w:t>
      </w:r>
    </w:p>
    <w:p w:rsidR="003B2FC0" w:rsidRDefault="003B2FC0">
      <w:pPr>
        <w:rPr>
          <w:b/>
          <w:sz w:val="20"/>
        </w:rPr>
      </w:pPr>
    </w:p>
    <w:p w:rsidR="003B2FC0" w:rsidRDefault="003B2FC0">
      <w:pPr>
        <w:rPr>
          <w:b/>
          <w:sz w:val="20"/>
        </w:rPr>
      </w:pPr>
    </w:p>
    <w:p w:rsidR="003B2FC0" w:rsidRDefault="003B2FC0">
      <w:pPr>
        <w:spacing w:before="9"/>
        <w:rPr>
          <w:b/>
          <w:sz w:val="16"/>
        </w:rPr>
      </w:pPr>
      <w:r w:rsidRPr="003B2FC0">
        <w:pict>
          <v:line id="_x0000_s1090" style="position:absolute;z-index:251624960;mso-wrap-distance-left:0;mso-wrap-distance-right:0;mso-position-horizontal-relative:page" from="1in,12.05pt" to="216.05pt,12.05pt" strokeweight=".72pt">
            <w10:wrap type="topAndBottom" anchorx="page"/>
          </v:line>
        </w:pict>
      </w:r>
    </w:p>
    <w:p w:rsidR="003B2FC0" w:rsidRDefault="00052A49">
      <w:pPr>
        <w:spacing w:before="66" w:line="210" w:lineRule="exact"/>
        <w:ind w:left="400"/>
        <w:rPr>
          <w:sz w:val="18"/>
        </w:rPr>
      </w:pPr>
      <w:r>
        <w:rPr>
          <w:position w:val="6"/>
          <w:sz w:val="12"/>
        </w:rPr>
        <w:t xml:space="preserve">110 </w:t>
      </w:r>
      <w:r>
        <w:rPr>
          <w:sz w:val="18"/>
        </w:rPr>
        <w:t>Ibid, at page 486</w:t>
      </w:r>
    </w:p>
    <w:p w:rsidR="003B2FC0" w:rsidRDefault="00052A49">
      <w:pPr>
        <w:spacing w:line="210" w:lineRule="exact"/>
        <w:ind w:left="400"/>
        <w:rPr>
          <w:sz w:val="18"/>
        </w:rPr>
      </w:pPr>
      <w:r>
        <w:rPr>
          <w:position w:val="6"/>
          <w:sz w:val="12"/>
        </w:rPr>
        <w:t xml:space="preserve">111 </w:t>
      </w:r>
      <w:r>
        <w:rPr>
          <w:sz w:val="18"/>
        </w:rPr>
        <w:t>(2016) 2 SCC 725</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60"/>
        <w:jc w:val="both"/>
        <w:rPr>
          <w:sz w:val="21"/>
        </w:rPr>
      </w:pPr>
      <w:r>
        <w:rPr>
          <w:b/>
          <w:sz w:val="21"/>
        </w:rPr>
        <w:t xml:space="preserve">extent as is permissible to the other persons professing the same religion </w:t>
      </w:r>
      <w:r>
        <w:rPr>
          <w:sz w:val="21"/>
        </w:rPr>
        <w:t>or any section thereof, as such person,</w:t>
      </w:r>
    </w:p>
    <w:p w:rsidR="003B2FC0" w:rsidRDefault="00052A49">
      <w:pPr>
        <w:spacing w:before="201" w:line="276" w:lineRule="auto"/>
        <w:ind w:left="1840" w:right="2260"/>
        <w:jc w:val="both"/>
        <w:rPr>
          <w:sz w:val="21"/>
        </w:rPr>
      </w:pPr>
      <w:r>
        <w:rPr>
          <w:sz w:val="21"/>
        </w:rPr>
        <w:t>[shall be punishable with imprisonment for a term of not less than one month and no</w:t>
      </w:r>
      <w:r>
        <w:rPr>
          <w:sz w:val="21"/>
        </w:rPr>
        <w:t>t more than six months and also with fine which shall be not less than one hundred rupees and not more than five hundred rupees].</w:t>
      </w:r>
    </w:p>
    <w:p w:rsidR="003B2FC0" w:rsidRDefault="00052A49">
      <w:pPr>
        <w:spacing w:before="199" w:line="276" w:lineRule="auto"/>
        <w:ind w:left="1840" w:right="2258"/>
        <w:jc w:val="both"/>
        <w:rPr>
          <w:sz w:val="21"/>
        </w:rPr>
      </w:pPr>
      <w:r>
        <w:rPr>
          <w:b/>
          <w:sz w:val="21"/>
        </w:rPr>
        <w:t>Explanation</w:t>
      </w:r>
      <w:r>
        <w:rPr>
          <w:sz w:val="21"/>
        </w:rPr>
        <w:t>: For the purposes of this section and section 4 persons professing the Buddhist, Sikh or Jaina religion or persons</w:t>
      </w:r>
      <w:r>
        <w:rPr>
          <w:sz w:val="21"/>
        </w:rPr>
        <w:t xml:space="preserve"> professing the Hindu religion in any of its forms or developments including Virashaivas, Lingayats, Adivasis, followers of Brahmo, Prarthana, Arya Samaj and the Swaminarayan Sampraday shall be deemed to be Hindus.” (Emphasis supplied)</w:t>
      </w: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5"/>
        <w:rPr>
          <w:sz w:val="25"/>
        </w:rPr>
      </w:pPr>
    </w:p>
    <w:p w:rsidR="003B2FC0" w:rsidRDefault="00052A49">
      <w:pPr>
        <w:ind w:left="400"/>
        <w:rPr>
          <w:sz w:val="26"/>
        </w:rPr>
      </w:pPr>
      <w:r>
        <w:rPr>
          <w:sz w:val="26"/>
        </w:rPr>
        <w:t>Section 4 contains a punishment for enforcing social disability:</w:t>
      </w:r>
    </w:p>
    <w:p w:rsidR="003B2FC0" w:rsidRDefault="00052A49">
      <w:pPr>
        <w:spacing w:before="199"/>
        <w:ind w:left="1840"/>
        <w:jc w:val="both"/>
        <w:rPr>
          <w:b/>
          <w:sz w:val="21"/>
        </w:rPr>
      </w:pPr>
      <w:r>
        <w:rPr>
          <w:sz w:val="21"/>
        </w:rPr>
        <w:t>“</w:t>
      </w:r>
      <w:r>
        <w:rPr>
          <w:b/>
          <w:sz w:val="21"/>
        </w:rPr>
        <w:t xml:space="preserve">Section 4 - Punishment for enforcing social </w:t>
      </w:r>
      <w:r>
        <w:rPr>
          <w:b/>
          <w:sz w:val="21"/>
          <w:u w:val="thick"/>
        </w:rPr>
        <w:t>disabilities</w:t>
      </w:r>
      <w:r>
        <w:rPr>
          <w:b/>
          <w:sz w:val="21"/>
        </w:rPr>
        <w:t>:</w:t>
      </w:r>
    </w:p>
    <w:p w:rsidR="003B2FC0" w:rsidRDefault="003B2FC0">
      <w:pPr>
        <w:spacing w:before="4"/>
        <w:rPr>
          <w:b/>
          <w:sz w:val="12"/>
        </w:rPr>
      </w:pPr>
    </w:p>
    <w:p w:rsidR="003B2FC0" w:rsidRDefault="00052A49">
      <w:pPr>
        <w:spacing w:before="94" w:line="276" w:lineRule="auto"/>
        <w:ind w:left="1840" w:right="2257"/>
        <w:jc w:val="both"/>
        <w:rPr>
          <w:sz w:val="21"/>
        </w:rPr>
      </w:pPr>
      <w:r>
        <w:rPr>
          <w:sz w:val="21"/>
        </w:rPr>
        <w:t>Whoever on the ground of "untouchability" enforces against any person any disability with regard to—</w:t>
      </w:r>
    </w:p>
    <w:p w:rsidR="003B2FC0" w:rsidRDefault="00052A49">
      <w:pPr>
        <w:spacing w:before="201" w:line="276" w:lineRule="auto"/>
        <w:ind w:left="1840" w:right="2255"/>
        <w:jc w:val="both"/>
        <w:rPr>
          <w:sz w:val="21"/>
        </w:rPr>
      </w:pPr>
      <w:r>
        <w:rPr>
          <w:sz w:val="21"/>
        </w:rPr>
        <w:t xml:space="preserve">(v) the use of, or access to, </w:t>
      </w:r>
      <w:r>
        <w:rPr>
          <w:sz w:val="21"/>
        </w:rPr>
        <w:t xml:space="preserve">any place used for a charitable or a public purpose maintained wholly or partly out of State funds </w:t>
      </w:r>
      <w:r>
        <w:rPr>
          <w:b/>
          <w:sz w:val="21"/>
        </w:rPr>
        <w:t>or dedicated to the use of the general public or [any section thereof]</w:t>
      </w:r>
      <w:r>
        <w:rPr>
          <w:sz w:val="21"/>
        </w:rPr>
        <w:t>; or</w:t>
      </w:r>
    </w:p>
    <w:p w:rsidR="003B2FC0" w:rsidRDefault="00052A49">
      <w:pPr>
        <w:spacing w:before="200" w:line="276" w:lineRule="auto"/>
        <w:ind w:left="1840" w:right="2258"/>
        <w:jc w:val="both"/>
        <w:rPr>
          <w:sz w:val="21"/>
        </w:rPr>
      </w:pPr>
      <w:r>
        <w:rPr>
          <w:sz w:val="21"/>
        </w:rPr>
        <w:t>(x) the observance of any social or religious custom, usage or ceremony or [</w:t>
      </w:r>
      <w:r>
        <w:rPr>
          <w:b/>
          <w:sz w:val="21"/>
        </w:rPr>
        <w:t>taking</w:t>
      </w:r>
      <w:r>
        <w:rPr>
          <w:b/>
          <w:sz w:val="21"/>
        </w:rPr>
        <w:t xml:space="preserve"> part in, or taking out, any religious, social or cultural procession</w:t>
      </w:r>
      <w:r>
        <w:rPr>
          <w:sz w:val="21"/>
        </w:rPr>
        <w:t>]; or</w:t>
      </w:r>
    </w:p>
    <w:p w:rsidR="003B2FC0" w:rsidRDefault="00052A49">
      <w:pPr>
        <w:spacing w:before="201" w:line="276" w:lineRule="auto"/>
        <w:ind w:left="1840" w:right="2258"/>
        <w:jc w:val="both"/>
        <w:rPr>
          <w:sz w:val="21"/>
        </w:rPr>
      </w:pPr>
      <w:r>
        <w:rPr>
          <w:sz w:val="21"/>
        </w:rPr>
        <w:t>[Explanation.--For the purposes of this section, "enforcement of any disability" includes any discrimination on the ground of “untouchability”.].”</w:t>
      </w:r>
    </w:p>
    <w:p w:rsidR="003B2FC0" w:rsidRDefault="00052A49">
      <w:pPr>
        <w:spacing w:before="200"/>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63" w:line="480" w:lineRule="auto"/>
        <w:ind w:left="400" w:right="464"/>
        <w:jc w:val="both"/>
        <w:rPr>
          <w:sz w:val="26"/>
        </w:rPr>
      </w:pPr>
      <w:r>
        <w:rPr>
          <w:sz w:val="26"/>
        </w:rPr>
        <w:t>Section 7 pr</w:t>
      </w:r>
      <w:r>
        <w:rPr>
          <w:sz w:val="26"/>
        </w:rPr>
        <w:t>ovides for punishment for other offences arising out of untouchability. Section 7(1)(c) criminalises the encouragement and incitement to the practice of untouchability in “any form whatsoever”. Explanation II stipulates that:</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60"/>
        <w:jc w:val="both"/>
        <w:rPr>
          <w:sz w:val="21"/>
        </w:rPr>
      </w:pPr>
      <w:r>
        <w:rPr>
          <w:sz w:val="21"/>
        </w:rPr>
        <w:t>“[Explanation II.--For the purpose of clause (c) a person shall be deemed to incite or encourage the practice of “untouchability”—</w:t>
      </w:r>
    </w:p>
    <w:p w:rsidR="003B2FC0" w:rsidRDefault="00052A49">
      <w:pPr>
        <w:pStyle w:val="ListParagraph"/>
        <w:numPr>
          <w:ilvl w:val="0"/>
          <w:numId w:val="19"/>
        </w:numPr>
        <w:tabs>
          <w:tab w:val="left" w:pos="2561"/>
        </w:tabs>
        <w:spacing w:before="199" w:line="276" w:lineRule="auto"/>
        <w:ind w:right="2263"/>
        <w:jc w:val="both"/>
        <w:rPr>
          <w:sz w:val="21"/>
        </w:rPr>
      </w:pPr>
      <w:r>
        <w:rPr>
          <w:sz w:val="21"/>
        </w:rPr>
        <w:t>if he, directly or indirectly, preaches "untouchability" or its practice in any form;</w:t>
      </w:r>
      <w:r>
        <w:rPr>
          <w:spacing w:val="-9"/>
          <w:sz w:val="21"/>
        </w:rPr>
        <w:t xml:space="preserve"> </w:t>
      </w:r>
      <w:r>
        <w:rPr>
          <w:sz w:val="21"/>
        </w:rPr>
        <w:t>or</w:t>
      </w:r>
    </w:p>
    <w:p w:rsidR="003B2FC0" w:rsidRDefault="00052A49">
      <w:pPr>
        <w:pStyle w:val="ListParagraph"/>
        <w:numPr>
          <w:ilvl w:val="0"/>
          <w:numId w:val="19"/>
        </w:numPr>
        <w:tabs>
          <w:tab w:val="left" w:pos="2561"/>
        </w:tabs>
        <w:spacing w:before="201" w:line="276" w:lineRule="auto"/>
        <w:ind w:right="2260"/>
        <w:jc w:val="both"/>
        <w:rPr>
          <w:sz w:val="21"/>
        </w:rPr>
      </w:pPr>
      <w:r>
        <w:rPr>
          <w:b/>
          <w:sz w:val="21"/>
        </w:rPr>
        <w:t>if he justifies, whether on historic</w:t>
      </w:r>
      <w:r>
        <w:rPr>
          <w:b/>
          <w:sz w:val="21"/>
        </w:rPr>
        <w:t>al, philosophical or religious grounds or on the ground of any tradition of the caste system or on any other ground, the practice of "untouchability" in any form.</w:t>
      </w:r>
      <w:r>
        <w:rPr>
          <w:sz w:val="21"/>
        </w:rPr>
        <w:t>]”</w:t>
      </w:r>
    </w:p>
    <w:p w:rsidR="003B2FC0" w:rsidRDefault="00052A49">
      <w:pPr>
        <w:spacing w:before="1"/>
        <w:ind w:left="256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63" w:line="480" w:lineRule="auto"/>
        <w:ind w:left="400" w:right="459"/>
        <w:jc w:val="both"/>
        <w:rPr>
          <w:sz w:val="26"/>
        </w:rPr>
      </w:pPr>
      <w:r>
        <w:rPr>
          <w:sz w:val="26"/>
        </w:rPr>
        <w:t>“Untouchability” as such is not defined. Hence, a reference to “untou</w:t>
      </w:r>
      <w:r>
        <w:rPr>
          <w:sz w:val="26"/>
        </w:rPr>
        <w:t>chability” must be construed in the context of the provisions of the Civil Rights Act to include social exclusions based on notions of “purity and pollution”. In the context</w:t>
      </w:r>
      <w:r>
        <w:rPr>
          <w:spacing w:val="-16"/>
          <w:sz w:val="26"/>
        </w:rPr>
        <w:t xml:space="preserve"> </w:t>
      </w:r>
      <w:r>
        <w:rPr>
          <w:sz w:val="26"/>
        </w:rPr>
        <w:t>of</w:t>
      </w:r>
      <w:r>
        <w:rPr>
          <w:spacing w:val="-16"/>
          <w:sz w:val="26"/>
        </w:rPr>
        <w:t xml:space="preserve"> </w:t>
      </w:r>
      <w:r>
        <w:rPr>
          <w:sz w:val="26"/>
        </w:rPr>
        <w:t>political</w:t>
      </w:r>
      <w:r>
        <w:rPr>
          <w:spacing w:val="-18"/>
          <w:sz w:val="26"/>
        </w:rPr>
        <w:t xml:space="preserve"> </w:t>
      </w:r>
      <w:r>
        <w:rPr>
          <w:sz w:val="26"/>
        </w:rPr>
        <w:t>freedom,</w:t>
      </w:r>
      <w:r>
        <w:rPr>
          <w:spacing w:val="-16"/>
          <w:sz w:val="26"/>
        </w:rPr>
        <w:t xml:space="preserve"> </w:t>
      </w:r>
      <w:r>
        <w:rPr>
          <w:sz w:val="26"/>
        </w:rPr>
        <w:t>Articles</w:t>
      </w:r>
      <w:r>
        <w:rPr>
          <w:spacing w:val="-19"/>
          <w:sz w:val="26"/>
        </w:rPr>
        <w:t xml:space="preserve"> </w:t>
      </w:r>
      <w:r>
        <w:rPr>
          <w:sz w:val="26"/>
        </w:rPr>
        <w:t>14,</w:t>
      </w:r>
      <w:r>
        <w:rPr>
          <w:spacing w:val="-18"/>
          <w:sz w:val="26"/>
        </w:rPr>
        <w:t xml:space="preserve"> </w:t>
      </w:r>
      <w:r>
        <w:rPr>
          <w:sz w:val="26"/>
        </w:rPr>
        <w:t>19</w:t>
      </w:r>
      <w:r>
        <w:rPr>
          <w:spacing w:val="-16"/>
          <w:sz w:val="26"/>
        </w:rPr>
        <w:t xml:space="preserve"> </w:t>
      </w:r>
      <w:r>
        <w:rPr>
          <w:sz w:val="26"/>
        </w:rPr>
        <w:t>and</w:t>
      </w:r>
      <w:r>
        <w:rPr>
          <w:spacing w:val="-19"/>
          <w:sz w:val="26"/>
        </w:rPr>
        <w:t xml:space="preserve"> </w:t>
      </w:r>
      <w:r>
        <w:rPr>
          <w:sz w:val="26"/>
        </w:rPr>
        <w:t>21</w:t>
      </w:r>
      <w:r>
        <w:rPr>
          <w:spacing w:val="-19"/>
          <w:sz w:val="26"/>
        </w:rPr>
        <w:t xml:space="preserve"> </w:t>
      </w:r>
      <w:r>
        <w:rPr>
          <w:sz w:val="26"/>
        </w:rPr>
        <w:t>represent</w:t>
      </w:r>
      <w:r>
        <w:rPr>
          <w:spacing w:val="-19"/>
          <w:sz w:val="26"/>
        </w:rPr>
        <w:t xml:space="preserve"> </w:t>
      </w:r>
      <w:r>
        <w:rPr>
          <w:sz w:val="26"/>
        </w:rPr>
        <w:t>as</w:t>
      </w:r>
      <w:r>
        <w:rPr>
          <w:spacing w:val="-18"/>
          <w:sz w:val="26"/>
        </w:rPr>
        <w:t xml:space="preserve"> </w:t>
      </w:r>
      <w:r>
        <w:rPr>
          <w:sz w:val="26"/>
        </w:rPr>
        <w:t>it</w:t>
      </w:r>
      <w:r>
        <w:rPr>
          <w:spacing w:val="-14"/>
          <w:sz w:val="26"/>
        </w:rPr>
        <w:t xml:space="preserve"> </w:t>
      </w:r>
      <w:r>
        <w:rPr>
          <w:sz w:val="26"/>
        </w:rPr>
        <w:t>were,</w:t>
      </w:r>
      <w:r>
        <w:rPr>
          <w:spacing w:val="-17"/>
          <w:sz w:val="26"/>
        </w:rPr>
        <w:t xml:space="preserve"> </w:t>
      </w:r>
      <w:r>
        <w:rPr>
          <w:sz w:val="26"/>
        </w:rPr>
        <w:t>a</w:t>
      </w:r>
      <w:r>
        <w:rPr>
          <w:spacing w:val="-16"/>
          <w:sz w:val="26"/>
        </w:rPr>
        <w:t xml:space="preserve"> </w:t>
      </w:r>
      <w:r>
        <w:rPr>
          <w:sz w:val="26"/>
        </w:rPr>
        <w:t>golden triang</w:t>
      </w:r>
      <w:r>
        <w:rPr>
          <w:sz w:val="26"/>
        </w:rPr>
        <w:t>le of liberty. On a different plane, in facing up to the struggle against exclusion</w:t>
      </w:r>
      <w:r>
        <w:rPr>
          <w:spacing w:val="-12"/>
          <w:sz w:val="26"/>
        </w:rPr>
        <w:t xml:space="preserve"> </w:t>
      </w:r>
      <w:r>
        <w:rPr>
          <w:sz w:val="26"/>
        </w:rPr>
        <w:t>or</w:t>
      </w:r>
      <w:r>
        <w:rPr>
          <w:spacing w:val="-12"/>
          <w:sz w:val="26"/>
        </w:rPr>
        <w:t xml:space="preserve"> </w:t>
      </w:r>
      <w:r>
        <w:rPr>
          <w:sz w:val="26"/>
        </w:rPr>
        <w:t>discrimination</w:t>
      </w:r>
      <w:r>
        <w:rPr>
          <w:spacing w:val="-10"/>
          <w:sz w:val="26"/>
        </w:rPr>
        <w:t xml:space="preserve"> </w:t>
      </w:r>
      <w:r>
        <w:rPr>
          <w:sz w:val="26"/>
        </w:rPr>
        <w:t>in</w:t>
      </w:r>
      <w:r>
        <w:rPr>
          <w:spacing w:val="-12"/>
          <w:sz w:val="26"/>
        </w:rPr>
        <w:t xml:space="preserve"> </w:t>
      </w:r>
      <w:r>
        <w:rPr>
          <w:sz w:val="26"/>
        </w:rPr>
        <w:t>public</w:t>
      </w:r>
      <w:r>
        <w:rPr>
          <w:spacing w:val="-11"/>
          <w:sz w:val="26"/>
        </w:rPr>
        <w:t xml:space="preserve"> </w:t>
      </w:r>
      <w:r>
        <w:rPr>
          <w:sz w:val="26"/>
        </w:rPr>
        <w:t>places</w:t>
      </w:r>
      <w:r>
        <w:rPr>
          <w:spacing w:val="-11"/>
          <w:sz w:val="26"/>
        </w:rPr>
        <w:t xml:space="preserve"> </w:t>
      </w:r>
      <w:r>
        <w:rPr>
          <w:sz w:val="26"/>
        </w:rPr>
        <w:t>of</w:t>
      </w:r>
      <w:r>
        <w:rPr>
          <w:spacing w:val="-12"/>
          <w:sz w:val="26"/>
        </w:rPr>
        <w:t xml:space="preserve"> </w:t>
      </w:r>
      <w:r>
        <w:rPr>
          <w:sz w:val="26"/>
        </w:rPr>
        <w:t>worship,</w:t>
      </w:r>
      <w:r>
        <w:rPr>
          <w:spacing w:val="-11"/>
          <w:sz w:val="26"/>
        </w:rPr>
        <w:t xml:space="preserve"> </w:t>
      </w:r>
      <w:r>
        <w:rPr>
          <w:sz w:val="26"/>
        </w:rPr>
        <w:t>Articles</w:t>
      </w:r>
      <w:r>
        <w:rPr>
          <w:spacing w:val="-9"/>
          <w:sz w:val="26"/>
        </w:rPr>
        <w:t xml:space="preserve"> </w:t>
      </w:r>
      <w:r>
        <w:rPr>
          <w:sz w:val="26"/>
        </w:rPr>
        <w:t>15(2)(b),</w:t>
      </w:r>
      <w:r>
        <w:rPr>
          <w:spacing w:val="-11"/>
          <w:sz w:val="26"/>
        </w:rPr>
        <w:t xml:space="preserve"> </w:t>
      </w:r>
      <w:r>
        <w:rPr>
          <w:sz w:val="26"/>
        </w:rPr>
        <w:t>17</w:t>
      </w:r>
      <w:r>
        <w:rPr>
          <w:spacing w:val="-12"/>
          <w:sz w:val="26"/>
        </w:rPr>
        <w:t xml:space="preserve"> </w:t>
      </w:r>
      <w:r>
        <w:rPr>
          <w:sz w:val="26"/>
        </w:rPr>
        <w:t>and 25(2)(b) constitute the foundation. The guarantee against social</w:t>
      </w:r>
      <w:r>
        <w:rPr>
          <w:spacing w:val="31"/>
          <w:sz w:val="26"/>
        </w:rPr>
        <w:t xml:space="preserve"> </w:t>
      </w:r>
      <w:r>
        <w:rPr>
          <w:sz w:val="26"/>
        </w:rPr>
        <w:t xml:space="preserve">exclusion based on notions of “purity and pollution” is an acknowledgment of the inalienable dignity of every individual. Dignity as a facet of Article 21 is firmly entrenched after the decision of nine Judges in </w:t>
      </w:r>
      <w:r>
        <w:rPr>
          <w:b/>
          <w:sz w:val="26"/>
        </w:rPr>
        <w:t xml:space="preserve">K S Puttaswamy </w:t>
      </w:r>
      <w:r>
        <w:rPr>
          <w:sz w:val="26"/>
        </w:rPr>
        <w:t xml:space="preserve">v </w:t>
      </w:r>
      <w:r>
        <w:rPr>
          <w:b/>
          <w:sz w:val="26"/>
        </w:rPr>
        <w:t>Union of India</w:t>
      </w:r>
      <w:r>
        <w:rPr>
          <w:b/>
          <w:spacing w:val="-2"/>
          <w:sz w:val="26"/>
        </w:rPr>
        <w:t xml:space="preserve"> </w:t>
      </w:r>
      <w:r>
        <w:rPr>
          <w:sz w:val="26"/>
        </w:rPr>
        <w:t>(“</w:t>
      </w:r>
      <w:r>
        <w:rPr>
          <w:b/>
          <w:sz w:val="26"/>
        </w:rPr>
        <w:t>Puttaswam</w:t>
      </w:r>
      <w:r>
        <w:rPr>
          <w:b/>
          <w:sz w:val="26"/>
        </w:rPr>
        <w:t>y</w:t>
      </w:r>
      <w:r>
        <w:rPr>
          <w:sz w:val="26"/>
        </w:rPr>
        <w:t>”)</w:t>
      </w:r>
      <w:r>
        <w:rPr>
          <w:position w:val="9"/>
          <w:sz w:val="17"/>
        </w:rPr>
        <w:t>112</w:t>
      </w:r>
      <w:r>
        <w:rPr>
          <w:sz w:val="26"/>
        </w:rPr>
        <w:t>.</w:t>
      </w:r>
    </w:p>
    <w:p w:rsidR="003B2FC0" w:rsidRDefault="003B2FC0">
      <w:pPr>
        <w:rPr>
          <w:sz w:val="30"/>
        </w:rPr>
      </w:pPr>
    </w:p>
    <w:p w:rsidR="003B2FC0" w:rsidRDefault="003B2FC0">
      <w:pPr>
        <w:spacing w:before="5"/>
        <w:rPr>
          <w:sz w:val="30"/>
        </w:rPr>
      </w:pPr>
    </w:p>
    <w:p w:rsidR="003B2FC0" w:rsidRDefault="00052A49">
      <w:pPr>
        <w:pStyle w:val="ListParagraph"/>
        <w:numPr>
          <w:ilvl w:val="0"/>
          <w:numId w:val="39"/>
        </w:numPr>
        <w:tabs>
          <w:tab w:val="left" w:pos="1121"/>
        </w:tabs>
        <w:spacing w:line="475" w:lineRule="auto"/>
        <w:ind w:right="440" w:firstLine="0"/>
        <w:jc w:val="both"/>
        <w:rPr>
          <w:sz w:val="26"/>
        </w:rPr>
      </w:pPr>
      <w:r>
        <w:rPr>
          <w:sz w:val="26"/>
        </w:rPr>
        <w:t>The caste system has been powered by specific forms of subjugation of women.</w:t>
      </w:r>
      <w:r>
        <w:rPr>
          <w:position w:val="9"/>
          <w:sz w:val="17"/>
        </w:rPr>
        <w:t>113</w:t>
      </w:r>
      <w:r>
        <w:rPr>
          <w:spacing w:val="36"/>
          <w:position w:val="9"/>
          <w:sz w:val="17"/>
        </w:rPr>
        <w:t xml:space="preserve"> </w:t>
      </w:r>
      <w:r>
        <w:rPr>
          <w:sz w:val="26"/>
        </w:rPr>
        <w:t>The</w:t>
      </w:r>
      <w:r>
        <w:rPr>
          <w:spacing w:val="13"/>
          <w:sz w:val="26"/>
        </w:rPr>
        <w:t xml:space="preserve"> </w:t>
      </w:r>
      <w:r>
        <w:rPr>
          <w:sz w:val="26"/>
        </w:rPr>
        <w:t>notion</w:t>
      </w:r>
      <w:r>
        <w:rPr>
          <w:spacing w:val="14"/>
          <w:sz w:val="26"/>
        </w:rPr>
        <w:t xml:space="preserve"> </w:t>
      </w:r>
      <w:r>
        <w:rPr>
          <w:sz w:val="26"/>
        </w:rPr>
        <w:t>of</w:t>
      </w:r>
      <w:r>
        <w:rPr>
          <w:spacing w:val="13"/>
          <w:sz w:val="26"/>
        </w:rPr>
        <w:t xml:space="preserve"> </w:t>
      </w:r>
      <w:r>
        <w:rPr>
          <w:sz w:val="26"/>
        </w:rPr>
        <w:t>“purity</w:t>
      </w:r>
      <w:r>
        <w:rPr>
          <w:spacing w:val="13"/>
          <w:sz w:val="26"/>
        </w:rPr>
        <w:t xml:space="preserve"> </w:t>
      </w:r>
      <w:r>
        <w:rPr>
          <w:sz w:val="26"/>
        </w:rPr>
        <w:t>and</w:t>
      </w:r>
      <w:r>
        <w:rPr>
          <w:spacing w:val="14"/>
          <w:sz w:val="26"/>
        </w:rPr>
        <w:t xml:space="preserve"> </w:t>
      </w:r>
      <w:r>
        <w:rPr>
          <w:sz w:val="26"/>
        </w:rPr>
        <w:t>pollution”</w:t>
      </w:r>
      <w:r>
        <w:rPr>
          <w:spacing w:val="13"/>
          <w:sz w:val="26"/>
        </w:rPr>
        <w:t xml:space="preserve"> </w:t>
      </w:r>
      <w:r>
        <w:rPr>
          <w:sz w:val="26"/>
        </w:rPr>
        <w:t>stigmatizes</w:t>
      </w:r>
      <w:r>
        <w:rPr>
          <w:spacing w:val="12"/>
          <w:sz w:val="26"/>
        </w:rPr>
        <w:t xml:space="preserve"> </w:t>
      </w:r>
      <w:r>
        <w:rPr>
          <w:sz w:val="26"/>
        </w:rPr>
        <w:t>the</w:t>
      </w:r>
      <w:r>
        <w:rPr>
          <w:spacing w:val="15"/>
          <w:sz w:val="26"/>
        </w:rPr>
        <w:t xml:space="preserve"> </w:t>
      </w:r>
      <w:r>
        <w:rPr>
          <w:sz w:val="26"/>
        </w:rPr>
        <w:t>menstruation</w:t>
      </w:r>
      <w:r>
        <w:rPr>
          <w:spacing w:val="16"/>
          <w:sz w:val="26"/>
        </w:rPr>
        <w:t xml:space="preserve"> </w:t>
      </w:r>
      <w:r>
        <w:rPr>
          <w:sz w:val="26"/>
        </w:rPr>
        <w:t>of</w:t>
      </w:r>
    </w:p>
    <w:p w:rsidR="003B2FC0" w:rsidRDefault="003B2FC0">
      <w:pPr>
        <w:spacing w:before="8"/>
        <w:rPr>
          <w:sz w:val="14"/>
        </w:rPr>
      </w:pPr>
      <w:r w:rsidRPr="003B2FC0">
        <w:pict>
          <v:line id="_x0000_s1089" style="position:absolute;z-index:251625984;mso-wrap-distance-left:0;mso-wrap-distance-right:0;mso-position-horizontal-relative:page" from="1in,10.8pt" to="216.05pt,10.8pt" strokeweight=".72pt">
            <w10:wrap type="topAndBottom" anchorx="page"/>
          </v:line>
        </w:pict>
      </w:r>
    </w:p>
    <w:p w:rsidR="003B2FC0" w:rsidRDefault="00052A49">
      <w:pPr>
        <w:spacing w:before="66" w:line="209" w:lineRule="exact"/>
        <w:ind w:left="400"/>
        <w:rPr>
          <w:sz w:val="18"/>
        </w:rPr>
      </w:pPr>
      <w:r>
        <w:rPr>
          <w:position w:val="6"/>
          <w:sz w:val="12"/>
        </w:rPr>
        <w:t xml:space="preserve">112 </w:t>
      </w:r>
      <w:r>
        <w:rPr>
          <w:sz w:val="18"/>
        </w:rPr>
        <w:t>(2017) 10 SCC 1</w:t>
      </w:r>
    </w:p>
    <w:p w:rsidR="003B2FC0" w:rsidRDefault="00052A49">
      <w:pPr>
        <w:ind w:left="400" w:right="431"/>
        <w:jc w:val="both"/>
        <w:rPr>
          <w:sz w:val="18"/>
        </w:rPr>
      </w:pPr>
      <w:r>
        <w:rPr>
          <w:position w:val="6"/>
          <w:sz w:val="12"/>
        </w:rPr>
        <w:t xml:space="preserve">113 </w:t>
      </w:r>
      <w:r>
        <w:rPr>
          <w:sz w:val="18"/>
        </w:rPr>
        <w:t>In his 1916 paper, “Castes in India: Their Mechanism, Genesis and Development”, Dr Ambedkar speaks about the practice of subjugating and humiliating women for the purpose of reinforcement of the caste system. He advances that women have been used as a medi</w:t>
      </w:r>
      <w:r>
        <w:rPr>
          <w:sz w:val="18"/>
        </w:rPr>
        <w:t>um to perpetuate caste system by citing the specific examples of Sati (the practice of burning of the widow on the funeral pyre of her deceased husband), enforced widowhood by</w:t>
      </w:r>
    </w:p>
    <w:p w:rsidR="003B2FC0" w:rsidRDefault="003B2FC0">
      <w:pPr>
        <w:jc w:val="both"/>
        <w:rPr>
          <w:sz w:val="18"/>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spacing w:before="97" w:line="480" w:lineRule="auto"/>
        <w:ind w:left="400" w:right="435"/>
        <w:jc w:val="both"/>
        <w:rPr>
          <w:sz w:val="26"/>
        </w:rPr>
      </w:pPr>
      <w:r>
        <w:rPr>
          <w:sz w:val="26"/>
        </w:rPr>
        <w:t>women in Indian society. In the ancient religious texts</w:t>
      </w:r>
      <w:r>
        <w:rPr>
          <w:position w:val="9"/>
          <w:sz w:val="17"/>
        </w:rPr>
        <w:t xml:space="preserve">114 </w:t>
      </w:r>
      <w:r>
        <w:rPr>
          <w:sz w:val="26"/>
        </w:rPr>
        <w:t>an</w:t>
      </w:r>
      <w:r>
        <w:rPr>
          <w:sz w:val="26"/>
        </w:rPr>
        <w:t>d customs, menstruating women have been considered as polluting the surroundings. Irrespective of the status of a woman, menstruation has been equated with impurity, and the idea of impurity is then used to justify their exclusion from</w:t>
      </w:r>
      <w:r>
        <w:rPr>
          <w:spacing w:val="-31"/>
          <w:sz w:val="26"/>
        </w:rPr>
        <w:t xml:space="preserve"> </w:t>
      </w:r>
      <w:r>
        <w:rPr>
          <w:sz w:val="26"/>
        </w:rPr>
        <w:t>key social</w:t>
      </w:r>
      <w:r>
        <w:rPr>
          <w:spacing w:val="-2"/>
          <w:sz w:val="26"/>
        </w:rPr>
        <w:t xml:space="preserve"> </w:t>
      </w:r>
      <w:r>
        <w:rPr>
          <w:sz w:val="26"/>
        </w:rPr>
        <w:t>activitie</w:t>
      </w:r>
      <w:r>
        <w:rPr>
          <w:sz w:val="26"/>
        </w:rPr>
        <w:t>s.</w:t>
      </w:r>
    </w:p>
    <w:p w:rsidR="003B2FC0" w:rsidRDefault="003B2FC0">
      <w:pPr>
        <w:rPr>
          <w:sz w:val="28"/>
        </w:rPr>
      </w:pPr>
    </w:p>
    <w:p w:rsidR="003B2FC0" w:rsidRDefault="003B2FC0">
      <w:pPr>
        <w:spacing w:before="10"/>
        <w:rPr>
          <w:sz w:val="32"/>
        </w:rPr>
      </w:pPr>
    </w:p>
    <w:p w:rsidR="003B2FC0" w:rsidRDefault="00052A49">
      <w:pPr>
        <w:spacing w:line="480" w:lineRule="auto"/>
        <w:ind w:left="400" w:right="435"/>
        <w:jc w:val="both"/>
        <w:rPr>
          <w:sz w:val="26"/>
        </w:rPr>
      </w:pPr>
      <w:r>
        <w:rPr>
          <w:sz w:val="26"/>
        </w:rPr>
        <w:t>Our</w:t>
      </w:r>
      <w:r>
        <w:rPr>
          <w:spacing w:val="-19"/>
          <w:sz w:val="26"/>
        </w:rPr>
        <w:t xml:space="preserve"> </w:t>
      </w:r>
      <w:r>
        <w:rPr>
          <w:sz w:val="26"/>
        </w:rPr>
        <w:t>society</w:t>
      </w:r>
      <w:r>
        <w:rPr>
          <w:spacing w:val="-20"/>
          <w:sz w:val="26"/>
        </w:rPr>
        <w:t xml:space="preserve"> </w:t>
      </w:r>
      <w:r>
        <w:rPr>
          <w:sz w:val="26"/>
        </w:rPr>
        <w:t>is</w:t>
      </w:r>
      <w:r>
        <w:rPr>
          <w:spacing w:val="-15"/>
          <w:sz w:val="26"/>
        </w:rPr>
        <w:t xml:space="preserve"> </w:t>
      </w:r>
      <w:r>
        <w:rPr>
          <w:sz w:val="26"/>
        </w:rPr>
        <w:t>governed</w:t>
      </w:r>
      <w:r>
        <w:rPr>
          <w:spacing w:val="-18"/>
          <w:sz w:val="26"/>
        </w:rPr>
        <w:t xml:space="preserve"> </w:t>
      </w:r>
      <w:r>
        <w:rPr>
          <w:sz w:val="26"/>
        </w:rPr>
        <w:t>by</w:t>
      </w:r>
      <w:r>
        <w:rPr>
          <w:spacing w:val="-20"/>
          <w:sz w:val="26"/>
        </w:rPr>
        <w:t xml:space="preserve"> </w:t>
      </w:r>
      <w:r>
        <w:rPr>
          <w:sz w:val="26"/>
        </w:rPr>
        <w:t>the</w:t>
      </w:r>
      <w:r>
        <w:rPr>
          <w:spacing w:val="-18"/>
          <w:sz w:val="26"/>
        </w:rPr>
        <w:t xml:space="preserve"> </w:t>
      </w:r>
      <w:r>
        <w:rPr>
          <w:sz w:val="26"/>
        </w:rPr>
        <w:t>Constitution.</w:t>
      </w:r>
      <w:r>
        <w:rPr>
          <w:spacing w:val="-18"/>
          <w:sz w:val="26"/>
        </w:rPr>
        <w:t xml:space="preserve"> </w:t>
      </w:r>
      <w:r>
        <w:rPr>
          <w:sz w:val="26"/>
        </w:rPr>
        <w:t>The</w:t>
      </w:r>
      <w:r>
        <w:rPr>
          <w:spacing w:val="-18"/>
          <w:sz w:val="26"/>
        </w:rPr>
        <w:t xml:space="preserve"> </w:t>
      </w:r>
      <w:r>
        <w:rPr>
          <w:sz w:val="26"/>
        </w:rPr>
        <w:t>values</w:t>
      </w:r>
      <w:r>
        <w:rPr>
          <w:spacing w:val="-16"/>
          <w:sz w:val="26"/>
        </w:rPr>
        <w:t xml:space="preserve"> </w:t>
      </w:r>
      <w:r>
        <w:rPr>
          <w:sz w:val="26"/>
        </w:rPr>
        <w:t>of</w:t>
      </w:r>
      <w:r>
        <w:rPr>
          <w:spacing w:val="-18"/>
          <w:sz w:val="26"/>
        </w:rPr>
        <w:t xml:space="preserve"> </w:t>
      </w:r>
      <w:r>
        <w:rPr>
          <w:sz w:val="26"/>
        </w:rPr>
        <w:t>constitutional</w:t>
      </w:r>
      <w:r>
        <w:rPr>
          <w:spacing w:val="-19"/>
          <w:sz w:val="26"/>
        </w:rPr>
        <w:t xml:space="preserve"> </w:t>
      </w:r>
      <w:r>
        <w:rPr>
          <w:sz w:val="26"/>
        </w:rPr>
        <w:t>morality are a non-derogable entitlement. Notions of “purity and pollution”, which stigmatize individuals, can have no place in a constitutional regime. Regarding menstruation a</w:t>
      </w:r>
      <w:r>
        <w:rPr>
          <w:sz w:val="26"/>
        </w:rPr>
        <w:t>s polluting or impure, and worse still, imposing exclusionary disabilities on the basis of menstrual status, is against the dignity of women which is guaranteed by the Constitution. Practices which legitimise menstrual taboos, due to notions of “purity and</w:t>
      </w:r>
      <w:r>
        <w:rPr>
          <w:sz w:val="26"/>
        </w:rPr>
        <w:t xml:space="preserve"> pollution”, limit the ability of menstruating women to attain the freedom of movement, the right to education and the right of entry to places of worship and, eventually, their access to the public sphere. Women have a right to control their own bodies. T</w:t>
      </w:r>
      <w:r>
        <w:rPr>
          <w:sz w:val="26"/>
        </w:rPr>
        <w:t>he menstrual status of a woman is an attribute of her privacy and person. Women have a constitutional entitlement</w:t>
      </w:r>
      <w:r>
        <w:rPr>
          <w:spacing w:val="-16"/>
          <w:sz w:val="26"/>
        </w:rPr>
        <w:t xml:space="preserve"> </w:t>
      </w:r>
      <w:r>
        <w:rPr>
          <w:sz w:val="26"/>
        </w:rPr>
        <w:t>that</w:t>
      </w:r>
      <w:r>
        <w:rPr>
          <w:spacing w:val="-16"/>
          <w:sz w:val="26"/>
        </w:rPr>
        <w:t xml:space="preserve"> </w:t>
      </w:r>
      <w:r>
        <w:rPr>
          <w:sz w:val="26"/>
        </w:rPr>
        <w:t>their</w:t>
      </w:r>
      <w:r>
        <w:rPr>
          <w:spacing w:val="-13"/>
          <w:sz w:val="26"/>
        </w:rPr>
        <w:t xml:space="preserve"> </w:t>
      </w:r>
      <w:r>
        <w:rPr>
          <w:sz w:val="26"/>
        </w:rPr>
        <w:t>biological</w:t>
      </w:r>
      <w:r>
        <w:rPr>
          <w:spacing w:val="-16"/>
          <w:sz w:val="26"/>
        </w:rPr>
        <w:t xml:space="preserve"> </w:t>
      </w:r>
      <w:r>
        <w:rPr>
          <w:sz w:val="26"/>
        </w:rPr>
        <w:t>processes</w:t>
      </w:r>
      <w:r>
        <w:rPr>
          <w:spacing w:val="-14"/>
          <w:sz w:val="26"/>
        </w:rPr>
        <w:t xml:space="preserve"> </w:t>
      </w:r>
      <w:r>
        <w:rPr>
          <w:sz w:val="26"/>
        </w:rPr>
        <w:t>must</w:t>
      </w:r>
      <w:r>
        <w:rPr>
          <w:spacing w:val="-15"/>
          <w:sz w:val="26"/>
        </w:rPr>
        <w:t xml:space="preserve"> </w:t>
      </w:r>
      <w:r>
        <w:rPr>
          <w:sz w:val="26"/>
        </w:rPr>
        <w:t>be</w:t>
      </w:r>
      <w:r>
        <w:rPr>
          <w:spacing w:val="-16"/>
          <w:sz w:val="26"/>
        </w:rPr>
        <w:t xml:space="preserve"> </w:t>
      </w:r>
      <w:r>
        <w:rPr>
          <w:sz w:val="26"/>
        </w:rPr>
        <w:t>free</w:t>
      </w:r>
      <w:r>
        <w:rPr>
          <w:spacing w:val="-15"/>
          <w:sz w:val="26"/>
        </w:rPr>
        <w:t xml:space="preserve"> </w:t>
      </w:r>
      <w:r>
        <w:rPr>
          <w:sz w:val="26"/>
        </w:rPr>
        <w:t>from</w:t>
      </w:r>
      <w:r>
        <w:rPr>
          <w:spacing w:val="-16"/>
          <w:sz w:val="26"/>
        </w:rPr>
        <w:t xml:space="preserve"> </w:t>
      </w:r>
      <w:r>
        <w:rPr>
          <w:sz w:val="26"/>
        </w:rPr>
        <w:t>social</w:t>
      </w:r>
      <w:r>
        <w:rPr>
          <w:spacing w:val="-15"/>
          <w:sz w:val="26"/>
        </w:rPr>
        <w:t xml:space="preserve"> </w:t>
      </w:r>
      <w:r>
        <w:rPr>
          <w:sz w:val="26"/>
        </w:rPr>
        <w:t>and</w:t>
      </w:r>
      <w:r>
        <w:rPr>
          <w:spacing w:val="-16"/>
          <w:sz w:val="26"/>
        </w:rPr>
        <w:t xml:space="preserve"> </w:t>
      </w:r>
      <w:r>
        <w:rPr>
          <w:sz w:val="26"/>
        </w:rPr>
        <w:t>religious practices, which enforce segregation and exclusion. These practices result in humiliation</w:t>
      </w:r>
      <w:r>
        <w:rPr>
          <w:spacing w:val="9"/>
          <w:sz w:val="26"/>
        </w:rPr>
        <w:t xml:space="preserve"> </w:t>
      </w:r>
      <w:r>
        <w:rPr>
          <w:sz w:val="26"/>
        </w:rPr>
        <w:t>and</w:t>
      </w:r>
      <w:r>
        <w:rPr>
          <w:spacing w:val="12"/>
          <w:sz w:val="26"/>
        </w:rPr>
        <w:t xml:space="preserve"> </w:t>
      </w:r>
      <w:r>
        <w:rPr>
          <w:sz w:val="26"/>
        </w:rPr>
        <w:t>a</w:t>
      </w:r>
      <w:r>
        <w:rPr>
          <w:spacing w:val="12"/>
          <w:sz w:val="26"/>
        </w:rPr>
        <w:t xml:space="preserve"> </w:t>
      </w:r>
      <w:r>
        <w:rPr>
          <w:sz w:val="26"/>
        </w:rPr>
        <w:t>violation</w:t>
      </w:r>
      <w:r>
        <w:rPr>
          <w:spacing w:val="11"/>
          <w:sz w:val="26"/>
        </w:rPr>
        <w:t xml:space="preserve"> </w:t>
      </w:r>
      <w:r>
        <w:rPr>
          <w:sz w:val="26"/>
        </w:rPr>
        <w:t>of</w:t>
      </w:r>
      <w:r>
        <w:rPr>
          <w:spacing w:val="12"/>
          <w:sz w:val="26"/>
        </w:rPr>
        <w:t xml:space="preserve"> </w:t>
      </w:r>
      <w:r>
        <w:rPr>
          <w:sz w:val="26"/>
        </w:rPr>
        <w:t>dignity.</w:t>
      </w:r>
      <w:r>
        <w:rPr>
          <w:spacing w:val="16"/>
          <w:sz w:val="26"/>
        </w:rPr>
        <w:t xml:space="preserve"> </w:t>
      </w:r>
      <w:r>
        <w:rPr>
          <w:sz w:val="26"/>
        </w:rPr>
        <w:t>Article</w:t>
      </w:r>
      <w:r>
        <w:rPr>
          <w:spacing w:val="13"/>
          <w:sz w:val="26"/>
        </w:rPr>
        <w:t xml:space="preserve"> </w:t>
      </w:r>
      <w:r>
        <w:rPr>
          <w:sz w:val="26"/>
        </w:rPr>
        <w:t>17</w:t>
      </w:r>
      <w:r>
        <w:rPr>
          <w:spacing w:val="9"/>
          <w:sz w:val="26"/>
        </w:rPr>
        <w:t xml:space="preserve"> </w:t>
      </w:r>
      <w:r>
        <w:rPr>
          <w:sz w:val="26"/>
        </w:rPr>
        <w:t>prohibits</w:t>
      </w:r>
      <w:r>
        <w:rPr>
          <w:spacing w:val="12"/>
          <w:sz w:val="26"/>
        </w:rPr>
        <w:t xml:space="preserve"> </w:t>
      </w:r>
      <w:r>
        <w:rPr>
          <w:sz w:val="26"/>
        </w:rPr>
        <w:t>the</w:t>
      </w:r>
      <w:r>
        <w:rPr>
          <w:spacing w:val="13"/>
          <w:sz w:val="26"/>
        </w:rPr>
        <w:t xml:space="preserve"> </w:t>
      </w:r>
      <w:r>
        <w:rPr>
          <w:sz w:val="26"/>
        </w:rPr>
        <w:t>practice</w:t>
      </w:r>
      <w:r>
        <w:rPr>
          <w:spacing w:val="10"/>
          <w:sz w:val="26"/>
        </w:rPr>
        <w:t xml:space="preserve"> </w:t>
      </w:r>
      <w:r>
        <w:rPr>
          <w:sz w:val="26"/>
        </w:rPr>
        <w:t>of</w:t>
      </w:r>
    </w:p>
    <w:p w:rsidR="003B2FC0" w:rsidRDefault="003B2FC0">
      <w:pPr>
        <w:rPr>
          <w:sz w:val="20"/>
        </w:rPr>
      </w:pPr>
    </w:p>
    <w:p w:rsidR="003B2FC0" w:rsidRDefault="003B2FC0">
      <w:pPr>
        <w:rPr>
          <w:sz w:val="20"/>
        </w:rPr>
      </w:pPr>
    </w:p>
    <w:p w:rsidR="003B2FC0" w:rsidRDefault="003B2FC0">
      <w:pPr>
        <w:spacing w:before="10"/>
        <w:rPr>
          <w:sz w:val="26"/>
        </w:rPr>
      </w:pPr>
    </w:p>
    <w:p w:rsidR="003B2FC0" w:rsidRDefault="00052A49">
      <w:pPr>
        <w:spacing w:before="94"/>
        <w:ind w:left="400" w:right="430"/>
        <w:jc w:val="both"/>
        <w:rPr>
          <w:sz w:val="18"/>
        </w:rPr>
      </w:pPr>
      <w:r>
        <w:rPr>
          <w:sz w:val="18"/>
        </w:rPr>
        <w:t>which a widow is not allowed to remarry, and pre-pubertal marriage of girls. He believed</w:t>
      </w:r>
      <w:r>
        <w:rPr>
          <w:sz w:val="18"/>
        </w:rPr>
        <w:t xml:space="preserve"> that the caste-gender nexus was the main culprit behind the oppression of the lower castes and women and that it had to be uprooted. See Dr. Babasaheb Ambedkar: Writings and Speeches, (Vasant Moon ed.), Government of Maharashtra (2014), Vol. 1, at pages 3</w:t>
      </w:r>
      <w:r>
        <w:rPr>
          <w:sz w:val="18"/>
        </w:rPr>
        <w:t>-22</w:t>
      </w:r>
    </w:p>
    <w:p w:rsidR="003B2FC0" w:rsidRDefault="00052A49">
      <w:pPr>
        <w:spacing w:line="207" w:lineRule="exact"/>
        <w:ind w:left="400"/>
        <w:jc w:val="both"/>
        <w:rPr>
          <w:sz w:val="18"/>
        </w:rPr>
      </w:pPr>
      <w:r>
        <w:rPr>
          <w:position w:val="6"/>
          <w:sz w:val="12"/>
        </w:rPr>
        <w:t xml:space="preserve">114 </w:t>
      </w:r>
      <w:r>
        <w:rPr>
          <w:sz w:val="18"/>
        </w:rPr>
        <w:t>Manusmriti</w:t>
      </w:r>
    </w:p>
    <w:p w:rsidR="003B2FC0" w:rsidRDefault="003B2FC0">
      <w:pPr>
        <w:spacing w:line="207" w:lineRule="exact"/>
        <w:jc w:val="both"/>
        <w:rPr>
          <w:sz w:val="18"/>
        </w:rPr>
        <w:sectPr w:rsidR="003B2FC0">
          <w:footerReference w:type="default" r:id="rId381"/>
          <w:pgSz w:w="11910" w:h="16840"/>
          <w:pgMar w:top="1080" w:right="980" w:bottom="1340" w:left="1040" w:header="708" w:footer="1158"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“untouchability”, which is based on notions of purity and impurity, “in any form”. Article</w:t>
      </w:r>
      <w:r>
        <w:rPr>
          <w:spacing w:val="-16"/>
          <w:sz w:val="26"/>
        </w:rPr>
        <w:t xml:space="preserve"> </w:t>
      </w:r>
      <w:r>
        <w:rPr>
          <w:sz w:val="26"/>
        </w:rPr>
        <w:t>17</w:t>
      </w:r>
      <w:r>
        <w:rPr>
          <w:spacing w:val="-15"/>
          <w:sz w:val="26"/>
        </w:rPr>
        <w:t xml:space="preserve"> </w:t>
      </w:r>
      <w:r>
        <w:rPr>
          <w:sz w:val="26"/>
        </w:rPr>
        <w:t>certainly</w:t>
      </w:r>
      <w:r>
        <w:rPr>
          <w:spacing w:val="-15"/>
          <w:sz w:val="26"/>
        </w:rPr>
        <w:t xml:space="preserve"> </w:t>
      </w:r>
      <w:r>
        <w:rPr>
          <w:sz w:val="26"/>
        </w:rPr>
        <w:t>applies</w:t>
      </w:r>
      <w:r>
        <w:rPr>
          <w:spacing w:val="-15"/>
          <w:sz w:val="26"/>
        </w:rPr>
        <w:t xml:space="preserve"> </w:t>
      </w:r>
      <w:r>
        <w:rPr>
          <w:sz w:val="26"/>
        </w:rPr>
        <w:t>to</w:t>
      </w:r>
      <w:r>
        <w:rPr>
          <w:spacing w:val="-15"/>
          <w:sz w:val="26"/>
        </w:rPr>
        <w:t xml:space="preserve"> </w:t>
      </w:r>
      <w:r>
        <w:rPr>
          <w:sz w:val="26"/>
        </w:rPr>
        <w:t>untouchability</w:t>
      </w:r>
      <w:r>
        <w:rPr>
          <w:spacing w:val="-18"/>
          <w:sz w:val="26"/>
        </w:rPr>
        <w:t xml:space="preserve"> </w:t>
      </w:r>
      <w:r>
        <w:rPr>
          <w:sz w:val="26"/>
        </w:rPr>
        <w:t>practices</w:t>
      </w:r>
      <w:r>
        <w:rPr>
          <w:spacing w:val="-15"/>
          <w:sz w:val="26"/>
        </w:rPr>
        <w:t xml:space="preserve"> </w:t>
      </w:r>
      <w:r>
        <w:rPr>
          <w:sz w:val="26"/>
        </w:rPr>
        <w:t>in</w:t>
      </w:r>
      <w:r>
        <w:rPr>
          <w:spacing w:val="-15"/>
          <w:sz w:val="26"/>
        </w:rPr>
        <w:t xml:space="preserve"> </w:t>
      </w:r>
      <w:r>
        <w:rPr>
          <w:sz w:val="26"/>
        </w:rPr>
        <w:t>relation</w:t>
      </w:r>
      <w:r>
        <w:rPr>
          <w:spacing w:val="-14"/>
          <w:sz w:val="26"/>
        </w:rPr>
        <w:t xml:space="preserve"> </w:t>
      </w:r>
      <w:r>
        <w:rPr>
          <w:sz w:val="26"/>
        </w:rPr>
        <w:t>to</w:t>
      </w:r>
      <w:r>
        <w:rPr>
          <w:spacing w:val="-15"/>
          <w:sz w:val="26"/>
        </w:rPr>
        <w:t xml:space="preserve"> </w:t>
      </w:r>
      <w:r>
        <w:rPr>
          <w:sz w:val="26"/>
        </w:rPr>
        <w:t>lower</w:t>
      </w:r>
      <w:r>
        <w:rPr>
          <w:spacing w:val="-15"/>
          <w:sz w:val="26"/>
        </w:rPr>
        <w:t xml:space="preserve"> </w:t>
      </w:r>
      <w:r>
        <w:rPr>
          <w:sz w:val="26"/>
        </w:rPr>
        <w:t>castes, but</w:t>
      </w:r>
      <w:r>
        <w:rPr>
          <w:spacing w:val="-15"/>
          <w:sz w:val="26"/>
        </w:rPr>
        <w:t xml:space="preserve"> </w:t>
      </w:r>
      <w:r>
        <w:rPr>
          <w:sz w:val="26"/>
        </w:rPr>
        <w:t>it</w:t>
      </w:r>
      <w:r>
        <w:rPr>
          <w:spacing w:val="-14"/>
          <w:sz w:val="26"/>
        </w:rPr>
        <w:t xml:space="preserve"> </w:t>
      </w:r>
      <w:r>
        <w:rPr>
          <w:sz w:val="26"/>
        </w:rPr>
        <w:t>will</w:t>
      </w:r>
      <w:r>
        <w:rPr>
          <w:spacing w:val="-14"/>
          <w:sz w:val="26"/>
        </w:rPr>
        <w:t xml:space="preserve"> </w:t>
      </w:r>
      <w:r>
        <w:rPr>
          <w:sz w:val="26"/>
        </w:rPr>
        <w:t>also</w:t>
      </w:r>
      <w:r>
        <w:rPr>
          <w:spacing w:val="-15"/>
          <w:sz w:val="26"/>
        </w:rPr>
        <w:t xml:space="preserve"> </w:t>
      </w:r>
      <w:r>
        <w:rPr>
          <w:sz w:val="26"/>
        </w:rPr>
        <w:t>apply</w:t>
      </w:r>
      <w:r>
        <w:rPr>
          <w:spacing w:val="-16"/>
          <w:sz w:val="26"/>
        </w:rPr>
        <w:t xml:space="preserve"> </w:t>
      </w:r>
      <w:r>
        <w:rPr>
          <w:sz w:val="26"/>
        </w:rPr>
        <w:t>to</w:t>
      </w:r>
      <w:r>
        <w:rPr>
          <w:spacing w:val="-14"/>
          <w:sz w:val="26"/>
        </w:rPr>
        <w:t xml:space="preserve"> </w:t>
      </w:r>
      <w:r>
        <w:rPr>
          <w:sz w:val="26"/>
        </w:rPr>
        <w:t>the</w:t>
      </w:r>
      <w:r>
        <w:rPr>
          <w:spacing w:val="-15"/>
          <w:sz w:val="26"/>
        </w:rPr>
        <w:t xml:space="preserve"> </w:t>
      </w:r>
      <w:r>
        <w:rPr>
          <w:sz w:val="26"/>
        </w:rPr>
        <w:t>systemic</w:t>
      </w:r>
      <w:r>
        <w:rPr>
          <w:spacing w:val="-14"/>
          <w:sz w:val="26"/>
        </w:rPr>
        <w:t xml:space="preserve"> </w:t>
      </w:r>
      <w:r>
        <w:rPr>
          <w:sz w:val="26"/>
        </w:rPr>
        <w:t>humiliation,</w:t>
      </w:r>
      <w:r>
        <w:rPr>
          <w:spacing w:val="-14"/>
          <w:sz w:val="26"/>
        </w:rPr>
        <w:t xml:space="preserve"> </w:t>
      </w:r>
      <w:r>
        <w:rPr>
          <w:sz w:val="26"/>
        </w:rPr>
        <w:t>exclusion</w:t>
      </w:r>
      <w:r>
        <w:rPr>
          <w:spacing w:val="-15"/>
          <w:sz w:val="26"/>
        </w:rPr>
        <w:t xml:space="preserve"> </w:t>
      </w:r>
      <w:r>
        <w:rPr>
          <w:sz w:val="26"/>
        </w:rPr>
        <w:t>and</w:t>
      </w:r>
      <w:r>
        <w:rPr>
          <w:spacing w:val="-12"/>
          <w:sz w:val="26"/>
        </w:rPr>
        <w:t xml:space="preserve"> </w:t>
      </w:r>
      <w:r>
        <w:rPr>
          <w:sz w:val="26"/>
        </w:rPr>
        <w:t>subjugation</w:t>
      </w:r>
      <w:r>
        <w:rPr>
          <w:spacing w:val="-14"/>
          <w:sz w:val="26"/>
        </w:rPr>
        <w:t xml:space="preserve"> </w:t>
      </w:r>
      <w:r>
        <w:rPr>
          <w:sz w:val="26"/>
        </w:rPr>
        <w:t>faced by</w:t>
      </w:r>
      <w:r>
        <w:rPr>
          <w:spacing w:val="-8"/>
          <w:sz w:val="26"/>
        </w:rPr>
        <w:t xml:space="preserve"> </w:t>
      </w:r>
      <w:r>
        <w:rPr>
          <w:sz w:val="26"/>
        </w:rPr>
        <w:t>women.</w:t>
      </w:r>
      <w:r>
        <w:rPr>
          <w:spacing w:val="-7"/>
          <w:sz w:val="26"/>
        </w:rPr>
        <w:t xml:space="preserve"> </w:t>
      </w:r>
      <w:r>
        <w:rPr>
          <w:sz w:val="26"/>
        </w:rPr>
        <w:t>Prejudice</w:t>
      </w:r>
      <w:r>
        <w:rPr>
          <w:spacing w:val="-5"/>
          <w:sz w:val="26"/>
        </w:rPr>
        <w:t xml:space="preserve"> </w:t>
      </w:r>
      <w:r>
        <w:rPr>
          <w:sz w:val="26"/>
        </w:rPr>
        <w:t>against</w:t>
      </w:r>
      <w:r>
        <w:rPr>
          <w:spacing w:val="-5"/>
          <w:sz w:val="26"/>
        </w:rPr>
        <w:t xml:space="preserve"> </w:t>
      </w:r>
      <w:r>
        <w:rPr>
          <w:sz w:val="26"/>
        </w:rPr>
        <w:t>women</w:t>
      </w:r>
      <w:r>
        <w:rPr>
          <w:spacing w:val="-7"/>
          <w:sz w:val="26"/>
        </w:rPr>
        <w:t xml:space="preserve"> </w:t>
      </w:r>
      <w:r>
        <w:rPr>
          <w:sz w:val="26"/>
        </w:rPr>
        <w:t>based</w:t>
      </w:r>
      <w:r>
        <w:rPr>
          <w:spacing w:val="-7"/>
          <w:sz w:val="26"/>
        </w:rPr>
        <w:t xml:space="preserve"> </w:t>
      </w:r>
      <w:r>
        <w:rPr>
          <w:sz w:val="26"/>
        </w:rPr>
        <w:t>on</w:t>
      </w:r>
      <w:r>
        <w:rPr>
          <w:spacing w:val="-7"/>
          <w:sz w:val="26"/>
        </w:rPr>
        <w:t xml:space="preserve"> </w:t>
      </w:r>
      <w:r>
        <w:rPr>
          <w:sz w:val="26"/>
        </w:rPr>
        <w:t>notions</w:t>
      </w:r>
      <w:r>
        <w:rPr>
          <w:spacing w:val="-7"/>
          <w:sz w:val="26"/>
        </w:rPr>
        <w:t xml:space="preserve"> </w:t>
      </w:r>
      <w:r>
        <w:rPr>
          <w:sz w:val="26"/>
        </w:rPr>
        <w:t>of</w:t>
      </w:r>
      <w:r>
        <w:rPr>
          <w:spacing w:val="-4"/>
          <w:sz w:val="26"/>
        </w:rPr>
        <w:t xml:space="preserve"> </w:t>
      </w:r>
      <w:r>
        <w:rPr>
          <w:sz w:val="26"/>
        </w:rPr>
        <w:t>impurity</w:t>
      </w:r>
      <w:r>
        <w:rPr>
          <w:spacing w:val="-6"/>
          <w:sz w:val="26"/>
        </w:rPr>
        <w:t xml:space="preserve"> </w:t>
      </w:r>
      <w:r>
        <w:rPr>
          <w:sz w:val="26"/>
        </w:rPr>
        <w:t>and</w:t>
      </w:r>
      <w:r>
        <w:rPr>
          <w:spacing w:val="-7"/>
          <w:sz w:val="26"/>
        </w:rPr>
        <w:t xml:space="preserve"> </w:t>
      </w:r>
      <w:r>
        <w:rPr>
          <w:sz w:val="26"/>
        </w:rPr>
        <w:t>pollution associated with menstruation is a symbol of exclusion. The social exclusion of women, based on menstrual status, is but a form of unto</w:t>
      </w:r>
      <w:r>
        <w:rPr>
          <w:sz w:val="26"/>
        </w:rPr>
        <w:t>uchability which is an anathema to constitutional values. As an expression of the anti-exclusion principle, Article 17 cannot be read to exclude women against whom social exclusion of the worst kind has been practiced and legitimized on notions of purity a</w:t>
      </w:r>
      <w:r>
        <w:rPr>
          <w:sz w:val="26"/>
        </w:rPr>
        <w:t>nd pollution. Article 17 cannot be read in a restricted manner. But even if Article 17 were to be read to reflect a particular form of untouchability, that article will not exhaust the guarantee against other forms of social exclusion. The</w:t>
      </w:r>
      <w:r>
        <w:rPr>
          <w:spacing w:val="-9"/>
          <w:sz w:val="26"/>
        </w:rPr>
        <w:t xml:space="preserve"> </w:t>
      </w:r>
      <w:r>
        <w:rPr>
          <w:sz w:val="26"/>
        </w:rPr>
        <w:t>guarantee</w:t>
      </w:r>
      <w:r>
        <w:rPr>
          <w:spacing w:val="-9"/>
          <w:sz w:val="26"/>
        </w:rPr>
        <w:t xml:space="preserve"> </w:t>
      </w:r>
      <w:r>
        <w:rPr>
          <w:sz w:val="26"/>
        </w:rPr>
        <w:t>agains</w:t>
      </w:r>
      <w:r>
        <w:rPr>
          <w:sz w:val="26"/>
        </w:rPr>
        <w:t>t</w:t>
      </w:r>
      <w:r>
        <w:rPr>
          <w:spacing w:val="-9"/>
          <w:sz w:val="26"/>
        </w:rPr>
        <w:t xml:space="preserve"> </w:t>
      </w:r>
      <w:r>
        <w:rPr>
          <w:sz w:val="26"/>
        </w:rPr>
        <w:t>social</w:t>
      </w:r>
      <w:r>
        <w:rPr>
          <w:spacing w:val="-7"/>
          <w:sz w:val="26"/>
        </w:rPr>
        <w:t xml:space="preserve"> </w:t>
      </w:r>
      <w:r>
        <w:rPr>
          <w:sz w:val="26"/>
        </w:rPr>
        <w:t>exclusion</w:t>
      </w:r>
      <w:r>
        <w:rPr>
          <w:spacing w:val="-5"/>
          <w:sz w:val="26"/>
        </w:rPr>
        <w:t xml:space="preserve"> </w:t>
      </w:r>
      <w:r>
        <w:rPr>
          <w:sz w:val="26"/>
        </w:rPr>
        <w:t>would</w:t>
      </w:r>
      <w:r>
        <w:rPr>
          <w:spacing w:val="-9"/>
          <w:sz w:val="26"/>
        </w:rPr>
        <w:t xml:space="preserve"> </w:t>
      </w:r>
      <w:r>
        <w:rPr>
          <w:sz w:val="26"/>
        </w:rPr>
        <w:t>emanate</w:t>
      </w:r>
      <w:r>
        <w:rPr>
          <w:spacing w:val="-9"/>
          <w:sz w:val="26"/>
        </w:rPr>
        <w:t xml:space="preserve"> </w:t>
      </w:r>
      <w:r>
        <w:rPr>
          <w:sz w:val="26"/>
        </w:rPr>
        <w:t>from</w:t>
      </w:r>
      <w:r>
        <w:rPr>
          <w:spacing w:val="-9"/>
          <w:sz w:val="26"/>
        </w:rPr>
        <w:t xml:space="preserve"> </w:t>
      </w:r>
      <w:r>
        <w:rPr>
          <w:sz w:val="26"/>
        </w:rPr>
        <w:t>other</w:t>
      </w:r>
      <w:r>
        <w:rPr>
          <w:spacing w:val="-9"/>
          <w:sz w:val="26"/>
        </w:rPr>
        <w:t xml:space="preserve"> </w:t>
      </w:r>
      <w:r>
        <w:rPr>
          <w:sz w:val="26"/>
        </w:rPr>
        <w:t>provisions</w:t>
      </w:r>
      <w:r>
        <w:rPr>
          <w:spacing w:val="-8"/>
          <w:sz w:val="26"/>
        </w:rPr>
        <w:t xml:space="preserve"> </w:t>
      </w:r>
      <w:r>
        <w:rPr>
          <w:sz w:val="26"/>
        </w:rPr>
        <w:t>of Part III, including Articles 15(2) and 21. Exclusion of women between the age groups</w:t>
      </w:r>
      <w:r>
        <w:rPr>
          <w:spacing w:val="-14"/>
          <w:sz w:val="26"/>
        </w:rPr>
        <w:t xml:space="preserve"> </w:t>
      </w:r>
      <w:r>
        <w:rPr>
          <w:sz w:val="26"/>
        </w:rPr>
        <w:t>of</w:t>
      </w:r>
      <w:r>
        <w:rPr>
          <w:spacing w:val="-15"/>
          <w:sz w:val="26"/>
        </w:rPr>
        <w:t xml:space="preserve"> </w:t>
      </w:r>
      <w:r>
        <w:rPr>
          <w:sz w:val="26"/>
        </w:rPr>
        <w:t>ten</w:t>
      </w:r>
      <w:r>
        <w:rPr>
          <w:spacing w:val="-16"/>
          <w:sz w:val="26"/>
        </w:rPr>
        <w:t xml:space="preserve"> </w:t>
      </w:r>
      <w:r>
        <w:rPr>
          <w:sz w:val="26"/>
        </w:rPr>
        <w:t>and</w:t>
      </w:r>
      <w:r>
        <w:rPr>
          <w:spacing w:val="-15"/>
          <w:sz w:val="26"/>
        </w:rPr>
        <w:t xml:space="preserve"> </w:t>
      </w:r>
      <w:r>
        <w:rPr>
          <w:sz w:val="26"/>
        </w:rPr>
        <w:t>fifty,</w:t>
      </w:r>
      <w:r>
        <w:rPr>
          <w:spacing w:val="-15"/>
          <w:sz w:val="26"/>
        </w:rPr>
        <w:t xml:space="preserve"> </w:t>
      </w:r>
      <w:r>
        <w:rPr>
          <w:sz w:val="26"/>
        </w:rPr>
        <w:t>based</w:t>
      </w:r>
      <w:r>
        <w:rPr>
          <w:spacing w:val="-15"/>
          <w:sz w:val="26"/>
        </w:rPr>
        <w:t xml:space="preserve"> </w:t>
      </w:r>
      <w:r>
        <w:rPr>
          <w:sz w:val="26"/>
        </w:rPr>
        <w:t>on</w:t>
      </w:r>
      <w:r>
        <w:rPr>
          <w:spacing w:val="-15"/>
          <w:sz w:val="26"/>
        </w:rPr>
        <w:t xml:space="preserve"> </w:t>
      </w:r>
      <w:r>
        <w:rPr>
          <w:sz w:val="26"/>
        </w:rPr>
        <w:t>their</w:t>
      </w:r>
      <w:r>
        <w:rPr>
          <w:spacing w:val="-15"/>
          <w:sz w:val="26"/>
        </w:rPr>
        <w:t xml:space="preserve"> </w:t>
      </w:r>
      <w:r>
        <w:rPr>
          <w:sz w:val="26"/>
        </w:rPr>
        <w:t>menstrual</w:t>
      </w:r>
      <w:r>
        <w:rPr>
          <w:spacing w:val="-16"/>
          <w:sz w:val="26"/>
        </w:rPr>
        <w:t xml:space="preserve"> </w:t>
      </w:r>
      <w:r>
        <w:rPr>
          <w:sz w:val="26"/>
        </w:rPr>
        <w:t>status,</w:t>
      </w:r>
      <w:r>
        <w:rPr>
          <w:spacing w:val="-15"/>
          <w:sz w:val="26"/>
        </w:rPr>
        <w:t xml:space="preserve"> </w:t>
      </w:r>
      <w:r>
        <w:rPr>
          <w:sz w:val="26"/>
        </w:rPr>
        <w:t>from</w:t>
      </w:r>
      <w:r>
        <w:rPr>
          <w:spacing w:val="-15"/>
          <w:sz w:val="26"/>
        </w:rPr>
        <w:t xml:space="preserve"> </w:t>
      </w:r>
      <w:r>
        <w:rPr>
          <w:sz w:val="26"/>
        </w:rPr>
        <w:t>entering</w:t>
      </w:r>
      <w:r>
        <w:rPr>
          <w:spacing w:val="-16"/>
          <w:sz w:val="26"/>
        </w:rPr>
        <w:t xml:space="preserve"> </w:t>
      </w:r>
      <w:r>
        <w:rPr>
          <w:sz w:val="26"/>
        </w:rPr>
        <w:t>the</w:t>
      </w:r>
      <w:r>
        <w:rPr>
          <w:spacing w:val="-15"/>
          <w:sz w:val="26"/>
        </w:rPr>
        <w:t xml:space="preserve"> </w:t>
      </w:r>
      <w:r>
        <w:rPr>
          <w:sz w:val="26"/>
        </w:rPr>
        <w:t>temple in</w:t>
      </w:r>
      <w:r>
        <w:rPr>
          <w:spacing w:val="-12"/>
          <w:sz w:val="26"/>
        </w:rPr>
        <w:t xml:space="preserve"> </w:t>
      </w:r>
      <w:r>
        <w:rPr>
          <w:sz w:val="26"/>
        </w:rPr>
        <w:t>Sabarimala</w:t>
      </w:r>
      <w:r>
        <w:rPr>
          <w:spacing w:val="-12"/>
          <w:sz w:val="26"/>
        </w:rPr>
        <w:t xml:space="preserve"> </w:t>
      </w:r>
      <w:r>
        <w:rPr>
          <w:sz w:val="26"/>
        </w:rPr>
        <w:t>can</w:t>
      </w:r>
      <w:r>
        <w:rPr>
          <w:spacing w:val="-12"/>
          <w:sz w:val="26"/>
        </w:rPr>
        <w:t xml:space="preserve"> </w:t>
      </w:r>
      <w:r>
        <w:rPr>
          <w:sz w:val="26"/>
        </w:rPr>
        <w:t>have</w:t>
      </w:r>
      <w:r>
        <w:rPr>
          <w:spacing w:val="-9"/>
          <w:sz w:val="26"/>
        </w:rPr>
        <w:t xml:space="preserve"> </w:t>
      </w:r>
      <w:r>
        <w:rPr>
          <w:sz w:val="26"/>
        </w:rPr>
        <w:t>no</w:t>
      </w:r>
      <w:r>
        <w:rPr>
          <w:spacing w:val="-12"/>
          <w:sz w:val="26"/>
        </w:rPr>
        <w:t xml:space="preserve"> </w:t>
      </w:r>
      <w:r>
        <w:rPr>
          <w:sz w:val="26"/>
        </w:rPr>
        <w:t>place</w:t>
      </w:r>
      <w:r>
        <w:rPr>
          <w:spacing w:val="-12"/>
          <w:sz w:val="26"/>
        </w:rPr>
        <w:t xml:space="preserve"> </w:t>
      </w:r>
      <w:r>
        <w:rPr>
          <w:sz w:val="26"/>
        </w:rPr>
        <w:t>in</w:t>
      </w:r>
      <w:r>
        <w:rPr>
          <w:spacing w:val="-11"/>
          <w:sz w:val="26"/>
        </w:rPr>
        <w:t xml:space="preserve"> </w:t>
      </w:r>
      <w:r>
        <w:rPr>
          <w:sz w:val="26"/>
        </w:rPr>
        <w:t>a</w:t>
      </w:r>
      <w:r>
        <w:rPr>
          <w:spacing w:val="-10"/>
          <w:sz w:val="26"/>
        </w:rPr>
        <w:t xml:space="preserve"> </w:t>
      </w:r>
      <w:r>
        <w:rPr>
          <w:sz w:val="26"/>
        </w:rPr>
        <w:t>constitutional</w:t>
      </w:r>
      <w:r>
        <w:rPr>
          <w:spacing w:val="-11"/>
          <w:sz w:val="26"/>
        </w:rPr>
        <w:t xml:space="preserve"> </w:t>
      </w:r>
      <w:r>
        <w:rPr>
          <w:sz w:val="26"/>
        </w:rPr>
        <w:t>order</w:t>
      </w:r>
      <w:r>
        <w:rPr>
          <w:spacing w:val="-9"/>
          <w:sz w:val="26"/>
        </w:rPr>
        <w:t xml:space="preserve"> </w:t>
      </w:r>
      <w:r>
        <w:rPr>
          <w:sz w:val="26"/>
        </w:rPr>
        <w:t>founded</w:t>
      </w:r>
      <w:r>
        <w:rPr>
          <w:spacing w:val="-12"/>
          <w:sz w:val="26"/>
        </w:rPr>
        <w:t xml:space="preserve"> </w:t>
      </w:r>
      <w:r>
        <w:rPr>
          <w:sz w:val="26"/>
        </w:rPr>
        <w:t>on</w:t>
      </w:r>
      <w:r>
        <w:rPr>
          <w:spacing w:val="-12"/>
          <w:sz w:val="26"/>
        </w:rPr>
        <w:t xml:space="preserve"> </w:t>
      </w:r>
      <w:r>
        <w:rPr>
          <w:sz w:val="26"/>
        </w:rPr>
        <w:t>liberty</w:t>
      </w:r>
      <w:r>
        <w:rPr>
          <w:spacing w:val="-14"/>
          <w:sz w:val="26"/>
        </w:rPr>
        <w:t xml:space="preserve"> </w:t>
      </w:r>
      <w:r>
        <w:rPr>
          <w:sz w:val="26"/>
        </w:rPr>
        <w:t>and dignity.</w:t>
      </w:r>
    </w:p>
    <w:p w:rsidR="003B2FC0" w:rsidRDefault="003B2FC0">
      <w:pPr>
        <w:rPr>
          <w:sz w:val="28"/>
        </w:rPr>
      </w:pPr>
    </w:p>
    <w:p w:rsidR="003B2FC0" w:rsidRDefault="003B2FC0">
      <w:pPr>
        <w:rPr>
          <w:sz w:val="33"/>
        </w:rPr>
      </w:pPr>
    </w:p>
    <w:p w:rsidR="003B2FC0" w:rsidRDefault="00052A49">
      <w:pPr>
        <w:pStyle w:val="ListParagraph"/>
        <w:numPr>
          <w:ilvl w:val="0"/>
          <w:numId w:val="39"/>
        </w:numPr>
        <w:tabs>
          <w:tab w:val="left" w:pos="1121"/>
        </w:tabs>
        <w:spacing w:line="480" w:lineRule="auto"/>
        <w:ind w:right="433" w:firstLine="0"/>
        <w:jc w:val="both"/>
        <w:rPr>
          <w:sz w:val="26"/>
        </w:rPr>
      </w:pPr>
      <w:r>
        <w:rPr>
          <w:sz w:val="26"/>
        </w:rPr>
        <w:t>The issue for entry in a temple is not so much about the right of menstruating women to practice their right to freedom of religion, as about freedom from societal oppression, which comes from a stigma</w:t>
      </w:r>
      <w:r>
        <w:rPr>
          <w:sz w:val="26"/>
        </w:rPr>
        <w:t>tized understanding of menstruation, resulting in “untouchability”. Article 25, which is subject to Part III provisions, is necessarily therefore subject to Article 17.</w:t>
      </w:r>
      <w:r>
        <w:rPr>
          <w:spacing w:val="52"/>
          <w:sz w:val="26"/>
        </w:rPr>
        <w:t xml:space="preserve"> </w:t>
      </w:r>
      <w:r>
        <w:rPr>
          <w:sz w:val="26"/>
        </w:rPr>
        <w:t>To</w:t>
      </w:r>
    </w:p>
    <w:p w:rsidR="003B2FC0" w:rsidRDefault="003B2FC0">
      <w:pPr>
        <w:spacing w:line="480" w:lineRule="auto"/>
        <w:jc w:val="both"/>
        <w:rPr>
          <w:sz w:val="26"/>
        </w:rPr>
        <w:sectPr w:rsidR="003B2FC0">
          <w:footerReference w:type="default" r:id="rId382"/>
          <w:pgSz w:w="11910" w:h="16840"/>
          <w:pgMar w:top="1080" w:right="980" w:bottom="1200" w:left="1040" w:header="708" w:footer="1000" w:gutter="0"/>
          <w:pgNumType w:start="116"/>
          <w:cols w:space="720"/>
        </w:sectPr>
      </w:pPr>
    </w:p>
    <w:p w:rsidR="003B2FC0" w:rsidRDefault="003B2FC0">
      <w:pPr>
        <w:spacing w:before="10"/>
        <w:rPr>
          <w:sz w:val="21"/>
        </w:rPr>
      </w:pPr>
    </w:p>
    <w:p w:rsidR="003B2FC0" w:rsidRDefault="00052A49">
      <w:pPr>
        <w:spacing w:before="91" w:line="480" w:lineRule="auto"/>
        <w:ind w:left="400" w:right="442"/>
        <w:jc w:val="both"/>
        <w:rPr>
          <w:sz w:val="26"/>
        </w:rPr>
      </w:pPr>
      <w:r>
        <w:rPr>
          <w:sz w:val="26"/>
        </w:rPr>
        <w:t>use the ideology of “purity and pollution” is a violation of the constitutional right against “untouchability”.</w:t>
      </w:r>
    </w:p>
    <w:p w:rsidR="003B2FC0" w:rsidRDefault="003B2FC0">
      <w:pPr>
        <w:rPr>
          <w:sz w:val="28"/>
        </w:rPr>
      </w:pPr>
    </w:p>
    <w:p w:rsidR="003B2FC0" w:rsidRDefault="003B2FC0">
      <w:pPr>
        <w:spacing w:before="8"/>
        <w:rPr>
          <w:sz w:val="32"/>
        </w:rPr>
      </w:pPr>
    </w:p>
    <w:p w:rsidR="003B2FC0" w:rsidRDefault="00052A49">
      <w:pPr>
        <w:pStyle w:val="ListParagraph"/>
        <w:numPr>
          <w:ilvl w:val="0"/>
          <w:numId w:val="20"/>
        </w:numPr>
        <w:tabs>
          <w:tab w:val="left" w:pos="1120"/>
          <w:tab w:val="left" w:pos="1121"/>
        </w:tabs>
        <w:rPr>
          <w:b/>
          <w:sz w:val="28"/>
        </w:rPr>
      </w:pPr>
      <w:r>
        <w:rPr>
          <w:b/>
          <w:sz w:val="28"/>
        </w:rPr>
        <w:t xml:space="preserve">The </w:t>
      </w:r>
      <w:r>
        <w:rPr>
          <w:b/>
          <w:i/>
          <w:sz w:val="28"/>
        </w:rPr>
        <w:t>ultra vires</w:t>
      </w:r>
      <w:r>
        <w:rPr>
          <w:b/>
          <w:i/>
          <w:spacing w:val="-2"/>
          <w:sz w:val="28"/>
        </w:rPr>
        <w:t xml:space="preserve"> </w:t>
      </w:r>
      <w:r>
        <w:rPr>
          <w:b/>
          <w:sz w:val="28"/>
        </w:rPr>
        <w:t>doctrine</w:t>
      </w:r>
    </w:p>
    <w:p w:rsidR="003B2FC0" w:rsidRDefault="003B2FC0">
      <w:pPr>
        <w:rPr>
          <w:b/>
          <w:sz w:val="30"/>
        </w:rPr>
      </w:pPr>
    </w:p>
    <w:p w:rsidR="003B2FC0" w:rsidRDefault="003B2FC0">
      <w:pPr>
        <w:spacing w:before="5"/>
        <w:rPr>
          <w:b/>
          <w:sz w:val="29"/>
        </w:rPr>
      </w:pPr>
    </w:p>
    <w:p w:rsidR="003B2FC0" w:rsidRDefault="00052A49">
      <w:pPr>
        <w:pStyle w:val="ListParagraph"/>
        <w:numPr>
          <w:ilvl w:val="0"/>
          <w:numId w:val="39"/>
        </w:numPr>
        <w:tabs>
          <w:tab w:val="left" w:pos="1121"/>
        </w:tabs>
        <w:spacing w:line="480" w:lineRule="auto"/>
        <w:ind w:right="437" w:firstLine="0"/>
        <w:jc w:val="both"/>
        <w:rPr>
          <w:sz w:val="26"/>
        </w:rPr>
      </w:pPr>
      <w:r>
        <w:rPr>
          <w:sz w:val="26"/>
        </w:rPr>
        <w:t>Section 2 of the Kerala Hindu Places of Public Worship (Authorisation of Entry) Act 1965 provides</w:t>
      </w:r>
      <w:r>
        <w:rPr>
          <w:spacing w:val="-5"/>
          <w:sz w:val="26"/>
        </w:rPr>
        <w:t xml:space="preserve"> </w:t>
      </w:r>
      <w:r>
        <w:rPr>
          <w:sz w:val="26"/>
        </w:rPr>
        <w:t>thus:</w:t>
      </w:r>
    </w:p>
    <w:p w:rsidR="003B2FC0" w:rsidRDefault="00052A49">
      <w:pPr>
        <w:spacing w:before="200" w:line="276" w:lineRule="auto"/>
        <w:ind w:left="1840" w:right="2258"/>
        <w:jc w:val="both"/>
        <w:rPr>
          <w:sz w:val="21"/>
        </w:rPr>
      </w:pPr>
      <w:r>
        <w:rPr>
          <w:sz w:val="21"/>
        </w:rPr>
        <w:t>“2. Definitions – In this Act, unless the context otherwise requires,-</w:t>
      </w:r>
    </w:p>
    <w:p w:rsidR="003B2FC0" w:rsidRDefault="00052A49">
      <w:pPr>
        <w:pStyle w:val="ListParagraph"/>
        <w:numPr>
          <w:ilvl w:val="1"/>
          <w:numId w:val="39"/>
        </w:numPr>
        <w:tabs>
          <w:tab w:val="left" w:pos="2160"/>
        </w:tabs>
        <w:spacing w:before="201" w:line="273" w:lineRule="auto"/>
        <w:ind w:left="1840" w:right="2264" w:firstLine="0"/>
        <w:jc w:val="both"/>
        <w:rPr>
          <w:sz w:val="21"/>
        </w:rPr>
      </w:pPr>
      <w:r>
        <w:rPr>
          <w:sz w:val="21"/>
        </w:rPr>
        <w:t>“Hindu” includes a person professing the Buddhist, Sikh or Jaina</w:t>
      </w:r>
      <w:r>
        <w:rPr>
          <w:spacing w:val="-2"/>
          <w:sz w:val="21"/>
        </w:rPr>
        <w:t xml:space="preserve"> </w:t>
      </w:r>
      <w:r>
        <w:rPr>
          <w:sz w:val="21"/>
        </w:rPr>
        <w:t>religion;</w:t>
      </w:r>
    </w:p>
    <w:p w:rsidR="003B2FC0" w:rsidRDefault="00052A49">
      <w:pPr>
        <w:pStyle w:val="ListParagraph"/>
        <w:numPr>
          <w:ilvl w:val="1"/>
          <w:numId w:val="39"/>
        </w:numPr>
        <w:tabs>
          <w:tab w:val="left" w:pos="2150"/>
        </w:tabs>
        <w:spacing w:before="203" w:line="276" w:lineRule="auto"/>
        <w:ind w:left="1840" w:right="2256" w:firstLine="0"/>
        <w:jc w:val="both"/>
        <w:rPr>
          <w:sz w:val="21"/>
        </w:rPr>
      </w:pPr>
      <w:r>
        <w:rPr>
          <w:sz w:val="21"/>
        </w:rPr>
        <w:t>“place</w:t>
      </w:r>
      <w:r>
        <w:rPr>
          <w:spacing w:val="-7"/>
          <w:sz w:val="21"/>
        </w:rPr>
        <w:t xml:space="preserve"> </w:t>
      </w:r>
      <w:r>
        <w:rPr>
          <w:sz w:val="21"/>
        </w:rPr>
        <w:t>of</w:t>
      </w:r>
      <w:r>
        <w:rPr>
          <w:spacing w:val="-8"/>
          <w:sz w:val="21"/>
        </w:rPr>
        <w:t xml:space="preserve"> </w:t>
      </w:r>
      <w:r>
        <w:rPr>
          <w:sz w:val="21"/>
        </w:rPr>
        <w:t>public</w:t>
      </w:r>
      <w:r>
        <w:rPr>
          <w:spacing w:val="-7"/>
          <w:sz w:val="21"/>
        </w:rPr>
        <w:t xml:space="preserve"> </w:t>
      </w:r>
      <w:r>
        <w:rPr>
          <w:sz w:val="21"/>
        </w:rPr>
        <w:t>worship”</w:t>
      </w:r>
      <w:r>
        <w:rPr>
          <w:spacing w:val="-7"/>
          <w:sz w:val="21"/>
        </w:rPr>
        <w:t xml:space="preserve"> </w:t>
      </w:r>
      <w:r>
        <w:rPr>
          <w:sz w:val="21"/>
        </w:rPr>
        <w:t>means</w:t>
      </w:r>
      <w:r>
        <w:rPr>
          <w:spacing w:val="-9"/>
          <w:sz w:val="21"/>
        </w:rPr>
        <w:t xml:space="preserve"> </w:t>
      </w:r>
      <w:r>
        <w:rPr>
          <w:sz w:val="21"/>
        </w:rPr>
        <w:t>a</w:t>
      </w:r>
      <w:r>
        <w:rPr>
          <w:spacing w:val="-4"/>
          <w:sz w:val="21"/>
        </w:rPr>
        <w:t xml:space="preserve"> </w:t>
      </w:r>
      <w:r>
        <w:rPr>
          <w:sz w:val="21"/>
        </w:rPr>
        <w:t>place,</w:t>
      </w:r>
      <w:r>
        <w:rPr>
          <w:spacing w:val="-7"/>
          <w:sz w:val="21"/>
        </w:rPr>
        <w:t xml:space="preserve"> </w:t>
      </w:r>
      <w:r>
        <w:rPr>
          <w:sz w:val="21"/>
        </w:rPr>
        <w:t>by</w:t>
      </w:r>
      <w:r>
        <w:rPr>
          <w:spacing w:val="-9"/>
          <w:sz w:val="21"/>
        </w:rPr>
        <w:t xml:space="preserve"> </w:t>
      </w:r>
      <w:r>
        <w:rPr>
          <w:sz w:val="21"/>
        </w:rPr>
        <w:t>whatever</w:t>
      </w:r>
      <w:r>
        <w:rPr>
          <w:spacing w:val="-8"/>
          <w:sz w:val="21"/>
        </w:rPr>
        <w:t xml:space="preserve"> </w:t>
      </w:r>
      <w:r>
        <w:rPr>
          <w:sz w:val="21"/>
        </w:rPr>
        <w:t>name known or to whomsoever belonging, which is dedicated to, or for</w:t>
      </w:r>
      <w:r>
        <w:rPr>
          <w:spacing w:val="-9"/>
          <w:sz w:val="21"/>
        </w:rPr>
        <w:t xml:space="preserve"> </w:t>
      </w:r>
      <w:r>
        <w:rPr>
          <w:sz w:val="21"/>
        </w:rPr>
        <w:t>the</w:t>
      </w:r>
      <w:r>
        <w:rPr>
          <w:spacing w:val="-8"/>
          <w:sz w:val="21"/>
        </w:rPr>
        <w:t xml:space="preserve"> </w:t>
      </w:r>
      <w:r>
        <w:rPr>
          <w:sz w:val="21"/>
        </w:rPr>
        <w:t>benefit</w:t>
      </w:r>
      <w:r>
        <w:rPr>
          <w:spacing w:val="-8"/>
          <w:sz w:val="21"/>
        </w:rPr>
        <w:t xml:space="preserve"> </w:t>
      </w:r>
      <w:r>
        <w:rPr>
          <w:sz w:val="21"/>
        </w:rPr>
        <w:t>of,</w:t>
      </w:r>
      <w:r>
        <w:rPr>
          <w:spacing w:val="-9"/>
          <w:sz w:val="21"/>
        </w:rPr>
        <w:t xml:space="preserve"> </w:t>
      </w:r>
      <w:r>
        <w:rPr>
          <w:sz w:val="21"/>
        </w:rPr>
        <w:t>or</w:t>
      </w:r>
      <w:r>
        <w:rPr>
          <w:spacing w:val="-9"/>
          <w:sz w:val="21"/>
        </w:rPr>
        <w:t xml:space="preserve"> </w:t>
      </w:r>
      <w:r>
        <w:rPr>
          <w:sz w:val="21"/>
        </w:rPr>
        <w:t>is</w:t>
      </w:r>
      <w:r>
        <w:rPr>
          <w:spacing w:val="-7"/>
          <w:sz w:val="21"/>
        </w:rPr>
        <w:t xml:space="preserve"> </w:t>
      </w:r>
      <w:r>
        <w:rPr>
          <w:sz w:val="21"/>
        </w:rPr>
        <w:t>used</w:t>
      </w:r>
      <w:r>
        <w:rPr>
          <w:spacing w:val="-8"/>
          <w:sz w:val="21"/>
        </w:rPr>
        <w:t xml:space="preserve"> </w:t>
      </w:r>
      <w:r>
        <w:rPr>
          <w:sz w:val="21"/>
        </w:rPr>
        <w:t>generally</w:t>
      </w:r>
      <w:r>
        <w:rPr>
          <w:spacing w:val="-10"/>
          <w:sz w:val="21"/>
        </w:rPr>
        <w:t xml:space="preserve"> </w:t>
      </w:r>
      <w:r>
        <w:rPr>
          <w:sz w:val="21"/>
        </w:rPr>
        <w:t>by,</w:t>
      </w:r>
      <w:r>
        <w:rPr>
          <w:spacing w:val="-9"/>
          <w:sz w:val="21"/>
        </w:rPr>
        <w:t xml:space="preserve"> </w:t>
      </w:r>
      <w:r>
        <w:rPr>
          <w:sz w:val="21"/>
        </w:rPr>
        <w:t>Hindus</w:t>
      </w:r>
      <w:r>
        <w:rPr>
          <w:spacing w:val="-8"/>
          <w:sz w:val="21"/>
        </w:rPr>
        <w:t xml:space="preserve"> </w:t>
      </w:r>
      <w:r>
        <w:rPr>
          <w:sz w:val="21"/>
        </w:rPr>
        <w:t>or</w:t>
      </w:r>
      <w:r>
        <w:rPr>
          <w:spacing w:val="-10"/>
          <w:sz w:val="21"/>
        </w:rPr>
        <w:t xml:space="preserve"> </w:t>
      </w:r>
      <w:r>
        <w:rPr>
          <w:sz w:val="21"/>
        </w:rPr>
        <w:t>any</w:t>
      </w:r>
      <w:r>
        <w:rPr>
          <w:spacing w:val="-10"/>
          <w:sz w:val="21"/>
        </w:rPr>
        <w:t xml:space="preserve"> </w:t>
      </w:r>
      <w:r>
        <w:rPr>
          <w:sz w:val="21"/>
        </w:rPr>
        <w:t>section or</w:t>
      </w:r>
      <w:r>
        <w:rPr>
          <w:spacing w:val="-7"/>
          <w:sz w:val="21"/>
        </w:rPr>
        <w:t xml:space="preserve"> </w:t>
      </w:r>
      <w:r>
        <w:rPr>
          <w:sz w:val="21"/>
        </w:rPr>
        <w:t>class</w:t>
      </w:r>
      <w:r>
        <w:rPr>
          <w:spacing w:val="-5"/>
          <w:sz w:val="21"/>
        </w:rPr>
        <w:t xml:space="preserve"> </w:t>
      </w:r>
      <w:r>
        <w:rPr>
          <w:sz w:val="21"/>
        </w:rPr>
        <w:t>thereof,</w:t>
      </w:r>
      <w:r>
        <w:rPr>
          <w:spacing w:val="-6"/>
          <w:sz w:val="21"/>
        </w:rPr>
        <w:t xml:space="preserve"> </w:t>
      </w:r>
      <w:r>
        <w:rPr>
          <w:sz w:val="21"/>
        </w:rPr>
        <w:t>for</w:t>
      </w:r>
      <w:r>
        <w:rPr>
          <w:spacing w:val="-6"/>
          <w:sz w:val="21"/>
        </w:rPr>
        <w:t xml:space="preserve"> </w:t>
      </w:r>
      <w:r>
        <w:rPr>
          <w:sz w:val="21"/>
        </w:rPr>
        <w:t>the</w:t>
      </w:r>
      <w:r>
        <w:rPr>
          <w:spacing w:val="-6"/>
          <w:sz w:val="21"/>
        </w:rPr>
        <w:t xml:space="preserve"> </w:t>
      </w:r>
      <w:r>
        <w:rPr>
          <w:sz w:val="21"/>
        </w:rPr>
        <w:t>performance</w:t>
      </w:r>
      <w:r>
        <w:rPr>
          <w:spacing w:val="-5"/>
          <w:sz w:val="21"/>
        </w:rPr>
        <w:t xml:space="preserve"> </w:t>
      </w:r>
      <w:r>
        <w:rPr>
          <w:sz w:val="21"/>
        </w:rPr>
        <w:t>of</w:t>
      </w:r>
      <w:r>
        <w:rPr>
          <w:spacing w:val="-4"/>
          <w:sz w:val="21"/>
        </w:rPr>
        <w:t xml:space="preserve"> </w:t>
      </w:r>
      <w:r>
        <w:rPr>
          <w:sz w:val="21"/>
        </w:rPr>
        <w:t>any</w:t>
      </w:r>
      <w:r>
        <w:rPr>
          <w:spacing w:val="-7"/>
          <w:sz w:val="21"/>
        </w:rPr>
        <w:t xml:space="preserve"> </w:t>
      </w:r>
      <w:r>
        <w:rPr>
          <w:sz w:val="21"/>
        </w:rPr>
        <w:t>religious</w:t>
      </w:r>
      <w:r>
        <w:rPr>
          <w:spacing w:val="-8"/>
          <w:sz w:val="21"/>
        </w:rPr>
        <w:t xml:space="preserve"> </w:t>
      </w:r>
      <w:r>
        <w:rPr>
          <w:sz w:val="21"/>
        </w:rPr>
        <w:t>service</w:t>
      </w:r>
      <w:r>
        <w:rPr>
          <w:spacing w:val="-5"/>
          <w:sz w:val="21"/>
        </w:rPr>
        <w:t xml:space="preserve"> </w:t>
      </w:r>
      <w:r>
        <w:rPr>
          <w:sz w:val="21"/>
        </w:rPr>
        <w:t>or for offering prayers therein, and includes all lands and s</w:t>
      </w:r>
      <w:r>
        <w:rPr>
          <w:sz w:val="21"/>
        </w:rPr>
        <w:t>ubsidiary shrines, mutts, devasthanams, namaskara mandapams</w:t>
      </w:r>
      <w:r>
        <w:rPr>
          <w:spacing w:val="-12"/>
          <w:sz w:val="21"/>
        </w:rPr>
        <w:t xml:space="preserve"> </w:t>
      </w:r>
      <w:r>
        <w:rPr>
          <w:sz w:val="21"/>
        </w:rPr>
        <w:t>and</w:t>
      </w:r>
      <w:r>
        <w:rPr>
          <w:spacing w:val="-10"/>
          <w:sz w:val="21"/>
        </w:rPr>
        <w:t xml:space="preserve"> </w:t>
      </w:r>
      <w:r>
        <w:rPr>
          <w:sz w:val="21"/>
        </w:rPr>
        <w:t>nalambalams,</w:t>
      </w:r>
      <w:r>
        <w:rPr>
          <w:spacing w:val="-12"/>
          <w:sz w:val="21"/>
        </w:rPr>
        <w:t xml:space="preserve"> </w:t>
      </w:r>
      <w:r>
        <w:rPr>
          <w:sz w:val="21"/>
        </w:rPr>
        <w:t>appurtenant</w:t>
      </w:r>
      <w:r>
        <w:rPr>
          <w:spacing w:val="-12"/>
          <w:sz w:val="21"/>
        </w:rPr>
        <w:t xml:space="preserve"> </w:t>
      </w:r>
      <w:r>
        <w:rPr>
          <w:sz w:val="21"/>
        </w:rPr>
        <w:t>or</w:t>
      </w:r>
      <w:r>
        <w:rPr>
          <w:spacing w:val="-12"/>
          <w:sz w:val="21"/>
        </w:rPr>
        <w:t xml:space="preserve"> </w:t>
      </w:r>
      <w:r>
        <w:rPr>
          <w:sz w:val="21"/>
        </w:rPr>
        <w:t>attached</w:t>
      </w:r>
      <w:r>
        <w:rPr>
          <w:spacing w:val="-10"/>
          <w:sz w:val="21"/>
        </w:rPr>
        <w:t xml:space="preserve"> </w:t>
      </w:r>
      <w:r>
        <w:rPr>
          <w:sz w:val="21"/>
        </w:rPr>
        <w:t>to</w:t>
      </w:r>
      <w:r>
        <w:rPr>
          <w:spacing w:val="-11"/>
          <w:sz w:val="21"/>
        </w:rPr>
        <w:t xml:space="preserve"> </w:t>
      </w:r>
      <w:r>
        <w:rPr>
          <w:sz w:val="21"/>
        </w:rPr>
        <w:t>any such</w:t>
      </w:r>
      <w:r>
        <w:rPr>
          <w:spacing w:val="-14"/>
          <w:sz w:val="21"/>
        </w:rPr>
        <w:t xml:space="preserve"> </w:t>
      </w:r>
      <w:r>
        <w:rPr>
          <w:sz w:val="21"/>
        </w:rPr>
        <w:t>place,</w:t>
      </w:r>
      <w:r>
        <w:rPr>
          <w:spacing w:val="-15"/>
          <w:sz w:val="21"/>
        </w:rPr>
        <w:t xml:space="preserve"> </w:t>
      </w:r>
      <w:r>
        <w:rPr>
          <w:sz w:val="21"/>
        </w:rPr>
        <w:t>and</w:t>
      </w:r>
      <w:r>
        <w:rPr>
          <w:spacing w:val="-14"/>
          <w:sz w:val="21"/>
        </w:rPr>
        <w:t xml:space="preserve"> </w:t>
      </w:r>
      <w:r>
        <w:rPr>
          <w:sz w:val="21"/>
        </w:rPr>
        <w:t>also</w:t>
      </w:r>
      <w:r>
        <w:rPr>
          <w:spacing w:val="-14"/>
          <w:sz w:val="21"/>
        </w:rPr>
        <w:t xml:space="preserve"> </w:t>
      </w:r>
      <w:r>
        <w:rPr>
          <w:sz w:val="21"/>
        </w:rPr>
        <w:t>any</w:t>
      </w:r>
      <w:r>
        <w:rPr>
          <w:spacing w:val="-17"/>
          <w:sz w:val="21"/>
        </w:rPr>
        <w:t xml:space="preserve"> </w:t>
      </w:r>
      <w:r>
        <w:rPr>
          <w:sz w:val="21"/>
        </w:rPr>
        <w:t>sacred</w:t>
      </w:r>
      <w:r>
        <w:rPr>
          <w:spacing w:val="-15"/>
          <w:sz w:val="21"/>
        </w:rPr>
        <w:t xml:space="preserve"> </w:t>
      </w:r>
      <w:r>
        <w:rPr>
          <w:sz w:val="21"/>
        </w:rPr>
        <w:t>tanks,</w:t>
      </w:r>
      <w:r>
        <w:rPr>
          <w:spacing w:val="-16"/>
          <w:sz w:val="21"/>
        </w:rPr>
        <w:t xml:space="preserve"> </w:t>
      </w:r>
      <w:r>
        <w:rPr>
          <w:sz w:val="21"/>
        </w:rPr>
        <w:t>wells,</w:t>
      </w:r>
      <w:r>
        <w:rPr>
          <w:spacing w:val="-15"/>
          <w:sz w:val="21"/>
        </w:rPr>
        <w:t xml:space="preserve"> </w:t>
      </w:r>
      <w:r>
        <w:rPr>
          <w:sz w:val="21"/>
        </w:rPr>
        <w:t>springs</w:t>
      </w:r>
      <w:r>
        <w:rPr>
          <w:spacing w:val="-17"/>
          <w:sz w:val="21"/>
        </w:rPr>
        <w:t xml:space="preserve"> </w:t>
      </w:r>
      <w:r>
        <w:rPr>
          <w:sz w:val="21"/>
        </w:rPr>
        <w:t>and</w:t>
      </w:r>
      <w:r>
        <w:rPr>
          <w:spacing w:val="-14"/>
          <w:sz w:val="21"/>
        </w:rPr>
        <w:t xml:space="preserve"> </w:t>
      </w:r>
      <w:r>
        <w:rPr>
          <w:sz w:val="21"/>
        </w:rPr>
        <w:t>water courses the waters of which are worshipped or are used for bathing or for worship, but does not include a</w:t>
      </w:r>
      <w:r>
        <w:rPr>
          <w:spacing w:val="-10"/>
          <w:sz w:val="21"/>
        </w:rPr>
        <w:t xml:space="preserve"> </w:t>
      </w:r>
      <w:r>
        <w:rPr>
          <w:sz w:val="21"/>
        </w:rPr>
        <w:t>“sreekoil”;</w:t>
      </w:r>
    </w:p>
    <w:p w:rsidR="003B2FC0" w:rsidRDefault="00052A49">
      <w:pPr>
        <w:pStyle w:val="ListParagraph"/>
        <w:numPr>
          <w:ilvl w:val="1"/>
          <w:numId w:val="39"/>
        </w:numPr>
        <w:tabs>
          <w:tab w:val="left" w:pos="2144"/>
        </w:tabs>
        <w:spacing w:before="202" w:line="276" w:lineRule="auto"/>
        <w:ind w:left="1840" w:right="2256" w:firstLine="0"/>
        <w:jc w:val="both"/>
        <w:rPr>
          <w:sz w:val="21"/>
        </w:rPr>
      </w:pPr>
      <w:r>
        <w:rPr>
          <w:sz w:val="21"/>
        </w:rPr>
        <w:t>“section or class” includes any division, sub-division, caste, sub-caste, sect or denomination</w:t>
      </w:r>
      <w:r>
        <w:rPr>
          <w:spacing w:val="-9"/>
          <w:sz w:val="21"/>
        </w:rPr>
        <w:t xml:space="preserve"> </w:t>
      </w:r>
      <w:r>
        <w:rPr>
          <w:sz w:val="21"/>
        </w:rPr>
        <w:t>whatsoever.”</w:t>
      </w:r>
    </w:p>
    <w:p w:rsidR="003B2FC0" w:rsidRDefault="003B2FC0">
      <w:pPr>
        <w:rPr>
          <w:sz w:val="24"/>
        </w:rPr>
      </w:pPr>
    </w:p>
    <w:p w:rsidR="003B2FC0" w:rsidRDefault="003B2FC0">
      <w:pPr>
        <w:spacing w:before="1"/>
        <w:rPr>
          <w:sz w:val="35"/>
        </w:rPr>
      </w:pPr>
    </w:p>
    <w:p w:rsidR="003B2FC0" w:rsidRDefault="00052A49">
      <w:pPr>
        <w:spacing w:line="480" w:lineRule="auto"/>
        <w:ind w:left="400" w:right="436"/>
        <w:jc w:val="both"/>
        <w:rPr>
          <w:sz w:val="26"/>
        </w:rPr>
      </w:pPr>
      <w:r>
        <w:rPr>
          <w:sz w:val="26"/>
        </w:rPr>
        <w:t>Section</w:t>
      </w:r>
      <w:r>
        <w:rPr>
          <w:spacing w:val="-12"/>
          <w:sz w:val="26"/>
        </w:rPr>
        <w:t xml:space="preserve"> </w:t>
      </w:r>
      <w:r>
        <w:rPr>
          <w:sz w:val="26"/>
        </w:rPr>
        <w:t>2(c)</w:t>
      </w:r>
      <w:r>
        <w:rPr>
          <w:spacing w:val="-11"/>
          <w:sz w:val="26"/>
        </w:rPr>
        <w:t xml:space="preserve"> </w:t>
      </w:r>
      <w:r>
        <w:rPr>
          <w:sz w:val="26"/>
        </w:rPr>
        <w:t>provides</w:t>
      </w:r>
      <w:r>
        <w:rPr>
          <w:spacing w:val="-12"/>
          <w:sz w:val="26"/>
        </w:rPr>
        <w:t xml:space="preserve"> </w:t>
      </w:r>
      <w:r>
        <w:rPr>
          <w:sz w:val="26"/>
        </w:rPr>
        <w:t>an</w:t>
      </w:r>
      <w:r>
        <w:rPr>
          <w:spacing w:val="-14"/>
          <w:sz w:val="26"/>
        </w:rPr>
        <w:t xml:space="preserve"> </w:t>
      </w:r>
      <w:r>
        <w:rPr>
          <w:sz w:val="26"/>
        </w:rPr>
        <w:t>inclusive</w:t>
      </w:r>
      <w:r>
        <w:rPr>
          <w:spacing w:val="-14"/>
          <w:sz w:val="26"/>
        </w:rPr>
        <w:t xml:space="preserve"> </w:t>
      </w:r>
      <w:r>
        <w:rPr>
          <w:sz w:val="26"/>
        </w:rPr>
        <w:t>definition</w:t>
      </w:r>
      <w:r>
        <w:rPr>
          <w:spacing w:val="-15"/>
          <w:sz w:val="26"/>
        </w:rPr>
        <w:t xml:space="preserve"> </w:t>
      </w:r>
      <w:r>
        <w:rPr>
          <w:sz w:val="26"/>
        </w:rPr>
        <w:t>of</w:t>
      </w:r>
      <w:r>
        <w:rPr>
          <w:spacing w:val="-11"/>
          <w:sz w:val="26"/>
        </w:rPr>
        <w:t xml:space="preserve"> </w:t>
      </w:r>
      <w:r>
        <w:rPr>
          <w:sz w:val="26"/>
        </w:rPr>
        <w:t>the</w:t>
      </w:r>
      <w:r>
        <w:rPr>
          <w:spacing w:val="-12"/>
          <w:sz w:val="26"/>
        </w:rPr>
        <w:t xml:space="preserve"> </w:t>
      </w:r>
      <w:r>
        <w:rPr>
          <w:sz w:val="26"/>
        </w:rPr>
        <w:t>expression</w:t>
      </w:r>
      <w:r>
        <w:rPr>
          <w:spacing w:val="-11"/>
          <w:sz w:val="26"/>
        </w:rPr>
        <w:t xml:space="preserve"> </w:t>
      </w:r>
      <w:r>
        <w:rPr>
          <w:sz w:val="26"/>
        </w:rPr>
        <w:t>“section</w:t>
      </w:r>
      <w:r>
        <w:rPr>
          <w:spacing w:val="-11"/>
          <w:sz w:val="26"/>
        </w:rPr>
        <w:t xml:space="preserve"> </w:t>
      </w:r>
      <w:r>
        <w:rPr>
          <w:sz w:val="26"/>
        </w:rPr>
        <w:t>or</w:t>
      </w:r>
      <w:r>
        <w:rPr>
          <w:spacing w:val="-14"/>
          <w:sz w:val="26"/>
        </w:rPr>
        <w:t xml:space="preserve"> </w:t>
      </w:r>
      <w:r>
        <w:rPr>
          <w:sz w:val="26"/>
        </w:rPr>
        <w:t>class”. As a principle of statutory interpretation, the term “includes” is used to expand the scope of the words or phrases which accompany. When “includes” is employed in a definition clause, the expre</w:t>
      </w:r>
      <w:r>
        <w:rPr>
          <w:sz w:val="26"/>
        </w:rPr>
        <w:t>ssion must be given a broad interpretation to give effect to the legislative intent. “Includes” indicates that the definition must not be</w:t>
      </w:r>
      <w:r>
        <w:rPr>
          <w:spacing w:val="-4"/>
          <w:sz w:val="26"/>
        </w:rPr>
        <w:t xml:space="preserve"> </w:t>
      </w:r>
      <w:r>
        <w:rPr>
          <w:sz w:val="26"/>
        </w:rPr>
        <w:t>restricted.</w:t>
      </w:r>
    </w:p>
    <w:p w:rsidR="003B2FC0" w:rsidRDefault="003B2FC0">
      <w:pPr>
        <w:spacing w:line="480" w:lineRule="auto"/>
        <w:jc w:val="both"/>
        <w:rPr>
          <w:sz w:val="26"/>
        </w:rPr>
        <w:sectPr w:rsidR="003B2FC0">
          <w:headerReference w:type="default" r:id="rId383"/>
          <w:pgSz w:w="11910" w:h="16840"/>
          <w:pgMar w:top="1080" w:right="980" w:bottom="1200" w:left="1040" w:header="708" w:footer="1000" w:gutter="0"/>
          <w:cols w:space="720"/>
        </w:sectPr>
      </w:pPr>
    </w:p>
    <w:p w:rsidR="003B2FC0" w:rsidRDefault="003B2FC0">
      <w:pPr>
        <w:spacing w:before="10"/>
        <w:rPr>
          <w:sz w:val="20"/>
        </w:rPr>
      </w:pPr>
    </w:p>
    <w:p w:rsidR="003B2FC0" w:rsidRDefault="00052A49">
      <w:pPr>
        <w:pStyle w:val="ListParagraph"/>
        <w:numPr>
          <w:ilvl w:val="0"/>
          <w:numId w:val="39"/>
        </w:numPr>
        <w:tabs>
          <w:tab w:val="left" w:pos="1121"/>
        </w:tabs>
        <w:spacing w:before="97" w:line="480" w:lineRule="auto"/>
        <w:ind w:right="435" w:firstLine="0"/>
        <w:jc w:val="both"/>
        <w:rPr>
          <w:sz w:val="26"/>
        </w:rPr>
      </w:pPr>
      <w:r>
        <w:rPr>
          <w:sz w:val="26"/>
        </w:rPr>
        <w:t xml:space="preserve">In </w:t>
      </w:r>
      <w:r>
        <w:rPr>
          <w:b/>
          <w:sz w:val="26"/>
        </w:rPr>
        <w:t xml:space="preserve">Ardeshir H Bhiwandiwala </w:t>
      </w:r>
      <w:r>
        <w:rPr>
          <w:sz w:val="26"/>
        </w:rPr>
        <w:t xml:space="preserve">v </w:t>
      </w:r>
      <w:r>
        <w:rPr>
          <w:b/>
          <w:sz w:val="26"/>
        </w:rPr>
        <w:t>State of Bombay</w:t>
      </w:r>
      <w:r>
        <w:rPr>
          <w:sz w:val="26"/>
        </w:rPr>
        <w:t>,</w:t>
      </w:r>
      <w:r>
        <w:rPr>
          <w:position w:val="9"/>
          <w:sz w:val="17"/>
        </w:rPr>
        <w:t xml:space="preserve">115 </w:t>
      </w:r>
      <w:r>
        <w:rPr>
          <w:sz w:val="26"/>
        </w:rPr>
        <w:t>a Constitution Bench of this Court considered whether the Petitioner’s salt works could be included within the definition of ‘factory’ in Section 2(m) of the Factories Act, 1948. Section 2(m) defines ‘factory’ as “any premises including the precincts there</w:t>
      </w:r>
      <w:r>
        <w:rPr>
          <w:sz w:val="26"/>
        </w:rPr>
        <w:t>of”. This Court rejected the appellant’s claim that the salt works could not have precincts, being open lands and not</w:t>
      </w:r>
      <w:r>
        <w:rPr>
          <w:spacing w:val="-1"/>
          <w:sz w:val="26"/>
        </w:rPr>
        <w:t xml:space="preserve"> </w:t>
      </w:r>
      <w:r>
        <w:rPr>
          <w:sz w:val="26"/>
        </w:rPr>
        <w:t>premises:</w:t>
      </w:r>
    </w:p>
    <w:p w:rsidR="003B2FC0" w:rsidRDefault="00052A49">
      <w:pPr>
        <w:spacing w:before="199" w:line="276" w:lineRule="auto"/>
        <w:ind w:left="1840" w:right="2257"/>
        <w:jc w:val="both"/>
        <w:rPr>
          <w:sz w:val="21"/>
        </w:rPr>
      </w:pPr>
      <w:r>
        <w:rPr>
          <w:sz w:val="21"/>
        </w:rPr>
        <w:t>“6.The expression “premises including precincts” does not necessarily mean that the premises must always have precincts. Even bu</w:t>
      </w:r>
      <w:r>
        <w:rPr>
          <w:sz w:val="21"/>
        </w:rPr>
        <w:t xml:space="preserve">ildings need not have any precincts. </w:t>
      </w:r>
      <w:r>
        <w:rPr>
          <w:b/>
          <w:sz w:val="21"/>
        </w:rPr>
        <w:t xml:space="preserve">The word “including” is not a term restricting the meaning of the word “premises” but is a term which enlarges the scope of the word “premises”. </w:t>
      </w:r>
      <w:r>
        <w:rPr>
          <w:sz w:val="21"/>
        </w:rPr>
        <w:t>We are therefore of opinion that even this contention is not sound and doe</w:t>
      </w:r>
      <w:r>
        <w:rPr>
          <w:sz w:val="21"/>
        </w:rPr>
        <w:t>s not lead to the only conclusion that the word “premises” must be restricted to mean buildings and be not taken to cover open land as well.” (Emphasis supplied)</w:t>
      </w:r>
    </w:p>
    <w:p w:rsidR="003B2FC0" w:rsidRDefault="003B2FC0">
      <w:pPr>
        <w:rPr>
          <w:sz w:val="24"/>
        </w:rPr>
      </w:pPr>
    </w:p>
    <w:p w:rsidR="003B2FC0" w:rsidRDefault="003B2FC0">
      <w:pPr>
        <w:spacing w:before="8"/>
        <w:rPr>
          <w:sz w:val="34"/>
        </w:rPr>
      </w:pPr>
    </w:p>
    <w:p w:rsidR="003B2FC0" w:rsidRDefault="00052A49">
      <w:pPr>
        <w:spacing w:line="480" w:lineRule="auto"/>
        <w:ind w:left="400" w:right="437"/>
        <w:jc w:val="both"/>
        <w:rPr>
          <w:sz w:val="26"/>
        </w:rPr>
      </w:pPr>
      <w:r>
        <w:rPr>
          <w:sz w:val="26"/>
        </w:rPr>
        <w:t xml:space="preserve">In </w:t>
      </w:r>
      <w:r>
        <w:rPr>
          <w:b/>
          <w:sz w:val="26"/>
        </w:rPr>
        <w:t xml:space="preserve">CIT </w:t>
      </w:r>
      <w:r>
        <w:rPr>
          <w:sz w:val="26"/>
        </w:rPr>
        <w:t xml:space="preserve">v </w:t>
      </w:r>
      <w:r>
        <w:rPr>
          <w:b/>
          <w:sz w:val="26"/>
        </w:rPr>
        <w:t>Taj Mahal Hotel</w:t>
      </w:r>
      <w:r>
        <w:rPr>
          <w:sz w:val="26"/>
        </w:rPr>
        <w:t xml:space="preserve">, </w:t>
      </w:r>
      <w:r>
        <w:rPr>
          <w:b/>
          <w:sz w:val="26"/>
        </w:rPr>
        <w:t>Secunderabad</w:t>
      </w:r>
      <w:r>
        <w:rPr>
          <w:position w:val="9"/>
          <w:sz w:val="17"/>
        </w:rPr>
        <w:t xml:space="preserve">116 </w:t>
      </w:r>
      <w:r>
        <w:rPr>
          <w:sz w:val="26"/>
        </w:rPr>
        <w:t>a two judge Bench of this Court considered whether</w:t>
      </w:r>
      <w:r>
        <w:rPr>
          <w:sz w:val="26"/>
        </w:rPr>
        <w:t xml:space="preserve"> sanitary and pipeline fittings would fall within the definition of</w:t>
      </w:r>
      <w:r>
        <w:rPr>
          <w:spacing w:val="-5"/>
          <w:sz w:val="26"/>
        </w:rPr>
        <w:t xml:space="preserve"> </w:t>
      </w:r>
      <w:r>
        <w:rPr>
          <w:sz w:val="26"/>
        </w:rPr>
        <w:t>‘plant’</w:t>
      </w:r>
      <w:r>
        <w:rPr>
          <w:spacing w:val="-4"/>
          <w:sz w:val="26"/>
        </w:rPr>
        <w:t xml:space="preserve"> </w:t>
      </w:r>
      <w:r>
        <w:rPr>
          <w:sz w:val="26"/>
        </w:rPr>
        <w:t>under</w:t>
      </w:r>
      <w:r>
        <w:rPr>
          <w:spacing w:val="-5"/>
          <w:sz w:val="26"/>
        </w:rPr>
        <w:t xml:space="preserve"> </w:t>
      </w:r>
      <w:r>
        <w:rPr>
          <w:sz w:val="26"/>
        </w:rPr>
        <w:t>Section</w:t>
      </w:r>
      <w:r>
        <w:rPr>
          <w:spacing w:val="-4"/>
          <w:sz w:val="26"/>
        </w:rPr>
        <w:t xml:space="preserve"> </w:t>
      </w:r>
      <w:r>
        <w:rPr>
          <w:sz w:val="26"/>
        </w:rPr>
        <w:t>10(5)</w:t>
      </w:r>
      <w:r>
        <w:rPr>
          <w:spacing w:val="-4"/>
          <w:sz w:val="26"/>
        </w:rPr>
        <w:t xml:space="preserve"> </w:t>
      </w:r>
      <w:r>
        <w:rPr>
          <w:sz w:val="26"/>
        </w:rPr>
        <w:t>of</w:t>
      </w:r>
      <w:r>
        <w:rPr>
          <w:spacing w:val="-5"/>
          <w:sz w:val="26"/>
        </w:rPr>
        <w:t xml:space="preserve"> </w:t>
      </w:r>
      <w:r>
        <w:rPr>
          <w:sz w:val="26"/>
        </w:rPr>
        <w:t>the</w:t>
      </w:r>
      <w:r>
        <w:rPr>
          <w:spacing w:val="-4"/>
          <w:sz w:val="26"/>
        </w:rPr>
        <w:t xml:space="preserve"> </w:t>
      </w:r>
      <w:r>
        <w:rPr>
          <w:sz w:val="26"/>
        </w:rPr>
        <w:t>Income</w:t>
      </w:r>
      <w:r>
        <w:rPr>
          <w:spacing w:val="-4"/>
          <w:sz w:val="26"/>
        </w:rPr>
        <w:t xml:space="preserve"> </w:t>
      </w:r>
      <w:r>
        <w:rPr>
          <w:sz w:val="26"/>
        </w:rPr>
        <w:t>Tax</w:t>
      </w:r>
      <w:r>
        <w:rPr>
          <w:spacing w:val="-7"/>
          <w:sz w:val="26"/>
        </w:rPr>
        <w:t xml:space="preserve"> </w:t>
      </w:r>
      <w:r>
        <w:rPr>
          <w:sz w:val="26"/>
        </w:rPr>
        <w:t>Act,</w:t>
      </w:r>
      <w:r>
        <w:rPr>
          <w:spacing w:val="-4"/>
          <w:sz w:val="26"/>
        </w:rPr>
        <w:t xml:space="preserve"> </w:t>
      </w:r>
      <w:r>
        <w:rPr>
          <w:sz w:val="26"/>
        </w:rPr>
        <w:t>1922.</w:t>
      </w:r>
      <w:r>
        <w:rPr>
          <w:spacing w:val="-4"/>
          <w:sz w:val="26"/>
        </w:rPr>
        <w:t xml:space="preserve"> </w:t>
      </w:r>
      <w:r>
        <w:rPr>
          <w:sz w:val="26"/>
        </w:rPr>
        <w:t>Section</w:t>
      </w:r>
      <w:r>
        <w:rPr>
          <w:spacing w:val="-5"/>
          <w:sz w:val="26"/>
        </w:rPr>
        <w:t xml:space="preserve"> </w:t>
      </w:r>
      <w:r>
        <w:rPr>
          <w:sz w:val="26"/>
        </w:rPr>
        <w:t>10(5)</w:t>
      </w:r>
      <w:r>
        <w:rPr>
          <w:spacing w:val="-4"/>
          <w:sz w:val="26"/>
        </w:rPr>
        <w:t xml:space="preserve"> </w:t>
      </w:r>
      <w:r>
        <w:rPr>
          <w:sz w:val="26"/>
        </w:rPr>
        <w:t>of</w:t>
      </w:r>
      <w:r>
        <w:rPr>
          <w:spacing w:val="-5"/>
          <w:sz w:val="26"/>
        </w:rPr>
        <w:t xml:space="preserve"> </w:t>
      </w:r>
      <w:r>
        <w:rPr>
          <w:sz w:val="26"/>
        </w:rPr>
        <w:t xml:space="preserve">the Act provided </w:t>
      </w:r>
      <w:r>
        <w:rPr>
          <w:i/>
          <w:sz w:val="26"/>
        </w:rPr>
        <w:t xml:space="preserve">inter alia </w:t>
      </w:r>
      <w:r>
        <w:rPr>
          <w:sz w:val="26"/>
        </w:rPr>
        <w:t>that in Section 10(2) the word “plant” includes “vehicles, books, scientific apparatus</w:t>
      </w:r>
      <w:r>
        <w:rPr>
          <w:sz w:val="26"/>
        </w:rPr>
        <w:t xml:space="preserve"> and surgical equipment purchased for the purpose of</w:t>
      </w:r>
      <w:r>
        <w:rPr>
          <w:spacing w:val="-12"/>
          <w:sz w:val="26"/>
        </w:rPr>
        <w:t xml:space="preserve"> </w:t>
      </w:r>
      <w:r>
        <w:rPr>
          <w:sz w:val="26"/>
        </w:rPr>
        <w:t>the</w:t>
      </w:r>
      <w:r>
        <w:rPr>
          <w:spacing w:val="-10"/>
          <w:sz w:val="26"/>
        </w:rPr>
        <w:t xml:space="preserve"> </w:t>
      </w:r>
      <w:r>
        <w:rPr>
          <w:sz w:val="26"/>
        </w:rPr>
        <w:t>business,</w:t>
      </w:r>
      <w:r>
        <w:rPr>
          <w:spacing w:val="-12"/>
          <w:sz w:val="26"/>
        </w:rPr>
        <w:t xml:space="preserve"> </w:t>
      </w:r>
      <w:r>
        <w:rPr>
          <w:sz w:val="26"/>
        </w:rPr>
        <w:t>profession</w:t>
      </w:r>
      <w:r>
        <w:rPr>
          <w:spacing w:val="-10"/>
          <w:sz w:val="26"/>
        </w:rPr>
        <w:t xml:space="preserve"> </w:t>
      </w:r>
      <w:r>
        <w:rPr>
          <w:sz w:val="26"/>
        </w:rPr>
        <w:t>or</w:t>
      </w:r>
      <w:r>
        <w:rPr>
          <w:spacing w:val="-9"/>
          <w:sz w:val="26"/>
        </w:rPr>
        <w:t xml:space="preserve"> </w:t>
      </w:r>
      <w:r>
        <w:rPr>
          <w:sz w:val="26"/>
        </w:rPr>
        <w:t>vocation”.</w:t>
      </w:r>
      <w:r>
        <w:rPr>
          <w:spacing w:val="-8"/>
          <w:sz w:val="26"/>
        </w:rPr>
        <w:t xml:space="preserve"> </w:t>
      </w:r>
      <w:r>
        <w:rPr>
          <w:sz w:val="26"/>
        </w:rPr>
        <w:t>While</w:t>
      </w:r>
      <w:r>
        <w:rPr>
          <w:spacing w:val="-12"/>
          <w:sz w:val="26"/>
        </w:rPr>
        <w:t xml:space="preserve"> </w:t>
      </w:r>
      <w:r>
        <w:rPr>
          <w:sz w:val="26"/>
        </w:rPr>
        <w:t>answering</w:t>
      </w:r>
      <w:r>
        <w:rPr>
          <w:spacing w:val="-10"/>
          <w:sz w:val="26"/>
        </w:rPr>
        <w:t xml:space="preserve"> </w:t>
      </w:r>
      <w:r>
        <w:rPr>
          <w:sz w:val="26"/>
        </w:rPr>
        <w:t>the</w:t>
      </w:r>
      <w:r>
        <w:rPr>
          <w:spacing w:val="-8"/>
          <w:sz w:val="26"/>
        </w:rPr>
        <w:t xml:space="preserve"> </w:t>
      </w:r>
      <w:r>
        <w:rPr>
          <w:sz w:val="26"/>
        </w:rPr>
        <w:t>above</w:t>
      </w:r>
      <w:r>
        <w:rPr>
          <w:spacing w:val="-10"/>
          <w:sz w:val="26"/>
        </w:rPr>
        <w:t xml:space="preserve"> </w:t>
      </w:r>
      <w:r>
        <w:rPr>
          <w:sz w:val="26"/>
        </w:rPr>
        <w:t>question</w:t>
      </w:r>
      <w:r>
        <w:rPr>
          <w:spacing w:val="-9"/>
          <w:sz w:val="26"/>
        </w:rPr>
        <w:t xml:space="preserve"> </w:t>
      </w:r>
      <w:r>
        <w:rPr>
          <w:sz w:val="26"/>
        </w:rPr>
        <w:t>in the affirmative, this Court held</w:t>
      </w:r>
      <w:r>
        <w:rPr>
          <w:spacing w:val="-4"/>
          <w:sz w:val="26"/>
        </w:rPr>
        <w:t xml:space="preserve"> </w:t>
      </w:r>
      <w:r>
        <w:rPr>
          <w:sz w:val="26"/>
        </w:rPr>
        <w:t>that:</w:t>
      </w:r>
    </w:p>
    <w:p w:rsidR="003B2FC0" w:rsidRDefault="00052A49">
      <w:pPr>
        <w:spacing w:before="199" w:line="276" w:lineRule="auto"/>
        <w:ind w:left="1840" w:right="2257"/>
        <w:jc w:val="both"/>
        <w:rPr>
          <w:sz w:val="21"/>
        </w:rPr>
      </w:pPr>
      <w:r>
        <w:rPr>
          <w:sz w:val="21"/>
        </w:rPr>
        <w:t>“6.</w:t>
      </w:r>
      <w:r>
        <w:rPr>
          <w:b/>
          <w:sz w:val="21"/>
        </w:rPr>
        <w:t xml:space="preserve">The word “includes” is often used in interpretation clauses in order to enlarge the meaning of the words or phrases occurring in the body of the statute. </w:t>
      </w:r>
      <w:r>
        <w:rPr>
          <w:sz w:val="21"/>
        </w:rPr>
        <w:t>When it is so used, those words and phrases must be construed as comprehending not only such things as</w:t>
      </w:r>
      <w:r>
        <w:rPr>
          <w:sz w:val="21"/>
        </w:rPr>
        <w:t xml:space="preserve"> they signify according</w:t>
      </w:r>
    </w:p>
    <w:p w:rsidR="003B2FC0" w:rsidRDefault="003B2FC0">
      <w:pPr>
        <w:rPr>
          <w:sz w:val="20"/>
        </w:rPr>
      </w:pPr>
    </w:p>
    <w:p w:rsidR="003B2FC0" w:rsidRDefault="003B2FC0">
      <w:pPr>
        <w:spacing w:before="4"/>
        <w:rPr>
          <w:sz w:val="12"/>
        </w:rPr>
      </w:pPr>
      <w:r w:rsidRPr="003B2FC0">
        <w:pict>
          <v:line id="_x0000_s1088" style="position:absolute;z-index:251627008;mso-wrap-distance-left:0;mso-wrap-distance-right:0;mso-position-horizontal-relative:page" from="1in,9.45pt" to="216.05pt,9.45pt" strokeweight=".72pt">
            <w10:wrap type="topAndBottom" anchorx="page"/>
          </v:line>
        </w:pict>
      </w:r>
    </w:p>
    <w:p w:rsidR="003B2FC0" w:rsidRDefault="00052A49">
      <w:pPr>
        <w:spacing w:before="66" w:line="210" w:lineRule="exact"/>
        <w:ind w:left="400"/>
        <w:rPr>
          <w:sz w:val="18"/>
        </w:rPr>
      </w:pPr>
      <w:r>
        <w:rPr>
          <w:position w:val="6"/>
          <w:sz w:val="12"/>
        </w:rPr>
        <w:t xml:space="preserve">115  </w:t>
      </w:r>
      <w:r>
        <w:rPr>
          <w:sz w:val="18"/>
        </w:rPr>
        <w:t>(1961) 3 SCR</w:t>
      </w:r>
      <w:r>
        <w:rPr>
          <w:spacing w:val="-22"/>
          <w:sz w:val="18"/>
        </w:rPr>
        <w:t xml:space="preserve"> </w:t>
      </w:r>
      <w:r>
        <w:rPr>
          <w:sz w:val="18"/>
        </w:rPr>
        <w:t>592</w:t>
      </w:r>
    </w:p>
    <w:p w:rsidR="003B2FC0" w:rsidRDefault="00052A49">
      <w:pPr>
        <w:spacing w:line="210" w:lineRule="exact"/>
        <w:ind w:left="400"/>
        <w:rPr>
          <w:sz w:val="18"/>
        </w:rPr>
      </w:pPr>
      <w:r>
        <w:rPr>
          <w:position w:val="6"/>
          <w:sz w:val="12"/>
        </w:rPr>
        <w:t xml:space="preserve">116  </w:t>
      </w:r>
      <w:r>
        <w:rPr>
          <w:sz w:val="18"/>
        </w:rPr>
        <w:t>(1971) 3 SCC</w:t>
      </w:r>
      <w:r>
        <w:rPr>
          <w:spacing w:val="-22"/>
          <w:sz w:val="18"/>
        </w:rPr>
        <w:t xml:space="preserve"> </w:t>
      </w:r>
      <w:r>
        <w:rPr>
          <w:sz w:val="18"/>
        </w:rPr>
        <w:t>550</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3" w:lineRule="auto"/>
        <w:ind w:left="1840" w:right="2259"/>
        <w:jc w:val="both"/>
        <w:rPr>
          <w:sz w:val="21"/>
        </w:rPr>
      </w:pPr>
      <w:r>
        <w:rPr>
          <w:sz w:val="21"/>
        </w:rPr>
        <w:t>to their nature and import but also those things which the interpretation clause declares that they shall include.”</w:t>
      </w:r>
      <w:r>
        <w:rPr>
          <w:position w:val="7"/>
          <w:sz w:val="14"/>
        </w:rPr>
        <w:t xml:space="preserve">117 </w:t>
      </w:r>
      <w:r>
        <w:rPr>
          <w:sz w:val="21"/>
        </w:rPr>
        <w:t>(Emphasis supplied)</w:t>
      </w:r>
    </w:p>
    <w:p w:rsidR="003B2FC0" w:rsidRDefault="003B2FC0">
      <w:pPr>
        <w:rPr>
          <w:sz w:val="24"/>
        </w:rPr>
      </w:pPr>
    </w:p>
    <w:p w:rsidR="003B2FC0" w:rsidRDefault="003B2FC0">
      <w:pPr>
        <w:spacing w:before="10"/>
        <w:rPr>
          <w:sz w:val="34"/>
        </w:rPr>
      </w:pPr>
    </w:p>
    <w:p w:rsidR="003B2FC0" w:rsidRDefault="00052A49">
      <w:pPr>
        <w:spacing w:line="480" w:lineRule="auto"/>
        <w:ind w:left="400" w:right="435"/>
        <w:jc w:val="both"/>
        <w:rPr>
          <w:sz w:val="26"/>
        </w:rPr>
      </w:pPr>
      <w:r>
        <w:rPr>
          <w:sz w:val="26"/>
        </w:rPr>
        <w:t xml:space="preserve">In </w:t>
      </w:r>
      <w:r>
        <w:rPr>
          <w:b/>
          <w:sz w:val="26"/>
        </w:rPr>
        <w:t xml:space="preserve">Geeta Enterprises </w:t>
      </w:r>
      <w:r>
        <w:rPr>
          <w:sz w:val="26"/>
        </w:rPr>
        <w:t xml:space="preserve">v </w:t>
      </w:r>
      <w:r>
        <w:rPr>
          <w:b/>
          <w:sz w:val="26"/>
        </w:rPr>
        <w:t>State of U P</w:t>
      </w:r>
      <w:r>
        <w:rPr>
          <w:sz w:val="26"/>
        </w:rPr>
        <w:t>,</w:t>
      </w:r>
      <w:r>
        <w:rPr>
          <w:position w:val="9"/>
          <w:sz w:val="17"/>
        </w:rPr>
        <w:t xml:space="preserve">118 </w:t>
      </w:r>
      <w:r>
        <w:rPr>
          <w:sz w:val="26"/>
        </w:rPr>
        <w:t>a three judge Bench of this Court considered whether Section 2(3) of the United Provinces Entertainment and Betting Tax Act, 1937 which provided that “entertainment includes any exhibitional performance, amusement, game or sport to which p</w:t>
      </w:r>
      <w:r>
        <w:rPr>
          <w:sz w:val="26"/>
        </w:rPr>
        <w:t>ersons are admitted for payment”, would include video shows which were being played on video machines at the premises of the Petitioner. Affirming the above position, this</w:t>
      </w:r>
      <w:r>
        <w:rPr>
          <w:spacing w:val="-7"/>
          <w:sz w:val="26"/>
        </w:rPr>
        <w:t xml:space="preserve"> </w:t>
      </w:r>
      <w:r>
        <w:rPr>
          <w:sz w:val="26"/>
        </w:rPr>
        <w:t>Court</w:t>
      </w:r>
      <w:r>
        <w:rPr>
          <w:spacing w:val="-6"/>
          <w:sz w:val="26"/>
        </w:rPr>
        <w:t xml:space="preserve"> </w:t>
      </w:r>
      <w:r>
        <w:rPr>
          <w:sz w:val="26"/>
        </w:rPr>
        <w:t>cited</w:t>
      </w:r>
      <w:r>
        <w:rPr>
          <w:spacing w:val="-4"/>
          <w:sz w:val="26"/>
        </w:rPr>
        <w:t xml:space="preserve"> </w:t>
      </w:r>
      <w:r>
        <w:rPr>
          <w:sz w:val="26"/>
        </w:rPr>
        <w:t>with</w:t>
      </w:r>
      <w:r>
        <w:rPr>
          <w:spacing w:val="-3"/>
          <w:sz w:val="26"/>
        </w:rPr>
        <w:t xml:space="preserve"> </w:t>
      </w:r>
      <w:r>
        <w:rPr>
          <w:sz w:val="26"/>
        </w:rPr>
        <w:t>approval,</w:t>
      </w:r>
      <w:r>
        <w:rPr>
          <w:spacing w:val="-6"/>
          <w:sz w:val="26"/>
        </w:rPr>
        <w:t xml:space="preserve"> </w:t>
      </w:r>
      <w:r>
        <w:rPr>
          <w:sz w:val="26"/>
        </w:rPr>
        <w:t>the</w:t>
      </w:r>
      <w:r>
        <w:rPr>
          <w:spacing w:val="-4"/>
          <w:sz w:val="26"/>
        </w:rPr>
        <w:t xml:space="preserve"> </w:t>
      </w:r>
      <w:r>
        <w:rPr>
          <w:sz w:val="26"/>
        </w:rPr>
        <w:t>following</w:t>
      </w:r>
      <w:r>
        <w:rPr>
          <w:spacing w:val="-6"/>
          <w:sz w:val="26"/>
        </w:rPr>
        <w:t xml:space="preserve"> </w:t>
      </w:r>
      <w:r>
        <w:rPr>
          <w:sz w:val="26"/>
        </w:rPr>
        <w:t>interpretation</w:t>
      </w:r>
      <w:r>
        <w:rPr>
          <w:spacing w:val="-6"/>
          <w:sz w:val="26"/>
        </w:rPr>
        <w:t xml:space="preserve"> </w:t>
      </w:r>
      <w:r>
        <w:rPr>
          <w:sz w:val="26"/>
        </w:rPr>
        <w:t>of</w:t>
      </w:r>
      <w:r>
        <w:rPr>
          <w:spacing w:val="-7"/>
          <w:sz w:val="26"/>
        </w:rPr>
        <w:t xml:space="preserve"> </w:t>
      </w:r>
      <w:r>
        <w:rPr>
          <w:sz w:val="26"/>
        </w:rPr>
        <w:t>the</w:t>
      </w:r>
      <w:r>
        <w:rPr>
          <w:spacing w:val="-4"/>
          <w:sz w:val="26"/>
        </w:rPr>
        <w:t xml:space="preserve"> </w:t>
      </w:r>
      <w:r>
        <w:rPr>
          <w:sz w:val="26"/>
        </w:rPr>
        <w:t>word</w:t>
      </w:r>
      <w:r>
        <w:rPr>
          <w:spacing w:val="-6"/>
          <w:sz w:val="26"/>
        </w:rPr>
        <w:t xml:space="preserve"> </w:t>
      </w:r>
      <w:r>
        <w:rPr>
          <w:sz w:val="26"/>
        </w:rPr>
        <w:t xml:space="preserve">“includes” by the Allahabad High Court in </w:t>
      </w:r>
      <w:r>
        <w:rPr>
          <w:b/>
          <w:sz w:val="26"/>
        </w:rPr>
        <w:t xml:space="preserve">Gopal Krishna Agrawal </w:t>
      </w:r>
      <w:r>
        <w:rPr>
          <w:sz w:val="26"/>
        </w:rPr>
        <w:t xml:space="preserve">v </w:t>
      </w:r>
      <w:r>
        <w:rPr>
          <w:b/>
          <w:sz w:val="26"/>
        </w:rPr>
        <w:t>State of U</w:t>
      </w:r>
      <w:r>
        <w:rPr>
          <w:b/>
          <w:spacing w:val="-13"/>
          <w:sz w:val="26"/>
        </w:rPr>
        <w:t xml:space="preserve"> </w:t>
      </w:r>
      <w:r>
        <w:rPr>
          <w:b/>
          <w:sz w:val="26"/>
        </w:rPr>
        <w:t>P</w:t>
      </w:r>
      <w:r>
        <w:rPr>
          <w:position w:val="9"/>
          <w:sz w:val="17"/>
        </w:rPr>
        <w:t>119</w:t>
      </w:r>
      <w:r>
        <w:rPr>
          <w:sz w:val="26"/>
        </w:rPr>
        <w:t>:</w:t>
      </w:r>
    </w:p>
    <w:p w:rsidR="003B2FC0" w:rsidRDefault="00052A49">
      <w:pPr>
        <w:spacing w:before="193" w:line="276" w:lineRule="auto"/>
        <w:ind w:left="1840" w:right="2259"/>
        <w:jc w:val="both"/>
        <w:rPr>
          <w:sz w:val="21"/>
        </w:rPr>
      </w:pPr>
      <w:r>
        <w:rPr>
          <w:sz w:val="21"/>
        </w:rPr>
        <w:t>“The context in which the word ‘includes’ has been used in the definition clauses of the Act does not indicate that the legislature intended to put a restriction or a limita</w:t>
      </w:r>
      <w:r>
        <w:rPr>
          <w:sz w:val="21"/>
        </w:rPr>
        <w:t>tion on words like ‘entertainment’ or ‘admission to an entertainment’ or ‘payment for admission’.”</w:t>
      </w: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7"/>
        <w:rPr>
          <w:sz w:val="28"/>
        </w:rPr>
      </w:pPr>
    </w:p>
    <w:p w:rsidR="003B2FC0" w:rsidRDefault="00052A49">
      <w:pPr>
        <w:spacing w:line="475" w:lineRule="auto"/>
        <w:ind w:left="400" w:right="435"/>
        <w:jc w:val="both"/>
        <w:rPr>
          <w:sz w:val="26"/>
        </w:rPr>
      </w:pPr>
      <w:r>
        <w:rPr>
          <w:sz w:val="26"/>
        </w:rPr>
        <w:t xml:space="preserve">The same view was expressed by a three judge Bench in </w:t>
      </w:r>
      <w:r>
        <w:rPr>
          <w:b/>
          <w:sz w:val="26"/>
        </w:rPr>
        <w:t xml:space="preserve">Regional Director, ESIC </w:t>
      </w:r>
      <w:r>
        <w:rPr>
          <w:sz w:val="26"/>
        </w:rPr>
        <w:t xml:space="preserve">v </w:t>
      </w:r>
      <w:r>
        <w:rPr>
          <w:b/>
          <w:sz w:val="26"/>
        </w:rPr>
        <w:t>High Land Coffee Works of P.F.X. Saldanha &amp; Sons</w:t>
      </w:r>
      <w:r>
        <w:rPr>
          <w:position w:val="9"/>
          <w:sz w:val="17"/>
        </w:rPr>
        <w:t>120</w:t>
      </w:r>
      <w:r>
        <w:rPr>
          <w:sz w:val="26"/>
        </w:rPr>
        <w:t>.</w:t>
      </w:r>
    </w:p>
    <w:p w:rsidR="003B2FC0" w:rsidRDefault="003B2FC0">
      <w:pPr>
        <w:rPr>
          <w:sz w:val="30"/>
        </w:rPr>
      </w:pPr>
    </w:p>
    <w:p w:rsidR="003B2FC0" w:rsidRDefault="003B2FC0">
      <w:pPr>
        <w:spacing w:before="3"/>
        <w:rPr>
          <w:sz w:val="31"/>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The use of the ter</w:t>
      </w:r>
      <w:r>
        <w:rPr>
          <w:sz w:val="26"/>
        </w:rPr>
        <w:t>m ‘includes’ in Section 2(c) indicates that the scope of the words ‘section or class’ cannot be confined only to ‘division’, ‘sub-division’, ‘caste’,</w:t>
      </w:r>
      <w:r>
        <w:rPr>
          <w:spacing w:val="16"/>
          <w:sz w:val="26"/>
        </w:rPr>
        <w:t xml:space="preserve"> </w:t>
      </w:r>
      <w:r>
        <w:rPr>
          <w:sz w:val="26"/>
        </w:rPr>
        <w:t>‘sub-caste’,</w:t>
      </w:r>
      <w:r>
        <w:rPr>
          <w:spacing w:val="20"/>
          <w:sz w:val="26"/>
        </w:rPr>
        <w:t xml:space="preserve"> </w:t>
      </w:r>
      <w:r>
        <w:rPr>
          <w:sz w:val="26"/>
        </w:rPr>
        <w:t>‘sect’</w:t>
      </w:r>
      <w:r>
        <w:rPr>
          <w:spacing w:val="18"/>
          <w:sz w:val="26"/>
        </w:rPr>
        <w:t xml:space="preserve"> </w:t>
      </w:r>
      <w:r>
        <w:rPr>
          <w:sz w:val="26"/>
        </w:rPr>
        <w:t>or</w:t>
      </w:r>
      <w:r>
        <w:rPr>
          <w:spacing w:val="18"/>
          <w:sz w:val="26"/>
        </w:rPr>
        <w:t xml:space="preserve"> </w:t>
      </w:r>
      <w:r>
        <w:rPr>
          <w:sz w:val="26"/>
        </w:rPr>
        <w:t>‘denomination’.</w:t>
      </w:r>
      <w:r>
        <w:rPr>
          <w:spacing w:val="17"/>
          <w:sz w:val="26"/>
        </w:rPr>
        <w:t xml:space="preserve"> </w:t>
      </w:r>
      <w:r>
        <w:rPr>
          <w:sz w:val="26"/>
        </w:rPr>
        <w:t>‘Section</w:t>
      </w:r>
      <w:r>
        <w:rPr>
          <w:spacing w:val="17"/>
          <w:sz w:val="26"/>
        </w:rPr>
        <w:t xml:space="preserve"> </w:t>
      </w:r>
      <w:r>
        <w:rPr>
          <w:sz w:val="26"/>
        </w:rPr>
        <w:t>or</w:t>
      </w:r>
      <w:r>
        <w:rPr>
          <w:spacing w:val="20"/>
          <w:sz w:val="26"/>
        </w:rPr>
        <w:t xml:space="preserve"> </w:t>
      </w:r>
      <w:r>
        <w:rPr>
          <w:sz w:val="26"/>
        </w:rPr>
        <w:t>class’,</w:t>
      </w:r>
      <w:r>
        <w:rPr>
          <w:spacing w:val="20"/>
          <w:sz w:val="26"/>
        </w:rPr>
        <w:t xml:space="preserve"> </w:t>
      </w:r>
      <w:r>
        <w:rPr>
          <w:sz w:val="26"/>
        </w:rPr>
        <w:t>would</w:t>
      </w:r>
      <w:r>
        <w:rPr>
          <w:spacing w:val="17"/>
          <w:sz w:val="26"/>
        </w:rPr>
        <w:t xml:space="preserve"> </w:t>
      </w:r>
      <w:r>
        <w:rPr>
          <w:sz w:val="26"/>
        </w:rPr>
        <w:t>be</w:t>
      </w:r>
    </w:p>
    <w:p w:rsidR="003B2FC0" w:rsidRDefault="003B2FC0">
      <w:pPr>
        <w:spacing w:before="7"/>
        <w:rPr>
          <w:sz w:val="21"/>
        </w:rPr>
      </w:pPr>
      <w:r w:rsidRPr="003B2FC0">
        <w:pict>
          <v:line id="_x0000_s1087" style="position:absolute;z-index:251628032;mso-wrap-distance-left:0;mso-wrap-distance-right:0;mso-position-horizontal-relative:page" from="1in,14.8pt" to="216.05pt,14.8pt" strokeweight=".72pt">
            <w10:wrap type="topAndBottom" anchorx="page"/>
          </v:line>
        </w:pict>
      </w:r>
    </w:p>
    <w:p w:rsidR="003B2FC0" w:rsidRDefault="00052A49">
      <w:pPr>
        <w:spacing w:before="67" w:line="209" w:lineRule="exact"/>
        <w:ind w:left="400"/>
        <w:rPr>
          <w:sz w:val="18"/>
        </w:rPr>
      </w:pPr>
      <w:r>
        <w:rPr>
          <w:position w:val="6"/>
          <w:sz w:val="12"/>
        </w:rPr>
        <w:t xml:space="preserve">117 </w:t>
      </w:r>
      <w:r>
        <w:rPr>
          <w:sz w:val="18"/>
        </w:rPr>
        <w:t>Ibid, at pages 552-553</w:t>
      </w:r>
    </w:p>
    <w:p w:rsidR="003B2FC0" w:rsidRDefault="00052A49">
      <w:pPr>
        <w:spacing w:line="206" w:lineRule="exact"/>
        <w:ind w:left="400"/>
        <w:rPr>
          <w:sz w:val="18"/>
        </w:rPr>
      </w:pPr>
      <w:r>
        <w:rPr>
          <w:position w:val="6"/>
          <w:sz w:val="12"/>
        </w:rPr>
        <w:t xml:space="preserve">118 </w:t>
      </w:r>
      <w:r>
        <w:rPr>
          <w:sz w:val="18"/>
        </w:rPr>
        <w:t>(1983) 4 SCC 202</w:t>
      </w:r>
    </w:p>
    <w:p w:rsidR="003B2FC0" w:rsidRDefault="00052A49">
      <w:pPr>
        <w:spacing w:line="208" w:lineRule="exact"/>
        <w:ind w:left="400"/>
        <w:rPr>
          <w:sz w:val="18"/>
        </w:rPr>
      </w:pPr>
      <w:r>
        <w:rPr>
          <w:position w:val="6"/>
          <w:sz w:val="12"/>
        </w:rPr>
        <w:t xml:space="preserve">119 </w:t>
      </w:r>
      <w:r>
        <w:rPr>
          <w:sz w:val="18"/>
        </w:rPr>
        <w:t>(1982) All. L.J. 607</w:t>
      </w:r>
    </w:p>
    <w:p w:rsidR="003B2FC0" w:rsidRDefault="00052A49">
      <w:pPr>
        <w:spacing w:line="210" w:lineRule="exact"/>
        <w:ind w:left="400"/>
        <w:rPr>
          <w:sz w:val="18"/>
        </w:rPr>
      </w:pPr>
      <w:r>
        <w:rPr>
          <w:position w:val="6"/>
          <w:sz w:val="12"/>
        </w:rPr>
        <w:t xml:space="preserve">120 </w:t>
      </w:r>
      <w:r>
        <w:rPr>
          <w:sz w:val="18"/>
        </w:rPr>
        <w:t>(1991) 3 SCC 617</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1"/>
        <w:jc w:val="both"/>
        <w:rPr>
          <w:sz w:val="26"/>
        </w:rPr>
      </w:pPr>
      <w:r>
        <w:rPr>
          <w:sz w:val="26"/>
        </w:rPr>
        <w:t xml:space="preserve">susceptible to a broad interpretation that includes ‘women’ within its ambit. Section 2(b) uses the expression “Hindus or any section or class thereof”. Plainly, individuals </w:t>
      </w:r>
      <w:r>
        <w:rPr>
          <w:sz w:val="26"/>
        </w:rPr>
        <w:t>who profess and practise the faith are Hindus. Moreover, every section or class of Hindus is comprehended within the expression. That must necessarily include women who profess and practise the Hindu religion. The wide ambit of the expression “section or c</w:t>
      </w:r>
      <w:r>
        <w:rPr>
          <w:sz w:val="26"/>
        </w:rPr>
        <w:t>lass” emerges from Section</w:t>
      </w:r>
      <w:r>
        <w:rPr>
          <w:spacing w:val="-49"/>
          <w:sz w:val="26"/>
        </w:rPr>
        <w:t xml:space="preserve"> </w:t>
      </w:r>
      <w:r>
        <w:rPr>
          <w:sz w:val="26"/>
        </w:rPr>
        <w:t>2(c). Apart</w:t>
      </w:r>
      <w:r>
        <w:rPr>
          <w:spacing w:val="26"/>
          <w:sz w:val="26"/>
        </w:rPr>
        <w:t xml:space="preserve"> </w:t>
      </w:r>
      <w:r>
        <w:rPr>
          <w:sz w:val="26"/>
        </w:rPr>
        <w:t>from</w:t>
      </w:r>
      <w:r>
        <w:rPr>
          <w:spacing w:val="27"/>
          <w:sz w:val="26"/>
        </w:rPr>
        <w:t xml:space="preserve"> </w:t>
      </w:r>
      <w:r>
        <w:rPr>
          <w:sz w:val="26"/>
        </w:rPr>
        <w:t>the</w:t>
      </w:r>
      <w:r>
        <w:rPr>
          <w:spacing w:val="27"/>
          <w:sz w:val="26"/>
        </w:rPr>
        <w:t xml:space="preserve"> </w:t>
      </w:r>
      <w:r>
        <w:rPr>
          <w:sz w:val="26"/>
        </w:rPr>
        <w:t>inclusive</w:t>
      </w:r>
      <w:r>
        <w:rPr>
          <w:spacing w:val="27"/>
          <w:sz w:val="26"/>
        </w:rPr>
        <w:t xml:space="preserve"> </w:t>
      </w:r>
      <w:r>
        <w:rPr>
          <w:sz w:val="26"/>
        </w:rPr>
        <w:t>definition,</w:t>
      </w:r>
      <w:r>
        <w:rPr>
          <w:spacing w:val="27"/>
          <w:sz w:val="26"/>
        </w:rPr>
        <w:t xml:space="preserve"> </w:t>
      </w:r>
      <w:r>
        <w:rPr>
          <w:sz w:val="26"/>
        </w:rPr>
        <w:t>the</w:t>
      </w:r>
      <w:r>
        <w:rPr>
          <w:spacing w:val="27"/>
          <w:sz w:val="26"/>
        </w:rPr>
        <w:t xml:space="preserve"> </w:t>
      </w:r>
      <w:r>
        <w:rPr>
          <w:sz w:val="26"/>
        </w:rPr>
        <w:t>expression</w:t>
      </w:r>
      <w:r>
        <w:rPr>
          <w:spacing w:val="27"/>
          <w:sz w:val="26"/>
        </w:rPr>
        <w:t xml:space="preserve"> </w:t>
      </w:r>
      <w:r>
        <w:rPr>
          <w:sz w:val="26"/>
        </w:rPr>
        <w:t>includes</w:t>
      </w:r>
      <w:r>
        <w:rPr>
          <w:spacing w:val="31"/>
          <w:sz w:val="26"/>
        </w:rPr>
        <w:t xml:space="preserve"> </w:t>
      </w:r>
      <w:r>
        <w:rPr>
          <w:sz w:val="26"/>
          <w:u w:val="single"/>
        </w:rPr>
        <w:t>any</w:t>
      </w:r>
      <w:r>
        <w:rPr>
          <w:spacing w:val="25"/>
          <w:sz w:val="26"/>
        </w:rPr>
        <w:t xml:space="preserve"> </w:t>
      </w:r>
      <w:r>
        <w:rPr>
          <w:sz w:val="26"/>
        </w:rPr>
        <w:t>division,</w:t>
      </w:r>
      <w:r>
        <w:rPr>
          <w:spacing w:val="26"/>
          <w:sz w:val="26"/>
        </w:rPr>
        <w:t xml:space="preserve"> </w:t>
      </w:r>
      <w:r>
        <w:rPr>
          <w:sz w:val="26"/>
        </w:rPr>
        <w:t>sub-</w:t>
      </w:r>
    </w:p>
    <w:p w:rsidR="003B2FC0" w:rsidRDefault="00052A49">
      <w:pPr>
        <w:spacing w:before="1" w:line="480" w:lineRule="auto"/>
        <w:ind w:left="400" w:right="438"/>
        <w:jc w:val="both"/>
        <w:rPr>
          <w:sz w:val="26"/>
        </w:rPr>
      </w:pPr>
      <w:r>
        <w:rPr>
          <w:sz w:val="26"/>
        </w:rPr>
        <w:t>division,</w:t>
      </w:r>
      <w:r>
        <w:rPr>
          <w:spacing w:val="-7"/>
          <w:sz w:val="26"/>
        </w:rPr>
        <w:t xml:space="preserve"> </w:t>
      </w:r>
      <w:r>
        <w:rPr>
          <w:sz w:val="26"/>
        </w:rPr>
        <w:t>caste,</w:t>
      </w:r>
      <w:r>
        <w:rPr>
          <w:spacing w:val="-7"/>
          <w:sz w:val="26"/>
        </w:rPr>
        <w:t xml:space="preserve"> </w:t>
      </w:r>
      <w:r>
        <w:rPr>
          <w:sz w:val="26"/>
        </w:rPr>
        <w:t>sub-caste,</w:t>
      </w:r>
      <w:r>
        <w:rPr>
          <w:spacing w:val="-9"/>
          <w:sz w:val="26"/>
        </w:rPr>
        <w:t xml:space="preserve"> </w:t>
      </w:r>
      <w:r>
        <w:rPr>
          <w:sz w:val="26"/>
        </w:rPr>
        <w:t>sect</w:t>
      </w:r>
      <w:r>
        <w:rPr>
          <w:spacing w:val="-10"/>
          <w:sz w:val="26"/>
        </w:rPr>
        <w:t xml:space="preserve"> </w:t>
      </w:r>
      <w:r>
        <w:rPr>
          <w:sz w:val="26"/>
        </w:rPr>
        <w:t>or</w:t>
      </w:r>
      <w:r>
        <w:rPr>
          <w:spacing w:val="-9"/>
          <w:sz w:val="26"/>
        </w:rPr>
        <w:t xml:space="preserve"> </w:t>
      </w:r>
      <w:r>
        <w:rPr>
          <w:sz w:val="26"/>
        </w:rPr>
        <w:t>denomination</w:t>
      </w:r>
      <w:r>
        <w:rPr>
          <w:spacing w:val="-8"/>
          <w:sz w:val="26"/>
        </w:rPr>
        <w:t xml:space="preserve"> </w:t>
      </w:r>
      <w:r>
        <w:rPr>
          <w:sz w:val="26"/>
        </w:rPr>
        <w:t>whatsoever.</w:t>
      </w:r>
      <w:r>
        <w:rPr>
          <w:spacing w:val="-7"/>
          <w:sz w:val="26"/>
        </w:rPr>
        <w:t xml:space="preserve"> </w:t>
      </w:r>
      <w:r>
        <w:rPr>
          <w:sz w:val="26"/>
        </w:rPr>
        <w:t>Women</w:t>
      </w:r>
      <w:r>
        <w:rPr>
          <w:spacing w:val="-9"/>
          <w:sz w:val="26"/>
        </w:rPr>
        <w:t xml:space="preserve"> </w:t>
      </w:r>
      <w:r>
        <w:rPr>
          <w:sz w:val="26"/>
        </w:rPr>
        <w:t>constitute a section or class. The expression ‘section or class’ must receiv</w:t>
      </w:r>
      <w:r>
        <w:rPr>
          <w:sz w:val="26"/>
        </w:rPr>
        <w:t>e the meaning which is ascribed to it in common parlance. Hence, looked at from any perspective, women would be comprehended within that</w:t>
      </w:r>
      <w:r>
        <w:rPr>
          <w:spacing w:val="-5"/>
          <w:sz w:val="26"/>
        </w:rPr>
        <w:t xml:space="preserve"> </w:t>
      </w:r>
      <w:r>
        <w:rPr>
          <w:sz w:val="26"/>
        </w:rPr>
        <w:t>expression.</w:t>
      </w:r>
    </w:p>
    <w:p w:rsidR="003B2FC0" w:rsidRDefault="003B2FC0">
      <w:pPr>
        <w:rPr>
          <w:sz w:val="28"/>
        </w:rPr>
      </w:pPr>
    </w:p>
    <w:p w:rsidR="003B2FC0" w:rsidRDefault="003B2FC0">
      <w:pPr>
        <w:spacing w:before="9"/>
        <w:rPr>
          <w:sz w:val="32"/>
        </w:rPr>
      </w:pPr>
    </w:p>
    <w:p w:rsidR="003B2FC0" w:rsidRDefault="00052A49">
      <w:pPr>
        <w:spacing w:before="1" w:line="480" w:lineRule="auto"/>
        <w:ind w:left="400" w:right="434"/>
        <w:jc w:val="both"/>
        <w:rPr>
          <w:sz w:val="26"/>
        </w:rPr>
      </w:pPr>
      <w:r>
        <w:rPr>
          <w:sz w:val="26"/>
        </w:rPr>
        <w:t>The</w:t>
      </w:r>
      <w:r>
        <w:rPr>
          <w:spacing w:val="-4"/>
          <w:sz w:val="26"/>
        </w:rPr>
        <w:t xml:space="preserve"> </w:t>
      </w:r>
      <w:r>
        <w:rPr>
          <w:sz w:val="26"/>
        </w:rPr>
        <w:t>long</w:t>
      </w:r>
      <w:r>
        <w:rPr>
          <w:spacing w:val="-4"/>
          <w:sz w:val="26"/>
        </w:rPr>
        <w:t xml:space="preserve"> </w:t>
      </w:r>
      <w:r>
        <w:rPr>
          <w:sz w:val="26"/>
        </w:rPr>
        <w:t>title</w:t>
      </w:r>
      <w:r>
        <w:rPr>
          <w:spacing w:val="-3"/>
          <w:sz w:val="26"/>
        </w:rPr>
        <w:t xml:space="preserve"> </w:t>
      </w:r>
      <w:r>
        <w:rPr>
          <w:sz w:val="26"/>
        </w:rPr>
        <w:t>of</w:t>
      </w:r>
      <w:r>
        <w:rPr>
          <w:spacing w:val="-4"/>
          <w:sz w:val="26"/>
        </w:rPr>
        <w:t xml:space="preserve"> </w:t>
      </w:r>
      <w:r>
        <w:rPr>
          <w:sz w:val="26"/>
        </w:rPr>
        <w:t>the</w:t>
      </w:r>
      <w:r>
        <w:rPr>
          <w:spacing w:val="-3"/>
          <w:sz w:val="26"/>
        </w:rPr>
        <w:t xml:space="preserve"> </w:t>
      </w:r>
      <w:r>
        <w:rPr>
          <w:sz w:val="26"/>
        </w:rPr>
        <w:t>Act</w:t>
      </w:r>
      <w:r>
        <w:rPr>
          <w:spacing w:val="-4"/>
          <w:sz w:val="26"/>
        </w:rPr>
        <w:t xml:space="preserve"> </w:t>
      </w:r>
      <w:r>
        <w:rPr>
          <w:sz w:val="26"/>
        </w:rPr>
        <w:t>indicates</w:t>
      </w:r>
      <w:r>
        <w:rPr>
          <w:spacing w:val="-3"/>
          <w:sz w:val="26"/>
        </w:rPr>
        <w:t xml:space="preserve"> </w:t>
      </w:r>
      <w:r>
        <w:rPr>
          <w:sz w:val="26"/>
        </w:rPr>
        <w:t>that</w:t>
      </w:r>
      <w:r>
        <w:rPr>
          <w:spacing w:val="-4"/>
          <w:sz w:val="26"/>
        </w:rPr>
        <w:t xml:space="preserve"> </w:t>
      </w:r>
      <w:r>
        <w:rPr>
          <w:sz w:val="26"/>
        </w:rPr>
        <w:t>its</w:t>
      </w:r>
      <w:r>
        <w:rPr>
          <w:spacing w:val="-3"/>
          <w:sz w:val="26"/>
        </w:rPr>
        <w:t xml:space="preserve"> </w:t>
      </w:r>
      <w:r>
        <w:rPr>
          <w:sz w:val="26"/>
        </w:rPr>
        <w:t>object</w:t>
      </w:r>
      <w:r>
        <w:rPr>
          <w:spacing w:val="-4"/>
          <w:sz w:val="26"/>
        </w:rPr>
        <w:t xml:space="preserve"> </w:t>
      </w:r>
      <w:r>
        <w:rPr>
          <w:sz w:val="26"/>
        </w:rPr>
        <w:t>is</w:t>
      </w:r>
      <w:r>
        <w:rPr>
          <w:spacing w:val="-3"/>
          <w:sz w:val="26"/>
        </w:rPr>
        <w:t xml:space="preserve"> </w:t>
      </w:r>
      <w:r>
        <w:rPr>
          <w:sz w:val="26"/>
        </w:rPr>
        <w:t>“to</w:t>
      </w:r>
      <w:r>
        <w:rPr>
          <w:spacing w:val="-4"/>
          <w:sz w:val="26"/>
        </w:rPr>
        <w:t xml:space="preserve"> </w:t>
      </w:r>
      <w:r>
        <w:rPr>
          <w:sz w:val="26"/>
        </w:rPr>
        <w:t>make</w:t>
      </w:r>
      <w:r>
        <w:rPr>
          <w:spacing w:val="-3"/>
          <w:sz w:val="26"/>
        </w:rPr>
        <w:t xml:space="preserve"> </w:t>
      </w:r>
      <w:r>
        <w:rPr>
          <w:sz w:val="26"/>
        </w:rPr>
        <w:t>better</w:t>
      </w:r>
      <w:r>
        <w:rPr>
          <w:spacing w:val="-4"/>
          <w:sz w:val="26"/>
        </w:rPr>
        <w:t xml:space="preserve"> </w:t>
      </w:r>
      <w:r>
        <w:rPr>
          <w:sz w:val="26"/>
        </w:rPr>
        <w:t>provisions</w:t>
      </w:r>
      <w:r>
        <w:rPr>
          <w:spacing w:val="-3"/>
          <w:sz w:val="26"/>
        </w:rPr>
        <w:t xml:space="preserve"> </w:t>
      </w:r>
      <w:r>
        <w:rPr>
          <w:sz w:val="26"/>
        </w:rPr>
        <w:t>for the entry of all classes and sections of Hindus into places of public worship”. The long title is a part of the Act and is a permissible aid to construction.</w:t>
      </w:r>
      <w:r>
        <w:rPr>
          <w:position w:val="9"/>
          <w:sz w:val="17"/>
        </w:rPr>
        <w:t>121</w:t>
      </w:r>
      <w:r>
        <w:rPr>
          <w:spacing w:val="-23"/>
          <w:position w:val="9"/>
          <w:sz w:val="17"/>
        </w:rPr>
        <w:t xml:space="preserve"> </w:t>
      </w:r>
      <w:r>
        <w:rPr>
          <w:sz w:val="26"/>
        </w:rPr>
        <w:t>The Act was enacted to remedy the restriction on the right of entry of all Hindus in temple</w:t>
      </w:r>
      <w:r>
        <w:rPr>
          <w:sz w:val="26"/>
        </w:rPr>
        <w:t>s and their right to worship in them. The legislation is aimed at bringing about social reform. The legislature endeavoured to strike at the heart of the social evil of exclusion and sought to give another layer of recognition and protection to the fundame</w:t>
      </w:r>
      <w:r>
        <w:rPr>
          <w:sz w:val="26"/>
        </w:rPr>
        <w:t>ntal right of every person to freely profess, practice and propagate religion under Article 25. Inclusion of women in the definition of ‘section</w:t>
      </w:r>
      <w:r>
        <w:rPr>
          <w:spacing w:val="-7"/>
          <w:sz w:val="26"/>
        </w:rPr>
        <w:t xml:space="preserve"> </w:t>
      </w:r>
      <w:r>
        <w:rPr>
          <w:sz w:val="26"/>
        </w:rPr>
        <w:t>and</w:t>
      </w:r>
      <w:r>
        <w:rPr>
          <w:spacing w:val="-5"/>
          <w:sz w:val="26"/>
        </w:rPr>
        <w:t xml:space="preserve"> </w:t>
      </w:r>
      <w:r>
        <w:rPr>
          <w:sz w:val="26"/>
        </w:rPr>
        <w:t>class’</w:t>
      </w:r>
      <w:r>
        <w:rPr>
          <w:spacing w:val="-6"/>
          <w:sz w:val="26"/>
        </w:rPr>
        <w:t xml:space="preserve"> </w:t>
      </w:r>
      <w:r>
        <w:rPr>
          <w:sz w:val="26"/>
        </w:rPr>
        <w:t>in</w:t>
      </w:r>
      <w:r>
        <w:rPr>
          <w:spacing w:val="-3"/>
          <w:sz w:val="26"/>
        </w:rPr>
        <w:t xml:space="preserve"> </w:t>
      </w:r>
      <w:r>
        <w:rPr>
          <w:sz w:val="26"/>
        </w:rPr>
        <w:t>Section</w:t>
      </w:r>
      <w:r>
        <w:rPr>
          <w:spacing w:val="-5"/>
          <w:sz w:val="26"/>
        </w:rPr>
        <w:t xml:space="preserve"> </w:t>
      </w:r>
      <w:r>
        <w:rPr>
          <w:sz w:val="26"/>
        </w:rPr>
        <w:t>2(c)</w:t>
      </w:r>
      <w:r>
        <w:rPr>
          <w:spacing w:val="-6"/>
          <w:sz w:val="26"/>
        </w:rPr>
        <w:t xml:space="preserve"> </w:t>
      </w:r>
      <w:r>
        <w:rPr>
          <w:sz w:val="26"/>
        </w:rPr>
        <w:t>furthers</w:t>
      </w:r>
      <w:r>
        <w:rPr>
          <w:spacing w:val="-3"/>
          <w:sz w:val="26"/>
        </w:rPr>
        <w:t xml:space="preserve"> </w:t>
      </w:r>
      <w:r>
        <w:rPr>
          <w:sz w:val="26"/>
        </w:rPr>
        <w:t>the</w:t>
      </w:r>
      <w:r>
        <w:rPr>
          <w:spacing w:val="-7"/>
          <w:sz w:val="26"/>
        </w:rPr>
        <w:t xml:space="preserve"> </w:t>
      </w:r>
      <w:r>
        <w:rPr>
          <w:sz w:val="26"/>
        </w:rPr>
        <w:t>object</w:t>
      </w:r>
      <w:r>
        <w:rPr>
          <w:spacing w:val="-5"/>
          <w:sz w:val="26"/>
        </w:rPr>
        <w:t xml:space="preserve"> </w:t>
      </w:r>
      <w:r>
        <w:rPr>
          <w:sz w:val="26"/>
        </w:rPr>
        <w:t>of</w:t>
      </w:r>
      <w:r>
        <w:rPr>
          <w:spacing w:val="-5"/>
          <w:sz w:val="26"/>
        </w:rPr>
        <w:t xml:space="preserve"> </w:t>
      </w:r>
      <w:r>
        <w:rPr>
          <w:sz w:val="26"/>
        </w:rPr>
        <w:t>the</w:t>
      </w:r>
      <w:r>
        <w:rPr>
          <w:spacing w:val="-6"/>
          <w:sz w:val="26"/>
        </w:rPr>
        <w:t xml:space="preserve"> </w:t>
      </w:r>
      <w:r>
        <w:rPr>
          <w:sz w:val="26"/>
        </w:rPr>
        <w:t>law,</w:t>
      </w:r>
      <w:r>
        <w:rPr>
          <w:spacing w:val="-5"/>
          <w:sz w:val="26"/>
        </w:rPr>
        <w:t xml:space="preserve"> </w:t>
      </w:r>
      <w:r>
        <w:rPr>
          <w:sz w:val="26"/>
        </w:rPr>
        <w:t>and</w:t>
      </w:r>
      <w:r>
        <w:rPr>
          <w:spacing w:val="-6"/>
          <w:sz w:val="26"/>
        </w:rPr>
        <w:t xml:space="preserve"> </w:t>
      </w:r>
      <w:r>
        <w:rPr>
          <w:sz w:val="26"/>
        </w:rPr>
        <w:t>recognizes</w:t>
      </w:r>
    </w:p>
    <w:p w:rsidR="003B2FC0" w:rsidRDefault="003B2FC0">
      <w:pPr>
        <w:spacing w:before="1"/>
        <w:rPr>
          <w:sz w:val="29"/>
        </w:rPr>
      </w:pPr>
      <w:r w:rsidRPr="003B2FC0">
        <w:pict>
          <v:line id="_x0000_s1086" style="position:absolute;z-index:251629056;mso-wrap-distance-left:0;mso-wrap-distance-right:0;mso-position-horizontal-relative:page" from="1in,19.1pt" to="216.05pt,19.1pt" strokeweight=".72pt">
            <w10:wrap type="topAndBottom" anchorx="page"/>
          </v:line>
        </w:pict>
      </w:r>
    </w:p>
    <w:p w:rsidR="003B2FC0" w:rsidRDefault="00052A49">
      <w:pPr>
        <w:spacing w:before="66"/>
        <w:ind w:left="400"/>
        <w:rPr>
          <w:sz w:val="18"/>
        </w:rPr>
      </w:pPr>
      <w:r>
        <w:rPr>
          <w:position w:val="6"/>
          <w:sz w:val="12"/>
        </w:rPr>
        <w:t xml:space="preserve">121 </w:t>
      </w:r>
      <w:r>
        <w:rPr>
          <w:sz w:val="18"/>
        </w:rPr>
        <w:t>Union of India v Elphinstone Spinning and Weaving Co Ltd, (2001) 4 SCC 139</w:t>
      </w:r>
    </w:p>
    <w:p w:rsidR="003B2FC0" w:rsidRDefault="003B2FC0">
      <w:pPr>
        <w:rPr>
          <w:sz w:val="18"/>
        </w:rPr>
        <w:sectPr w:rsidR="003B2FC0">
          <w:footerReference w:type="default" r:id="rId384"/>
          <w:pgSz w:w="11910" w:h="16840"/>
          <w:pgMar w:top="1080" w:right="980" w:bottom="1200" w:left="1040" w:header="708" w:footer="1000" w:gutter="0"/>
          <w:pgNumType w:start="12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the right of every Hindu to enter and worship in a temple. It is an attempt to pierce through imaginary social constructs formed around the practice of worship, whose ultimate effect is exclusion. A just and proper construction of Section 2(c) requires tha</w:t>
      </w:r>
      <w:r>
        <w:rPr>
          <w:sz w:val="26"/>
        </w:rPr>
        <w:t>t women be included within the definition of ‘section or class’.</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The notifications dated 21 October 1955 and 27 November 1956 were issued by the Travancore Devaswom Board before the 1965 Act was enacted. The</w:t>
      </w:r>
      <w:r>
        <w:rPr>
          <w:spacing w:val="-9"/>
          <w:sz w:val="26"/>
        </w:rPr>
        <w:t xml:space="preserve"> </w:t>
      </w:r>
      <w:r>
        <w:rPr>
          <w:sz w:val="26"/>
        </w:rPr>
        <w:t>notifications</w:t>
      </w:r>
      <w:r>
        <w:rPr>
          <w:spacing w:val="-6"/>
          <w:sz w:val="26"/>
        </w:rPr>
        <w:t xml:space="preserve"> </w:t>
      </w:r>
      <w:r>
        <w:rPr>
          <w:sz w:val="26"/>
        </w:rPr>
        <w:t>were</w:t>
      </w:r>
      <w:r>
        <w:rPr>
          <w:spacing w:val="-9"/>
          <w:sz w:val="26"/>
        </w:rPr>
        <w:t xml:space="preserve"> </w:t>
      </w:r>
      <w:r>
        <w:rPr>
          <w:sz w:val="26"/>
        </w:rPr>
        <w:t>issued</w:t>
      </w:r>
      <w:r>
        <w:rPr>
          <w:spacing w:val="-8"/>
          <w:sz w:val="26"/>
        </w:rPr>
        <w:t xml:space="preserve"> </w:t>
      </w:r>
      <w:r>
        <w:rPr>
          <w:sz w:val="26"/>
        </w:rPr>
        <w:t>by</w:t>
      </w:r>
      <w:r>
        <w:rPr>
          <w:spacing w:val="-9"/>
          <w:sz w:val="26"/>
        </w:rPr>
        <w:t xml:space="preserve"> </w:t>
      </w:r>
      <w:r>
        <w:rPr>
          <w:sz w:val="26"/>
        </w:rPr>
        <w:t>the</w:t>
      </w:r>
      <w:r>
        <w:rPr>
          <w:spacing w:val="-8"/>
          <w:sz w:val="26"/>
        </w:rPr>
        <w:t xml:space="preserve"> </w:t>
      </w:r>
      <w:r>
        <w:rPr>
          <w:sz w:val="26"/>
        </w:rPr>
        <w:t>Board</w:t>
      </w:r>
      <w:r>
        <w:rPr>
          <w:spacing w:val="-9"/>
          <w:sz w:val="26"/>
        </w:rPr>
        <w:t xml:space="preserve"> </w:t>
      </w:r>
      <w:r>
        <w:rPr>
          <w:sz w:val="26"/>
        </w:rPr>
        <w:t>under</w:t>
      </w:r>
      <w:r>
        <w:rPr>
          <w:spacing w:val="-8"/>
          <w:sz w:val="26"/>
        </w:rPr>
        <w:t xml:space="preserve"> </w:t>
      </w:r>
      <w:r>
        <w:rPr>
          <w:sz w:val="26"/>
        </w:rPr>
        <w:t>S</w:t>
      </w:r>
      <w:r>
        <w:rPr>
          <w:sz w:val="26"/>
        </w:rPr>
        <w:t>ection</w:t>
      </w:r>
      <w:r>
        <w:rPr>
          <w:spacing w:val="-7"/>
          <w:sz w:val="26"/>
        </w:rPr>
        <w:t xml:space="preserve"> </w:t>
      </w:r>
      <w:r>
        <w:rPr>
          <w:sz w:val="26"/>
        </w:rPr>
        <w:t>31</w:t>
      </w:r>
      <w:r>
        <w:rPr>
          <w:spacing w:val="-8"/>
          <w:sz w:val="26"/>
        </w:rPr>
        <w:t xml:space="preserve"> </w:t>
      </w:r>
      <w:r>
        <w:rPr>
          <w:sz w:val="26"/>
        </w:rPr>
        <w:t>of</w:t>
      </w:r>
      <w:r>
        <w:rPr>
          <w:spacing w:val="-7"/>
          <w:sz w:val="26"/>
        </w:rPr>
        <w:t xml:space="preserve"> </w:t>
      </w:r>
      <w:r>
        <w:rPr>
          <w:sz w:val="26"/>
        </w:rPr>
        <w:t>the</w:t>
      </w:r>
      <w:r>
        <w:rPr>
          <w:spacing w:val="-8"/>
          <w:sz w:val="26"/>
        </w:rPr>
        <w:t xml:space="preserve"> </w:t>
      </w:r>
      <w:r>
        <w:rPr>
          <w:sz w:val="26"/>
        </w:rPr>
        <w:t>Travancore- Cochin Hindu Religious Institutions Act 1950 (“</w:t>
      </w:r>
      <w:r>
        <w:rPr>
          <w:b/>
          <w:sz w:val="26"/>
        </w:rPr>
        <w:t>1950 Act</w:t>
      </w:r>
      <w:r>
        <w:rPr>
          <w:sz w:val="26"/>
        </w:rPr>
        <w:t>”). Section 31 of the 1950 Act</w:t>
      </w:r>
      <w:r>
        <w:rPr>
          <w:spacing w:val="-3"/>
          <w:sz w:val="26"/>
        </w:rPr>
        <w:t xml:space="preserve"> </w:t>
      </w:r>
      <w:r>
        <w:rPr>
          <w:sz w:val="26"/>
        </w:rPr>
        <w:t>reads:</w:t>
      </w:r>
    </w:p>
    <w:p w:rsidR="003B2FC0" w:rsidRDefault="00052A49">
      <w:pPr>
        <w:spacing w:before="199" w:line="276" w:lineRule="auto"/>
        <w:ind w:left="1840" w:right="2256"/>
        <w:jc w:val="both"/>
        <w:rPr>
          <w:sz w:val="21"/>
        </w:rPr>
      </w:pPr>
      <w:r>
        <w:rPr>
          <w:sz w:val="21"/>
        </w:rPr>
        <w:t>“Management</w:t>
      </w:r>
      <w:r>
        <w:rPr>
          <w:spacing w:val="-9"/>
          <w:sz w:val="21"/>
        </w:rPr>
        <w:t xml:space="preserve"> </w:t>
      </w:r>
      <w:r>
        <w:rPr>
          <w:sz w:val="21"/>
        </w:rPr>
        <w:t>of</w:t>
      </w:r>
      <w:r>
        <w:rPr>
          <w:spacing w:val="-7"/>
          <w:sz w:val="21"/>
        </w:rPr>
        <w:t xml:space="preserve"> </w:t>
      </w:r>
      <w:r>
        <w:rPr>
          <w:sz w:val="21"/>
        </w:rPr>
        <w:t>Devaswoms.-</w:t>
      </w:r>
      <w:r>
        <w:rPr>
          <w:spacing w:val="-9"/>
          <w:sz w:val="21"/>
        </w:rPr>
        <w:t xml:space="preserve"> </w:t>
      </w:r>
      <w:r>
        <w:rPr>
          <w:sz w:val="21"/>
        </w:rPr>
        <w:t>Subject</w:t>
      </w:r>
      <w:r>
        <w:rPr>
          <w:spacing w:val="-9"/>
          <w:sz w:val="21"/>
        </w:rPr>
        <w:t xml:space="preserve"> </w:t>
      </w:r>
      <w:r>
        <w:rPr>
          <w:sz w:val="21"/>
        </w:rPr>
        <w:t>to</w:t>
      </w:r>
      <w:r>
        <w:rPr>
          <w:spacing w:val="-8"/>
          <w:sz w:val="21"/>
        </w:rPr>
        <w:t xml:space="preserve"> </w:t>
      </w:r>
      <w:r>
        <w:rPr>
          <w:sz w:val="21"/>
        </w:rPr>
        <w:t>the</w:t>
      </w:r>
      <w:r>
        <w:rPr>
          <w:spacing w:val="-8"/>
          <w:sz w:val="21"/>
        </w:rPr>
        <w:t xml:space="preserve"> </w:t>
      </w:r>
      <w:r>
        <w:rPr>
          <w:sz w:val="21"/>
        </w:rPr>
        <w:t>provisions</w:t>
      </w:r>
      <w:r>
        <w:rPr>
          <w:spacing w:val="-8"/>
          <w:sz w:val="21"/>
        </w:rPr>
        <w:t xml:space="preserve"> </w:t>
      </w:r>
      <w:r>
        <w:rPr>
          <w:sz w:val="21"/>
        </w:rPr>
        <w:t>of</w:t>
      </w:r>
      <w:r>
        <w:rPr>
          <w:spacing w:val="-7"/>
          <w:sz w:val="21"/>
        </w:rPr>
        <w:t xml:space="preserve"> </w:t>
      </w:r>
      <w:r>
        <w:rPr>
          <w:sz w:val="21"/>
        </w:rPr>
        <w:t>this Part and the rules made thereunder the Board shall manage the</w:t>
      </w:r>
      <w:r>
        <w:rPr>
          <w:spacing w:val="-11"/>
          <w:sz w:val="21"/>
        </w:rPr>
        <w:t xml:space="preserve"> </w:t>
      </w:r>
      <w:r>
        <w:rPr>
          <w:sz w:val="21"/>
        </w:rPr>
        <w:t>properties</w:t>
      </w:r>
      <w:r>
        <w:rPr>
          <w:spacing w:val="-11"/>
          <w:sz w:val="21"/>
        </w:rPr>
        <w:t xml:space="preserve"> </w:t>
      </w:r>
      <w:r>
        <w:rPr>
          <w:sz w:val="21"/>
        </w:rPr>
        <w:t>and</w:t>
      </w:r>
      <w:r>
        <w:rPr>
          <w:spacing w:val="-12"/>
          <w:sz w:val="21"/>
        </w:rPr>
        <w:t xml:space="preserve"> </w:t>
      </w:r>
      <w:r>
        <w:rPr>
          <w:sz w:val="21"/>
        </w:rPr>
        <w:t>affairs</w:t>
      </w:r>
      <w:r>
        <w:rPr>
          <w:spacing w:val="-11"/>
          <w:sz w:val="21"/>
        </w:rPr>
        <w:t xml:space="preserve"> </w:t>
      </w:r>
      <w:r>
        <w:rPr>
          <w:sz w:val="21"/>
        </w:rPr>
        <w:t>of</w:t>
      </w:r>
      <w:r>
        <w:rPr>
          <w:spacing w:val="-11"/>
          <w:sz w:val="21"/>
        </w:rPr>
        <w:t xml:space="preserve"> </w:t>
      </w:r>
      <w:r>
        <w:rPr>
          <w:sz w:val="21"/>
        </w:rPr>
        <w:t>the</w:t>
      </w:r>
      <w:r>
        <w:rPr>
          <w:spacing w:val="-10"/>
          <w:sz w:val="21"/>
        </w:rPr>
        <w:t xml:space="preserve"> </w:t>
      </w:r>
      <w:r>
        <w:rPr>
          <w:sz w:val="21"/>
        </w:rPr>
        <w:t>Devaswoms,</w:t>
      </w:r>
      <w:r>
        <w:rPr>
          <w:spacing w:val="-13"/>
          <w:sz w:val="21"/>
        </w:rPr>
        <w:t xml:space="preserve"> </w:t>
      </w:r>
      <w:r>
        <w:rPr>
          <w:sz w:val="21"/>
        </w:rPr>
        <w:t>both</w:t>
      </w:r>
      <w:r>
        <w:rPr>
          <w:spacing w:val="-11"/>
          <w:sz w:val="21"/>
        </w:rPr>
        <w:t xml:space="preserve"> </w:t>
      </w:r>
      <w:r>
        <w:rPr>
          <w:sz w:val="21"/>
        </w:rPr>
        <w:t>incorporated and</w:t>
      </w:r>
      <w:r>
        <w:rPr>
          <w:spacing w:val="-10"/>
          <w:sz w:val="21"/>
        </w:rPr>
        <w:t xml:space="preserve"> </w:t>
      </w:r>
      <w:r>
        <w:rPr>
          <w:sz w:val="21"/>
        </w:rPr>
        <w:t>unincorporated,</w:t>
      </w:r>
      <w:r>
        <w:rPr>
          <w:spacing w:val="-12"/>
          <w:sz w:val="21"/>
        </w:rPr>
        <w:t xml:space="preserve"> </w:t>
      </w:r>
      <w:r>
        <w:rPr>
          <w:sz w:val="21"/>
        </w:rPr>
        <w:t>as</w:t>
      </w:r>
      <w:r>
        <w:rPr>
          <w:spacing w:val="-11"/>
          <w:sz w:val="21"/>
        </w:rPr>
        <w:t xml:space="preserve"> </w:t>
      </w:r>
      <w:r>
        <w:rPr>
          <w:sz w:val="21"/>
        </w:rPr>
        <w:t>heretofore,</w:t>
      </w:r>
      <w:r>
        <w:rPr>
          <w:spacing w:val="-12"/>
          <w:sz w:val="21"/>
        </w:rPr>
        <w:t xml:space="preserve"> </w:t>
      </w:r>
      <w:r>
        <w:rPr>
          <w:sz w:val="21"/>
        </w:rPr>
        <w:t>and</w:t>
      </w:r>
      <w:r>
        <w:rPr>
          <w:spacing w:val="-11"/>
          <w:sz w:val="21"/>
        </w:rPr>
        <w:t xml:space="preserve"> </w:t>
      </w:r>
      <w:r>
        <w:rPr>
          <w:sz w:val="21"/>
        </w:rPr>
        <w:t>arrange</w:t>
      </w:r>
      <w:r>
        <w:rPr>
          <w:spacing w:val="-10"/>
          <w:sz w:val="21"/>
        </w:rPr>
        <w:t xml:space="preserve"> </w:t>
      </w:r>
      <w:r>
        <w:rPr>
          <w:sz w:val="21"/>
        </w:rPr>
        <w:t>for</w:t>
      </w:r>
      <w:r>
        <w:rPr>
          <w:spacing w:val="-11"/>
          <w:sz w:val="21"/>
        </w:rPr>
        <w:t xml:space="preserve"> </w:t>
      </w:r>
      <w:r>
        <w:rPr>
          <w:sz w:val="21"/>
        </w:rPr>
        <w:t>the</w:t>
      </w:r>
      <w:r>
        <w:rPr>
          <w:spacing w:val="-10"/>
          <w:sz w:val="21"/>
        </w:rPr>
        <w:t xml:space="preserve"> </w:t>
      </w:r>
      <w:r>
        <w:rPr>
          <w:sz w:val="21"/>
        </w:rPr>
        <w:t>conduct of the daily worship and ceremonies and of the festivals in every temple according to its</w:t>
      </w:r>
      <w:r>
        <w:rPr>
          <w:spacing w:val="-11"/>
          <w:sz w:val="21"/>
        </w:rPr>
        <w:t xml:space="preserve"> </w:t>
      </w:r>
      <w:r>
        <w:rPr>
          <w:sz w:val="21"/>
        </w:rPr>
        <w:t>usage.”</w:t>
      </w:r>
    </w:p>
    <w:p w:rsidR="003B2FC0" w:rsidRDefault="003B2FC0">
      <w:pPr>
        <w:rPr>
          <w:sz w:val="24"/>
        </w:rPr>
      </w:pPr>
    </w:p>
    <w:p w:rsidR="003B2FC0" w:rsidRDefault="003B2FC0">
      <w:pPr>
        <w:spacing w:before="1"/>
        <w:rPr>
          <w:sz w:val="35"/>
        </w:rPr>
      </w:pPr>
    </w:p>
    <w:p w:rsidR="003B2FC0" w:rsidRDefault="00052A49">
      <w:pPr>
        <w:spacing w:line="480" w:lineRule="auto"/>
        <w:ind w:left="400" w:right="441"/>
        <w:jc w:val="both"/>
        <w:rPr>
          <w:sz w:val="26"/>
        </w:rPr>
      </w:pPr>
      <w:r>
        <w:rPr>
          <w:sz w:val="26"/>
        </w:rPr>
        <w:t xml:space="preserve">Both the notifications dated 21 October 1955 </w:t>
      </w:r>
      <w:r>
        <w:rPr>
          <w:sz w:val="26"/>
        </w:rPr>
        <w:t>and 27 November 1956 have the same effect, which is the total prohibition on the entry of women between the ages of ten and fifty into the Sabarimala temple. According to the notifications, the entry of women between the ages of ten and fifty is in contrav</w:t>
      </w:r>
      <w:r>
        <w:rPr>
          <w:sz w:val="26"/>
        </w:rPr>
        <w:t>ention of the customs and practice of the temple.</w:t>
      </w:r>
    </w:p>
    <w:p w:rsidR="003B2FC0" w:rsidRDefault="00052A49">
      <w:pPr>
        <w:spacing w:before="201" w:line="480" w:lineRule="auto"/>
        <w:ind w:left="400" w:right="443"/>
        <w:jc w:val="both"/>
        <w:rPr>
          <w:sz w:val="26"/>
        </w:rPr>
      </w:pPr>
      <w:r>
        <w:rPr>
          <w:sz w:val="26"/>
        </w:rPr>
        <w:t>Section 3 throws open places of public worship to all sections and classes of Hindus:</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61"/>
        <w:jc w:val="both"/>
        <w:rPr>
          <w:sz w:val="21"/>
        </w:rPr>
      </w:pPr>
      <w:r>
        <w:rPr>
          <w:sz w:val="21"/>
        </w:rPr>
        <w:t>“3. Places of public worship to be open to all sections and classes of Hindus –</w:t>
      </w:r>
    </w:p>
    <w:p w:rsidR="003B2FC0" w:rsidRDefault="00052A49">
      <w:pPr>
        <w:spacing w:before="201" w:line="276" w:lineRule="auto"/>
        <w:ind w:left="1840" w:right="2256"/>
        <w:jc w:val="both"/>
        <w:rPr>
          <w:sz w:val="21"/>
        </w:rPr>
      </w:pPr>
      <w:r>
        <w:rPr>
          <w:b/>
          <w:sz w:val="21"/>
        </w:rPr>
        <w:t>Notwithstanding</w:t>
      </w:r>
      <w:r>
        <w:rPr>
          <w:b/>
          <w:spacing w:val="-6"/>
          <w:sz w:val="21"/>
        </w:rPr>
        <w:t xml:space="preserve"> </w:t>
      </w:r>
      <w:r>
        <w:rPr>
          <w:b/>
          <w:sz w:val="21"/>
        </w:rPr>
        <w:t>anything</w:t>
      </w:r>
      <w:r>
        <w:rPr>
          <w:b/>
          <w:spacing w:val="-6"/>
          <w:sz w:val="21"/>
        </w:rPr>
        <w:t xml:space="preserve"> </w:t>
      </w:r>
      <w:r>
        <w:rPr>
          <w:b/>
          <w:sz w:val="21"/>
        </w:rPr>
        <w:t>to</w:t>
      </w:r>
      <w:r>
        <w:rPr>
          <w:b/>
          <w:spacing w:val="-5"/>
          <w:sz w:val="21"/>
        </w:rPr>
        <w:t xml:space="preserve"> </w:t>
      </w:r>
      <w:r>
        <w:rPr>
          <w:b/>
          <w:sz w:val="21"/>
        </w:rPr>
        <w:t>the</w:t>
      </w:r>
      <w:r>
        <w:rPr>
          <w:b/>
          <w:spacing w:val="-7"/>
          <w:sz w:val="21"/>
        </w:rPr>
        <w:t xml:space="preserve"> </w:t>
      </w:r>
      <w:r>
        <w:rPr>
          <w:b/>
          <w:sz w:val="21"/>
        </w:rPr>
        <w:t>contrary</w:t>
      </w:r>
      <w:r>
        <w:rPr>
          <w:b/>
          <w:spacing w:val="-11"/>
          <w:sz w:val="21"/>
        </w:rPr>
        <w:t xml:space="preserve"> </w:t>
      </w:r>
      <w:r>
        <w:rPr>
          <w:b/>
          <w:sz w:val="21"/>
        </w:rPr>
        <w:t>contained</w:t>
      </w:r>
      <w:r>
        <w:rPr>
          <w:b/>
          <w:spacing w:val="-7"/>
          <w:sz w:val="21"/>
        </w:rPr>
        <w:t xml:space="preserve"> </w:t>
      </w:r>
      <w:r>
        <w:rPr>
          <w:b/>
          <w:sz w:val="21"/>
        </w:rPr>
        <w:t>in</w:t>
      </w:r>
      <w:r>
        <w:rPr>
          <w:b/>
          <w:spacing w:val="-5"/>
          <w:sz w:val="21"/>
        </w:rPr>
        <w:t xml:space="preserve"> </w:t>
      </w:r>
      <w:r>
        <w:rPr>
          <w:b/>
          <w:sz w:val="21"/>
        </w:rPr>
        <w:t xml:space="preserve">any other law for the time being in force or any custom or usage or any instrument having effect by virtue of any such law </w:t>
      </w:r>
      <w:r>
        <w:rPr>
          <w:sz w:val="21"/>
        </w:rPr>
        <w:t>or any</w:t>
      </w:r>
      <w:r>
        <w:rPr>
          <w:spacing w:val="-43"/>
          <w:sz w:val="21"/>
        </w:rPr>
        <w:t xml:space="preserve"> </w:t>
      </w:r>
      <w:r>
        <w:rPr>
          <w:sz w:val="21"/>
        </w:rPr>
        <w:t>decree or order of court, every place of public worship which is open to Hindus generally or to any section or class thereof, shall be open to all sections and classes of Hindus; and no Hindu of whatsoever section or class shall, in any manner, be prevente</w:t>
      </w:r>
      <w:r>
        <w:rPr>
          <w:sz w:val="21"/>
        </w:rPr>
        <w:t>d, obstructed or discouraged from entering such place of public worship, or from worshipping or offering prayers thereat, or performing any religious service therein, in the like manner and to the like extent as any other Hindu of whatsoever section or cla</w:t>
      </w:r>
      <w:r>
        <w:rPr>
          <w:sz w:val="21"/>
        </w:rPr>
        <w:t>ss may so enter, worship, pray or</w:t>
      </w:r>
      <w:r>
        <w:rPr>
          <w:spacing w:val="-6"/>
          <w:sz w:val="21"/>
        </w:rPr>
        <w:t xml:space="preserve"> </w:t>
      </w:r>
      <w:r>
        <w:rPr>
          <w:sz w:val="21"/>
        </w:rPr>
        <w:t>perform:</w:t>
      </w:r>
    </w:p>
    <w:p w:rsidR="003B2FC0" w:rsidRDefault="00052A49">
      <w:pPr>
        <w:spacing w:before="199" w:line="276" w:lineRule="auto"/>
        <w:ind w:left="1840" w:right="2259"/>
        <w:jc w:val="both"/>
        <w:rPr>
          <w:sz w:val="21"/>
        </w:rPr>
      </w:pPr>
      <w:r>
        <w:rPr>
          <w:sz w:val="21"/>
        </w:rPr>
        <w:t>Provided that in the case of a place of public worship which is a temple founded for the benefit of any religious denomination or</w:t>
      </w:r>
      <w:r>
        <w:rPr>
          <w:spacing w:val="-13"/>
          <w:sz w:val="21"/>
        </w:rPr>
        <w:t xml:space="preserve"> </w:t>
      </w:r>
      <w:r>
        <w:rPr>
          <w:sz w:val="21"/>
        </w:rPr>
        <w:t>section</w:t>
      </w:r>
      <w:r>
        <w:rPr>
          <w:spacing w:val="-12"/>
          <w:sz w:val="21"/>
        </w:rPr>
        <w:t xml:space="preserve"> </w:t>
      </w:r>
      <w:r>
        <w:rPr>
          <w:sz w:val="21"/>
        </w:rPr>
        <w:t>thereof,</w:t>
      </w:r>
      <w:r>
        <w:rPr>
          <w:spacing w:val="-13"/>
          <w:sz w:val="21"/>
        </w:rPr>
        <w:t xml:space="preserve"> </w:t>
      </w:r>
      <w:r>
        <w:rPr>
          <w:sz w:val="21"/>
        </w:rPr>
        <w:t>the</w:t>
      </w:r>
      <w:r>
        <w:rPr>
          <w:spacing w:val="-11"/>
          <w:sz w:val="21"/>
        </w:rPr>
        <w:t xml:space="preserve"> </w:t>
      </w:r>
      <w:r>
        <w:rPr>
          <w:sz w:val="21"/>
        </w:rPr>
        <w:t>provisions</w:t>
      </w:r>
      <w:r>
        <w:rPr>
          <w:spacing w:val="-12"/>
          <w:sz w:val="21"/>
        </w:rPr>
        <w:t xml:space="preserve"> </w:t>
      </w:r>
      <w:r>
        <w:rPr>
          <w:sz w:val="21"/>
        </w:rPr>
        <w:t>of</w:t>
      </w:r>
      <w:r>
        <w:rPr>
          <w:spacing w:val="-11"/>
          <w:sz w:val="21"/>
        </w:rPr>
        <w:t xml:space="preserve"> </w:t>
      </w:r>
      <w:r>
        <w:rPr>
          <w:sz w:val="21"/>
        </w:rPr>
        <w:t>this</w:t>
      </w:r>
      <w:r>
        <w:rPr>
          <w:spacing w:val="-12"/>
          <w:sz w:val="21"/>
        </w:rPr>
        <w:t xml:space="preserve"> </w:t>
      </w:r>
      <w:r>
        <w:rPr>
          <w:sz w:val="21"/>
        </w:rPr>
        <w:t>section</w:t>
      </w:r>
      <w:r>
        <w:rPr>
          <w:spacing w:val="-12"/>
          <w:sz w:val="21"/>
        </w:rPr>
        <w:t xml:space="preserve"> </w:t>
      </w:r>
      <w:r>
        <w:rPr>
          <w:sz w:val="21"/>
        </w:rPr>
        <w:t>shall</w:t>
      </w:r>
      <w:r>
        <w:rPr>
          <w:spacing w:val="-13"/>
          <w:sz w:val="21"/>
        </w:rPr>
        <w:t xml:space="preserve"> </w:t>
      </w:r>
      <w:r>
        <w:rPr>
          <w:sz w:val="21"/>
        </w:rPr>
        <w:t>be</w:t>
      </w:r>
      <w:r>
        <w:rPr>
          <w:spacing w:val="-11"/>
          <w:sz w:val="21"/>
        </w:rPr>
        <w:t xml:space="preserve"> </w:t>
      </w:r>
      <w:r>
        <w:rPr>
          <w:sz w:val="21"/>
        </w:rPr>
        <w:t>subject to the right of th</w:t>
      </w:r>
      <w:r>
        <w:rPr>
          <w:sz w:val="21"/>
        </w:rPr>
        <w:t>at religious denomination or section, as the case may be, to manage its own affairs in matters of religion.” (Emphasis</w:t>
      </w:r>
      <w:r>
        <w:rPr>
          <w:spacing w:val="-2"/>
          <w:sz w:val="21"/>
        </w:rPr>
        <w:t xml:space="preserve"> </w:t>
      </w:r>
      <w:r>
        <w:rPr>
          <w:sz w:val="21"/>
        </w:rPr>
        <w:t>supplied)</w:t>
      </w:r>
    </w:p>
    <w:p w:rsidR="003B2FC0" w:rsidRDefault="003B2FC0">
      <w:pPr>
        <w:rPr>
          <w:sz w:val="24"/>
        </w:rPr>
      </w:pPr>
    </w:p>
    <w:p w:rsidR="003B2FC0" w:rsidRDefault="003B2FC0">
      <w:pPr>
        <w:spacing w:before="1"/>
        <w:rPr>
          <w:sz w:val="35"/>
        </w:rPr>
      </w:pPr>
    </w:p>
    <w:p w:rsidR="003B2FC0" w:rsidRDefault="00052A49">
      <w:pPr>
        <w:spacing w:before="1" w:line="480" w:lineRule="auto"/>
        <w:ind w:left="400" w:right="434"/>
        <w:jc w:val="both"/>
        <w:rPr>
          <w:sz w:val="26"/>
        </w:rPr>
      </w:pPr>
      <w:r>
        <w:rPr>
          <w:sz w:val="26"/>
        </w:rPr>
        <w:t>Section 3 begins with a non-obstante clause, which overrides any custom or usage or any instrument having effect by virtue of</w:t>
      </w:r>
      <w:r>
        <w:rPr>
          <w:sz w:val="26"/>
        </w:rPr>
        <w:t xml:space="preserve"> any such law. Every place of public worship, which is open to Hindus or to any section or class of Hindus generally, shall be open to all sections and classes of Hindus. No Hindu of any section</w:t>
      </w:r>
      <w:r>
        <w:rPr>
          <w:spacing w:val="-17"/>
          <w:sz w:val="26"/>
        </w:rPr>
        <w:t xml:space="preserve"> </w:t>
      </w:r>
      <w:r>
        <w:rPr>
          <w:sz w:val="26"/>
        </w:rPr>
        <w:t>or</w:t>
      </w:r>
      <w:r>
        <w:rPr>
          <w:spacing w:val="-17"/>
          <w:sz w:val="26"/>
        </w:rPr>
        <w:t xml:space="preserve"> </w:t>
      </w:r>
      <w:r>
        <w:rPr>
          <w:sz w:val="26"/>
        </w:rPr>
        <w:t>class</w:t>
      </w:r>
      <w:r>
        <w:rPr>
          <w:spacing w:val="-15"/>
          <w:sz w:val="26"/>
        </w:rPr>
        <w:t xml:space="preserve"> </w:t>
      </w:r>
      <w:r>
        <w:rPr>
          <w:sz w:val="26"/>
        </w:rPr>
        <w:t>whatsoever,</w:t>
      </w:r>
      <w:r>
        <w:rPr>
          <w:spacing w:val="-17"/>
          <w:sz w:val="26"/>
        </w:rPr>
        <w:t xml:space="preserve"> </w:t>
      </w:r>
      <w:r>
        <w:rPr>
          <w:sz w:val="26"/>
        </w:rPr>
        <w:t>shall</w:t>
      </w:r>
      <w:r>
        <w:rPr>
          <w:spacing w:val="-17"/>
          <w:sz w:val="26"/>
        </w:rPr>
        <w:t xml:space="preserve"> </w:t>
      </w:r>
      <w:r>
        <w:rPr>
          <w:sz w:val="26"/>
        </w:rPr>
        <w:t>be</w:t>
      </w:r>
      <w:r>
        <w:rPr>
          <w:spacing w:val="-17"/>
          <w:sz w:val="26"/>
        </w:rPr>
        <w:t xml:space="preserve"> </w:t>
      </w:r>
      <w:r>
        <w:rPr>
          <w:sz w:val="26"/>
        </w:rPr>
        <w:t>prevented,</w:t>
      </w:r>
      <w:r>
        <w:rPr>
          <w:spacing w:val="-18"/>
          <w:sz w:val="26"/>
        </w:rPr>
        <w:t xml:space="preserve"> </w:t>
      </w:r>
      <w:r>
        <w:rPr>
          <w:sz w:val="26"/>
        </w:rPr>
        <w:t>obstructed</w:t>
      </w:r>
      <w:r>
        <w:rPr>
          <w:spacing w:val="-17"/>
          <w:sz w:val="26"/>
        </w:rPr>
        <w:t xml:space="preserve"> </w:t>
      </w:r>
      <w:r>
        <w:rPr>
          <w:sz w:val="26"/>
        </w:rPr>
        <w:t>or</w:t>
      </w:r>
      <w:r>
        <w:rPr>
          <w:spacing w:val="-17"/>
          <w:sz w:val="26"/>
        </w:rPr>
        <w:t xml:space="preserve"> </w:t>
      </w:r>
      <w:r>
        <w:rPr>
          <w:sz w:val="26"/>
        </w:rPr>
        <w:t>discou</w:t>
      </w:r>
      <w:r>
        <w:rPr>
          <w:sz w:val="26"/>
        </w:rPr>
        <w:t>raged</w:t>
      </w:r>
      <w:r>
        <w:rPr>
          <w:spacing w:val="-18"/>
          <w:sz w:val="26"/>
        </w:rPr>
        <w:t xml:space="preserve"> </w:t>
      </w:r>
      <w:r>
        <w:rPr>
          <w:sz w:val="26"/>
        </w:rPr>
        <w:t>from entering a place of public worship or from worshipping or offering prayers or performing any religious service in that place of public worship. Hence, all places of public worship which are open to Hindus or to any section or class of Hindus gen</w:t>
      </w:r>
      <w:r>
        <w:rPr>
          <w:sz w:val="26"/>
        </w:rPr>
        <w:t>erally have to be open to all sections and classes of Hindus (including women). Hindu women constitute a ‘section or class’ under Section 2(c).</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8"/>
        <w:jc w:val="both"/>
        <w:rPr>
          <w:sz w:val="26"/>
        </w:rPr>
      </w:pPr>
      <w:r>
        <w:rPr>
          <w:sz w:val="26"/>
        </w:rPr>
        <w:t>The proviso to Section 3 creates an exception by providing that if the place of public worship is a temple which is founded for the benefit of any religious denomination or section thereof, Section 3 would be subject to the right of that religious</w:t>
      </w:r>
      <w:r>
        <w:rPr>
          <w:spacing w:val="-17"/>
          <w:sz w:val="26"/>
        </w:rPr>
        <w:t xml:space="preserve"> </w:t>
      </w:r>
      <w:r>
        <w:rPr>
          <w:sz w:val="26"/>
        </w:rPr>
        <w:t>denomina</w:t>
      </w:r>
      <w:r>
        <w:rPr>
          <w:sz w:val="26"/>
        </w:rPr>
        <w:t>tion</w:t>
      </w:r>
      <w:r>
        <w:rPr>
          <w:spacing w:val="-19"/>
          <w:sz w:val="26"/>
        </w:rPr>
        <w:t xml:space="preserve"> </w:t>
      </w:r>
      <w:r>
        <w:rPr>
          <w:sz w:val="26"/>
        </w:rPr>
        <w:t>or</w:t>
      </w:r>
      <w:r>
        <w:rPr>
          <w:spacing w:val="-19"/>
          <w:sz w:val="26"/>
        </w:rPr>
        <w:t xml:space="preserve"> </w:t>
      </w:r>
      <w:r>
        <w:rPr>
          <w:sz w:val="26"/>
        </w:rPr>
        <w:t>section</w:t>
      </w:r>
      <w:r>
        <w:rPr>
          <w:spacing w:val="-16"/>
          <w:sz w:val="26"/>
        </w:rPr>
        <w:t xml:space="preserve"> </w:t>
      </w:r>
      <w:r>
        <w:rPr>
          <w:sz w:val="26"/>
        </w:rPr>
        <w:t>to</w:t>
      </w:r>
      <w:r>
        <w:rPr>
          <w:spacing w:val="-19"/>
          <w:sz w:val="26"/>
        </w:rPr>
        <w:t xml:space="preserve"> </w:t>
      </w:r>
      <w:r>
        <w:rPr>
          <w:sz w:val="26"/>
        </w:rPr>
        <w:t>manage</w:t>
      </w:r>
      <w:r>
        <w:rPr>
          <w:spacing w:val="-19"/>
          <w:sz w:val="26"/>
        </w:rPr>
        <w:t xml:space="preserve"> </w:t>
      </w:r>
      <w:r>
        <w:rPr>
          <w:sz w:val="26"/>
        </w:rPr>
        <w:t>its</w:t>
      </w:r>
      <w:r>
        <w:rPr>
          <w:spacing w:val="-19"/>
          <w:sz w:val="26"/>
        </w:rPr>
        <w:t xml:space="preserve"> </w:t>
      </w:r>
      <w:r>
        <w:rPr>
          <w:sz w:val="26"/>
        </w:rPr>
        <w:t>own</w:t>
      </w:r>
      <w:r>
        <w:rPr>
          <w:spacing w:val="-18"/>
          <w:sz w:val="26"/>
        </w:rPr>
        <w:t xml:space="preserve"> </w:t>
      </w:r>
      <w:r>
        <w:rPr>
          <w:sz w:val="26"/>
        </w:rPr>
        <w:t>affairs</w:t>
      </w:r>
      <w:r>
        <w:rPr>
          <w:spacing w:val="-19"/>
          <w:sz w:val="26"/>
        </w:rPr>
        <w:t xml:space="preserve"> </w:t>
      </w:r>
      <w:r>
        <w:rPr>
          <w:sz w:val="26"/>
        </w:rPr>
        <w:t>in</w:t>
      </w:r>
      <w:r>
        <w:rPr>
          <w:spacing w:val="-17"/>
          <w:sz w:val="26"/>
        </w:rPr>
        <w:t xml:space="preserve"> </w:t>
      </w:r>
      <w:r>
        <w:rPr>
          <w:sz w:val="26"/>
        </w:rPr>
        <w:t>matters</w:t>
      </w:r>
      <w:r>
        <w:rPr>
          <w:spacing w:val="-18"/>
          <w:sz w:val="26"/>
        </w:rPr>
        <w:t xml:space="preserve"> </w:t>
      </w:r>
      <w:r>
        <w:rPr>
          <w:sz w:val="26"/>
        </w:rPr>
        <w:t>of</w:t>
      </w:r>
      <w:r>
        <w:rPr>
          <w:spacing w:val="-17"/>
          <w:sz w:val="26"/>
        </w:rPr>
        <w:t xml:space="preserve"> </w:t>
      </w:r>
      <w:r>
        <w:rPr>
          <w:sz w:val="26"/>
        </w:rPr>
        <w:t>religion. The proviso recognises the entitlement of a religious denomination to manage its</w:t>
      </w:r>
      <w:r>
        <w:rPr>
          <w:spacing w:val="-7"/>
          <w:sz w:val="26"/>
        </w:rPr>
        <w:t xml:space="preserve"> </w:t>
      </w:r>
      <w:r>
        <w:rPr>
          <w:sz w:val="26"/>
        </w:rPr>
        <w:t>own</w:t>
      </w:r>
      <w:r>
        <w:rPr>
          <w:spacing w:val="-7"/>
          <w:sz w:val="26"/>
        </w:rPr>
        <w:t xml:space="preserve"> </w:t>
      </w:r>
      <w:r>
        <w:rPr>
          <w:sz w:val="26"/>
        </w:rPr>
        <w:t>affairs</w:t>
      </w:r>
      <w:r>
        <w:rPr>
          <w:spacing w:val="-6"/>
          <w:sz w:val="26"/>
        </w:rPr>
        <w:t xml:space="preserve"> </w:t>
      </w:r>
      <w:r>
        <w:rPr>
          <w:sz w:val="26"/>
        </w:rPr>
        <w:t>in</w:t>
      </w:r>
      <w:r>
        <w:rPr>
          <w:spacing w:val="-7"/>
          <w:sz w:val="26"/>
        </w:rPr>
        <w:t xml:space="preserve"> </w:t>
      </w:r>
      <w:r>
        <w:rPr>
          <w:sz w:val="26"/>
        </w:rPr>
        <w:t>matters</w:t>
      </w:r>
      <w:r>
        <w:rPr>
          <w:spacing w:val="-7"/>
          <w:sz w:val="26"/>
        </w:rPr>
        <w:t xml:space="preserve"> </w:t>
      </w:r>
      <w:r>
        <w:rPr>
          <w:sz w:val="26"/>
        </w:rPr>
        <w:t>of</w:t>
      </w:r>
      <w:r>
        <w:rPr>
          <w:spacing w:val="-6"/>
          <w:sz w:val="26"/>
        </w:rPr>
        <w:t xml:space="preserve"> </w:t>
      </w:r>
      <w:r>
        <w:rPr>
          <w:sz w:val="26"/>
        </w:rPr>
        <w:t>religion.</w:t>
      </w:r>
      <w:r>
        <w:rPr>
          <w:spacing w:val="-5"/>
          <w:sz w:val="26"/>
        </w:rPr>
        <w:t xml:space="preserve"> </w:t>
      </w:r>
      <w:r>
        <w:rPr>
          <w:sz w:val="26"/>
        </w:rPr>
        <w:t>However,</w:t>
      </w:r>
      <w:r>
        <w:rPr>
          <w:spacing w:val="-7"/>
          <w:sz w:val="26"/>
        </w:rPr>
        <w:t xml:space="preserve"> </w:t>
      </w:r>
      <w:r>
        <w:rPr>
          <w:sz w:val="26"/>
        </w:rPr>
        <w:t>the</w:t>
      </w:r>
      <w:r>
        <w:rPr>
          <w:spacing w:val="-4"/>
          <w:sz w:val="26"/>
        </w:rPr>
        <w:t xml:space="preserve"> </w:t>
      </w:r>
      <w:r>
        <w:rPr>
          <w:sz w:val="26"/>
        </w:rPr>
        <w:t>proviso</w:t>
      </w:r>
      <w:r>
        <w:rPr>
          <w:spacing w:val="-7"/>
          <w:sz w:val="26"/>
        </w:rPr>
        <w:t xml:space="preserve"> </w:t>
      </w:r>
      <w:r>
        <w:rPr>
          <w:sz w:val="26"/>
        </w:rPr>
        <w:t>is</w:t>
      </w:r>
      <w:r>
        <w:rPr>
          <w:spacing w:val="-6"/>
          <w:sz w:val="26"/>
        </w:rPr>
        <w:t xml:space="preserve"> </w:t>
      </w:r>
      <w:r>
        <w:rPr>
          <w:sz w:val="26"/>
        </w:rPr>
        <w:t>attracted</w:t>
      </w:r>
      <w:r>
        <w:rPr>
          <w:spacing w:val="-7"/>
          <w:sz w:val="26"/>
        </w:rPr>
        <w:t xml:space="preserve"> </w:t>
      </w:r>
      <w:r>
        <w:rPr>
          <w:sz w:val="26"/>
        </w:rPr>
        <w:t>only</w:t>
      </w:r>
      <w:r>
        <w:rPr>
          <w:spacing w:val="-9"/>
          <w:sz w:val="26"/>
        </w:rPr>
        <w:t xml:space="preserve"> </w:t>
      </w:r>
      <w:r>
        <w:rPr>
          <w:sz w:val="26"/>
        </w:rPr>
        <w:t>if</w:t>
      </w:r>
      <w:r>
        <w:rPr>
          <w:spacing w:val="-6"/>
          <w:sz w:val="26"/>
        </w:rPr>
        <w:t xml:space="preserve"> </w:t>
      </w:r>
      <w:r>
        <w:rPr>
          <w:sz w:val="26"/>
        </w:rPr>
        <w:t>the following conditions are</w:t>
      </w:r>
      <w:r>
        <w:rPr>
          <w:spacing w:val="-2"/>
          <w:sz w:val="26"/>
        </w:rPr>
        <w:t xml:space="preserve"> </w:t>
      </w:r>
      <w:r>
        <w:rPr>
          <w:sz w:val="26"/>
        </w:rPr>
        <w:t>sa</w:t>
      </w:r>
      <w:r>
        <w:rPr>
          <w:sz w:val="26"/>
        </w:rPr>
        <w:t>tisfied:</w:t>
      </w:r>
    </w:p>
    <w:p w:rsidR="003B2FC0" w:rsidRDefault="00052A49">
      <w:pPr>
        <w:pStyle w:val="ListParagraph"/>
        <w:numPr>
          <w:ilvl w:val="0"/>
          <w:numId w:val="18"/>
        </w:numPr>
        <w:tabs>
          <w:tab w:val="left" w:pos="761"/>
        </w:tabs>
        <w:spacing w:before="200"/>
        <w:rPr>
          <w:sz w:val="26"/>
        </w:rPr>
      </w:pPr>
      <w:r>
        <w:rPr>
          <w:sz w:val="26"/>
        </w:rPr>
        <w:t>The place of public worship is a temple; and</w:t>
      </w:r>
    </w:p>
    <w:p w:rsidR="003B2FC0" w:rsidRDefault="003B2FC0">
      <w:pPr>
        <w:spacing w:before="11"/>
        <w:rPr>
          <w:sz w:val="25"/>
        </w:rPr>
      </w:pPr>
    </w:p>
    <w:p w:rsidR="003B2FC0" w:rsidRDefault="00052A49">
      <w:pPr>
        <w:pStyle w:val="ListParagraph"/>
        <w:numPr>
          <w:ilvl w:val="0"/>
          <w:numId w:val="18"/>
        </w:numPr>
        <w:tabs>
          <w:tab w:val="left" w:pos="761"/>
        </w:tabs>
        <w:spacing w:line="482" w:lineRule="auto"/>
        <w:ind w:right="440"/>
        <w:rPr>
          <w:sz w:val="26"/>
        </w:rPr>
      </w:pPr>
      <w:r>
        <w:rPr>
          <w:sz w:val="26"/>
        </w:rPr>
        <w:t>The temple has been founded for the benefit of any religious denomination or section</w:t>
      </w:r>
      <w:r>
        <w:rPr>
          <w:spacing w:val="-3"/>
          <w:sz w:val="26"/>
        </w:rPr>
        <w:t xml:space="preserve"> </w:t>
      </w:r>
      <w:r>
        <w:rPr>
          <w:sz w:val="26"/>
        </w:rPr>
        <w:t>thereof.</w:t>
      </w:r>
    </w:p>
    <w:p w:rsidR="003B2FC0" w:rsidRDefault="003B2FC0">
      <w:pPr>
        <w:rPr>
          <w:sz w:val="28"/>
        </w:rPr>
      </w:pPr>
    </w:p>
    <w:p w:rsidR="003B2FC0" w:rsidRDefault="003B2FC0">
      <w:pPr>
        <w:spacing w:before="7"/>
        <w:rPr>
          <w:sz w:val="37"/>
        </w:rPr>
      </w:pPr>
    </w:p>
    <w:p w:rsidR="003B2FC0" w:rsidRDefault="00052A49">
      <w:pPr>
        <w:pStyle w:val="ListParagraph"/>
        <w:numPr>
          <w:ilvl w:val="0"/>
          <w:numId w:val="39"/>
        </w:numPr>
        <w:tabs>
          <w:tab w:val="left" w:pos="1121"/>
        </w:tabs>
        <w:spacing w:line="480" w:lineRule="auto"/>
        <w:ind w:right="435" w:firstLine="0"/>
        <w:jc w:val="both"/>
        <w:rPr>
          <w:sz w:val="26"/>
        </w:rPr>
      </w:pPr>
      <w:r>
        <w:rPr>
          <w:sz w:val="26"/>
        </w:rPr>
        <w:t>We have held that the devotees of Lord Ayyappa do not constitute a religious denomination and the Sabarimala temple is not a denominational temple.</w:t>
      </w:r>
      <w:r>
        <w:rPr>
          <w:spacing w:val="-16"/>
          <w:sz w:val="26"/>
        </w:rPr>
        <w:t xml:space="preserve"> </w:t>
      </w:r>
      <w:r>
        <w:rPr>
          <w:sz w:val="26"/>
        </w:rPr>
        <w:t>The</w:t>
      </w:r>
      <w:r>
        <w:rPr>
          <w:spacing w:val="-15"/>
          <w:sz w:val="26"/>
        </w:rPr>
        <w:t xml:space="preserve"> </w:t>
      </w:r>
      <w:r>
        <w:rPr>
          <w:sz w:val="26"/>
        </w:rPr>
        <w:t>proviso</w:t>
      </w:r>
      <w:r>
        <w:rPr>
          <w:spacing w:val="-13"/>
          <w:sz w:val="26"/>
        </w:rPr>
        <w:t xml:space="preserve"> </w:t>
      </w:r>
      <w:r>
        <w:rPr>
          <w:sz w:val="26"/>
        </w:rPr>
        <w:t>has</w:t>
      </w:r>
      <w:r>
        <w:rPr>
          <w:spacing w:val="-15"/>
          <w:sz w:val="26"/>
        </w:rPr>
        <w:t xml:space="preserve"> </w:t>
      </w:r>
      <w:r>
        <w:rPr>
          <w:sz w:val="26"/>
        </w:rPr>
        <w:t>no</w:t>
      </w:r>
      <w:r>
        <w:rPr>
          <w:spacing w:val="-15"/>
          <w:sz w:val="26"/>
        </w:rPr>
        <w:t xml:space="preserve"> </w:t>
      </w:r>
      <w:r>
        <w:rPr>
          <w:sz w:val="26"/>
        </w:rPr>
        <w:t>application.</w:t>
      </w:r>
      <w:r>
        <w:rPr>
          <w:spacing w:val="-15"/>
          <w:sz w:val="26"/>
        </w:rPr>
        <w:t xml:space="preserve"> </w:t>
      </w:r>
      <w:r>
        <w:rPr>
          <w:sz w:val="26"/>
        </w:rPr>
        <w:t>The</w:t>
      </w:r>
      <w:r>
        <w:rPr>
          <w:spacing w:val="-15"/>
          <w:sz w:val="26"/>
        </w:rPr>
        <w:t xml:space="preserve"> </w:t>
      </w:r>
      <w:r>
        <w:rPr>
          <w:sz w:val="26"/>
        </w:rPr>
        <w:t>notifications</w:t>
      </w:r>
      <w:r>
        <w:rPr>
          <w:spacing w:val="-13"/>
          <w:sz w:val="26"/>
        </w:rPr>
        <w:t xml:space="preserve"> </w:t>
      </w:r>
      <w:r>
        <w:rPr>
          <w:sz w:val="26"/>
        </w:rPr>
        <w:t>which</w:t>
      </w:r>
      <w:r>
        <w:rPr>
          <w:spacing w:val="-14"/>
          <w:sz w:val="26"/>
        </w:rPr>
        <w:t xml:space="preserve"> </w:t>
      </w:r>
      <w:r>
        <w:rPr>
          <w:sz w:val="26"/>
        </w:rPr>
        <w:t>restrict</w:t>
      </w:r>
      <w:r>
        <w:rPr>
          <w:spacing w:val="-15"/>
          <w:sz w:val="26"/>
        </w:rPr>
        <w:t xml:space="preserve"> </w:t>
      </w:r>
      <w:r>
        <w:rPr>
          <w:sz w:val="26"/>
        </w:rPr>
        <w:t>the</w:t>
      </w:r>
      <w:r>
        <w:rPr>
          <w:spacing w:val="-15"/>
          <w:sz w:val="26"/>
        </w:rPr>
        <w:t xml:space="preserve"> </w:t>
      </w:r>
      <w:r>
        <w:rPr>
          <w:sz w:val="26"/>
        </w:rPr>
        <w:t xml:space="preserve">entry of women between the ages of ten </w:t>
      </w:r>
      <w:r>
        <w:rPr>
          <w:sz w:val="26"/>
        </w:rPr>
        <w:t>and fifty in the Sabarimala temple cannot stand</w:t>
      </w:r>
      <w:r>
        <w:rPr>
          <w:spacing w:val="-7"/>
          <w:sz w:val="26"/>
        </w:rPr>
        <w:t xml:space="preserve"> </w:t>
      </w:r>
      <w:r>
        <w:rPr>
          <w:sz w:val="26"/>
        </w:rPr>
        <w:t>scrutiny</w:t>
      </w:r>
      <w:r>
        <w:rPr>
          <w:spacing w:val="-10"/>
          <w:sz w:val="26"/>
        </w:rPr>
        <w:t xml:space="preserve"> </w:t>
      </w:r>
      <w:r>
        <w:rPr>
          <w:sz w:val="26"/>
        </w:rPr>
        <w:t>and</w:t>
      </w:r>
      <w:r>
        <w:rPr>
          <w:spacing w:val="-6"/>
          <w:sz w:val="26"/>
        </w:rPr>
        <w:t xml:space="preserve"> </w:t>
      </w:r>
      <w:r>
        <w:rPr>
          <w:sz w:val="26"/>
        </w:rPr>
        <w:t>plainly</w:t>
      </w:r>
      <w:r>
        <w:rPr>
          <w:spacing w:val="-10"/>
          <w:sz w:val="26"/>
        </w:rPr>
        <w:t xml:space="preserve"> </w:t>
      </w:r>
      <w:r>
        <w:rPr>
          <w:sz w:val="26"/>
        </w:rPr>
        <w:t>infringe</w:t>
      </w:r>
      <w:r>
        <w:rPr>
          <w:spacing w:val="-8"/>
          <w:sz w:val="26"/>
        </w:rPr>
        <w:t xml:space="preserve"> </w:t>
      </w:r>
      <w:r>
        <w:rPr>
          <w:sz w:val="26"/>
        </w:rPr>
        <w:t>Section</w:t>
      </w:r>
      <w:r>
        <w:rPr>
          <w:spacing w:val="-5"/>
          <w:sz w:val="26"/>
        </w:rPr>
        <w:t xml:space="preserve"> </w:t>
      </w:r>
      <w:r>
        <w:rPr>
          <w:sz w:val="26"/>
        </w:rPr>
        <w:t>3.</w:t>
      </w:r>
      <w:r>
        <w:rPr>
          <w:spacing w:val="-8"/>
          <w:sz w:val="26"/>
        </w:rPr>
        <w:t xml:space="preserve"> </w:t>
      </w:r>
      <w:r>
        <w:rPr>
          <w:sz w:val="26"/>
        </w:rPr>
        <w:t>They</w:t>
      </w:r>
      <w:r>
        <w:rPr>
          <w:spacing w:val="-10"/>
          <w:sz w:val="26"/>
        </w:rPr>
        <w:t xml:space="preserve"> </w:t>
      </w:r>
      <w:r>
        <w:rPr>
          <w:sz w:val="26"/>
        </w:rPr>
        <w:t>prevent</w:t>
      </w:r>
      <w:r>
        <w:rPr>
          <w:spacing w:val="-8"/>
          <w:sz w:val="26"/>
        </w:rPr>
        <w:t xml:space="preserve"> </w:t>
      </w:r>
      <w:r>
        <w:rPr>
          <w:sz w:val="26"/>
        </w:rPr>
        <w:t>any</w:t>
      </w:r>
      <w:r>
        <w:rPr>
          <w:spacing w:val="-6"/>
          <w:sz w:val="26"/>
        </w:rPr>
        <w:t xml:space="preserve"> </w:t>
      </w:r>
      <w:r>
        <w:rPr>
          <w:sz w:val="26"/>
        </w:rPr>
        <w:t>woman</w:t>
      </w:r>
      <w:r>
        <w:rPr>
          <w:spacing w:val="-6"/>
          <w:sz w:val="26"/>
        </w:rPr>
        <w:t xml:space="preserve"> </w:t>
      </w:r>
      <w:r>
        <w:rPr>
          <w:sz w:val="26"/>
        </w:rPr>
        <w:t xml:space="preserve">between the age of ten and fifty from entering the Sabarimala temple and from offering prayers. Such a restriction would infringe the rights of </w:t>
      </w:r>
      <w:r>
        <w:rPr>
          <w:sz w:val="26"/>
        </w:rPr>
        <w:t xml:space="preserve">all Hindu women which are recognized by Section 3. The notifications issued by the Board prohibiting the entry of women between ages ten and fifty-five, are </w:t>
      </w:r>
      <w:r>
        <w:rPr>
          <w:i/>
          <w:sz w:val="26"/>
        </w:rPr>
        <w:t xml:space="preserve">ultra vires </w:t>
      </w:r>
      <w:r>
        <w:rPr>
          <w:sz w:val="26"/>
        </w:rPr>
        <w:t>Section</w:t>
      </w:r>
      <w:r>
        <w:rPr>
          <w:spacing w:val="-26"/>
          <w:sz w:val="26"/>
        </w:rPr>
        <w:t xml:space="preserve"> </w:t>
      </w:r>
      <w:r>
        <w:rPr>
          <w:sz w:val="26"/>
        </w:rPr>
        <w:t>3.</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4" w:firstLine="0"/>
        <w:jc w:val="both"/>
        <w:rPr>
          <w:sz w:val="26"/>
        </w:rPr>
      </w:pPr>
      <w:r>
        <w:rPr>
          <w:sz w:val="26"/>
        </w:rPr>
        <w:t>The</w:t>
      </w:r>
      <w:r>
        <w:rPr>
          <w:spacing w:val="-13"/>
          <w:sz w:val="26"/>
        </w:rPr>
        <w:t xml:space="preserve"> </w:t>
      </w:r>
      <w:r>
        <w:rPr>
          <w:sz w:val="26"/>
        </w:rPr>
        <w:t>next</w:t>
      </w:r>
      <w:r>
        <w:rPr>
          <w:spacing w:val="-9"/>
          <w:sz w:val="26"/>
        </w:rPr>
        <w:t xml:space="preserve"> </w:t>
      </w:r>
      <w:r>
        <w:rPr>
          <w:sz w:val="26"/>
        </w:rPr>
        <w:t>question</w:t>
      </w:r>
      <w:r>
        <w:rPr>
          <w:spacing w:val="-12"/>
          <w:sz w:val="26"/>
        </w:rPr>
        <w:t xml:space="preserve"> </w:t>
      </w:r>
      <w:r>
        <w:rPr>
          <w:sz w:val="26"/>
        </w:rPr>
        <w:t>is</w:t>
      </w:r>
      <w:r>
        <w:rPr>
          <w:spacing w:val="-9"/>
          <w:sz w:val="26"/>
        </w:rPr>
        <w:t xml:space="preserve"> </w:t>
      </w:r>
      <w:r>
        <w:rPr>
          <w:sz w:val="26"/>
        </w:rPr>
        <w:t>whether</w:t>
      </w:r>
      <w:r>
        <w:rPr>
          <w:spacing w:val="-9"/>
          <w:sz w:val="26"/>
        </w:rPr>
        <w:t xml:space="preserve"> </w:t>
      </w:r>
      <w:r>
        <w:rPr>
          <w:sz w:val="26"/>
        </w:rPr>
        <w:t>Rule</w:t>
      </w:r>
      <w:r>
        <w:rPr>
          <w:spacing w:val="-12"/>
          <w:sz w:val="26"/>
        </w:rPr>
        <w:t xml:space="preserve"> </w:t>
      </w:r>
      <w:r>
        <w:rPr>
          <w:sz w:val="26"/>
        </w:rPr>
        <w:t>3(b)</w:t>
      </w:r>
      <w:r>
        <w:rPr>
          <w:spacing w:val="-11"/>
          <w:sz w:val="26"/>
        </w:rPr>
        <w:t xml:space="preserve"> </w:t>
      </w:r>
      <w:r>
        <w:rPr>
          <w:sz w:val="26"/>
        </w:rPr>
        <w:t>of</w:t>
      </w:r>
      <w:r>
        <w:rPr>
          <w:spacing w:val="-10"/>
          <w:sz w:val="26"/>
        </w:rPr>
        <w:t xml:space="preserve"> </w:t>
      </w:r>
      <w:r>
        <w:rPr>
          <w:sz w:val="26"/>
        </w:rPr>
        <w:t>the</w:t>
      </w:r>
      <w:r>
        <w:rPr>
          <w:spacing w:val="-12"/>
          <w:sz w:val="26"/>
        </w:rPr>
        <w:t xml:space="preserve"> </w:t>
      </w:r>
      <w:r>
        <w:rPr>
          <w:sz w:val="26"/>
        </w:rPr>
        <w:t>1965</w:t>
      </w:r>
      <w:r>
        <w:rPr>
          <w:spacing w:val="-12"/>
          <w:sz w:val="26"/>
        </w:rPr>
        <w:t xml:space="preserve"> </w:t>
      </w:r>
      <w:r>
        <w:rPr>
          <w:sz w:val="26"/>
        </w:rPr>
        <w:t>Rules</w:t>
      </w:r>
      <w:r>
        <w:rPr>
          <w:spacing w:val="-11"/>
          <w:sz w:val="26"/>
        </w:rPr>
        <w:t xml:space="preserve"> </w:t>
      </w:r>
      <w:r>
        <w:rPr>
          <w:sz w:val="26"/>
        </w:rPr>
        <w:t>is</w:t>
      </w:r>
      <w:r>
        <w:rPr>
          <w:spacing w:val="-8"/>
          <w:sz w:val="26"/>
        </w:rPr>
        <w:t xml:space="preserve"> </w:t>
      </w:r>
      <w:r>
        <w:rPr>
          <w:i/>
          <w:sz w:val="26"/>
        </w:rPr>
        <w:t>ultra</w:t>
      </w:r>
      <w:r>
        <w:rPr>
          <w:i/>
          <w:spacing w:val="-12"/>
          <w:sz w:val="26"/>
        </w:rPr>
        <w:t xml:space="preserve"> </w:t>
      </w:r>
      <w:r>
        <w:rPr>
          <w:i/>
          <w:sz w:val="26"/>
        </w:rPr>
        <w:t>vires</w:t>
      </w:r>
      <w:r>
        <w:rPr>
          <w:i/>
          <w:spacing w:val="-11"/>
          <w:sz w:val="26"/>
        </w:rPr>
        <w:t xml:space="preserve"> </w:t>
      </w:r>
      <w:r>
        <w:rPr>
          <w:sz w:val="26"/>
        </w:rPr>
        <w:t>the 1965 Act. Rule 3</w:t>
      </w:r>
      <w:r>
        <w:rPr>
          <w:spacing w:val="-5"/>
          <w:sz w:val="26"/>
        </w:rPr>
        <w:t xml:space="preserve"> </w:t>
      </w:r>
      <w:r>
        <w:rPr>
          <w:sz w:val="26"/>
        </w:rPr>
        <w:t>provides:</w:t>
      </w:r>
    </w:p>
    <w:p w:rsidR="003B2FC0" w:rsidRDefault="00052A49">
      <w:pPr>
        <w:spacing w:before="200" w:line="276" w:lineRule="auto"/>
        <w:ind w:left="1840" w:right="2258"/>
        <w:jc w:val="both"/>
        <w:rPr>
          <w:sz w:val="21"/>
        </w:rPr>
      </w:pPr>
      <w:r>
        <w:rPr>
          <w:sz w:val="21"/>
        </w:rPr>
        <w:t>“The classes of persons mentioned here under shall not be entitled to offer worship in any place of public worship or</w:t>
      </w:r>
      <w:r>
        <w:rPr>
          <w:spacing w:val="-40"/>
          <w:sz w:val="21"/>
        </w:rPr>
        <w:t xml:space="preserve"> </w:t>
      </w:r>
      <w:r>
        <w:rPr>
          <w:sz w:val="21"/>
        </w:rPr>
        <w:t>bathe in or use the water of any sacred tank, well, spring or water course</w:t>
      </w:r>
      <w:r>
        <w:rPr>
          <w:spacing w:val="-13"/>
          <w:sz w:val="21"/>
        </w:rPr>
        <w:t xml:space="preserve"> </w:t>
      </w:r>
      <w:r>
        <w:rPr>
          <w:sz w:val="21"/>
        </w:rPr>
        <w:t>appurtenant</w:t>
      </w:r>
      <w:r>
        <w:rPr>
          <w:spacing w:val="-13"/>
          <w:sz w:val="21"/>
        </w:rPr>
        <w:t xml:space="preserve"> </w:t>
      </w:r>
      <w:r>
        <w:rPr>
          <w:sz w:val="21"/>
        </w:rPr>
        <w:t>to</w:t>
      </w:r>
      <w:r>
        <w:rPr>
          <w:spacing w:val="-13"/>
          <w:sz w:val="21"/>
        </w:rPr>
        <w:t xml:space="preserve"> </w:t>
      </w:r>
      <w:r>
        <w:rPr>
          <w:sz w:val="21"/>
        </w:rPr>
        <w:t>a</w:t>
      </w:r>
      <w:r>
        <w:rPr>
          <w:spacing w:val="-12"/>
          <w:sz w:val="21"/>
        </w:rPr>
        <w:t xml:space="preserve"> </w:t>
      </w:r>
      <w:r>
        <w:rPr>
          <w:sz w:val="21"/>
        </w:rPr>
        <w:t>place</w:t>
      </w:r>
      <w:r>
        <w:rPr>
          <w:spacing w:val="-13"/>
          <w:sz w:val="21"/>
        </w:rPr>
        <w:t xml:space="preserve"> </w:t>
      </w:r>
      <w:r>
        <w:rPr>
          <w:sz w:val="21"/>
        </w:rPr>
        <w:t>of</w:t>
      </w:r>
      <w:r>
        <w:rPr>
          <w:spacing w:val="-11"/>
          <w:sz w:val="21"/>
        </w:rPr>
        <w:t xml:space="preserve"> </w:t>
      </w:r>
      <w:r>
        <w:rPr>
          <w:sz w:val="21"/>
        </w:rPr>
        <w:t>public</w:t>
      </w:r>
      <w:r>
        <w:rPr>
          <w:spacing w:val="-12"/>
          <w:sz w:val="21"/>
        </w:rPr>
        <w:t xml:space="preserve"> </w:t>
      </w:r>
      <w:r>
        <w:rPr>
          <w:sz w:val="21"/>
        </w:rPr>
        <w:t>worship</w:t>
      </w:r>
      <w:r>
        <w:rPr>
          <w:spacing w:val="-13"/>
          <w:sz w:val="21"/>
        </w:rPr>
        <w:t xml:space="preserve"> </w:t>
      </w:r>
      <w:r>
        <w:rPr>
          <w:sz w:val="21"/>
        </w:rPr>
        <w:t>whether</w:t>
      </w:r>
      <w:r>
        <w:rPr>
          <w:spacing w:val="-13"/>
          <w:sz w:val="21"/>
        </w:rPr>
        <w:t xml:space="preserve"> </w:t>
      </w:r>
      <w:r>
        <w:rPr>
          <w:sz w:val="21"/>
        </w:rPr>
        <w:t>situate within or outside precincts thereof, or any sacred place including a hill or hill lock, or a road, street or pathways which is requisite for obtaining access to the place of public</w:t>
      </w:r>
      <w:r>
        <w:rPr>
          <w:spacing w:val="-16"/>
          <w:sz w:val="21"/>
        </w:rPr>
        <w:t xml:space="preserve"> </w:t>
      </w:r>
      <w:r>
        <w:rPr>
          <w:sz w:val="21"/>
        </w:rPr>
        <w:t>worship-</w:t>
      </w:r>
    </w:p>
    <w:p w:rsidR="003B2FC0" w:rsidRDefault="00052A49">
      <w:pPr>
        <w:pStyle w:val="ListParagraph"/>
        <w:numPr>
          <w:ilvl w:val="1"/>
          <w:numId w:val="39"/>
        </w:numPr>
        <w:tabs>
          <w:tab w:val="left" w:pos="2155"/>
        </w:tabs>
        <w:spacing w:before="200"/>
        <w:ind w:hanging="314"/>
        <w:jc w:val="both"/>
        <w:rPr>
          <w:sz w:val="21"/>
        </w:rPr>
      </w:pPr>
      <w:r>
        <w:rPr>
          <w:sz w:val="21"/>
        </w:rPr>
        <w:t>Persons who are not</w:t>
      </w:r>
      <w:r>
        <w:rPr>
          <w:spacing w:val="-9"/>
          <w:sz w:val="21"/>
        </w:rPr>
        <w:t xml:space="preserve"> </w:t>
      </w:r>
      <w:r>
        <w:rPr>
          <w:sz w:val="21"/>
        </w:rPr>
        <w:t>Hindus</w:t>
      </w:r>
      <w:r>
        <w:rPr>
          <w:sz w:val="21"/>
        </w:rPr>
        <w:t>.</w:t>
      </w:r>
    </w:p>
    <w:p w:rsidR="003B2FC0" w:rsidRDefault="003B2FC0">
      <w:pPr>
        <w:spacing w:before="6"/>
        <w:rPr>
          <w:sz w:val="20"/>
        </w:rPr>
      </w:pPr>
    </w:p>
    <w:p w:rsidR="003B2FC0" w:rsidRDefault="00052A49">
      <w:pPr>
        <w:pStyle w:val="ListParagraph"/>
        <w:numPr>
          <w:ilvl w:val="1"/>
          <w:numId w:val="39"/>
        </w:numPr>
        <w:tabs>
          <w:tab w:val="left" w:pos="2218"/>
        </w:tabs>
        <w:spacing w:line="276" w:lineRule="auto"/>
        <w:ind w:left="1840" w:right="2259" w:firstLine="0"/>
        <w:jc w:val="both"/>
        <w:rPr>
          <w:b/>
          <w:sz w:val="21"/>
        </w:rPr>
      </w:pPr>
      <w:r>
        <w:rPr>
          <w:b/>
          <w:sz w:val="21"/>
        </w:rPr>
        <w:t>Women at such time during which they are not by custom and usage allowed to enter a place of public worship.</w:t>
      </w:r>
    </w:p>
    <w:p w:rsidR="003B2FC0" w:rsidRDefault="00052A49">
      <w:pPr>
        <w:pStyle w:val="ListParagraph"/>
        <w:numPr>
          <w:ilvl w:val="1"/>
          <w:numId w:val="39"/>
        </w:numPr>
        <w:tabs>
          <w:tab w:val="left" w:pos="2146"/>
        </w:tabs>
        <w:spacing w:before="199" w:line="276" w:lineRule="auto"/>
        <w:ind w:left="1840" w:right="2260" w:firstLine="0"/>
        <w:jc w:val="both"/>
        <w:rPr>
          <w:sz w:val="21"/>
        </w:rPr>
      </w:pPr>
      <w:r>
        <w:rPr>
          <w:sz w:val="21"/>
        </w:rPr>
        <w:t>Persons under pollution arising out of birth or death in their families.</w:t>
      </w:r>
    </w:p>
    <w:p w:rsidR="003B2FC0" w:rsidRDefault="00052A49">
      <w:pPr>
        <w:pStyle w:val="ListParagraph"/>
        <w:numPr>
          <w:ilvl w:val="1"/>
          <w:numId w:val="39"/>
        </w:numPr>
        <w:tabs>
          <w:tab w:val="left" w:pos="2155"/>
        </w:tabs>
        <w:spacing w:before="200"/>
        <w:ind w:hanging="314"/>
        <w:jc w:val="both"/>
        <w:rPr>
          <w:sz w:val="21"/>
        </w:rPr>
      </w:pPr>
      <w:r>
        <w:rPr>
          <w:sz w:val="21"/>
        </w:rPr>
        <w:t>Drunken or disorderly</w:t>
      </w:r>
      <w:r>
        <w:rPr>
          <w:spacing w:val="-6"/>
          <w:sz w:val="21"/>
        </w:rPr>
        <w:t xml:space="preserve"> </w:t>
      </w:r>
      <w:r>
        <w:rPr>
          <w:sz w:val="21"/>
        </w:rPr>
        <w:t>persons.</w:t>
      </w:r>
    </w:p>
    <w:p w:rsidR="003B2FC0" w:rsidRDefault="003B2FC0">
      <w:pPr>
        <w:spacing w:before="6"/>
        <w:rPr>
          <w:sz w:val="20"/>
        </w:rPr>
      </w:pPr>
    </w:p>
    <w:p w:rsidR="003B2FC0" w:rsidRDefault="00052A49">
      <w:pPr>
        <w:pStyle w:val="ListParagraph"/>
        <w:numPr>
          <w:ilvl w:val="1"/>
          <w:numId w:val="39"/>
        </w:numPr>
        <w:tabs>
          <w:tab w:val="left" w:pos="2242"/>
        </w:tabs>
        <w:spacing w:before="1" w:line="276" w:lineRule="auto"/>
        <w:ind w:left="1840" w:right="2263" w:firstLine="0"/>
        <w:jc w:val="both"/>
        <w:rPr>
          <w:sz w:val="21"/>
        </w:rPr>
      </w:pPr>
      <w:r>
        <w:rPr>
          <w:sz w:val="21"/>
        </w:rPr>
        <w:t>Persons suffering from any loathsome or contagious disease.</w:t>
      </w:r>
    </w:p>
    <w:p w:rsidR="003B2FC0" w:rsidRDefault="00052A49">
      <w:pPr>
        <w:pStyle w:val="ListParagraph"/>
        <w:numPr>
          <w:ilvl w:val="1"/>
          <w:numId w:val="39"/>
        </w:numPr>
        <w:tabs>
          <w:tab w:val="left" w:pos="2126"/>
        </w:tabs>
        <w:spacing w:before="201" w:line="276" w:lineRule="auto"/>
        <w:ind w:left="1840" w:right="2261" w:firstLine="0"/>
        <w:jc w:val="both"/>
        <w:rPr>
          <w:sz w:val="21"/>
        </w:rPr>
      </w:pPr>
      <w:r>
        <w:rPr>
          <w:sz w:val="21"/>
        </w:rPr>
        <w:t>Persons of unsound mind except when taken for worship under proper control and with the permission of the executive authority of the place of public worship</w:t>
      </w:r>
      <w:r>
        <w:rPr>
          <w:spacing w:val="-9"/>
          <w:sz w:val="21"/>
        </w:rPr>
        <w:t xml:space="preserve"> </w:t>
      </w:r>
      <w:r>
        <w:rPr>
          <w:sz w:val="21"/>
        </w:rPr>
        <w:t>concerned.</w:t>
      </w:r>
    </w:p>
    <w:p w:rsidR="003B2FC0" w:rsidRDefault="00052A49">
      <w:pPr>
        <w:pStyle w:val="ListParagraph"/>
        <w:numPr>
          <w:ilvl w:val="1"/>
          <w:numId w:val="39"/>
        </w:numPr>
        <w:tabs>
          <w:tab w:val="left" w:pos="2208"/>
        </w:tabs>
        <w:spacing w:before="199" w:line="276" w:lineRule="auto"/>
        <w:ind w:left="1840" w:right="2263" w:firstLine="0"/>
        <w:jc w:val="both"/>
        <w:rPr>
          <w:sz w:val="21"/>
        </w:rPr>
      </w:pPr>
      <w:r>
        <w:rPr>
          <w:sz w:val="21"/>
        </w:rPr>
        <w:t>Professional beggars when their entry is solely for the purpose of</w:t>
      </w:r>
      <w:r>
        <w:rPr>
          <w:spacing w:val="-2"/>
          <w:sz w:val="21"/>
        </w:rPr>
        <w:t xml:space="preserve"> </w:t>
      </w:r>
      <w:r>
        <w:rPr>
          <w:sz w:val="21"/>
        </w:rPr>
        <w:t>begging.”</w:t>
      </w:r>
    </w:p>
    <w:p w:rsidR="003B2FC0" w:rsidRDefault="00052A49">
      <w:pPr>
        <w:spacing w:before="1"/>
        <w:ind w:left="1840"/>
        <w:jc w:val="both"/>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63" w:line="480" w:lineRule="auto"/>
        <w:ind w:left="400" w:right="435"/>
        <w:jc w:val="both"/>
        <w:rPr>
          <w:sz w:val="26"/>
        </w:rPr>
      </w:pPr>
      <w:r>
        <w:rPr>
          <w:sz w:val="26"/>
        </w:rPr>
        <w:t xml:space="preserve">By Rule 3(b), women are not allowed to offer worship in any place of public worship including a hill, hillock or a road leading to a place of public worship </w:t>
      </w:r>
      <w:r>
        <w:rPr>
          <w:sz w:val="26"/>
        </w:rPr>
        <w:t>or entry into places of public worship at such time, if they are, by custom or</w:t>
      </w:r>
      <w:r>
        <w:rPr>
          <w:spacing w:val="-40"/>
          <w:sz w:val="26"/>
        </w:rPr>
        <w:t xml:space="preserve"> </w:t>
      </w:r>
      <w:r>
        <w:rPr>
          <w:sz w:val="26"/>
        </w:rPr>
        <w:t>usage not allowed to enter such place of public</w:t>
      </w:r>
      <w:r>
        <w:rPr>
          <w:spacing w:val="-4"/>
          <w:sz w:val="26"/>
        </w:rPr>
        <w:t xml:space="preserve"> </w:t>
      </w:r>
      <w:r>
        <w:rPr>
          <w:sz w:val="26"/>
        </w:rPr>
        <w:t>worship.</w:t>
      </w:r>
    </w:p>
    <w:p w:rsidR="003B2FC0" w:rsidRDefault="00052A49">
      <w:pPr>
        <w:spacing w:before="201"/>
        <w:ind w:left="400"/>
        <w:rPr>
          <w:sz w:val="26"/>
        </w:rPr>
      </w:pPr>
      <w:r>
        <w:rPr>
          <w:sz w:val="26"/>
        </w:rPr>
        <w:t>Section 4 provides thus:</w:t>
      </w:r>
    </w:p>
    <w:p w:rsidR="003B2FC0" w:rsidRDefault="003B2FC0">
      <w:pPr>
        <w:rPr>
          <w:sz w:val="28"/>
        </w:rPr>
      </w:pPr>
    </w:p>
    <w:p w:rsidR="003B2FC0" w:rsidRDefault="00052A49">
      <w:pPr>
        <w:spacing w:before="174" w:line="276" w:lineRule="auto"/>
        <w:ind w:left="1840" w:right="2259"/>
        <w:jc w:val="both"/>
        <w:rPr>
          <w:sz w:val="21"/>
        </w:rPr>
      </w:pPr>
      <w:r>
        <w:rPr>
          <w:sz w:val="21"/>
        </w:rPr>
        <w:t>“4.</w:t>
      </w:r>
      <w:r>
        <w:rPr>
          <w:spacing w:val="-15"/>
          <w:sz w:val="21"/>
        </w:rPr>
        <w:t xml:space="preserve"> </w:t>
      </w:r>
      <w:r>
        <w:rPr>
          <w:sz w:val="21"/>
        </w:rPr>
        <w:t>Power</w:t>
      </w:r>
      <w:r>
        <w:rPr>
          <w:spacing w:val="-15"/>
          <w:sz w:val="21"/>
        </w:rPr>
        <w:t xml:space="preserve"> </w:t>
      </w:r>
      <w:r>
        <w:rPr>
          <w:sz w:val="21"/>
        </w:rPr>
        <w:t>to</w:t>
      </w:r>
      <w:r>
        <w:rPr>
          <w:spacing w:val="-14"/>
          <w:sz w:val="21"/>
        </w:rPr>
        <w:t xml:space="preserve"> </w:t>
      </w:r>
      <w:r>
        <w:rPr>
          <w:sz w:val="21"/>
        </w:rPr>
        <w:t>make</w:t>
      </w:r>
      <w:r>
        <w:rPr>
          <w:spacing w:val="-14"/>
          <w:sz w:val="21"/>
        </w:rPr>
        <w:t xml:space="preserve"> </w:t>
      </w:r>
      <w:r>
        <w:rPr>
          <w:sz w:val="21"/>
        </w:rPr>
        <w:t>regulations</w:t>
      </w:r>
      <w:r>
        <w:rPr>
          <w:spacing w:val="-14"/>
          <w:sz w:val="21"/>
        </w:rPr>
        <w:t xml:space="preserve"> </w:t>
      </w:r>
      <w:r>
        <w:rPr>
          <w:sz w:val="21"/>
        </w:rPr>
        <w:t>for</w:t>
      </w:r>
      <w:r>
        <w:rPr>
          <w:spacing w:val="-15"/>
          <w:sz w:val="21"/>
        </w:rPr>
        <w:t xml:space="preserve"> </w:t>
      </w:r>
      <w:r>
        <w:rPr>
          <w:sz w:val="21"/>
        </w:rPr>
        <w:t>the</w:t>
      </w:r>
      <w:r>
        <w:rPr>
          <w:spacing w:val="-14"/>
          <w:sz w:val="21"/>
        </w:rPr>
        <w:t xml:space="preserve"> </w:t>
      </w:r>
      <w:r>
        <w:rPr>
          <w:sz w:val="21"/>
        </w:rPr>
        <w:t>maintenance</w:t>
      </w:r>
      <w:r>
        <w:rPr>
          <w:spacing w:val="-14"/>
          <w:sz w:val="21"/>
        </w:rPr>
        <w:t xml:space="preserve"> </w:t>
      </w:r>
      <w:r>
        <w:rPr>
          <w:sz w:val="21"/>
        </w:rPr>
        <w:t>of</w:t>
      </w:r>
      <w:r>
        <w:rPr>
          <w:spacing w:val="-15"/>
          <w:sz w:val="21"/>
        </w:rPr>
        <w:t xml:space="preserve"> </w:t>
      </w:r>
      <w:r>
        <w:rPr>
          <w:sz w:val="21"/>
        </w:rPr>
        <w:t>order</w:t>
      </w:r>
      <w:r>
        <w:rPr>
          <w:spacing w:val="-15"/>
          <w:sz w:val="21"/>
        </w:rPr>
        <w:t xml:space="preserve"> </w:t>
      </w:r>
      <w:r>
        <w:rPr>
          <w:sz w:val="21"/>
        </w:rPr>
        <w:t>and decorum and the due performance of rites and ceremonies in places of public worship</w:t>
      </w:r>
      <w:r>
        <w:rPr>
          <w:spacing w:val="-3"/>
          <w:sz w:val="21"/>
        </w:rPr>
        <w:t xml:space="preserve"> </w:t>
      </w:r>
      <w:r>
        <w:rPr>
          <w:sz w:val="21"/>
        </w:rPr>
        <w:t>–</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pStyle w:val="ListParagraph"/>
        <w:numPr>
          <w:ilvl w:val="2"/>
          <w:numId w:val="39"/>
        </w:numPr>
        <w:tabs>
          <w:tab w:val="left" w:pos="2170"/>
        </w:tabs>
        <w:spacing w:before="94" w:line="276" w:lineRule="auto"/>
        <w:ind w:right="2256" w:firstLine="0"/>
        <w:jc w:val="both"/>
        <w:rPr>
          <w:sz w:val="21"/>
        </w:rPr>
      </w:pPr>
      <w:r>
        <w:rPr>
          <w:sz w:val="21"/>
        </w:rPr>
        <w:t>The trustee or any other person in charge of any place of public worship shall have power, subject to the control of the competent authority and an</w:t>
      </w:r>
      <w:r>
        <w:rPr>
          <w:sz w:val="21"/>
        </w:rPr>
        <w:t>y rules which may be made by that authority,</w:t>
      </w:r>
      <w:r>
        <w:rPr>
          <w:spacing w:val="-12"/>
          <w:sz w:val="21"/>
        </w:rPr>
        <w:t xml:space="preserve"> </w:t>
      </w:r>
      <w:r>
        <w:rPr>
          <w:sz w:val="21"/>
        </w:rPr>
        <w:t>to</w:t>
      </w:r>
      <w:r>
        <w:rPr>
          <w:spacing w:val="-10"/>
          <w:sz w:val="21"/>
        </w:rPr>
        <w:t xml:space="preserve"> </w:t>
      </w:r>
      <w:r>
        <w:rPr>
          <w:sz w:val="21"/>
        </w:rPr>
        <w:t>make</w:t>
      </w:r>
      <w:r>
        <w:rPr>
          <w:spacing w:val="-9"/>
          <w:sz w:val="21"/>
        </w:rPr>
        <w:t xml:space="preserve"> </w:t>
      </w:r>
      <w:r>
        <w:rPr>
          <w:sz w:val="21"/>
        </w:rPr>
        <w:t>regulations</w:t>
      </w:r>
      <w:r>
        <w:rPr>
          <w:spacing w:val="-10"/>
          <w:sz w:val="21"/>
        </w:rPr>
        <w:t xml:space="preserve"> </w:t>
      </w:r>
      <w:r>
        <w:rPr>
          <w:sz w:val="21"/>
        </w:rPr>
        <w:t>for</w:t>
      </w:r>
      <w:r>
        <w:rPr>
          <w:spacing w:val="-10"/>
          <w:sz w:val="21"/>
        </w:rPr>
        <w:t xml:space="preserve"> </w:t>
      </w:r>
      <w:r>
        <w:rPr>
          <w:sz w:val="21"/>
        </w:rPr>
        <w:t>the</w:t>
      </w:r>
      <w:r>
        <w:rPr>
          <w:spacing w:val="-9"/>
          <w:sz w:val="21"/>
        </w:rPr>
        <w:t xml:space="preserve"> </w:t>
      </w:r>
      <w:r>
        <w:rPr>
          <w:sz w:val="21"/>
        </w:rPr>
        <w:t>maintenance</w:t>
      </w:r>
      <w:r>
        <w:rPr>
          <w:spacing w:val="-11"/>
          <w:sz w:val="21"/>
        </w:rPr>
        <w:t xml:space="preserve"> </w:t>
      </w:r>
      <w:r>
        <w:rPr>
          <w:sz w:val="21"/>
        </w:rPr>
        <w:t>of</w:t>
      </w:r>
      <w:r>
        <w:rPr>
          <w:spacing w:val="-11"/>
          <w:sz w:val="21"/>
        </w:rPr>
        <w:t xml:space="preserve"> </w:t>
      </w:r>
      <w:r>
        <w:rPr>
          <w:sz w:val="21"/>
        </w:rPr>
        <w:t>order</w:t>
      </w:r>
      <w:r>
        <w:rPr>
          <w:spacing w:val="-11"/>
          <w:sz w:val="21"/>
        </w:rPr>
        <w:t xml:space="preserve"> </w:t>
      </w:r>
      <w:r>
        <w:rPr>
          <w:sz w:val="21"/>
        </w:rPr>
        <w:t>and decorum</w:t>
      </w:r>
      <w:r>
        <w:rPr>
          <w:spacing w:val="-13"/>
          <w:sz w:val="21"/>
        </w:rPr>
        <w:t xml:space="preserve"> </w:t>
      </w:r>
      <w:r>
        <w:rPr>
          <w:sz w:val="21"/>
        </w:rPr>
        <w:t>in</w:t>
      </w:r>
      <w:r>
        <w:rPr>
          <w:spacing w:val="-11"/>
          <w:sz w:val="21"/>
        </w:rPr>
        <w:t xml:space="preserve"> </w:t>
      </w:r>
      <w:r>
        <w:rPr>
          <w:sz w:val="21"/>
        </w:rPr>
        <w:t>the</w:t>
      </w:r>
      <w:r>
        <w:rPr>
          <w:spacing w:val="-14"/>
          <w:sz w:val="21"/>
        </w:rPr>
        <w:t xml:space="preserve"> </w:t>
      </w:r>
      <w:r>
        <w:rPr>
          <w:sz w:val="21"/>
        </w:rPr>
        <w:t>place</w:t>
      </w:r>
      <w:r>
        <w:rPr>
          <w:spacing w:val="-10"/>
          <w:sz w:val="21"/>
        </w:rPr>
        <w:t xml:space="preserve"> </w:t>
      </w:r>
      <w:r>
        <w:rPr>
          <w:sz w:val="21"/>
        </w:rPr>
        <w:t>of</w:t>
      </w:r>
      <w:r>
        <w:rPr>
          <w:spacing w:val="-11"/>
          <w:sz w:val="21"/>
        </w:rPr>
        <w:t xml:space="preserve"> </w:t>
      </w:r>
      <w:r>
        <w:rPr>
          <w:sz w:val="21"/>
        </w:rPr>
        <w:t>public</w:t>
      </w:r>
      <w:r>
        <w:rPr>
          <w:spacing w:val="-11"/>
          <w:sz w:val="21"/>
        </w:rPr>
        <w:t xml:space="preserve"> </w:t>
      </w:r>
      <w:r>
        <w:rPr>
          <w:sz w:val="21"/>
        </w:rPr>
        <w:t>worship</w:t>
      </w:r>
      <w:r>
        <w:rPr>
          <w:spacing w:val="-12"/>
          <w:sz w:val="21"/>
        </w:rPr>
        <w:t xml:space="preserve"> </w:t>
      </w:r>
      <w:r>
        <w:rPr>
          <w:sz w:val="21"/>
        </w:rPr>
        <w:t>and</w:t>
      </w:r>
      <w:r>
        <w:rPr>
          <w:spacing w:val="-10"/>
          <w:sz w:val="21"/>
        </w:rPr>
        <w:t xml:space="preserve"> </w:t>
      </w:r>
      <w:r>
        <w:rPr>
          <w:sz w:val="21"/>
        </w:rPr>
        <w:t>the</w:t>
      </w:r>
      <w:r>
        <w:rPr>
          <w:spacing w:val="-11"/>
          <w:sz w:val="21"/>
        </w:rPr>
        <w:t xml:space="preserve"> </w:t>
      </w:r>
      <w:r>
        <w:rPr>
          <w:sz w:val="21"/>
        </w:rPr>
        <w:t>due</w:t>
      </w:r>
      <w:r>
        <w:rPr>
          <w:spacing w:val="-11"/>
          <w:sz w:val="21"/>
        </w:rPr>
        <w:t xml:space="preserve"> </w:t>
      </w:r>
      <w:r>
        <w:rPr>
          <w:sz w:val="21"/>
        </w:rPr>
        <w:t>observance of the religious rites and ceremonies performed</w:t>
      </w:r>
      <w:r>
        <w:rPr>
          <w:spacing w:val="-11"/>
          <w:sz w:val="21"/>
        </w:rPr>
        <w:t xml:space="preserve"> </w:t>
      </w:r>
      <w:r>
        <w:rPr>
          <w:sz w:val="21"/>
        </w:rPr>
        <w:t>therein:</w:t>
      </w:r>
    </w:p>
    <w:p w:rsidR="003B2FC0" w:rsidRDefault="00052A49">
      <w:pPr>
        <w:spacing w:before="201" w:line="276" w:lineRule="auto"/>
        <w:ind w:left="1840" w:right="2258"/>
        <w:jc w:val="both"/>
        <w:rPr>
          <w:sz w:val="21"/>
        </w:rPr>
      </w:pPr>
      <w:r>
        <w:rPr>
          <w:sz w:val="21"/>
        </w:rPr>
        <w:t>Provided that no regulation made under this sub-section shall discriminate in any manner whatsoever, against any Hindu on the ground that he belongs to a particular section or class.</w:t>
      </w:r>
    </w:p>
    <w:p w:rsidR="003B2FC0" w:rsidRDefault="00052A49">
      <w:pPr>
        <w:pStyle w:val="ListParagraph"/>
        <w:numPr>
          <w:ilvl w:val="2"/>
          <w:numId w:val="39"/>
        </w:numPr>
        <w:tabs>
          <w:tab w:val="left" w:pos="2157"/>
        </w:tabs>
        <w:spacing w:before="199" w:line="276" w:lineRule="auto"/>
        <w:ind w:right="2258" w:firstLine="0"/>
        <w:jc w:val="both"/>
        <w:rPr>
          <w:sz w:val="21"/>
        </w:rPr>
      </w:pPr>
      <w:r>
        <w:rPr>
          <w:sz w:val="21"/>
        </w:rPr>
        <w:t>The competent authority referred to in sub-section (1) shall be,-</w:t>
      </w:r>
    </w:p>
    <w:p w:rsidR="003B2FC0" w:rsidRDefault="00052A49">
      <w:pPr>
        <w:pStyle w:val="ListParagraph"/>
        <w:numPr>
          <w:ilvl w:val="3"/>
          <w:numId w:val="39"/>
        </w:numPr>
        <w:tabs>
          <w:tab w:val="left" w:pos="2097"/>
        </w:tabs>
        <w:spacing w:before="201" w:line="276" w:lineRule="auto"/>
        <w:ind w:right="2257" w:firstLine="0"/>
        <w:jc w:val="both"/>
        <w:rPr>
          <w:sz w:val="21"/>
        </w:rPr>
      </w:pPr>
      <w:r>
        <w:rPr>
          <w:sz w:val="21"/>
        </w:rPr>
        <w:t>In rela</w:t>
      </w:r>
      <w:r>
        <w:rPr>
          <w:sz w:val="21"/>
        </w:rPr>
        <w:t>tion to a place of public worship situated in any area to which Part I of the Travancore-Cochin Hindu Religious Institutions Act, 1950 (Travancore-Cochin Act XV of 1950), extends, the Travancore Devaswom</w:t>
      </w:r>
      <w:r>
        <w:rPr>
          <w:spacing w:val="-9"/>
          <w:sz w:val="21"/>
        </w:rPr>
        <w:t xml:space="preserve"> </w:t>
      </w:r>
      <w:r>
        <w:rPr>
          <w:sz w:val="21"/>
        </w:rPr>
        <w:t>Board;</w:t>
      </w:r>
    </w:p>
    <w:p w:rsidR="003B2FC0" w:rsidRDefault="00052A49">
      <w:pPr>
        <w:pStyle w:val="ListParagraph"/>
        <w:numPr>
          <w:ilvl w:val="3"/>
          <w:numId w:val="39"/>
        </w:numPr>
        <w:tabs>
          <w:tab w:val="left" w:pos="2140"/>
        </w:tabs>
        <w:spacing w:before="1" w:line="276" w:lineRule="auto"/>
        <w:ind w:right="2260" w:firstLine="0"/>
        <w:jc w:val="both"/>
        <w:rPr>
          <w:sz w:val="21"/>
        </w:rPr>
      </w:pPr>
      <w:r>
        <w:rPr>
          <w:sz w:val="21"/>
        </w:rPr>
        <w:t>in relation to a place of public worship situ</w:t>
      </w:r>
      <w:r>
        <w:rPr>
          <w:sz w:val="21"/>
        </w:rPr>
        <w:t>ated in any area to which Part II of the said Act extends, the Cochin</w:t>
      </w:r>
      <w:r>
        <w:rPr>
          <w:spacing w:val="-26"/>
          <w:sz w:val="21"/>
        </w:rPr>
        <w:t xml:space="preserve"> </w:t>
      </w:r>
      <w:r>
        <w:rPr>
          <w:sz w:val="21"/>
        </w:rPr>
        <w:t>Devaswom Board;</w:t>
      </w:r>
      <w:r>
        <w:rPr>
          <w:spacing w:val="-2"/>
          <w:sz w:val="21"/>
        </w:rPr>
        <w:t xml:space="preserve"> </w:t>
      </w:r>
      <w:r>
        <w:rPr>
          <w:sz w:val="21"/>
        </w:rPr>
        <w:t>and</w:t>
      </w:r>
    </w:p>
    <w:p w:rsidR="003B2FC0" w:rsidRDefault="00052A49">
      <w:pPr>
        <w:pStyle w:val="ListParagraph"/>
        <w:numPr>
          <w:ilvl w:val="3"/>
          <w:numId w:val="39"/>
        </w:numPr>
        <w:tabs>
          <w:tab w:val="left" w:pos="2179"/>
        </w:tabs>
        <w:spacing w:line="273" w:lineRule="auto"/>
        <w:ind w:right="2260" w:firstLine="0"/>
        <w:jc w:val="both"/>
        <w:rPr>
          <w:sz w:val="21"/>
        </w:rPr>
      </w:pPr>
      <w:r>
        <w:rPr>
          <w:sz w:val="21"/>
        </w:rPr>
        <w:t>in relation to a place of public worship situated in any</w:t>
      </w:r>
      <w:r>
        <w:rPr>
          <w:spacing w:val="-26"/>
          <w:sz w:val="21"/>
        </w:rPr>
        <w:t xml:space="preserve"> </w:t>
      </w:r>
      <w:r>
        <w:rPr>
          <w:sz w:val="21"/>
        </w:rPr>
        <w:t>other area in the State of Kerala, the</w:t>
      </w:r>
      <w:r>
        <w:rPr>
          <w:spacing w:val="-12"/>
          <w:sz w:val="21"/>
        </w:rPr>
        <w:t xml:space="preserve"> </w:t>
      </w:r>
      <w:r>
        <w:rPr>
          <w:sz w:val="21"/>
        </w:rPr>
        <w:t>Government.”</w:t>
      </w:r>
    </w:p>
    <w:p w:rsidR="003B2FC0" w:rsidRDefault="003B2FC0">
      <w:pPr>
        <w:rPr>
          <w:sz w:val="24"/>
        </w:rPr>
      </w:pPr>
    </w:p>
    <w:p w:rsidR="003B2FC0" w:rsidRDefault="00052A49">
      <w:pPr>
        <w:spacing w:before="206" w:line="480" w:lineRule="auto"/>
        <w:ind w:left="400" w:right="431"/>
        <w:jc w:val="both"/>
        <w:rPr>
          <w:sz w:val="26"/>
        </w:rPr>
      </w:pPr>
      <w:r>
        <w:rPr>
          <w:sz w:val="26"/>
        </w:rPr>
        <w:t>Section 4(1) empowers the trustee or a person in charge of a place of public worship to make regulations for maintenance of order and decorum and for observance of rites and ceremonies in places of public worship. The regulation making power is not absolut</w:t>
      </w:r>
      <w:r>
        <w:rPr>
          <w:sz w:val="26"/>
        </w:rPr>
        <w:t>e. The proviso to Section 4(1) prohibits discrimination against any Hindu in any manner whatsoever on the ground that he or she belongs to a particular section or class.</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before="1" w:line="480" w:lineRule="auto"/>
        <w:ind w:right="435" w:firstLine="0"/>
        <w:jc w:val="both"/>
        <w:rPr>
          <w:sz w:val="26"/>
        </w:rPr>
      </w:pPr>
      <w:r>
        <w:rPr>
          <w:sz w:val="26"/>
        </w:rPr>
        <w:t>When</w:t>
      </w:r>
      <w:r>
        <w:rPr>
          <w:spacing w:val="-16"/>
          <w:sz w:val="26"/>
        </w:rPr>
        <w:t xml:space="preserve"> </w:t>
      </w:r>
      <w:r>
        <w:rPr>
          <w:sz w:val="26"/>
        </w:rPr>
        <w:t>the</w:t>
      </w:r>
      <w:r>
        <w:rPr>
          <w:spacing w:val="-16"/>
          <w:sz w:val="26"/>
        </w:rPr>
        <w:t xml:space="preserve"> </w:t>
      </w:r>
      <w:r>
        <w:rPr>
          <w:sz w:val="26"/>
        </w:rPr>
        <w:t>rule-making</w:t>
      </w:r>
      <w:r>
        <w:rPr>
          <w:spacing w:val="-15"/>
          <w:sz w:val="26"/>
        </w:rPr>
        <w:t xml:space="preserve"> </w:t>
      </w:r>
      <w:r>
        <w:rPr>
          <w:sz w:val="26"/>
        </w:rPr>
        <w:t>power</w:t>
      </w:r>
      <w:r>
        <w:rPr>
          <w:spacing w:val="-16"/>
          <w:sz w:val="26"/>
        </w:rPr>
        <w:t xml:space="preserve"> </w:t>
      </w:r>
      <w:r>
        <w:rPr>
          <w:sz w:val="26"/>
        </w:rPr>
        <w:t>is</w:t>
      </w:r>
      <w:r>
        <w:rPr>
          <w:spacing w:val="-14"/>
          <w:sz w:val="26"/>
        </w:rPr>
        <w:t xml:space="preserve"> </w:t>
      </w:r>
      <w:r>
        <w:rPr>
          <w:sz w:val="26"/>
        </w:rPr>
        <w:t>conferred</w:t>
      </w:r>
      <w:r>
        <w:rPr>
          <w:spacing w:val="-13"/>
          <w:sz w:val="26"/>
        </w:rPr>
        <w:t xml:space="preserve"> </w:t>
      </w:r>
      <w:r>
        <w:rPr>
          <w:sz w:val="26"/>
        </w:rPr>
        <w:t>by</w:t>
      </w:r>
      <w:r>
        <w:rPr>
          <w:spacing w:val="-15"/>
          <w:sz w:val="26"/>
        </w:rPr>
        <w:t xml:space="preserve"> </w:t>
      </w:r>
      <w:r>
        <w:rPr>
          <w:sz w:val="26"/>
        </w:rPr>
        <w:t>legislation</w:t>
      </w:r>
      <w:r>
        <w:rPr>
          <w:spacing w:val="-16"/>
          <w:sz w:val="26"/>
        </w:rPr>
        <w:t xml:space="preserve"> </w:t>
      </w:r>
      <w:r>
        <w:rPr>
          <w:sz w:val="26"/>
        </w:rPr>
        <w:t>on</w:t>
      </w:r>
      <w:r>
        <w:rPr>
          <w:spacing w:val="-13"/>
          <w:sz w:val="26"/>
        </w:rPr>
        <w:t xml:space="preserve"> </w:t>
      </w:r>
      <w:r>
        <w:rPr>
          <w:sz w:val="26"/>
        </w:rPr>
        <w:t>a</w:t>
      </w:r>
      <w:r>
        <w:rPr>
          <w:spacing w:val="-16"/>
          <w:sz w:val="26"/>
        </w:rPr>
        <w:t xml:space="preserve"> </w:t>
      </w:r>
      <w:r>
        <w:rPr>
          <w:sz w:val="26"/>
        </w:rPr>
        <w:t>delegate,</w:t>
      </w:r>
      <w:r>
        <w:rPr>
          <w:spacing w:val="-13"/>
          <w:sz w:val="26"/>
        </w:rPr>
        <w:t xml:space="preserve"> </w:t>
      </w:r>
      <w:r>
        <w:rPr>
          <w:sz w:val="26"/>
        </w:rPr>
        <w:t>the latter</w:t>
      </w:r>
      <w:r>
        <w:rPr>
          <w:spacing w:val="-12"/>
          <w:sz w:val="26"/>
        </w:rPr>
        <w:t xml:space="preserve"> </w:t>
      </w:r>
      <w:r>
        <w:rPr>
          <w:sz w:val="26"/>
        </w:rPr>
        <w:t>cannot</w:t>
      </w:r>
      <w:r>
        <w:rPr>
          <w:spacing w:val="-12"/>
          <w:sz w:val="26"/>
        </w:rPr>
        <w:t xml:space="preserve"> </w:t>
      </w:r>
      <w:r>
        <w:rPr>
          <w:sz w:val="26"/>
        </w:rPr>
        <w:t>make</w:t>
      </w:r>
      <w:r>
        <w:rPr>
          <w:spacing w:val="-12"/>
          <w:sz w:val="26"/>
        </w:rPr>
        <w:t xml:space="preserve"> </w:t>
      </w:r>
      <w:r>
        <w:rPr>
          <w:sz w:val="26"/>
        </w:rPr>
        <w:t>a</w:t>
      </w:r>
      <w:r>
        <w:rPr>
          <w:spacing w:val="-8"/>
          <w:sz w:val="26"/>
        </w:rPr>
        <w:t xml:space="preserve"> </w:t>
      </w:r>
      <w:r>
        <w:rPr>
          <w:sz w:val="26"/>
        </w:rPr>
        <w:t>rule</w:t>
      </w:r>
      <w:r>
        <w:rPr>
          <w:spacing w:val="-14"/>
          <w:sz w:val="26"/>
        </w:rPr>
        <w:t xml:space="preserve"> </w:t>
      </w:r>
      <w:r>
        <w:rPr>
          <w:sz w:val="26"/>
        </w:rPr>
        <w:t>contrary</w:t>
      </w:r>
      <w:r>
        <w:rPr>
          <w:spacing w:val="-14"/>
          <w:sz w:val="26"/>
        </w:rPr>
        <w:t xml:space="preserve"> </w:t>
      </w:r>
      <w:r>
        <w:rPr>
          <w:sz w:val="26"/>
        </w:rPr>
        <w:t>to</w:t>
      </w:r>
      <w:r>
        <w:rPr>
          <w:spacing w:val="-12"/>
          <w:sz w:val="26"/>
        </w:rPr>
        <w:t xml:space="preserve"> </w:t>
      </w:r>
      <w:r>
        <w:rPr>
          <w:sz w:val="26"/>
        </w:rPr>
        <w:t>the</w:t>
      </w:r>
      <w:r>
        <w:rPr>
          <w:spacing w:val="-13"/>
          <w:sz w:val="26"/>
        </w:rPr>
        <w:t xml:space="preserve"> </w:t>
      </w:r>
      <w:r>
        <w:rPr>
          <w:sz w:val="26"/>
        </w:rPr>
        <w:t>provisions</w:t>
      </w:r>
      <w:r>
        <w:rPr>
          <w:spacing w:val="-12"/>
          <w:sz w:val="26"/>
        </w:rPr>
        <w:t xml:space="preserve"> </w:t>
      </w:r>
      <w:r>
        <w:rPr>
          <w:sz w:val="26"/>
        </w:rPr>
        <w:t>of</w:t>
      </w:r>
      <w:r>
        <w:rPr>
          <w:spacing w:val="-12"/>
          <w:sz w:val="26"/>
        </w:rPr>
        <w:t xml:space="preserve"> </w:t>
      </w:r>
      <w:r>
        <w:rPr>
          <w:sz w:val="26"/>
        </w:rPr>
        <w:t>the</w:t>
      </w:r>
      <w:r>
        <w:rPr>
          <w:spacing w:val="-13"/>
          <w:sz w:val="26"/>
        </w:rPr>
        <w:t xml:space="preserve"> </w:t>
      </w:r>
      <w:r>
        <w:rPr>
          <w:sz w:val="26"/>
        </w:rPr>
        <w:t>parent</w:t>
      </w:r>
      <w:r>
        <w:rPr>
          <w:spacing w:val="-12"/>
          <w:sz w:val="26"/>
        </w:rPr>
        <w:t xml:space="preserve"> </w:t>
      </w:r>
      <w:r>
        <w:rPr>
          <w:sz w:val="26"/>
        </w:rPr>
        <w:t>legislation.</w:t>
      </w:r>
      <w:r>
        <w:rPr>
          <w:spacing w:val="-12"/>
          <w:sz w:val="26"/>
        </w:rPr>
        <w:t xml:space="preserve"> </w:t>
      </w:r>
      <w:r>
        <w:rPr>
          <w:sz w:val="26"/>
        </w:rPr>
        <w:t>The rule-making</w:t>
      </w:r>
      <w:r>
        <w:rPr>
          <w:spacing w:val="-13"/>
          <w:sz w:val="26"/>
        </w:rPr>
        <w:t xml:space="preserve"> </w:t>
      </w:r>
      <w:r>
        <w:rPr>
          <w:sz w:val="26"/>
        </w:rPr>
        <w:t>authority</w:t>
      </w:r>
      <w:r>
        <w:rPr>
          <w:spacing w:val="-14"/>
          <w:sz w:val="26"/>
        </w:rPr>
        <w:t xml:space="preserve"> </w:t>
      </w:r>
      <w:r>
        <w:rPr>
          <w:sz w:val="26"/>
        </w:rPr>
        <w:t>does</w:t>
      </w:r>
      <w:r>
        <w:rPr>
          <w:spacing w:val="-12"/>
          <w:sz w:val="26"/>
        </w:rPr>
        <w:t xml:space="preserve"> </w:t>
      </w:r>
      <w:r>
        <w:rPr>
          <w:sz w:val="26"/>
        </w:rPr>
        <w:t>not</w:t>
      </w:r>
      <w:r>
        <w:rPr>
          <w:spacing w:val="-14"/>
          <w:sz w:val="26"/>
        </w:rPr>
        <w:t xml:space="preserve"> </w:t>
      </w:r>
      <w:r>
        <w:rPr>
          <w:sz w:val="26"/>
        </w:rPr>
        <w:t>have</w:t>
      </w:r>
      <w:r>
        <w:rPr>
          <w:spacing w:val="-12"/>
          <w:sz w:val="26"/>
        </w:rPr>
        <w:t xml:space="preserve"> </w:t>
      </w:r>
      <w:r>
        <w:rPr>
          <w:sz w:val="26"/>
        </w:rPr>
        <w:t>the</w:t>
      </w:r>
      <w:r>
        <w:rPr>
          <w:spacing w:val="-12"/>
          <w:sz w:val="26"/>
        </w:rPr>
        <w:t xml:space="preserve"> </w:t>
      </w:r>
      <w:r>
        <w:rPr>
          <w:sz w:val="26"/>
        </w:rPr>
        <w:t>power</w:t>
      </w:r>
      <w:r>
        <w:rPr>
          <w:spacing w:val="-14"/>
          <w:sz w:val="26"/>
        </w:rPr>
        <w:t xml:space="preserve"> </w:t>
      </w:r>
      <w:r>
        <w:rPr>
          <w:sz w:val="26"/>
        </w:rPr>
        <w:t>to</w:t>
      </w:r>
      <w:r>
        <w:rPr>
          <w:spacing w:val="-12"/>
          <w:sz w:val="26"/>
        </w:rPr>
        <w:t xml:space="preserve"> </w:t>
      </w:r>
      <w:r>
        <w:rPr>
          <w:sz w:val="26"/>
        </w:rPr>
        <w:t>make</w:t>
      </w:r>
      <w:r>
        <w:rPr>
          <w:spacing w:val="-12"/>
          <w:sz w:val="26"/>
        </w:rPr>
        <w:t xml:space="preserve"> </w:t>
      </w:r>
      <w:r>
        <w:rPr>
          <w:sz w:val="26"/>
        </w:rPr>
        <w:t>a</w:t>
      </w:r>
      <w:r>
        <w:rPr>
          <w:spacing w:val="-14"/>
          <w:sz w:val="26"/>
        </w:rPr>
        <w:t xml:space="preserve"> </w:t>
      </w:r>
      <w:r>
        <w:rPr>
          <w:sz w:val="26"/>
        </w:rPr>
        <w:t>rule</w:t>
      </w:r>
      <w:r>
        <w:rPr>
          <w:spacing w:val="-13"/>
          <w:sz w:val="26"/>
        </w:rPr>
        <w:t xml:space="preserve"> </w:t>
      </w:r>
      <w:r>
        <w:rPr>
          <w:sz w:val="26"/>
        </w:rPr>
        <w:t>beyond</w:t>
      </w:r>
      <w:r>
        <w:rPr>
          <w:spacing w:val="-12"/>
          <w:sz w:val="26"/>
        </w:rPr>
        <w:t xml:space="preserve"> </w:t>
      </w:r>
      <w:r>
        <w:rPr>
          <w:sz w:val="26"/>
        </w:rPr>
        <w:t>the</w:t>
      </w:r>
      <w:r>
        <w:rPr>
          <w:spacing w:val="-12"/>
          <w:sz w:val="26"/>
        </w:rPr>
        <w:t xml:space="preserve"> </w:t>
      </w:r>
      <w:r>
        <w:rPr>
          <w:sz w:val="26"/>
        </w:rPr>
        <w:t>scope of</w:t>
      </w:r>
      <w:r>
        <w:rPr>
          <w:spacing w:val="-16"/>
          <w:sz w:val="26"/>
        </w:rPr>
        <w:t xml:space="preserve"> </w:t>
      </w:r>
      <w:r>
        <w:rPr>
          <w:sz w:val="26"/>
        </w:rPr>
        <w:t>the</w:t>
      </w:r>
      <w:r>
        <w:rPr>
          <w:spacing w:val="-13"/>
          <w:sz w:val="26"/>
        </w:rPr>
        <w:t xml:space="preserve"> </w:t>
      </w:r>
      <w:r>
        <w:rPr>
          <w:sz w:val="26"/>
        </w:rPr>
        <w:t>enabling</w:t>
      </w:r>
      <w:r>
        <w:rPr>
          <w:spacing w:val="-14"/>
          <w:sz w:val="26"/>
        </w:rPr>
        <w:t xml:space="preserve"> </w:t>
      </w:r>
      <w:r>
        <w:rPr>
          <w:sz w:val="26"/>
        </w:rPr>
        <w:t>law</w:t>
      </w:r>
      <w:r>
        <w:rPr>
          <w:spacing w:val="-15"/>
          <w:sz w:val="26"/>
        </w:rPr>
        <w:t xml:space="preserve"> </w:t>
      </w:r>
      <w:r>
        <w:rPr>
          <w:sz w:val="26"/>
        </w:rPr>
        <w:t>or</w:t>
      </w:r>
      <w:r>
        <w:rPr>
          <w:spacing w:val="-14"/>
          <w:sz w:val="26"/>
        </w:rPr>
        <w:t xml:space="preserve"> </w:t>
      </w:r>
      <w:r>
        <w:rPr>
          <w:sz w:val="26"/>
        </w:rPr>
        <w:t>inconsistent</w:t>
      </w:r>
      <w:r>
        <w:rPr>
          <w:spacing w:val="-13"/>
          <w:sz w:val="26"/>
        </w:rPr>
        <w:t xml:space="preserve"> </w:t>
      </w:r>
      <w:r>
        <w:rPr>
          <w:sz w:val="26"/>
        </w:rPr>
        <w:t>with</w:t>
      </w:r>
      <w:r>
        <w:rPr>
          <w:spacing w:val="-16"/>
          <w:sz w:val="26"/>
        </w:rPr>
        <w:t xml:space="preserve"> </w:t>
      </w:r>
      <w:r>
        <w:rPr>
          <w:sz w:val="26"/>
        </w:rPr>
        <w:t>the</w:t>
      </w:r>
      <w:r>
        <w:rPr>
          <w:spacing w:val="-13"/>
          <w:sz w:val="26"/>
        </w:rPr>
        <w:t xml:space="preserve"> </w:t>
      </w:r>
      <w:r>
        <w:rPr>
          <w:sz w:val="26"/>
        </w:rPr>
        <w:t>law.</w:t>
      </w:r>
      <w:r>
        <w:rPr>
          <w:position w:val="9"/>
          <w:sz w:val="17"/>
        </w:rPr>
        <w:t>122</w:t>
      </w:r>
      <w:r>
        <w:rPr>
          <w:spacing w:val="6"/>
          <w:position w:val="9"/>
          <w:sz w:val="17"/>
        </w:rPr>
        <w:t xml:space="preserve"> </w:t>
      </w:r>
      <w:r>
        <w:rPr>
          <w:sz w:val="26"/>
        </w:rPr>
        <w:t>Whether</w:t>
      </w:r>
      <w:r>
        <w:rPr>
          <w:spacing w:val="-16"/>
          <w:sz w:val="26"/>
        </w:rPr>
        <w:t xml:space="preserve"> </w:t>
      </w:r>
      <w:r>
        <w:rPr>
          <w:sz w:val="26"/>
        </w:rPr>
        <w:t>delegated</w:t>
      </w:r>
      <w:r>
        <w:rPr>
          <w:spacing w:val="-15"/>
          <w:sz w:val="26"/>
        </w:rPr>
        <w:t xml:space="preserve"> </w:t>
      </w:r>
      <w:r>
        <w:rPr>
          <w:sz w:val="26"/>
        </w:rPr>
        <w:t>legislation</w:t>
      </w:r>
    </w:p>
    <w:p w:rsidR="003B2FC0" w:rsidRDefault="003B2FC0">
      <w:pPr>
        <w:spacing w:before="5"/>
        <w:rPr>
          <w:sz w:val="24"/>
        </w:rPr>
      </w:pPr>
      <w:r w:rsidRPr="003B2FC0">
        <w:pict>
          <v:line id="_x0000_s1085" style="position:absolute;z-index:251630080;mso-wrap-distance-left:0;mso-wrap-distance-right:0;mso-position-horizontal-relative:page" from="1in,16.4pt" to="216.05pt,16.4pt" strokeweight=".72pt">
            <w10:wrap type="topAndBottom" anchorx="page"/>
          </v:line>
        </w:pict>
      </w:r>
    </w:p>
    <w:p w:rsidR="003B2FC0" w:rsidRDefault="00052A49">
      <w:pPr>
        <w:spacing w:before="66"/>
        <w:ind w:left="400"/>
        <w:rPr>
          <w:sz w:val="18"/>
        </w:rPr>
      </w:pPr>
      <w:r>
        <w:rPr>
          <w:position w:val="6"/>
          <w:sz w:val="12"/>
        </w:rPr>
        <w:t xml:space="preserve">122 </w:t>
      </w:r>
      <w:r>
        <w:rPr>
          <w:sz w:val="18"/>
        </w:rPr>
        <w:t>Additional District Magistrate v Siri Ram, (2000) 5 SCC 451</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77" w:lineRule="auto"/>
        <w:ind w:left="400" w:right="437"/>
        <w:jc w:val="both"/>
        <w:rPr>
          <w:sz w:val="17"/>
        </w:rPr>
      </w:pPr>
      <w:r>
        <w:rPr>
          <w:sz w:val="26"/>
        </w:rPr>
        <w:t>is</w:t>
      </w:r>
      <w:r>
        <w:rPr>
          <w:spacing w:val="-15"/>
          <w:sz w:val="26"/>
        </w:rPr>
        <w:t xml:space="preserve"> </w:t>
      </w:r>
      <w:r>
        <w:rPr>
          <w:sz w:val="26"/>
        </w:rPr>
        <w:t>in</w:t>
      </w:r>
      <w:r>
        <w:rPr>
          <w:spacing w:val="-15"/>
          <w:sz w:val="26"/>
        </w:rPr>
        <w:t xml:space="preserve"> </w:t>
      </w:r>
      <w:r>
        <w:rPr>
          <w:sz w:val="26"/>
        </w:rPr>
        <w:t>excess</w:t>
      </w:r>
      <w:r>
        <w:rPr>
          <w:spacing w:val="-14"/>
          <w:sz w:val="26"/>
        </w:rPr>
        <w:t xml:space="preserve"> </w:t>
      </w:r>
      <w:r>
        <w:rPr>
          <w:sz w:val="26"/>
        </w:rPr>
        <w:t>of</w:t>
      </w:r>
      <w:r>
        <w:rPr>
          <w:spacing w:val="-15"/>
          <w:sz w:val="26"/>
        </w:rPr>
        <w:t xml:space="preserve"> </w:t>
      </w:r>
      <w:r>
        <w:rPr>
          <w:sz w:val="26"/>
        </w:rPr>
        <w:t>the</w:t>
      </w:r>
      <w:r>
        <w:rPr>
          <w:spacing w:val="-15"/>
          <w:sz w:val="26"/>
        </w:rPr>
        <w:t xml:space="preserve"> </w:t>
      </w:r>
      <w:r>
        <w:rPr>
          <w:sz w:val="26"/>
        </w:rPr>
        <w:t>power</w:t>
      </w:r>
      <w:r>
        <w:rPr>
          <w:spacing w:val="-14"/>
          <w:sz w:val="26"/>
        </w:rPr>
        <w:t xml:space="preserve"> </w:t>
      </w:r>
      <w:r>
        <w:rPr>
          <w:sz w:val="26"/>
        </w:rPr>
        <w:t>conferred</w:t>
      </w:r>
      <w:r>
        <w:rPr>
          <w:spacing w:val="-15"/>
          <w:sz w:val="26"/>
        </w:rPr>
        <w:t xml:space="preserve"> </w:t>
      </w:r>
      <w:r>
        <w:rPr>
          <w:sz w:val="26"/>
        </w:rPr>
        <w:t>on</w:t>
      </w:r>
      <w:r>
        <w:rPr>
          <w:spacing w:val="-15"/>
          <w:sz w:val="26"/>
        </w:rPr>
        <w:t xml:space="preserve"> </w:t>
      </w:r>
      <w:r>
        <w:rPr>
          <w:sz w:val="26"/>
        </w:rPr>
        <w:t>the</w:t>
      </w:r>
      <w:r>
        <w:rPr>
          <w:spacing w:val="-12"/>
          <w:sz w:val="26"/>
        </w:rPr>
        <w:t xml:space="preserve"> </w:t>
      </w:r>
      <w:r>
        <w:rPr>
          <w:sz w:val="26"/>
        </w:rPr>
        <w:t>delegate</w:t>
      </w:r>
      <w:r>
        <w:rPr>
          <w:spacing w:val="-15"/>
          <w:sz w:val="26"/>
        </w:rPr>
        <w:t xml:space="preserve"> </w:t>
      </w:r>
      <w:r>
        <w:rPr>
          <w:sz w:val="26"/>
        </w:rPr>
        <w:t>is</w:t>
      </w:r>
      <w:r>
        <w:rPr>
          <w:spacing w:val="-14"/>
          <w:sz w:val="26"/>
        </w:rPr>
        <w:t xml:space="preserve"> </w:t>
      </w:r>
      <w:r>
        <w:rPr>
          <w:sz w:val="26"/>
        </w:rPr>
        <w:t>determined</w:t>
      </w:r>
      <w:r>
        <w:rPr>
          <w:spacing w:val="-15"/>
          <w:sz w:val="26"/>
        </w:rPr>
        <w:t xml:space="preserve"> </w:t>
      </w:r>
      <w:r>
        <w:rPr>
          <w:sz w:val="26"/>
        </w:rPr>
        <w:t>with</w:t>
      </w:r>
      <w:r>
        <w:rPr>
          <w:spacing w:val="-15"/>
          <w:sz w:val="26"/>
        </w:rPr>
        <w:t xml:space="preserve"> </w:t>
      </w:r>
      <w:r>
        <w:rPr>
          <w:sz w:val="26"/>
        </w:rPr>
        <w:t>reference to the specific provisions of the statute conferring the power and the object of the Act as gath</w:t>
      </w:r>
      <w:r>
        <w:rPr>
          <w:sz w:val="26"/>
        </w:rPr>
        <w:t>ered from its</w:t>
      </w:r>
      <w:r>
        <w:rPr>
          <w:spacing w:val="-7"/>
          <w:sz w:val="26"/>
        </w:rPr>
        <w:t xml:space="preserve"> </w:t>
      </w:r>
      <w:r>
        <w:rPr>
          <w:sz w:val="26"/>
        </w:rPr>
        <w:t>provisions.</w:t>
      </w:r>
      <w:r>
        <w:rPr>
          <w:position w:val="9"/>
          <w:sz w:val="17"/>
        </w:rPr>
        <w:t>123</w:t>
      </w:r>
    </w:p>
    <w:p w:rsidR="003B2FC0" w:rsidRDefault="003B2FC0">
      <w:pPr>
        <w:rPr>
          <w:sz w:val="30"/>
        </w:rPr>
      </w:pPr>
    </w:p>
    <w:p w:rsidR="003B2FC0" w:rsidRDefault="003B2FC0">
      <w:pPr>
        <w:spacing w:before="3"/>
        <w:rPr>
          <w:sz w:val="29"/>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Hindu women constitute a ‘section or class’ of Hindus under clauses b and c of Section 2 of the 1965 Act. The proviso to Section 4(1) forbids any regulation which discriminates against any Hindu on the ground of belonging</w:t>
      </w:r>
      <w:r>
        <w:rPr>
          <w:spacing w:val="-38"/>
          <w:sz w:val="26"/>
        </w:rPr>
        <w:t xml:space="preserve"> </w:t>
      </w:r>
      <w:r>
        <w:rPr>
          <w:sz w:val="26"/>
        </w:rPr>
        <w:t xml:space="preserve">to </w:t>
      </w:r>
      <w:r>
        <w:rPr>
          <w:sz w:val="26"/>
        </w:rPr>
        <w:t>a</w:t>
      </w:r>
      <w:r>
        <w:rPr>
          <w:spacing w:val="-17"/>
          <w:sz w:val="26"/>
        </w:rPr>
        <w:t xml:space="preserve"> </w:t>
      </w:r>
      <w:r>
        <w:rPr>
          <w:sz w:val="26"/>
        </w:rPr>
        <w:t>particular</w:t>
      </w:r>
      <w:r>
        <w:rPr>
          <w:spacing w:val="-16"/>
          <w:sz w:val="26"/>
        </w:rPr>
        <w:t xml:space="preserve"> </w:t>
      </w:r>
      <w:r>
        <w:rPr>
          <w:sz w:val="26"/>
        </w:rPr>
        <w:t>section</w:t>
      </w:r>
      <w:r>
        <w:rPr>
          <w:spacing w:val="-14"/>
          <w:sz w:val="26"/>
        </w:rPr>
        <w:t xml:space="preserve"> </w:t>
      </w:r>
      <w:r>
        <w:rPr>
          <w:sz w:val="26"/>
        </w:rPr>
        <w:t>or</w:t>
      </w:r>
      <w:r>
        <w:rPr>
          <w:spacing w:val="-14"/>
          <w:sz w:val="26"/>
        </w:rPr>
        <w:t xml:space="preserve"> </w:t>
      </w:r>
      <w:r>
        <w:rPr>
          <w:sz w:val="26"/>
        </w:rPr>
        <w:t>class.</w:t>
      </w:r>
      <w:r>
        <w:rPr>
          <w:spacing w:val="-14"/>
          <w:sz w:val="26"/>
        </w:rPr>
        <w:t xml:space="preserve"> </w:t>
      </w:r>
      <w:r>
        <w:rPr>
          <w:sz w:val="26"/>
        </w:rPr>
        <w:t>Above</w:t>
      </w:r>
      <w:r>
        <w:rPr>
          <w:spacing w:val="-14"/>
          <w:sz w:val="26"/>
        </w:rPr>
        <w:t xml:space="preserve"> </w:t>
      </w:r>
      <w:r>
        <w:rPr>
          <w:sz w:val="26"/>
        </w:rPr>
        <w:t>all,</w:t>
      </w:r>
      <w:r>
        <w:rPr>
          <w:spacing w:val="-16"/>
          <w:sz w:val="26"/>
        </w:rPr>
        <w:t xml:space="preserve"> </w:t>
      </w:r>
      <w:r>
        <w:rPr>
          <w:sz w:val="26"/>
        </w:rPr>
        <w:t>the</w:t>
      </w:r>
      <w:r>
        <w:rPr>
          <w:spacing w:val="-14"/>
          <w:sz w:val="26"/>
        </w:rPr>
        <w:t xml:space="preserve"> </w:t>
      </w:r>
      <w:r>
        <w:rPr>
          <w:sz w:val="26"/>
        </w:rPr>
        <w:t>mandate</w:t>
      </w:r>
      <w:r>
        <w:rPr>
          <w:spacing w:val="-16"/>
          <w:sz w:val="26"/>
        </w:rPr>
        <w:t xml:space="preserve"> </w:t>
      </w:r>
      <w:r>
        <w:rPr>
          <w:sz w:val="26"/>
        </w:rPr>
        <w:t>of</w:t>
      </w:r>
      <w:r>
        <w:rPr>
          <w:spacing w:val="-14"/>
          <w:sz w:val="26"/>
        </w:rPr>
        <w:t xml:space="preserve"> </w:t>
      </w:r>
      <w:r>
        <w:rPr>
          <w:sz w:val="26"/>
        </w:rPr>
        <w:t>Section</w:t>
      </w:r>
      <w:r>
        <w:rPr>
          <w:spacing w:val="-16"/>
          <w:sz w:val="26"/>
        </w:rPr>
        <w:t xml:space="preserve"> </w:t>
      </w:r>
      <w:r>
        <w:rPr>
          <w:sz w:val="26"/>
        </w:rPr>
        <w:t>3</w:t>
      </w:r>
      <w:r>
        <w:rPr>
          <w:spacing w:val="-14"/>
          <w:sz w:val="26"/>
        </w:rPr>
        <w:t xml:space="preserve"> </w:t>
      </w:r>
      <w:r>
        <w:rPr>
          <w:sz w:val="26"/>
        </w:rPr>
        <w:t>is</w:t>
      </w:r>
      <w:r>
        <w:rPr>
          <w:spacing w:val="-16"/>
          <w:sz w:val="26"/>
        </w:rPr>
        <w:t xml:space="preserve"> </w:t>
      </w:r>
      <w:r>
        <w:rPr>
          <w:sz w:val="26"/>
        </w:rPr>
        <w:t>that</w:t>
      </w:r>
      <w:r>
        <w:rPr>
          <w:spacing w:val="-16"/>
          <w:sz w:val="26"/>
        </w:rPr>
        <w:t xml:space="preserve"> </w:t>
      </w:r>
      <w:r>
        <w:rPr>
          <w:sz w:val="26"/>
        </w:rPr>
        <w:t>if</w:t>
      </w:r>
      <w:r>
        <w:rPr>
          <w:spacing w:val="-16"/>
          <w:sz w:val="26"/>
        </w:rPr>
        <w:t xml:space="preserve"> </w:t>
      </w:r>
      <w:r>
        <w:rPr>
          <w:sz w:val="26"/>
        </w:rPr>
        <w:t>a</w:t>
      </w:r>
      <w:r>
        <w:rPr>
          <w:spacing w:val="-16"/>
          <w:sz w:val="26"/>
        </w:rPr>
        <w:t xml:space="preserve"> </w:t>
      </w:r>
      <w:r>
        <w:rPr>
          <w:sz w:val="26"/>
        </w:rPr>
        <w:t>place of public worship is open to Hindus generally or to any section or class of Hindus, it shall be open to all sections or classes of Hindus. The Sabarimala temple is open to Hindus generally and in any case to a section or class of Hindus.</w:t>
      </w:r>
      <w:r>
        <w:rPr>
          <w:spacing w:val="6"/>
          <w:sz w:val="26"/>
        </w:rPr>
        <w:t xml:space="preserve"> </w:t>
      </w:r>
      <w:r>
        <w:rPr>
          <w:sz w:val="26"/>
        </w:rPr>
        <w:t>Hence</w:t>
      </w:r>
      <w:r>
        <w:rPr>
          <w:spacing w:val="7"/>
          <w:sz w:val="26"/>
        </w:rPr>
        <w:t xml:space="preserve"> </w:t>
      </w:r>
      <w:r>
        <w:rPr>
          <w:sz w:val="26"/>
        </w:rPr>
        <w:t>it</w:t>
      </w:r>
      <w:r>
        <w:rPr>
          <w:spacing w:val="8"/>
          <w:sz w:val="26"/>
        </w:rPr>
        <w:t xml:space="preserve"> </w:t>
      </w:r>
      <w:r>
        <w:rPr>
          <w:sz w:val="26"/>
        </w:rPr>
        <w:t>has</w:t>
      </w:r>
      <w:r>
        <w:rPr>
          <w:spacing w:val="9"/>
          <w:sz w:val="26"/>
        </w:rPr>
        <w:t xml:space="preserve"> </w:t>
      </w:r>
      <w:r>
        <w:rPr>
          <w:sz w:val="26"/>
        </w:rPr>
        <w:t>to</w:t>
      </w:r>
      <w:r>
        <w:rPr>
          <w:spacing w:val="7"/>
          <w:sz w:val="26"/>
        </w:rPr>
        <w:t xml:space="preserve"> </w:t>
      </w:r>
      <w:r>
        <w:rPr>
          <w:sz w:val="26"/>
        </w:rPr>
        <w:t>be</w:t>
      </w:r>
      <w:r>
        <w:rPr>
          <w:spacing w:val="7"/>
          <w:sz w:val="26"/>
        </w:rPr>
        <w:t xml:space="preserve"> </w:t>
      </w:r>
      <w:r>
        <w:rPr>
          <w:sz w:val="26"/>
        </w:rPr>
        <w:t>open</w:t>
      </w:r>
      <w:r>
        <w:rPr>
          <w:spacing w:val="7"/>
          <w:sz w:val="26"/>
        </w:rPr>
        <w:t xml:space="preserve"> </w:t>
      </w:r>
      <w:r>
        <w:rPr>
          <w:sz w:val="26"/>
        </w:rPr>
        <w:t>to</w:t>
      </w:r>
      <w:r>
        <w:rPr>
          <w:spacing w:val="9"/>
          <w:sz w:val="26"/>
        </w:rPr>
        <w:t xml:space="preserve"> </w:t>
      </w:r>
      <w:r>
        <w:rPr>
          <w:sz w:val="26"/>
          <w:u w:val="single"/>
        </w:rPr>
        <w:t>all</w:t>
      </w:r>
      <w:r>
        <w:rPr>
          <w:spacing w:val="8"/>
          <w:sz w:val="26"/>
        </w:rPr>
        <w:t xml:space="preserve"> </w:t>
      </w:r>
      <w:r>
        <w:rPr>
          <w:sz w:val="26"/>
        </w:rPr>
        <w:t>sections</w:t>
      </w:r>
      <w:r>
        <w:rPr>
          <w:spacing w:val="7"/>
          <w:sz w:val="26"/>
        </w:rPr>
        <w:t xml:space="preserve"> </w:t>
      </w:r>
      <w:r>
        <w:rPr>
          <w:sz w:val="26"/>
        </w:rPr>
        <w:t>or</w:t>
      </w:r>
      <w:r>
        <w:rPr>
          <w:spacing w:val="8"/>
          <w:sz w:val="26"/>
        </w:rPr>
        <w:t xml:space="preserve"> </w:t>
      </w:r>
      <w:r>
        <w:rPr>
          <w:sz w:val="26"/>
        </w:rPr>
        <w:t>classes</w:t>
      </w:r>
      <w:r>
        <w:rPr>
          <w:spacing w:val="6"/>
          <w:sz w:val="26"/>
        </w:rPr>
        <w:t xml:space="preserve"> </w:t>
      </w:r>
      <w:r>
        <w:rPr>
          <w:sz w:val="26"/>
        </w:rPr>
        <w:t>of</w:t>
      </w:r>
      <w:r>
        <w:rPr>
          <w:spacing w:val="7"/>
          <w:sz w:val="26"/>
        </w:rPr>
        <w:t xml:space="preserve"> </w:t>
      </w:r>
      <w:r>
        <w:rPr>
          <w:sz w:val="26"/>
        </w:rPr>
        <w:t>Hindus,</w:t>
      </w:r>
      <w:r>
        <w:rPr>
          <w:spacing w:val="7"/>
          <w:sz w:val="26"/>
        </w:rPr>
        <w:t xml:space="preserve"> </w:t>
      </w:r>
      <w:r>
        <w:rPr>
          <w:sz w:val="26"/>
        </w:rPr>
        <w:t>including</w:t>
      </w:r>
    </w:p>
    <w:p w:rsidR="003B2FC0" w:rsidRDefault="00052A49">
      <w:pPr>
        <w:spacing w:before="1" w:line="480" w:lineRule="auto"/>
        <w:ind w:left="400" w:right="431"/>
        <w:jc w:val="both"/>
        <w:rPr>
          <w:i/>
          <w:sz w:val="26"/>
        </w:rPr>
      </w:pPr>
      <w:r>
        <w:rPr>
          <w:sz w:val="26"/>
        </w:rPr>
        <w:t>Hindu women. Rule 3(b) gives precedence to customs and usages which</w:t>
      </w:r>
      <w:r>
        <w:rPr>
          <w:spacing w:val="-30"/>
          <w:sz w:val="26"/>
        </w:rPr>
        <w:t xml:space="preserve"> </w:t>
      </w:r>
      <w:r>
        <w:rPr>
          <w:sz w:val="26"/>
        </w:rPr>
        <w:t>allow the exclusion of women “at such time during which they are not… allowed to enter a place of public worship”. In laying dow</w:t>
      </w:r>
      <w:r>
        <w:rPr>
          <w:sz w:val="26"/>
        </w:rPr>
        <w:t>n such a prescription, Rule 3(b) directly offends the right of temple entry established by Section 3. Section 3 overrides any custom or usage to the contrary. But Rule 3 acknowledges, recognises and enforces a custom or usage to exclude women. This is plai</w:t>
      </w:r>
      <w:r>
        <w:rPr>
          <w:sz w:val="26"/>
        </w:rPr>
        <w:t xml:space="preserve">nly </w:t>
      </w:r>
      <w:r>
        <w:rPr>
          <w:i/>
          <w:sz w:val="26"/>
        </w:rPr>
        <w:t>ultra</w:t>
      </w:r>
      <w:r>
        <w:rPr>
          <w:i/>
          <w:spacing w:val="-2"/>
          <w:sz w:val="26"/>
        </w:rPr>
        <w:t xml:space="preserve"> </w:t>
      </w:r>
      <w:r>
        <w:rPr>
          <w:i/>
          <w:sz w:val="26"/>
        </w:rPr>
        <w:t>vires.</w:t>
      </w:r>
    </w:p>
    <w:p w:rsidR="003B2FC0" w:rsidRDefault="003B2FC0">
      <w:pPr>
        <w:rPr>
          <w:i/>
          <w:sz w:val="20"/>
        </w:rPr>
      </w:pPr>
    </w:p>
    <w:p w:rsidR="003B2FC0" w:rsidRDefault="003B2FC0">
      <w:pPr>
        <w:rPr>
          <w:i/>
          <w:sz w:val="20"/>
        </w:rPr>
      </w:pPr>
    </w:p>
    <w:p w:rsidR="003B2FC0" w:rsidRDefault="003B2FC0">
      <w:pPr>
        <w:rPr>
          <w:i/>
          <w:sz w:val="20"/>
        </w:rPr>
      </w:pPr>
    </w:p>
    <w:p w:rsidR="003B2FC0" w:rsidRDefault="003B2FC0">
      <w:pPr>
        <w:rPr>
          <w:i/>
          <w:sz w:val="20"/>
        </w:rPr>
      </w:pPr>
    </w:p>
    <w:p w:rsidR="003B2FC0" w:rsidRDefault="003B2FC0">
      <w:pPr>
        <w:rPr>
          <w:i/>
          <w:sz w:val="20"/>
        </w:rPr>
      </w:pPr>
    </w:p>
    <w:p w:rsidR="003B2FC0" w:rsidRDefault="003B2FC0">
      <w:pPr>
        <w:rPr>
          <w:i/>
          <w:sz w:val="20"/>
        </w:rPr>
      </w:pPr>
    </w:p>
    <w:p w:rsidR="003B2FC0" w:rsidRDefault="003B2FC0">
      <w:pPr>
        <w:rPr>
          <w:i/>
          <w:sz w:val="20"/>
        </w:rPr>
      </w:pPr>
    </w:p>
    <w:p w:rsidR="003B2FC0" w:rsidRDefault="003B2FC0">
      <w:pPr>
        <w:spacing w:before="4"/>
        <w:rPr>
          <w:i/>
          <w:sz w:val="29"/>
        </w:rPr>
      </w:pPr>
      <w:r w:rsidRPr="003B2FC0">
        <w:pict>
          <v:line id="_x0000_s1084" style="position:absolute;z-index:251631104;mso-wrap-distance-left:0;mso-wrap-distance-right:0;mso-position-horizontal-relative:page" from="1in,19.25pt" to="216.05pt,19.25pt" strokeweight=".72pt">
            <w10:wrap type="topAndBottom" anchorx="page"/>
          </v:line>
        </w:pict>
      </w:r>
    </w:p>
    <w:p w:rsidR="003B2FC0" w:rsidRDefault="00052A49">
      <w:pPr>
        <w:spacing w:before="66"/>
        <w:ind w:left="580" w:right="434" w:hanging="180"/>
        <w:rPr>
          <w:sz w:val="18"/>
        </w:rPr>
      </w:pPr>
      <w:r>
        <w:rPr>
          <w:position w:val="6"/>
          <w:sz w:val="12"/>
        </w:rPr>
        <w:t xml:space="preserve">123 </w:t>
      </w:r>
      <w:r>
        <w:rPr>
          <w:sz w:val="18"/>
        </w:rPr>
        <w:t>Maharashtra State Board of Secondary and Higher Education v Paritosh Bhupeshkumar Sheth, (1984) 4 SCC 27</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i/>
          <w:sz w:val="26"/>
        </w:rPr>
      </w:pPr>
      <w:r>
        <w:rPr>
          <w:sz w:val="26"/>
        </w:rPr>
        <w:t>The</w:t>
      </w:r>
      <w:r>
        <w:rPr>
          <w:spacing w:val="-7"/>
          <w:sz w:val="26"/>
        </w:rPr>
        <w:t xml:space="preserve"> </w:t>
      </w:r>
      <w:r>
        <w:rPr>
          <w:sz w:val="26"/>
        </w:rPr>
        <w:t>object</w:t>
      </w:r>
      <w:r>
        <w:rPr>
          <w:spacing w:val="-7"/>
          <w:sz w:val="26"/>
        </w:rPr>
        <w:t xml:space="preserve"> </w:t>
      </w:r>
      <w:r>
        <w:rPr>
          <w:sz w:val="26"/>
        </w:rPr>
        <w:t>of</w:t>
      </w:r>
      <w:r>
        <w:rPr>
          <w:spacing w:val="-7"/>
          <w:sz w:val="26"/>
        </w:rPr>
        <w:t xml:space="preserve"> </w:t>
      </w:r>
      <w:r>
        <w:rPr>
          <w:sz w:val="26"/>
        </w:rPr>
        <w:t>the</w:t>
      </w:r>
      <w:r>
        <w:rPr>
          <w:spacing w:val="-4"/>
          <w:sz w:val="26"/>
        </w:rPr>
        <w:t xml:space="preserve"> </w:t>
      </w:r>
      <w:r>
        <w:rPr>
          <w:sz w:val="26"/>
        </w:rPr>
        <w:t>Act</w:t>
      </w:r>
      <w:r>
        <w:rPr>
          <w:spacing w:val="-4"/>
          <w:sz w:val="26"/>
        </w:rPr>
        <w:t xml:space="preserve"> </w:t>
      </w:r>
      <w:r>
        <w:rPr>
          <w:sz w:val="26"/>
        </w:rPr>
        <w:t>is</w:t>
      </w:r>
      <w:r>
        <w:rPr>
          <w:spacing w:val="-7"/>
          <w:sz w:val="26"/>
        </w:rPr>
        <w:t xml:space="preserve"> </w:t>
      </w:r>
      <w:r>
        <w:rPr>
          <w:sz w:val="26"/>
        </w:rPr>
        <w:t>to</w:t>
      </w:r>
      <w:r>
        <w:rPr>
          <w:spacing w:val="-7"/>
          <w:sz w:val="26"/>
        </w:rPr>
        <w:t xml:space="preserve"> </w:t>
      </w:r>
      <w:r>
        <w:rPr>
          <w:sz w:val="26"/>
        </w:rPr>
        <w:t>enable</w:t>
      </w:r>
      <w:r>
        <w:rPr>
          <w:spacing w:val="-6"/>
          <w:sz w:val="26"/>
        </w:rPr>
        <w:t xml:space="preserve"> </w:t>
      </w:r>
      <w:r>
        <w:rPr>
          <w:sz w:val="26"/>
        </w:rPr>
        <w:t>the</w:t>
      </w:r>
      <w:r>
        <w:rPr>
          <w:spacing w:val="-7"/>
          <w:sz w:val="26"/>
        </w:rPr>
        <w:t xml:space="preserve"> </w:t>
      </w:r>
      <w:r>
        <w:rPr>
          <w:sz w:val="26"/>
        </w:rPr>
        <w:t>entry</w:t>
      </w:r>
      <w:r>
        <w:rPr>
          <w:spacing w:val="-7"/>
          <w:sz w:val="26"/>
        </w:rPr>
        <w:t xml:space="preserve"> </w:t>
      </w:r>
      <w:r>
        <w:rPr>
          <w:sz w:val="26"/>
        </w:rPr>
        <w:t>of</w:t>
      </w:r>
      <w:r>
        <w:rPr>
          <w:spacing w:val="-6"/>
          <w:sz w:val="26"/>
        </w:rPr>
        <w:t xml:space="preserve"> </w:t>
      </w:r>
      <w:r>
        <w:rPr>
          <w:sz w:val="26"/>
        </w:rPr>
        <w:t>all</w:t>
      </w:r>
      <w:r>
        <w:rPr>
          <w:spacing w:val="-7"/>
          <w:sz w:val="26"/>
        </w:rPr>
        <w:t xml:space="preserve"> </w:t>
      </w:r>
      <w:r>
        <w:rPr>
          <w:sz w:val="26"/>
        </w:rPr>
        <w:t>sections</w:t>
      </w:r>
      <w:r>
        <w:rPr>
          <w:spacing w:val="-7"/>
          <w:sz w:val="26"/>
        </w:rPr>
        <w:t xml:space="preserve"> </w:t>
      </w:r>
      <w:r>
        <w:rPr>
          <w:sz w:val="26"/>
        </w:rPr>
        <w:t>and</w:t>
      </w:r>
      <w:r>
        <w:rPr>
          <w:spacing w:val="-7"/>
          <w:sz w:val="26"/>
        </w:rPr>
        <w:t xml:space="preserve"> </w:t>
      </w:r>
      <w:r>
        <w:rPr>
          <w:sz w:val="26"/>
        </w:rPr>
        <w:t>classes</w:t>
      </w:r>
      <w:r>
        <w:rPr>
          <w:spacing w:val="-6"/>
          <w:sz w:val="26"/>
        </w:rPr>
        <w:t xml:space="preserve"> </w:t>
      </w:r>
      <w:r>
        <w:rPr>
          <w:sz w:val="26"/>
        </w:rPr>
        <w:t>of</w:t>
      </w:r>
      <w:r>
        <w:rPr>
          <w:spacing w:val="-7"/>
          <w:sz w:val="26"/>
        </w:rPr>
        <w:t xml:space="preserve"> </w:t>
      </w:r>
      <w:r>
        <w:rPr>
          <w:sz w:val="26"/>
        </w:rPr>
        <w:t>Hindus into</w:t>
      </w:r>
      <w:r>
        <w:rPr>
          <w:spacing w:val="-9"/>
          <w:sz w:val="26"/>
        </w:rPr>
        <w:t xml:space="preserve"> </w:t>
      </w:r>
      <w:r>
        <w:rPr>
          <w:sz w:val="26"/>
        </w:rPr>
        <w:t>temples</w:t>
      </w:r>
      <w:r>
        <w:rPr>
          <w:spacing w:val="-8"/>
          <w:sz w:val="26"/>
        </w:rPr>
        <w:t xml:space="preserve"> </w:t>
      </w:r>
      <w:r>
        <w:rPr>
          <w:sz w:val="26"/>
        </w:rPr>
        <w:t>dedicated</w:t>
      </w:r>
      <w:r>
        <w:rPr>
          <w:spacing w:val="-8"/>
          <w:sz w:val="26"/>
        </w:rPr>
        <w:t xml:space="preserve"> </w:t>
      </w:r>
      <w:r>
        <w:rPr>
          <w:sz w:val="26"/>
        </w:rPr>
        <w:t>to,</w:t>
      </w:r>
      <w:r>
        <w:rPr>
          <w:spacing w:val="-7"/>
          <w:sz w:val="26"/>
        </w:rPr>
        <w:t xml:space="preserve"> </w:t>
      </w:r>
      <w:r>
        <w:rPr>
          <w:sz w:val="26"/>
        </w:rPr>
        <w:t>or</w:t>
      </w:r>
      <w:r>
        <w:rPr>
          <w:spacing w:val="-6"/>
          <w:sz w:val="26"/>
        </w:rPr>
        <w:t xml:space="preserve"> </w:t>
      </w:r>
      <w:r>
        <w:rPr>
          <w:sz w:val="26"/>
        </w:rPr>
        <w:t>for</w:t>
      </w:r>
      <w:r>
        <w:rPr>
          <w:spacing w:val="-6"/>
          <w:sz w:val="26"/>
        </w:rPr>
        <w:t xml:space="preserve"> </w:t>
      </w:r>
      <w:r>
        <w:rPr>
          <w:sz w:val="26"/>
        </w:rPr>
        <w:t>the</w:t>
      </w:r>
      <w:r>
        <w:rPr>
          <w:spacing w:val="-6"/>
          <w:sz w:val="26"/>
        </w:rPr>
        <w:t xml:space="preserve"> </w:t>
      </w:r>
      <w:r>
        <w:rPr>
          <w:sz w:val="26"/>
        </w:rPr>
        <w:t>benefit</w:t>
      </w:r>
      <w:r>
        <w:rPr>
          <w:spacing w:val="-7"/>
          <w:sz w:val="26"/>
        </w:rPr>
        <w:t xml:space="preserve"> </w:t>
      </w:r>
      <w:r>
        <w:rPr>
          <w:sz w:val="26"/>
        </w:rPr>
        <w:t>of</w:t>
      </w:r>
      <w:r>
        <w:rPr>
          <w:spacing w:val="-6"/>
          <w:sz w:val="26"/>
        </w:rPr>
        <w:t xml:space="preserve"> </w:t>
      </w:r>
      <w:r>
        <w:rPr>
          <w:sz w:val="26"/>
        </w:rPr>
        <w:t>or</w:t>
      </w:r>
      <w:r>
        <w:rPr>
          <w:spacing w:val="-6"/>
          <w:sz w:val="26"/>
        </w:rPr>
        <w:t xml:space="preserve"> </w:t>
      </w:r>
      <w:r>
        <w:rPr>
          <w:sz w:val="26"/>
        </w:rPr>
        <w:t>used</w:t>
      </w:r>
      <w:r>
        <w:rPr>
          <w:spacing w:val="-7"/>
          <w:sz w:val="26"/>
        </w:rPr>
        <w:t xml:space="preserve"> </w:t>
      </w:r>
      <w:r>
        <w:rPr>
          <w:sz w:val="26"/>
        </w:rPr>
        <w:t>by</w:t>
      </w:r>
      <w:r>
        <w:rPr>
          <w:spacing w:val="-8"/>
          <w:sz w:val="26"/>
        </w:rPr>
        <w:t xml:space="preserve"> </w:t>
      </w:r>
      <w:r>
        <w:rPr>
          <w:sz w:val="26"/>
        </w:rPr>
        <w:t>any</w:t>
      </w:r>
      <w:r>
        <w:rPr>
          <w:spacing w:val="-8"/>
          <w:sz w:val="26"/>
        </w:rPr>
        <w:t xml:space="preserve"> </w:t>
      </w:r>
      <w:r>
        <w:rPr>
          <w:sz w:val="26"/>
        </w:rPr>
        <w:t>section</w:t>
      </w:r>
      <w:r>
        <w:rPr>
          <w:spacing w:val="-7"/>
          <w:sz w:val="26"/>
        </w:rPr>
        <w:t xml:space="preserve"> </w:t>
      </w:r>
      <w:r>
        <w:rPr>
          <w:sz w:val="26"/>
        </w:rPr>
        <w:t>or</w:t>
      </w:r>
      <w:r>
        <w:rPr>
          <w:spacing w:val="-8"/>
          <w:sz w:val="26"/>
        </w:rPr>
        <w:t xml:space="preserve"> </w:t>
      </w:r>
      <w:r>
        <w:rPr>
          <w:sz w:val="26"/>
        </w:rPr>
        <w:t>class</w:t>
      </w:r>
      <w:r>
        <w:rPr>
          <w:spacing w:val="-6"/>
          <w:sz w:val="26"/>
        </w:rPr>
        <w:t xml:space="preserve"> </w:t>
      </w:r>
      <w:r>
        <w:rPr>
          <w:sz w:val="26"/>
        </w:rPr>
        <w:t>of Hindus. The Act recognizes the rights of all sections and classes of Hindus to enter places of public worship and their right to offer prayers. The law was enacted to remedy centuries o</w:t>
      </w:r>
      <w:r>
        <w:rPr>
          <w:sz w:val="26"/>
        </w:rPr>
        <w:t xml:space="preserve">f discrimination and is an emanation of Article 25(2)(b) of the Constitution. The broad and liberal object of the Act cannot be shackled by the exclusion of women. Rule 3(b) is </w:t>
      </w:r>
      <w:r>
        <w:rPr>
          <w:i/>
          <w:sz w:val="26"/>
        </w:rPr>
        <w:t>ultra</w:t>
      </w:r>
      <w:r>
        <w:rPr>
          <w:i/>
          <w:spacing w:val="-5"/>
          <w:sz w:val="26"/>
        </w:rPr>
        <w:t xml:space="preserve"> </w:t>
      </w:r>
      <w:r>
        <w:rPr>
          <w:i/>
          <w:sz w:val="26"/>
        </w:rPr>
        <w:t>vires.</w:t>
      </w:r>
    </w:p>
    <w:p w:rsidR="003B2FC0" w:rsidRDefault="003B2FC0">
      <w:pPr>
        <w:rPr>
          <w:i/>
          <w:sz w:val="28"/>
        </w:rPr>
      </w:pPr>
    </w:p>
    <w:p w:rsidR="003B2FC0" w:rsidRDefault="003B2FC0">
      <w:pPr>
        <w:spacing w:before="4"/>
        <w:rPr>
          <w:i/>
          <w:sz w:val="34"/>
        </w:rPr>
      </w:pPr>
    </w:p>
    <w:p w:rsidR="003B2FC0" w:rsidRDefault="00052A49">
      <w:pPr>
        <w:pStyle w:val="Heading1"/>
        <w:numPr>
          <w:ilvl w:val="0"/>
          <w:numId w:val="20"/>
        </w:numPr>
        <w:tabs>
          <w:tab w:val="left" w:pos="1120"/>
          <w:tab w:val="left" w:pos="1121"/>
        </w:tabs>
        <w:rPr>
          <w:b w:val="0"/>
          <w:sz w:val="18"/>
        </w:rPr>
      </w:pPr>
      <w:r>
        <w:t>The ghost of</w:t>
      </w:r>
      <w:r>
        <w:rPr>
          <w:spacing w:val="2"/>
        </w:rPr>
        <w:t xml:space="preserve"> </w:t>
      </w:r>
      <w:r>
        <w:t>Narasu</w:t>
      </w:r>
      <w:r>
        <w:rPr>
          <w:b w:val="0"/>
          <w:position w:val="10"/>
          <w:sz w:val="18"/>
        </w:rPr>
        <w:t>124</w:t>
      </w:r>
    </w:p>
    <w:p w:rsidR="003B2FC0" w:rsidRDefault="003B2FC0">
      <w:pPr>
        <w:rPr>
          <w:sz w:val="32"/>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The Respondents have urged that the exclusion of women from the Sabarimala temple constitutes a custom, independent of the Act and the 1965 Rules.</w:t>
      </w:r>
      <w:r>
        <w:rPr>
          <w:position w:val="9"/>
          <w:sz w:val="17"/>
        </w:rPr>
        <w:t xml:space="preserve">125 </w:t>
      </w:r>
      <w:r>
        <w:rPr>
          <w:sz w:val="26"/>
        </w:rPr>
        <w:t>It was contended that this exclusion is part of ‘institutional worship’ and flows from the character of th</w:t>
      </w:r>
      <w:r>
        <w:rPr>
          <w:sz w:val="26"/>
        </w:rPr>
        <w:t>e deity as a Naishtika Brahmachari. During the proceedings, a submission was addressed on the ambit of Article 13 and the definition of ‘laws in force’ in clause 1 of that</w:t>
      </w:r>
      <w:r>
        <w:rPr>
          <w:spacing w:val="-8"/>
          <w:sz w:val="26"/>
        </w:rPr>
        <w:t xml:space="preserve"> </w:t>
      </w:r>
      <w:r>
        <w:rPr>
          <w:sz w:val="26"/>
        </w:rPr>
        <w:t>Article.</w:t>
      </w:r>
    </w:p>
    <w:p w:rsidR="003B2FC0" w:rsidRDefault="00052A49">
      <w:pPr>
        <w:spacing w:before="197"/>
        <w:ind w:left="400"/>
        <w:rPr>
          <w:sz w:val="26"/>
        </w:rPr>
      </w:pPr>
      <w:r>
        <w:rPr>
          <w:sz w:val="26"/>
        </w:rPr>
        <w:t>Article 13 of the Constitution reads thus:</w:t>
      </w:r>
    </w:p>
    <w:p w:rsidR="003B2FC0" w:rsidRDefault="003B2FC0">
      <w:pPr>
        <w:rPr>
          <w:sz w:val="28"/>
        </w:rPr>
      </w:pPr>
    </w:p>
    <w:p w:rsidR="003B2FC0" w:rsidRDefault="00052A49">
      <w:pPr>
        <w:spacing w:before="175" w:line="276" w:lineRule="auto"/>
        <w:ind w:left="1840" w:right="2282"/>
        <w:jc w:val="both"/>
        <w:rPr>
          <w:sz w:val="21"/>
        </w:rPr>
      </w:pPr>
      <w:r>
        <w:rPr>
          <w:sz w:val="21"/>
        </w:rPr>
        <w:t>“13. (1) All laws in force in the territory of India immediately before</w:t>
      </w:r>
      <w:r>
        <w:rPr>
          <w:spacing w:val="-15"/>
          <w:sz w:val="21"/>
        </w:rPr>
        <w:t xml:space="preserve"> </w:t>
      </w:r>
      <w:r>
        <w:rPr>
          <w:sz w:val="21"/>
        </w:rPr>
        <w:t>the</w:t>
      </w:r>
      <w:r>
        <w:rPr>
          <w:spacing w:val="-14"/>
          <w:sz w:val="21"/>
        </w:rPr>
        <w:t xml:space="preserve"> </w:t>
      </w:r>
      <w:r>
        <w:rPr>
          <w:sz w:val="21"/>
        </w:rPr>
        <w:t>commencement</w:t>
      </w:r>
      <w:r>
        <w:rPr>
          <w:spacing w:val="-15"/>
          <w:sz w:val="21"/>
        </w:rPr>
        <w:t xml:space="preserve"> </w:t>
      </w:r>
      <w:r>
        <w:rPr>
          <w:sz w:val="21"/>
        </w:rPr>
        <w:t>of</w:t>
      </w:r>
      <w:r>
        <w:rPr>
          <w:spacing w:val="-12"/>
          <w:sz w:val="21"/>
        </w:rPr>
        <w:t xml:space="preserve"> </w:t>
      </w:r>
      <w:r>
        <w:rPr>
          <w:sz w:val="21"/>
        </w:rPr>
        <w:t>this</w:t>
      </w:r>
      <w:r>
        <w:rPr>
          <w:spacing w:val="-17"/>
          <w:sz w:val="21"/>
        </w:rPr>
        <w:t xml:space="preserve"> </w:t>
      </w:r>
      <w:r>
        <w:rPr>
          <w:sz w:val="21"/>
        </w:rPr>
        <w:t>Constitution,</w:t>
      </w:r>
      <w:r>
        <w:rPr>
          <w:spacing w:val="-15"/>
          <w:sz w:val="21"/>
        </w:rPr>
        <w:t xml:space="preserve"> </w:t>
      </w:r>
      <w:r>
        <w:rPr>
          <w:sz w:val="21"/>
        </w:rPr>
        <w:t>in</w:t>
      </w:r>
      <w:r>
        <w:rPr>
          <w:spacing w:val="-13"/>
          <w:sz w:val="21"/>
        </w:rPr>
        <w:t xml:space="preserve"> </w:t>
      </w:r>
      <w:r>
        <w:rPr>
          <w:sz w:val="21"/>
        </w:rPr>
        <w:t>so</w:t>
      </w:r>
      <w:r>
        <w:rPr>
          <w:spacing w:val="-14"/>
          <w:sz w:val="21"/>
        </w:rPr>
        <w:t xml:space="preserve"> </w:t>
      </w:r>
      <w:r>
        <w:rPr>
          <w:sz w:val="21"/>
        </w:rPr>
        <w:t>far</w:t>
      </w:r>
      <w:r>
        <w:rPr>
          <w:spacing w:val="-15"/>
          <w:sz w:val="21"/>
        </w:rPr>
        <w:t xml:space="preserve"> </w:t>
      </w:r>
      <w:r>
        <w:rPr>
          <w:sz w:val="21"/>
        </w:rPr>
        <w:t>as</w:t>
      </w:r>
      <w:r>
        <w:rPr>
          <w:spacing w:val="-13"/>
          <w:sz w:val="21"/>
        </w:rPr>
        <w:t xml:space="preserve"> </w:t>
      </w:r>
      <w:r>
        <w:rPr>
          <w:sz w:val="21"/>
        </w:rPr>
        <w:t>they are inconsistent with the provisions of this Part, shall, to the extent of such inconsistency, be</w:t>
      </w:r>
      <w:r>
        <w:rPr>
          <w:spacing w:val="-5"/>
          <w:sz w:val="21"/>
        </w:rPr>
        <w:t xml:space="preserve"> </w:t>
      </w:r>
      <w:r>
        <w:rPr>
          <w:sz w:val="21"/>
        </w:rPr>
        <w:t>void.</w:t>
      </w:r>
    </w:p>
    <w:p w:rsidR="003B2FC0" w:rsidRDefault="00052A49">
      <w:pPr>
        <w:pStyle w:val="ListParagraph"/>
        <w:numPr>
          <w:ilvl w:val="0"/>
          <w:numId w:val="17"/>
        </w:numPr>
        <w:tabs>
          <w:tab w:val="left" w:pos="2191"/>
        </w:tabs>
        <w:spacing w:before="200" w:line="276" w:lineRule="auto"/>
        <w:ind w:right="2283" w:firstLine="0"/>
        <w:jc w:val="both"/>
        <w:rPr>
          <w:sz w:val="21"/>
        </w:rPr>
      </w:pPr>
      <w:r>
        <w:rPr>
          <w:sz w:val="21"/>
        </w:rPr>
        <w:t>The State shall not mak</w:t>
      </w:r>
      <w:r>
        <w:rPr>
          <w:sz w:val="21"/>
        </w:rPr>
        <w:t>e any law which takes away or abridges the rights conferred by this Part and any law made</w:t>
      </w:r>
      <w:r>
        <w:rPr>
          <w:spacing w:val="-23"/>
          <w:sz w:val="21"/>
        </w:rPr>
        <w:t xml:space="preserve"> </w:t>
      </w:r>
      <w:r>
        <w:rPr>
          <w:sz w:val="21"/>
        </w:rPr>
        <w:t>in</w:t>
      </w:r>
    </w:p>
    <w:p w:rsidR="003B2FC0" w:rsidRDefault="003B2FC0">
      <w:pPr>
        <w:rPr>
          <w:sz w:val="20"/>
        </w:rPr>
      </w:pPr>
    </w:p>
    <w:p w:rsidR="003B2FC0" w:rsidRDefault="003B2FC0">
      <w:pPr>
        <w:spacing w:before="6"/>
        <w:rPr>
          <w:sz w:val="27"/>
        </w:rPr>
      </w:pPr>
      <w:r w:rsidRPr="003B2FC0">
        <w:pict>
          <v:line id="_x0000_s1083" style="position:absolute;z-index:251632128;mso-wrap-distance-left:0;mso-wrap-distance-right:0;mso-position-horizontal-relative:page" from="1in,18.2pt" to="216.05pt,18.2pt" strokeweight=".72pt">
            <w10:wrap type="topAndBottom" anchorx="page"/>
          </v:line>
        </w:pict>
      </w:r>
    </w:p>
    <w:p w:rsidR="003B2FC0" w:rsidRDefault="00052A49">
      <w:pPr>
        <w:spacing w:before="67"/>
        <w:ind w:left="580" w:right="434" w:hanging="272"/>
        <w:rPr>
          <w:sz w:val="18"/>
        </w:rPr>
      </w:pPr>
      <w:r>
        <w:rPr>
          <w:position w:val="6"/>
          <w:sz w:val="12"/>
        </w:rPr>
        <w:t xml:space="preserve">124 </w:t>
      </w:r>
      <w:r>
        <w:rPr>
          <w:sz w:val="18"/>
        </w:rPr>
        <w:t>Indira Jaisingh, ‘The Ghost of Narasu Appa Mali is stalking the Supreme Court of India’, Lawyers Collective, 28 May, 2018</w:t>
      </w:r>
    </w:p>
    <w:p w:rsidR="003B2FC0" w:rsidRDefault="00052A49">
      <w:pPr>
        <w:spacing w:line="242" w:lineRule="auto"/>
        <w:ind w:left="580" w:right="434" w:hanging="272"/>
        <w:rPr>
          <w:sz w:val="18"/>
        </w:rPr>
      </w:pPr>
      <w:r>
        <w:rPr>
          <w:position w:val="6"/>
          <w:sz w:val="12"/>
        </w:rPr>
        <w:t xml:space="preserve">125 </w:t>
      </w:r>
      <w:r>
        <w:rPr>
          <w:sz w:val="18"/>
        </w:rPr>
        <w:t>Written Submissions of Senior Advocate Shri K. Parasaran, at paras 4, 6, 10, 15, 29, 39, 41; Additional Affidavit of Travancore Devaswom Board at para 1</w:t>
      </w:r>
    </w:p>
    <w:p w:rsidR="003B2FC0" w:rsidRDefault="003B2FC0">
      <w:pPr>
        <w:spacing w:line="242" w:lineRule="auto"/>
        <w:rPr>
          <w:sz w:val="18"/>
        </w:rPr>
        <w:sectPr w:rsidR="003B2FC0">
          <w:headerReference w:type="default" r:id="rId385"/>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5"/>
        <w:jc w:val="both"/>
        <w:rPr>
          <w:sz w:val="21"/>
        </w:rPr>
      </w:pPr>
      <w:r>
        <w:rPr>
          <w:sz w:val="21"/>
        </w:rPr>
        <w:t xml:space="preserve">contravention of this clause shall, to the extent of the contravention, </w:t>
      </w:r>
      <w:r>
        <w:rPr>
          <w:sz w:val="21"/>
        </w:rPr>
        <w:t>be void.</w:t>
      </w:r>
    </w:p>
    <w:p w:rsidR="003B2FC0" w:rsidRDefault="00052A49">
      <w:pPr>
        <w:pStyle w:val="ListParagraph"/>
        <w:numPr>
          <w:ilvl w:val="0"/>
          <w:numId w:val="17"/>
        </w:numPr>
        <w:tabs>
          <w:tab w:val="left" w:pos="2155"/>
        </w:tabs>
        <w:spacing w:before="201"/>
        <w:ind w:left="2154" w:hanging="314"/>
        <w:jc w:val="both"/>
        <w:rPr>
          <w:sz w:val="21"/>
        </w:rPr>
      </w:pPr>
      <w:r>
        <w:rPr>
          <w:sz w:val="21"/>
        </w:rPr>
        <w:t>In this article, unless the context otherwise</w:t>
      </w:r>
      <w:r>
        <w:rPr>
          <w:spacing w:val="-10"/>
          <w:sz w:val="21"/>
        </w:rPr>
        <w:t xml:space="preserve"> </w:t>
      </w:r>
      <w:r>
        <w:rPr>
          <w:sz w:val="21"/>
        </w:rPr>
        <w:t>requires,—</w:t>
      </w:r>
    </w:p>
    <w:p w:rsidR="003B2FC0" w:rsidRDefault="003B2FC0">
      <w:pPr>
        <w:spacing w:before="6"/>
        <w:rPr>
          <w:sz w:val="20"/>
        </w:rPr>
      </w:pPr>
    </w:p>
    <w:p w:rsidR="003B2FC0" w:rsidRDefault="00052A49">
      <w:pPr>
        <w:pStyle w:val="ListParagraph"/>
        <w:numPr>
          <w:ilvl w:val="0"/>
          <w:numId w:val="16"/>
        </w:numPr>
        <w:tabs>
          <w:tab w:val="left" w:pos="2266"/>
        </w:tabs>
        <w:spacing w:line="276" w:lineRule="auto"/>
        <w:ind w:right="2280" w:firstLine="0"/>
        <w:jc w:val="both"/>
        <w:rPr>
          <w:sz w:val="21"/>
        </w:rPr>
      </w:pPr>
      <w:r>
        <w:rPr>
          <w:sz w:val="21"/>
        </w:rPr>
        <w:t>“law” includes any Ordinance, order, bye-law, rule, regulation, notification, custom or usage having in the territory of India the force of</w:t>
      </w:r>
      <w:r>
        <w:rPr>
          <w:spacing w:val="-4"/>
          <w:sz w:val="21"/>
        </w:rPr>
        <w:t xml:space="preserve"> </w:t>
      </w:r>
      <w:r>
        <w:rPr>
          <w:sz w:val="21"/>
        </w:rPr>
        <w:t>law;</w:t>
      </w:r>
    </w:p>
    <w:p w:rsidR="003B2FC0" w:rsidRDefault="00052A49">
      <w:pPr>
        <w:pStyle w:val="ListParagraph"/>
        <w:numPr>
          <w:ilvl w:val="0"/>
          <w:numId w:val="16"/>
        </w:numPr>
        <w:tabs>
          <w:tab w:val="left" w:pos="2237"/>
        </w:tabs>
        <w:spacing w:before="199" w:line="276" w:lineRule="auto"/>
        <w:ind w:right="2282" w:firstLine="0"/>
        <w:jc w:val="both"/>
        <w:rPr>
          <w:sz w:val="21"/>
        </w:rPr>
      </w:pPr>
      <w:r>
        <w:rPr>
          <w:sz w:val="21"/>
        </w:rPr>
        <w:t>“laws in force” includes laws passed or made by a Legislature</w:t>
      </w:r>
      <w:r>
        <w:rPr>
          <w:spacing w:val="-6"/>
          <w:sz w:val="21"/>
        </w:rPr>
        <w:t xml:space="preserve"> </w:t>
      </w:r>
      <w:r>
        <w:rPr>
          <w:sz w:val="21"/>
        </w:rPr>
        <w:t>or</w:t>
      </w:r>
      <w:r>
        <w:rPr>
          <w:spacing w:val="-7"/>
          <w:sz w:val="21"/>
        </w:rPr>
        <w:t xml:space="preserve"> </w:t>
      </w:r>
      <w:r>
        <w:rPr>
          <w:sz w:val="21"/>
        </w:rPr>
        <w:t>other</w:t>
      </w:r>
      <w:r>
        <w:rPr>
          <w:spacing w:val="-5"/>
          <w:sz w:val="21"/>
        </w:rPr>
        <w:t xml:space="preserve"> </w:t>
      </w:r>
      <w:r>
        <w:rPr>
          <w:sz w:val="21"/>
        </w:rPr>
        <w:t>competent</w:t>
      </w:r>
      <w:r>
        <w:rPr>
          <w:spacing w:val="-7"/>
          <w:sz w:val="21"/>
        </w:rPr>
        <w:t xml:space="preserve"> </w:t>
      </w:r>
      <w:r>
        <w:rPr>
          <w:sz w:val="21"/>
        </w:rPr>
        <w:t>authority</w:t>
      </w:r>
      <w:r>
        <w:rPr>
          <w:spacing w:val="-8"/>
          <w:sz w:val="21"/>
        </w:rPr>
        <w:t xml:space="preserve"> </w:t>
      </w:r>
      <w:r>
        <w:rPr>
          <w:sz w:val="21"/>
        </w:rPr>
        <w:t>in</w:t>
      </w:r>
      <w:r>
        <w:rPr>
          <w:spacing w:val="-5"/>
          <w:sz w:val="21"/>
        </w:rPr>
        <w:t xml:space="preserve"> </w:t>
      </w:r>
      <w:r>
        <w:rPr>
          <w:sz w:val="21"/>
        </w:rPr>
        <w:t>the</w:t>
      </w:r>
      <w:r>
        <w:rPr>
          <w:spacing w:val="-6"/>
          <w:sz w:val="21"/>
        </w:rPr>
        <w:t xml:space="preserve"> </w:t>
      </w:r>
      <w:r>
        <w:rPr>
          <w:sz w:val="21"/>
        </w:rPr>
        <w:t>territory</w:t>
      </w:r>
      <w:r>
        <w:rPr>
          <w:spacing w:val="-9"/>
          <w:sz w:val="21"/>
        </w:rPr>
        <w:t xml:space="preserve"> </w:t>
      </w:r>
      <w:r>
        <w:rPr>
          <w:sz w:val="21"/>
        </w:rPr>
        <w:t>of</w:t>
      </w:r>
      <w:r>
        <w:rPr>
          <w:spacing w:val="-4"/>
          <w:sz w:val="21"/>
        </w:rPr>
        <w:t xml:space="preserve"> </w:t>
      </w:r>
      <w:r>
        <w:rPr>
          <w:sz w:val="21"/>
        </w:rPr>
        <w:t xml:space="preserve">India before the commencement of this Constitution and not previously repealed, notwithstanding that any such law or any part thereof may not be </w:t>
      </w:r>
      <w:r>
        <w:rPr>
          <w:sz w:val="21"/>
        </w:rPr>
        <w:t>then in operation either at all or in particular</w:t>
      </w:r>
      <w:r>
        <w:rPr>
          <w:spacing w:val="-2"/>
          <w:sz w:val="21"/>
        </w:rPr>
        <w:t xml:space="preserve"> </w:t>
      </w:r>
      <w:r>
        <w:rPr>
          <w:sz w:val="21"/>
        </w:rPr>
        <w:t>areas.</w:t>
      </w:r>
    </w:p>
    <w:p w:rsidR="003B2FC0" w:rsidRDefault="00052A49">
      <w:pPr>
        <w:pStyle w:val="ListParagraph"/>
        <w:numPr>
          <w:ilvl w:val="0"/>
          <w:numId w:val="17"/>
        </w:numPr>
        <w:tabs>
          <w:tab w:val="left" w:pos="2157"/>
        </w:tabs>
        <w:spacing w:before="201" w:line="276" w:lineRule="auto"/>
        <w:ind w:right="2285" w:firstLine="0"/>
        <w:jc w:val="both"/>
        <w:rPr>
          <w:sz w:val="21"/>
        </w:rPr>
      </w:pPr>
      <w:r>
        <w:rPr>
          <w:sz w:val="21"/>
        </w:rPr>
        <w:t>Nothing in this article shall apply to any amendment of this Constitution made under article</w:t>
      </w:r>
      <w:r>
        <w:rPr>
          <w:spacing w:val="-9"/>
          <w:sz w:val="21"/>
        </w:rPr>
        <w:t xml:space="preserve"> </w:t>
      </w:r>
      <w:r>
        <w:rPr>
          <w:sz w:val="21"/>
        </w:rPr>
        <w:t>368.”</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47" w:line="480" w:lineRule="auto"/>
        <w:ind w:right="432" w:firstLine="0"/>
        <w:jc w:val="both"/>
        <w:rPr>
          <w:sz w:val="26"/>
        </w:rPr>
      </w:pPr>
      <w:r>
        <w:rPr>
          <w:sz w:val="26"/>
        </w:rPr>
        <w:t xml:space="preserve">A Division Bench of the Bombay High Court in </w:t>
      </w:r>
      <w:r>
        <w:rPr>
          <w:b/>
          <w:sz w:val="26"/>
        </w:rPr>
        <w:t xml:space="preserve">The State of Bombay </w:t>
      </w:r>
      <w:r>
        <w:rPr>
          <w:sz w:val="26"/>
        </w:rPr>
        <w:t xml:space="preserve">v </w:t>
      </w:r>
      <w:r>
        <w:rPr>
          <w:b/>
          <w:sz w:val="26"/>
        </w:rPr>
        <w:t>Narasu</w:t>
      </w:r>
      <w:r>
        <w:rPr>
          <w:b/>
          <w:spacing w:val="-10"/>
          <w:sz w:val="26"/>
        </w:rPr>
        <w:t xml:space="preserve"> </w:t>
      </w:r>
      <w:r>
        <w:rPr>
          <w:b/>
          <w:sz w:val="26"/>
        </w:rPr>
        <w:t>Appa</w:t>
      </w:r>
      <w:r>
        <w:rPr>
          <w:b/>
          <w:spacing w:val="-14"/>
          <w:sz w:val="26"/>
        </w:rPr>
        <w:t xml:space="preserve"> </w:t>
      </w:r>
      <w:r>
        <w:rPr>
          <w:b/>
          <w:sz w:val="26"/>
        </w:rPr>
        <w:t>Mali</w:t>
      </w:r>
      <w:r>
        <w:rPr>
          <w:b/>
          <w:spacing w:val="-14"/>
          <w:sz w:val="26"/>
        </w:rPr>
        <w:t xml:space="preserve"> </w:t>
      </w:r>
      <w:r>
        <w:rPr>
          <w:sz w:val="26"/>
        </w:rPr>
        <w:t>(“</w:t>
      </w:r>
      <w:r>
        <w:rPr>
          <w:b/>
          <w:sz w:val="26"/>
        </w:rPr>
        <w:t>Narasu</w:t>
      </w:r>
      <w:r>
        <w:rPr>
          <w:sz w:val="26"/>
        </w:rPr>
        <w:t>”),</w:t>
      </w:r>
      <w:r>
        <w:rPr>
          <w:position w:val="9"/>
          <w:sz w:val="17"/>
        </w:rPr>
        <w:t>126</w:t>
      </w:r>
      <w:r>
        <w:rPr>
          <w:spacing w:val="9"/>
          <w:position w:val="9"/>
          <w:sz w:val="17"/>
        </w:rPr>
        <w:t xml:space="preserve"> </w:t>
      </w:r>
      <w:r>
        <w:rPr>
          <w:sz w:val="26"/>
        </w:rPr>
        <w:t>considered</w:t>
      </w:r>
      <w:r>
        <w:rPr>
          <w:spacing w:val="-14"/>
          <w:sz w:val="26"/>
        </w:rPr>
        <w:t xml:space="preserve"> </w:t>
      </w:r>
      <w:r>
        <w:rPr>
          <w:sz w:val="26"/>
        </w:rPr>
        <w:t>the</w:t>
      </w:r>
      <w:r>
        <w:rPr>
          <w:spacing w:val="-14"/>
          <w:sz w:val="26"/>
        </w:rPr>
        <w:t xml:space="preserve"> </w:t>
      </w:r>
      <w:r>
        <w:rPr>
          <w:sz w:val="26"/>
        </w:rPr>
        <w:t>ambit</w:t>
      </w:r>
      <w:r>
        <w:rPr>
          <w:spacing w:val="-15"/>
          <w:sz w:val="26"/>
        </w:rPr>
        <w:t xml:space="preserve"> </w:t>
      </w:r>
      <w:r>
        <w:rPr>
          <w:sz w:val="26"/>
        </w:rPr>
        <w:t>of</w:t>
      </w:r>
      <w:r>
        <w:rPr>
          <w:spacing w:val="-12"/>
          <w:sz w:val="26"/>
        </w:rPr>
        <w:t xml:space="preserve"> </w:t>
      </w:r>
      <w:r>
        <w:rPr>
          <w:sz w:val="26"/>
        </w:rPr>
        <w:t>Article</w:t>
      </w:r>
      <w:r>
        <w:rPr>
          <w:spacing w:val="-12"/>
          <w:sz w:val="26"/>
        </w:rPr>
        <w:t xml:space="preserve"> </w:t>
      </w:r>
      <w:r>
        <w:rPr>
          <w:sz w:val="26"/>
        </w:rPr>
        <w:t>13,</w:t>
      </w:r>
      <w:r>
        <w:rPr>
          <w:spacing w:val="-15"/>
          <w:sz w:val="26"/>
        </w:rPr>
        <w:t xml:space="preserve"> </w:t>
      </w:r>
      <w:r>
        <w:rPr>
          <w:sz w:val="26"/>
        </w:rPr>
        <w:t>particularly in the context of custom, usage and personal law. The constitutional validity of the Bombay Prevention of Hindu Bigamous Marriages Act 1946 was considered. It was contended that a provision of personal law w</w:t>
      </w:r>
      <w:r>
        <w:rPr>
          <w:sz w:val="26"/>
        </w:rPr>
        <w:t>hich permits polygamy</w:t>
      </w:r>
      <w:r>
        <w:rPr>
          <w:spacing w:val="-16"/>
          <w:sz w:val="26"/>
        </w:rPr>
        <w:t xml:space="preserve"> </w:t>
      </w:r>
      <w:r>
        <w:rPr>
          <w:sz w:val="26"/>
        </w:rPr>
        <w:t>violates</w:t>
      </w:r>
      <w:r>
        <w:rPr>
          <w:spacing w:val="-16"/>
          <w:sz w:val="26"/>
        </w:rPr>
        <w:t xml:space="preserve"> </w:t>
      </w:r>
      <w:r>
        <w:rPr>
          <w:sz w:val="26"/>
        </w:rPr>
        <w:t>the</w:t>
      </w:r>
      <w:r>
        <w:rPr>
          <w:spacing w:val="-16"/>
          <w:sz w:val="26"/>
        </w:rPr>
        <w:t xml:space="preserve"> </w:t>
      </w:r>
      <w:r>
        <w:rPr>
          <w:sz w:val="26"/>
        </w:rPr>
        <w:t>guarantee</w:t>
      </w:r>
      <w:r>
        <w:rPr>
          <w:spacing w:val="-15"/>
          <w:sz w:val="26"/>
        </w:rPr>
        <w:t xml:space="preserve"> </w:t>
      </w:r>
      <w:r>
        <w:rPr>
          <w:sz w:val="26"/>
        </w:rPr>
        <w:t>of</w:t>
      </w:r>
      <w:r>
        <w:rPr>
          <w:spacing w:val="-16"/>
          <w:sz w:val="26"/>
        </w:rPr>
        <w:t xml:space="preserve"> </w:t>
      </w:r>
      <w:r>
        <w:rPr>
          <w:sz w:val="26"/>
        </w:rPr>
        <w:t>non-discrimination</w:t>
      </w:r>
      <w:r>
        <w:rPr>
          <w:spacing w:val="-16"/>
          <w:sz w:val="26"/>
        </w:rPr>
        <w:t xml:space="preserve"> </w:t>
      </w:r>
      <w:r>
        <w:rPr>
          <w:sz w:val="26"/>
        </w:rPr>
        <w:t>under</w:t>
      </w:r>
      <w:r>
        <w:rPr>
          <w:spacing w:val="-14"/>
          <w:sz w:val="26"/>
        </w:rPr>
        <w:t xml:space="preserve"> </w:t>
      </w:r>
      <w:r>
        <w:rPr>
          <w:sz w:val="26"/>
        </w:rPr>
        <w:t>Article</w:t>
      </w:r>
      <w:r>
        <w:rPr>
          <w:spacing w:val="-16"/>
          <w:sz w:val="26"/>
        </w:rPr>
        <w:t xml:space="preserve"> </w:t>
      </w:r>
      <w:r>
        <w:rPr>
          <w:sz w:val="26"/>
        </w:rPr>
        <w:t>15,</w:t>
      </w:r>
      <w:r>
        <w:rPr>
          <w:spacing w:val="-14"/>
          <w:sz w:val="26"/>
        </w:rPr>
        <w:t xml:space="preserve"> </w:t>
      </w:r>
      <w:r>
        <w:rPr>
          <w:sz w:val="26"/>
        </w:rPr>
        <w:t>and</w:t>
      </w:r>
      <w:r>
        <w:rPr>
          <w:spacing w:val="-14"/>
          <w:sz w:val="26"/>
        </w:rPr>
        <w:t xml:space="preserve"> </w:t>
      </w:r>
      <w:r>
        <w:rPr>
          <w:sz w:val="26"/>
        </w:rPr>
        <w:t>that such</w:t>
      </w:r>
      <w:r>
        <w:rPr>
          <w:spacing w:val="-14"/>
          <w:sz w:val="26"/>
        </w:rPr>
        <w:t xml:space="preserve"> </w:t>
      </w:r>
      <w:r>
        <w:rPr>
          <w:sz w:val="26"/>
        </w:rPr>
        <w:t>a</w:t>
      </w:r>
      <w:r>
        <w:rPr>
          <w:spacing w:val="-12"/>
          <w:sz w:val="26"/>
        </w:rPr>
        <w:t xml:space="preserve"> </w:t>
      </w:r>
      <w:r>
        <w:rPr>
          <w:sz w:val="26"/>
        </w:rPr>
        <w:t>practice</w:t>
      </w:r>
      <w:r>
        <w:rPr>
          <w:spacing w:val="-14"/>
          <w:sz w:val="26"/>
        </w:rPr>
        <w:t xml:space="preserve"> </w:t>
      </w:r>
      <w:r>
        <w:rPr>
          <w:sz w:val="26"/>
        </w:rPr>
        <w:t>had</w:t>
      </w:r>
      <w:r>
        <w:rPr>
          <w:spacing w:val="-14"/>
          <w:sz w:val="26"/>
        </w:rPr>
        <w:t xml:space="preserve"> </w:t>
      </w:r>
      <w:r>
        <w:rPr>
          <w:sz w:val="26"/>
        </w:rPr>
        <w:t>become</w:t>
      </w:r>
      <w:r>
        <w:rPr>
          <w:spacing w:val="-12"/>
          <w:sz w:val="26"/>
        </w:rPr>
        <w:t xml:space="preserve"> </w:t>
      </w:r>
      <w:r>
        <w:rPr>
          <w:sz w:val="26"/>
        </w:rPr>
        <w:t>void</w:t>
      </w:r>
      <w:r>
        <w:rPr>
          <w:spacing w:val="-12"/>
          <w:sz w:val="26"/>
        </w:rPr>
        <w:t xml:space="preserve"> </w:t>
      </w:r>
      <w:r>
        <w:rPr>
          <w:sz w:val="26"/>
        </w:rPr>
        <w:t>under</w:t>
      </w:r>
      <w:r>
        <w:rPr>
          <w:spacing w:val="-12"/>
          <w:sz w:val="26"/>
        </w:rPr>
        <w:t xml:space="preserve"> </w:t>
      </w:r>
      <w:r>
        <w:rPr>
          <w:sz w:val="26"/>
        </w:rPr>
        <w:t>Article</w:t>
      </w:r>
      <w:r>
        <w:rPr>
          <w:spacing w:val="-14"/>
          <w:sz w:val="26"/>
        </w:rPr>
        <w:t xml:space="preserve"> </w:t>
      </w:r>
      <w:r>
        <w:rPr>
          <w:sz w:val="26"/>
        </w:rPr>
        <w:t>13(1)</w:t>
      </w:r>
      <w:r>
        <w:rPr>
          <w:spacing w:val="-13"/>
          <w:sz w:val="26"/>
        </w:rPr>
        <w:t xml:space="preserve"> </w:t>
      </w:r>
      <w:r>
        <w:rPr>
          <w:sz w:val="26"/>
        </w:rPr>
        <w:t>after</w:t>
      </w:r>
      <w:r>
        <w:rPr>
          <w:spacing w:val="-14"/>
          <w:sz w:val="26"/>
        </w:rPr>
        <w:t xml:space="preserve"> </w:t>
      </w:r>
      <w:r>
        <w:rPr>
          <w:sz w:val="26"/>
        </w:rPr>
        <w:t>the</w:t>
      </w:r>
      <w:r>
        <w:rPr>
          <w:spacing w:val="-12"/>
          <w:sz w:val="26"/>
        </w:rPr>
        <w:t xml:space="preserve"> </w:t>
      </w:r>
      <w:r>
        <w:rPr>
          <w:sz w:val="26"/>
        </w:rPr>
        <w:t>Constitution</w:t>
      </w:r>
      <w:r>
        <w:rPr>
          <w:spacing w:val="-14"/>
          <w:sz w:val="26"/>
        </w:rPr>
        <w:t xml:space="preserve"> </w:t>
      </w:r>
      <w:r>
        <w:rPr>
          <w:sz w:val="26"/>
        </w:rPr>
        <w:t>came into force. The Bombay High Court considered the question of “whether in the expre</w:t>
      </w:r>
      <w:r>
        <w:rPr>
          <w:sz w:val="26"/>
        </w:rPr>
        <w:t>ssion ‘all laws in force’ appearing in Article 13(1) ‘personal laws’ were included”.</w:t>
      </w:r>
      <w:r>
        <w:rPr>
          <w:spacing w:val="-19"/>
          <w:sz w:val="26"/>
        </w:rPr>
        <w:t xml:space="preserve"> </w:t>
      </w:r>
      <w:r>
        <w:rPr>
          <w:sz w:val="26"/>
        </w:rPr>
        <w:t>Chief</w:t>
      </w:r>
      <w:r>
        <w:rPr>
          <w:spacing w:val="-19"/>
          <w:sz w:val="26"/>
        </w:rPr>
        <w:t xml:space="preserve"> </w:t>
      </w:r>
      <w:r>
        <w:rPr>
          <w:sz w:val="26"/>
        </w:rPr>
        <w:t>Justice</w:t>
      </w:r>
      <w:r>
        <w:rPr>
          <w:spacing w:val="-18"/>
          <w:sz w:val="26"/>
        </w:rPr>
        <w:t xml:space="preserve"> </w:t>
      </w:r>
      <w:r>
        <w:rPr>
          <w:sz w:val="26"/>
        </w:rPr>
        <w:t>Chagla</w:t>
      </w:r>
      <w:r>
        <w:rPr>
          <w:spacing w:val="-19"/>
          <w:sz w:val="26"/>
        </w:rPr>
        <w:t xml:space="preserve"> </w:t>
      </w:r>
      <w:r>
        <w:rPr>
          <w:sz w:val="26"/>
        </w:rPr>
        <w:t>opined</w:t>
      </w:r>
      <w:r>
        <w:rPr>
          <w:spacing w:val="-16"/>
          <w:sz w:val="26"/>
        </w:rPr>
        <w:t xml:space="preserve"> </w:t>
      </w:r>
      <w:r>
        <w:rPr>
          <w:sz w:val="26"/>
        </w:rPr>
        <w:t>that</w:t>
      </w:r>
      <w:r>
        <w:rPr>
          <w:spacing w:val="-19"/>
          <w:sz w:val="26"/>
        </w:rPr>
        <w:t xml:space="preserve"> </w:t>
      </w:r>
      <w:r>
        <w:rPr>
          <w:sz w:val="26"/>
        </w:rPr>
        <w:t>‘custom</w:t>
      </w:r>
      <w:r>
        <w:rPr>
          <w:spacing w:val="-19"/>
          <w:sz w:val="26"/>
        </w:rPr>
        <w:t xml:space="preserve"> </w:t>
      </w:r>
      <w:r>
        <w:rPr>
          <w:sz w:val="26"/>
        </w:rPr>
        <w:t>or</w:t>
      </w:r>
      <w:r>
        <w:rPr>
          <w:spacing w:val="-18"/>
          <w:sz w:val="26"/>
        </w:rPr>
        <w:t xml:space="preserve"> </w:t>
      </w:r>
      <w:r>
        <w:rPr>
          <w:sz w:val="26"/>
        </w:rPr>
        <w:t>usage’</w:t>
      </w:r>
      <w:r>
        <w:rPr>
          <w:spacing w:val="-15"/>
          <w:sz w:val="26"/>
        </w:rPr>
        <w:t xml:space="preserve"> </w:t>
      </w:r>
      <w:r>
        <w:rPr>
          <w:sz w:val="26"/>
        </w:rPr>
        <w:t>would</w:t>
      </w:r>
      <w:r>
        <w:rPr>
          <w:spacing w:val="-19"/>
          <w:sz w:val="26"/>
        </w:rPr>
        <w:t xml:space="preserve"> </w:t>
      </w:r>
      <w:r>
        <w:rPr>
          <w:sz w:val="26"/>
        </w:rPr>
        <w:t>be</w:t>
      </w:r>
      <w:r>
        <w:rPr>
          <w:spacing w:val="-19"/>
          <w:sz w:val="26"/>
        </w:rPr>
        <w:t xml:space="preserve"> </w:t>
      </w:r>
      <w:r>
        <w:rPr>
          <w:sz w:val="26"/>
        </w:rPr>
        <w:t>included in</w:t>
      </w:r>
      <w:r>
        <w:rPr>
          <w:spacing w:val="-11"/>
          <w:sz w:val="26"/>
        </w:rPr>
        <w:t xml:space="preserve"> </w:t>
      </w:r>
      <w:r>
        <w:rPr>
          <w:sz w:val="26"/>
        </w:rPr>
        <w:t>the</w:t>
      </w:r>
      <w:r>
        <w:rPr>
          <w:spacing w:val="-8"/>
          <w:sz w:val="26"/>
        </w:rPr>
        <w:t xml:space="preserve"> </w:t>
      </w:r>
      <w:r>
        <w:rPr>
          <w:sz w:val="26"/>
        </w:rPr>
        <w:t>definition</w:t>
      </w:r>
      <w:r>
        <w:rPr>
          <w:spacing w:val="-11"/>
          <w:sz w:val="26"/>
        </w:rPr>
        <w:t xml:space="preserve"> </w:t>
      </w:r>
      <w:r>
        <w:rPr>
          <w:sz w:val="26"/>
        </w:rPr>
        <w:t>of</w:t>
      </w:r>
      <w:r>
        <w:rPr>
          <w:spacing w:val="-10"/>
          <w:sz w:val="26"/>
        </w:rPr>
        <w:t xml:space="preserve"> </w:t>
      </w:r>
      <w:r>
        <w:rPr>
          <w:sz w:val="26"/>
        </w:rPr>
        <w:t>‘laws</w:t>
      </w:r>
      <w:r>
        <w:rPr>
          <w:spacing w:val="-8"/>
          <w:sz w:val="26"/>
        </w:rPr>
        <w:t xml:space="preserve"> </w:t>
      </w:r>
      <w:r>
        <w:rPr>
          <w:sz w:val="26"/>
        </w:rPr>
        <w:t>in</w:t>
      </w:r>
      <w:r>
        <w:rPr>
          <w:spacing w:val="-11"/>
          <w:sz w:val="26"/>
        </w:rPr>
        <w:t xml:space="preserve"> </w:t>
      </w:r>
      <w:r>
        <w:rPr>
          <w:sz w:val="26"/>
        </w:rPr>
        <w:t>force’</w:t>
      </w:r>
      <w:r>
        <w:rPr>
          <w:spacing w:val="-10"/>
          <w:sz w:val="26"/>
        </w:rPr>
        <w:t xml:space="preserve"> </w:t>
      </w:r>
      <w:r>
        <w:rPr>
          <w:sz w:val="26"/>
        </w:rPr>
        <w:t>in</w:t>
      </w:r>
      <w:r>
        <w:rPr>
          <w:spacing w:val="-10"/>
          <w:sz w:val="26"/>
        </w:rPr>
        <w:t xml:space="preserve"> </w:t>
      </w:r>
      <w:r>
        <w:rPr>
          <w:sz w:val="26"/>
        </w:rPr>
        <w:t>Article</w:t>
      </w:r>
      <w:r>
        <w:rPr>
          <w:spacing w:val="-9"/>
          <w:sz w:val="26"/>
        </w:rPr>
        <w:t xml:space="preserve"> </w:t>
      </w:r>
      <w:r>
        <w:rPr>
          <w:sz w:val="26"/>
        </w:rPr>
        <w:t>13(1).</w:t>
      </w:r>
      <w:r>
        <w:rPr>
          <w:spacing w:val="-10"/>
          <w:sz w:val="26"/>
        </w:rPr>
        <w:t xml:space="preserve"> </w:t>
      </w:r>
      <w:r>
        <w:rPr>
          <w:sz w:val="26"/>
        </w:rPr>
        <w:t>The</w:t>
      </w:r>
      <w:r>
        <w:rPr>
          <w:spacing w:val="-11"/>
          <w:sz w:val="26"/>
        </w:rPr>
        <w:t xml:space="preserve"> </w:t>
      </w:r>
      <w:r>
        <w:rPr>
          <w:sz w:val="26"/>
        </w:rPr>
        <w:t>learned</w:t>
      </w:r>
      <w:r>
        <w:rPr>
          <w:spacing w:val="-10"/>
          <w:sz w:val="26"/>
        </w:rPr>
        <w:t xml:space="preserve"> </w:t>
      </w:r>
      <w:r>
        <w:rPr>
          <w:sz w:val="26"/>
        </w:rPr>
        <w:t>Chief</w:t>
      </w:r>
      <w:r>
        <w:rPr>
          <w:spacing w:val="-10"/>
          <w:sz w:val="26"/>
        </w:rPr>
        <w:t xml:space="preserve"> </w:t>
      </w:r>
      <w:r>
        <w:rPr>
          <w:sz w:val="26"/>
        </w:rPr>
        <w:t>Justice</w:t>
      </w:r>
      <w:r>
        <w:rPr>
          <w:spacing w:val="-11"/>
          <w:sz w:val="26"/>
        </w:rPr>
        <w:t xml:space="preserve"> </w:t>
      </w:r>
      <w:r>
        <w:rPr>
          <w:sz w:val="26"/>
        </w:rPr>
        <w:t>held:</w:t>
      </w:r>
    </w:p>
    <w:p w:rsidR="003B2FC0" w:rsidRDefault="00052A49">
      <w:pPr>
        <w:spacing w:before="194" w:line="276" w:lineRule="auto"/>
        <w:ind w:left="1840" w:right="2284"/>
        <w:jc w:val="both"/>
        <w:rPr>
          <w:sz w:val="21"/>
        </w:rPr>
      </w:pPr>
      <w:r>
        <w:rPr>
          <w:sz w:val="21"/>
        </w:rPr>
        <w:t>“15…The</w:t>
      </w:r>
      <w:r>
        <w:rPr>
          <w:spacing w:val="-8"/>
          <w:sz w:val="21"/>
        </w:rPr>
        <w:t xml:space="preserve"> </w:t>
      </w:r>
      <w:r>
        <w:rPr>
          <w:sz w:val="21"/>
        </w:rPr>
        <w:t>Solicitor</w:t>
      </w:r>
      <w:r>
        <w:rPr>
          <w:spacing w:val="-8"/>
          <w:sz w:val="21"/>
        </w:rPr>
        <w:t xml:space="preserve"> </w:t>
      </w:r>
      <w:r>
        <w:rPr>
          <w:sz w:val="21"/>
        </w:rPr>
        <w:t>General's</w:t>
      </w:r>
      <w:r>
        <w:rPr>
          <w:spacing w:val="-7"/>
          <w:sz w:val="21"/>
        </w:rPr>
        <w:t xml:space="preserve"> </w:t>
      </w:r>
      <w:r>
        <w:rPr>
          <w:sz w:val="21"/>
        </w:rPr>
        <w:t>contention</w:t>
      </w:r>
      <w:r>
        <w:rPr>
          <w:spacing w:val="-7"/>
          <w:sz w:val="21"/>
        </w:rPr>
        <w:t xml:space="preserve"> </w:t>
      </w:r>
      <w:r>
        <w:rPr>
          <w:sz w:val="21"/>
        </w:rPr>
        <w:t>is</w:t>
      </w:r>
      <w:r>
        <w:rPr>
          <w:spacing w:val="-7"/>
          <w:sz w:val="21"/>
        </w:rPr>
        <w:t xml:space="preserve"> </w:t>
      </w:r>
      <w:r>
        <w:rPr>
          <w:sz w:val="21"/>
        </w:rPr>
        <w:t>that</w:t>
      </w:r>
      <w:r>
        <w:rPr>
          <w:spacing w:val="-8"/>
          <w:sz w:val="21"/>
        </w:rPr>
        <w:t xml:space="preserve"> </w:t>
      </w:r>
      <w:r>
        <w:rPr>
          <w:sz w:val="21"/>
        </w:rPr>
        <w:t>this</w:t>
      </w:r>
      <w:r>
        <w:rPr>
          <w:spacing w:val="-7"/>
          <w:sz w:val="21"/>
        </w:rPr>
        <w:t xml:space="preserve"> </w:t>
      </w:r>
      <w:r>
        <w:rPr>
          <w:sz w:val="21"/>
        </w:rPr>
        <w:t>definition</w:t>
      </w:r>
      <w:r>
        <w:rPr>
          <w:spacing w:val="-7"/>
          <w:sz w:val="21"/>
        </w:rPr>
        <w:t xml:space="preserve"> </w:t>
      </w:r>
      <w:r>
        <w:rPr>
          <w:sz w:val="21"/>
        </w:rPr>
        <w:t>of “law” only applies to Article 13(2) and not to Article 13(1). According</w:t>
      </w:r>
      <w:r>
        <w:rPr>
          <w:spacing w:val="6"/>
          <w:sz w:val="21"/>
        </w:rPr>
        <w:t xml:space="preserve"> </w:t>
      </w:r>
      <w:r>
        <w:rPr>
          <w:sz w:val="21"/>
        </w:rPr>
        <w:t>to</w:t>
      </w:r>
      <w:r>
        <w:rPr>
          <w:spacing w:val="7"/>
          <w:sz w:val="21"/>
        </w:rPr>
        <w:t xml:space="preserve"> </w:t>
      </w:r>
      <w:r>
        <w:rPr>
          <w:sz w:val="21"/>
        </w:rPr>
        <w:t>him</w:t>
      </w:r>
      <w:r>
        <w:rPr>
          <w:spacing w:val="9"/>
          <w:sz w:val="21"/>
        </w:rPr>
        <w:t xml:space="preserve"> </w:t>
      </w:r>
      <w:r>
        <w:rPr>
          <w:sz w:val="21"/>
        </w:rPr>
        <w:t>it</w:t>
      </w:r>
      <w:r>
        <w:rPr>
          <w:spacing w:val="6"/>
          <w:sz w:val="21"/>
        </w:rPr>
        <w:t xml:space="preserve"> </w:t>
      </w:r>
      <w:r>
        <w:rPr>
          <w:sz w:val="21"/>
        </w:rPr>
        <w:t>is</w:t>
      </w:r>
      <w:r>
        <w:rPr>
          <w:spacing w:val="7"/>
          <w:sz w:val="21"/>
        </w:rPr>
        <w:t xml:space="preserve"> </w:t>
      </w:r>
      <w:r>
        <w:rPr>
          <w:sz w:val="21"/>
        </w:rPr>
        <w:t>only</w:t>
      </w:r>
      <w:r>
        <w:rPr>
          <w:spacing w:val="2"/>
          <w:sz w:val="21"/>
        </w:rPr>
        <w:t xml:space="preserve"> </w:t>
      </w:r>
      <w:r>
        <w:rPr>
          <w:sz w:val="21"/>
        </w:rPr>
        <w:t>the</w:t>
      </w:r>
      <w:r>
        <w:rPr>
          <w:spacing w:val="6"/>
          <w:sz w:val="21"/>
        </w:rPr>
        <w:t xml:space="preserve"> </w:t>
      </w:r>
      <w:r>
        <w:rPr>
          <w:sz w:val="21"/>
        </w:rPr>
        <w:t>definition</w:t>
      </w:r>
      <w:r>
        <w:rPr>
          <w:spacing w:val="7"/>
          <w:sz w:val="21"/>
        </w:rPr>
        <w:t xml:space="preserve"> </w:t>
      </w:r>
      <w:r>
        <w:rPr>
          <w:sz w:val="21"/>
        </w:rPr>
        <w:t>of</w:t>
      </w:r>
      <w:r>
        <w:rPr>
          <w:spacing w:val="8"/>
          <w:sz w:val="21"/>
        </w:rPr>
        <w:t xml:space="preserve"> </w:t>
      </w:r>
      <w:r>
        <w:rPr>
          <w:sz w:val="21"/>
        </w:rPr>
        <w:t>“laws</w:t>
      </w:r>
      <w:r>
        <w:rPr>
          <w:spacing w:val="7"/>
          <w:sz w:val="21"/>
        </w:rPr>
        <w:t xml:space="preserve"> </w:t>
      </w:r>
      <w:r>
        <w:rPr>
          <w:sz w:val="21"/>
        </w:rPr>
        <w:t>in</w:t>
      </w:r>
      <w:r>
        <w:rPr>
          <w:spacing w:val="7"/>
          <w:sz w:val="21"/>
        </w:rPr>
        <w:t xml:space="preserve"> </w:t>
      </w:r>
      <w:r>
        <w:rPr>
          <w:sz w:val="21"/>
        </w:rPr>
        <w:t>force”</w:t>
      </w:r>
      <w:r>
        <w:rPr>
          <w:spacing w:val="6"/>
          <w:sz w:val="21"/>
        </w:rPr>
        <w:t xml:space="preserve"> </w:t>
      </w:r>
      <w:r>
        <w:rPr>
          <w:sz w:val="21"/>
        </w:rPr>
        <w:t>that</w:t>
      </w:r>
    </w:p>
    <w:p w:rsidR="003B2FC0" w:rsidRDefault="003B2FC0">
      <w:pPr>
        <w:spacing w:before="2"/>
        <w:rPr>
          <w:sz w:val="16"/>
        </w:rPr>
      </w:pPr>
      <w:r w:rsidRPr="003B2FC0">
        <w:pict>
          <v:line id="_x0000_s1082" style="position:absolute;z-index:251633152;mso-wrap-distance-left:0;mso-wrap-distance-right:0;mso-position-horizontal-relative:page" from="1in,11.65pt" to="216.05pt,11.65pt" strokeweight=".72pt">
            <w10:wrap type="topAndBottom" anchorx="page"/>
          </v:line>
        </w:pict>
      </w:r>
    </w:p>
    <w:p w:rsidR="003B2FC0" w:rsidRDefault="00052A49">
      <w:pPr>
        <w:spacing w:before="67"/>
        <w:ind w:left="580" w:right="434" w:hanging="180"/>
        <w:jc w:val="both"/>
        <w:rPr>
          <w:sz w:val="18"/>
        </w:rPr>
      </w:pPr>
      <w:r>
        <w:rPr>
          <w:position w:val="6"/>
          <w:sz w:val="12"/>
        </w:rPr>
        <w:t xml:space="preserve">126 </w:t>
      </w:r>
      <w:r>
        <w:rPr>
          <w:sz w:val="18"/>
        </w:rPr>
        <w:t>AIR 1952 Bom 84; In the proceedings before the Sessions Judge of South Satara, the accused was acquitted and</w:t>
      </w:r>
      <w:r>
        <w:rPr>
          <w:spacing w:val="-10"/>
          <w:sz w:val="18"/>
        </w:rPr>
        <w:t xml:space="preserve"> </w:t>
      </w:r>
      <w:r>
        <w:rPr>
          <w:sz w:val="18"/>
        </w:rPr>
        <w:t>the</w:t>
      </w:r>
      <w:r>
        <w:rPr>
          <w:spacing w:val="-9"/>
          <w:sz w:val="18"/>
        </w:rPr>
        <w:t xml:space="preserve"> </w:t>
      </w:r>
      <w:r>
        <w:rPr>
          <w:sz w:val="18"/>
        </w:rPr>
        <w:t>Bombay</w:t>
      </w:r>
      <w:r>
        <w:rPr>
          <w:spacing w:val="-11"/>
          <w:sz w:val="18"/>
        </w:rPr>
        <w:t xml:space="preserve"> </w:t>
      </w:r>
      <w:r>
        <w:rPr>
          <w:sz w:val="18"/>
        </w:rPr>
        <w:t>Prevention</w:t>
      </w:r>
      <w:r>
        <w:rPr>
          <w:spacing w:val="-11"/>
          <w:sz w:val="18"/>
        </w:rPr>
        <w:t xml:space="preserve"> </w:t>
      </w:r>
      <w:r>
        <w:rPr>
          <w:sz w:val="18"/>
        </w:rPr>
        <w:t>of</w:t>
      </w:r>
      <w:r>
        <w:rPr>
          <w:spacing w:val="-11"/>
          <w:sz w:val="18"/>
        </w:rPr>
        <w:t xml:space="preserve"> </w:t>
      </w:r>
      <w:r>
        <w:rPr>
          <w:sz w:val="18"/>
        </w:rPr>
        <w:t>Hindu</w:t>
      </w:r>
      <w:r>
        <w:rPr>
          <w:spacing w:val="-10"/>
          <w:sz w:val="18"/>
        </w:rPr>
        <w:t xml:space="preserve"> </w:t>
      </w:r>
      <w:r>
        <w:rPr>
          <w:sz w:val="18"/>
        </w:rPr>
        <w:t>Bigamous</w:t>
      </w:r>
      <w:r>
        <w:rPr>
          <w:spacing w:val="-8"/>
          <w:sz w:val="18"/>
        </w:rPr>
        <w:t xml:space="preserve"> </w:t>
      </w:r>
      <w:r>
        <w:rPr>
          <w:sz w:val="18"/>
        </w:rPr>
        <w:t>Marriages</w:t>
      </w:r>
      <w:r>
        <w:rPr>
          <w:spacing w:val="-11"/>
          <w:sz w:val="18"/>
        </w:rPr>
        <w:t xml:space="preserve"> </w:t>
      </w:r>
      <w:r>
        <w:rPr>
          <w:sz w:val="18"/>
        </w:rPr>
        <w:t>Act</w:t>
      </w:r>
      <w:r>
        <w:rPr>
          <w:spacing w:val="-9"/>
          <w:sz w:val="18"/>
        </w:rPr>
        <w:t xml:space="preserve"> </w:t>
      </w:r>
      <w:r>
        <w:rPr>
          <w:sz w:val="18"/>
        </w:rPr>
        <w:t>1946</w:t>
      </w:r>
      <w:r>
        <w:rPr>
          <w:spacing w:val="-4"/>
          <w:sz w:val="18"/>
        </w:rPr>
        <w:t xml:space="preserve"> </w:t>
      </w:r>
      <w:r>
        <w:rPr>
          <w:sz w:val="18"/>
        </w:rPr>
        <w:t>was</w:t>
      </w:r>
      <w:r>
        <w:rPr>
          <w:spacing w:val="-8"/>
          <w:sz w:val="18"/>
        </w:rPr>
        <w:t xml:space="preserve"> </w:t>
      </w:r>
      <w:r>
        <w:rPr>
          <w:sz w:val="18"/>
        </w:rPr>
        <w:t>held</w:t>
      </w:r>
      <w:r>
        <w:rPr>
          <w:spacing w:val="-9"/>
          <w:sz w:val="18"/>
        </w:rPr>
        <w:t xml:space="preserve"> </w:t>
      </w:r>
      <w:r>
        <w:rPr>
          <w:sz w:val="18"/>
        </w:rPr>
        <w:t>invalid.</w:t>
      </w:r>
      <w:r>
        <w:rPr>
          <w:spacing w:val="-10"/>
          <w:sz w:val="18"/>
        </w:rPr>
        <w:t xml:space="preserve"> </w:t>
      </w:r>
      <w:r>
        <w:rPr>
          <w:sz w:val="18"/>
        </w:rPr>
        <w:t>The</w:t>
      </w:r>
      <w:r>
        <w:rPr>
          <w:spacing w:val="-9"/>
          <w:sz w:val="18"/>
        </w:rPr>
        <w:t xml:space="preserve"> </w:t>
      </w:r>
      <w:r>
        <w:rPr>
          <w:sz w:val="18"/>
        </w:rPr>
        <w:t>cases</w:t>
      </w:r>
      <w:r>
        <w:rPr>
          <w:spacing w:val="-11"/>
          <w:sz w:val="18"/>
        </w:rPr>
        <w:t xml:space="preserve"> </w:t>
      </w:r>
      <w:r>
        <w:rPr>
          <w:sz w:val="18"/>
        </w:rPr>
        <w:t>arise</w:t>
      </w:r>
      <w:r>
        <w:rPr>
          <w:spacing w:val="-9"/>
          <w:sz w:val="18"/>
        </w:rPr>
        <w:t xml:space="preserve"> </w:t>
      </w:r>
      <w:r>
        <w:rPr>
          <w:sz w:val="18"/>
        </w:rPr>
        <w:t>from</w:t>
      </w:r>
      <w:r>
        <w:rPr>
          <w:spacing w:val="-11"/>
          <w:sz w:val="18"/>
        </w:rPr>
        <w:t xml:space="preserve"> </w:t>
      </w:r>
      <w:r>
        <w:rPr>
          <w:sz w:val="18"/>
        </w:rPr>
        <w:t>these proceedings</w:t>
      </w:r>
    </w:p>
    <w:p w:rsidR="003B2FC0" w:rsidRDefault="003B2FC0">
      <w:pPr>
        <w:jc w:val="both"/>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2"/>
        <w:jc w:val="both"/>
        <w:rPr>
          <w:sz w:val="21"/>
        </w:rPr>
      </w:pPr>
      <w:r>
        <w:rPr>
          <w:sz w:val="21"/>
        </w:rPr>
        <w:t>applies to A</w:t>
      </w:r>
      <w:r>
        <w:rPr>
          <w:sz w:val="21"/>
        </w:rPr>
        <w:t>rticle 13(1). That contention is difficult to accept because custom or usage would have no meaning if it were applied to the expression “law” in Article 13(2). The State cannot make any custom or usage. Therefore, that part of the definition can only apply</w:t>
      </w:r>
      <w:r>
        <w:rPr>
          <w:sz w:val="21"/>
        </w:rPr>
        <w:t xml:space="preserve"> to the expression “laws” in Article 13(1).</w:t>
      </w:r>
      <w:r>
        <w:rPr>
          <w:spacing w:val="-5"/>
          <w:sz w:val="21"/>
        </w:rPr>
        <w:t xml:space="preserve"> </w:t>
      </w:r>
      <w:r>
        <w:rPr>
          <w:sz w:val="21"/>
        </w:rPr>
        <w:t>Therefore,</w:t>
      </w:r>
      <w:r>
        <w:rPr>
          <w:spacing w:val="-4"/>
          <w:sz w:val="21"/>
        </w:rPr>
        <w:t xml:space="preserve"> </w:t>
      </w:r>
      <w:r>
        <w:rPr>
          <w:sz w:val="21"/>
        </w:rPr>
        <w:t>it</w:t>
      </w:r>
      <w:r>
        <w:rPr>
          <w:spacing w:val="-4"/>
          <w:sz w:val="21"/>
        </w:rPr>
        <w:t xml:space="preserve"> </w:t>
      </w:r>
      <w:r>
        <w:rPr>
          <w:sz w:val="21"/>
        </w:rPr>
        <w:t>is</w:t>
      </w:r>
      <w:r>
        <w:rPr>
          <w:spacing w:val="-3"/>
          <w:sz w:val="21"/>
        </w:rPr>
        <w:t xml:space="preserve"> </w:t>
      </w:r>
      <w:r>
        <w:rPr>
          <w:sz w:val="21"/>
        </w:rPr>
        <w:t>clear</w:t>
      </w:r>
      <w:r>
        <w:rPr>
          <w:spacing w:val="-5"/>
          <w:sz w:val="21"/>
        </w:rPr>
        <w:t xml:space="preserve"> </w:t>
      </w:r>
      <w:r>
        <w:rPr>
          <w:sz w:val="21"/>
        </w:rPr>
        <w:t>that</w:t>
      </w:r>
      <w:r>
        <w:rPr>
          <w:spacing w:val="-4"/>
          <w:sz w:val="21"/>
        </w:rPr>
        <w:t xml:space="preserve"> </w:t>
      </w:r>
      <w:r>
        <w:rPr>
          <w:sz w:val="21"/>
        </w:rPr>
        <w:t>if</w:t>
      </w:r>
      <w:r>
        <w:rPr>
          <w:spacing w:val="-3"/>
          <w:sz w:val="21"/>
        </w:rPr>
        <w:t xml:space="preserve"> </w:t>
      </w:r>
      <w:r>
        <w:rPr>
          <w:sz w:val="21"/>
        </w:rPr>
        <w:t>there</w:t>
      </w:r>
      <w:r>
        <w:rPr>
          <w:spacing w:val="-3"/>
          <w:sz w:val="21"/>
        </w:rPr>
        <w:t xml:space="preserve"> </w:t>
      </w:r>
      <w:r>
        <w:rPr>
          <w:sz w:val="21"/>
        </w:rPr>
        <w:t>is</w:t>
      </w:r>
      <w:r>
        <w:rPr>
          <w:spacing w:val="-3"/>
          <w:sz w:val="21"/>
        </w:rPr>
        <w:t xml:space="preserve"> </w:t>
      </w:r>
      <w:r>
        <w:rPr>
          <w:sz w:val="21"/>
        </w:rPr>
        <w:t>any</w:t>
      </w:r>
      <w:r>
        <w:rPr>
          <w:spacing w:val="-5"/>
          <w:sz w:val="21"/>
        </w:rPr>
        <w:t xml:space="preserve"> </w:t>
      </w:r>
      <w:r>
        <w:rPr>
          <w:sz w:val="21"/>
        </w:rPr>
        <w:t>custom</w:t>
      </w:r>
      <w:r>
        <w:rPr>
          <w:spacing w:val="-3"/>
          <w:sz w:val="21"/>
        </w:rPr>
        <w:t xml:space="preserve"> </w:t>
      </w:r>
      <w:r>
        <w:rPr>
          <w:sz w:val="21"/>
        </w:rPr>
        <w:t>or</w:t>
      </w:r>
      <w:r>
        <w:rPr>
          <w:spacing w:val="-3"/>
          <w:sz w:val="21"/>
        </w:rPr>
        <w:t xml:space="preserve"> </w:t>
      </w:r>
      <w:r>
        <w:rPr>
          <w:sz w:val="21"/>
        </w:rPr>
        <w:t>usage which is in force in India, which is inconsistent with the fundamental rights, that custom or usage is</w:t>
      </w:r>
      <w:r>
        <w:rPr>
          <w:spacing w:val="-13"/>
          <w:sz w:val="21"/>
        </w:rPr>
        <w:t xml:space="preserve"> </w:t>
      </w:r>
      <w:r>
        <w:rPr>
          <w:sz w:val="21"/>
        </w:rPr>
        <w:t>void.”</w:t>
      </w:r>
    </w:p>
    <w:p w:rsidR="003B2FC0" w:rsidRDefault="003B2FC0">
      <w:pPr>
        <w:rPr>
          <w:sz w:val="24"/>
        </w:rPr>
      </w:pPr>
    </w:p>
    <w:p w:rsidR="003B2FC0" w:rsidRDefault="003B2FC0">
      <w:pPr>
        <w:rPr>
          <w:sz w:val="24"/>
        </w:rPr>
      </w:pPr>
    </w:p>
    <w:p w:rsidR="003B2FC0" w:rsidRDefault="00052A49">
      <w:pPr>
        <w:spacing w:before="194" w:line="480" w:lineRule="auto"/>
        <w:ind w:left="400" w:right="437"/>
        <w:jc w:val="both"/>
        <w:rPr>
          <w:sz w:val="26"/>
        </w:rPr>
      </w:pPr>
      <w:r>
        <w:rPr>
          <w:sz w:val="26"/>
        </w:rPr>
        <w:t>Hence, the validity of a custom or usage could be tested for its conformity with Part</w:t>
      </w:r>
      <w:r>
        <w:rPr>
          <w:spacing w:val="-18"/>
          <w:sz w:val="26"/>
        </w:rPr>
        <w:t xml:space="preserve"> </w:t>
      </w:r>
      <w:r>
        <w:rPr>
          <w:sz w:val="26"/>
        </w:rPr>
        <w:t>III.</w:t>
      </w:r>
      <w:r>
        <w:rPr>
          <w:spacing w:val="-17"/>
          <w:sz w:val="26"/>
        </w:rPr>
        <w:t xml:space="preserve"> </w:t>
      </w:r>
      <w:r>
        <w:rPr>
          <w:sz w:val="26"/>
        </w:rPr>
        <w:t>However,</w:t>
      </w:r>
      <w:r>
        <w:rPr>
          <w:spacing w:val="-18"/>
          <w:sz w:val="26"/>
        </w:rPr>
        <w:t xml:space="preserve"> </w:t>
      </w:r>
      <w:r>
        <w:rPr>
          <w:sz w:val="26"/>
        </w:rPr>
        <w:t>the</w:t>
      </w:r>
      <w:r>
        <w:rPr>
          <w:spacing w:val="-15"/>
          <w:sz w:val="26"/>
        </w:rPr>
        <w:t xml:space="preserve"> </w:t>
      </w:r>
      <w:r>
        <w:rPr>
          <w:sz w:val="26"/>
        </w:rPr>
        <w:t>learned</w:t>
      </w:r>
      <w:r>
        <w:rPr>
          <w:spacing w:val="-18"/>
          <w:sz w:val="26"/>
        </w:rPr>
        <w:t xml:space="preserve"> </w:t>
      </w:r>
      <w:r>
        <w:rPr>
          <w:sz w:val="26"/>
        </w:rPr>
        <w:t>Chief</w:t>
      </w:r>
      <w:r>
        <w:rPr>
          <w:spacing w:val="-17"/>
          <w:sz w:val="26"/>
        </w:rPr>
        <w:t xml:space="preserve"> </w:t>
      </w:r>
      <w:r>
        <w:rPr>
          <w:sz w:val="26"/>
        </w:rPr>
        <w:t>Justice</w:t>
      </w:r>
      <w:r>
        <w:rPr>
          <w:spacing w:val="-18"/>
          <w:sz w:val="26"/>
        </w:rPr>
        <w:t xml:space="preserve"> </w:t>
      </w:r>
      <w:r>
        <w:rPr>
          <w:sz w:val="26"/>
        </w:rPr>
        <w:t>rejected</w:t>
      </w:r>
      <w:r>
        <w:rPr>
          <w:spacing w:val="-17"/>
          <w:sz w:val="26"/>
        </w:rPr>
        <w:t xml:space="preserve"> </w:t>
      </w:r>
      <w:r>
        <w:rPr>
          <w:sz w:val="26"/>
        </w:rPr>
        <w:t>the</w:t>
      </w:r>
      <w:r>
        <w:rPr>
          <w:spacing w:val="-18"/>
          <w:sz w:val="26"/>
        </w:rPr>
        <w:t xml:space="preserve"> </w:t>
      </w:r>
      <w:r>
        <w:rPr>
          <w:sz w:val="26"/>
        </w:rPr>
        <w:t>contention</w:t>
      </w:r>
      <w:r>
        <w:rPr>
          <w:spacing w:val="-17"/>
          <w:sz w:val="26"/>
        </w:rPr>
        <w:t xml:space="preserve"> </w:t>
      </w:r>
      <w:r>
        <w:rPr>
          <w:sz w:val="26"/>
        </w:rPr>
        <w:t>that</w:t>
      </w:r>
      <w:r>
        <w:rPr>
          <w:spacing w:val="-18"/>
          <w:sz w:val="26"/>
        </w:rPr>
        <w:t xml:space="preserve"> </w:t>
      </w:r>
      <w:r>
        <w:rPr>
          <w:sz w:val="26"/>
        </w:rPr>
        <w:t>personal law is ‘custom or</w:t>
      </w:r>
      <w:r>
        <w:rPr>
          <w:spacing w:val="-5"/>
          <w:sz w:val="26"/>
        </w:rPr>
        <w:t xml:space="preserve"> </w:t>
      </w:r>
      <w:r>
        <w:rPr>
          <w:sz w:val="26"/>
        </w:rPr>
        <w:t>usage’:</w:t>
      </w:r>
    </w:p>
    <w:p w:rsidR="003B2FC0" w:rsidRDefault="00052A49">
      <w:pPr>
        <w:spacing w:before="198" w:line="276" w:lineRule="auto"/>
        <w:ind w:left="1840" w:right="2283"/>
        <w:jc w:val="both"/>
        <w:rPr>
          <w:sz w:val="21"/>
        </w:rPr>
      </w:pPr>
      <w:r>
        <w:rPr>
          <w:sz w:val="21"/>
        </w:rPr>
        <w:t>“15…Custom or usage is deviation from personal law and not persona</w:t>
      </w:r>
      <w:r>
        <w:rPr>
          <w:sz w:val="21"/>
        </w:rPr>
        <w:t>l law itself. The law recognises certain institutions which are not in accordance with religious texts or are even opposed</w:t>
      </w:r>
      <w:r>
        <w:rPr>
          <w:spacing w:val="-14"/>
          <w:sz w:val="21"/>
        </w:rPr>
        <w:t xml:space="preserve"> </w:t>
      </w:r>
      <w:r>
        <w:rPr>
          <w:sz w:val="21"/>
        </w:rPr>
        <w:t>to</w:t>
      </w:r>
      <w:r>
        <w:rPr>
          <w:spacing w:val="-13"/>
          <w:sz w:val="21"/>
        </w:rPr>
        <w:t xml:space="preserve"> </w:t>
      </w:r>
      <w:r>
        <w:rPr>
          <w:sz w:val="21"/>
        </w:rPr>
        <w:t>them</w:t>
      </w:r>
      <w:r>
        <w:rPr>
          <w:spacing w:val="-14"/>
          <w:sz w:val="21"/>
        </w:rPr>
        <w:t xml:space="preserve"> </w:t>
      </w:r>
      <w:r>
        <w:rPr>
          <w:sz w:val="21"/>
        </w:rPr>
        <w:t>because</w:t>
      </w:r>
      <w:r>
        <w:rPr>
          <w:spacing w:val="-13"/>
          <w:sz w:val="21"/>
        </w:rPr>
        <w:t xml:space="preserve"> </w:t>
      </w:r>
      <w:r>
        <w:rPr>
          <w:sz w:val="21"/>
        </w:rPr>
        <w:t>they</w:t>
      </w:r>
      <w:r>
        <w:rPr>
          <w:spacing w:val="-15"/>
          <w:sz w:val="21"/>
        </w:rPr>
        <w:t xml:space="preserve"> </w:t>
      </w:r>
      <w:r>
        <w:rPr>
          <w:sz w:val="21"/>
        </w:rPr>
        <w:t>have</w:t>
      </w:r>
      <w:r>
        <w:rPr>
          <w:spacing w:val="-13"/>
          <w:sz w:val="21"/>
        </w:rPr>
        <w:t xml:space="preserve"> </w:t>
      </w:r>
      <w:r>
        <w:rPr>
          <w:sz w:val="21"/>
        </w:rPr>
        <w:t>been</w:t>
      </w:r>
      <w:r>
        <w:rPr>
          <w:spacing w:val="-13"/>
          <w:sz w:val="21"/>
        </w:rPr>
        <w:t xml:space="preserve"> </w:t>
      </w:r>
      <w:r>
        <w:rPr>
          <w:sz w:val="21"/>
        </w:rPr>
        <w:t>sanctified</w:t>
      </w:r>
      <w:r>
        <w:rPr>
          <w:spacing w:val="-16"/>
          <w:sz w:val="21"/>
        </w:rPr>
        <w:t xml:space="preserve"> </w:t>
      </w:r>
      <w:r>
        <w:rPr>
          <w:sz w:val="21"/>
        </w:rPr>
        <w:t>by</w:t>
      </w:r>
      <w:r>
        <w:rPr>
          <w:spacing w:val="-16"/>
          <w:sz w:val="21"/>
        </w:rPr>
        <w:t xml:space="preserve"> </w:t>
      </w:r>
      <w:r>
        <w:rPr>
          <w:sz w:val="21"/>
        </w:rPr>
        <w:t>custom or</w:t>
      </w:r>
      <w:r>
        <w:rPr>
          <w:spacing w:val="-5"/>
          <w:sz w:val="21"/>
        </w:rPr>
        <w:t xml:space="preserve"> </w:t>
      </w:r>
      <w:r>
        <w:rPr>
          <w:sz w:val="21"/>
        </w:rPr>
        <w:t>usage,</w:t>
      </w:r>
      <w:r>
        <w:rPr>
          <w:spacing w:val="-6"/>
          <w:sz w:val="21"/>
        </w:rPr>
        <w:t xml:space="preserve"> </w:t>
      </w:r>
      <w:r>
        <w:rPr>
          <w:sz w:val="21"/>
        </w:rPr>
        <w:t>but</w:t>
      </w:r>
      <w:r>
        <w:rPr>
          <w:spacing w:val="-6"/>
          <w:sz w:val="21"/>
        </w:rPr>
        <w:t xml:space="preserve"> </w:t>
      </w:r>
      <w:r>
        <w:rPr>
          <w:sz w:val="21"/>
        </w:rPr>
        <w:t>the</w:t>
      </w:r>
      <w:r>
        <w:rPr>
          <w:spacing w:val="-6"/>
          <w:sz w:val="21"/>
        </w:rPr>
        <w:t xml:space="preserve"> </w:t>
      </w:r>
      <w:r>
        <w:rPr>
          <w:sz w:val="21"/>
        </w:rPr>
        <w:t>difference</w:t>
      </w:r>
      <w:r>
        <w:rPr>
          <w:spacing w:val="-5"/>
          <w:sz w:val="21"/>
        </w:rPr>
        <w:t xml:space="preserve"> </w:t>
      </w:r>
      <w:r>
        <w:rPr>
          <w:sz w:val="21"/>
        </w:rPr>
        <w:t>between</w:t>
      </w:r>
      <w:r>
        <w:rPr>
          <w:spacing w:val="-5"/>
          <w:sz w:val="21"/>
        </w:rPr>
        <w:t xml:space="preserve"> </w:t>
      </w:r>
      <w:r>
        <w:rPr>
          <w:sz w:val="21"/>
        </w:rPr>
        <w:t>personal</w:t>
      </w:r>
      <w:r>
        <w:rPr>
          <w:spacing w:val="-6"/>
          <w:sz w:val="21"/>
        </w:rPr>
        <w:t xml:space="preserve"> </w:t>
      </w:r>
      <w:r>
        <w:rPr>
          <w:sz w:val="21"/>
        </w:rPr>
        <w:t>law</w:t>
      </w:r>
      <w:r>
        <w:rPr>
          <w:spacing w:val="-5"/>
          <w:sz w:val="21"/>
        </w:rPr>
        <w:t xml:space="preserve"> </w:t>
      </w:r>
      <w:r>
        <w:rPr>
          <w:sz w:val="21"/>
        </w:rPr>
        <w:t>and</w:t>
      </w:r>
      <w:r>
        <w:rPr>
          <w:spacing w:val="-4"/>
          <w:sz w:val="21"/>
        </w:rPr>
        <w:t xml:space="preserve"> </w:t>
      </w:r>
      <w:r>
        <w:rPr>
          <w:sz w:val="21"/>
        </w:rPr>
        <w:t>custom or usage is clear and</w:t>
      </w:r>
      <w:r>
        <w:rPr>
          <w:spacing w:val="-11"/>
          <w:sz w:val="21"/>
        </w:rPr>
        <w:t xml:space="preserve"> </w:t>
      </w:r>
      <w:r>
        <w:rPr>
          <w:sz w:val="21"/>
        </w:rPr>
        <w:t>unambiguous.”</w:t>
      </w:r>
    </w:p>
    <w:p w:rsidR="003B2FC0" w:rsidRDefault="003B2FC0">
      <w:pPr>
        <w:rPr>
          <w:sz w:val="24"/>
        </w:rPr>
      </w:pPr>
    </w:p>
    <w:p w:rsidR="003B2FC0" w:rsidRDefault="003B2FC0">
      <w:pPr>
        <w:rPr>
          <w:sz w:val="24"/>
        </w:rPr>
      </w:pPr>
    </w:p>
    <w:p w:rsidR="003B2FC0" w:rsidRDefault="00052A49">
      <w:pPr>
        <w:spacing w:before="195" w:line="480" w:lineRule="auto"/>
        <w:ind w:left="400" w:right="434"/>
        <w:jc w:val="both"/>
        <w:rPr>
          <w:sz w:val="26"/>
        </w:rPr>
      </w:pPr>
      <w:r>
        <w:rPr>
          <w:sz w:val="26"/>
        </w:rPr>
        <w:t>Thus, Justice Chagla concluded that “personal law is not included in the expression “laws in force” used in Article 13(1).”</w:t>
      </w:r>
    </w:p>
    <w:p w:rsidR="003B2FC0" w:rsidRDefault="003B2FC0">
      <w:pPr>
        <w:rPr>
          <w:sz w:val="28"/>
        </w:rPr>
      </w:pPr>
    </w:p>
    <w:p w:rsidR="003B2FC0" w:rsidRDefault="003B2FC0">
      <w:pPr>
        <w:spacing w:before="8"/>
        <w:rPr>
          <w:sz w:val="32"/>
        </w:rPr>
      </w:pPr>
    </w:p>
    <w:p w:rsidR="003B2FC0" w:rsidRDefault="00052A49">
      <w:pPr>
        <w:pStyle w:val="ListParagraph"/>
        <w:numPr>
          <w:ilvl w:val="0"/>
          <w:numId w:val="39"/>
        </w:numPr>
        <w:tabs>
          <w:tab w:val="left" w:pos="1121"/>
        </w:tabs>
        <w:spacing w:line="480" w:lineRule="auto"/>
        <w:ind w:right="437" w:firstLine="0"/>
        <w:jc w:val="both"/>
        <w:rPr>
          <w:sz w:val="26"/>
        </w:rPr>
      </w:pPr>
      <w:r>
        <w:rPr>
          <w:sz w:val="26"/>
        </w:rPr>
        <w:t>Justice</w:t>
      </w:r>
      <w:r>
        <w:rPr>
          <w:spacing w:val="-12"/>
          <w:sz w:val="26"/>
        </w:rPr>
        <w:t xml:space="preserve"> </w:t>
      </w:r>
      <w:r>
        <w:rPr>
          <w:sz w:val="26"/>
        </w:rPr>
        <w:t>Gajendragadkar</w:t>
      </w:r>
      <w:r>
        <w:rPr>
          <w:spacing w:val="-14"/>
          <w:sz w:val="26"/>
        </w:rPr>
        <w:t xml:space="preserve"> </w:t>
      </w:r>
      <w:r>
        <w:rPr>
          <w:sz w:val="26"/>
        </w:rPr>
        <w:t>(as</w:t>
      </w:r>
      <w:r>
        <w:rPr>
          <w:spacing w:val="-14"/>
          <w:sz w:val="26"/>
        </w:rPr>
        <w:t xml:space="preserve"> </w:t>
      </w:r>
      <w:r>
        <w:rPr>
          <w:sz w:val="26"/>
        </w:rPr>
        <w:t>the</w:t>
      </w:r>
      <w:r>
        <w:rPr>
          <w:spacing w:val="-14"/>
          <w:sz w:val="26"/>
        </w:rPr>
        <w:t xml:space="preserve"> </w:t>
      </w:r>
      <w:r>
        <w:rPr>
          <w:sz w:val="26"/>
        </w:rPr>
        <w:t>learned</w:t>
      </w:r>
      <w:r>
        <w:rPr>
          <w:spacing w:val="-13"/>
          <w:sz w:val="26"/>
        </w:rPr>
        <w:t xml:space="preserve"> </w:t>
      </w:r>
      <w:r>
        <w:rPr>
          <w:sz w:val="26"/>
        </w:rPr>
        <w:t>Judge</w:t>
      </w:r>
      <w:r>
        <w:rPr>
          <w:spacing w:val="-12"/>
          <w:sz w:val="26"/>
        </w:rPr>
        <w:t xml:space="preserve"> </w:t>
      </w:r>
      <w:r>
        <w:rPr>
          <w:sz w:val="26"/>
        </w:rPr>
        <w:t>then</w:t>
      </w:r>
      <w:r>
        <w:rPr>
          <w:spacing w:val="-9"/>
          <w:sz w:val="26"/>
        </w:rPr>
        <w:t xml:space="preserve"> </w:t>
      </w:r>
      <w:r>
        <w:rPr>
          <w:sz w:val="26"/>
        </w:rPr>
        <w:t>was)</w:t>
      </w:r>
      <w:r>
        <w:rPr>
          <w:spacing w:val="-14"/>
          <w:sz w:val="26"/>
        </w:rPr>
        <w:t xml:space="preserve"> </w:t>
      </w:r>
      <w:r>
        <w:rPr>
          <w:sz w:val="26"/>
        </w:rPr>
        <w:t>differed</w:t>
      </w:r>
      <w:r>
        <w:rPr>
          <w:spacing w:val="-12"/>
          <w:sz w:val="26"/>
        </w:rPr>
        <w:t xml:space="preserve"> </w:t>
      </w:r>
      <w:r>
        <w:rPr>
          <w:sz w:val="26"/>
        </w:rPr>
        <w:t>with</w:t>
      </w:r>
      <w:r>
        <w:rPr>
          <w:spacing w:val="-13"/>
          <w:sz w:val="26"/>
        </w:rPr>
        <w:t xml:space="preserve"> </w:t>
      </w:r>
      <w:r>
        <w:rPr>
          <w:sz w:val="26"/>
        </w:rPr>
        <w:t>the Chief Justic</w:t>
      </w:r>
      <w:r>
        <w:rPr>
          <w:sz w:val="26"/>
        </w:rPr>
        <w:t>e’s view that custom or usage falls within the ambit of Article 13(1). According</w:t>
      </w:r>
      <w:r>
        <w:rPr>
          <w:spacing w:val="-8"/>
          <w:sz w:val="26"/>
        </w:rPr>
        <w:t xml:space="preserve"> </w:t>
      </w:r>
      <w:r>
        <w:rPr>
          <w:sz w:val="26"/>
        </w:rPr>
        <w:t>to</w:t>
      </w:r>
      <w:r>
        <w:rPr>
          <w:spacing w:val="-8"/>
          <w:sz w:val="26"/>
        </w:rPr>
        <w:t xml:space="preserve"> </w:t>
      </w:r>
      <w:r>
        <w:rPr>
          <w:sz w:val="26"/>
        </w:rPr>
        <w:t>Justice</w:t>
      </w:r>
      <w:r>
        <w:rPr>
          <w:spacing w:val="-4"/>
          <w:sz w:val="26"/>
        </w:rPr>
        <w:t xml:space="preserve"> </w:t>
      </w:r>
      <w:r>
        <w:rPr>
          <w:sz w:val="26"/>
        </w:rPr>
        <w:t>Gajendragadkar,</w:t>
      </w:r>
      <w:r>
        <w:rPr>
          <w:spacing w:val="-3"/>
          <w:sz w:val="26"/>
        </w:rPr>
        <w:t xml:space="preserve"> </w:t>
      </w:r>
      <w:r>
        <w:rPr>
          <w:sz w:val="26"/>
        </w:rPr>
        <w:t>‘custom</w:t>
      </w:r>
      <w:r>
        <w:rPr>
          <w:spacing w:val="-5"/>
          <w:sz w:val="26"/>
        </w:rPr>
        <w:t xml:space="preserve"> </w:t>
      </w:r>
      <w:r>
        <w:rPr>
          <w:sz w:val="26"/>
        </w:rPr>
        <w:t>or</w:t>
      </w:r>
      <w:r>
        <w:rPr>
          <w:spacing w:val="-8"/>
          <w:sz w:val="26"/>
        </w:rPr>
        <w:t xml:space="preserve"> </w:t>
      </w:r>
      <w:r>
        <w:rPr>
          <w:sz w:val="26"/>
        </w:rPr>
        <w:t>usage’</w:t>
      </w:r>
      <w:r>
        <w:rPr>
          <w:spacing w:val="-8"/>
          <w:sz w:val="26"/>
        </w:rPr>
        <w:t xml:space="preserve"> </w:t>
      </w:r>
      <w:r>
        <w:rPr>
          <w:sz w:val="26"/>
        </w:rPr>
        <w:t>does</w:t>
      </w:r>
      <w:r>
        <w:rPr>
          <w:spacing w:val="-3"/>
          <w:sz w:val="26"/>
        </w:rPr>
        <w:t xml:space="preserve"> </w:t>
      </w:r>
      <w:r>
        <w:rPr>
          <w:sz w:val="26"/>
        </w:rPr>
        <w:t>not</w:t>
      </w:r>
      <w:r>
        <w:rPr>
          <w:spacing w:val="-8"/>
          <w:sz w:val="26"/>
        </w:rPr>
        <w:t xml:space="preserve"> </w:t>
      </w:r>
      <w:r>
        <w:rPr>
          <w:sz w:val="26"/>
        </w:rPr>
        <w:t>fall</w:t>
      </w:r>
      <w:r>
        <w:rPr>
          <w:spacing w:val="-5"/>
          <w:sz w:val="26"/>
        </w:rPr>
        <w:t xml:space="preserve"> </w:t>
      </w:r>
      <w:r>
        <w:rPr>
          <w:sz w:val="26"/>
        </w:rPr>
        <w:t>within</w:t>
      </w:r>
      <w:r>
        <w:rPr>
          <w:spacing w:val="-6"/>
          <w:sz w:val="26"/>
        </w:rPr>
        <w:t xml:space="preserve"> </w:t>
      </w:r>
      <w:r>
        <w:rPr>
          <w:sz w:val="26"/>
        </w:rPr>
        <w:t>the expression ‘laws in force’ in Article</w:t>
      </w:r>
      <w:r>
        <w:rPr>
          <w:spacing w:val="-5"/>
          <w:sz w:val="26"/>
        </w:rPr>
        <w:t xml:space="preserve"> </w:t>
      </w:r>
      <w:r>
        <w:rPr>
          <w:sz w:val="26"/>
        </w:rPr>
        <w:t>13(1):</w:t>
      </w:r>
    </w:p>
    <w:p w:rsidR="003B2FC0" w:rsidRDefault="00052A49">
      <w:pPr>
        <w:spacing w:before="199" w:line="276" w:lineRule="auto"/>
        <w:ind w:left="1840" w:right="2280"/>
        <w:jc w:val="both"/>
        <w:rPr>
          <w:sz w:val="21"/>
        </w:rPr>
      </w:pPr>
      <w:r>
        <w:rPr>
          <w:sz w:val="21"/>
        </w:rPr>
        <w:t>“26…If custom or usage having the force of law was really included in the expression “laws in force,” I am unable to see why it was necessary to provide for the abolition of untouchability expressly and specifically by Article 17. This article abolishes un</w:t>
      </w:r>
      <w:r>
        <w:rPr>
          <w:sz w:val="21"/>
        </w:rPr>
        <w:t>touchability and forbids its practice in any form. It also lays down that the enforcement of any disability arising out of untouchability shall be an offence punishable in</w:t>
      </w:r>
    </w:p>
    <w:p w:rsidR="003B2FC0" w:rsidRDefault="003B2FC0">
      <w:pPr>
        <w:spacing w:line="276" w:lineRule="auto"/>
        <w:jc w:val="both"/>
        <w:rPr>
          <w:sz w:val="21"/>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0"/>
        <w:jc w:val="both"/>
        <w:rPr>
          <w:sz w:val="21"/>
        </w:rPr>
      </w:pPr>
      <w:r>
        <w:rPr>
          <w:sz w:val="21"/>
        </w:rPr>
        <w:t>accordance with law. Untouchability as it was practised amongst t</w:t>
      </w:r>
      <w:r>
        <w:rPr>
          <w:sz w:val="21"/>
        </w:rPr>
        <w:t>he Hindus owed its origin to custom and usage, and there</w:t>
      </w:r>
      <w:r>
        <w:rPr>
          <w:spacing w:val="-6"/>
          <w:sz w:val="21"/>
        </w:rPr>
        <w:t xml:space="preserve"> </w:t>
      </w:r>
      <w:r>
        <w:rPr>
          <w:sz w:val="21"/>
        </w:rPr>
        <w:t>can</w:t>
      </w:r>
      <w:r>
        <w:rPr>
          <w:spacing w:val="-5"/>
          <w:sz w:val="21"/>
        </w:rPr>
        <w:t xml:space="preserve"> </w:t>
      </w:r>
      <w:r>
        <w:rPr>
          <w:sz w:val="21"/>
        </w:rPr>
        <w:t>be</w:t>
      </w:r>
      <w:r>
        <w:rPr>
          <w:spacing w:val="-5"/>
          <w:sz w:val="21"/>
        </w:rPr>
        <w:t xml:space="preserve"> </w:t>
      </w:r>
      <w:r>
        <w:rPr>
          <w:sz w:val="21"/>
        </w:rPr>
        <w:t>no</w:t>
      </w:r>
      <w:r>
        <w:rPr>
          <w:spacing w:val="-6"/>
          <w:sz w:val="21"/>
        </w:rPr>
        <w:t xml:space="preserve"> </w:t>
      </w:r>
      <w:r>
        <w:rPr>
          <w:sz w:val="21"/>
        </w:rPr>
        <w:t>doubt</w:t>
      </w:r>
      <w:r>
        <w:rPr>
          <w:spacing w:val="-6"/>
          <w:sz w:val="21"/>
        </w:rPr>
        <w:t xml:space="preserve"> </w:t>
      </w:r>
      <w:r>
        <w:rPr>
          <w:sz w:val="21"/>
        </w:rPr>
        <w:t>whatever</w:t>
      </w:r>
      <w:r>
        <w:rPr>
          <w:spacing w:val="-6"/>
          <w:sz w:val="21"/>
        </w:rPr>
        <w:t xml:space="preserve"> </w:t>
      </w:r>
      <w:r>
        <w:rPr>
          <w:sz w:val="21"/>
        </w:rPr>
        <w:t>that</w:t>
      </w:r>
      <w:r>
        <w:rPr>
          <w:spacing w:val="-7"/>
          <w:sz w:val="21"/>
        </w:rPr>
        <w:t xml:space="preserve"> </w:t>
      </w:r>
      <w:r>
        <w:rPr>
          <w:sz w:val="21"/>
        </w:rPr>
        <w:t>in</w:t>
      </w:r>
      <w:r>
        <w:rPr>
          <w:spacing w:val="-5"/>
          <w:sz w:val="21"/>
        </w:rPr>
        <w:t xml:space="preserve"> </w:t>
      </w:r>
      <w:r>
        <w:rPr>
          <w:sz w:val="21"/>
        </w:rPr>
        <w:t>theory</w:t>
      </w:r>
      <w:r>
        <w:rPr>
          <w:spacing w:val="-8"/>
          <w:sz w:val="21"/>
        </w:rPr>
        <w:t xml:space="preserve"> </w:t>
      </w:r>
      <w:r>
        <w:rPr>
          <w:sz w:val="21"/>
        </w:rPr>
        <w:t>and</w:t>
      </w:r>
      <w:r>
        <w:rPr>
          <w:spacing w:val="-6"/>
          <w:sz w:val="21"/>
        </w:rPr>
        <w:t xml:space="preserve"> </w:t>
      </w:r>
      <w:r>
        <w:rPr>
          <w:sz w:val="21"/>
        </w:rPr>
        <w:t>in</w:t>
      </w:r>
      <w:r>
        <w:rPr>
          <w:spacing w:val="-5"/>
          <w:sz w:val="21"/>
        </w:rPr>
        <w:t xml:space="preserve"> </w:t>
      </w:r>
      <w:r>
        <w:rPr>
          <w:sz w:val="21"/>
        </w:rPr>
        <w:t>practice</w:t>
      </w:r>
      <w:r>
        <w:rPr>
          <w:spacing w:val="-7"/>
          <w:sz w:val="21"/>
        </w:rPr>
        <w:t xml:space="preserve"> </w:t>
      </w:r>
      <w:r>
        <w:rPr>
          <w:sz w:val="21"/>
        </w:rPr>
        <w:t xml:space="preserve">it discriminated against a large section of Hindus only on the ground of birth. If untouchability thus clearly offended against the provisions </w:t>
      </w:r>
      <w:r>
        <w:rPr>
          <w:sz w:val="21"/>
        </w:rPr>
        <w:t>of Article 15(1) and if it was included in the expression “laws in force”, it would have been void under Article 13(1). In that view it would have been wholly unnecessary to provide for its abolition by Article 17. That is why I find it difficult to accept</w:t>
      </w:r>
      <w:r>
        <w:rPr>
          <w:sz w:val="21"/>
        </w:rPr>
        <w:t xml:space="preserve"> the argument that custom or usage</w:t>
      </w:r>
      <w:r>
        <w:rPr>
          <w:spacing w:val="-13"/>
          <w:sz w:val="21"/>
        </w:rPr>
        <w:t xml:space="preserve"> </w:t>
      </w:r>
      <w:r>
        <w:rPr>
          <w:sz w:val="21"/>
        </w:rPr>
        <w:t>having</w:t>
      </w:r>
      <w:r>
        <w:rPr>
          <w:spacing w:val="-12"/>
          <w:sz w:val="21"/>
        </w:rPr>
        <w:t xml:space="preserve"> </w:t>
      </w:r>
      <w:r>
        <w:rPr>
          <w:sz w:val="21"/>
        </w:rPr>
        <w:t>the</w:t>
      </w:r>
      <w:r>
        <w:rPr>
          <w:spacing w:val="-12"/>
          <w:sz w:val="21"/>
        </w:rPr>
        <w:t xml:space="preserve"> </w:t>
      </w:r>
      <w:r>
        <w:rPr>
          <w:sz w:val="21"/>
        </w:rPr>
        <w:t>force</w:t>
      </w:r>
      <w:r>
        <w:rPr>
          <w:spacing w:val="-13"/>
          <w:sz w:val="21"/>
        </w:rPr>
        <w:t xml:space="preserve"> </w:t>
      </w:r>
      <w:r>
        <w:rPr>
          <w:sz w:val="21"/>
        </w:rPr>
        <w:t>of</w:t>
      </w:r>
      <w:r>
        <w:rPr>
          <w:spacing w:val="-11"/>
          <w:sz w:val="21"/>
        </w:rPr>
        <w:t xml:space="preserve"> </w:t>
      </w:r>
      <w:r>
        <w:rPr>
          <w:sz w:val="21"/>
        </w:rPr>
        <w:t>law</w:t>
      </w:r>
      <w:r>
        <w:rPr>
          <w:spacing w:val="-13"/>
          <w:sz w:val="21"/>
        </w:rPr>
        <w:t xml:space="preserve"> </w:t>
      </w:r>
      <w:r>
        <w:rPr>
          <w:sz w:val="21"/>
        </w:rPr>
        <w:t>should</w:t>
      </w:r>
      <w:r>
        <w:rPr>
          <w:spacing w:val="-13"/>
          <w:sz w:val="21"/>
        </w:rPr>
        <w:t xml:space="preserve"> </w:t>
      </w:r>
      <w:r>
        <w:rPr>
          <w:sz w:val="21"/>
        </w:rPr>
        <w:t>be</w:t>
      </w:r>
      <w:r>
        <w:rPr>
          <w:spacing w:val="-12"/>
          <w:sz w:val="21"/>
        </w:rPr>
        <w:t xml:space="preserve"> </w:t>
      </w:r>
      <w:r>
        <w:rPr>
          <w:sz w:val="21"/>
        </w:rPr>
        <w:t>deemed</w:t>
      </w:r>
      <w:r>
        <w:rPr>
          <w:spacing w:val="-12"/>
          <w:sz w:val="21"/>
        </w:rPr>
        <w:t xml:space="preserve"> </w:t>
      </w:r>
      <w:r>
        <w:rPr>
          <w:sz w:val="21"/>
        </w:rPr>
        <w:t>to</w:t>
      </w:r>
      <w:r>
        <w:rPr>
          <w:spacing w:val="-13"/>
          <w:sz w:val="21"/>
        </w:rPr>
        <w:t xml:space="preserve"> </w:t>
      </w:r>
      <w:r>
        <w:rPr>
          <w:sz w:val="21"/>
        </w:rPr>
        <w:t>be</w:t>
      </w:r>
      <w:r>
        <w:rPr>
          <w:spacing w:val="-12"/>
          <w:sz w:val="21"/>
        </w:rPr>
        <w:t xml:space="preserve"> </w:t>
      </w:r>
      <w:r>
        <w:rPr>
          <w:sz w:val="21"/>
        </w:rPr>
        <w:t>included in the expression “laws in</w:t>
      </w:r>
      <w:r>
        <w:rPr>
          <w:spacing w:val="-7"/>
          <w:sz w:val="21"/>
        </w:rPr>
        <w:t xml:space="preserve"> </w:t>
      </w:r>
      <w:r>
        <w:rPr>
          <w:sz w:val="21"/>
        </w:rPr>
        <w:t>force.””</w:t>
      </w:r>
    </w:p>
    <w:p w:rsidR="003B2FC0" w:rsidRDefault="003B2FC0">
      <w:pPr>
        <w:rPr>
          <w:sz w:val="24"/>
        </w:rPr>
      </w:pPr>
    </w:p>
    <w:p w:rsidR="003B2FC0" w:rsidRDefault="003B2FC0">
      <w:pPr>
        <w:rPr>
          <w:sz w:val="24"/>
        </w:rPr>
      </w:pPr>
    </w:p>
    <w:p w:rsidR="003B2FC0" w:rsidRDefault="00052A49">
      <w:pPr>
        <w:spacing w:before="149" w:line="480" w:lineRule="auto"/>
        <w:ind w:left="400" w:right="435"/>
        <w:jc w:val="both"/>
        <w:rPr>
          <w:sz w:val="26"/>
        </w:rPr>
      </w:pPr>
      <w:r>
        <w:rPr>
          <w:sz w:val="26"/>
        </w:rPr>
        <w:t>The learned Judge opined that the practice of untouchability owed its origins to custom and usage. If it was intended to includ</w:t>
      </w:r>
      <w:r>
        <w:rPr>
          <w:sz w:val="26"/>
        </w:rPr>
        <w:t>e ‘custom or usage’ in the definition</w:t>
      </w:r>
      <w:r>
        <w:rPr>
          <w:spacing w:val="-13"/>
          <w:sz w:val="26"/>
        </w:rPr>
        <w:t xml:space="preserve"> </w:t>
      </w:r>
      <w:r>
        <w:rPr>
          <w:sz w:val="26"/>
        </w:rPr>
        <w:t>of</w:t>
      </w:r>
      <w:r>
        <w:rPr>
          <w:spacing w:val="-13"/>
          <w:sz w:val="26"/>
        </w:rPr>
        <w:t xml:space="preserve"> </w:t>
      </w:r>
      <w:r>
        <w:rPr>
          <w:sz w:val="26"/>
        </w:rPr>
        <w:t>‘laws</w:t>
      </w:r>
      <w:r>
        <w:rPr>
          <w:spacing w:val="-12"/>
          <w:sz w:val="26"/>
        </w:rPr>
        <w:t xml:space="preserve"> </w:t>
      </w:r>
      <w:r>
        <w:rPr>
          <w:sz w:val="26"/>
        </w:rPr>
        <w:t>in</w:t>
      </w:r>
      <w:r>
        <w:rPr>
          <w:spacing w:val="-13"/>
          <w:sz w:val="26"/>
        </w:rPr>
        <w:t xml:space="preserve"> </w:t>
      </w:r>
      <w:r>
        <w:rPr>
          <w:sz w:val="26"/>
        </w:rPr>
        <w:t>force’</w:t>
      </w:r>
      <w:r>
        <w:rPr>
          <w:spacing w:val="-13"/>
          <w:sz w:val="26"/>
        </w:rPr>
        <w:t xml:space="preserve"> </w:t>
      </w:r>
      <w:r>
        <w:rPr>
          <w:sz w:val="26"/>
        </w:rPr>
        <w:t>in</w:t>
      </w:r>
      <w:r>
        <w:rPr>
          <w:spacing w:val="-12"/>
          <w:sz w:val="26"/>
        </w:rPr>
        <w:t xml:space="preserve"> </w:t>
      </w:r>
      <w:r>
        <w:rPr>
          <w:sz w:val="26"/>
        </w:rPr>
        <w:t>Article</w:t>
      </w:r>
      <w:r>
        <w:rPr>
          <w:spacing w:val="-13"/>
          <w:sz w:val="26"/>
        </w:rPr>
        <w:t xml:space="preserve"> </w:t>
      </w:r>
      <w:r>
        <w:rPr>
          <w:sz w:val="26"/>
        </w:rPr>
        <w:t>13(3)(b),</w:t>
      </w:r>
      <w:r>
        <w:rPr>
          <w:spacing w:val="-13"/>
          <w:sz w:val="26"/>
        </w:rPr>
        <w:t xml:space="preserve"> </w:t>
      </w:r>
      <w:r>
        <w:rPr>
          <w:sz w:val="26"/>
        </w:rPr>
        <w:t>the</w:t>
      </w:r>
      <w:r>
        <w:rPr>
          <w:spacing w:val="-12"/>
          <w:sz w:val="26"/>
        </w:rPr>
        <w:t xml:space="preserve"> </w:t>
      </w:r>
      <w:r>
        <w:rPr>
          <w:sz w:val="26"/>
        </w:rPr>
        <w:t>custom</w:t>
      </w:r>
      <w:r>
        <w:rPr>
          <w:spacing w:val="-13"/>
          <w:sz w:val="26"/>
        </w:rPr>
        <w:t xml:space="preserve"> </w:t>
      </w:r>
      <w:r>
        <w:rPr>
          <w:sz w:val="26"/>
        </w:rPr>
        <w:t>of</w:t>
      </w:r>
      <w:r>
        <w:rPr>
          <w:spacing w:val="-13"/>
          <w:sz w:val="26"/>
        </w:rPr>
        <w:t xml:space="preserve"> </w:t>
      </w:r>
      <w:r>
        <w:rPr>
          <w:sz w:val="26"/>
        </w:rPr>
        <w:t>untouchability</w:t>
      </w:r>
      <w:r>
        <w:rPr>
          <w:spacing w:val="-12"/>
          <w:sz w:val="26"/>
        </w:rPr>
        <w:t xml:space="preserve"> </w:t>
      </w:r>
      <w:r>
        <w:rPr>
          <w:sz w:val="26"/>
        </w:rPr>
        <w:t>would offend the non-discrimination guarantee under Article 15 and be void under Article</w:t>
      </w:r>
      <w:r>
        <w:rPr>
          <w:spacing w:val="-18"/>
          <w:sz w:val="26"/>
        </w:rPr>
        <w:t xml:space="preserve"> </w:t>
      </w:r>
      <w:r>
        <w:rPr>
          <w:sz w:val="26"/>
        </w:rPr>
        <w:t>13(1).</w:t>
      </w:r>
      <w:r>
        <w:rPr>
          <w:spacing w:val="-18"/>
          <w:sz w:val="26"/>
        </w:rPr>
        <w:t xml:space="preserve"> </w:t>
      </w:r>
      <w:r>
        <w:rPr>
          <w:sz w:val="26"/>
        </w:rPr>
        <w:t>The</w:t>
      </w:r>
      <w:r>
        <w:rPr>
          <w:spacing w:val="-18"/>
          <w:sz w:val="26"/>
        </w:rPr>
        <w:t xml:space="preserve"> </w:t>
      </w:r>
      <w:r>
        <w:rPr>
          <w:sz w:val="26"/>
        </w:rPr>
        <w:t>learned</w:t>
      </w:r>
      <w:r>
        <w:rPr>
          <w:spacing w:val="-18"/>
          <w:sz w:val="26"/>
        </w:rPr>
        <w:t xml:space="preserve"> </w:t>
      </w:r>
      <w:r>
        <w:rPr>
          <w:sz w:val="26"/>
        </w:rPr>
        <w:t>Judge</w:t>
      </w:r>
      <w:r>
        <w:rPr>
          <w:spacing w:val="-18"/>
          <w:sz w:val="26"/>
        </w:rPr>
        <w:t xml:space="preserve"> </w:t>
      </w:r>
      <w:r>
        <w:rPr>
          <w:sz w:val="26"/>
        </w:rPr>
        <w:t>concluded</w:t>
      </w:r>
      <w:r>
        <w:rPr>
          <w:spacing w:val="-18"/>
          <w:sz w:val="26"/>
        </w:rPr>
        <w:t xml:space="preserve"> </w:t>
      </w:r>
      <w:r>
        <w:rPr>
          <w:sz w:val="26"/>
        </w:rPr>
        <w:t>that</w:t>
      </w:r>
      <w:r>
        <w:rPr>
          <w:spacing w:val="-18"/>
          <w:sz w:val="26"/>
        </w:rPr>
        <w:t xml:space="preserve"> </w:t>
      </w:r>
      <w:r>
        <w:rPr>
          <w:sz w:val="26"/>
        </w:rPr>
        <w:t>this</w:t>
      </w:r>
      <w:r>
        <w:rPr>
          <w:spacing w:val="-18"/>
          <w:sz w:val="26"/>
        </w:rPr>
        <w:t xml:space="preserve"> </w:t>
      </w:r>
      <w:r>
        <w:rPr>
          <w:sz w:val="26"/>
        </w:rPr>
        <w:t>renders</w:t>
      </w:r>
      <w:r>
        <w:rPr>
          <w:spacing w:val="-18"/>
          <w:sz w:val="26"/>
        </w:rPr>
        <w:t xml:space="preserve"> </w:t>
      </w:r>
      <w:r>
        <w:rPr>
          <w:sz w:val="26"/>
        </w:rPr>
        <w:t>Article</w:t>
      </w:r>
      <w:r>
        <w:rPr>
          <w:spacing w:val="-18"/>
          <w:sz w:val="26"/>
        </w:rPr>
        <w:t xml:space="preserve"> </w:t>
      </w:r>
      <w:r>
        <w:rPr>
          <w:sz w:val="26"/>
        </w:rPr>
        <w:t>17</w:t>
      </w:r>
      <w:r>
        <w:rPr>
          <w:spacing w:val="-18"/>
          <w:sz w:val="26"/>
        </w:rPr>
        <w:t xml:space="preserve"> </w:t>
      </w:r>
      <w:r>
        <w:rPr>
          <w:sz w:val="26"/>
        </w:rPr>
        <w:t>obsolete. The learned Judge concluded that it was thus not intended to include ‘custom or usage’ within the ambit of ‘laws in force’ in Article 13(1) read with Article 13(3)(b).</w:t>
      </w:r>
    </w:p>
    <w:p w:rsidR="003B2FC0" w:rsidRDefault="003B2FC0">
      <w:pPr>
        <w:rPr>
          <w:sz w:val="28"/>
        </w:rPr>
      </w:pPr>
    </w:p>
    <w:p w:rsidR="003B2FC0" w:rsidRDefault="003B2FC0">
      <w:pPr>
        <w:spacing w:before="9"/>
        <w:rPr>
          <w:sz w:val="32"/>
        </w:rPr>
      </w:pPr>
    </w:p>
    <w:p w:rsidR="003B2FC0" w:rsidRDefault="00052A49">
      <w:pPr>
        <w:spacing w:line="480" w:lineRule="auto"/>
        <w:ind w:left="400" w:right="440"/>
        <w:jc w:val="both"/>
        <w:rPr>
          <w:sz w:val="26"/>
        </w:rPr>
      </w:pPr>
      <w:r>
        <w:rPr>
          <w:sz w:val="26"/>
        </w:rPr>
        <w:t>Justice Gajendragadkar held that “even if this view is wrong, it does no</w:t>
      </w:r>
      <w:r>
        <w:rPr>
          <w:sz w:val="26"/>
        </w:rPr>
        <w:t>t follow that personal laws are included in the expression “laws in force””:</w:t>
      </w:r>
    </w:p>
    <w:p w:rsidR="003B2FC0" w:rsidRDefault="00052A49">
      <w:pPr>
        <w:spacing w:before="200" w:line="276" w:lineRule="auto"/>
        <w:ind w:left="1840" w:right="2281"/>
        <w:jc w:val="both"/>
        <w:rPr>
          <w:sz w:val="21"/>
        </w:rPr>
      </w:pPr>
      <w:r>
        <w:rPr>
          <w:sz w:val="21"/>
        </w:rPr>
        <w:t>“26…It</w:t>
      </w:r>
      <w:r>
        <w:rPr>
          <w:spacing w:val="-9"/>
          <w:sz w:val="21"/>
        </w:rPr>
        <w:t xml:space="preserve"> </w:t>
      </w:r>
      <w:r>
        <w:rPr>
          <w:sz w:val="21"/>
        </w:rPr>
        <w:t>seems</w:t>
      </w:r>
      <w:r>
        <w:rPr>
          <w:spacing w:val="-7"/>
          <w:sz w:val="21"/>
        </w:rPr>
        <w:t xml:space="preserve"> </w:t>
      </w:r>
      <w:r>
        <w:rPr>
          <w:sz w:val="21"/>
        </w:rPr>
        <w:t>to</w:t>
      </w:r>
      <w:r>
        <w:rPr>
          <w:spacing w:val="-9"/>
          <w:sz w:val="21"/>
        </w:rPr>
        <w:t xml:space="preserve"> </w:t>
      </w:r>
      <w:r>
        <w:rPr>
          <w:sz w:val="21"/>
        </w:rPr>
        <w:t>me</w:t>
      </w:r>
      <w:r>
        <w:rPr>
          <w:spacing w:val="-7"/>
          <w:sz w:val="21"/>
        </w:rPr>
        <w:t xml:space="preserve"> </w:t>
      </w:r>
      <w:r>
        <w:rPr>
          <w:sz w:val="21"/>
        </w:rPr>
        <w:t>impossible</w:t>
      </w:r>
      <w:r>
        <w:rPr>
          <w:spacing w:val="-8"/>
          <w:sz w:val="21"/>
        </w:rPr>
        <w:t xml:space="preserve"> </w:t>
      </w:r>
      <w:r>
        <w:rPr>
          <w:sz w:val="21"/>
        </w:rPr>
        <w:t>to</w:t>
      </w:r>
      <w:r>
        <w:rPr>
          <w:spacing w:val="-9"/>
          <w:sz w:val="21"/>
        </w:rPr>
        <w:t xml:space="preserve"> </w:t>
      </w:r>
      <w:r>
        <w:rPr>
          <w:sz w:val="21"/>
        </w:rPr>
        <w:t>hold</w:t>
      </w:r>
      <w:r>
        <w:rPr>
          <w:spacing w:val="-7"/>
          <w:sz w:val="21"/>
        </w:rPr>
        <w:t xml:space="preserve"> </w:t>
      </w:r>
      <w:r>
        <w:rPr>
          <w:sz w:val="21"/>
        </w:rPr>
        <w:t>that</w:t>
      </w:r>
      <w:r>
        <w:rPr>
          <w:spacing w:val="-8"/>
          <w:sz w:val="21"/>
        </w:rPr>
        <w:t xml:space="preserve"> </w:t>
      </w:r>
      <w:r>
        <w:rPr>
          <w:sz w:val="21"/>
        </w:rPr>
        <w:t>either</w:t>
      </w:r>
      <w:r>
        <w:rPr>
          <w:spacing w:val="-8"/>
          <w:sz w:val="21"/>
        </w:rPr>
        <w:t xml:space="preserve"> </w:t>
      </w:r>
      <w:r>
        <w:rPr>
          <w:sz w:val="21"/>
        </w:rPr>
        <w:t>the</w:t>
      </w:r>
      <w:r>
        <w:rPr>
          <w:spacing w:val="-8"/>
          <w:sz w:val="21"/>
        </w:rPr>
        <w:t xml:space="preserve"> </w:t>
      </w:r>
      <w:r>
        <w:rPr>
          <w:sz w:val="21"/>
        </w:rPr>
        <w:t>Hindu</w:t>
      </w:r>
      <w:r>
        <w:rPr>
          <w:spacing w:val="-7"/>
          <w:sz w:val="21"/>
        </w:rPr>
        <w:t xml:space="preserve"> </w:t>
      </w:r>
      <w:r>
        <w:rPr>
          <w:sz w:val="21"/>
        </w:rPr>
        <w:t>or the Mahomedan law is based on custom or usage having the force of</w:t>
      </w:r>
      <w:r>
        <w:rPr>
          <w:spacing w:val="-3"/>
          <w:sz w:val="21"/>
        </w:rPr>
        <w:t xml:space="preserve"> </w:t>
      </w:r>
      <w:r>
        <w:rPr>
          <w:sz w:val="21"/>
        </w:rPr>
        <w:t>law.”</w:t>
      </w:r>
    </w:p>
    <w:p w:rsidR="003B2FC0" w:rsidRDefault="003B2FC0">
      <w:pPr>
        <w:spacing w:line="276" w:lineRule="auto"/>
        <w:jc w:val="both"/>
        <w:rPr>
          <w:sz w:val="21"/>
        </w:rPr>
        <w:sectPr w:rsidR="003B2FC0">
          <w:footerReference w:type="default" r:id="rId386"/>
          <w:pgSz w:w="11910" w:h="16840"/>
          <w:pgMar w:top="1080" w:right="980" w:bottom="1200" w:left="1040" w:header="708" w:footer="1000" w:gutter="0"/>
          <w:pgNumType w:start="130"/>
          <w:cols w:space="720"/>
        </w:sectPr>
      </w:pPr>
    </w:p>
    <w:p w:rsidR="003B2FC0" w:rsidRDefault="003B2FC0">
      <w:pPr>
        <w:spacing w:before="10"/>
        <w:rPr>
          <w:sz w:val="21"/>
        </w:rPr>
      </w:pPr>
    </w:p>
    <w:p w:rsidR="003B2FC0" w:rsidRDefault="00052A49">
      <w:pPr>
        <w:spacing w:before="91" w:line="480" w:lineRule="auto"/>
        <w:ind w:left="400" w:right="443"/>
        <w:jc w:val="both"/>
        <w:rPr>
          <w:sz w:val="26"/>
        </w:rPr>
      </w:pPr>
      <w:r>
        <w:rPr>
          <w:sz w:val="26"/>
        </w:rPr>
        <w:t>The learned Judge read in a statutory requirement for ‘laws in force’ under Article 13(1):</w:t>
      </w:r>
    </w:p>
    <w:p w:rsidR="003B2FC0" w:rsidRDefault="00052A49">
      <w:pPr>
        <w:spacing w:before="200" w:line="276" w:lineRule="auto"/>
        <w:ind w:left="1840" w:right="2281"/>
        <w:jc w:val="both"/>
        <w:rPr>
          <w:sz w:val="21"/>
        </w:rPr>
      </w:pPr>
      <w:r>
        <w:rPr>
          <w:sz w:val="21"/>
        </w:rPr>
        <w:t>“23…There</w:t>
      </w:r>
      <w:r>
        <w:rPr>
          <w:spacing w:val="-9"/>
          <w:sz w:val="21"/>
        </w:rPr>
        <w:t xml:space="preserve"> </w:t>
      </w:r>
      <w:r>
        <w:rPr>
          <w:sz w:val="21"/>
        </w:rPr>
        <w:t>can</w:t>
      </w:r>
      <w:r>
        <w:rPr>
          <w:spacing w:val="-8"/>
          <w:sz w:val="21"/>
        </w:rPr>
        <w:t xml:space="preserve"> </w:t>
      </w:r>
      <w:r>
        <w:rPr>
          <w:sz w:val="21"/>
        </w:rPr>
        <w:t>be</w:t>
      </w:r>
      <w:r>
        <w:rPr>
          <w:spacing w:val="-8"/>
          <w:sz w:val="21"/>
        </w:rPr>
        <w:t xml:space="preserve"> </w:t>
      </w:r>
      <w:r>
        <w:rPr>
          <w:sz w:val="21"/>
        </w:rPr>
        <w:t>no</w:t>
      </w:r>
      <w:r>
        <w:rPr>
          <w:spacing w:val="-8"/>
          <w:sz w:val="21"/>
        </w:rPr>
        <w:t xml:space="preserve"> </w:t>
      </w:r>
      <w:r>
        <w:rPr>
          <w:sz w:val="21"/>
        </w:rPr>
        <w:t>doubt</w:t>
      </w:r>
      <w:r>
        <w:rPr>
          <w:spacing w:val="-9"/>
          <w:sz w:val="21"/>
        </w:rPr>
        <w:t xml:space="preserve"> </w:t>
      </w:r>
      <w:r>
        <w:rPr>
          <w:sz w:val="21"/>
        </w:rPr>
        <w:t>that</w:t>
      </w:r>
      <w:r>
        <w:rPr>
          <w:spacing w:val="-9"/>
          <w:sz w:val="21"/>
        </w:rPr>
        <w:t xml:space="preserve"> </w:t>
      </w:r>
      <w:r>
        <w:rPr>
          <w:sz w:val="21"/>
        </w:rPr>
        <w:t>the</w:t>
      </w:r>
      <w:r>
        <w:rPr>
          <w:spacing w:val="-8"/>
          <w:sz w:val="21"/>
        </w:rPr>
        <w:t xml:space="preserve"> </w:t>
      </w:r>
      <w:r>
        <w:rPr>
          <w:sz w:val="21"/>
        </w:rPr>
        <w:t>personal</w:t>
      </w:r>
      <w:r>
        <w:rPr>
          <w:spacing w:val="-8"/>
          <w:sz w:val="21"/>
        </w:rPr>
        <w:t xml:space="preserve"> </w:t>
      </w:r>
      <w:r>
        <w:rPr>
          <w:sz w:val="21"/>
        </w:rPr>
        <w:t>laws</w:t>
      </w:r>
      <w:r>
        <w:rPr>
          <w:spacing w:val="-8"/>
          <w:sz w:val="21"/>
        </w:rPr>
        <w:t xml:space="preserve"> </w:t>
      </w:r>
      <w:r>
        <w:rPr>
          <w:sz w:val="21"/>
        </w:rPr>
        <w:t>are</w:t>
      </w:r>
      <w:r>
        <w:rPr>
          <w:spacing w:val="-8"/>
          <w:sz w:val="21"/>
        </w:rPr>
        <w:t xml:space="preserve"> </w:t>
      </w:r>
      <w:r>
        <w:rPr>
          <w:sz w:val="21"/>
        </w:rPr>
        <w:t>in</w:t>
      </w:r>
      <w:r>
        <w:rPr>
          <w:spacing w:val="-8"/>
          <w:sz w:val="21"/>
        </w:rPr>
        <w:t xml:space="preserve"> </w:t>
      </w:r>
      <w:r>
        <w:rPr>
          <w:sz w:val="21"/>
        </w:rPr>
        <w:t>force in a general sense; they are in fact administered by the</w:t>
      </w:r>
      <w:r>
        <w:rPr>
          <w:spacing w:val="-39"/>
          <w:sz w:val="21"/>
        </w:rPr>
        <w:t xml:space="preserve"> </w:t>
      </w:r>
      <w:r>
        <w:rPr>
          <w:sz w:val="21"/>
        </w:rPr>
        <w:t>Courts in India in matters falling within thei</w:t>
      </w:r>
      <w:r>
        <w:rPr>
          <w:sz w:val="21"/>
        </w:rPr>
        <w:t>r purview. But the expression “laws in force” is, in my opinion, used in Article 13(1) not in that general sense. This expression refers to what may compendiously be described as statutory laws. There is no doubt that laws which are included in this expres</w:t>
      </w:r>
      <w:r>
        <w:rPr>
          <w:sz w:val="21"/>
        </w:rPr>
        <w:t>sion must have been passed or made by a Legislature or other competent authority, and unless this test is satisfied it would not</w:t>
      </w:r>
      <w:r>
        <w:rPr>
          <w:spacing w:val="-14"/>
          <w:sz w:val="21"/>
        </w:rPr>
        <w:t xml:space="preserve"> </w:t>
      </w:r>
      <w:r>
        <w:rPr>
          <w:sz w:val="21"/>
        </w:rPr>
        <w:t>be</w:t>
      </w:r>
      <w:r>
        <w:rPr>
          <w:spacing w:val="-13"/>
          <w:sz w:val="21"/>
        </w:rPr>
        <w:t xml:space="preserve"> </w:t>
      </w:r>
      <w:r>
        <w:rPr>
          <w:sz w:val="21"/>
        </w:rPr>
        <w:t>legitimate</w:t>
      </w:r>
      <w:r>
        <w:rPr>
          <w:spacing w:val="-13"/>
          <w:sz w:val="21"/>
        </w:rPr>
        <w:t xml:space="preserve"> </w:t>
      </w:r>
      <w:r>
        <w:rPr>
          <w:sz w:val="21"/>
        </w:rPr>
        <w:t>to</w:t>
      </w:r>
      <w:r>
        <w:rPr>
          <w:spacing w:val="-13"/>
          <w:sz w:val="21"/>
        </w:rPr>
        <w:t xml:space="preserve"> </w:t>
      </w:r>
      <w:r>
        <w:rPr>
          <w:sz w:val="21"/>
        </w:rPr>
        <w:t>include</w:t>
      </w:r>
      <w:r>
        <w:rPr>
          <w:spacing w:val="-15"/>
          <w:sz w:val="21"/>
        </w:rPr>
        <w:t xml:space="preserve"> </w:t>
      </w:r>
      <w:r>
        <w:rPr>
          <w:sz w:val="21"/>
        </w:rPr>
        <w:t>in</w:t>
      </w:r>
      <w:r>
        <w:rPr>
          <w:spacing w:val="-13"/>
          <w:sz w:val="21"/>
        </w:rPr>
        <w:t xml:space="preserve"> </w:t>
      </w:r>
      <w:r>
        <w:rPr>
          <w:sz w:val="21"/>
        </w:rPr>
        <w:t>this</w:t>
      </w:r>
      <w:r>
        <w:rPr>
          <w:spacing w:val="-13"/>
          <w:sz w:val="21"/>
        </w:rPr>
        <w:t xml:space="preserve"> </w:t>
      </w:r>
      <w:r>
        <w:rPr>
          <w:sz w:val="21"/>
        </w:rPr>
        <w:t>expression</w:t>
      </w:r>
      <w:r>
        <w:rPr>
          <w:spacing w:val="-13"/>
          <w:sz w:val="21"/>
        </w:rPr>
        <w:t xml:space="preserve"> </w:t>
      </w:r>
      <w:r>
        <w:rPr>
          <w:sz w:val="21"/>
        </w:rPr>
        <w:t>the</w:t>
      </w:r>
      <w:r>
        <w:rPr>
          <w:spacing w:val="-13"/>
          <w:sz w:val="21"/>
        </w:rPr>
        <w:t xml:space="preserve"> </w:t>
      </w:r>
      <w:r>
        <w:rPr>
          <w:sz w:val="21"/>
        </w:rPr>
        <w:t>personal</w:t>
      </w:r>
      <w:r>
        <w:rPr>
          <w:spacing w:val="-11"/>
          <w:sz w:val="21"/>
        </w:rPr>
        <w:t xml:space="preserve"> </w:t>
      </w:r>
      <w:r>
        <w:rPr>
          <w:sz w:val="21"/>
        </w:rPr>
        <w:t>laws merely on the ground that they are administered by Courts in India.”</w:t>
      </w:r>
    </w:p>
    <w:p w:rsidR="003B2FC0" w:rsidRDefault="003B2FC0">
      <w:pPr>
        <w:rPr>
          <w:sz w:val="24"/>
        </w:rPr>
      </w:pPr>
    </w:p>
    <w:p w:rsidR="003B2FC0" w:rsidRDefault="003B2FC0">
      <w:pPr>
        <w:rPr>
          <w:sz w:val="24"/>
        </w:rPr>
      </w:pPr>
    </w:p>
    <w:p w:rsidR="003B2FC0" w:rsidRDefault="00052A49">
      <w:pPr>
        <w:spacing w:before="192" w:line="480" w:lineRule="auto"/>
        <w:ind w:left="400" w:right="438"/>
        <w:jc w:val="both"/>
        <w:rPr>
          <w:sz w:val="26"/>
        </w:rPr>
      </w:pPr>
      <w:r>
        <w:rPr>
          <w:sz w:val="26"/>
        </w:rPr>
        <w:t>The</w:t>
      </w:r>
      <w:r>
        <w:rPr>
          <w:spacing w:val="-10"/>
          <w:sz w:val="26"/>
        </w:rPr>
        <w:t xml:space="preserve"> </w:t>
      </w:r>
      <w:r>
        <w:rPr>
          <w:sz w:val="26"/>
        </w:rPr>
        <w:t>learned</w:t>
      </w:r>
      <w:r>
        <w:rPr>
          <w:spacing w:val="-7"/>
          <w:sz w:val="26"/>
        </w:rPr>
        <w:t xml:space="preserve"> </w:t>
      </w:r>
      <w:r>
        <w:rPr>
          <w:sz w:val="26"/>
        </w:rPr>
        <w:t>Judges</w:t>
      </w:r>
      <w:r>
        <w:rPr>
          <w:spacing w:val="-5"/>
          <w:sz w:val="26"/>
        </w:rPr>
        <w:t xml:space="preserve"> </w:t>
      </w:r>
      <w:r>
        <w:rPr>
          <w:sz w:val="26"/>
        </w:rPr>
        <w:t>differed</w:t>
      </w:r>
      <w:r>
        <w:rPr>
          <w:spacing w:val="-7"/>
          <w:sz w:val="26"/>
        </w:rPr>
        <w:t xml:space="preserve"> </w:t>
      </w:r>
      <w:r>
        <w:rPr>
          <w:sz w:val="26"/>
        </w:rPr>
        <w:t>on</w:t>
      </w:r>
      <w:r>
        <w:rPr>
          <w:spacing w:val="-5"/>
          <w:sz w:val="26"/>
        </w:rPr>
        <w:t xml:space="preserve"> </w:t>
      </w:r>
      <w:r>
        <w:rPr>
          <w:sz w:val="26"/>
        </w:rPr>
        <w:t>whether</w:t>
      </w:r>
      <w:r>
        <w:rPr>
          <w:spacing w:val="-9"/>
          <w:sz w:val="26"/>
        </w:rPr>
        <w:t xml:space="preserve"> </w:t>
      </w:r>
      <w:r>
        <w:rPr>
          <w:sz w:val="26"/>
        </w:rPr>
        <w:t>‘laws</w:t>
      </w:r>
      <w:r>
        <w:rPr>
          <w:spacing w:val="-10"/>
          <w:sz w:val="26"/>
        </w:rPr>
        <w:t xml:space="preserve"> </w:t>
      </w:r>
      <w:r>
        <w:rPr>
          <w:sz w:val="26"/>
        </w:rPr>
        <w:t>in</w:t>
      </w:r>
      <w:r>
        <w:rPr>
          <w:spacing w:val="-7"/>
          <w:sz w:val="26"/>
        </w:rPr>
        <w:t xml:space="preserve"> </w:t>
      </w:r>
      <w:r>
        <w:rPr>
          <w:sz w:val="26"/>
        </w:rPr>
        <w:t>force’</w:t>
      </w:r>
      <w:r>
        <w:rPr>
          <w:spacing w:val="-9"/>
          <w:sz w:val="26"/>
        </w:rPr>
        <w:t xml:space="preserve"> </w:t>
      </w:r>
      <w:r>
        <w:rPr>
          <w:sz w:val="26"/>
        </w:rPr>
        <w:t>in</w:t>
      </w:r>
      <w:r>
        <w:rPr>
          <w:spacing w:val="-8"/>
          <w:sz w:val="26"/>
        </w:rPr>
        <w:t xml:space="preserve"> </w:t>
      </w:r>
      <w:r>
        <w:rPr>
          <w:sz w:val="26"/>
        </w:rPr>
        <w:t>Article</w:t>
      </w:r>
      <w:r>
        <w:rPr>
          <w:spacing w:val="-9"/>
          <w:sz w:val="26"/>
        </w:rPr>
        <w:t xml:space="preserve"> </w:t>
      </w:r>
      <w:r>
        <w:rPr>
          <w:sz w:val="26"/>
        </w:rPr>
        <w:t>13(1)</w:t>
      </w:r>
      <w:r>
        <w:rPr>
          <w:spacing w:val="-9"/>
          <w:sz w:val="26"/>
        </w:rPr>
        <w:t xml:space="preserve"> </w:t>
      </w:r>
      <w:r>
        <w:rPr>
          <w:sz w:val="26"/>
        </w:rPr>
        <w:t>read</w:t>
      </w:r>
      <w:r>
        <w:rPr>
          <w:spacing w:val="-6"/>
          <w:sz w:val="26"/>
        </w:rPr>
        <w:t xml:space="preserve"> </w:t>
      </w:r>
      <w:r>
        <w:rPr>
          <w:sz w:val="26"/>
        </w:rPr>
        <w:t>with Article</w:t>
      </w:r>
      <w:r>
        <w:rPr>
          <w:spacing w:val="-9"/>
          <w:sz w:val="26"/>
        </w:rPr>
        <w:t xml:space="preserve"> </w:t>
      </w:r>
      <w:r>
        <w:rPr>
          <w:sz w:val="26"/>
        </w:rPr>
        <w:t>13(3)(b)</w:t>
      </w:r>
      <w:r>
        <w:rPr>
          <w:spacing w:val="-9"/>
          <w:sz w:val="26"/>
        </w:rPr>
        <w:t xml:space="preserve"> </w:t>
      </w:r>
      <w:r>
        <w:rPr>
          <w:sz w:val="26"/>
        </w:rPr>
        <w:t>includes</w:t>
      </w:r>
      <w:r>
        <w:rPr>
          <w:spacing w:val="-10"/>
          <w:sz w:val="26"/>
        </w:rPr>
        <w:t xml:space="preserve"> </w:t>
      </w:r>
      <w:r>
        <w:rPr>
          <w:sz w:val="26"/>
        </w:rPr>
        <w:t>‘custom</w:t>
      </w:r>
      <w:r>
        <w:rPr>
          <w:spacing w:val="-6"/>
          <w:sz w:val="26"/>
        </w:rPr>
        <w:t xml:space="preserve"> </w:t>
      </w:r>
      <w:r>
        <w:rPr>
          <w:sz w:val="26"/>
        </w:rPr>
        <w:t>or</w:t>
      </w:r>
      <w:r>
        <w:rPr>
          <w:spacing w:val="-10"/>
          <w:sz w:val="26"/>
        </w:rPr>
        <w:t xml:space="preserve"> </w:t>
      </w:r>
      <w:r>
        <w:rPr>
          <w:sz w:val="26"/>
        </w:rPr>
        <w:t>usages’.</w:t>
      </w:r>
      <w:r>
        <w:rPr>
          <w:spacing w:val="-9"/>
          <w:sz w:val="26"/>
        </w:rPr>
        <w:t xml:space="preserve"> </w:t>
      </w:r>
      <w:r>
        <w:rPr>
          <w:sz w:val="26"/>
        </w:rPr>
        <w:t>The</w:t>
      </w:r>
      <w:r>
        <w:rPr>
          <w:spacing w:val="-10"/>
          <w:sz w:val="26"/>
        </w:rPr>
        <w:t xml:space="preserve"> </w:t>
      </w:r>
      <w:r>
        <w:rPr>
          <w:sz w:val="26"/>
        </w:rPr>
        <w:t>reasoning</w:t>
      </w:r>
      <w:r>
        <w:rPr>
          <w:spacing w:val="-9"/>
          <w:sz w:val="26"/>
        </w:rPr>
        <w:t xml:space="preserve"> </w:t>
      </w:r>
      <w:r>
        <w:rPr>
          <w:sz w:val="26"/>
        </w:rPr>
        <w:t>of</w:t>
      </w:r>
      <w:r>
        <w:rPr>
          <w:spacing w:val="-7"/>
          <w:sz w:val="26"/>
        </w:rPr>
        <w:t xml:space="preserve"> </w:t>
      </w:r>
      <w:r>
        <w:rPr>
          <w:sz w:val="26"/>
        </w:rPr>
        <w:t>the</w:t>
      </w:r>
      <w:r>
        <w:rPr>
          <w:spacing w:val="-9"/>
          <w:sz w:val="26"/>
        </w:rPr>
        <w:t xml:space="preserve"> </w:t>
      </w:r>
      <w:r>
        <w:rPr>
          <w:sz w:val="26"/>
        </w:rPr>
        <w:t>High</w:t>
      </w:r>
      <w:r>
        <w:rPr>
          <w:spacing w:val="-9"/>
          <w:sz w:val="26"/>
        </w:rPr>
        <w:t xml:space="preserve"> </w:t>
      </w:r>
      <w:r>
        <w:rPr>
          <w:sz w:val="26"/>
        </w:rPr>
        <w:t>Court</w:t>
      </w:r>
      <w:r>
        <w:rPr>
          <w:spacing w:val="-10"/>
          <w:sz w:val="26"/>
        </w:rPr>
        <w:t xml:space="preserve"> </w:t>
      </w:r>
      <w:r>
        <w:rPr>
          <w:sz w:val="26"/>
        </w:rPr>
        <w:t>in recording this co</w:t>
      </w:r>
      <w:r>
        <w:rPr>
          <w:sz w:val="26"/>
        </w:rPr>
        <w:t>nclusion merits a closer</w:t>
      </w:r>
      <w:r>
        <w:rPr>
          <w:spacing w:val="-5"/>
          <w:sz w:val="26"/>
        </w:rPr>
        <w:t xml:space="preserve"> </w:t>
      </w:r>
      <w:r>
        <w:rPr>
          <w:sz w:val="26"/>
        </w:rPr>
        <w:t>look.</w:t>
      </w:r>
    </w:p>
    <w:p w:rsidR="003B2FC0" w:rsidRDefault="003B2FC0">
      <w:pPr>
        <w:rPr>
          <w:sz w:val="28"/>
        </w:rPr>
      </w:pPr>
    </w:p>
    <w:p w:rsidR="003B2FC0" w:rsidRDefault="003B2FC0">
      <w:pPr>
        <w:spacing w:before="5"/>
        <w:rPr>
          <w:sz w:val="32"/>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 xml:space="preserve">In </w:t>
      </w:r>
      <w:r>
        <w:rPr>
          <w:b/>
          <w:sz w:val="26"/>
        </w:rPr>
        <w:t xml:space="preserve">A K Gopalan </w:t>
      </w:r>
      <w:r>
        <w:rPr>
          <w:sz w:val="26"/>
        </w:rPr>
        <w:t xml:space="preserve">v </w:t>
      </w:r>
      <w:r>
        <w:rPr>
          <w:b/>
          <w:sz w:val="26"/>
        </w:rPr>
        <w:t>State of Madras</w:t>
      </w:r>
      <w:r>
        <w:rPr>
          <w:sz w:val="26"/>
        </w:rPr>
        <w:t>,</w:t>
      </w:r>
      <w:r>
        <w:rPr>
          <w:position w:val="9"/>
          <w:sz w:val="17"/>
        </w:rPr>
        <w:t xml:space="preserve">127 </w:t>
      </w:r>
      <w:r>
        <w:rPr>
          <w:sz w:val="26"/>
        </w:rPr>
        <w:t>a seven judge Bench dealt with the constitutionality of the Preventive Detention Act 1950. The majority upheld the Act on a disjunctive reading of the Articles in Part III of the Constit</w:t>
      </w:r>
      <w:r>
        <w:rPr>
          <w:sz w:val="26"/>
        </w:rPr>
        <w:t>ution. In his celebrated dissent, Justice Fazl Ali, pointed out that the scheme of Part III of the Constitution suggested the existence of a degree of overlap between Articles</w:t>
      </w:r>
      <w:r>
        <w:rPr>
          <w:spacing w:val="-19"/>
          <w:sz w:val="26"/>
        </w:rPr>
        <w:t xml:space="preserve"> </w:t>
      </w:r>
      <w:r>
        <w:rPr>
          <w:sz w:val="26"/>
        </w:rPr>
        <w:t>19,</w:t>
      </w:r>
      <w:r>
        <w:rPr>
          <w:spacing w:val="-21"/>
          <w:sz w:val="26"/>
        </w:rPr>
        <w:t xml:space="preserve"> </w:t>
      </w:r>
      <w:r>
        <w:rPr>
          <w:sz w:val="26"/>
        </w:rPr>
        <w:t>21,</w:t>
      </w:r>
      <w:r>
        <w:rPr>
          <w:spacing w:val="-22"/>
          <w:sz w:val="26"/>
        </w:rPr>
        <w:t xml:space="preserve"> </w:t>
      </w:r>
      <w:r>
        <w:rPr>
          <w:sz w:val="26"/>
        </w:rPr>
        <w:t>and</w:t>
      </w:r>
      <w:r>
        <w:rPr>
          <w:spacing w:val="-21"/>
          <w:sz w:val="26"/>
        </w:rPr>
        <w:t xml:space="preserve"> </w:t>
      </w:r>
      <w:r>
        <w:rPr>
          <w:sz w:val="26"/>
        </w:rPr>
        <w:t>22.</w:t>
      </w:r>
      <w:r>
        <w:rPr>
          <w:spacing w:val="-22"/>
          <w:sz w:val="26"/>
        </w:rPr>
        <w:t xml:space="preserve"> </w:t>
      </w:r>
      <w:r>
        <w:rPr>
          <w:sz w:val="26"/>
        </w:rPr>
        <w:t>The</w:t>
      </w:r>
      <w:r>
        <w:rPr>
          <w:spacing w:val="-21"/>
          <w:sz w:val="26"/>
        </w:rPr>
        <w:t xml:space="preserve"> </w:t>
      </w:r>
      <w:r>
        <w:rPr>
          <w:sz w:val="26"/>
        </w:rPr>
        <w:t>dissent</w:t>
      </w:r>
      <w:r>
        <w:rPr>
          <w:spacing w:val="-22"/>
          <w:sz w:val="26"/>
        </w:rPr>
        <w:t xml:space="preserve"> </w:t>
      </w:r>
      <w:r>
        <w:rPr>
          <w:sz w:val="26"/>
        </w:rPr>
        <w:t>adopted</w:t>
      </w:r>
      <w:r>
        <w:rPr>
          <w:spacing w:val="-21"/>
          <w:sz w:val="26"/>
        </w:rPr>
        <w:t xml:space="preserve"> </w:t>
      </w:r>
      <w:r>
        <w:rPr>
          <w:sz w:val="26"/>
        </w:rPr>
        <w:t>the</w:t>
      </w:r>
      <w:r>
        <w:rPr>
          <w:spacing w:val="-19"/>
          <w:sz w:val="26"/>
        </w:rPr>
        <w:t xml:space="preserve"> </w:t>
      </w:r>
      <w:r>
        <w:rPr>
          <w:sz w:val="26"/>
        </w:rPr>
        <w:t>view</w:t>
      </w:r>
      <w:r>
        <w:rPr>
          <w:spacing w:val="-23"/>
          <w:sz w:val="26"/>
        </w:rPr>
        <w:t xml:space="preserve"> </w:t>
      </w:r>
      <w:r>
        <w:rPr>
          <w:sz w:val="26"/>
        </w:rPr>
        <w:t>that</w:t>
      </w:r>
      <w:r>
        <w:rPr>
          <w:spacing w:val="-21"/>
          <w:sz w:val="26"/>
        </w:rPr>
        <w:t xml:space="preserve"> </w:t>
      </w:r>
      <w:r>
        <w:rPr>
          <w:sz w:val="26"/>
        </w:rPr>
        <w:t>the</w:t>
      </w:r>
      <w:r>
        <w:rPr>
          <w:spacing w:val="-22"/>
          <w:sz w:val="26"/>
        </w:rPr>
        <w:t xml:space="preserve"> </w:t>
      </w:r>
      <w:r>
        <w:rPr>
          <w:sz w:val="26"/>
        </w:rPr>
        <w:t>fundamental</w:t>
      </w:r>
      <w:r>
        <w:rPr>
          <w:spacing w:val="-20"/>
          <w:sz w:val="26"/>
        </w:rPr>
        <w:t xml:space="preserve"> </w:t>
      </w:r>
      <w:r>
        <w:rPr>
          <w:sz w:val="26"/>
        </w:rPr>
        <w:t xml:space="preserve">rights are not isolated and separate but protect a common thread of liberty </w:t>
      </w:r>
      <w:r>
        <w:rPr>
          <w:spacing w:val="-4"/>
          <w:sz w:val="26"/>
        </w:rPr>
        <w:t xml:space="preserve">and </w:t>
      </w:r>
      <w:r>
        <w:rPr>
          <w:sz w:val="26"/>
        </w:rPr>
        <w:t>freedom:</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8"/>
        <w:rPr>
          <w:sz w:val="13"/>
        </w:rPr>
      </w:pPr>
      <w:r w:rsidRPr="003B2FC0">
        <w:pict>
          <v:line id="_x0000_s1081" style="position:absolute;z-index:251634176;mso-wrap-distance-left:0;mso-wrap-distance-right:0;mso-position-horizontal-relative:page" from="1in,10.25pt" to="216.05pt,10.25pt" strokeweight=".72pt">
            <w10:wrap type="topAndBottom" anchorx="page"/>
          </v:line>
        </w:pict>
      </w:r>
    </w:p>
    <w:p w:rsidR="003B2FC0" w:rsidRDefault="00052A49">
      <w:pPr>
        <w:spacing w:before="66"/>
        <w:ind w:left="400"/>
        <w:rPr>
          <w:sz w:val="18"/>
        </w:rPr>
      </w:pPr>
      <w:r>
        <w:rPr>
          <w:position w:val="6"/>
          <w:sz w:val="12"/>
        </w:rPr>
        <w:t xml:space="preserve">127 </w:t>
      </w:r>
      <w:r>
        <w:rPr>
          <w:sz w:val="18"/>
        </w:rPr>
        <w:t>1950 SCR 88</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2"/>
        <w:jc w:val="both"/>
        <w:rPr>
          <w:sz w:val="21"/>
        </w:rPr>
      </w:pPr>
      <w:r>
        <w:rPr>
          <w:sz w:val="21"/>
        </w:rPr>
        <w:t>“58.</w:t>
      </w:r>
      <w:r>
        <w:rPr>
          <w:b/>
          <w:sz w:val="21"/>
        </w:rPr>
        <w:t>To my mind, the scheme of the Chapter dealing with the fundamental rights does not contemplate what is attributed</w:t>
      </w:r>
      <w:r>
        <w:rPr>
          <w:b/>
          <w:spacing w:val="-6"/>
          <w:sz w:val="21"/>
        </w:rPr>
        <w:t xml:space="preserve"> </w:t>
      </w:r>
      <w:r>
        <w:rPr>
          <w:b/>
          <w:sz w:val="21"/>
        </w:rPr>
        <w:t>to</w:t>
      </w:r>
      <w:r>
        <w:rPr>
          <w:b/>
          <w:spacing w:val="-6"/>
          <w:sz w:val="21"/>
        </w:rPr>
        <w:t xml:space="preserve"> </w:t>
      </w:r>
      <w:r>
        <w:rPr>
          <w:b/>
          <w:sz w:val="21"/>
        </w:rPr>
        <w:t>it,</w:t>
      </w:r>
      <w:r>
        <w:rPr>
          <w:b/>
          <w:spacing w:val="-8"/>
          <w:sz w:val="21"/>
        </w:rPr>
        <w:t xml:space="preserve"> </w:t>
      </w:r>
      <w:r>
        <w:rPr>
          <w:b/>
          <w:sz w:val="21"/>
        </w:rPr>
        <w:t>namely,</w:t>
      </w:r>
      <w:r>
        <w:rPr>
          <w:b/>
          <w:spacing w:val="-7"/>
          <w:sz w:val="21"/>
        </w:rPr>
        <w:t xml:space="preserve"> </w:t>
      </w:r>
      <w:r>
        <w:rPr>
          <w:b/>
          <w:sz w:val="21"/>
        </w:rPr>
        <w:t>that</w:t>
      </w:r>
      <w:r>
        <w:rPr>
          <w:b/>
          <w:spacing w:val="-8"/>
          <w:sz w:val="21"/>
        </w:rPr>
        <w:t xml:space="preserve"> </w:t>
      </w:r>
      <w:r>
        <w:rPr>
          <w:b/>
          <w:sz w:val="21"/>
        </w:rPr>
        <w:t>each</w:t>
      </w:r>
      <w:r>
        <w:rPr>
          <w:b/>
          <w:spacing w:val="-4"/>
          <w:sz w:val="21"/>
        </w:rPr>
        <w:t xml:space="preserve"> </w:t>
      </w:r>
      <w:r>
        <w:rPr>
          <w:b/>
          <w:sz w:val="21"/>
        </w:rPr>
        <w:t>Article</w:t>
      </w:r>
      <w:r>
        <w:rPr>
          <w:b/>
          <w:spacing w:val="-7"/>
          <w:sz w:val="21"/>
        </w:rPr>
        <w:t xml:space="preserve"> </w:t>
      </w:r>
      <w:r>
        <w:rPr>
          <w:b/>
          <w:sz w:val="21"/>
        </w:rPr>
        <w:t>is</w:t>
      </w:r>
      <w:r>
        <w:rPr>
          <w:b/>
          <w:spacing w:val="-4"/>
          <w:sz w:val="21"/>
        </w:rPr>
        <w:t xml:space="preserve"> </w:t>
      </w:r>
      <w:r>
        <w:rPr>
          <w:b/>
          <w:sz w:val="21"/>
        </w:rPr>
        <w:t>a</w:t>
      </w:r>
      <w:r>
        <w:rPr>
          <w:b/>
          <w:spacing w:val="-7"/>
          <w:sz w:val="21"/>
        </w:rPr>
        <w:t xml:space="preserve"> </w:t>
      </w:r>
      <w:r>
        <w:rPr>
          <w:b/>
          <w:sz w:val="21"/>
        </w:rPr>
        <w:t>code</w:t>
      </w:r>
      <w:r>
        <w:rPr>
          <w:b/>
          <w:spacing w:val="-7"/>
          <w:sz w:val="21"/>
        </w:rPr>
        <w:t xml:space="preserve"> </w:t>
      </w:r>
      <w:r>
        <w:rPr>
          <w:b/>
          <w:sz w:val="21"/>
        </w:rPr>
        <w:t>by</w:t>
      </w:r>
      <w:r>
        <w:rPr>
          <w:b/>
          <w:spacing w:val="-9"/>
          <w:sz w:val="21"/>
        </w:rPr>
        <w:t xml:space="preserve"> </w:t>
      </w:r>
      <w:r>
        <w:rPr>
          <w:b/>
          <w:sz w:val="21"/>
        </w:rPr>
        <w:t xml:space="preserve">itself and is independent of </w:t>
      </w:r>
      <w:r>
        <w:rPr>
          <w:b/>
          <w:spacing w:val="-2"/>
          <w:sz w:val="21"/>
        </w:rPr>
        <w:t xml:space="preserve">the </w:t>
      </w:r>
      <w:r>
        <w:rPr>
          <w:b/>
          <w:sz w:val="21"/>
        </w:rPr>
        <w:t xml:space="preserve">others. In my opinion, it cannot be said that Articles 19, 20, 21 and 22 do not to some extent overlap each other. </w:t>
      </w:r>
      <w:r>
        <w:rPr>
          <w:sz w:val="21"/>
        </w:rPr>
        <w:t>The case of a person who is convicted</w:t>
      </w:r>
      <w:r>
        <w:rPr>
          <w:spacing w:val="-9"/>
          <w:sz w:val="21"/>
        </w:rPr>
        <w:t xml:space="preserve"> </w:t>
      </w:r>
      <w:r>
        <w:rPr>
          <w:sz w:val="21"/>
        </w:rPr>
        <w:t>of</w:t>
      </w:r>
      <w:r>
        <w:rPr>
          <w:spacing w:val="-7"/>
          <w:sz w:val="21"/>
        </w:rPr>
        <w:t xml:space="preserve"> </w:t>
      </w:r>
      <w:r>
        <w:rPr>
          <w:sz w:val="21"/>
        </w:rPr>
        <w:t>an</w:t>
      </w:r>
      <w:r>
        <w:rPr>
          <w:spacing w:val="-9"/>
          <w:sz w:val="21"/>
        </w:rPr>
        <w:t xml:space="preserve"> </w:t>
      </w:r>
      <w:r>
        <w:rPr>
          <w:sz w:val="21"/>
        </w:rPr>
        <w:t>offence</w:t>
      </w:r>
      <w:r>
        <w:rPr>
          <w:spacing w:val="-8"/>
          <w:sz w:val="21"/>
        </w:rPr>
        <w:t xml:space="preserve"> </w:t>
      </w:r>
      <w:r>
        <w:rPr>
          <w:sz w:val="21"/>
        </w:rPr>
        <w:t>will</w:t>
      </w:r>
      <w:r>
        <w:rPr>
          <w:spacing w:val="-5"/>
          <w:sz w:val="21"/>
        </w:rPr>
        <w:t xml:space="preserve"> </w:t>
      </w:r>
      <w:r>
        <w:rPr>
          <w:sz w:val="21"/>
        </w:rPr>
        <w:t>come</w:t>
      </w:r>
      <w:r>
        <w:rPr>
          <w:spacing w:val="-7"/>
          <w:sz w:val="21"/>
        </w:rPr>
        <w:t xml:space="preserve"> </w:t>
      </w:r>
      <w:r>
        <w:rPr>
          <w:sz w:val="21"/>
        </w:rPr>
        <w:t>under</w:t>
      </w:r>
      <w:r>
        <w:rPr>
          <w:spacing w:val="-9"/>
          <w:sz w:val="21"/>
        </w:rPr>
        <w:t xml:space="preserve"> </w:t>
      </w:r>
      <w:r>
        <w:rPr>
          <w:sz w:val="21"/>
        </w:rPr>
        <w:t>Articles</w:t>
      </w:r>
      <w:r>
        <w:rPr>
          <w:spacing w:val="-9"/>
          <w:sz w:val="21"/>
        </w:rPr>
        <w:t xml:space="preserve"> </w:t>
      </w:r>
      <w:r>
        <w:rPr>
          <w:sz w:val="21"/>
        </w:rPr>
        <w:t>20</w:t>
      </w:r>
      <w:r>
        <w:rPr>
          <w:spacing w:val="-8"/>
          <w:sz w:val="21"/>
        </w:rPr>
        <w:t xml:space="preserve"> </w:t>
      </w:r>
      <w:r>
        <w:rPr>
          <w:sz w:val="21"/>
        </w:rPr>
        <w:t>and</w:t>
      </w:r>
      <w:r>
        <w:rPr>
          <w:spacing w:val="-6"/>
          <w:sz w:val="21"/>
        </w:rPr>
        <w:t xml:space="preserve"> </w:t>
      </w:r>
      <w:r>
        <w:rPr>
          <w:sz w:val="21"/>
        </w:rPr>
        <w:t>21</w:t>
      </w:r>
      <w:r>
        <w:rPr>
          <w:spacing w:val="-9"/>
          <w:sz w:val="21"/>
        </w:rPr>
        <w:t xml:space="preserve"> </w:t>
      </w:r>
      <w:r>
        <w:rPr>
          <w:sz w:val="21"/>
        </w:rPr>
        <w:t>and also under Article 22 so far as his arrest and detention in custody</w:t>
      </w:r>
      <w:r>
        <w:rPr>
          <w:spacing w:val="-19"/>
          <w:sz w:val="21"/>
        </w:rPr>
        <w:t xml:space="preserve"> </w:t>
      </w:r>
      <w:r>
        <w:rPr>
          <w:sz w:val="21"/>
        </w:rPr>
        <w:t>before</w:t>
      </w:r>
      <w:r>
        <w:rPr>
          <w:spacing w:val="-15"/>
          <w:sz w:val="21"/>
        </w:rPr>
        <w:t xml:space="preserve"> </w:t>
      </w:r>
      <w:r>
        <w:rPr>
          <w:sz w:val="21"/>
        </w:rPr>
        <w:t>trial</w:t>
      </w:r>
      <w:r>
        <w:rPr>
          <w:spacing w:val="-15"/>
          <w:sz w:val="21"/>
        </w:rPr>
        <w:t xml:space="preserve"> </w:t>
      </w:r>
      <w:r>
        <w:rPr>
          <w:sz w:val="21"/>
        </w:rPr>
        <w:t>are</w:t>
      </w:r>
      <w:r>
        <w:rPr>
          <w:spacing w:val="-16"/>
          <w:sz w:val="21"/>
        </w:rPr>
        <w:t xml:space="preserve"> </w:t>
      </w:r>
      <w:r>
        <w:rPr>
          <w:sz w:val="21"/>
        </w:rPr>
        <w:t>concerned.</w:t>
      </w:r>
      <w:r>
        <w:rPr>
          <w:spacing w:val="-17"/>
          <w:sz w:val="21"/>
        </w:rPr>
        <w:t xml:space="preserve"> </w:t>
      </w:r>
      <w:r>
        <w:rPr>
          <w:sz w:val="21"/>
        </w:rPr>
        <w:t>Preventive</w:t>
      </w:r>
      <w:r>
        <w:rPr>
          <w:spacing w:val="-16"/>
          <w:sz w:val="21"/>
        </w:rPr>
        <w:t xml:space="preserve"> </w:t>
      </w:r>
      <w:r>
        <w:rPr>
          <w:sz w:val="21"/>
        </w:rPr>
        <w:t>detention,</w:t>
      </w:r>
      <w:r>
        <w:rPr>
          <w:spacing w:val="-16"/>
          <w:sz w:val="21"/>
        </w:rPr>
        <w:t xml:space="preserve"> </w:t>
      </w:r>
      <w:r>
        <w:rPr>
          <w:sz w:val="21"/>
        </w:rPr>
        <w:t xml:space="preserve">which is dealt with in Article 22, also amounts to deprivation of personal liberty which is referred to in Article </w:t>
      </w:r>
      <w:r>
        <w:rPr>
          <w:sz w:val="21"/>
        </w:rPr>
        <w:t>21, and is a violation of the right of freedom of movement dealt with in Article</w:t>
      </w:r>
      <w:r>
        <w:rPr>
          <w:spacing w:val="-2"/>
          <w:sz w:val="21"/>
        </w:rPr>
        <w:t xml:space="preserve"> </w:t>
      </w:r>
      <w:r>
        <w:rPr>
          <w:sz w:val="21"/>
        </w:rPr>
        <w:t>19(1)(d)...”</w:t>
      </w:r>
    </w:p>
    <w:p w:rsidR="003B2FC0" w:rsidRDefault="00052A49">
      <w:pPr>
        <w:ind w:left="1840"/>
        <w:rPr>
          <w:sz w:val="21"/>
        </w:rPr>
      </w:pPr>
      <w:r>
        <w:rPr>
          <w:sz w:val="21"/>
        </w:rPr>
        <w:t>(Emphasis supplied)</w:t>
      </w:r>
    </w:p>
    <w:p w:rsidR="003B2FC0" w:rsidRDefault="003B2FC0">
      <w:pPr>
        <w:rPr>
          <w:sz w:val="24"/>
        </w:rPr>
      </w:pPr>
    </w:p>
    <w:p w:rsidR="003B2FC0" w:rsidRDefault="003B2FC0">
      <w:pPr>
        <w:rPr>
          <w:sz w:val="24"/>
        </w:rPr>
      </w:pPr>
    </w:p>
    <w:p w:rsidR="003B2FC0" w:rsidRDefault="00052A49">
      <w:pPr>
        <w:spacing w:before="185" w:line="480" w:lineRule="auto"/>
        <w:ind w:left="400" w:right="460"/>
        <w:jc w:val="both"/>
        <w:rPr>
          <w:sz w:val="26"/>
        </w:rPr>
      </w:pPr>
      <w:r>
        <w:rPr>
          <w:sz w:val="26"/>
        </w:rPr>
        <w:t xml:space="preserve">The view adopted in Justice Fazl Ali’s dissent was endorsed in </w:t>
      </w:r>
      <w:r>
        <w:rPr>
          <w:b/>
          <w:sz w:val="26"/>
        </w:rPr>
        <w:t xml:space="preserve">Rustom Cavasjee Cooper </w:t>
      </w:r>
      <w:r>
        <w:rPr>
          <w:sz w:val="26"/>
        </w:rPr>
        <w:t xml:space="preserve">v </w:t>
      </w:r>
      <w:r>
        <w:rPr>
          <w:b/>
          <w:sz w:val="26"/>
        </w:rPr>
        <w:t>Union of India</w:t>
      </w:r>
      <w:r>
        <w:rPr>
          <w:sz w:val="26"/>
        </w:rPr>
        <w:t>.</w:t>
      </w:r>
      <w:r>
        <w:rPr>
          <w:position w:val="9"/>
          <w:sz w:val="17"/>
        </w:rPr>
        <w:t xml:space="preserve">128 </w:t>
      </w:r>
      <w:r>
        <w:rPr>
          <w:sz w:val="26"/>
        </w:rPr>
        <w:t xml:space="preserve">An eleven judge Bench dealt with </w:t>
      </w:r>
      <w:r>
        <w:rPr>
          <w:sz w:val="26"/>
        </w:rPr>
        <w:t>the question whether the Banking Companies (Acquisition and Transfer of Undertakings) Ordinance, 1969, and the Banking Companies (Acquisition and Transfer of Undertakings) Act, 1969 impaired the Petitioner’s rights under Articles</w:t>
      </w:r>
      <w:r>
        <w:rPr>
          <w:spacing w:val="-16"/>
          <w:sz w:val="26"/>
        </w:rPr>
        <w:t xml:space="preserve"> </w:t>
      </w:r>
      <w:r>
        <w:rPr>
          <w:sz w:val="26"/>
        </w:rPr>
        <w:t>14,</w:t>
      </w:r>
      <w:r>
        <w:rPr>
          <w:spacing w:val="-16"/>
          <w:sz w:val="26"/>
        </w:rPr>
        <w:t xml:space="preserve"> </w:t>
      </w:r>
      <w:r>
        <w:rPr>
          <w:sz w:val="26"/>
        </w:rPr>
        <w:t>19</w:t>
      </w:r>
      <w:r>
        <w:rPr>
          <w:spacing w:val="-16"/>
          <w:sz w:val="26"/>
        </w:rPr>
        <w:t xml:space="preserve"> </w:t>
      </w:r>
      <w:r>
        <w:rPr>
          <w:sz w:val="26"/>
        </w:rPr>
        <w:t>and</w:t>
      </w:r>
      <w:r>
        <w:rPr>
          <w:spacing w:val="-16"/>
          <w:sz w:val="26"/>
        </w:rPr>
        <w:t xml:space="preserve"> </w:t>
      </w:r>
      <w:r>
        <w:rPr>
          <w:sz w:val="26"/>
        </w:rPr>
        <w:t>31</w:t>
      </w:r>
      <w:r>
        <w:rPr>
          <w:spacing w:val="-16"/>
          <w:sz w:val="26"/>
        </w:rPr>
        <w:t xml:space="preserve"> </w:t>
      </w:r>
      <w:r>
        <w:rPr>
          <w:sz w:val="26"/>
        </w:rPr>
        <w:t>of</w:t>
      </w:r>
      <w:r>
        <w:rPr>
          <w:spacing w:val="-16"/>
          <w:sz w:val="26"/>
        </w:rPr>
        <w:t xml:space="preserve"> </w:t>
      </w:r>
      <w:r>
        <w:rPr>
          <w:sz w:val="26"/>
        </w:rPr>
        <w:t>the</w:t>
      </w:r>
      <w:r>
        <w:rPr>
          <w:spacing w:val="-17"/>
          <w:sz w:val="26"/>
        </w:rPr>
        <w:t xml:space="preserve"> </w:t>
      </w:r>
      <w:r>
        <w:rPr>
          <w:sz w:val="26"/>
        </w:rPr>
        <w:t>Constitution.</w:t>
      </w:r>
      <w:r>
        <w:rPr>
          <w:spacing w:val="-16"/>
          <w:sz w:val="26"/>
        </w:rPr>
        <w:t xml:space="preserve"> </w:t>
      </w:r>
      <w:r>
        <w:rPr>
          <w:sz w:val="26"/>
        </w:rPr>
        <w:t>Holding</w:t>
      </w:r>
      <w:r>
        <w:rPr>
          <w:spacing w:val="-16"/>
          <w:sz w:val="26"/>
        </w:rPr>
        <w:t xml:space="preserve"> </w:t>
      </w:r>
      <w:r>
        <w:rPr>
          <w:sz w:val="26"/>
        </w:rPr>
        <w:t>the</w:t>
      </w:r>
      <w:r>
        <w:rPr>
          <w:spacing w:val="-16"/>
          <w:sz w:val="26"/>
        </w:rPr>
        <w:t xml:space="preserve"> </w:t>
      </w:r>
      <w:r>
        <w:rPr>
          <w:sz w:val="26"/>
        </w:rPr>
        <w:t>Act</w:t>
      </w:r>
      <w:r>
        <w:rPr>
          <w:spacing w:val="-16"/>
          <w:sz w:val="26"/>
        </w:rPr>
        <w:t xml:space="preserve"> </w:t>
      </w:r>
      <w:r>
        <w:rPr>
          <w:sz w:val="26"/>
        </w:rPr>
        <w:t>to</w:t>
      </w:r>
      <w:r>
        <w:rPr>
          <w:spacing w:val="-16"/>
          <w:sz w:val="26"/>
        </w:rPr>
        <w:t xml:space="preserve"> </w:t>
      </w:r>
      <w:r>
        <w:rPr>
          <w:sz w:val="26"/>
        </w:rPr>
        <w:t>be</w:t>
      </w:r>
      <w:r>
        <w:rPr>
          <w:spacing w:val="-14"/>
          <w:sz w:val="26"/>
        </w:rPr>
        <w:t xml:space="preserve"> </w:t>
      </w:r>
      <w:r>
        <w:rPr>
          <w:sz w:val="26"/>
        </w:rPr>
        <w:t>unconstitutional, Justice J C Shah</w:t>
      </w:r>
      <w:r>
        <w:rPr>
          <w:spacing w:val="-3"/>
          <w:sz w:val="26"/>
        </w:rPr>
        <w:t xml:space="preserve"> </w:t>
      </w:r>
      <w:r>
        <w:rPr>
          <w:sz w:val="26"/>
        </w:rPr>
        <w:t>held:</w:t>
      </w:r>
    </w:p>
    <w:p w:rsidR="003B2FC0" w:rsidRDefault="00052A49">
      <w:pPr>
        <w:spacing w:before="195" w:line="276" w:lineRule="auto"/>
        <w:ind w:left="1840" w:right="2282"/>
        <w:jc w:val="both"/>
        <w:rPr>
          <w:sz w:val="14"/>
        </w:rPr>
      </w:pPr>
      <w:r>
        <w:rPr>
          <w:sz w:val="21"/>
        </w:rPr>
        <w:t>“52…The enunciation of rights either express or by</w:t>
      </w:r>
      <w:r>
        <w:rPr>
          <w:spacing w:val="-25"/>
          <w:sz w:val="21"/>
        </w:rPr>
        <w:t xml:space="preserve"> </w:t>
      </w:r>
      <w:r>
        <w:rPr>
          <w:sz w:val="21"/>
        </w:rPr>
        <w:t>implication does not follow a uniform pattern. But one thread runs</w:t>
      </w:r>
      <w:r>
        <w:rPr>
          <w:spacing w:val="-33"/>
          <w:sz w:val="21"/>
        </w:rPr>
        <w:t xml:space="preserve"> </w:t>
      </w:r>
      <w:r>
        <w:rPr>
          <w:sz w:val="21"/>
        </w:rPr>
        <w:t>through them:</w:t>
      </w:r>
      <w:r>
        <w:rPr>
          <w:spacing w:val="-7"/>
          <w:sz w:val="21"/>
        </w:rPr>
        <w:t xml:space="preserve"> </w:t>
      </w:r>
      <w:r>
        <w:rPr>
          <w:sz w:val="21"/>
        </w:rPr>
        <w:t>they</w:t>
      </w:r>
      <w:r>
        <w:rPr>
          <w:spacing w:val="-7"/>
          <w:sz w:val="21"/>
        </w:rPr>
        <w:t xml:space="preserve"> </w:t>
      </w:r>
      <w:r>
        <w:rPr>
          <w:sz w:val="21"/>
        </w:rPr>
        <w:t>seek</w:t>
      </w:r>
      <w:r>
        <w:rPr>
          <w:spacing w:val="-3"/>
          <w:sz w:val="21"/>
        </w:rPr>
        <w:t xml:space="preserve"> </w:t>
      </w:r>
      <w:r>
        <w:rPr>
          <w:sz w:val="21"/>
        </w:rPr>
        <w:t>to</w:t>
      </w:r>
      <w:r>
        <w:rPr>
          <w:spacing w:val="-6"/>
          <w:sz w:val="21"/>
        </w:rPr>
        <w:t xml:space="preserve"> </w:t>
      </w:r>
      <w:r>
        <w:rPr>
          <w:sz w:val="21"/>
        </w:rPr>
        <w:t>protect</w:t>
      </w:r>
      <w:r>
        <w:rPr>
          <w:spacing w:val="-6"/>
          <w:sz w:val="21"/>
        </w:rPr>
        <w:t xml:space="preserve"> </w:t>
      </w:r>
      <w:r>
        <w:rPr>
          <w:sz w:val="21"/>
        </w:rPr>
        <w:t>the</w:t>
      </w:r>
      <w:r>
        <w:rPr>
          <w:spacing w:val="-5"/>
          <w:sz w:val="21"/>
        </w:rPr>
        <w:t xml:space="preserve"> </w:t>
      </w:r>
      <w:r>
        <w:rPr>
          <w:sz w:val="21"/>
        </w:rPr>
        <w:t>rights</w:t>
      </w:r>
      <w:r>
        <w:rPr>
          <w:spacing w:val="-6"/>
          <w:sz w:val="21"/>
        </w:rPr>
        <w:t xml:space="preserve"> </w:t>
      </w:r>
      <w:r>
        <w:rPr>
          <w:sz w:val="21"/>
        </w:rPr>
        <w:t>of</w:t>
      </w:r>
      <w:r>
        <w:rPr>
          <w:spacing w:val="-4"/>
          <w:sz w:val="21"/>
        </w:rPr>
        <w:t xml:space="preserve"> </w:t>
      </w:r>
      <w:r>
        <w:rPr>
          <w:sz w:val="21"/>
        </w:rPr>
        <w:t>the</w:t>
      </w:r>
      <w:r>
        <w:rPr>
          <w:spacing w:val="-5"/>
          <w:sz w:val="21"/>
        </w:rPr>
        <w:t xml:space="preserve"> </w:t>
      </w:r>
      <w:r>
        <w:rPr>
          <w:sz w:val="21"/>
        </w:rPr>
        <w:t>individu</w:t>
      </w:r>
      <w:r>
        <w:rPr>
          <w:sz w:val="21"/>
        </w:rPr>
        <w:t>al</w:t>
      </w:r>
      <w:r>
        <w:rPr>
          <w:spacing w:val="-5"/>
          <w:sz w:val="21"/>
        </w:rPr>
        <w:t xml:space="preserve"> </w:t>
      </w:r>
      <w:r>
        <w:rPr>
          <w:sz w:val="21"/>
        </w:rPr>
        <w:t>or</w:t>
      </w:r>
      <w:r>
        <w:rPr>
          <w:spacing w:val="-6"/>
          <w:sz w:val="21"/>
        </w:rPr>
        <w:t xml:space="preserve"> </w:t>
      </w:r>
      <w:r>
        <w:rPr>
          <w:sz w:val="21"/>
        </w:rPr>
        <w:t>groups of individuals against infringement of those rights within specific limits. Part III of the Constitution weaves a pattern of guarantees on the texture of basic human rights. The guarantees</w:t>
      </w:r>
      <w:r>
        <w:rPr>
          <w:spacing w:val="-12"/>
          <w:sz w:val="21"/>
        </w:rPr>
        <w:t xml:space="preserve"> </w:t>
      </w:r>
      <w:r>
        <w:rPr>
          <w:sz w:val="21"/>
        </w:rPr>
        <w:t>delimit</w:t>
      </w:r>
      <w:r>
        <w:rPr>
          <w:spacing w:val="-13"/>
          <w:sz w:val="21"/>
        </w:rPr>
        <w:t xml:space="preserve"> </w:t>
      </w:r>
      <w:r>
        <w:rPr>
          <w:sz w:val="21"/>
        </w:rPr>
        <w:t>the</w:t>
      </w:r>
      <w:r>
        <w:rPr>
          <w:spacing w:val="-12"/>
          <w:sz w:val="21"/>
        </w:rPr>
        <w:t xml:space="preserve"> </w:t>
      </w:r>
      <w:r>
        <w:rPr>
          <w:sz w:val="21"/>
        </w:rPr>
        <w:t>protection</w:t>
      </w:r>
      <w:r>
        <w:rPr>
          <w:spacing w:val="-11"/>
          <w:sz w:val="21"/>
        </w:rPr>
        <w:t xml:space="preserve"> </w:t>
      </w:r>
      <w:r>
        <w:rPr>
          <w:sz w:val="21"/>
        </w:rPr>
        <w:t>of</w:t>
      </w:r>
      <w:r>
        <w:rPr>
          <w:spacing w:val="-12"/>
          <w:sz w:val="21"/>
        </w:rPr>
        <w:t xml:space="preserve"> </w:t>
      </w:r>
      <w:r>
        <w:rPr>
          <w:sz w:val="21"/>
        </w:rPr>
        <w:t>those</w:t>
      </w:r>
      <w:r>
        <w:rPr>
          <w:spacing w:val="-12"/>
          <w:sz w:val="21"/>
        </w:rPr>
        <w:t xml:space="preserve"> </w:t>
      </w:r>
      <w:r>
        <w:rPr>
          <w:sz w:val="21"/>
        </w:rPr>
        <w:t>rights</w:t>
      </w:r>
      <w:r>
        <w:rPr>
          <w:spacing w:val="-12"/>
          <w:sz w:val="21"/>
        </w:rPr>
        <w:t xml:space="preserve"> </w:t>
      </w:r>
      <w:r>
        <w:rPr>
          <w:sz w:val="21"/>
        </w:rPr>
        <w:t>in</w:t>
      </w:r>
      <w:r>
        <w:rPr>
          <w:spacing w:val="-13"/>
          <w:sz w:val="21"/>
        </w:rPr>
        <w:t xml:space="preserve"> </w:t>
      </w:r>
      <w:r>
        <w:rPr>
          <w:sz w:val="21"/>
        </w:rPr>
        <w:t>their</w:t>
      </w:r>
      <w:r>
        <w:rPr>
          <w:spacing w:val="-13"/>
          <w:sz w:val="21"/>
        </w:rPr>
        <w:t xml:space="preserve"> </w:t>
      </w:r>
      <w:r>
        <w:rPr>
          <w:sz w:val="21"/>
        </w:rPr>
        <w:t>allott</w:t>
      </w:r>
      <w:r>
        <w:rPr>
          <w:sz w:val="21"/>
        </w:rPr>
        <w:t>ed fields: they do not attempt to enunciate distinct</w:t>
      </w:r>
      <w:r>
        <w:rPr>
          <w:spacing w:val="-24"/>
          <w:sz w:val="21"/>
        </w:rPr>
        <w:t xml:space="preserve"> </w:t>
      </w:r>
      <w:r>
        <w:rPr>
          <w:sz w:val="21"/>
        </w:rPr>
        <w:t>rights.”</w:t>
      </w:r>
      <w:r>
        <w:rPr>
          <w:position w:val="7"/>
          <w:sz w:val="14"/>
        </w:rPr>
        <w:t>129</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5"/>
        <w:rPr>
          <w:sz w:val="10"/>
        </w:rPr>
      </w:pPr>
      <w:r w:rsidRPr="003B2FC0">
        <w:pict>
          <v:line id="_x0000_s1080" style="position:absolute;z-index:251635200;mso-wrap-distance-left:0;mso-wrap-distance-right:0;mso-position-horizontal-relative:page" from="1in,8.35pt" to="216.05pt,8.35pt" strokeweight=".72pt">
            <w10:wrap type="topAndBottom" anchorx="page"/>
          </v:line>
        </w:pict>
      </w:r>
    </w:p>
    <w:p w:rsidR="003B2FC0" w:rsidRDefault="00052A49">
      <w:pPr>
        <w:spacing w:before="66" w:line="210" w:lineRule="exact"/>
        <w:ind w:left="400"/>
        <w:rPr>
          <w:sz w:val="18"/>
        </w:rPr>
      </w:pPr>
      <w:r>
        <w:rPr>
          <w:position w:val="6"/>
          <w:sz w:val="12"/>
        </w:rPr>
        <w:t xml:space="preserve">128 </w:t>
      </w:r>
      <w:r>
        <w:rPr>
          <w:sz w:val="18"/>
        </w:rPr>
        <w:t>(1970) 1 SCC 248</w:t>
      </w:r>
    </w:p>
    <w:p w:rsidR="003B2FC0" w:rsidRDefault="00052A49">
      <w:pPr>
        <w:spacing w:line="210" w:lineRule="exact"/>
        <w:ind w:left="400"/>
        <w:rPr>
          <w:sz w:val="18"/>
        </w:rPr>
      </w:pPr>
      <w:r>
        <w:rPr>
          <w:position w:val="6"/>
          <w:sz w:val="12"/>
        </w:rPr>
        <w:t xml:space="preserve">129 </w:t>
      </w:r>
      <w:r>
        <w:rPr>
          <w:sz w:val="18"/>
        </w:rPr>
        <w:t>Ibid, at page 289</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65"/>
        <w:jc w:val="both"/>
        <w:rPr>
          <w:sz w:val="26"/>
        </w:rPr>
      </w:pPr>
      <w:r>
        <w:rPr>
          <w:sz w:val="26"/>
        </w:rPr>
        <w:t xml:space="preserve">Similarly, in </w:t>
      </w:r>
      <w:r>
        <w:rPr>
          <w:b/>
          <w:sz w:val="26"/>
        </w:rPr>
        <w:t>Maneka</w:t>
      </w:r>
      <w:r>
        <w:rPr>
          <w:sz w:val="26"/>
        </w:rPr>
        <w:t>, a seven judge Bench was faced with a constitutional challenge to Section 10(3)(c) of the Passports Act 1967. Striking the section down as violating Article 14 of the Constitution, Justice P N Bhagwati held:</w:t>
      </w:r>
    </w:p>
    <w:p w:rsidR="003B2FC0" w:rsidRDefault="00052A49">
      <w:pPr>
        <w:spacing w:before="200" w:line="276" w:lineRule="auto"/>
        <w:ind w:left="1840" w:right="2189"/>
        <w:jc w:val="both"/>
        <w:rPr>
          <w:sz w:val="21"/>
        </w:rPr>
      </w:pPr>
      <w:r>
        <w:rPr>
          <w:sz w:val="21"/>
        </w:rPr>
        <w:t>“5…It is said that the freedom to move freely i</w:t>
      </w:r>
      <w:r>
        <w:rPr>
          <w:sz w:val="21"/>
        </w:rPr>
        <w:t xml:space="preserve">s carved out of personal liberty and, therefore, the expression 'personal liberty' in Article 21 excludes that attribute. </w:t>
      </w:r>
      <w:r>
        <w:rPr>
          <w:b/>
          <w:sz w:val="21"/>
        </w:rPr>
        <w:t>In our view, this is not a correct approach. Both are independent fundamental rights,</w:t>
      </w:r>
      <w:r>
        <w:rPr>
          <w:b/>
          <w:spacing w:val="-7"/>
          <w:sz w:val="21"/>
        </w:rPr>
        <w:t xml:space="preserve"> </w:t>
      </w:r>
      <w:r>
        <w:rPr>
          <w:b/>
          <w:sz w:val="21"/>
        </w:rPr>
        <w:t>though</w:t>
      </w:r>
      <w:r>
        <w:rPr>
          <w:b/>
          <w:spacing w:val="-5"/>
          <w:sz w:val="21"/>
        </w:rPr>
        <w:t xml:space="preserve"> </w:t>
      </w:r>
      <w:r>
        <w:rPr>
          <w:b/>
          <w:sz w:val="21"/>
        </w:rPr>
        <w:t>there</w:t>
      </w:r>
      <w:r>
        <w:rPr>
          <w:b/>
          <w:spacing w:val="-6"/>
          <w:sz w:val="21"/>
        </w:rPr>
        <w:t xml:space="preserve"> </w:t>
      </w:r>
      <w:r>
        <w:rPr>
          <w:b/>
          <w:sz w:val="21"/>
        </w:rPr>
        <w:t>is</w:t>
      </w:r>
      <w:r>
        <w:rPr>
          <w:b/>
          <w:spacing w:val="-6"/>
          <w:sz w:val="21"/>
        </w:rPr>
        <w:t xml:space="preserve"> </w:t>
      </w:r>
      <w:r>
        <w:rPr>
          <w:b/>
          <w:sz w:val="21"/>
        </w:rPr>
        <w:t>overlapping.</w:t>
      </w:r>
      <w:r>
        <w:rPr>
          <w:b/>
          <w:spacing w:val="-7"/>
          <w:sz w:val="21"/>
        </w:rPr>
        <w:t xml:space="preserve"> </w:t>
      </w:r>
      <w:r>
        <w:rPr>
          <w:b/>
          <w:sz w:val="21"/>
        </w:rPr>
        <w:t>There</w:t>
      </w:r>
      <w:r>
        <w:rPr>
          <w:b/>
          <w:spacing w:val="-6"/>
          <w:sz w:val="21"/>
        </w:rPr>
        <w:t xml:space="preserve"> </w:t>
      </w:r>
      <w:r>
        <w:rPr>
          <w:b/>
          <w:sz w:val="21"/>
        </w:rPr>
        <w:t>is</w:t>
      </w:r>
      <w:r>
        <w:rPr>
          <w:b/>
          <w:spacing w:val="-6"/>
          <w:sz w:val="21"/>
        </w:rPr>
        <w:t xml:space="preserve"> </w:t>
      </w:r>
      <w:r>
        <w:rPr>
          <w:b/>
          <w:sz w:val="21"/>
        </w:rPr>
        <w:t>no</w:t>
      </w:r>
      <w:r>
        <w:rPr>
          <w:b/>
          <w:spacing w:val="-8"/>
          <w:sz w:val="21"/>
        </w:rPr>
        <w:t xml:space="preserve"> </w:t>
      </w:r>
      <w:r>
        <w:rPr>
          <w:b/>
          <w:sz w:val="21"/>
        </w:rPr>
        <w:t>questio</w:t>
      </w:r>
      <w:r>
        <w:rPr>
          <w:b/>
          <w:sz w:val="21"/>
        </w:rPr>
        <w:t>n</w:t>
      </w:r>
      <w:r>
        <w:rPr>
          <w:b/>
          <w:spacing w:val="-8"/>
          <w:sz w:val="21"/>
        </w:rPr>
        <w:t xml:space="preserve"> </w:t>
      </w:r>
      <w:r>
        <w:rPr>
          <w:b/>
          <w:sz w:val="21"/>
        </w:rPr>
        <w:t>of one</w:t>
      </w:r>
      <w:r>
        <w:rPr>
          <w:b/>
          <w:spacing w:val="-7"/>
          <w:sz w:val="21"/>
        </w:rPr>
        <w:t xml:space="preserve"> </w:t>
      </w:r>
      <w:r>
        <w:rPr>
          <w:b/>
          <w:sz w:val="21"/>
        </w:rPr>
        <w:t>being</w:t>
      </w:r>
      <w:r>
        <w:rPr>
          <w:b/>
          <w:spacing w:val="-7"/>
          <w:sz w:val="21"/>
        </w:rPr>
        <w:t xml:space="preserve"> </w:t>
      </w:r>
      <w:r>
        <w:rPr>
          <w:b/>
          <w:sz w:val="21"/>
        </w:rPr>
        <w:t>carved</w:t>
      </w:r>
      <w:r>
        <w:rPr>
          <w:b/>
          <w:spacing w:val="-7"/>
          <w:sz w:val="21"/>
        </w:rPr>
        <w:t xml:space="preserve"> </w:t>
      </w:r>
      <w:r>
        <w:rPr>
          <w:b/>
          <w:sz w:val="21"/>
        </w:rPr>
        <w:t>out</w:t>
      </w:r>
      <w:r>
        <w:rPr>
          <w:b/>
          <w:spacing w:val="-9"/>
          <w:sz w:val="21"/>
        </w:rPr>
        <w:t xml:space="preserve"> </w:t>
      </w:r>
      <w:r>
        <w:rPr>
          <w:b/>
          <w:sz w:val="21"/>
        </w:rPr>
        <w:t>of</w:t>
      </w:r>
      <w:r>
        <w:rPr>
          <w:b/>
          <w:spacing w:val="-10"/>
          <w:sz w:val="21"/>
        </w:rPr>
        <w:t xml:space="preserve"> </w:t>
      </w:r>
      <w:r>
        <w:rPr>
          <w:b/>
          <w:sz w:val="21"/>
        </w:rPr>
        <w:t>another</w:t>
      </w:r>
      <w:r>
        <w:rPr>
          <w:sz w:val="21"/>
        </w:rPr>
        <w:t>.</w:t>
      </w:r>
      <w:r>
        <w:rPr>
          <w:spacing w:val="-8"/>
          <w:sz w:val="21"/>
        </w:rPr>
        <w:t xml:space="preserve"> </w:t>
      </w:r>
      <w:r>
        <w:rPr>
          <w:sz w:val="21"/>
        </w:rPr>
        <w:t>The</w:t>
      </w:r>
      <w:r>
        <w:rPr>
          <w:spacing w:val="-10"/>
          <w:sz w:val="21"/>
        </w:rPr>
        <w:t xml:space="preserve"> </w:t>
      </w:r>
      <w:r>
        <w:rPr>
          <w:sz w:val="21"/>
        </w:rPr>
        <w:t>fundamental</w:t>
      </w:r>
      <w:r>
        <w:rPr>
          <w:spacing w:val="-8"/>
          <w:sz w:val="21"/>
        </w:rPr>
        <w:t xml:space="preserve"> </w:t>
      </w:r>
      <w:r>
        <w:rPr>
          <w:sz w:val="21"/>
        </w:rPr>
        <w:t>right</w:t>
      </w:r>
      <w:r>
        <w:rPr>
          <w:spacing w:val="-8"/>
          <w:sz w:val="21"/>
        </w:rPr>
        <w:t xml:space="preserve"> </w:t>
      </w:r>
      <w:r>
        <w:rPr>
          <w:sz w:val="21"/>
        </w:rPr>
        <w:t>of</w:t>
      </w:r>
      <w:r>
        <w:rPr>
          <w:spacing w:val="-6"/>
          <w:sz w:val="21"/>
        </w:rPr>
        <w:t xml:space="preserve"> </w:t>
      </w:r>
      <w:r>
        <w:rPr>
          <w:sz w:val="21"/>
        </w:rPr>
        <w:t>life and personal liberty has many attributes and some of them are found in Article 19. If a person'</w:t>
      </w:r>
      <w:r>
        <w:rPr>
          <w:sz w:val="21"/>
        </w:rPr>
        <w:t>s fundamental right under Article 21 is infringed, the State can rely upon a law to sustain the action, but that cannot be a complete answer unless the said law satisfies the test laid down in Article 19(2) so far as the attributes covered by Article 19(1)</w:t>
      </w:r>
      <w:r>
        <w:rPr>
          <w:sz w:val="21"/>
        </w:rPr>
        <w:t xml:space="preserve"> are concerned.”</w:t>
      </w:r>
      <w:r>
        <w:rPr>
          <w:position w:val="7"/>
          <w:sz w:val="14"/>
        </w:rPr>
        <w:t xml:space="preserve">130 </w:t>
      </w:r>
      <w:r>
        <w:rPr>
          <w:sz w:val="21"/>
        </w:rPr>
        <w:t>(Emphasis</w:t>
      </w:r>
      <w:r>
        <w:rPr>
          <w:spacing w:val="-2"/>
          <w:sz w:val="21"/>
        </w:rPr>
        <w:t xml:space="preserve"> </w:t>
      </w:r>
      <w:r>
        <w:rPr>
          <w:sz w:val="21"/>
        </w:rPr>
        <w:t>supplied)</w:t>
      </w:r>
    </w:p>
    <w:p w:rsidR="003B2FC0" w:rsidRDefault="003B2FC0">
      <w:pPr>
        <w:rPr>
          <w:sz w:val="24"/>
        </w:rPr>
      </w:pPr>
    </w:p>
    <w:p w:rsidR="003B2FC0" w:rsidRDefault="003B2FC0">
      <w:pPr>
        <w:spacing w:before="11"/>
        <w:rPr>
          <w:sz w:val="35"/>
        </w:rPr>
      </w:pPr>
    </w:p>
    <w:p w:rsidR="003B2FC0" w:rsidRDefault="00052A49">
      <w:pPr>
        <w:spacing w:line="480" w:lineRule="auto"/>
        <w:ind w:left="400" w:right="434"/>
        <w:jc w:val="both"/>
        <w:rPr>
          <w:sz w:val="26"/>
        </w:rPr>
      </w:pPr>
      <w:r>
        <w:rPr>
          <w:sz w:val="26"/>
        </w:rPr>
        <w:t xml:space="preserve">In the </w:t>
      </w:r>
      <w:r>
        <w:rPr>
          <w:b/>
          <w:sz w:val="26"/>
        </w:rPr>
        <w:t>Special Courts Bill Reference</w:t>
      </w:r>
      <w:r>
        <w:rPr>
          <w:sz w:val="26"/>
        </w:rPr>
        <w:t>,</w:t>
      </w:r>
      <w:r>
        <w:rPr>
          <w:position w:val="9"/>
          <w:sz w:val="17"/>
        </w:rPr>
        <w:t xml:space="preserve">131 </w:t>
      </w:r>
      <w:r>
        <w:rPr>
          <w:sz w:val="26"/>
        </w:rPr>
        <w:t>a seven judge Bench of this Court, considered</w:t>
      </w:r>
      <w:r>
        <w:rPr>
          <w:spacing w:val="-17"/>
          <w:sz w:val="26"/>
        </w:rPr>
        <w:t xml:space="preserve"> </w:t>
      </w:r>
      <w:r>
        <w:rPr>
          <w:sz w:val="26"/>
        </w:rPr>
        <w:t>a</w:t>
      </w:r>
      <w:r>
        <w:rPr>
          <w:spacing w:val="-17"/>
          <w:sz w:val="26"/>
        </w:rPr>
        <w:t xml:space="preserve"> </w:t>
      </w:r>
      <w:r>
        <w:rPr>
          <w:sz w:val="26"/>
        </w:rPr>
        <w:t>reference</w:t>
      </w:r>
      <w:r>
        <w:rPr>
          <w:spacing w:val="-17"/>
          <w:sz w:val="26"/>
        </w:rPr>
        <w:t xml:space="preserve"> </w:t>
      </w:r>
      <w:r>
        <w:rPr>
          <w:sz w:val="26"/>
        </w:rPr>
        <w:t>under</w:t>
      </w:r>
      <w:r>
        <w:rPr>
          <w:spacing w:val="-16"/>
          <w:sz w:val="26"/>
        </w:rPr>
        <w:t xml:space="preserve"> </w:t>
      </w:r>
      <w:r>
        <w:rPr>
          <w:sz w:val="26"/>
        </w:rPr>
        <w:t>Article</w:t>
      </w:r>
      <w:r>
        <w:rPr>
          <w:spacing w:val="-17"/>
          <w:sz w:val="26"/>
        </w:rPr>
        <w:t xml:space="preserve"> </w:t>
      </w:r>
      <w:r>
        <w:rPr>
          <w:sz w:val="26"/>
        </w:rPr>
        <w:t>143(1)</w:t>
      </w:r>
      <w:r>
        <w:rPr>
          <w:spacing w:val="-17"/>
          <w:sz w:val="26"/>
        </w:rPr>
        <w:t xml:space="preserve"> </w:t>
      </w:r>
      <w:r>
        <w:rPr>
          <w:sz w:val="26"/>
        </w:rPr>
        <w:t>on</w:t>
      </w:r>
      <w:r>
        <w:rPr>
          <w:spacing w:val="-17"/>
          <w:sz w:val="26"/>
        </w:rPr>
        <w:t xml:space="preserve"> </w:t>
      </w:r>
      <w:r>
        <w:rPr>
          <w:sz w:val="26"/>
        </w:rPr>
        <w:t>the</w:t>
      </w:r>
      <w:r>
        <w:rPr>
          <w:spacing w:val="-16"/>
          <w:sz w:val="26"/>
        </w:rPr>
        <w:t xml:space="preserve"> </w:t>
      </w:r>
      <w:r>
        <w:rPr>
          <w:sz w:val="26"/>
        </w:rPr>
        <w:t>question</w:t>
      </w:r>
      <w:r>
        <w:rPr>
          <w:spacing w:val="-15"/>
          <w:sz w:val="26"/>
        </w:rPr>
        <w:t xml:space="preserve"> </w:t>
      </w:r>
      <w:r>
        <w:rPr>
          <w:sz w:val="26"/>
        </w:rPr>
        <w:t>whether</w:t>
      </w:r>
      <w:r>
        <w:rPr>
          <w:spacing w:val="-17"/>
          <w:sz w:val="26"/>
        </w:rPr>
        <w:t xml:space="preserve"> </w:t>
      </w:r>
      <w:r>
        <w:rPr>
          <w:sz w:val="26"/>
        </w:rPr>
        <w:t>the</w:t>
      </w:r>
      <w:r>
        <w:rPr>
          <w:spacing w:val="-16"/>
          <w:sz w:val="26"/>
        </w:rPr>
        <w:t xml:space="preserve"> </w:t>
      </w:r>
      <w:r>
        <w:rPr>
          <w:sz w:val="26"/>
        </w:rPr>
        <w:t>Special Courts Bill, 1978 or any of its provisions, if enacted, wo</w:t>
      </w:r>
      <w:r>
        <w:rPr>
          <w:sz w:val="26"/>
        </w:rPr>
        <w:t>uld be constitutionally invalid. Justice Y V Chandrachud (writing for himself, Justice P N Bhagwati, Justice R S Sarkaria, and Justice Murtaza Fazl Ali) held that an attempt must be made to “to harmonize the various provisions of the Constitution and not t</w:t>
      </w:r>
      <w:r>
        <w:rPr>
          <w:sz w:val="26"/>
        </w:rPr>
        <w:t>o treat any part of it as otiose or superfluous.” The learned Judge</w:t>
      </w:r>
      <w:r>
        <w:rPr>
          <w:spacing w:val="-23"/>
          <w:sz w:val="26"/>
        </w:rPr>
        <w:t xml:space="preserve"> </w:t>
      </w:r>
      <w:r>
        <w:rPr>
          <w:sz w:val="26"/>
        </w:rPr>
        <w:t>held:</w:t>
      </w:r>
    </w:p>
    <w:p w:rsidR="003B2FC0" w:rsidRDefault="00052A49">
      <w:pPr>
        <w:spacing w:before="201" w:line="276" w:lineRule="auto"/>
        <w:ind w:left="1840" w:right="2282"/>
        <w:jc w:val="both"/>
        <w:rPr>
          <w:sz w:val="21"/>
        </w:rPr>
      </w:pPr>
      <w:r>
        <w:rPr>
          <w:sz w:val="21"/>
        </w:rPr>
        <w:t>“49…Some amount of repetitiveness or overlapping is inevitable</w:t>
      </w:r>
      <w:r>
        <w:rPr>
          <w:spacing w:val="-14"/>
          <w:sz w:val="21"/>
        </w:rPr>
        <w:t xml:space="preserve"> </w:t>
      </w:r>
      <w:r>
        <w:rPr>
          <w:sz w:val="21"/>
        </w:rPr>
        <w:t>in</w:t>
      </w:r>
      <w:r>
        <w:rPr>
          <w:spacing w:val="-11"/>
          <w:sz w:val="21"/>
        </w:rPr>
        <w:t xml:space="preserve"> </w:t>
      </w:r>
      <w:r>
        <w:rPr>
          <w:sz w:val="21"/>
        </w:rPr>
        <w:t>a</w:t>
      </w:r>
      <w:r>
        <w:rPr>
          <w:spacing w:val="-14"/>
          <w:sz w:val="21"/>
        </w:rPr>
        <w:t xml:space="preserve"> </w:t>
      </w:r>
      <w:r>
        <w:rPr>
          <w:sz w:val="21"/>
        </w:rPr>
        <w:t>Constitution</w:t>
      </w:r>
      <w:r>
        <w:rPr>
          <w:spacing w:val="-13"/>
          <w:sz w:val="21"/>
        </w:rPr>
        <w:t xml:space="preserve"> </w:t>
      </w:r>
      <w:r>
        <w:rPr>
          <w:sz w:val="21"/>
        </w:rPr>
        <w:t>like</w:t>
      </w:r>
      <w:r>
        <w:rPr>
          <w:spacing w:val="-13"/>
          <w:sz w:val="21"/>
        </w:rPr>
        <w:t xml:space="preserve"> </w:t>
      </w:r>
      <w:r>
        <w:rPr>
          <w:sz w:val="21"/>
        </w:rPr>
        <w:t>ours</w:t>
      </w:r>
      <w:r>
        <w:rPr>
          <w:spacing w:val="-12"/>
          <w:sz w:val="21"/>
        </w:rPr>
        <w:t xml:space="preserve"> </w:t>
      </w:r>
      <w:r>
        <w:rPr>
          <w:sz w:val="21"/>
        </w:rPr>
        <w:t>which,</w:t>
      </w:r>
      <w:r>
        <w:rPr>
          <w:spacing w:val="-12"/>
          <w:sz w:val="21"/>
        </w:rPr>
        <w:t xml:space="preserve"> </w:t>
      </w:r>
      <w:r>
        <w:rPr>
          <w:sz w:val="21"/>
        </w:rPr>
        <w:t>unlike</w:t>
      </w:r>
      <w:r>
        <w:rPr>
          <w:spacing w:val="-12"/>
          <w:sz w:val="21"/>
        </w:rPr>
        <w:t xml:space="preserve"> </w:t>
      </w:r>
      <w:r>
        <w:rPr>
          <w:sz w:val="21"/>
        </w:rPr>
        <w:t>the</w:t>
      </w:r>
      <w:r>
        <w:rPr>
          <w:spacing w:val="-13"/>
          <w:sz w:val="21"/>
        </w:rPr>
        <w:t xml:space="preserve"> </w:t>
      </w:r>
      <w:r>
        <w:rPr>
          <w:sz w:val="21"/>
        </w:rPr>
        <w:t>American Constitution, is drawn elaborately and runs into minute</w:t>
      </w:r>
      <w:r>
        <w:rPr>
          <w:spacing w:val="-41"/>
          <w:sz w:val="21"/>
        </w:rPr>
        <w:t xml:space="preserve"> </w:t>
      </w:r>
      <w:r>
        <w:rPr>
          <w:sz w:val="21"/>
        </w:rPr>
        <w:t>details. There</w:t>
      </w:r>
      <w:r>
        <w:rPr>
          <w:spacing w:val="-17"/>
          <w:sz w:val="21"/>
        </w:rPr>
        <w:t xml:space="preserve"> </w:t>
      </w:r>
      <w:r>
        <w:rPr>
          <w:sz w:val="21"/>
        </w:rPr>
        <w:t>is,</w:t>
      </w:r>
      <w:r>
        <w:rPr>
          <w:spacing w:val="-14"/>
          <w:sz w:val="21"/>
        </w:rPr>
        <w:t xml:space="preserve"> </w:t>
      </w:r>
      <w:r>
        <w:rPr>
          <w:sz w:val="21"/>
        </w:rPr>
        <w:t>therefore,</w:t>
      </w:r>
      <w:r>
        <w:rPr>
          <w:spacing w:val="-15"/>
          <w:sz w:val="21"/>
        </w:rPr>
        <w:t xml:space="preserve"> </w:t>
      </w:r>
      <w:r>
        <w:rPr>
          <w:sz w:val="21"/>
        </w:rPr>
        <w:t>all</w:t>
      </w:r>
      <w:r>
        <w:rPr>
          <w:spacing w:val="-12"/>
          <w:sz w:val="21"/>
        </w:rPr>
        <w:t xml:space="preserve"> </w:t>
      </w:r>
      <w:r>
        <w:rPr>
          <w:sz w:val="21"/>
        </w:rPr>
        <w:t>the</w:t>
      </w:r>
      <w:r>
        <w:rPr>
          <w:spacing w:val="-14"/>
          <w:sz w:val="21"/>
        </w:rPr>
        <w:t xml:space="preserve"> </w:t>
      </w:r>
      <w:r>
        <w:rPr>
          <w:sz w:val="21"/>
        </w:rPr>
        <w:t>greater</w:t>
      </w:r>
      <w:r>
        <w:rPr>
          <w:spacing w:val="-14"/>
          <w:sz w:val="21"/>
        </w:rPr>
        <w:t xml:space="preserve"> </w:t>
      </w:r>
      <w:r>
        <w:rPr>
          <w:sz w:val="21"/>
        </w:rPr>
        <w:t>reason</w:t>
      </w:r>
      <w:r>
        <w:rPr>
          <w:spacing w:val="-13"/>
          <w:sz w:val="21"/>
        </w:rPr>
        <w:t xml:space="preserve"> </w:t>
      </w:r>
      <w:r>
        <w:rPr>
          <w:sz w:val="21"/>
        </w:rPr>
        <w:t>why,</w:t>
      </w:r>
      <w:r>
        <w:rPr>
          <w:spacing w:val="-14"/>
          <w:sz w:val="21"/>
        </w:rPr>
        <w:t xml:space="preserve"> </w:t>
      </w:r>
      <w:r>
        <w:rPr>
          <w:sz w:val="21"/>
        </w:rPr>
        <w:t>while</w:t>
      </w:r>
      <w:r>
        <w:rPr>
          <w:spacing w:val="-17"/>
          <w:sz w:val="21"/>
        </w:rPr>
        <w:t xml:space="preserve"> </w:t>
      </w:r>
      <w:r>
        <w:rPr>
          <w:sz w:val="21"/>
        </w:rPr>
        <w:t>construing our Constitution, care must be taken to see that powers conferred</w:t>
      </w:r>
      <w:r>
        <w:rPr>
          <w:spacing w:val="-8"/>
          <w:sz w:val="21"/>
        </w:rPr>
        <w:t xml:space="preserve"> </w:t>
      </w:r>
      <w:r>
        <w:rPr>
          <w:sz w:val="21"/>
        </w:rPr>
        <w:t>by</w:t>
      </w:r>
      <w:r>
        <w:rPr>
          <w:spacing w:val="-7"/>
          <w:sz w:val="21"/>
        </w:rPr>
        <w:t xml:space="preserve"> </w:t>
      </w:r>
      <w:r>
        <w:rPr>
          <w:sz w:val="21"/>
        </w:rPr>
        <w:t>its</w:t>
      </w:r>
      <w:r>
        <w:rPr>
          <w:spacing w:val="-5"/>
          <w:sz w:val="21"/>
        </w:rPr>
        <w:t xml:space="preserve"> </w:t>
      </w:r>
      <w:r>
        <w:rPr>
          <w:sz w:val="21"/>
        </w:rPr>
        <w:t>different</w:t>
      </w:r>
      <w:r>
        <w:rPr>
          <w:spacing w:val="-6"/>
          <w:sz w:val="21"/>
        </w:rPr>
        <w:t xml:space="preserve"> </w:t>
      </w:r>
      <w:r>
        <w:rPr>
          <w:sz w:val="21"/>
        </w:rPr>
        <w:t>provisions</w:t>
      </w:r>
      <w:r>
        <w:rPr>
          <w:spacing w:val="-6"/>
          <w:sz w:val="21"/>
        </w:rPr>
        <w:t xml:space="preserve"> </w:t>
      </w:r>
      <w:r>
        <w:rPr>
          <w:sz w:val="21"/>
        </w:rPr>
        <w:t>are</w:t>
      </w:r>
      <w:r>
        <w:rPr>
          <w:spacing w:val="-7"/>
          <w:sz w:val="21"/>
        </w:rPr>
        <w:t xml:space="preserve"> </w:t>
      </w:r>
      <w:r>
        <w:rPr>
          <w:sz w:val="21"/>
        </w:rPr>
        <w:t>permitted</w:t>
      </w:r>
      <w:r>
        <w:rPr>
          <w:spacing w:val="-4"/>
          <w:sz w:val="21"/>
        </w:rPr>
        <w:t xml:space="preserve"> </w:t>
      </w:r>
      <w:r>
        <w:rPr>
          <w:sz w:val="21"/>
        </w:rPr>
        <w:t>their</w:t>
      </w:r>
      <w:r>
        <w:rPr>
          <w:spacing w:val="-5"/>
          <w:sz w:val="21"/>
        </w:rPr>
        <w:t xml:space="preserve"> </w:t>
      </w:r>
      <w:r>
        <w:rPr>
          <w:sz w:val="21"/>
        </w:rPr>
        <w:t>full</w:t>
      </w:r>
      <w:r>
        <w:rPr>
          <w:spacing w:val="-4"/>
          <w:sz w:val="21"/>
        </w:rPr>
        <w:t xml:space="preserve"> </w:t>
      </w:r>
      <w:r>
        <w:rPr>
          <w:sz w:val="21"/>
        </w:rPr>
        <w:t>play</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10"/>
        <w:rPr>
          <w:sz w:val="29"/>
        </w:rPr>
      </w:pPr>
      <w:r w:rsidRPr="003B2FC0">
        <w:pict>
          <v:line id="_x0000_s1079" style="position:absolute;z-index:251636224;mso-wrap-distance-left:0;mso-wrap-distance-right:0;mso-position-horizontal-relative:page" from="1in,19.55pt" to="216.05pt,19.55pt" strokeweight=".72pt">
            <w10:wrap type="topAndBottom" anchorx="page"/>
          </v:line>
        </w:pict>
      </w:r>
    </w:p>
    <w:p w:rsidR="003B2FC0" w:rsidRDefault="00052A49">
      <w:pPr>
        <w:spacing w:before="66" w:line="210" w:lineRule="exact"/>
        <w:ind w:left="400"/>
        <w:rPr>
          <w:sz w:val="18"/>
        </w:rPr>
      </w:pPr>
      <w:r>
        <w:rPr>
          <w:position w:val="6"/>
          <w:sz w:val="12"/>
        </w:rPr>
        <w:t xml:space="preserve">130 </w:t>
      </w:r>
      <w:r>
        <w:rPr>
          <w:sz w:val="18"/>
        </w:rPr>
        <w:t>Ibid, at page 279</w:t>
      </w:r>
    </w:p>
    <w:p w:rsidR="003B2FC0" w:rsidRDefault="00052A49">
      <w:pPr>
        <w:spacing w:line="210" w:lineRule="exact"/>
        <w:ind w:left="400"/>
        <w:rPr>
          <w:sz w:val="18"/>
        </w:rPr>
      </w:pPr>
      <w:r>
        <w:rPr>
          <w:position w:val="6"/>
          <w:sz w:val="12"/>
        </w:rPr>
        <w:t xml:space="preserve">131 </w:t>
      </w:r>
      <w:r>
        <w:rPr>
          <w:sz w:val="18"/>
        </w:rPr>
        <w:t>(1979) 1 SCC 380</w:t>
      </w:r>
    </w:p>
    <w:p w:rsidR="003B2FC0" w:rsidRDefault="003B2FC0">
      <w:pPr>
        <w:spacing w:line="210" w:lineRule="exact"/>
        <w:rPr>
          <w:sz w:val="18"/>
        </w:rPr>
        <w:sectPr w:rsidR="003B2FC0">
          <w:footerReference w:type="default" r:id="rId387"/>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1" w:lineRule="auto"/>
        <w:ind w:left="1840" w:right="2284"/>
        <w:jc w:val="both"/>
        <w:rPr>
          <w:sz w:val="14"/>
        </w:rPr>
      </w:pPr>
      <w:r>
        <w:rPr>
          <w:sz w:val="21"/>
        </w:rPr>
        <w:t>and any one provision is not, by construction, treated as nullifying the existence and effect of another.”</w:t>
      </w:r>
      <w:r>
        <w:rPr>
          <w:position w:val="7"/>
          <w:sz w:val="14"/>
        </w:rPr>
        <w:t>132</w:t>
      </w:r>
    </w:p>
    <w:p w:rsidR="003B2FC0" w:rsidRDefault="003B2FC0">
      <w:pPr>
        <w:rPr>
          <w:sz w:val="24"/>
        </w:rPr>
      </w:pPr>
    </w:p>
    <w:p w:rsidR="003B2FC0" w:rsidRDefault="003B2FC0">
      <w:pPr>
        <w:rPr>
          <w:sz w:val="24"/>
        </w:rPr>
      </w:pPr>
    </w:p>
    <w:p w:rsidR="003B2FC0" w:rsidRDefault="00052A49">
      <w:pPr>
        <w:spacing w:before="154" w:line="480" w:lineRule="auto"/>
        <w:ind w:left="400" w:right="459"/>
        <w:jc w:val="both"/>
        <w:rPr>
          <w:sz w:val="26"/>
        </w:rPr>
      </w:pPr>
      <w:r>
        <w:rPr>
          <w:sz w:val="26"/>
        </w:rPr>
        <w:t xml:space="preserve">In </w:t>
      </w:r>
      <w:r>
        <w:rPr>
          <w:b/>
          <w:sz w:val="26"/>
        </w:rPr>
        <w:t>Puttaswamy</w:t>
      </w:r>
      <w:r>
        <w:rPr>
          <w:sz w:val="26"/>
        </w:rPr>
        <w:t>, a unanimous verdict by a nine judge Bench declared privacy to be constitutionally protected, as a facet of li</w:t>
      </w:r>
      <w:r>
        <w:rPr>
          <w:sz w:val="26"/>
        </w:rPr>
        <w:t>berty, dignity and individual autonomy. The Court held that privacy traces itself to the guarantee of life and personal liberty in Article 21 of the Constitution as well as to other facets of freedom and dignity recognized and guaranteed by the fundamental</w:t>
      </w:r>
      <w:r>
        <w:rPr>
          <w:sz w:val="26"/>
        </w:rPr>
        <w:t xml:space="preserve"> rights contained in Part III. The judgment of four judges held thus:</w:t>
      </w:r>
    </w:p>
    <w:p w:rsidR="003B2FC0" w:rsidRDefault="00052A49">
      <w:pPr>
        <w:spacing w:before="199" w:line="276" w:lineRule="auto"/>
        <w:ind w:left="1840" w:right="2277"/>
        <w:jc w:val="both"/>
        <w:rPr>
          <w:sz w:val="14"/>
        </w:rPr>
      </w:pPr>
      <w:r>
        <w:rPr>
          <w:sz w:val="21"/>
        </w:rPr>
        <w:t>“259…The coalescence of Articles 14, 19 and 21 has brought into being a jurisprudence which recognises the inter- relationship between rights. That is how the requirements of fairness an</w:t>
      </w:r>
      <w:r>
        <w:rPr>
          <w:sz w:val="21"/>
        </w:rPr>
        <w:t>d non-discrimination animate both the substantive and procedural aspects of Article 21…</w:t>
      </w:r>
      <w:r>
        <w:rPr>
          <w:position w:val="7"/>
          <w:sz w:val="14"/>
        </w:rPr>
        <w:t>133</w:t>
      </w:r>
    </w:p>
    <w:p w:rsidR="003B2FC0" w:rsidRDefault="00052A49">
      <w:pPr>
        <w:spacing w:before="197" w:line="276" w:lineRule="auto"/>
        <w:ind w:left="1840" w:right="2279"/>
        <w:jc w:val="both"/>
        <w:rPr>
          <w:sz w:val="14"/>
        </w:rPr>
      </w:pPr>
      <w:r>
        <w:rPr>
          <w:sz w:val="21"/>
        </w:rPr>
        <w:t>260…At a substantive level, the constitutional values underlying each Article in the Chapter on fundamental rights animate the meaning of the others. This developmen</w:t>
      </w:r>
      <w:r>
        <w:rPr>
          <w:sz w:val="21"/>
        </w:rPr>
        <w:t>t of the law has followed a natural evolution. The basis of this development after all is that every aspect of the diverse guarantees of fundamental rights deals with human beings. Every element together with others contributes in the composition of the hu</w:t>
      </w:r>
      <w:r>
        <w:rPr>
          <w:sz w:val="21"/>
        </w:rPr>
        <w:t>man personality. In the very nature of things, no element can be read in a manner disjunctive from the composite whole.”</w:t>
      </w:r>
      <w:r>
        <w:rPr>
          <w:position w:val="7"/>
          <w:sz w:val="14"/>
        </w:rPr>
        <w:t>134</w:t>
      </w:r>
    </w:p>
    <w:p w:rsidR="003B2FC0" w:rsidRDefault="003B2FC0">
      <w:pPr>
        <w:rPr>
          <w:sz w:val="24"/>
        </w:rPr>
      </w:pPr>
    </w:p>
    <w:p w:rsidR="003B2FC0" w:rsidRDefault="003B2FC0">
      <w:pPr>
        <w:rPr>
          <w:sz w:val="24"/>
        </w:rPr>
      </w:pPr>
    </w:p>
    <w:p w:rsidR="003B2FC0" w:rsidRDefault="00052A49">
      <w:pPr>
        <w:spacing w:before="143" w:line="475" w:lineRule="auto"/>
        <w:ind w:left="400" w:right="435"/>
        <w:jc w:val="both"/>
        <w:rPr>
          <w:sz w:val="26"/>
        </w:rPr>
      </w:pPr>
      <w:r>
        <w:rPr>
          <w:sz w:val="26"/>
        </w:rPr>
        <w:t xml:space="preserve">Responding to the reasoning employed in </w:t>
      </w:r>
      <w:r>
        <w:rPr>
          <w:b/>
          <w:sz w:val="26"/>
        </w:rPr>
        <w:t>Narasu</w:t>
      </w:r>
      <w:r>
        <w:rPr>
          <w:sz w:val="26"/>
        </w:rPr>
        <w:t xml:space="preserve">, </w:t>
      </w:r>
      <w:r>
        <w:rPr>
          <w:b/>
          <w:sz w:val="26"/>
        </w:rPr>
        <w:t>A M Bhattacharjee i</w:t>
      </w:r>
      <w:r>
        <w:rPr>
          <w:sz w:val="26"/>
        </w:rPr>
        <w:t>n his work ‘Matrimonial Laws and the Constitution’,</w:t>
      </w:r>
      <w:r>
        <w:rPr>
          <w:position w:val="9"/>
          <w:sz w:val="17"/>
        </w:rPr>
        <w:t xml:space="preserve">135 </w:t>
      </w:r>
      <w:r>
        <w:rPr>
          <w:sz w:val="26"/>
        </w:rPr>
        <w:t>writes:</w:t>
      </w:r>
    </w:p>
    <w:p w:rsidR="003B2FC0" w:rsidRDefault="00052A49">
      <w:pPr>
        <w:spacing w:before="206" w:line="276" w:lineRule="auto"/>
        <w:ind w:left="1840" w:right="2282"/>
        <w:jc w:val="both"/>
        <w:rPr>
          <w:sz w:val="21"/>
        </w:rPr>
      </w:pPr>
      <w:r>
        <w:rPr>
          <w:sz w:val="21"/>
        </w:rPr>
        <w:t>“…the provisions of Article 15(3) may also appear to be unnecessary to the extent that it refers to “children”. Article 15(1) prohibiting discrimination on the ground of religion, race, caste, sex or place of birth does not prohibit any differential</w:t>
      </w:r>
    </w:p>
    <w:p w:rsidR="003B2FC0" w:rsidRDefault="003B2FC0">
      <w:pPr>
        <w:rPr>
          <w:sz w:val="20"/>
        </w:rPr>
      </w:pPr>
    </w:p>
    <w:p w:rsidR="003B2FC0" w:rsidRDefault="003B2FC0">
      <w:pPr>
        <w:spacing w:before="5"/>
        <w:rPr>
          <w:sz w:val="11"/>
        </w:rPr>
      </w:pPr>
      <w:r w:rsidRPr="003B2FC0">
        <w:pict>
          <v:line id="_x0000_s1078" style="position:absolute;z-index:251637248;mso-wrap-distance-left:0;mso-wrap-distance-right:0;mso-position-horizontal-relative:page" from="1in,8.95pt" to="216.05pt,8.95pt" strokeweight=".72pt">
            <w10:wrap type="topAndBottom" anchorx="page"/>
          </v:line>
        </w:pict>
      </w:r>
    </w:p>
    <w:p w:rsidR="003B2FC0" w:rsidRDefault="00052A49">
      <w:pPr>
        <w:spacing w:before="67" w:line="209" w:lineRule="exact"/>
        <w:ind w:left="400"/>
        <w:rPr>
          <w:sz w:val="18"/>
        </w:rPr>
      </w:pPr>
      <w:r>
        <w:rPr>
          <w:position w:val="6"/>
          <w:sz w:val="12"/>
        </w:rPr>
        <w:t xml:space="preserve">132  </w:t>
      </w:r>
      <w:r>
        <w:rPr>
          <w:sz w:val="18"/>
        </w:rPr>
        <w:t>Ibid, at page</w:t>
      </w:r>
      <w:r>
        <w:rPr>
          <w:spacing w:val="-23"/>
          <w:sz w:val="18"/>
        </w:rPr>
        <w:t xml:space="preserve"> </w:t>
      </w:r>
      <w:r>
        <w:rPr>
          <w:sz w:val="18"/>
        </w:rPr>
        <w:t>413</w:t>
      </w:r>
    </w:p>
    <w:p w:rsidR="003B2FC0" w:rsidRDefault="00052A49">
      <w:pPr>
        <w:spacing w:line="206" w:lineRule="exact"/>
        <w:ind w:left="400"/>
        <w:rPr>
          <w:sz w:val="18"/>
        </w:rPr>
      </w:pPr>
      <w:r>
        <w:rPr>
          <w:position w:val="6"/>
          <w:sz w:val="12"/>
        </w:rPr>
        <w:t xml:space="preserve">133  </w:t>
      </w:r>
      <w:r>
        <w:rPr>
          <w:sz w:val="18"/>
        </w:rPr>
        <w:t>Ibid, at page</w:t>
      </w:r>
      <w:r>
        <w:rPr>
          <w:spacing w:val="-23"/>
          <w:sz w:val="18"/>
        </w:rPr>
        <w:t xml:space="preserve"> </w:t>
      </w:r>
      <w:r>
        <w:rPr>
          <w:sz w:val="18"/>
        </w:rPr>
        <w:t>477</w:t>
      </w:r>
    </w:p>
    <w:p w:rsidR="003B2FC0" w:rsidRDefault="00052A49">
      <w:pPr>
        <w:spacing w:line="208" w:lineRule="exact"/>
        <w:ind w:left="400"/>
        <w:rPr>
          <w:sz w:val="18"/>
        </w:rPr>
      </w:pPr>
      <w:r>
        <w:rPr>
          <w:position w:val="6"/>
          <w:sz w:val="12"/>
        </w:rPr>
        <w:t xml:space="preserve">134  </w:t>
      </w:r>
      <w:r>
        <w:rPr>
          <w:sz w:val="18"/>
        </w:rPr>
        <w:t>Ibid, at page</w:t>
      </w:r>
      <w:r>
        <w:rPr>
          <w:spacing w:val="-23"/>
          <w:sz w:val="18"/>
        </w:rPr>
        <w:t xml:space="preserve"> </w:t>
      </w:r>
      <w:r>
        <w:rPr>
          <w:sz w:val="18"/>
        </w:rPr>
        <w:t>478</w:t>
      </w:r>
    </w:p>
    <w:p w:rsidR="003B2FC0" w:rsidRDefault="00052A49">
      <w:pPr>
        <w:spacing w:line="210" w:lineRule="exact"/>
        <w:ind w:left="400"/>
        <w:rPr>
          <w:sz w:val="18"/>
        </w:rPr>
      </w:pPr>
      <w:r>
        <w:rPr>
          <w:position w:val="6"/>
          <w:sz w:val="12"/>
        </w:rPr>
        <w:t xml:space="preserve">135 </w:t>
      </w:r>
      <w:r>
        <w:rPr>
          <w:sz w:val="18"/>
        </w:rPr>
        <w:t>A M Bhattacharjee, Matrimonial Laws and the Constitution, Eastern Law House (1996) at page 32</w:t>
      </w:r>
    </w:p>
    <w:p w:rsidR="003B2FC0" w:rsidRDefault="003B2FC0">
      <w:pPr>
        <w:spacing w:line="210" w:lineRule="exact"/>
        <w:rPr>
          <w:sz w:val="18"/>
        </w:rPr>
        <w:sectPr w:rsidR="003B2FC0">
          <w:footerReference w:type="default" r:id="rId388"/>
          <w:pgSz w:w="11910" w:h="16840"/>
          <w:pgMar w:top="1080" w:right="980" w:bottom="1200" w:left="1040" w:header="708" w:footer="1000" w:gutter="0"/>
          <w:pgNumType w:start="134"/>
          <w:cols w:space="720"/>
        </w:sectPr>
      </w:pPr>
    </w:p>
    <w:p w:rsidR="003B2FC0" w:rsidRDefault="003B2FC0">
      <w:pPr>
        <w:spacing w:before="6"/>
        <w:rPr>
          <w:sz w:val="21"/>
        </w:rPr>
      </w:pPr>
    </w:p>
    <w:p w:rsidR="003B2FC0" w:rsidRDefault="00052A49">
      <w:pPr>
        <w:spacing w:before="94" w:line="276" w:lineRule="auto"/>
        <w:ind w:left="1840" w:right="2280"/>
        <w:jc w:val="both"/>
        <w:rPr>
          <w:sz w:val="21"/>
        </w:rPr>
      </w:pPr>
      <w:r>
        <w:rPr>
          <w:sz w:val="21"/>
        </w:rPr>
        <w:t>treatment on the ground of age. And, therefore, if age is thus not a prohibited basis for differentiation, it was not necessary to provide any express saving clause in Article 15(3) to the effect that “nothing in this Article shall prevent the State from m</w:t>
      </w:r>
      <w:r>
        <w:rPr>
          <w:sz w:val="21"/>
        </w:rPr>
        <w:t>aking</w:t>
      </w:r>
      <w:r>
        <w:rPr>
          <w:spacing w:val="-13"/>
          <w:sz w:val="21"/>
        </w:rPr>
        <w:t xml:space="preserve"> </w:t>
      </w:r>
      <w:r>
        <w:rPr>
          <w:sz w:val="21"/>
        </w:rPr>
        <w:t>any</w:t>
      </w:r>
      <w:r>
        <w:rPr>
          <w:spacing w:val="-15"/>
          <w:sz w:val="21"/>
        </w:rPr>
        <w:t xml:space="preserve"> </w:t>
      </w:r>
      <w:r>
        <w:rPr>
          <w:sz w:val="21"/>
        </w:rPr>
        <w:t>special</w:t>
      </w:r>
      <w:r>
        <w:rPr>
          <w:spacing w:val="-12"/>
          <w:sz w:val="21"/>
        </w:rPr>
        <w:t xml:space="preserve"> </w:t>
      </w:r>
      <w:r>
        <w:rPr>
          <w:sz w:val="21"/>
        </w:rPr>
        <w:t>provisions</w:t>
      </w:r>
      <w:r>
        <w:rPr>
          <w:spacing w:val="-13"/>
          <w:sz w:val="21"/>
        </w:rPr>
        <w:t xml:space="preserve"> </w:t>
      </w:r>
      <w:r>
        <w:rPr>
          <w:sz w:val="21"/>
        </w:rPr>
        <w:t>for</w:t>
      </w:r>
      <w:r>
        <w:rPr>
          <w:spacing w:val="-13"/>
          <w:sz w:val="21"/>
        </w:rPr>
        <w:t xml:space="preserve"> </w:t>
      </w:r>
      <w:r>
        <w:rPr>
          <w:sz w:val="21"/>
        </w:rPr>
        <w:t>children,”</w:t>
      </w:r>
      <w:r>
        <w:rPr>
          <w:spacing w:val="-15"/>
          <w:sz w:val="21"/>
        </w:rPr>
        <w:t xml:space="preserve"> </w:t>
      </w:r>
      <w:r>
        <w:rPr>
          <w:sz w:val="21"/>
        </w:rPr>
        <w:t>because</w:t>
      </w:r>
      <w:r>
        <w:rPr>
          <w:spacing w:val="-15"/>
          <w:sz w:val="21"/>
        </w:rPr>
        <w:t xml:space="preserve"> </w:t>
      </w:r>
      <w:r>
        <w:rPr>
          <w:sz w:val="21"/>
        </w:rPr>
        <w:t>nothing</w:t>
      </w:r>
      <w:r>
        <w:rPr>
          <w:spacing w:val="-13"/>
          <w:sz w:val="21"/>
        </w:rPr>
        <w:t xml:space="preserve"> </w:t>
      </w:r>
      <w:r>
        <w:rPr>
          <w:sz w:val="21"/>
        </w:rPr>
        <w:t>in Article 15(1) or Article 15(2) would forbid such special provision…There, the mere fact that some matter has been specifically dealt with by one or more Articles in Part III or anywhere</w:t>
      </w:r>
      <w:r>
        <w:rPr>
          <w:spacing w:val="-9"/>
          <w:sz w:val="21"/>
        </w:rPr>
        <w:t xml:space="preserve"> </w:t>
      </w:r>
      <w:r>
        <w:rPr>
          <w:sz w:val="21"/>
        </w:rPr>
        <w:t>else,</w:t>
      </w:r>
      <w:r>
        <w:rPr>
          <w:spacing w:val="-9"/>
          <w:sz w:val="21"/>
        </w:rPr>
        <w:t xml:space="preserve"> </w:t>
      </w:r>
      <w:r>
        <w:rPr>
          <w:sz w:val="21"/>
        </w:rPr>
        <w:t>w</w:t>
      </w:r>
      <w:r>
        <w:rPr>
          <w:sz w:val="21"/>
        </w:rPr>
        <w:t>ould</w:t>
      </w:r>
      <w:r>
        <w:rPr>
          <w:spacing w:val="-7"/>
          <w:sz w:val="21"/>
        </w:rPr>
        <w:t xml:space="preserve"> </w:t>
      </w:r>
      <w:r>
        <w:rPr>
          <w:sz w:val="21"/>
        </w:rPr>
        <w:t>not,</w:t>
      </w:r>
      <w:r>
        <w:rPr>
          <w:spacing w:val="-9"/>
          <w:sz w:val="21"/>
        </w:rPr>
        <w:t xml:space="preserve"> </w:t>
      </w:r>
      <w:r>
        <w:rPr>
          <w:sz w:val="21"/>
        </w:rPr>
        <w:t>by</w:t>
      </w:r>
      <w:r>
        <w:rPr>
          <w:spacing w:val="-11"/>
          <w:sz w:val="21"/>
        </w:rPr>
        <w:t xml:space="preserve"> </w:t>
      </w:r>
      <w:r>
        <w:rPr>
          <w:sz w:val="21"/>
        </w:rPr>
        <w:t>itself,</w:t>
      </w:r>
      <w:r>
        <w:rPr>
          <w:spacing w:val="-8"/>
          <w:sz w:val="21"/>
        </w:rPr>
        <w:t xml:space="preserve"> </w:t>
      </w:r>
      <w:r>
        <w:rPr>
          <w:sz w:val="21"/>
        </w:rPr>
        <w:t>warrant</w:t>
      </w:r>
      <w:r>
        <w:rPr>
          <w:spacing w:val="-9"/>
          <w:sz w:val="21"/>
        </w:rPr>
        <w:t xml:space="preserve"> </w:t>
      </w:r>
      <w:r>
        <w:rPr>
          <w:sz w:val="21"/>
        </w:rPr>
        <w:t>the</w:t>
      </w:r>
      <w:r>
        <w:rPr>
          <w:spacing w:val="-8"/>
          <w:sz w:val="21"/>
        </w:rPr>
        <w:t xml:space="preserve"> </w:t>
      </w:r>
      <w:r>
        <w:rPr>
          <w:sz w:val="21"/>
        </w:rPr>
        <w:t>conclusion</w:t>
      </w:r>
      <w:r>
        <w:rPr>
          <w:spacing w:val="-7"/>
          <w:sz w:val="21"/>
        </w:rPr>
        <w:t xml:space="preserve"> </w:t>
      </w:r>
      <w:r>
        <w:rPr>
          <w:sz w:val="21"/>
        </w:rPr>
        <w:t>that the same has not been or cannot be covered by or included</w:t>
      </w:r>
      <w:r>
        <w:rPr>
          <w:spacing w:val="-27"/>
          <w:sz w:val="21"/>
        </w:rPr>
        <w:t xml:space="preserve"> </w:t>
      </w:r>
      <w:r>
        <w:rPr>
          <w:sz w:val="21"/>
        </w:rPr>
        <w:t>or dealt with again in any other Article or Articles in Part III or elsewhere.”</w:t>
      </w:r>
    </w:p>
    <w:p w:rsidR="003B2FC0" w:rsidRDefault="003B2FC0">
      <w:pPr>
        <w:rPr>
          <w:sz w:val="24"/>
        </w:rPr>
      </w:pPr>
    </w:p>
    <w:p w:rsidR="003B2FC0" w:rsidRDefault="003B2FC0">
      <w:pPr>
        <w:spacing w:before="1"/>
        <w:rPr>
          <w:sz w:val="35"/>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The</w:t>
      </w:r>
      <w:r>
        <w:rPr>
          <w:spacing w:val="-12"/>
          <w:sz w:val="26"/>
        </w:rPr>
        <w:t xml:space="preserve"> </w:t>
      </w:r>
      <w:r>
        <w:rPr>
          <w:sz w:val="26"/>
        </w:rPr>
        <w:t>rights</w:t>
      </w:r>
      <w:r>
        <w:rPr>
          <w:spacing w:val="-9"/>
          <w:sz w:val="26"/>
        </w:rPr>
        <w:t xml:space="preserve"> </w:t>
      </w:r>
      <w:r>
        <w:rPr>
          <w:sz w:val="26"/>
        </w:rPr>
        <w:t>guaranteed</w:t>
      </w:r>
      <w:r>
        <w:rPr>
          <w:spacing w:val="-11"/>
          <w:sz w:val="26"/>
        </w:rPr>
        <w:t xml:space="preserve"> </w:t>
      </w:r>
      <w:r>
        <w:rPr>
          <w:sz w:val="26"/>
        </w:rPr>
        <w:t>under</w:t>
      </w:r>
      <w:r>
        <w:rPr>
          <w:spacing w:val="-9"/>
          <w:sz w:val="26"/>
        </w:rPr>
        <w:t xml:space="preserve"> </w:t>
      </w:r>
      <w:r>
        <w:rPr>
          <w:sz w:val="26"/>
        </w:rPr>
        <w:t>Part</w:t>
      </w:r>
      <w:r>
        <w:rPr>
          <w:spacing w:val="-8"/>
          <w:sz w:val="26"/>
        </w:rPr>
        <w:t xml:space="preserve"> </w:t>
      </w:r>
      <w:r>
        <w:rPr>
          <w:sz w:val="26"/>
        </w:rPr>
        <w:t>III</w:t>
      </w:r>
      <w:r>
        <w:rPr>
          <w:spacing w:val="-12"/>
          <w:sz w:val="26"/>
        </w:rPr>
        <w:t xml:space="preserve"> </w:t>
      </w:r>
      <w:r>
        <w:rPr>
          <w:sz w:val="26"/>
        </w:rPr>
        <w:t>of</w:t>
      </w:r>
      <w:r>
        <w:rPr>
          <w:spacing w:val="-10"/>
          <w:sz w:val="26"/>
        </w:rPr>
        <w:t xml:space="preserve"> </w:t>
      </w:r>
      <w:r>
        <w:rPr>
          <w:sz w:val="26"/>
        </w:rPr>
        <w:t>the</w:t>
      </w:r>
      <w:r>
        <w:rPr>
          <w:spacing w:val="-9"/>
          <w:sz w:val="26"/>
        </w:rPr>
        <w:t xml:space="preserve"> </w:t>
      </w:r>
      <w:r>
        <w:rPr>
          <w:sz w:val="26"/>
        </w:rPr>
        <w:t>Constitution</w:t>
      </w:r>
      <w:r>
        <w:rPr>
          <w:spacing w:val="-12"/>
          <w:sz w:val="26"/>
        </w:rPr>
        <w:t xml:space="preserve"> </w:t>
      </w:r>
      <w:r>
        <w:rPr>
          <w:sz w:val="26"/>
        </w:rPr>
        <w:t>have</w:t>
      </w:r>
      <w:r>
        <w:rPr>
          <w:spacing w:val="-8"/>
          <w:sz w:val="26"/>
        </w:rPr>
        <w:t xml:space="preserve"> </w:t>
      </w:r>
      <w:r>
        <w:rPr>
          <w:sz w:val="26"/>
        </w:rPr>
        <w:t>the</w:t>
      </w:r>
      <w:r>
        <w:rPr>
          <w:spacing w:val="-12"/>
          <w:sz w:val="26"/>
        </w:rPr>
        <w:t xml:space="preserve"> </w:t>
      </w:r>
      <w:r>
        <w:rPr>
          <w:sz w:val="26"/>
        </w:rPr>
        <w:t>common thread of individual dignity running through them. There is a degree of overlap in</w:t>
      </w:r>
      <w:r>
        <w:rPr>
          <w:spacing w:val="-17"/>
          <w:sz w:val="26"/>
        </w:rPr>
        <w:t xml:space="preserve"> </w:t>
      </w:r>
      <w:r>
        <w:rPr>
          <w:sz w:val="26"/>
        </w:rPr>
        <w:t>the</w:t>
      </w:r>
      <w:r>
        <w:rPr>
          <w:spacing w:val="-15"/>
          <w:sz w:val="26"/>
        </w:rPr>
        <w:t xml:space="preserve"> </w:t>
      </w:r>
      <w:r>
        <w:rPr>
          <w:sz w:val="26"/>
        </w:rPr>
        <w:t>Articles</w:t>
      </w:r>
      <w:r>
        <w:rPr>
          <w:spacing w:val="-16"/>
          <w:sz w:val="26"/>
        </w:rPr>
        <w:t xml:space="preserve"> </w:t>
      </w:r>
      <w:r>
        <w:rPr>
          <w:sz w:val="26"/>
        </w:rPr>
        <w:t>of</w:t>
      </w:r>
      <w:r>
        <w:rPr>
          <w:spacing w:val="-17"/>
          <w:sz w:val="26"/>
        </w:rPr>
        <w:t xml:space="preserve"> </w:t>
      </w:r>
      <w:r>
        <w:rPr>
          <w:sz w:val="26"/>
        </w:rPr>
        <w:t>the</w:t>
      </w:r>
      <w:r>
        <w:rPr>
          <w:spacing w:val="-14"/>
          <w:sz w:val="26"/>
        </w:rPr>
        <w:t xml:space="preserve"> </w:t>
      </w:r>
      <w:r>
        <w:rPr>
          <w:sz w:val="26"/>
        </w:rPr>
        <w:t>Constitution</w:t>
      </w:r>
      <w:r>
        <w:rPr>
          <w:spacing w:val="-15"/>
          <w:sz w:val="26"/>
        </w:rPr>
        <w:t xml:space="preserve"> </w:t>
      </w:r>
      <w:r>
        <w:rPr>
          <w:sz w:val="26"/>
        </w:rPr>
        <w:t>which</w:t>
      </w:r>
      <w:r>
        <w:rPr>
          <w:spacing w:val="-15"/>
          <w:sz w:val="26"/>
        </w:rPr>
        <w:t xml:space="preserve"> </w:t>
      </w:r>
      <w:r>
        <w:rPr>
          <w:sz w:val="26"/>
        </w:rPr>
        <w:t>recognize</w:t>
      </w:r>
      <w:r>
        <w:rPr>
          <w:spacing w:val="-14"/>
          <w:sz w:val="26"/>
        </w:rPr>
        <w:t xml:space="preserve"> </w:t>
      </w:r>
      <w:r>
        <w:rPr>
          <w:sz w:val="26"/>
        </w:rPr>
        <w:t>fundamental</w:t>
      </w:r>
      <w:r>
        <w:rPr>
          <w:spacing w:val="-15"/>
          <w:sz w:val="26"/>
        </w:rPr>
        <w:t xml:space="preserve"> </w:t>
      </w:r>
      <w:r>
        <w:rPr>
          <w:sz w:val="26"/>
        </w:rPr>
        <w:t>human</w:t>
      </w:r>
      <w:r>
        <w:rPr>
          <w:spacing w:val="-14"/>
          <w:sz w:val="26"/>
        </w:rPr>
        <w:t xml:space="preserve"> </w:t>
      </w:r>
      <w:r>
        <w:rPr>
          <w:sz w:val="26"/>
        </w:rPr>
        <w:t>freedoms and they must be construed in the widest sense possible. To say then that the inclusion of</w:t>
      </w:r>
      <w:r>
        <w:rPr>
          <w:sz w:val="26"/>
        </w:rPr>
        <w:t xml:space="preserve"> an Article in the Constitution restricts the wide ambit of the rights guaranteed, cannot be sustained. Article 17 was introduced by the framers to incorporate a specific provision in regard to untouchability. The introduction of Article</w:t>
      </w:r>
      <w:r>
        <w:rPr>
          <w:spacing w:val="-13"/>
          <w:sz w:val="26"/>
        </w:rPr>
        <w:t xml:space="preserve"> </w:t>
      </w:r>
      <w:r>
        <w:rPr>
          <w:sz w:val="26"/>
        </w:rPr>
        <w:t>17</w:t>
      </w:r>
      <w:r>
        <w:rPr>
          <w:spacing w:val="-13"/>
          <w:sz w:val="26"/>
        </w:rPr>
        <w:t xml:space="preserve"> </w:t>
      </w:r>
      <w:r>
        <w:rPr>
          <w:sz w:val="26"/>
        </w:rPr>
        <w:t>reflects</w:t>
      </w:r>
      <w:r>
        <w:rPr>
          <w:spacing w:val="-13"/>
          <w:sz w:val="26"/>
        </w:rPr>
        <w:t xml:space="preserve"> </w:t>
      </w:r>
      <w:r>
        <w:rPr>
          <w:sz w:val="26"/>
        </w:rPr>
        <w:t>the</w:t>
      </w:r>
      <w:r>
        <w:rPr>
          <w:spacing w:val="-11"/>
          <w:sz w:val="26"/>
        </w:rPr>
        <w:t xml:space="preserve"> </w:t>
      </w:r>
      <w:r>
        <w:rPr>
          <w:sz w:val="26"/>
        </w:rPr>
        <w:t>tr</w:t>
      </w:r>
      <w:r>
        <w:rPr>
          <w:sz w:val="26"/>
        </w:rPr>
        <w:t>ansformative</w:t>
      </w:r>
      <w:r>
        <w:rPr>
          <w:spacing w:val="-13"/>
          <w:sz w:val="26"/>
        </w:rPr>
        <w:t xml:space="preserve"> </w:t>
      </w:r>
      <w:r>
        <w:rPr>
          <w:sz w:val="26"/>
        </w:rPr>
        <w:t>role</w:t>
      </w:r>
      <w:r>
        <w:rPr>
          <w:spacing w:val="-11"/>
          <w:sz w:val="26"/>
        </w:rPr>
        <w:t xml:space="preserve"> </w:t>
      </w:r>
      <w:r>
        <w:rPr>
          <w:sz w:val="26"/>
        </w:rPr>
        <w:t>and</w:t>
      </w:r>
      <w:r>
        <w:rPr>
          <w:spacing w:val="-11"/>
          <w:sz w:val="26"/>
        </w:rPr>
        <w:t xml:space="preserve"> </w:t>
      </w:r>
      <w:r>
        <w:rPr>
          <w:sz w:val="26"/>
        </w:rPr>
        <w:t>vision</w:t>
      </w:r>
      <w:r>
        <w:rPr>
          <w:spacing w:val="-13"/>
          <w:sz w:val="26"/>
        </w:rPr>
        <w:t xml:space="preserve"> </w:t>
      </w:r>
      <w:r>
        <w:rPr>
          <w:sz w:val="26"/>
        </w:rPr>
        <w:t>of</w:t>
      </w:r>
      <w:r>
        <w:rPr>
          <w:spacing w:val="-11"/>
          <w:sz w:val="26"/>
        </w:rPr>
        <w:t xml:space="preserve"> </w:t>
      </w:r>
      <w:r>
        <w:rPr>
          <w:sz w:val="26"/>
        </w:rPr>
        <w:t>the</w:t>
      </w:r>
      <w:r>
        <w:rPr>
          <w:spacing w:val="-11"/>
          <w:sz w:val="26"/>
        </w:rPr>
        <w:t xml:space="preserve"> </w:t>
      </w:r>
      <w:r>
        <w:rPr>
          <w:sz w:val="26"/>
        </w:rPr>
        <w:t>Constitution.</w:t>
      </w:r>
      <w:r>
        <w:rPr>
          <w:spacing w:val="-11"/>
          <w:sz w:val="26"/>
        </w:rPr>
        <w:t xml:space="preserve"> </w:t>
      </w:r>
      <w:r>
        <w:rPr>
          <w:sz w:val="26"/>
        </w:rPr>
        <w:t>It</w:t>
      </w:r>
      <w:r>
        <w:rPr>
          <w:spacing w:val="-13"/>
          <w:sz w:val="26"/>
        </w:rPr>
        <w:t xml:space="preserve"> </w:t>
      </w:r>
      <w:r>
        <w:rPr>
          <w:sz w:val="26"/>
        </w:rPr>
        <w:t>brings focus upon centuries of discrimination in the social structure and posits the</w:t>
      </w:r>
      <w:r>
        <w:rPr>
          <w:spacing w:val="-37"/>
          <w:sz w:val="26"/>
        </w:rPr>
        <w:t xml:space="preserve"> </w:t>
      </w:r>
      <w:r>
        <w:rPr>
          <w:sz w:val="26"/>
        </w:rPr>
        <w:t>role of the Constitution to bring justice to the oppressed and marginalized. The penumbra of a particular article in P</w:t>
      </w:r>
      <w:r>
        <w:rPr>
          <w:sz w:val="26"/>
        </w:rPr>
        <w:t>art III which deals with a specific facet of freedom may exist elsewhere in Part III. That is because all freedoms share an inseparable connect. They exist together and it is in their co-existence that the vision of dignity, liberty and equality is realize</w:t>
      </w:r>
      <w:r>
        <w:rPr>
          <w:sz w:val="26"/>
        </w:rPr>
        <w:t xml:space="preserve">d. As noted in </w:t>
      </w:r>
      <w:r>
        <w:rPr>
          <w:b/>
          <w:sz w:val="26"/>
        </w:rPr>
        <w:t>Puttaswamy</w:t>
      </w:r>
      <w:r>
        <w:rPr>
          <w:sz w:val="26"/>
        </w:rPr>
        <w:t xml:space="preserve">, “the Constituent Assembly thought it fit that some aspects of liberty require a more emphatic declaration so as to restrict the authority of the State to abridge </w:t>
      </w:r>
      <w:r>
        <w:rPr>
          <w:spacing w:val="4"/>
          <w:sz w:val="26"/>
        </w:rPr>
        <w:t xml:space="preserve">or </w:t>
      </w:r>
      <w:r>
        <w:rPr>
          <w:sz w:val="26"/>
        </w:rPr>
        <w:t xml:space="preserve">curtail them”. The rationale adopted by Justice Gajendragadkar in </w:t>
      </w:r>
      <w:r>
        <w:rPr>
          <w:b/>
          <w:sz w:val="26"/>
        </w:rPr>
        <w:t>Narasu</w:t>
      </w:r>
      <w:r>
        <w:rPr>
          <w:b/>
          <w:spacing w:val="24"/>
          <w:sz w:val="26"/>
        </w:rPr>
        <w:t xml:space="preserve"> </w:t>
      </w:r>
      <w:r>
        <w:rPr>
          <w:sz w:val="26"/>
        </w:rPr>
        <w:t>for</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9"/>
        <w:jc w:val="both"/>
        <w:rPr>
          <w:sz w:val="26"/>
        </w:rPr>
      </w:pPr>
      <w:r>
        <w:rPr>
          <w:sz w:val="26"/>
        </w:rPr>
        <w:t>excluding custom and usage from ‘laws in force’ under Article 13(1) read with Article</w:t>
      </w:r>
      <w:r>
        <w:rPr>
          <w:spacing w:val="-14"/>
          <w:sz w:val="26"/>
        </w:rPr>
        <w:t xml:space="preserve"> </w:t>
      </w:r>
      <w:r>
        <w:rPr>
          <w:sz w:val="26"/>
        </w:rPr>
        <w:t>13(3)(b)</w:t>
      </w:r>
      <w:r>
        <w:rPr>
          <w:spacing w:val="-12"/>
          <w:sz w:val="26"/>
        </w:rPr>
        <w:t xml:space="preserve"> </w:t>
      </w:r>
      <w:r>
        <w:rPr>
          <w:sz w:val="26"/>
        </w:rPr>
        <w:t>is</w:t>
      </w:r>
      <w:r>
        <w:rPr>
          <w:spacing w:val="-11"/>
          <w:sz w:val="26"/>
        </w:rPr>
        <w:t xml:space="preserve"> </w:t>
      </w:r>
      <w:r>
        <w:rPr>
          <w:sz w:val="26"/>
        </w:rPr>
        <w:t>unsustainable</w:t>
      </w:r>
      <w:r>
        <w:rPr>
          <w:spacing w:val="-13"/>
          <w:sz w:val="26"/>
        </w:rPr>
        <w:t xml:space="preserve"> </w:t>
      </w:r>
      <w:r>
        <w:rPr>
          <w:sz w:val="26"/>
        </w:rPr>
        <w:t>both</w:t>
      </w:r>
      <w:r>
        <w:rPr>
          <w:spacing w:val="-13"/>
          <w:sz w:val="26"/>
        </w:rPr>
        <w:t xml:space="preserve"> </w:t>
      </w:r>
      <w:r>
        <w:rPr>
          <w:sz w:val="26"/>
        </w:rPr>
        <w:t>doctrinally</w:t>
      </w:r>
      <w:r>
        <w:rPr>
          <w:spacing w:val="-15"/>
          <w:sz w:val="26"/>
        </w:rPr>
        <w:t xml:space="preserve"> </w:t>
      </w:r>
      <w:r>
        <w:rPr>
          <w:sz w:val="26"/>
        </w:rPr>
        <w:t>and</w:t>
      </w:r>
      <w:r>
        <w:rPr>
          <w:spacing w:val="-13"/>
          <w:sz w:val="26"/>
        </w:rPr>
        <w:t xml:space="preserve"> </w:t>
      </w:r>
      <w:r>
        <w:rPr>
          <w:sz w:val="26"/>
        </w:rPr>
        <w:t>from</w:t>
      </w:r>
      <w:r>
        <w:rPr>
          <w:spacing w:val="-13"/>
          <w:sz w:val="26"/>
        </w:rPr>
        <w:t xml:space="preserve"> </w:t>
      </w:r>
      <w:r>
        <w:rPr>
          <w:sz w:val="26"/>
        </w:rPr>
        <w:t>the</w:t>
      </w:r>
      <w:r>
        <w:rPr>
          <w:spacing w:val="-13"/>
          <w:sz w:val="26"/>
        </w:rPr>
        <w:t xml:space="preserve"> </w:t>
      </w:r>
      <w:r>
        <w:rPr>
          <w:sz w:val="26"/>
        </w:rPr>
        <w:t>perspective</w:t>
      </w:r>
      <w:r>
        <w:rPr>
          <w:spacing w:val="-13"/>
          <w:sz w:val="26"/>
        </w:rPr>
        <w:t xml:space="preserve"> </w:t>
      </w:r>
      <w:r>
        <w:rPr>
          <w:sz w:val="26"/>
        </w:rPr>
        <w:t>of</w:t>
      </w:r>
      <w:r>
        <w:rPr>
          <w:spacing w:val="-13"/>
          <w:sz w:val="26"/>
        </w:rPr>
        <w:t xml:space="preserve"> </w:t>
      </w:r>
      <w:r>
        <w:rPr>
          <w:sz w:val="26"/>
        </w:rPr>
        <w:t>the precedent of this</w:t>
      </w:r>
      <w:r>
        <w:rPr>
          <w:spacing w:val="-2"/>
          <w:sz w:val="26"/>
        </w:rPr>
        <w:t xml:space="preserve"> </w:t>
      </w:r>
      <w:r>
        <w:rPr>
          <w:sz w:val="26"/>
        </w:rPr>
        <w:t>Court.</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9" w:firstLine="0"/>
        <w:jc w:val="both"/>
        <w:rPr>
          <w:sz w:val="26"/>
        </w:rPr>
      </w:pPr>
      <w:r>
        <w:rPr>
          <w:sz w:val="26"/>
        </w:rPr>
        <w:t xml:space="preserve">Both Judges in </w:t>
      </w:r>
      <w:r>
        <w:rPr>
          <w:b/>
          <w:sz w:val="26"/>
        </w:rPr>
        <w:t xml:space="preserve">Narasu </w:t>
      </w:r>
      <w:r>
        <w:rPr>
          <w:sz w:val="26"/>
        </w:rPr>
        <w:t>relied on the phraseology of Section 112 of the Government of India Act 1915 which enjoined the High Courts in Calcutta, Madras, and Bombay to decide certain matters in the exercise of their original jur</w:t>
      </w:r>
      <w:r>
        <w:rPr>
          <w:sz w:val="26"/>
        </w:rPr>
        <w:t xml:space="preserve">isdiction in accordance with the personal law or custom of the parties to the suit, and of the defendant, where the plaintiff and defendant are subject </w:t>
      </w:r>
      <w:r>
        <w:rPr>
          <w:spacing w:val="-6"/>
          <w:sz w:val="26"/>
        </w:rPr>
        <w:t xml:space="preserve">to </w:t>
      </w:r>
      <w:r>
        <w:rPr>
          <w:sz w:val="26"/>
        </w:rPr>
        <w:t>different personal laws or</w:t>
      </w:r>
      <w:r>
        <w:rPr>
          <w:spacing w:val="-1"/>
          <w:sz w:val="26"/>
        </w:rPr>
        <w:t xml:space="preserve"> </w:t>
      </w:r>
      <w:r>
        <w:rPr>
          <w:sz w:val="26"/>
        </w:rPr>
        <w:t>custom:</w:t>
      </w:r>
    </w:p>
    <w:p w:rsidR="003B2FC0" w:rsidRDefault="00052A49">
      <w:pPr>
        <w:spacing w:before="199" w:line="276" w:lineRule="auto"/>
        <w:ind w:left="1840" w:right="2279"/>
        <w:jc w:val="both"/>
        <w:rPr>
          <w:sz w:val="21"/>
        </w:rPr>
      </w:pPr>
      <w:r>
        <w:rPr>
          <w:sz w:val="21"/>
        </w:rPr>
        <w:t>“112.</w:t>
      </w:r>
      <w:r>
        <w:rPr>
          <w:spacing w:val="-10"/>
          <w:sz w:val="21"/>
        </w:rPr>
        <w:t xml:space="preserve"> </w:t>
      </w:r>
      <w:r>
        <w:rPr>
          <w:sz w:val="21"/>
        </w:rPr>
        <w:t>The</w:t>
      </w:r>
      <w:r>
        <w:rPr>
          <w:spacing w:val="-8"/>
          <w:sz w:val="21"/>
        </w:rPr>
        <w:t xml:space="preserve"> </w:t>
      </w:r>
      <w:r>
        <w:rPr>
          <w:sz w:val="21"/>
        </w:rPr>
        <w:t>High</w:t>
      </w:r>
      <w:r>
        <w:rPr>
          <w:spacing w:val="-8"/>
          <w:sz w:val="21"/>
        </w:rPr>
        <w:t xml:space="preserve"> </w:t>
      </w:r>
      <w:r>
        <w:rPr>
          <w:sz w:val="21"/>
        </w:rPr>
        <w:t>Courts</w:t>
      </w:r>
      <w:r>
        <w:rPr>
          <w:spacing w:val="-8"/>
          <w:sz w:val="21"/>
        </w:rPr>
        <w:t xml:space="preserve"> </w:t>
      </w:r>
      <w:r>
        <w:rPr>
          <w:sz w:val="21"/>
        </w:rPr>
        <w:t>at</w:t>
      </w:r>
      <w:r>
        <w:rPr>
          <w:spacing w:val="-11"/>
          <w:sz w:val="21"/>
        </w:rPr>
        <w:t xml:space="preserve"> </w:t>
      </w:r>
      <w:r>
        <w:rPr>
          <w:sz w:val="21"/>
        </w:rPr>
        <w:t>Calcutta,</w:t>
      </w:r>
      <w:r>
        <w:rPr>
          <w:spacing w:val="-9"/>
          <w:sz w:val="21"/>
        </w:rPr>
        <w:t xml:space="preserve"> </w:t>
      </w:r>
      <w:r>
        <w:rPr>
          <w:sz w:val="21"/>
        </w:rPr>
        <w:t>Madras</w:t>
      </w:r>
      <w:r>
        <w:rPr>
          <w:spacing w:val="-8"/>
          <w:sz w:val="21"/>
        </w:rPr>
        <w:t xml:space="preserve"> </w:t>
      </w:r>
      <w:r>
        <w:rPr>
          <w:sz w:val="21"/>
        </w:rPr>
        <w:t>and</w:t>
      </w:r>
      <w:r>
        <w:rPr>
          <w:spacing w:val="-8"/>
          <w:sz w:val="21"/>
        </w:rPr>
        <w:t xml:space="preserve"> </w:t>
      </w:r>
      <w:r>
        <w:rPr>
          <w:sz w:val="21"/>
        </w:rPr>
        <w:t>Bombay,</w:t>
      </w:r>
      <w:r>
        <w:rPr>
          <w:spacing w:val="-9"/>
          <w:sz w:val="21"/>
        </w:rPr>
        <w:t xml:space="preserve"> </w:t>
      </w:r>
      <w:r>
        <w:rPr>
          <w:sz w:val="21"/>
        </w:rPr>
        <w:t>in</w:t>
      </w:r>
      <w:r>
        <w:rPr>
          <w:spacing w:val="-8"/>
          <w:sz w:val="21"/>
        </w:rPr>
        <w:t xml:space="preserve"> </w:t>
      </w:r>
      <w:r>
        <w:rPr>
          <w:sz w:val="21"/>
        </w:rPr>
        <w:t>the exercise</w:t>
      </w:r>
      <w:r>
        <w:rPr>
          <w:spacing w:val="-7"/>
          <w:sz w:val="21"/>
        </w:rPr>
        <w:t xml:space="preserve"> </w:t>
      </w:r>
      <w:r>
        <w:rPr>
          <w:sz w:val="21"/>
        </w:rPr>
        <w:t>of</w:t>
      </w:r>
      <w:r>
        <w:rPr>
          <w:spacing w:val="-6"/>
          <w:sz w:val="21"/>
        </w:rPr>
        <w:t xml:space="preserve"> </w:t>
      </w:r>
      <w:r>
        <w:rPr>
          <w:sz w:val="21"/>
        </w:rPr>
        <w:t>their</w:t>
      </w:r>
      <w:r>
        <w:rPr>
          <w:spacing w:val="-7"/>
          <w:sz w:val="21"/>
        </w:rPr>
        <w:t xml:space="preserve"> </w:t>
      </w:r>
      <w:r>
        <w:rPr>
          <w:sz w:val="21"/>
        </w:rPr>
        <w:t>original</w:t>
      </w:r>
      <w:r>
        <w:rPr>
          <w:spacing w:val="-6"/>
          <w:sz w:val="21"/>
        </w:rPr>
        <w:t xml:space="preserve"> </w:t>
      </w:r>
      <w:r>
        <w:rPr>
          <w:sz w:val="21"/>
        </w:rPr>
        <w:t>jurisdiction</w:t>
      </w:r>
      <w:r>
        <w:rPr>
          <w:spacing w:val="-6"/>
          <w:sz w:val="21"/>
        </w:rPr>
        <w:t xml:space="preserve"> </w:t>
      </w:r>
      <w:r>
        <w:rPr>
          <w:sz w:val="21"/>
        </w:rPr>
        <w:t>in</w:t>
      </w:r>
      <w:r>
        <w:rPr>
          <w:spacing w:val="-7"/>
          <w:sz w:val="21"/>
        </w:rPr>
        <w:t xml:space="preserve"> </w:t>
      </w:r>
      <w:r>
        <w:rPr>
          <w:sz w:val="21"/>
        </w:rPr>
        <w:t>suits</w:t>
      </w:r>
      <w:r>
        <w:rPr>
          <w:spacing w:val="-6"/>
          <w:sz w:val="21"/>
        </w:rPr>
        <w:t xml:space="preserve"> </w:t>
      </w:r>
      <w:r>
        <w:rPr>
          <w:sz w:val="21"/>
        </w:rPr>
        <w:t>against</w:t>
      </w:r>
      <w:r>
        <w:rPr>
          <w:spacing w:val="-8"/>
          <w:sz w:val="21"/>
        </w:rPr>
        <w:t xml:space="preserve"> </w:t>
      </w:r>
      <w:r>
        <w:rPr>
          <w:sz w:val="21"/>
        </w:rPr>
        <w:t>inhabitants of Calcutta, Madras or Bombay, as the case may be, shall, in matters of inheritance and succession to lands, rents and goods, and in matters of contract and dealing between party and</w:t>
      </w:r>
      <w:r>
        <w:rPr>
          <w:spacing w:val="-7"/>
          <w:sz w:val="21"/>
        </w:rPr>
        <w:t xml:space="preserve"> </w:t>
      </w:r>
      <w:r>
        <w:rPr>
          <w:sz w:val="21"/>
        </w:rPr>
        <w:t>party,</w:t>
      </w:r>
      <w:r>
        <w:rPr>
          <w:spacing w:val="-8"/>
          <w:sz w:val="21"/>
        </w:rPr>
        <w:t xml:space="preserve"> </w:t>
      </w:r>
      <w:r>
        <w:rPr>
          <w:sz w:val="21"/>
        </w:rPr>
        <w:t>when</w:t>
      </w:r>
      <w:r>
        <w:rPr>
          <w:spacing w:val="-7"/>
          <w:sz w:val="21"/>
        </w:rPr>
        <w:t xml:space="preserve"> </w:t>
      </w:r>
      <w:r>
        <w:rPr>
          <w:sz w:val="21"/>
        </w:rPr>
        <w:t>both</w:t>
      </w:r>
      <w:r>
        <w:rPr>
          <w:spacing w:val="-7"/>
          <w:sz w:val="21"/>
        </w:rPr>
        <w:t xml:space="preserve"> </w:t>
      </w:r>
      <w:r>
        <w:rPr>
          <w:sz w:val="21"/>
        </w:rPr>
        <w:t>parties</w:t>
      </w:r>
      <w:r>
        <w:rPr>
          <w:spacing w:val="-7"/>
          <w:sz w:val="21"/>
        </w:rPr>
        <w:t xml:space="preserve"> </w:t>
      </w:r>
      <w:r>
        <w:rPr>
          <w:sz w:val="21"/>
        </w:rPr>
        <w:t>are</w:t>
      </w:r>
      <w:r>
        <w:rPr>
          <w:spacing w:val="-6"/>
          <w:sz w:val="21"/>
        </w:rPr>
        <w:t xml:space="preserve"> </w:t>
      </w:r>
      <w:r>
        <w:rPr>
          <w:sz w:val="21"/>
        </w:rPr>
        <w:t>subject</w:t>
      </w:r>
      <w:r>
        <w:rPr>
          <w:spacing w:val="-8"/>
          <w:sz w:val="21"/>
        </w:rPr>
        <w:t xml:space="preserve"> </w:t>
      </w:r>
      <w:r>
        <w:rPr>
          <w:sz w:val="21"/>
        </w:rPr>
        <w:t>to</w:t>
      </w:r>
      <w:r>
        <w:rPr>
          <w:spacing w:val="-7"/>
          <w:sz w:val="21"/>
        </w:rPr>
        <w:t xml:space="preserve"> </w:t>
      </w:r>
      <w:r>
        <w:rPr>
          <w:sz w:val="21"/>
        </w:rPr>
        <w:t>the</w:t>
      </w:r>
      <w:r>
        <w:rPr>
          <w:spacing w:val="-7"/>
          <w:sz w:val="21"/>
        </w:rPr>
        <w:t xml:space="preserve"> </w:t>
      </w:r>
      <w:r>
        <w:rPr>
          <w:sz w:val="21"/>
        </w:rPr>
        <w:t>same</w:t>
      </w:r>
      <w:r>
        <w:rPr>
          <w:spacing w:val="-9"/>
          <w:sz w:val="21"/>
        </w:rPr>
        <w:t xml:space="preserve"> </w:t>
      </w:r>
      <w:r>
        <w:rPr>
          <w:b/>
          <w:sz w:val="21"/>
        </w:rPr>
        <w:t>personal law or custom having the force of law</w:t>
      </w:r>
      <w:r>
        <w:rPr>
          <w:sz w:val="21"/>
        </w:rPr>
        <w:t>, decide according to that personal law or custom, and when the parties are subject to</w:t>
      </w:r>
      <w:r>
        <w:rPr>
          <w:spacing w:val="-17"/>
          <w:sz w:val="21"/>
        </w:rPr>
        <w:t xml:space="preserve"> </w:t>
      </w:r>
      <w:r>
        <w:rPr>
          <w:sz w:val="21"/>
        </w:rPr>
        <w:t>different</w:t>
      </w:r>
      <w:r>
        <w:rPr>
          <w:spacing w:val="-15"/>
          <w:sz w:val="21"/>
        </w:rPr>
        <w:t xml:space="preserve"> </w:t>
      </w:r>
      <w:r>
        <w:rPr>
          <w:b/>
          <w:sz w:val="21"/>
        </w:rPr>
        <w:t>personal</w:t>
      </w:r>
      <w:r>
        <w:rPr>
          <w:b/>
          <w:spacing w:val="-17"/>
          <w:sz w:val="21"/>
        </w:rPr>
        <w:t xml:space="preserve"> </w:t>
      </w:r>
      <w:r>
        <w:rPr>
          <w:b/>
          <w:sz w:val="21"/>
        </w:rPr>
        <w:t>laws</w:t>
      </w:r>
      <w:r>
        <w:rPr>
          <w:b/>
          <w:spacing w:val="-16"/>
          <w:sz w:val="21"/>
        </w:rPr>
        <w:t xml:space="preserve"> </w:t>
      </w:r>
      <w:r>
        <w:rPr>
          <w:b/>
          <w:sz w:val="21"/>
        </w:rPr>
        <w:t>or</w:t>
      </w:r>
      <w:r>
        <w:rPr>
          <w:b/>
          <w:spacing w:val="-16"/>
          <w:sz w:val="21"/>
        </w:rPr>
        <w:t xml:space="preserve"> </w:t>
      </w:r>
      <w:r>
        <w:rPr>
          <w:b/>
          <w:sz w:val="21"/>
        </w:rPr>
        <w:t>custom</w:t>
      </w:r>
      <w:r>
        <w:rPr>
          <w:b/>
          <w:spacing w:val="-16"/>
          <w:sz w:val="21"/>
        </w:rPr>
        <w:t xml:space="preserve"> </w:t>
      </w:r>
      <w:r>
        <w:rPr>
          <w:b/>
          <w:sz w:val="21"/>
        </w:rPr>
        <w:t>having</w:t>
      </w:r>
      <w:r>
        <w:rPr>
          <w:b/>
          <w:spacing w:val="-16"/>
          <w:sz w:val="21"/>
        </w:rPr>
        <w:t xml:space="preserve"> </w:t>
      </w:r>
      <w:r>
        <w:rPr>
          <w:b/>
          <w:sz w:val="21"/>
        </w:rPr>
        <w:t>the</w:t>
      </w:r>
      <w:r>
        <w:rPr>
          <w:b/>
          <w:spacing w:val="-15"/>
          <w:sz w:val="21"/>
        </w:rPr>
        <w:t xml:space="preserve"> </w:t>
      </w:r>
      <w:r>
        <w:rPr>
          <w:b/>
          <w:sz w:val="21"/>
        </w:rPr>
        <w:t>force</w:t>
      </w:r>
      <w:r>
        <w:rPr>
          <w:b/>
          <w:spacing w:val="-15"/>
          <w:sz w:val="21"/>
        </w:rPr>
        <w:t xml:space="preserve"> </w:t>
      </w:r>
      <w:r>
        <w:rPr>
          <w:b/>
          <w:sz w:val="21"/>
        </w:rPr>
        <w:t>of</w:t>
      </w:r>
      <w:r>
        <w:rPr>
          <w:b/>
          <w:spacing w:val="-16"/>
          <w:sz w:val="21"/>
        </w:rPr>
        <w:t xml:space="preserve"> </w:t>
      </w:r>
      <w:r>
        <w:rPr>
          <w:b/>
          <w:sz w:val="21"/>
        </w:rPr>
        <w:t>law</w:t>
      </w:r>
      <w:r>
        <w:rPr>
          <w:sz w:val="21"/>
        </w:rPr>
        <w:t>, decide accordin</w:t>
      </w:r>
      <w:r>
        <w:rPr>
          <w:sz w:val="21"/>
        </w:rPr>
        <w:t>g to the law or custom to which the defendant is</w:t>
      </w:r>
      <w:r>
        <w:rPr>
          <w:spacing w:val="-2"/>
          <w:sz w:val="21"/>
        </w:rPr>
        <w:t xml:space="preserve"> </w:t>
      </w:r>
      <w:r>
        <w:rPr>
          <w:sz w:val="21"/>
        </w:rPr>
        <w:t>subject.”</w:t>
      </w:r>
    </w:p>
    <w:p w:rsidR="003B2FC0" w:rsidRDefault="00052A49">
      <w:pPr>
        <w:spacing w:before="1"/>
        <w:ind w:left="1840"/>
        <w:rPr>
          <w:sz w:val="21"/>
        </w:rPr>
      </w:pPr>
      <w:r>
        <w:rPr>
          <w:sz w:val="21"/>
        </w:rPr>
        <w:t>(Emphasis supplied)</w:t>
      </w:r>
    </w:p>
    <w:p w:rsidR="003B2FC0" w:rsidRDefault="003B2FC0">
      <w:pPr>
        <w:rPr>
          <w:sz w:val="24"/>
        </w:rPr>
      </w:pPr>
    </w:p>
    <w:p w:rsidR="003B2FC0" w:rsidRDefault="003B2FC0">
      <w:pPr>
        <w:rPr>
          <w:sz w:val="24"/>
        </w:rPr>
      </w:pPr>
    </w:p>
    <w:p w:rsidR="003B2FC0" w:rsidRDefault="003B2FC0">
      <w:pPr>
        <w:spacing w:before="9"/>
        <w:rPr>
          <w:sz w:val="19"/>
        </w:rPr>
      </w:pPr>
    </w:p>
    <w:p w:rsidR="003B2FC0" w:rsidRDefault="00052A49">
      <w:pPr>
        <w:spacing w:before="1" w:line="480" w:lineRule="auto"/>
        <w:ind w:left="400" w:right="436"/>
        <w:jc w:val="both"/>
        <w:rPr>
          <w:sz w:val="26"/>
        </w:rPr>
      </w:pPr>
      <w:r>
        <w:rPr>
          <w:sz w:val="26"/>
        </w:rPr>
        <w:t>Relying</w:t>
      </w:r>
      <w:r>
        <w:rPr>
          <w:spacing w:val="-5"/>
          <w:sz w:val="26"/>
        </w:rPr>
        <w:t xml:space="preserve"> </w:t>
      </w:r>
      <w:r>
        <w:rPr>
          <w:sz w:val="26"/>
        </w:rPr>
        <w:t>on</w:t>
      </w:r>
      <w:r>
        <w:rPr>
          <w:spacing w:val="-5"/>
          <w:sz w:val="26"/>
        </w:rPr>
        <w:t xml:space="preserve"> </w:t>
      </w:r>
      <w:r>
        <w:rPr>
          <w:sz w:val="26"/>
        </w:rPr>
        <w:t>the</w:t>
      </w:r>
      <w:r>
        <w:rPr>
          <w:spacing w:val="-4"/>
          <w:sz w:val="26"/>
        </w:rPr>
        <w:t xml:space="preserve"> </w:t>
      </w:r>
      <w:r>
        <w:rPr>
          <w:sz w:val="26"/>
        </w:rPr>
        <w:t>disjunctive</w:t>
      </w:r>
      <w:r>
        <w:rPr>
          <w:spacing w:val="-5"/>
          <w:sz w:val="26"/>
        </w:rPr>
        <w:t xml:space="preserve"> </w:t>
      </w:r>
      <w:r>
        <w:rPr>
          <w:sz w:val="26"/>
        </w:rPr>
        <w:t>use</w:t>
      </w:r>
      <w:r>
        <w:rPr>
          <w:spacing w:val="-4"/>
          <w:sz w:val="26"/>
        </w:rPr>
        <w:t xml:space="preserve"> </w:t>
      </w:r>
      <w:r>
        <w:rPr>
          <w:sz w:val="26"/>
        </w:rPr>
        <w:t>of</w:t>
      </w:r>
      <w:r>
        <w:rPr>
          <w:spacing w:val="-5"/>
          <w:sz w:val="26"/>
        </w:rPr>
        <w:t xml:space="preserve"> </w:t>
      </w:r>
      <w:r>
        <w:rPr>
          <w:sz w:val="26"/>
        </w:rPr>
        <w:t>‘personal</w:t>
      </w:r>
      <w:r>
        <w:rPr>
          <w:spacing w:val="-3"/>
          <w:sz w:val="26"/>
        </w:rPr>
        <w:t xml:space="preserve"> </w:t>
      </w:r>
      <w:r>
        <w:rPr>
          <w:sz w:val="26"/>
        </w:rPr>
        <w:t>law’</w:t>
      </w:r>
      <w:r>
        <w:rPr>
          <w:spacing w:val="-4"/>
          <w:sz w:val="26"/>
        </w:rPr>
        <w:t xml:space="preserve"> </w:t>
      </w:r>
      <w:r>
        <w:rPr>
          <w:sz w:val="26"/>
        </w:rPr>
        <w:t>and</w:t>
      </w:r>
      <w:r>
        <w:rPr>
          <w:spacing w:val="-5"/>
          <w:sz w:val="26"/>
        </w:rPr>
        <w:t xml:space="preserve"> </w:t>
      </w:r>
      <w:r>
        <w:rPr>
          <w:sz w:val="26"/>
        </w:rPr>
        <w:t>‘custom</w:t>
      </w:r>
      <w:r>
        <w:rPr>
          <w:spacing w:val="-4"/>
          <w:sz w:val="26"/>
        </w:rPr>
        <w:t xml:space="preserve"> </w:t>
      </w:r>
      <w:r>
        <w:rPr>
          <w:sz w:val="26"/>
        </w:rPr>
        <w:t>having</w:t>
      </w:r>
      <w:r>
        <w:rPr>
          <w:spacing w:val="-5"/>
          <w:sz w:val="26"/>
        </w:rPr>
        <w:t xml:space="preserve"> </w:t>
      </w:r>
      <w:r>
        <w:rPr>
          <w:sz w:val="26"/>
        </w:rPr>
        <w:t>the</w:t>
      </w:r>
      <w:r>
        <w:rPr>
          <w:spacing w:val="-4"/>
          <w:sz w:val="26"/>
        </w:rPr>
        <w:t xml:space="preserve"> </w:t>
      </w:r>
      <w:r>
        <w:rPr>
          <w:sz w:val="26"/>
        </w:rPr>
        <w:t>force</w:t>
      </w:r>
      <w:r>
        <w:rPr>
          <w:spacing w:val="-5"/>
          <w:sz w:val="26"/>
        </w:rPr>
        <w:t xml:space="preserve"> </w:t>
      </w:r>
      <w:r>
        <w:rPr>
          <w:sz w:val="26"/>
        </w:rPr>
        <w:t>of law’ (separated by the use of the word ‘or’), Chief Justice Chagla opined that despite the legislative precedent of the 1915 Act, the Constituent Assembly deliberately omitted a reference to ‘personal law’ in Article 13. Chief Justice Chagla held that t</w:t>
      </w:r>
      <w:r>
        <w:rPr>
          <w:sz w:val="26"/>
        </w:rPr>
        <w:t>his “is a very clear pointer to the intention of the Constitution making body to exclude personal law from the purview of Article</w:t>
      </w:r>
      <w:r>
        <w:rPr>
          <w:spacing w:val="-20"/>
          <w:sz w:val="26"/>
        </w:rPr>
        <w:t xml:space="preserve"> </w:t>
      </w:r>
      <w:r>
        <w:rPr>
          <w:sz w:val="26"/>
        </w:rPr>
        <w:t>13.”</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41"/>
        <w:jc w:val="both"/>
        <w:rPr>
          <w:sz w:val="26"/>
        </w:rPr>
      </w:pPr>
      <w:r>
        <w:rPr>
          <w:sz w:val="26"/>
        </w:rPr>
        <w:t>The Constituent Assembly also had a legislative precedent of the Government of India Act 1935, from wh</w:t>
      </w:r>
      <w:r>
        <w:rPr>
          <w:sz w:val="26"/>
        </w:rPr>
        <w:t>ich several provisions of the Constitution are designed. Section 292 of that Act, which corresponds broadly to Article 372(1) of the Constitution reads thus:</w:t>
      </w:r>
    </w:p>
    <w:p w:rsidR="003B2FC0" w:rsidRDefault="00052A49">
      <w:pPr>
        <w:spacing w:before="199" w:line="276" w:lineRule="auto"/>
        <w:ind w:left="1840" w:right="2281"/>
        <w:jc w:val="both"/>
        <w:rPr>
          <w:sz w:val="21"/>
        </w:rPr>
      </w:pPr>
      <w:r>
        <w:rPr>
          <w:sz w:val="21"/>
        </w:rPr>
        <w:t>“292.</w:t>
      </w:r>
      <w:r>
        <w:rPr>
          <w:spacing w:val="-15"/>
          <w:sz w:val="21"/>
        </w:rPr>
        <w:t xml:space="preserve"> </w:t>
      </w:r>
      <w:r>
        <w:rPr>
          <w:sz w:val="21"/>
        </w:rPr>
        <w:t>Notwithstanding</w:t>
      </w:r>
      <w:r>
        <w:rPr>
          <w:spacing w:val="-14"/>
          <w:sz w:val="21"/>
        </w:rPr>
        <w:t xml:space="preserve"> </w:t>
      </w:r>
      <w:r>
        <w:rPr>
          <w:sz w:val="21"/>
        </w:rPr>
        <w:t>the</w:t>
      </w:r>
      <w:r>
        <w:rPr>
          <w:spacing w:val="-15"/>
          <w:sz w:val="21"/>
        </w:rPr>
        <w:t xml:space="preserve"> </w:t>
      </w:r>
      <w:r>
        <w:rPr>
          <w:sz w:val="21"/>
        </w:rPr>
        <w:t>repeal</w:t>
      </w:r>
      <w:r>
        <w:rPr>
          <w:spacing w:val="-13"/>
          <w:sz w:val="21"/>
        </w:rPr>
        <w:t xml:space="preserve"> </w:t>
      </w:r>
      <w:r>
        <w:rPr>
          <w:sz w:val="21"/>
        </w:rPr>
        <w:t>by</w:t>
      </w:r>
      <w:r>
        <w:rPr>
          <w:spacing w:val="-15"/>
          <w:sz w:val="21"/>
        </w:rPr>
        <w:t xml:space="preserve"> </w:t>
      </w:r>
      <w:r>
        <w:rPr>
          <w:sz w:val="21"/>
        </w:rPr>
        <w:t>this</w:t>
      </w:r>
      <w:r>
        <w:rPr>
          <w:spacing w:val="-14"/>
          <w:sz w:val="21"/>
        </w:rPr>
        <w:t xml:space="preserve"> </w:t>
      </w:r>
      <w:r>
        <w:rPr>
          <w:sz w:val="21"/>
        </w:rPr>
        <w:t>Act</w:t>
      </w:r>
      <w:r>
        <w:rPr>
          <w:spacing w:val="-14"/>
          <w:sz w:val="21"/>
        </w:rPr>
        <w:t xml:space="preserve"> </w:t>
      </w:r>
      <w:r>
        <w:rPr>
          <w:sz w:val="21"/>
        </w:rPr>
        <w:t>of</w:t>
      </w:r>
      <w:r>
        <w:rPr>
          <w:spacing w:val="-13"/>
          <w:sz w:val="21"/>
        </w:rPr>
        <w:t xml:space="preserve"> </w:t>
      </w:r>
      <w:r>
        <w:rPr>
          <w:sz w:val="21"/>
        </w:rPr>
        <w:t>the</w:t>
      </w:r>
      <w:r>
        <w:rPr>
          <w:spacing w:val="-13"/>
          <w:sz w:val="21"/>
        </w:rPr>
        <w:t xml:space="preserve"> </w:t>
      </w:r>
      <w:r>
        <w:rPr>
          <w:sz w:val="21"/>
        </w:rPr>
        <w:t xml:space="preserve">Government of India Act, but subject to the other provisions of this Act, </w:t>
      </w:r>
      <w:r>
        <w:rPr>
          <w:b/>
          <w:sz w:val="21"/>
        </w:rPr>
        <w:t xml:space="preserve">all the law in force </w:t>
      </w:r>
      <w:r>
        <w:rPr>
          <w:sz w:val="21"/>
        </w:rPr>
        <w:t>in British India immediately before the commencement of Part III of this Act shall continue in force in British India until altered or repealed or amended by a c</w:t>
      </w:r>
      <w:r>
        <w:rPr>
          <w:sz w:val="21"/>
        </w:rPr>
        <w:t>ompetent Legislature or other competent authority.” (Emphasis</w:t>
      </w:r>
      <w:r>
        <w:rPr>
          <w:spacing w:val="-2"/>
          <w:sz w:val="21"/>
        </w:rPr>
        <w:t xml:space="preserve"> </w:t>
      </w:r>
      <w:r>
        <w:rPr>
          <w:sz w:val="21"/>
        </w:rPr>
        <w:t>supplied)</w:t>
      </w:r>
    </w:p>
    <w:p w:rsidR="003B2FC0" w:rsidRDefault="003B2FC0">
      <w:pPr>
        <w:rPr>
          <w:sz w:val="24"/>
        </w:rPr>
      </w:pPr>
    </w:p>
    <w:p w:rsidR="003B2FC0" w:rsidRDefault="003B2FC0">
      <w:pPr>
        <w:rPr>
          <w:sz w:val="24"/>
        </w:rPr>
      </w:pPr>
    </w:p>
    <w:p w:rsidR="003B2FC0" w:rsidRDefault="00052A49">
      <w:pPr>
        <w:spacing w:before="194" w:line="480" w:lineRule="auto"/>
        <w:ind w:left="400" w:right="434"/>
        <w:jc w:val="both"/>
        <w:rPr>
          <w:sz w:val="26"/>
        </w:rPr>
      </w:pPr>
      <w:r>
        <w:rPr>
          <w:sz w:val="26"/>
        </w:rPr>
        <w:t>Section 292 of the Act saved ‘all the law in force’ in British India immediately before the commencement of Part III of that Act. The expression “law in force” in that Section was in</w:t>
      </w:r>
      <w:r>
        <w:rPr>
          <w:sz w:val="26"/>
        </w:rPr>
        <w:t xml:space="preserve">terpreted by the Federal Court in </w:t>
      </w:r>
      <w:r>
        <w:rPr>
          <w:b/>
          <w:sz w:val="26"/>
        </w:rPr>
        <w:t xml:space="preserve">The United Provinces </w:t>
      </w:r>
      <w:r>
        <w:rPr>
          <w:sz w:val="26"/>
        </w:rPr>
        <w:t xml:space="preserve">v </w:t>
      </w:r>
      <w:r>
        <w:rPr>
          <w:b/>
          <w:sz w:val="26"/>
        </w:rPr>
        <w:t>Mst. Atiqa Begum</w:t>
      </w:r>
      <w:r>
        <w:rPr>
          <w:sz w:val="26"/>
        </w:rPr>
        <w:t>.</w:t>
      </w:r>
      <w:r>
        <w:rPr>
          <w:position w:val="9"/>
          <w:sz w:val="17"/>
        </w:rPr>
        <w:t xml:space="preserve">136 </w:t>
      </w:r>
      <w:r>
        <w:rPr>
          <w:sz w:val="26"/>
        </w:rPr>
        <w:t>The question before the Court was whether the legislature of the United Provinces was competent to enact the Regularization of Remissions Act 1938. While construing Section 292 o</w:t>
      </w:r>
      <w:r>
        <w:rPr>
          <w:sz w:val="26"/>
        </w:rPr>
        <w:t>f the Government of India</w:t>
      </w:r>
      <w:r>
        <w:rPr>
          <w:spacing w:val="-9"/>
          <w:sz w:val="26"/>
        </w:rPr>
        <w:t xml:space="preserve"> </w:t>
      </w:r>
      <w:r>
        <w:rPr>
          <w:sz w:val="26"/>
        </w:rPr>
        <w:t>Act</w:t>
      </w:r>
      <w:r>
        <w:rPr>
          <w:spacing w:val="-7"/>
          <w:sz w:val="26"/>
        </w:rPr>
        <w:t xml:space="preserve"> </w:t>
      </w:r>
      <w:r>
        <w:rPr>
          <w:sz w:val="26"/>
        </w:rPr>
        <w:t>1935</w:t>
      </w:r>
      <w:r>
        <w:rPr>
          <w:spacing w:val="-8"/>
          <w:sz w:val="26"/>
        </w:rPr>
        <w:t xml:space="preserve"> </w:t>
      </w:r>
      <w:r>
        <w:rPr>
          <w:sz w:val="26"/>
        </w:rPr>
        <w:t>and</w:t>
      </w:r>
      <w:r>
        <w:rPr>
          <w:spacing w:val="-9"/>
          <w:sz w:val="26"/>
        </w:rPr>
        <w:t xml:space="preserve"> </w:t>
      </w:r>
      <w:r>
        <w:rPr>
          <w:sz w:val="26"/>
        </w:rPr>
        <w:t>adverting</w:t>
      </w:r>
      <w:r>
        <w:rPr>
          <w:spacing w:val="-8"/>
          <w:sz w:val="26"/>
        </w:rPr>
        <w:t xml:space="preserve"> </w:t>
      </w:r>
      <w:r>
        <w:rPr>
          <w:sz w:val="26"/>
        </w:rPr>
        <w:t>to</w:t>
      </w:r>
      <w:r>
        <w:rPr>
          <w:spacing w:val="-9"/>
          <w:sz w:val="26"/>
        </w:rPr>
        <w:t xml:space="preserve"> </w:t>
      </w:r>
      <w:r>
        <w:rPr>
          <w:sz w:val="26"/>
        </w:rPr>
        <w:t>the</w:t>
      </w:r>
      <w:r>
        <w:rPr>
          <w:spacing w:val="-9"/>
          <w:sz w:val="26"/>
        </w:rPr>
        <w:t xml:space="preserve"> </w:t>
      </w:r>
      <w:r>
        <w:rPr>
          <w:sz w:val="26"/>
        </w:rPr>
        <w:t>powers</w:t>
      </w:r>
      <w:r>
        <w:rPr>
          <w:spacing w:val="-8"/>
          <w:sz w:val="26"/>
        </w:rPr>
        <w:t xml:space="preserve"> </w:t>
      </w:r>
      <w:r>
        <w:rPr>
          <w:sz w:val="26"/>
        </w:rPr>
        <w:t>of</w:t>
      </w:r>
      <w:r>
        <w:rPr>
          <w:spacing w:val="-9"/>
          <w:sz w:val="26"/>
        </w:rPr>
        <w:t xml:space="preserve"> </w:t>
      </w:r>
      <w:r>
        <w:rPr>
          <w:sz w:val="26"/>
        </w:rPr>
        <w:t>the</w:t>
      </w:r>
      <w:r>
        <w:rPr>
          <w:spacing w:val="-8"/>
          <w:sz w:val="26"/>
        </w:rPr>
        <w:t xml:space="preserve"> </w:t>
      </w:r>
      <w:r>
        <w:rPr>
          <w:sz w:val="26"/>
        </w:rPr>
        <w:t>Provincial</w:t>
      </w:r>
      <w:r>
        <w:rPr>
          <w:spacing w:val="-9"/>
          <w:sz w:val="26"/>
        </w:rPr>
        <w:t xml:space="preserve"> </w:t>
      </w:r>
      <w:r>
        <w:rPr>
          <w:sz w:val="26"/>
        </w:rPr>
        <w:t>Legislature</w:t>
      </w:r>
      <w:r>
        <w:rPr>
          <w:spacing w:val="-9"/>
          <w:sz w:val="26"/>
        </w:rPr>
        <w:t xml:space="preserve"> </w:t>
      </w:r>
      <w:r>
        <w:rPr>
          <w:sz w:val="26"/>
        </w:rPr>
        <w:t>and</w:t>
      </w:r>
      <w:r>
        <w:rPr>
          <w:spacing w:val="-8"/>
          <w:sz w:val="26"/>
        </w:rPr>
        <w:t xml:space="preserve"> </w:t>
      </w:r>
      <w:r>
        <w:rPr>
          <w:sz w:val="26"/>
        </w:rPr>
        <w:t>the Central Legislature, Justice Suleman</w:t>
      </w:r>
      <w:r>
        <w:rPr>
          <w:spacing w:val="3"/>
          <w:sz w:val="26"/>
        </w:rPr>
        <w:t xml:space="preserve"> </w:t>
      </w:r>
      <w:r>
        <w:rPr>
          <w:sz w:val="26"/>
        </w:rPr>
        <w:t>held:</w:t>
      </w:r>
    </w:p>
    <w:p w:rsidR="003B2FC0" w:rsidRDefault="00052A49">
      <w:pPr>
        <w:spacing w:before="193" w:line="276" w:lineRule="auto"/>
        <w:ind w:left="1840" w:right="2280"/>
        <w:jc w:val="both"/>
        <w:rPr>
          <w:sz w:val="21"/>
        </w:rPr>
      </w:pPr>
      <w:r>
        <w:rPr>
          <w:sz w:val="21"/>
        </w:rPr>
        <w:t>“Even though we are not concerned with the wisdom of the Legislature, one cannot help saying that there appears to be no</w:t>
      </w:r>
      <w:r>
        <w:rPr>
          <w:spacing w:val="-4"/>
          <w:sz w:val="21"/>
        </w:rPr>
        <w:t xml:space="preserve"> </w:t>
      </w:r>
      <w:r>
        <w:rPr>
          <w:sz w:val="21"/>
        </w:rPr>
        <w:t>adequate</w:t>
      </w:r>
      <w:r>
        <w:rPr>
          <w:spacing w:val="-5"/>
          <w:sz w:val="21"/>
        </w:rPr>
        <w:t xml:space="preserve"> </w:t>
      </w:r>
      <w:r>
        <w:rPr>
          <w:sz w:val="21"/>
        </w:rPr>
        <w:t>reason</w:t>
      </w:r>
      <w:r>
        <w:rPr>
          <w:spacing w:val="-4"/>
          <w:sz w:val="21"/>
        </w:rPr>
        <w:t xml:space="preserve"> </w:t>
      </w:r>
      <w:r>
        <w:rPr>
          <w:sz w:val="21"/>
        </w:rPr>
        <w:t>why</w:t>
      </w:r>
      <w:r>
        <w:rPr>
          <w:spacing w:val="-7"/>
          <w:sz w:val="21"/>
        </w:rPr>
        <w:t xml:space="preserve"> </w:t>
      </w:r>
      <w:r>
        <w:rPr>
          <w:sz w:val="21"/>
        </w:rPr>
        <w:t>the</w:t>
      </w:r>
      <w:r>
        <w:rPr>
          <w:spacing w:val="-4"/>
          <w:sz w:val="21"/>
        </w:rPr>
        <w:t xml:space="preserve"> </w:t>
      </w:r>
      <w:r>
        <w:rPr>
          <w:sz w:val="21"/>
        </w:rPr>
        <w:t>power</w:t>
      </w:r>
      <w:r>
        <w:rPr>
          <w:spacing w:val="-5"/>
          <w:sz w:val="21"/>
        </w:rPr>
        <w:t xml:space="preserve"> </w:t>
      </w:r>
      <w:r>
        <w:rPr>
          <w:sz w:val="21"/>
        </w:rPr>
        <w:t>to</w:t>
      </w:r>
      <w:r>
        <w:rPr>
          <w:spacing w:val="-5"/>
          <w:sz w:val="21"/>
        </w:rPr>
        <w:t xml:space="preserve"> </w:t>
      </w:r>
      <w:r>
        <w:rPr>
          <w:sz w:val="21"/>
        </w:rPr>
        <w:t>give</w:t>
      </w:r>
      <w:r>
        <w:rPr>
          <w:spacing w:val="-5"/>
          <w:sz w:val="21"/>
        </w:rPr>
        <w:t xml:space="preserve"> </w:t>
      </w:r>
      <w:r>
        <w:rPr>
          <w:sz w:val="21"/>
        </w:rPr>
        <w:t>retrospective</w:t>
      </w:r>
      <w:r>
        <w:rPr>
          <w:spacing w:val="-5"/>
          <w:sz w:val="21"/>
        </w:rPr>
        <w:t xml:space="preserve"> </w:t>
      </w:r>
      <w:r>
        <w:rPr>
          <w:sz w:val="21"/>
        </w:rPr>
        <w:t>effect to a new legislation should be curtailed, limited or minimized, particularly</w:t>
      </w:r>
      <w:r>
        <w:rPr>
          <w:sz w:val="21"/>
        </w:rPr>
        <w:t xml:space="preserve"> when S. 292 applies not only to statutory enactments then in force, </w:t>
      </w:r>
      <w:r>
        <w:rPr>
          <w:b/>
          <w:sz w:val="21"/>
        </w:rPr>
        <w:t>but to all laws, including even personal laws, customary laws, and common laws</w:t>
      </w:r>
      <w:r>
        <w:rPr>
          <w:sz w:val="21"/>
        </w:rPr>
        <w:t>.”</w:t>
      </w:r>
      <w:r>
        <w:rPr>
          <w:position w:val="7"/>
          <w:sz w:val="14"/>
        </w:rPr>
        <w:t xml:space="preserve">137 </w:t>
      </w:r>
      <w:r>
        <w:rPr>
          <w:sz w:val="21"/>
        </w:rPr>
        <w:t>(Emphasis</w:t>
      </w:r>
      <w:r>
        <w:rPr>
          <w:spacing w:val="-2"/>
          <w:sz w:val="21"/>
        </w:rPr>
        <w:t xml:space="preserve"> </w:t>
      </w:r>
      <w:r>
        <w:rPr>
          <w:sz w:val="21"/>
        </w:rPr>
        <w:t>supplied)</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rPr>
          <w:sz w:val="18"/>
        </w:rPr>
      </w:pPr>
      <w:r w:rsidRPr="003B2FC0">
        <w:pict>
          <v:line id="_x0000_s1077" style="position:absolute;z-index:251638272;mso-wrap-distance-left:0;mso-wrap-distance-right:0;mso-position-horizontal-relative:page" from="1in,12.9pt" to="216.05pt,12.9pt" strokeweight=".72pt">
            <w10:wrap type="topAndBottom" anchorx="page"/>
          </v:line>
        </w:pict>
      </w:r>
    </w:p>
    <w:p w:rsidR="003B2FC0" w:rsidRDefault="00052A49">
      <w:pPr>
        <w:spacing w:before="66" w:line="210" w:lineRule="exact"/>
        <w:ind w:left="400"/>
        <w:rPr>
          <w:sz w:val="18"/>
        </w:rPr>
      </w:pPr>
      <w:r>
        <w:rPr>
          <w:position w:val="6"/>
          <w:sz w:val="12"/>
        </w:rPr>
        <w:t xml:space="preserve">136 </w:t>
      </w:r>
      <w:r>
        <w:rPr>
          <w:sz w:val="18"/>
        </w:rPr>
        <w:t>AIR 1941 FC 16</w:t>
      </w:r>
    </w:p>
    <w:p w:rsidR="003B2FC0" w:rsidRDefault="00052A49">
      <w:pPr>
        <w:spacing w:line="210" w:lineRule="exact"/>
        <w:ind w:left="400"/>
        <w:rPr>
          <w:sz w:val="18"/>
        </w:rPr>
      </w:pPr>
      <w:r>
        <w:rPr>
          <w:position w:val="6"/>
          <w:sz w:val="12"/>
        </w:rPr>
        <w:t xml:space="preserve">137 </w:t>
      </w:r>
      <w:r>
        <w:rPr>
          <w:sz w:val="18"/>
        </w:rPr>
        <w:t>Ibid, at page 31</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77" w:lineRule="auto"/>
        <w:ind w:left="400" w:right="433"/>
        <w:jc w:val="both"/>
        <w:rPr>
          <w:sz w:val="17"/>
        </w:rPr>
      </w:pPr>
      <w:r>
        <w:rPr>
          <w:sz w:val="26"/>
        </w:rPr>
        <w:t>The definitional terms ‘law’ and ‘laws in force’ in Article 13(3)(a) and 13(3)(b) have</w:t>
      </w:r>
      <w:r>
        <w:rPr>
          <w:spacing w:val="-15"/>
          <w:sz w:val="26"/>
        </w:rPr>
        <w:t xml:space="preserve"> </w:t>
      </w:r>
      <w:r>
        <w:rPr>
          <w:sz w:val="26"/>
        </w:rPr>
        <w:t>an</w:t>
      </w:r>
      <w:r>
        <w:rPr>
          <w:spacing w:val="-14"/>
          <w:sz w:val="26"/>
        </w:rPr>
        <w:t xml:space="preserve"> </w:t>
      </w:r>
      <w:r>
        <w:rPr>
          <w:sz w:val="26"/>
        </w:rPr>
        <w:t>inclusive</w:t>
      </w:r>
      <w:r>
        <w:rPr>
          <w:spacing w:val="-15"/>
          <w:sz w:val="26"/>
        </w:rPr>
        <w:t xml:space="preserve"> </w:t>
      </w:r>
      <w:r>
        <w:rPr>
          <w:sz w:val="26"/>
        </w:rPr>
        <w:t>definition.</w:t>
      </w:r>
      <w:r>
        <w:rPr>
          <w:spacing w:val="-14"/>
          <w:sz w:val="26"/>
        </w:rPr>
        <w:t xml:space="preserve"> </w:t>
      </w:r>
      <w:r>
        <w:rPr>
          <w:sz w:val="26"/>
        </w:rPr>
        <w:t>It</w:t>
      </w:r>
      <w:r>
        <w:rPr>
          <w:spacing w:val="-14"/>
          <w:sz w:val="26"/>
        </w:rPr>
        <w:t xml:space="preserve"> </w:t>
      </w:r>
      <w:r>
        <w:rPr>
          <w:sz w:val="26"/>
        </w:rPr>
        <w:t>is</w:t>
      </w:r>
      <w:r>
        <w:rPr>
          <w:spacing w:val="-15"/>
          <w:sz w:val="26"/>
        </w:rPr>
        <w:t xml:space="preserve"> </w:t>
      </w:r>
      <w:r>
        <w:rPr>
          <w:sz w:val="26"/>
        </w:rPr>
        <w:t>a</w:t>
      </w:r>
      <w:r>
        <w:rPr>
          <w:spacing w:val="-14"/>
          <w:sz w:val="26"/>
        </w:rPr>
        <w:t xml:space="preserve"> </w:t>
      </w:r>
      <w:r>
        <w:rPr>
          <w:sz w:val="26"/>
        </w:rPr>
        <w:t>settled</w:t>
      </w:r>
      <w:r>
        <w:rPr>
          <w:spacing w:val="-14"/>
          <w:sz w:val="26"/>
        </w:rPr>
        <w:t xml:space="preserve"> </w:t>
      </w:r>
      <w:r>
        <w:rPr>
          <w:sz w:val="26"/>
        </w:rPr>
        <w:t>position</w:t>
      </w:r>
      <w:r>
        <w:rPr>
          <w:spacing w:val="-15"/>
          <w:sz w:val="26"/>
        </w:rPr>
        <w:t xml:space="preserve"> </w:t>
      </w:r>
      <w:r>
        <w:rPr>
          <w:sz w:val="26"/>
        </w:rPr>
        <w:t>of</w:t>
      </w:r>
      <w:r>
        <w:rPr>
          <w:spacing w:val="-14"/>
          <w:sz w:val="26"/>
        </w:rPr>
        <w:t xml:space="preserve"> </w:t>
      </w:r>
      <w:r>
        <w:rPr>
          <w:sz w:val="26"/>
        </w:rPr>
        <w:t>statutory</w:t>
      </w:r>
      <w:r>
        <w:rPr>
          <w:spacing w:val="-16"/>
          <w:sz w:val="26"/>
        </w:rPr>
        <w:t xml:space="preserve"> </w:t>
      </w:r>
      <w:r>
        <w:rPr>
          <w:sz w:val="26"/>
        </w:rPr>
        <w:t>interpretation,</w:t>
      </w:r>
      <w:r>
        <w:rPr>
          <w:spacing w:val="-15"/>
          <w:sz w:val="26"/>
        </w:rPr>
        <w:t xml:space="preserve"> </w:t>
      </w:r>
      <w:r>
        <w:rPr>
          <w:sz w:val="26"/>
        </w:rPr>
        <w:t>that use</w:t>
      </w:r>
      <w:r>
        <w:rPr>
          <w:spacing w:val="-22"/>
          <w:sz w:val="26"/>
        </w:rPr>
        <w:t xml:space="preserve"> </w:t>
      </w:r>
      <w:r>
        <w:rPr>
          <w:sz w:val="26"/>
        </w:rPr>
        <w:t>of</w:t>
      </w:r>
      <w:r>
        <w:rPr>
          <w:spacing w:val="-21"/>
          <w:sz w:val="26"/>
        </w:rPr>
        <w:t xml:space="preserve"> </w:t>
      </w:r>
      <w:r>
        <w:rPr>
          <w:sz w:val="26"/>
        </w:rPr>
        <w:t>the</w:t>
      </w:r>
      <w:r>
        <w:rPr>
          <w:spacing w:val="-18"/>
          <w:sz w:val="26"/>
        </w:rPr>
        <w:t xml:space="preserve"> </w:t>
      </w:r>
      <w:r>
        <w:rPr>
          <w:sz w:val="26"/>
        </w:rPr>
        <w:t>word</w:t>
      </w:r>
      <w:r>
        <w:rPr>
          <w:spacing w:val="-22"/>
          <w:sz w:val="26"/>
        </w:rPr>
        <w:t xml:space="preserve"> </w:t>
      </w:r>
      <w:r>
        <w:rPr>
          <w:sz w:val="26"/>
        </w:rPr>
        <w:t>‘includes’</w:t>
      </w:r>
      <w:r>
        <w:rPr>
          <w:spacing w:val="-21"/>
          <w:sz w:val="26"/>
        </w:rPr>
        <w:t xml:space="preserve"> </w:t>
      </w:r>
      <w:r>
        <w:rPr>
          <w:sz w:val="26"/>
        </w:rPr>
        <w:t>enlarges</w:t>
      </w:r>
      <w:r>
        <w:rPr>
          <w:spacing w:val="-21"/>
          <w:sz w:val="26"/>
        </w:rPr>
        <w:t xml:space="preserve"> </w:t>
      </w:r>
      <w:r>
        <w:rPr>
          <w:sz w:val="26"/>
        </w:rPr>
        <w:t>the</w:t>
      </w:r>
      <w:r>
        <w:rPr>
          <w:spacing w:val="-21"/>
          <w:sz w:val="26"/>
        </w:rPr>
        <w:t xml:space="preserve"> </w:t>
      </w:r>
      <w:r>
        <w:rPr>
          <w:sz w:val="26"/>
        </w:rPr>
        <w:t>meaning</w:t>
      </w:r>
      <w:r>
        <w:rPr>
          <w:spacing w:val="-22"/>
          <w:sz w:val="26"/>
        </w:rPr>
        <w:t xml:space="preserve"> </w:t>
      </w:r>
      <w:r>
        <w:rPr>
          <w:sz w:val="26"/>
        </w:rPr>
        <w:t>of</w:t>
      </w:r>
      <w:r>
        <w:rPr>
          <w:spacing w:val="-21"/>
          <w:sz w:val="26"/>
        </w:rPr>
        <w:t xml:space="preserve"> </w:t>
      </w:r>
      <w:r>
        <w:rPr>
          <w:sz w:val="26"/>
        </w:rPr>
        <w:t>the</w:t>
      </w:r>
      <w:r>
        <w:rPr>
          <w:spacing w:val="-19"/>
          <w:sz w:val="26"/>
        </w:rPr>
        <w:t xml:space="preserve"> </w:t>
      </w:r>
      <w:r>
        <w:rPr>
          <w:sz w:val="26"/>
        </w:rPr>
        <w:t>words</w:t>
      </w:r>
      <w:r>
        <w:rPr>
          <w:spacing w:val="-22"/>
          <w:sz w:val="26"/>
        </w:rPr>
        <w:t xml:space="preserve"> </w:t>
      </w:r>
      <w:r>
        <w:rPr>
          <w:sz w:val="26"/>
        </w:rPr>
        <w:t>or</w:t>
      </w:r>
      <w:r>
        <w:rPr>
          <w:spacing w:val="-18"/>
          <w:sz w:val="26"/>
        </w:rPr>
        <w:t xml:space="preserve"> </w:t>
      </w:r>
      <w:r>
        <w:rPr>
          <w:sz w:val="26"/>
        </w:rPr>
        <w:t>phrases</w:t>
      </w:r>
      <w:r>
        <w:rPr>
          <w:spacing w:val="-19"/>
          <w:sz w:val="26"/>
        </w:rPr>
        <w:t xml:space="preserve"> </w:t>
      </w:r>
      <w:r>
        <w:rPr>
          <w:sz w:val="26"/>
        </w:rPr>
        <w:t>used.</w:t>
      </w:r>
      <w:r>
        <w:rPr>
          <w:position w:val="9"/>
          <w:sz w:val="17"/>
        </w:rPr>
        <w:t xml:space="preserve">138 </w:t>
      </w:r>
      <w:r>
        <w:rPr>
          <w:sz w:val="26"/>
        </w:rPr>
        <w:t>In h</w:t>
      </w:r>
      <w:r>
        <w:rPr>
          <w:sz w:val="26"/>
        </w:rPr>
        <w:t xml:space="preserve">is seminal work, ‘Principles of Statutory Interpretation’, Justice G P Singh writes that: “where the word defined is declared to ‘include’ such and such, the definition is </w:t>
      </w:r>
      <w:r>
        <w:rPr>
          <w:i/>
          <w:sz w:val="26"/>
        </w:rPr>
        <w:t>prima facie</w:t>
      </w:r>
      <w:r>
        <w:rPr>
          <w:i/>
          <w:spacing w:val="-3"/>
          <w:sz w:val="26"/>
        </w:rPr>
        <w:t xml:space="preserve"> </w:t>
      </w:r>
      <w:r>
        <w:rPr>
          <w:sz w:val="26"/>
        </w:rPr>
        <w:t>extensive.”</w:t>
      </w:r>
      <w:r>
        <w:rPr>
          <w:position w:val="9"/>
          <w:sz w:val="17"/>
        </w:rPr>
        <w:t>139</w:t>
      </w:r>
    </w:p>
    <w:p w:rsidR="003B2FC0" w:rsidRDefault="003B2FC0">
      <w:pPr>
        <w:rPr>
          <w:sz w:val="30"/>
        </w:rPr>
      </w:pPr>
    </w:p>
    <w:p w:rsidR="003B2FC0" w:rsidRDefault="003B2FC0">
      <w:pPr>
        <w:spacing w:before="10"/>
        <w:rPr>
          <w:sz w:val="34"/>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 xml:space="preserve">In </w:t>
      </w:r>
      <w:r>
        <w:rPr>
          <w:b/>
          <w:sz w:val="26"/>
        </w:rPr>
        <w:t xml:space="preserve">Sant Ram </w:t>
      </w:r>
      <w:r>
        <w:rPr>
          <w:sz w:val="26"/>
        </w:rPr>
        <w:t xml:space="preserve">v </w:t>
      </w:r>
      <w:r>
        <w:rPr>
          <w:b/>
          <w:sz w:val="26"/>
        </w:rPr>
        <w:t>Labh Singh</w:t>
      </w:r>
      <w:r>
        <w:rPr>
          <w:position w:val="9"/>
          <w:sz w:val="17"/>
        </w:rPr>
        <w:t>140</w:t>
      </w:r>
      <w:r>
        <w:rPr>
          <w:sz w:val="26"/>
        </w:rPr>
        <w:t>, a Constitution Bench of this Court dealt with whether ‘after coming into operation of the Constitution, the right of pre- emption is contrary to the provisions of Art. 19(1)(f) read with Art. 13 of the Constitution’. It was contended that the terms ‘law’</w:t>
      </w:r>
      <w:r>
        <w:rPr>
          <w:sz w:val="26"/>
        </w:rPr>
        <w:t xml:space="preserve"> and ‘laws in force’ were defined separately and ‘custom or usage’ in the definition of ‘law’ cannot be included in the definition of ‘laws in force’. Rejecting this contention, the Court relied on the expansive meaning imported by the use of ‘includes’ in</w:t>
      </w:r>
      <w:r>
        <w:rPr>
          <w:sz w:val="26"/>
        </w:rPr>
        <w:t xml:space="preserve"> </w:t>
      </w:r>
      <w:r>
        <w:rPr>
          <w:spacing w:val="3"/>
          <w:sz w:val="26"/>
        </w:rPr>
        <w:t xml:space="preserve">the </w:t>
      </w:r>
      <w:r>
        <w:rPr>
          <w:sz w:val="26"/>
        </w:rPr>
        <w:t>definition</w:t>
      </w:r>
      <w:r>
        <w:rPr>
          <w:spacing w:val="-2"/>
          <w:sz w:val="26"/>
        </w:rPr>
        <w:t xml:space="preserve"> </w:t>
      </w:r>
      <w:r>
        <w:rPr>
          <w:sz w:val="26"/>
        </w:rPr>
        <w:t>clauses:</w:t>
      </w:r>
    </w:p>
    <w:p w:rsidR="003B2FC0" w:rsidRDefault="00052A49">
      <w:pPr>
        <w:spacing w:before="198" w:line="276" w:lineRule="auto"/>
        <w:ind w:left="1840" w:right="2282"/>
        <w:jc w:val="both"/>
        <w:rPr>
          <w:sz w:val="21"/>
        </w:rPr>
      </w:pPr>
      <w:r>
        <w:rPr>
          <w:sz w:val="21"/>
        </w:rPr>
        <w:t>“4…The question is whether by defining the composite</w:t>
      </w:r>
      <w:r>
        <w:rPr>
          <w:spacing w:val="-23"/>
          <w:sz w:val="21"/>
        </w:rPr>
        <w:t xml:space="preserve"> </w:t>
      </w:r>
      <w:r>
        <w:rPr>
          <w:sz w:val="21"/>
        </w:rPr>
        <w:t>phrase “laws</w:t>
      </w:r>
      <w:r>
        <w:rPr>
          <w:spacing w:val="-13"/>
          <w:sz w:val="21"/>
        </w:rPr>
        <w:t xml:space="preserve"> </w:t>
      </w:r>
      <w:r>
        <w:rPr>
          <w:sz w:val="21"/>
        </w:rPr>
        <w:t>in</w:t>
      </w:r>
      <w:r>
        <w:rPr>
          <w:spacing w:val="-13"/>
          <w:sz w:val="21"/>
        </w:rPr>
        <w:t xml:space="preserve"> </w:t>
      </w:r>
      <w:r>
        <w:rPr>
          <w:sz w:val="21"/>
        </w:rPr>
        <w:t>force”</w:t>
      </w:r>
      <w:r>
        <w:rPr>
          <w:spacing w:val="-13"/>
          <w:sz w:val="21"/>
        </w:rPr>
        <w:t xml:space="preserve"> </w:t>
      </w:r>
      <w:r>
        <w:rPr>
          <w:sz w:val="21"/>
        </w:rPr>
        <w:t>the</w:t>
      </w:r>
      <w:r>
        <w:rPr>
          <w:spacing w:val="-13"/>
          <w:sz w:val="21"/>
        </w:rPr>
        <w:t xml:space="preserve"> </w:t>
      </w:r>
      <w:r>
        <w:rPr>
          <w:sz w:val="21"/>
        </w:rPr>
        <w:t>intention</w:t>
      </w:r>
      <w:r>
        <w:rPr>
          <w:spacing w:val="-12"/>
          <w:sz w:val="21"/>
        </w:rPr>
        <w:t xml:space="preserve"> </w:t>
      </w:r>
      <w:r>
        <w:rPr>
          <w:sz w:val="21"/>
        </w:rPr>
        <w:t>is</w:t>
      </w:r>
      <w:r>
        <w:rPr>
          <w:spacing w:val="-13"/>
          <w:sz w:val="21"/>
        </w:rPr>
        <w:t xml:space="preserve"> </w:t>
      </w:r>
      <w:r>
        <w:rPr>
          <w:sz w:val="21"/>
        </w:rPr>
        <w:t>to</w:t>
      </w:r>
      <w:r>
        <w:rPr>
          <w:spacing w:val="-13"/>
          <w:sz w:val="21"/>
        </w:rPr>
        <w:t xml:space="preserve"> </w:t>
      </w:r>
      <w:r>
        <w:rPr>
          <w:sz w:val="21"/>
        </w:rPr>
        <w:t>exclude</w:t>
      </w:r>
      <w:r>
        <w:rPr>
          <w:spacing w:val="-12"/>
          <w:sz w:val="21"/>
        </w:rPr>
        <w:t xml:space="preserve"> </w:t>
      </w:r>
      <w:r>
        <w:rPr>
          <w:sz w:val="21"/>
        </w:rPr>
        <w:t>the</w:t>
      </w:r>
      <w:r>
        <w:rPr>
          <w:spacing w:val="-13"/>
          <w:sz w:val="21"/>
        </w:rPr>
        <w:t xml:space="preserve"> </w:t>
      </w:r>
      <w:r>
        <w:rPr>
          <w:sz w:val="21"/>
        </w:rPr>
        <w:t>first</w:t>
      </w:r>
      <w:r>
        <w:rPr>
          <w:spacing w:val="-13"/>
          <w:sz w:val="21"/>
        </w:rPr>
        <w:t xml:space="preserve"> </w:t>
      </w:r>
      <w:r>
        <w:rPr>
          <w:sz w:val="21"/>
        </w:rPr>
        <w:t>definition.</w:t>
      </w:r>
      <w:r>
        <w:rPr>
          <w:spacing w:val="-14"/>
          <w:sz w:val="21"/>
        </w:rPr>
        <w:t xml:space="preserve"> </w:t>
      </w:r>
      <w:r>
        <w:rPr>
          <w:sz w:val="21"/>
        </w:rPr>
        <w:t>The definition of the phrase “laws in force” is an inclusive definition and is intended to include laws p</w:t>
      </w:r>
      <w:r>
        <w:rPr>
          <w:sz w:val="21"/>
        </w:rPr>
        <w:t>assed or made by a Legislature or other competent authority before the commencement of the Constitution irrespective of the fact</w:t>
      </w:r>
      <w:r>
        <w:rPr>
          <w:spacing w:val="-28"/>
          <w:sz w:val="21"/>
        </w:rPr>
        <w:t xml:space="preserve"> </w:t>
      </w:r>
      <w:r>
        <w:rPr>
          <w:sz w:val="21"/>
        </w:rPr>
        <w:t>that the law or any part thereof was not in operation in particular areas or at all. In other words, laws, which were not in op</w:t>
      </w:r>
      <w:r>
        <w:rPr>
          <w:sz w:val="21"/>
        </w:rPr>
        <w:t>eration, though on the statute book, were included in the phrase “laws in force”. But the second definition does not in any way restrict the ambit of the word “law” in the first clause as</w:t>
      </w:r>
      <w:r>
        <w:rPr>
          <w:spacing w:val="13"/>
          <w:sz w:val="21"/>
        </w:rPr>
        <w:t xml:space="preserve"> </w:t>
      </w:r>
      <w:r>
        <w:rPr>
          <w:sz w:val="21"/>
        </w:rPr>
        <w:t>extended</w:t>
      </w:r>
      <w:r>
        <w:rPr>
          <w:spacing w:val="14"/>
          <w:sz w:val="21"/>
        </w:rPr>
        <w:t xml:space="preserve"> </w:t>
      </w:r>
      <w:r>
        <w:rPr>
          <w:sz w:val="21"/>
        </w:rPr>
        <w:t>by</w:t>
      </w:r>
      <w:r>
        <w:rPr>
          <w:spacing w:val="12"/>
          <w:sz w:val="21"/>
        </w:rPr>
        <w:t xml:space="preserve"> </w:t>
      </w:r>
      <w:r>
        <w:rPr>
          <w:sz w:val="21"/>
        </w:rPr>
        <w:t>the</w:t>
      </w:r>
      <w:r>
        <w:rPr>
          <w:spacing w:val="14"/>
          <w:sz w:val="21"/>
        </w:rPr>
        <w:t xml:space="preserve"> </w:t>
      </w:r>
      <w:r>
        <w:rPr>
          <w:sz w:val="21"/>
        </w:rPr>
        <w:t>definition</w:t>
      </w:r>
      <w:r>
        <w:rPr>
          <w:spacing w:val="14"/>
          <w:sz w:val="21"/>
        </w:rPr>
        <w:t xml:space="preserve"> </w:t>
      </w:r>
      <w:r>
        <w:rPr>
          <w:sz w:val="21"/>
        </w:rPr>
        <w:t>of</w:t>
      </w:r>
      <w:r>
        <w:rPr>
          <w:spacing w:val="15"/>
          <w:sz w:val="21"/>
        </w:rPr>
        <w:t xml:space="preserve"> </w:t>
      </w:r>
      <w:r>
        <w:rPr>
          <w:sz w:val="21"/>
        </w:rPr>
        <w:t>that</w:t>
      </w:r>
      <w:r>
        <w:rPr>
          <w:spacing w:val="13"/>
          <w:sz w:val="21"/>
        </w:rPr>
        <w:t xml:space="preserve"> </w:t>
      </w:r>
      <w:r>
        <w:rPr>
          <w:sz w:val="21"/>
        </w:rPr>
        <w:t>word.</w:t>
      </w:r>
      <w:r>
        <w:rPr>
          <w:spacing w:val="15"/>
          <w:sz w:val="21"/>
        </w:rPr>
        <w:t xml:space="preserve"> </w:t>
      </w:r>
      <w:r>
        <w:rPr>
          <w:sz w:val="21"/>
        </w:rPr>
        <w:t>It</w:t>
      </w:r>
      <w:r>
        <w:rPr>
          <w:spacing w:val="15"/>
          <w:sz w:val="21"/>
        </w:rPr>
        <w:t xml:space="preserve"> </w:t>
      </w:r>
      <w:r>
        <w:rPr>
          <w:sz w:val="21"/>
        </w:rPr>
        <w:t>merely</w:t>
      </w:r>
      <w:r>
        <w:rPr>
          <w:spacing w:val="9"/>
          <w:sz w:val="21"/>
        </w:rPr>
        <w:t xml:space="preserve"> </w:t>
      </w:r>
      <w:r>
        <w:rPr>
          <w:sz w:val="21"/>
        </w:rPr>
        <w:t>seeks</w:t>
      </w:r>
      <w:r>
        <w:rPr>
          <w:spacing w:val="14"/>
          <w:sz w:val="21"/>
        </w:rPr>
        <w:t xml:space="preserve"> </w:t>
      </w:r>
      <w:r>
        <w:rPr>
          <w:sz w:val="21"/>
        </w:rPr>
        <w:t>to</w:t>
      </w:r>
    </w:p>
    <w:p w:rsidR="003B2FC0" w:rsidRDefault="003B2FC0">
      <w:pPr>
        <w:spacing w:before="8"/>
        <w:rPr>
          <w:sz w:val="10"/>
        </w:rPr>
      </w:pPr>
      <w:r w:rsidRPr="003B2FC0">
        <w:pict>
          <v:line id="_x0000_s1076" style="position:absolute;z-index:251639296;mso-wrap-distance-left:0;mso-wrap-distance-right:0;mso-position-horizontal-relative:page" from="1in,8.55pt" to="216.05pt,8.55pt" strokeweight=".72pt">
            <w10:wrap type="topAndBottom" anchorx="page"/>
          </v:line>
        </w:pict>
      </w:r>
    </w:p>
    <w:p w:rsidR="003B2FC0" w:rsidRDefault="00052A49">
      <w:pPr>
        <w:spacing w:before="66"/>
        <w:ind w:left="580" w:right="438" w:hanging="180"/>
        <w:jc w:val="both"/>
        <w:rPr>
          <w:sz w:val="18"/>
        </w:rPr>
      </w:pPr>
      <w:r>
        <w:rPr>
          <w:position w:val="6"/>
          <w:sz w:val="12"/>
        </w:rPr>
        <w:t xml:space="preserve">138 </w:t>
      </w:r>
      <w:r>
        <w:rPr>
          <w:sz w:val="18"/>
        </w:rPr>
        <w:t>Ardeshir H Bhiwandiwala v State of Bombay (1961) 3 SCR 592; CIT v Taj Mahal Hotel, Secunderabad (1971) 3 SCC 550; Geeta Enterprises v State of U P (1983) 4 SCC 202; Regional Director, ESIC v High Land Coffee Works of P.F.X. Saldanha &amp; Sons (1991) 3 SCC</w:t>
      </w:r>
      <w:r>
        <w:rPr>
          <w:spacing w:val="-3"/>
          <w:sz w:val="18"/>
        </w:rPr>
        <w:t xml:space="preserve"> </w:t>
      </w:r>
      <w:r>
        <w:rPr>
          <w:sz w:val="18"/>
        </w:rPr>
        <w:t>617</w:t>
      </w:r>
    </w:p>
    <w:p w:rsidR="003B2FC0" w:rsidRDefault="00052A49">
      <w:pPr>
        <w:spacing w:line="205" w:lineRule="exact"/>
        <w:ind w:left="400"/>
        <w:rPr>
          <w:sz w:val="18"/>
        </w:rPr>
      </w:pPr>
      <w:r>
        <w:rPr>
          <w:position w:val="6"/>
          <w:sz w:val="12"/>
        </w:rPr>
        <w:t xml:space="preserve">139 </w:t>
      </w:r>
      <w:r>
        <w:rPr>
          <w:sz w:val="18"/>
        </w:rPr>
        <w:t>Justice G P Singh, Principles of Statutory Interpretation, Lexis Nexis (2016) at page 198</w:t>
      </w:r>
    </w:p>
    <w:p w:rsidR="003B2FC0" w:rsidRDefault="00052A49">
      <w:pPr>
        <w:spacing w:line="210" w:lineRule="exact"/>
        <w:ind w:left="400"/>
        <w:rPr>
          <w:sz w:val="18"/>
        </w:rPr>
      </w:pPr>
      <w:r>
        <w:rPr>
          <w:position w:val="6"/>
          <w:sz w:val="12"/>
        </w:rPr>
        <w:t xml:space="preserve">140 </w:t>
      </w:r>
      <w:r>
        <w:rPr>
          <w:sz w:val="18"/>
        </w:rPr>
        <w:t>(1964) 7 SCR 756</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6" w:lineRule="auto"/>
        <w:ind w:left="1840" w:right="2282"/>
        <w:jc w:val="both"/>
        <w:rPr>
          <w:sz w:val="21"/>
        </w:rPr>
      </w:pPr>
      <w:r>
        <w:rPr>
          <w:sz w:val="21"/>
        </w:rPr>
        <w:t>amplify it by including something which, but for the second definition,</w:t>
      </w:r>
      <w:r>
        <w:rPr>
          <w:spacing w:val="-17"/>
          <w:sz w:val="21"/>
        </w:rPr>
        <w:t xml:space="preserve"> </w:t>
      </w:r>
      <w:r>
        <w:rPr>
          <w:sz w:val="21"/>
        </w:rPr>
        <w:t>would</w:t>
      </w:r>
      <w:r>
        <w:rPr>
          <w:spacing w:val="-15"/>
          <w:sz w:val="21"/>
        </w:rPr>
        <w:t xml:space="preserve"> </w:t>
      </w:r>
      <w:r>
        <w:rPr>
          <w:sz w:val="21"/>
        </w:rPr>
        <w:t>not</w:t>
      </w:r>
      <w:r>
        <w:rPr>
          <w:spacing w:val="-16"/>
          <w:sz w:val="21"/>
        </w:rPr>
        <w:t xml:space="preserve"> </w:t>
      </w:r>
      <w:r>
        <w:rPr>
          <w:sz w:val="21"/>
        </w:rPr>
        <w:t>be</w:t>
      </w:r>
      <w:r>
        <w:rPr>
          <w:spacing w:val="-15"/>
          <w:sz w:val="21"/>
        </w:rPr>
        <w:t xml:space="preserve"> </w:t>
      </w:r>
      <w:r>
        <w:rPr>
          <w:sz w:val="21"/>
        </w:rPr>
        <w:t>included</w:t>
      </w:r>
      <w:r>
        <w:rPr>
          <w:spacing w:val="-16"/>
          <w:sz w:val="21"/>
        </w:rPr>
        <w:t xml:space="preserve"> </w:t>
      </w:r>
      <w:r>
        <w:rPr>
          <w:sz w:val="21"/>
        </w:rPr>
        <w:t>by</w:t>
      </w:r>
      <w:r>
        <w:rPr>
          <w:spacing w:val="-18"/>
          <w:sz w:val="21"/>
        </w:rPr>
        <w:t xml:space="preserve"> </w:t>
      </w:r>
      <w:r>
        <w:rPr>
          <w:sz w:val="21"/>
        </w:rPr>
        <w:t>the</w:t>
      </w:r>
      <w:r>
        <w:rPr>
          <w:spacing w:val="-15"/>
          <w:sz w:val="21"/>
        </w:rPr>
        <w:t xml:space="preserve"> </w:t>
      </w:r>
      <w:r>
        <w:rPr>
          <w:sz w:val="21"/>
        </w:rPr>
        <w:t>first</w:t>
      </w:r>
      <w:r>
        <w:rPr>
          <w:spacing w:val="-16"/>
          <w:sz w:val="21"/>
        </w:rPr>
        <w:t xml:space="preserve"> </w:t>
      </w:r>
      <w:r>
        <w:rPr>
          <w:sz w:val="21"/>
        </w:rPr>
        <w:t>definition…Cus</w:t>
      </w:r>
      <w:r>
        <w:rPr>
          <w:sz w:val="21"/>
        </w:rPr>
        <w:t>tom and usage having in the territory of India the force of the law must</w:t>
      </w:r>
      <w:r>
        <w:rPr>
          <w:spacing w:val="-7"/>
          <w:sz w:val="21"/>
        </w:rPr>
        <w:t xml:space="preserve"> </w:t>
      </w:r>
      <w:r>
        <w:rPr>
          <w:sz w:val="21"/>
        </w:rPr>
        <w:t>be</w:t>
      </w:r>
      <w:r>
        <w:rPr>
          <w:spacing w:val="-4"/>
          <w:sz w:val="21"/>
        </w:rPr>
        <w:t xml:space="preserve"> </w:t>
      </w:r>
      <w:r>
        <w:rPr>
          <w:sz w:val="21"/>
        </w:rPr>
        <w:t>held</w:t>
      </w:r>
      <w:r>
        <w:rPr>
          <w:spacing w:val="-5"/>
          <w:sz w:val="21"/>
        </w:rPr>
        <w:t xml:space="preserve"> </w:t>
      </w:r>
      <w:r>
        <w:rPr>
          <w:sz w:val="21"/>
        </w:rPr>
        <w:t>to</w:t>
      </w:r>
      <w:r>
        <w:rPr>
          <w:spacing w:val="-5"/>
          <w:sz w:val="21"/>
        </w:rPr>
        <w:t xml:space="preserve"> </w:t>
      </w:r>
      <w:r>
        <w:rPr>
          <w:sz w:val="21"/>
        </w:rPr>
        <w:t>be</w:t>
      </w:r>
      <w:r>
        <w:rPr>
          <w:spacing w:val="-6"/>
          <w:sz w:val="21"/>
        </w:rPr>
        <w:t xml:space="preserve"> </w:t>
      </w:r>
      <w:r>
        <w:rPr>
          <w:sz w:val="21"/>
        </w:rPr>
        <w:t>contemplated</w:t>
      </w:r>
      <w:r>
        <w:rPr>
          <w:spacing w:val="-5"/>
          <w:sz w:val="21"/>
        </w:rPr>
        <w:t xml:space="preserve"> </w:t>
      </w:r>
      <w:r>
        <w:rPr>
          <w:sz w:val="21"/>
        </w:rPr>
        <w:t>by</w:t>
      </w:r>
      <w:r>
        <w:rPr>
          <w:spacing w:val="-7"/>
          <w:sz w:val="21"/>
        </w:rPr>
        <w:t xml:space="preserve"> </w:t>
      </w:r>
      <w:r>
        <w:rPr>
          <w:sz w:val="21"/>
        </w:rPr>
        <w:t>the</w:t>
      </w:r>
      <w:r>
        <w:rPr>
          <w:spacing w:val="-4"/>
          <w:sz w:val="21"/>
        </w:rPr>
        <w:t xml:space="preserve"> </w:t>
      </w:r>
      <w:r>
        <w:rPr>
          <w:sz w:val="21"/>
        </w:rPr>
        <w:t>expression</w:t>
      </w:r>
      <w:r>
        <w:rPr>
          <w:spacing w:val="-8"/>
          <w:sz w:val="21"/>
        </w:rPr>
        <w:t xml:space="preserve"> </w:t>
      </w:r>
      <w:r>
        <w:rPr>
          <w:sz w:val="21"/>
        </w:rPr>
        <w:t>“all</w:t>
      </w:r>
      <w:r>
        <w:rPr>
          <w:spacing w:val="-6"/>
          <w:sz w:val="21"/>
        </w:rPr>
        <w:t xml:space="preserve"> </w:t>
      </w:r>
      <w:r>
        <w:rPr>
          <w:sz w:val="21"/>
        </w:rPr>
        <w:t>laws</w:t>
      </w:r>
      <w:r>
        <w:rPr>
          <w:spacing w:val="-5"/>
          <w:sz w:val="21"/>
        </w:rPr>
        <w:t xml:space="preserve"> </w:t>
      </w:r>
      <w:r>
        <w:rPr>
          <w:sz w:val="21"/>
        </w:rPr>
        <w:t>in force.”</w:t>
      </w:r>
    </w:p>
    <w:p w:rsidR="003B2FC0" w:rsidRDefault="003B2FC0">
      <w:pPr>
        <w:rPr>
          <w:sz w:val="24"/>
        </w:rPr>
      </w:pPr>
    </w:p>
    <w:p w:rsidR="003B2FC0" w:rsidRDefault="003B2FC0">
      <w:pPr>
        <w:rPr>
          <w:sz w:val="24"/>
        </w:rPr>
      </w:pPr>
    </w:p>
    <w:p w:rsidR="003B2FC0" w:rsidRDefault="00052A49">
      <w:pPr>
        <w:spacing w:before="192" w:line="477" w:lineRule="auto"/>
        <w:ind w:left="400" w:right="434"/>
        <w:jc w:val="both"/>
        <w:rPr>
          <w:sz w:val="26"/>
        </w:rPr>
      </w:pPr>
      <w:r>
        <w:rPr>
          <w:sz w:val="26"/>
        </w:rPr>
        <w:t>The use of the term ‘includes’ in the definition of the expression ‘law’ and ‘laws in force’ thus imports a wide me</w:t>
      </w:r>
      <w:r>
        <w:rPr>
          <w:sz w:val="26"/>
        </w:rPr>
        <w:t>aning to both. Practices having the force of law in the territory of India are comprehended within “laws in force.” Prior to the adoption</w:t>
      </w:r>
      <w:r>
        <w:rPr>
          <w:spacing w:val="-19"/>
          <w:sz w:val="26"/>
        </w:rPr>
        <w:t xml:space="preserve"> </w:t>
      </w:r>
      <w:r>
        <w:rPr>
          <w:sz w:val="26"/>
        </w:rPr>
        <w:t>of</w:t>
      </w:r>
      <w:r>
        <w:rPr>
          <w:spacing w:val="-16"/>
          <w:sz w:val="26"/>
        </w:rPr>
        <w:t xml:space="preserve"> </w:t>
      </w:r>
      <w:r>
        <w:rPr>
          <w:sz w:val="26"/>
        </w:rPr>
        <w:t>Article</w:t>
      </w:r>
      <w:r>
        <w:rPr>
          <w:spacing w:val="-19"/>
          <w:sz w:val="26"/>
        </w:rPr>
        <w:t xml:space="preserve"> </w:t>
      </w:r>
      <w:r>
        <w:rPr>
          <w:sz w:val="26"/>
        </w:rPr>
        <w:t>13</w:t>
      </w:r>
      <w:r>
        <w:rPr>
          <w:spacing w:val="-14"/>
          <w:sz w:val="26"/>
        </w:rPr>
        <w:t xml:space="preserve"> </w:t>
      </w:r>
      <w:r>
        <w:rPr>
          <w:sz w:val="26"/>
        </w:rPr>
        <w:t>in</w:t>
      </w:r>
      <w:r>
        <w:rPr>
          <w:spacing w:val="-18"/>
          <w:sz w:val="26"/>
        </w:rPr>
        <w:t xml:space="preserve"> </w:t>
      </w:r>
      <w:r>
        <w:rPr>
          <w:sz w:val="26"/>
        </w:rPr>
        <w:t>the</w:t>
      </w:r>
      <w:r>
        <w:rPr>
          <w:spacing w:val="-17"/>
          <w:sz w:val="26"/>
        </w:rPr>
        <w:t xml:space="preserve"> </w:t>
      </w:r>
      <w:r>
        <w:rPr>
          <w:sz w:val="26"/>
        </w:rPr>
        <w:t>present</w:t>
      </w:r>
      <w:r>
        <w:rPr>
          <w:spacing w:val="-19"/>
          <w:sz w:val="26"/>
        </w:rPr>
        <w:t xml:space="preserve"> </w:t>
      </w:r>
      <w:r>
        <w:rPr>
          <w:sz w:val="26"/>
        </w:rPr>
        <w:t>form,</w:t>
      </w:r>
      <w:r>
        <w:rPr>
          <w:spacing w:val="-14"/>
          <w:sz w:val="26"/>
        </w:rPr>
        <w:t xml:space="preserve"> </w:t>
      </w:r>
      <w:r>
        <w:rPr>
          <w:sz w:val="26"/>
        </w:rPr>
        <w:t>draft</w:t>
      </w:r>
      <w:r>
        <w:rPr>
          <w:spacing w:val="-18"/>
          <w:sz w:val="26"/>
        </w:rPr>
        <w:t xml:space="preserve"> </w:t>
      </w:r>
      <w:r>
        <w:rPr>
          <w:sz w:val="26"/>
        </w:rPr>
        <w:t>Article</w:t>
      </w:r>
      <w:r>
        <w:rPr>
          <w:spacing w:val="-19"/>
          <w:sz w:val="26"/>
        </w:rPr>
        <w:t xml:space="preserve"> </w:t>
      </w:r>
      <w:r>
        <w:rPr>
          <w:sz w:val="26"/>
        </w:rPr>
        <w:t>8</w:t>
      </w:r>
      <w:r>
        <w:rPr>
          <w:spacing w:val="-16"/>
          <w:sz w:val="26"/>
        </w:rPr>
        <w:t xml:space="preserve"> </w:t>
      </w:r>
      <w:r>
        <w:rPr>
          <w:sz w:val="26"/>
        </w:rPr>
        <w:t>included</w:t>
      </w:r>
      <w:r>
        <w:rPr>
          <w:spacing w:val="-15"/>
          <w:sz w:val="26"/>
        </w:rPr>
        <w:t xml:space="preserve"> </w:t>
      </w:r>
      <w:r>
        <w:rPr>
          <w:sz w:val="26"/>
        </w:rPr>
        <w:t>only</w:t>
      </w:r>
      <w:r>
        <w:rPr>
          <w:spacing w:val="-20"/>
          <w:sz w:val="26"/>
        </w:rPr>
        <w:t xml:space="preserve"> </w:t>
      </w:r>
      <w:r>
        <w:rPr>
          <w:sz w:val="26"/>
        </w:rPr>
        <w:t>a</w:t>
      </w:r>
      <w:r>
        <w:rPr>
          <w:spacing w:val="-16"/>
          <w:sz w:val="26"/>
        </w:rPr>
        <w:t xml:space="preserve"> </w:t>
      </w:r>
      <w:r>
        <w:rPr>
          <w:sz w:val="26"/>
        </w:rPr>
        <w:t>definition of ‘law’.</w:t>
      </w:r>
      <w:r>
        <w:rPr>
          <w:position w:val="9"/>
          <w:sz w:val="17"/>
        </w:rPr>
        <w:t xml:space="preserve">141 </w:t>
      </w:r>
      <w:r>
        <w:rPr>
          <w:sz w:val="26"/>
        </w:rPr>
        <w:t>In October 1948, the Drafting Committee brought in the definition of ‘laws in force’. The reason for proposing this amendment emerges from the note</w:t>
      </w:r>
      <w:r>
        <w:rPr>
          <w:position w:val="9"/>
          <w:sz w:val="17"/>
        </w:rPr>
        <w:t xml:space="preserve">142 </w:t>
      </w:r>
      <w:r>
        <w:rPr>
          <w:sz w:val="26"/>
        </w:rPr>
        <w:t>of the Drafting</w:t>
      </w:r>
      <w:r>
        <w:rPr>
          <w:spacing w:val="-24"/>
          <w:sz w:val="26"/>
        </w:rPr>
        <w:t xml:space="preserve"> </w:t>
      </w:r>
      <w:r>
        <w:rPr>
          <w:sz w:val="26"/>
        </w:rPr>
        <w:t>Committee:</w:t>
      </w:r>
    </w:p>
    <w:p w:rsidR="003B2FC0" w:rsidRDefault="00052A49">
      <w:pPr>
        <w:spacing w:before="211" w:line="276" w:lineRule="auto"/>
        <w:ind w:left="1840" w:right="2282"/>
        <w:jc w:val="both"/>
        <w:rPr>
          <w:sz w:val="21"/>
        </w:rPr>
      </w:pPr>
      <w:r>
        <w:rPr>
          <w:sz w:val="21"/>
        </w:rPr>
        <w:t>“The expression “laws in force” has been used in clause (1) of 8, but it is not clear if a law which has been passed by the Legislature but which is not in operation either at all or in particular areas would be treated as a law in force so as to attract</w:t>
      </w:r>
      <w:r>
        <w:rPr>
          <w:spacing w:val="-14"/>
          <w:sz w:val="21"/>
        </w:rPr>
        <w:t xml:space="preserve"> </w:t>
      </w:r>
      <w:r>
        <w:rPr>
          <w:sz w:val="21"/>
        </w:rPr>
        <w:t>t</w:t>
      </w:r>
      <w:r>
        <w:rPr>
          <w:sz w:val="21"/>
        </w:rPr>
        <w:t>he</w:t>
      </w:r>
      <w:r>
        <w:rPr>
          <w:spacing w:val="-13"/>
          <w:sz w:val="21"/>
        </w:rPr>
        <w:t xml:space="preserve"> </w:t>
      </w:r>
      <w:r>
        <w:rPr>
          <w:sz w:val="21"/>
        </w:rPr>
        <w:t>operation</w:t>
      </w:r>
      <w:r>
        <w:rPr>
          <w:spacing w:val="-13"/>
          <w:sz w:val="21"/>
        </w:rPr>
        <w:t xml:space="preserve"> </w:t>
      </w:r>
      <w:r>
        <w:rPr>
          <w:sz w:val="21"/>
        </w:rPr>
        <w:t>of</w:t>
      </w:r>
      <w:r>
        <w:rPr>
          <w:spacing w:val="-12"/>
          <w:sz w:val="21"/>
        </w:rPr>
        <w:t xml:space="preserve"> </w:t>
      </w:r>
      <w:r>
        <w:rPr>
          <w:sz w:val="21"/>
        </w:rPr>
        <w:t>clause</w:t>
      </w:r>
      <w:r>
        <w:rPr>
          <w:spacing w:val="-13"/>
          <w:sz w:val="21"/>
        </w:rPr>
        <w:t xml:space="preserve"> </w:t>
      </w:r>
      <w:r>
        <w:rPr>
          <w:sz w:val="21"/>
        </w:rPr>
        <w:t>(1)</w:t>
      </w:r>
      <w:r>
        <w:rPr>
          <w:spacing w:val="-13"/>
          <w:sz w:val="21"/>
        </w:rPr>
        <w:t xml:space="preserve"> </w:t>
      </w:r>
      <w:r>
        <w:rPr>
          <w:sz w:val="21"/>
        </w:rPr>
        <w:t>of</w:t>
      </w:r>
      <w:r>
        <w:rPr>
          <w:spacing w:val="-12"/>
          <w:sz w:val="21"/>
        </w:rPr>
        <w:t xml:space="preserve"> </w:t>
      </w:r>
      <w:r>
        <w:rPr>
          <w:sz w:val="21"/>
        </w:rPr>
        <w:t>this</w:t>
      </w:r>
      <w:r>
        <w:rPr>
          <w:spacing w:val="-13"/>
          <w:sz w:val="21"/>
        </w:rPr>
        <w:t xml:space="preserve"> </w:t>
      </w:r>
      <w:r>
        <w:rPr>
          <w:sz w:val="21"/>
        </w:rPr>
        <w:t>article.</w:t>
      </w:r>
      <w:r>
        <w:rPr>
          <w:spacing w:val="-14"/>
          <w:sz w:val="21"/>
        </w:rPr>
        <w:t xml:space="preserve"> </w:t>
      </w:r>
      <w:r>
        <w:rPr>
          <w:sz w:val="21"/>
        </w:rPr>
        <w:t>It</w:t>
      </w:r>
      <w:r>
        <w:rPr>
          <w:spacing w:val="-12"/>
          <w:sz w:val="21"/>
        </w:rPr>
        <w:t xml:space="preserve"> </w:t>
      </w:r>
      <w:r>
        <w:rPr>
          <w:sz w:val="21"/>
        </w:rPr>
        <w:t>is</w:t>
      </w:r>
      <w:r>
        <w:rPr>
          <w:spacing w:val="-12"/>
          <w:sz w:val="21"/>
        </w:rPr>
        <w:t xml:space="preserve"> </w:t>
      </w:r>
      <w:r>
        <w:rPr>
          <w:sz w:val="21"/>
        </w:rPr>
        <w:t>accordingly suggested that a definition of “law in force” on the lines of Explanation I to article 307 should be inserted in clause (3) of this</w:t>
      </w:r>
      <w:r>
        <w:rPr>
          <w:spacing w:val="-2"/>
          <w:sz w:val="21"/>
        </w:rPr>
        <w:t xml:space="preserve"> </w:t>
      </w:r>
      <w:r>
        <w:rPr>
          <w:sz w:val="21"/>
        </w:rPr>
        <w:t>article.”</w:t>
      </w:r>
    </w:p>
    <w:p w:rsidR="003B2FC0" w:rsidRDefault="003B2FC0">
      <w:pPr>
        <w:rPr>
          <w:sz w:val="24"/>
        </w:rPr>
      </w:pPr>
    </w:p>
    <w:p w:rsidR="003B2FC0" w:rsidRDefault="003B2FC0">
      <w:pPr>
        <w:rPr>
          <w:sz w:val="24"/>
        </w:rPr>
      </w:pPr>
    </w:p>
    <w:p w:rsidR="003B2FC0" w:rsidRDefault="00052A49">
      <w:pPr>
        <w:spacing w:before="192" w:line="480" w:lineRule="auto"/>
        <w:ind w:left="400" w:right="434"/>
        <w:jc w:val="both"/>
        <w:rPr>
          <w:sz w:val="26"/>
        </w:rPr>
      </w:pPr>
      <w:r>
        <w:rPr>
          <w:sz w:val="26"/>
        </w:rPr>
        <w:t xml:space="preserve">The reason for a separate definition for ‘laws in </w:t>
      </w:r>
      <w:r>
        <w:rPr>
          <w:sz w:val="26"/>
        </w:rPr>
        <w:t>force’ is crucial. The definition of</w:t>
      </w:r>
      <w:r>
        <w:rPr>
          <w:spacing w:val="-7"/>
          <w:sz w:val="26"/>
        </w:rPr>
        <w:t xml:space="preserve"> </w:t>
      </w:r>
      <w:r>
        <w:rPr>
          <w:sz w:val="26"/>
        </w:rPr>
        <w:t>‘laws</w:t>
      </w:r>
      <w:r>
        <w:rPr>
          <w:spacing w:val="-6"/>
          <w:sz w:val="26"/>
        </w:rPr>
        <w:t xml:space="preserve"> </w:t>
      </w:r>
      <w:r>
        <w:rPr>
          <w:sz w:val="26"/>
        </w:rPr>
        <w:t>in</w:t>
      </w:r>
      <w:r>
        <w:rPr>
          <w:spacing w:val="-6"/>
          <w:sz w:val="26"/>
        </w:rPr>
        <w:t xml:space="preserve"> </w:t>
      </w:r>
      <w:r>
        <w:rPr>
          <w:sz w:val="26"/>
        </w:rPr>
        <w:t>force’</w:t>
      </w:r>
      <w:r>
        <w:rPr>
          <w:spacing w:val="-5"/>
          <w:sz w:val="26"/>
        </w:rPr>
        <w:t xml:space="preserve"> </w:t>
      </w:r>
      <w:r>
        <w:rPr>
          <w:sz w:val="26"/>
        </w:rPr>
        <w:t>was</w:t>
      </w:r>
      <w:r>
        <w:rPr>
          <w:spacing w:val="-4"/>
          <w:sz w:val="26"/>
        </w:rPr>
        <w:t xml:space="preserve"> </w:t>
      </w:r>
      <w:r>
        <w:rPr>
          <w:sz w:val="26"/>
        </w:rPr>
        <w:t>inserted</w:t>
      </w:r>
      <w:r>
        <w:rPr>
          <w:spacing w:val="-7"/>
          <w:sz w:val="26"/>
        </w:rPr>
        <w:t xml:space="preserve"> </w:t>
      </w:r>
      <w:r>
        <w:rPr>
          <w:sz w:val="26"/>
        </w:rPr>
        <w:t>to</w:t>
      </w:r>
      <w:r>
        <w:rPr>
          <w:spacing w:val="-7"/>
          <w:sz w:val="26"/>
        </w:rPr>
        <w:t xml:space="preserve"> </w:t>
      </w:r>
      <w:r>
        <w:rPr>
          <w:sz w:val="26"/>
        </w:rPr>
        <w:t>ensure</w:t>
      </w:r>
      <w:r>
        <w:rPr>
          <w:spacing w:val="-6"/>
          <w:sz w:val="26"/>
        </w:rPr>
        <w:t xml:space="preserve"> </w:t>
      </w:r>
      <w:r>
        <w:rPr>
          <w:sz w:val="26"/>
        </w:rPr>
        <w:t>that</w:t>
      </w:r>
      <w:r>
        <w:rPr>
          <w:spacing w:val="-6"/>
          <w:sz w:val="26"/>
        </w:rPr>
        <w:t xml:space="preserve"> </w:t>
      </w:r>
      <w:r>
        <w:rPr>
          <w:sz w:val="26"/>
        </w:rPr>
        <w:t>laws</w:t>
      </w:r>
      <w:r>
        <w:rPr>
          <w:spacing w:val="-7"/>
          <w:sz w:val="26"/>
        </w:rPr>
        <w:t xml:space="preserve"> </w:t>
      </w:r>
      <w:r>
        <w:rPr>
          <w:sz w:val="26"/>
        </w:rPr>
        <w:t>passed</w:t>
      </w:r>
      <w:r>
        <w:rPr>
          <w:spacing w:val="-6"/>
          <w:sz w:val="26"/>
        </w:rPr>
        <w:t xml:space="preserve"> </w:t>
      </w:r>
      <w:r>
        <w:rPr>
          <w:sz w:val="26"/>
        </w:rPr>
        <w:t>by</w:t>
      </w:r>
      <w:r>
        <w:rPr>
          <w:spacing w:val="-6"/>
          <w:sz w:val="26"/>
        </w:rPr>
        <w:t xml:space="preserve"> </w:t>
      </w:r>
      <w:r>
        <w:rPr>
          <w:sz w:val="26"/>
        </w:rPr>
        <w:t>the</w:t>
      </w:r>
      <w:r>
        <w:rPr>
          <w:spacing w:val="-7"/>
          <w:sz w:val="26"/>
        </w:rPr>
        <w:t xml:space="preserve"> </w:t>
      </w:r>
      <w:r>
        <w:rPr>
          <w:sz w:val="26"/>
        </w:rPr>
        <w:t>legislature,</w:t>
      </w:r>
      <w:r>
        <w:rPr>
          <w:spacing w:val="-6"/>
          <w:sz w:val="26"/>
        </w:rPr>
        <w:t xml:space="preserve"> </w:t>
      </w:r>
      <w:r>
        <w:rPr>
          <w:sz w:val="26"/>
        </w:rPr>
        <w:t>but not in operation at all or in particular areas would attract the operation of</w:t>
      </w:r>
      <w:r>
        <w:rPr>
          <w:spacing w:val="-38"/>
          <w:sz w:val="26"/>
        </w:rPr>
        <w:t xml:space="preserve"> </w:t>
      </w:r>
      <w:r>
        <w:rPr>
          <w:sz w:val="26"/>
        </w:rPr>
        <w:t>Article</w:t>
      </w:r>
    </w:p>
    <w:p w:rsidR="003B2FC0" w:rsidRDefault="003B2FC0">
      <w:pPr>
        <w:spacing w:before="7"/>
        <w:rPr>
          <w:sz w:val="21"/>
        </w:rPr>
      </w:pPr>
      <w:r w:rsidRPr="003B2FC0">
        <w:pict>
          <v:line id="_x0000_s1075" style="position:absolute;z-index:251640320;mso-wrap-distance-left:0;mso-wrap-distance-right:0;mso-position-horizontal-relative:page" from="1in,14.8pt" to="216.05pt,14.8pt" strokeweight=".72pt">
            <w10:wrap type="topAndBottom" anchorx="page"/>
          </v:line>
        </w:pict>
      </w:r>
    </w:p>
    <w:p w:rsidR="003B2FC0" w:rsidRDefault="00052A49">
      <w:pPr>
        <w:spacing w:before="66" w:line="210" w:lineRule="exact"/>
        <w:ind w:left="400"/>
        <w:rPr>
          <w:sz w:val="18"/>
        </w:rPr>
      </w:pPr>
      <w:r>
        <w:rPr>
          <w:position w:val="6"/>
          <w:sz w:val="12"/>
        </w:rPr>
        <w:t xml:space="preserve">141 </w:t>
      </w:r>
      <w:r>
        <w:rPr>
          <w:sz w:val="18"/>
        </w:rPr>
        <w:t>Shiva Rao, The Framing of India’s Constitution, Vol III, at pages 520, 521. Draft Article 8 reads:</w:t>
      </w:r>
    </w:p>
    <w:p w:rsidR="003B2FC0" w:rsidRDefault="00052A49">
      <w:pPr>
        <w:ind w:left="1120" w:right="820"/>
        <w:jc w:val="both"/>
        <w:rPr>
          <w:sz w:val="18"/>
        </w:rPr>
      </w:pPr>
      <w:r>
        <w:rPr>
          <w:sz w:val="18"/>
        </w:rPr>
        <w:t>“8(1) All laws in force immediately before the commencement of this Constitution in the territory of India, in so far as they are inconsistent with the provi</w:t>
      </w:r>
      <w:r>
        <w:rPr>
          <w:sz w:val="18"/>
        </w:rPr>
        <w:t>sions of this Part, shall, to the extent of such inconsistency, be void.</w:t>
      </w:r>
    </w:p>
    <w:p w:rsidR="003B2FC0" w:rsidRDefault="00052A49">
      <w:pPr>
        <w:pStyle w:val="ListParagraph"/>
        <w:numPr>
          <w:ilvl w:val="0"/>
          <w:numId w:val="15"/>
        </w:numPr>
        <w:tabs>
          <w:tab w:val="left" w:pos="1394"/>
        </w:tabs>
        <w:spacing w:before="1"/>
        <w:ind w:right="828" w:firstLine="0"/>
        <w:jc w:val="both"/>
        <w:rPr>
          <w:sz w:val="18"/>
        </w:rPr>
      </w:pPr>
      <w:r>
        <w:rPr>
          <w:sz w:val="18"/>
        </w:rPr>
        <w:t>The State shall not make any law which takes away or abridges the rights conferred by this Part and any law made in contravention of this clause shall, to the extent of the contravent</w:t>
      </w:r>
      <w:r>
        <w:rPr>
          <w:sz w:val="18"/>
        </w:rPr>
        <w:t>ion, be</w:t>
      </w:r>
      <w:r>
        <w:rPr>
          <w:spacing w:val="-29"/>
          <w:sz w:val="18"/>
        </w:rPr>
        <w:t xml:space="preserve"> </w:t>
      </w:r>
      <w:r>
        <w:rPr>
          <w:sz w:val="18"/>
        </w:rPr>
        <w:t>void:</w:t>
      </w:r>
    </w:p>
    <w:p w:rsidR="003B2FC0" w:rsidRDefault="00052A49">
      <w:pPr>
        <w:spacing w:before="1"/>
        <w:ind w:left="1120" w:right="827"/>
        <w:jc w:val="both"/>
        <w:rPr>
          <w:sz w:val="18"/>
        </w:rPr>
      </w:pPr>
      <w:r>
        <w:rPr>
          <w:sz w:val="18"/>
        </w:rPr>
        <w:t>*Provided that nothing in this clause shall prevent the State from making any law for the removal of any inequality, disparity, disadvantage or discrimination arising out of any existing law.</w:t>
      </w:r>
    </w:p>
    <w:p w:rsidR="003B2FC0" w:rsidRDefault="00052A49">
      <w:pPr>
        <w:pStyle w:val="ListParagraph"/>
        <w:numPr>
          <w:ilvl w:val="0"/>
          <w:numId w:val="15"/>
        </w:numPr>
        <w:tabs>
          <w:tab w:val="left" w:pos="1428"/>
        </w:tabs>
        <w:ind w:right="819" w:firstLine="0"/>
        <w:jc w:val="both"/>
        <w:rPr>
          <w:sz w:val="18"/>
        </w:rPr>
      </w:pPr>
      <w:r>
        <w:rPr>
          <w:sz w:val="18"/>
        </w:rPr>
        <w:t>In this article, the expression “law” includes any</w:t>
      </w:r>
      <w:r>
        <w:rPr>
          <w:sz w:val="18"/>
        </w:rPr>
        <w:t xml:space="preserve"> ordinance, order, bye-law, rule, regulation, notification, custom or usage having the force of law in the territory of India or any part</w:t>
      </w:r>
      <w:r>
        <w:rPr>
          <w:spacing w:val="-35"/>
          <w:sz w:val="18"/>
        </w:rPr>
        <w:t xml:space="preserve"> </w:t>
      </w:r>
      <w:r>
        <w:rPr>
          <w:sz w:val="18"/>
        </w:rPr>
        <w:t>thereof.”</w:t>
      </w:r>
    </w:p>
    <w:p w:rsidR="003B2FC0" w:rsidRDefault="00052A49">
      <w:pPr>
        <w:spacing w:line="208" w:lineRule="exact"/>
        <w:ind w:left="400"/>
        <w:rPr>
          <w:sz w:val="18"/>
        </w:rPr>
      </w:pPr>
      <w:r>
        <w:rPr>
          <w:position w:val="6"/>
          <w:sz w:val="12"/>
        </w:rPr>
        <w:t xml:space="preserve">142 </w:t>
      </w:r>
      <w:r>
        <w:rPr>
          <w:sz w:val="18"/>
        </w:rPr>
        <w:t>Shiva Rao, The Framing of India’s Constitution, Vol IV, at pages 26, 27</w:t>
      </w:r>
    </w:p>
    <w:p w:rsidR="003B2FC0" w:rsidRDefault="003B2FC0">
      <w:pPr>
        <w:spacing w:line="208"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13(1).</w:t>
      </w:r>
      <w:r>
        <w:rPr>
          <w:spacing w:val="-10"/>
          <w:sz w:val="26"/>
        </w:rPr>
        <w:t xml:space="preserve"> </w:t>
      </w:r>
      <w:r>
        <w:rPr>
          <w:sz w:val="26"/>
        </w:rPr>
        <w:t>Justice</w:t>
      </w:r>
      <w:r>
        <w:rPr>
          <w:spacing w:val="-13"/>
          <w:sz w:val="26"/>
        </w:rPr>
        <w:t xml:space="preserve"> </w:t>
      </w:r>
      <w:r>
        <w:rPr>
          <w:sz w:val="26"/>
        </w:rPr>
        <w:t>Gajendragadkar,</w:t>
      </w:r>
      <w:r>
        <w:rPr>
          <w:spacing w:val="-12"/>
          <w:sz w:val="26"/>
        </w:rPr>
        <w:t xml:space="preserve"> </w:t>
      </w:r>
      <w:r>
        <w:rPr>
          <w:sz w:val="26"/>
        </w:rPr>
        <w:t>however,</w:t>
      </w:r>
      <w:r>
        <w:rPr>
          <w:spacing w:val="-13"/>
          <w:sz w:val="26"/>
        </w:rPr>
        <w:t xml:space="preserve"> </w:t>
      </w:r>
      <w:r>
        <w:rPr>
          <w:sz w:val="26"/>
        </w:rPr>
        <w:t>held</w:t>
      </w:r>
      <w:r>
        <w:rPr>
          <w:spacing w:val="-12"/>
          <w:sz w:val="26"/>
        </w:rPr>
        <w:t xml:space="preserve"> </w:t>
      </w:r>
      <w:r>
        <w:rPr>
          <w:sz w:val="26"/>
        </w:rPr>
        <w:t>that</w:t>
      </w:r>
      <w:r>
        <w:rPr>
          <w:spacing w:val="-13"/>
          <w:sz w:val="26"/>
        </w:rPr>
        <w:t xml:space="preserve"> </w:t>
      </w:r>
      <w:r>
        <w:rPr>
          <w:sz w:val="26"/>
        </w:rPr>
        <w:t>‘laws</w:t>
      </w:r>
      <w:r>
        <w:rPr>
          <w:spacing w:val="-11"/>
          <w:sz w:val="26"/>
        </w:rPr>
        <w:t xml:space="preserve"> </w:t>
      </w:r>
      <w:r>
        <w:rPr>
          <w:sz w:val="26"/>
        </w:rPr>
        <w:t>in</w:t>
      </w:r>
      <w:r>
        <w:rPr>
          <w:spacing w:val="-13"/>
          <w:sz w:val="26"/>
        </w:rPr>
        <w:t xml:space="preserve"> </w:t>
      </w:r>
      <w:r>
        <w:rPr>
          <w:sz w:val="26"/>
        </w:rPr>
        <w:t>force’</w:t>
      </w:r>
      <w:r>
        <w:rPr>
          <w:spacing w:val="-9"/>
          <w:sz w:val="26"/>
        </w:rPr>
        <w:t xml:space="preserve"> </w:t>
      </w:r>
      <w:r>
        <w:rPr>
          <w:sz w:val="26"/>
        </w:rPr>
        <w:t>in</w:t>
      </w:r>
      <w:r>
        <w:rPr>
          <w:spacing w:val="-12"/>
          <w:sz w:val="26"/>
        </w:rPr>
        <w:t xml:space="preserve"> </w:t>
      </w:r>
      <w:r>
        <w:rPr>
          <w:sz w:val="26"/>
        </w:rPr>
        <w:t>Article</w:t>
      </w:r>
      <w:r>
        <w:rPr>
          <w:spacing w:val="-9"/>
          <w:sz w:val="26"/>
        </w:rPr>
        <w:t xml:space="preserve"> </w:t>
      </w:r>
      <w:r>
        <w:rPr>
          <w:sz w:val="26"/>
        </w:rPr>
        <w:t xml:space="preserve">13(1) is a compendious expression for statutory laws. In doing so, the learned Judge overlooked the wide ambit that was to be attributed to the term ‘laws in force’, by reason of the inclusive definition. The decision of the Constitution Bench in </w:t>
      </w:r>
      <w:r>
        <w:rPr>
          <w:b/>
          <w:sz w:val="26"/>
        </w:rPr>
        <w:t xml:space="preserve">Sant Ram </w:t>
      </w:r>
      <w:r>
        <w:rPr>
          <w:sz w:val="26"/>
        </w:rPr>
        <w:t>emphasizes precisely this facet. Hence, the view of Justice Gajendragadkar</w:t>
      </w:r>
      <w:r>
        <w:rPr>
          <w:spacing w:val="-14"/>
          <w:sz w:val="26"/>
        </w:rPr>
        <w:t xml:space="preserve"> </w:t>
      </w:r>
      <w:r>
        <w:rPr>
          <w:sz w:val="26"/>
        </w:rPr>
        <w:t>as</w:t>
      </w:r>
      <w:r>
        <w:rPr>
          <w:spacing w:val="-12"/>
          <w:sz w:val="26"/>
        </w:rPr>
        <w:t xml:space="preserve"> </w:t>
      </w:r>
      <w:r>
        <w:rPr>
          <w:sz w:val="26"/>
        </w:rPr>
        <w:t>a</w:t>
      </w:r>
      <w:r>
        <w:rPr>
          <w:spacing w:val="-12"/>
          <w:sz w:val="26"/>
        </w:rPr>
        <w:t xml:space="preserve"> </w:t>
      </w:r>
      <w:r>
        <w:rPr>
          <w:sz w:val="26"/>
        </w:rPr>
        <w:t>judge</w:t>
      </w:r>
      <w:r>
        <w:rPr>
          <w:spacing w:val="-14"/>
          <w:sz w:val="26"/>
        </w:rPr>
        <w:t xml:space="preserve"> </w:t>
      </w:r>
      <w:r>
        <w:rPr>
          <w:sz w:val="26"/>
        </w:rPr>
        <w:t>of</w:t>
      </w:r>
      <w:r>
        <w:rPr>
          <w:spacing w:val="-14"/>
          <w:sz w:val="26"/>
        </w:rPr>
        <w:t xml:space="preserve"> </w:t>
      </w:r>
      <w:r>
        <w:rPr>
          <w:sz w:val="26"/>
        </w:rPr>
        <w:t>the</w:t>
      </w:r>
      <w:r>
        <w:rPr>
          <w:spacing w:val="-12"/>
          <w:sz w:val="26"/>
        </w:rPr>
        <w:t xml:space="preserve"> </w:t>
      </w:r>
      <w:r>
        <w:rPr>
          <w:sz w:val="26"/>
        </w:rPr>
        <w:t>Bombay</w:t>
      </w:r>
      <w:r>
        <w:rPr>
          <w:spacing w:val="-14"/>
          <w:sz w:val="26"/>
        </w:rPr>
        <w:t xml:space="preserve"> </w:t>
      </w:r>
      <w:r>
        <w:rPr>
          <w:sz w:val="26"/>
        </w:rPr>
        <w:t>High</w:t>
      </w:r>
      <w:r>
        <w:rPr>
          <w:spacing w:val="-14"/>
          <w:sz w:val="26"/>
        </w:rPr>
        <w:t xml:space="preserve"> </w:t>
      </w:r>
      <w:r>
        <w:rPr>
          <w:sz w:val="26"/>
        </w:rPr>
        <w:t>Court</w:t>
      </w:r>
      <w:r>
        <w:rPr>
          <w:spacing w:val="-14"/>
          <w:sz w:val="26"/>
        </w:rPr>
        <w:t xml:space="preserve"> </w:t>
      </w:r>
      <w:r>
        <w:rPr>
          <w:sz w:val="26"/>
        </w:rPr>
        <w:t>in</w:t>
      </w:r>
      <w:r>
        <w:rPr>
          <w:spacing w:val="-8"/>
          <w:sz w:val="26"/>
        </w:rPr>
        <w:t xml:space="preserve"> </w:t>
      </w:r>
      <w:r>
        <w:rPr>
          <w:b/>
          <w:sz w:val="26"/>
        </w:rPr>
        <w:t>Narasu</w:t>
      </w:r>
      <w:r>
        <w:rPr>
          <w:b/>
          <w:spacing w:val="-12"/>
          <w:sz w:val="26"/>
        </w:rPr>
        <w:t xml:space="preserve"> </w:t>
      </w:r>
      <w:r>
        <w:rPr>
          <w:sz w:val="26"/>
        </w:rPr>
        <w:t>cannot</w:t>
      </w:r>
      <w:r>
        <w:rPr>
          <w:spacing w:val="-14"/>
          <w:sz w:val="26"/>
        </w:rPr>
        <w:t xml:space="preserve"> </w:t>
      </w:r>
      <w:r>
        <w:rPr>
          <w:sz w:val="26"/>
        </w:rPr>
        <w:t>be</w:t>
      </w:r>
      <w:r>
        <w:rPr>
          <w:spacing w:val="-14"/>
          <w:sz w:val="26"/>
        </w:rPr>
        <w:t xml:space="preserve"> </w:t>
      </w:r>
      <w:r>
        <w:rPr>
          <w:sz w:val="26"/>
        </w:rPr>
        <w:t>held to be</w:t>
      </w:r>
      <w:r>
        <w:rPr>
          <w:spacing w:val="-3"/>
          <w:sz w:val="26"/>
        </w:rPr>
        <w:t xml:space="preserve"> </w:t>
      </w:r>
      <w:r>
        <w:rPr>
          <w:sz w:val="26"/>
        </w:rPr>
        <w:t>correct.</w:t>
      </w:r>
    </w:p>
    <w:p w:rsidR="003B2FC0" w:rsidRDefault="003B2FC0">
      <w:pPr>
        <w:rPr>
          <w:sz w:val="28"/>
        </w:rPr>
      </w:pPr>
    </w:p>
    <w:p w:rsidR="003B2FC0" w:rsidRDefault="003B2FC0">
      <w:pPr>
        <w:spacing w:before="9"/>
        <w:rPr>
          <w:sz w:val="32"/>
        </w:rPr>
      </w:pPr>
    </w:p>
    <w:p w:rsidR="003B2FC0" w:rsidRDefault="00052A49">
      <w:pPr>
        <w:pStyle w:val="ListParagraph"/>
        <w:numPr>
          <w:ilvl w:val="0"/>
          <w:numId w:val="39"/>
        </w:numPr>
        <w:tabs>
          <w:tab w:val="left" w:pos="1121"/>
        </w:tabs>
        <w:spacing w:line="480" w:lineRule="auto"/>
        <w:ind w:right="432" w:firstLine="0"/>
        <w:jc w:val="both"/>
        <w:rPr>
          <w:sz w:val="26"/>
        </w:rPr>
      </w:pPr>
      <w:r>
        <w:rPr>
          <w:sz w:val="26"/>
        </w:rPr>
        <w:t xml:space="preserve">Recently, in </w:t>
      </w:r>
      <w:r>
        <w:rPr>
          <w:b/>
          <w:sz w:val="26"/>
        </w:rPr>
        <w:t>Shayara Bano</w:t>
      </w:r>
      <w:r>
        <w:rPr>
          <w:sz w:val="26"/>
        </w:rPr>
        <w:t xml:space="preserve">, a Constitution Bench considered whether </w:t>
      </w:r>
      <w:r>
        <w:rPr>
          <w:i/>
          <w:sz w:val="26"/>
        </w:rPr>
        <w:t>talaq</w:t>
      </w:r>
      <w:r>
        <w:rPr>
          <w:i/>
          <w:spacing w:val="-9"/>
          <w:sz w:val="26"/>
        </w:rPr>
        <w:t xml:space="preserve"> </w:t>
      </w:r>
      <w:r>
        <w:rPr>
          <w:i/>
          <w:sz w:val="26"/>
        </w:rPr>
        <w:t>–</w:t>
      </w:r>
      <w:r>
        <w:rPr>
          <w:i/>
          <w:spacing w:val="-8"/>
          <w:sz w:val="26"/>
        </w:rPr>
        <w:t xml:space="preserve"> </w:t>
      </w:r>
      <w:r>
        <w:rPr>
          <w:i/>
          <w:sz w:val="26"/>
        </w:rPr>
        <w:t>ul</w:t>
      </w:r>
      <w:r>
        <w:rPr>
          <w:i/>
          <w:spacing w:val="-7"/>
          <w:sz w:val="26"/>
        </w:rPr>
        <w:t xml:space="preserve"> </w:t>
      </w:r>
      <w:r>
        <w:rPr>
          <w:i/>
          <w:sz w:val="26"/>
        </w:rPr>
        <w:t>–</w:t>
      </w:r>
      <w:r>
        <w:rPr>
          <w:i/>
          <w:spacing w:val="-8"/>
          <w:sz w:val="26"/>
        </w:rPr>
        <w:t xml:space="preserve"> </w:t>
      </w:r>
      <w:r>
        <w:rPr>
          <w:i/>
          <w:sz w:val="26"/>
        </w:rPr>
        <w:t>biddat</w:t>
      </w:r>
      <w:r>
        <w:rPr>
          <w:i/>
          <w:spacing w:val="-9"/>
          <w:sz w:val="26"/>
        </w:rPr>
        <w:t xml:space="preserve"> </w:t>
      </w:r>
      <w:r>
        <w:rPr>
          <w:sz w:val="26"/>
        </w:rPr>
        <w:t>or</w:t>
      </w:r>
      <w:r>
        <w:rPr>
          <w:spacing w:val="-8"/>
          <w:sz w:val="26"/>
        </w:rPr>
        <w:t xml:space="preserve"> </w:t>
      </w:r>
      <w:r>
        <w:rPr>
          <w:sz w:val="26"/>
        </w:rPr>
        <w:t>‘triple</w:t>
      </w:r>
      <w:r>
        <w:rPr>
          <w:spacing w:val="-8"/>
          <w:sz w:val="26"/>
        </w:rPr>
        <w:t xml:space="preserve"> </w:t>
      </w:r>
      <w:r>
        <w:rPr>
          <w:sz w:val="26"/>
        </w:rPr>
        <w:t>talaq</w:t>
      </w:r>
      <w:r>
        <w:rPr>
          <w:sz w:val="26"/>
        </w:rPr>
        <w:t>’,</w:t>
      </w:r>
      <w:r>
        <w:rPr>
          <w:spacing w:val="-5"/>
          <w:sz w:val="26"/>
        </w:rPr>
        <w:t xml:space="preserve"> </w:t>
      </w:r>
      <w:r>
        <w:rPr>
          <w:sz w:val="26"/>
        </w:rPr>
        <w:t>which</w:t>
      </w:r>
      <w:r>
        <w:rPr>
          <w:spacing w:val="-6"/>
          <w:sz w:val="26"/>
        </w:rPr>
        <w:t xml:space="preserve"> </w:t>
      </w:r>
      <w:r>
        <w:rPr>
          <w:sz w:val="26"/>
        </w:rPr>
        <w:t>authorised</w:t>
      </w:r>
      <w:r>
        <w:rPr>
          <w:spacing w:val="-8"/>
          <w:sz w:val="26"/>
        </w:rPr>
        <w:t xml:space="preserve"> </w:t>
      </w:r>
      <w:r>
        <w:rPr>
          <w:sz w:val="26"/>
        </w:rPr>
        <w:t>a</w:t>
      </w:r>
      <w:r>
        <w:rPr>
          <w:spacing w:val="-5"/>
          <w:sz w:val="26"/>
        </w:rPr>
        <w:t xml:space="preserve"> </w:t>
      </w:r>
      <w:r>
        <w:rPr>
          <w:sz w:val="26"/>
        </w:rPr>
        <w:t>Muslim</w:t>
      </w:r>
      <w:r>
        <w:rPr>
          <w:spacing w:val="-8"/>
          <w:sz w:val="26"/>
        </w:rPr>
        <w:t xml:space="preserve"> </w:t>
      </w:r>
      <w:r>
        <w:rPr>
          <w:sz w:val="26"/>
        </w:rPr>
        <w:t>man</w:t>
      </w:r>
      <w:r>
        <w:rPr>
          <w:spacing w:val="-8"/>
          <w:sz w:val="26"/>
        </w:rPr>
        <w:t xml:space="preserve"> </w:t>
      </w:r>
      <w:r>
        <w:rPr>
          <w:sz w:val="26"/>
        </w:rPr>
        <w:t>to</w:t>
      </w:r>
      <w:r>
        <w:rPr>
          <w:spacing w:val="-8"/>
          <w:sz w:val="26"/>
        </w:rPr>
        <w:t xml:space="preserve"> </w:t>
      </w:r>
      <w:r>
        <w:rPr>
          <w:sz w:val="26"/>
        </w:rPr>
        <w:t>divorce</w:t>
      </w:r>
      <w:r>
        <w:rPr>
          <w:spacing w:val="-8"/>
          <w:sz w:val="26"/>
        </w:rPr>
        <w:t xml:space="preserve"> </w:t>
      </w:r>
      <w:r>
        <w:rPr>
          <w:sz w:val="26"/>
        </w:rPr>
        <w:t>his wife by pronouncing the word “talaq” thrice, was legally invalid. In a 3-2</w:t>
      </w:r>
      <w:r>
        <w:rPr>
          <w:spacing w:val="-47"/>
          <w:sz w:val="26"/>
        </w:rPr>
        <w:t xml:space="preserve"> </w:t>
      </w:r>
      <w:r>
        <w:rPr>
          <w:sz w:val="26"/>
        </w:rPr>
        <w:t>verdict, the majority ruled that triple talaq is not legally valid. Justice Rohinton Fali Nariman</w:t>
      </w:r>
      <w:r>
        <w:rPr>
          <w:spacing w:val="-18"/>
          <w:sz w:val="26"/>
        </w:rPr>
        <w:t xml:space="preserve"> </w:t>
      </w:r>
      <w:r>
        <w:rPr>
          <w:sz w:val="26"/>
        </w:rPr>
        <w:t>(writing</w:t>
      </w:r>
      <w:r>
        <w:rPr>
          <w:spacing w:val="-17"/>
          <w:sz w:val="26"/>
        </w:rPr>
        <w:t xml:space="preserve"> </w:t>
      </w:r>
      <w:r>
        <w:rPr>
          <w:sz w:val="26"/>
        </w:rPr>
        <w:t>for</w:t>
      </w:r>
      <w:r>
        <w:rPr>
          <w:spacing w:val="-16"/>
          <w:sz w:val="26"/>
        </w:rPr>
        <w:t xml:space="preserve"> </w:t>
      </w:r>
      <w:r>
        <w:rPr>
          <w:sz w:val="26"/>
        </w:rPr>
        <w:t>himself</w:t>
      </w:r>
      <w:r>
        <w:rPr>
          <w:spacing w:val="-16"/>
          <w:sz w:val="26"/>
        </w:rPr>
        <w:t xml:space="preserve"> </w:t>
      </w:r>
      <w:r>
        <w:rPr>
          <w:sz w:val="26"/>
        </w:rPr>
        <w:t>and</w:t>
      </w:r>
      <w:r>
        <w:rPr>
          <w:spacing w:val="-16"/>
          <w:sz w:val="26"/>
        </w:rPr>
        <w:t xml:space="preserve"> </w:t>
      </w:r>
      <w:r>
        <w:rPr>
          <w:sz w:val="26"/>
        </w:rPr>
        <w:t>Justice</w:t>
      </w:r>
      <w:r>
        <w:rPr>
          <w:spacing w:val="-16"/>
          <w:sz w:val="26"/>
        </w:rPr>
        <w:t xml:space="preserve"> </w:t>
      </w:r>
      <w:r>
        <w:rPr>
          <w:sz w:val="26"/>
        </w:rPr>
        <w:t>Lalit)</w:t>
      </w:r>
      <w:r>
        <w:rPr>
          <w:spacing w:val="-16"/>
          <w:sz w:val="26"/>
        </w:rPr>
        <w:t xml:space="preserve"> </w:t>
      </w:r>
      <w:r>
        <w:rPr>
          <w:sz w:val="26"/>
        </w:rPr>
        <w:t>held</w:t>
      </w:r>
      <w:r>
        <w:rPr>
          <w:spacing w:val="-16"/>
          <w:sz w:val="26"/>
        </w:rPr>
        <w:t xml:space="preserve"> </w:t>
      </w:r>
      <w:r>
        <w:rPr>
          <w:sz w:val="26"/>
        </w:rPr>
        <w:t>that</w:t>
      </w:r>
      <w:r>
        <w:rPr>
          <w:spacing w:val="-16"/>
          <w:sz w:val="26"/>
        </w:rPr>
        <w:t xml:space="preserve"> </w:t>
      </w:r>
      <w:r>
        <w:rPr>
          <w:sz w:val="26"/>
        </w:rPr>
        <w:t>the</w:t>
      </w:r>
      <w:r>
        <w:rPr>
          <w:spacing w:val="-14"/>
          <w:sz w:val="26"/>
        </w:rPr>
        <w:t xml:space="preserve"> </w:t>
      </w:r>
      <w:r>
        <w:rPr>
          <w:sz w:val="26"/>
        </w:rPr>
        <w:t>Muslim</w:t>
      </w:r>
      <w:r>
        <w:rPr>
          <w:spacing w:val="-16"/>
          <w:sz w:val="26"/>
        </w:rPr>
        <w:t xml:space="preserve"> </w:t>
      </w:r>
      <w:r>
        <w:rPr>
          <w:sz w:val="26"/>
        </w:rPr>
        <w:t>Personal</w:t>
      </w:r>
      <w:r>
        <w:rPr>
          <w:spacing w:val="-16"/>
          <w:sz w:val="26"/>
        </w:rPr>
        <w:t xml:space="preserve"> </w:t>
      </w:r>
      <w:r>
        <w:rPr>
          <w:sz w:val="26"/>
        </w:rPr>
        <w:t>Law (Shariat)</w:t>
      </w:r>
      <w:r>
        <w:rPr>
          <w:spacing w:val="-10"/>
          <w:sz w:val="26"/>
        </w:rPr>
        <w:t xml:space="preserve"> </w:t>
      </w:r>
      <w:r>
        <w:rPr>
          <w:sz w:val="26"/>
        </w:rPr>
        <w:t>Application</w:t>
      </w:r>
      <w:r>
        <w:rPr>
          <w:spacing w:val="-9"/>
          <w:sz w:val="26"/>
        </w:rPr>
        <w:t xml:space="preserve"> </w:t>
      </w:r>
      <w:r>
        <w:rPr>
          <w:sz w:val="26"/>
        </w:rPr>
        <w:t>Act,</w:t>
      </w:r>
      <w:r>
        <w:rPr>
          <w:spacing w:val="-13"/>
          <w:sz w:val="26"/>
        </w:rPr>
        <w:t xml:space="preserve"> </w:t>
      </w:r>
      <w:r>
        <w:rPr>
          <w:sz w:val="26"/>
        </w:rPr>
        <w:t>1937</w:t>
      </w:r>
      <w:r>
        <w:rPr>
          <w:spacing w:val="-12"/>
          <w:sz w:val="26"/>
        </w:rPr>
        <w:t xml:space="preserve"> </w:t>
      </w:r>
      <w:r>
        <w:rPr>
          <w:sz w:val="26"/>
        </w:rPr>
        <w:t>codified</w:t>
      </w:r>
      <w:r>
        <w:rPr>
          <w:spacing w:val="-13"/>
          <w:sz w:val="26"/>
        </w:rPr>
        <w:t xml:space="preserve"> </w:t>
      </w:r>
      <w:r>
        <w:rPr>
          <w:sz w:val="26"/>
        </w:rPr>
        <w:t>the</w:t>
      </w:r>
      <w:r>
        <w:rPr>
          <w:spacing w:val="-12"/>
          <w:sz w:val="26"/>
        </w:rPr>
        <w:t xml:space="preserve"> </w:t>
      </w:r>
      <w:r>
        <w:rPr>
          <w:sz w:val="26"/>
        </w:rPr>
        <w:t>practice</w:t>
      </w:r>
      <w:r>
        <w:rPr>
          <w:spacing w:val="-9"/>
          <w:sz w:val="26"/>
        </w:rPr>
        <w:t xml:space="preserve"> </w:t>
      </w:r>
      <w:r>
        <w:rPr>
          <w:sz w:val="26"/>
        </w:rPr>
        <w:t>of</w:t>
      </w:r>
      <w:r>
        <w:rPr>
          <w:spacing w:val="-13"/>
          <w:sz w:val="26"/>
        </w:rPr>
        <w:t xml:space="preserve"> </w:t>
      </w:r>
      <w:r>
        <w:rPr>
          <w:sz w:val="26"/>
        </w:rPr>
        <w:t>Triple</w:t>
      </w:r>
      <w:r>
        <w:rPr>
          <w:spacing w:val="-11"/>
          <w:sz w:val="26"/>
        </w:rPr>
        <w:t xml:space="preserve"> </w:t>
      </w:r>
      <w:r>
        <w:rPr>
          <w:sz w:val="26"/>
        </w:rPr>
        <w:t>Talaq.</w:t>
      </w:r>
      <w:r>
        <w:rPr>
          <w:spacing w:val="-13"/>
          <w:sz w:val="26"/>
        </w:rPr>
        <w:t xml:space="preserve"> </w:t>
      </w:r>
      <w:r>
        <w:rPr>
          <w:sz w:val="26"/>
        </w:rPr>
        <w:t>The</w:t>
      </w:r>
      <w:r>
        <w:rPr>
          <w:spacing w:val="-12"/>
          <w:sz w:val="26"/>
        </w:rPr>
        <w:t xml:space="preserve"> </w:t>
      </w:r>
      <w:r>
        <w:rPr>
          <w:sz w:val="26"/>
        </w:rPr>
        <w:t>learned Judge proceeded to examine whether this violated the</w:t>
      </w:r>
      <w:r>
        <w:rPr>
          <w:spacing w:val="-3"/>
          <w:sz w:val="26"/>
        </w:rPr>
        <w:t xml:space="preserve"> </w:t>
      </w:r>
      <w:r>
        <w:rPr>
          <w:sz w:val="26"/>
        </w:rPr>
        <w:t>Constitution:</w:t>
      </w:r>
    </w:p>
    <w:p w:rsidR="003B2FC0" w:rsidRDefault="00052A49">
      <w:pPr>
        <w:spacing w:before="201" w:line="273" w:lineRule="auto"/>
        <w:ind w:left="1840" w:right="2283"/>
        <w:jc w:val="both"/>
        <w:rPr>
          <w:sz w:val="14"/>
        </w:rPr>
      </w:pPr>
      <w:r>
        <w:rPr>
          <w:sz w:val="21"/>
        </w:rPr>
        <w:t>“47.It</w:t>
      </w:r>
      <w:r>
        <w:rPr>
          <w:spacing w:val="-6"/>
          <w:sz w:val="21"/>
        </w:rPr>
        <w:t xml:space="preserve"> </w:t>
      </w:r>
      <w:r>
        <w:rPr>
          <w:sz w:val="21"/>
        </w:rPr>
        <w:t>is,</w:t>
      </w:r>
      <w:r>
        <w:rPr>
          <w:spacing w:val="-5"/>
          <w:sz w:val="21"/>
        </w:rPr>
        <w:t xml:space="preserve"> </w:t>
      </w:r>
      <w:r>
        <w:rPr>
          <w:sz w:val="21"/>
        </w:rPr>
        <w:t>therefore,</w:t>
      </w:r>
      <w:r>
        <w:rPr>
          <w:spacing w:val="-6"/>
          <w:sz w:val="21"/>
        </w:rPr>
        <w:t xml:space="preserve"> </w:t>
      </w:r>
      <w:r>
        <w:rPr>
          <w:sz w:val="21"/>
        </w:rPr>
        <w:t>clear</w:t>
      </w:r>
      <w:r>
        <w:rPr>
          <w:spacing w:val="-4"/>
          <w:sz w:val="21"/>
        </w:rPr>
        <w:t xml:space="preserve"> </w:t>
      </w:r>
      <w:r>
        <w:rPr>
          <w:sz w:val="21"/>
        </w:rPr>
        <w:t>that</w:t>
      </w:r>
      <w:r>
        <w:rPr>
          <w:spacing w:val="-6"/>
          <w:sz w:val="21"/>
        </w:rPr>
        <w:t xml:space="preserve"> </w:t>
      </w:r>
      <w:r>
        <w:rPr>
          <w:sz w:val="21"/>
        </w:rPr>
        <w:t>all</w:t>
      </w:r>
      <w:r>
        <w:rPr>
          <w:spacing w:val="-5"/>
          <w:sz w:val="21"/>
        </w:rPr>
        <w:t xml:space="preserve"> </w:t>
      </w:r>
      <w:r>
        <w:rPr>
          <w:sz w:val="21"/>
        </w:rPr>
        <w:t>forms</w:t>
      </w:r>
      <w:r>
        <w:rPr>
          <w:spacing w:val="-5"/>
          <w:sz w:val="21"/>
        </w:rPr>
        <w:t xml:space="preserve"> </w:t>
      </w:r>
      <w:r>
        <w:rPr>
          <w:sz w:val="21"/>
        </w:rPr>
        <w:t>of</w:t>
      </w:r>
      <w:r>
        <w:rPr>
          <w:spacing w:val="-5"/>
          <w:sz w:val="21"/>
        </w:rPr>
        <w:t xml:space="preserve"> </w:t>
      </w:r>
      <w:r>
        <w:rPr>
          <w:sz w:val="21"/>
        </w:rPr>
        <w:t>Talaq</w:t>
      </w:r>
      <w:r>
        <w:rPr>
          <w:spacing w:val="-5"/>
          <w:sz w:val="21"/>
        </w:rPr>
        <w:t xml:space="preserve"> </w:t>
      </w:r>
      <w:r>
        <w:rPr>
          <w:sz w:val="21"/>
        </w:rPr>
        <w:t>recognized</w:t>
      </w:r>
      <w:r>
        <w:rPr>
          <w:spacing w:val="-3"/>
          <w:sz w:val="21"/>
        </w:rPr>
        <w:t xml:space="preserve"> </w:t>
      </w:r>
      <w:r>
        <w:rPr>
          <w:sz w:val="21"/>
        </w:rPr>
        <w:t>and enforced by Muslim personal law are recognized and</w:t>
      </w:r>
      <w:r>
        <w:rPr>
          <w:spacing w:val="-39"/>
          <w:sz w:val="21"/>
        </w:rPr>
        <w:t xml:space="preserve"> </w:t>
      </w:r>
      <w:r>
        <w:rPr>
          <w:sz w:val="21"/>
        </w:rPr>
        <w:t>enforced by the 1937 Act. This would necessarily include Triple Talaq when</w:t>
      </w:r>
      <w:r>
        <w:rPr>
          <w:spacing w:val="-8"/>
          <w:sz w:val="21"/>
        </w:rPr>
        <w:t xml:space="preserve"> </w:t>
      </w:r>
      <w:r>
        <w:rPr>
          <w:sz w:val="21"/>
        </w:rPr>
        <w:t>it</w:t>
      </w:r>
      <w:r>
        <w:rPr>
          <w:spacing w:val="-9"/>
          <w:sz w:val="21"/>
        </w:rPr>
        <w:t xml:space="preserve"> </w:t>
      </w:r>
      <w:r>
        <w:rPr>
          <w:sz w:val="21"/>
        </w:rPr>
        <w:t>comes</w:t>
      </w:r>
      <w:r>
        <w:rPr>
          <w:spacing w:val="-8"/>
          <w:sz w:val="21"/>
        </w:rPr>
        <w:t xml:space="preserve"> </w:t>
      </w:r>
      <w:r>
        <w:rPr>
          <w:sz w:val="21"/>
        </w:rPr>
        <w:t>to</w:t>
      </w:r>
      <w:r>
        <w:rPr>
          <w:spacing w:val="-8"/>
          <w:sz w:val="21"/>
        </w:rPr>
        <w:t xml:space="preserve"> </w:t>
      </w:r>
      <w:r>
        <w:rPr>
          <w:sz w:val="21"/>
        </w:rPr>
        <w:t>the</w:t>
      </w:r>
      <w:r>
        <w:rPr>
          <w:spacing w:val="-7"/>
          <w:sz w:val="21"/>
        </w:rPr>
        <w:t xml:space="preserve"> </w:t>
      </w:r>
      <w:r>
        <w:rPr>
          <w:sz w:val="21"/>
        </w:rPr>
        <w:t>Muslim</w:t>
      </w:r>
      <w:r>
        <w:rPr>
          <w:spacing w:val="-7"/>
          <w:sz w:val="21"/>
        </w:rPr>
        <w:t xml:space="preserve"> </w:t>
      </w:r>
      <w:r>
        <w:rPr>
          <w:sz w:val="21"/>
        </w:rPr>
        <w:t>personal</w:t>
      </w:r>
      <w:r>
        <w:rPr>
          <w:spacing w:val="-7"/>
          <w:sz w:val="21"/>
        </w:rPr>
        <w:t xml:space="preserve"> </w:t>
      </w:r>
      <w:r>
        <w:rPr>
          <w:sz w:val="21"/>
        </w:rPr>
        <w:t>law</w:t>
      </w:r>
      <w:r>
        <w:rPr>
          <w:spacing w:val="-9"/>
          <w:sz w:val="21"/>
        </w:rPr>
        <w:t xml:space="preserve"> </w:t>
      </w:r>
      <w:r>
        <w:rPr>
          <w:sz w:val="21"/>
        </w:rPr>
        <w:t>applicable</w:t>
      </w:r>
      <w:r>
        <w:rPr>
          <w:spacing w:val="-10"/>
          <w:sz w:val="21"/>
        </w:rPr>
        <w:t xml:space="preserve"> </w:t>
      </w:r>
      <w:r>
        <w:rPr>
          <w:sz w:val="21"/>
        </w:rPr>
        <w:t>to</w:t>
      </w:r>
      <w:r>
        <w:rPr>
          <w:spacing w:val="-8"/>
          <w:sz w:val="21"/>
        </w:rPr>
        <w:t xml:space="preserve"> </w:t>
      </w:r>
      <w:r>
        <w:rPr>
          <w:sz w:val="21"/>
        </w:rPr>
        <w:t>Sunnis in</w:t>
      </w:r>
      <w:r>
        <w:rPr>
          <w:spacing w:val="-2"/>
          <w:sz w:val="21"/>
        </w:rPr>
        <w:t xml:space="preserve"> </w:t>
      </w:r>
      <w:r>
        <w:rPr>
          <w:sz w:val="21"/>
        </w:rPr>
        <w:t>India…</w:t>
      </w:r>
      <w:r>
        <w:rPr>
          <w:position w:val="7"/>
          <w:sz w:val="14"/>
        </w:rPr>
        <w:t>143</w:t>
      </w:r>
    </w:p>
    <w:p w:rsidR="003B2FC0" w:rsidRDefault="00052A49">
      <w:pPr>
        <w:spacing w:before="206" w:line="276" w:lineRule="auto"/>
        <w:ind w:left="1840" w:right="2279"/>
        <w:jc w:val="both"/>
        <w:rPr>
          <w:sz w:val="14"/>
        </w:rPr>
      </w:pPr>
      <w:r>
        <w:rPr>
          <w:sz w:val="21"/>
        </w:rPr>
        <w:t xml:space="preserve">48.As we have concluded that the 1937 Act is a law made </w:t>
      </w:r>
      <w:r>
        <w:rPr>
          <w:sz w:val="21"/>
        </w:rPr>
        <w:t>by the</w:t>
      </w:r>
      <w:r>
        <w:rPr>
          <w:spacing w:val="-7"/>
          <w:sz w:val="21"/>
        </w:rPr>
        <w:t xml:space="preserve"> </w:t>
      </w:r>
      <w:r>
        <w:rPr>
          <w:sz w:val="21"/>
        </w:rPr>
        <w:t>legislature</w:t>
      </w:r>
      <w:r>
        <w:rPr>
          <w:spacing w:val="-7"/>
          <w:sz w:val="21"/>
        </w:rPr>
        <w:t xml:space="preserve"> </w:t>
      </w:r>
      <w:r>
        <w:rPr>
          <w:sz w:val="21"/>
        </w:rPr>
        <w:t>before</w:t>
      </w:r>
      <w:r>
        <w:rPr>
          <w:spacing w:val="-7"/>
          <w:sz w:val="21"/>
        </w:rPr>
        <w:t xml:space="preserve"> </w:t>
      </w:r>
      <w:r>
        <w:rPr>
          <w:sz w:val="21"/>
        </w:rPr>
        <w:t>the</w:t>
      </w:r>
      <w:r>
        <w:rPr>
          <w:spacing w:val="-7"/>
          <w:sz w:val="21"/>
        </w:rPr>
        <w:t xml:space="preserve"> </w:t>
      </w:r>
      <w:r>
        <w:rPr>
          <w:sz w:val="21"/>
        </w:rPr>
        <w:t>Constitution</w:t>
      </w:r>
      <w:r>
        <w:rPr>
          <w:spacing w:val="-6"/>
          <w:sz w:val="21"/>
        </w:rPr>
        <w:t xml:space="preserve"> </w:t>
      </w:r>
      <w:r>
        <w:rPr>
          <w:sz w:val="21"/>
        </w:rPr>
        <w:t>came</w:t>
      </w:r>
      <w:r>
        <w:rPr>
          <w:spacing w:val="-7"/>
          <w:sz w:val="21"/>
        </w:rPr>
        <w:t xml:space="preserve"> </w:t>
      </w:r>
      <w:r>
        <w:rPr>
          <w:sz w:val="21"/>
        </w:rPr>
        <w:t>into</w:t>
      </w:r>
      <w:r>
        <w:rPr>
          <w:spacing w:val="-7"/>
          <w:sz w:val="21"/>
        </w:rPr>
        <w:t xml:space="preserve"> </w:t>
      </w:r>
      <w:r>
        <w:rPr>
          <w:sz w:val="21"/>
        </w:rPr>
        <w:t>force,</w:t>
      </w:r>
      <w:r>
        <w:rPr>
          <w:spacing w:val="-8"/>
          <w:sz w:val="21"/>
        </w:rPr>
        <w:t xml:space="preserve"> </w:t>
      </w:r>
      <w:r>
        <w:rPr>
          <w:sz w:val="21"/>
        </w:rPr>
        <w:t>it</w:t>
      </w:r>
      <w:r>
        <w:rPr>
          <w:spacing w:val="-8"/>
          <w:sz w:val="21"/>
        </w:rPr>
        <w:t xml:space="preserve"> </w:t>
      </w:r>
      <w:r>
        <w:rPr>
          <w:sz w:val="21"/>
        </w:rPr>
        <w:t xml:space="preserve">would fall squarely within the expression “laws in force” in Article 13(3)(b) and would be hit by Article 13(1) if found to be inconsistent with the provisions of Part III of the Constitution, </w:t>
      </w:r>
      <w:r>
        <w:rPr>
          <w:sz w:val="21"/>
        </w:rPr>
        <w:t>to the extent of such</w:t>
      </w:r>
      <w:r>
        <w:rPr>
          <w:spacing w:val="-7"/>
          <w:sz w:val="21"/>
        </w:rPr>
        <w:t xml:space="preserve"> </w:t>
      </w:r>
      <w:r>
        <w:rPr>
          <w:sz w:val="21"/>
        </w:rPr>
        <w:t>inconsistency.”</w:t>
      </w:r>
      <w:r>
        <w:rPr>
          <w:position w:val="7"/>
          <w:sz w:val="14"/>
        </w:rPr>
        <w:t>144</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10"/>
        <w:rPr>
          <w:sz w:val="14"/>
        </w:rPr>
      </w:pPr>
      <w:r w:rsidRPr="003B2FC0">
        <w:pict>
          <v:line id="_x0000_s1074" style="position:absolute;z-index:251641344;mso-wrap-distance-left:0;mso-wrap-distance-right:0;mso-position-horizontal-relative:page" from="1in,10.9pt" to="216.05pt,10.9pt" strokeweight=".72pt">
            <w10:wrap type="topAndBottom" anchorx="page"/>
          </v:line>
        </w:pict>
      </w:r>
    </w:p>
    <w:p w:rsidR="003B2FC0" w:rsidRDefault="00052A49">
      <w:pPr>
        <w:spacing w:before="66" w:line="210" w:lineRule="exact"/>
        <w:ind w:left="400"/>
        <w:rPr>
          <w:sz w:val="18"/>
        </w:rPr>
      </w:pPr>
      <w:r>
        <w:rPr>
          <w:position w:val="6"/>
          <w:sz w:val="12"/>
        </w:rPr>
        <w:t xml:space="preserve">143  </w:t>
      </w:r>
      <w:r>
        <w:rPr>
          <w:sz w:val="18"/>
        </w:rPr>
        <w:t>Ibid, at page</w:t>
      </w:r>
      <w:r>
        <w:rPr>
          <w:spacing w:val="-23"/>
          <w:sz w:val="18"/>
        </w:rPr>
        <w:t xml:space="preserve"> </w:t>
      </w:r>
      <w:r>
        <w:rPr>
          <w:sz w:val="18"/>
        </w:rPr>
        <w:t>65</w:t>
      </w:r>
    </w:p>
    <w:p w:rsidR="003B2FC0" w:rsidRDefault="00052A49">
      <w:pPr>
        <w:spacing w:line="210" w:lineRule="exact"/>
        <w:ind w:left="400"/>
        <w:rPr>
          <w:sz w:val="18"/>
        </w:rPr>
      </w:pPr>
      <w:r>
        <w:rPr>
          <w:position w:val="6"/>
          <w:sz w:val="12"/>
        </w:rPr>
        <w:t xml:space="preserve">144  </w:t>
      </w:r>
      <w:r>
        <w:rPr>
          <w:sz w:val="18"/>
        </w:rPr>
        <w:t>Ibid, at page</w:t>
      </w:r>
      <w:r>
        <w:rPr>
          <w:spacing w:val="-22"/>
          <w:sz w:val="18"/>
        </w:rPr>
        <w:t xml:space="preserve"> </w:t>
      </w:r>
      <w:r>
        <w:rPr>
          <w:sz w:val="18"/>
        </w:rPr>
        <w:t>65</w:t>
      </w:r>
    </w:p>
    <w:p w:rsidR="003B2FC0" w:rsidRDefault="003B2FC0">
      <w:pPr>
        <w:spacing w:line="210" w:lineRule="exact"/>
        <w:rPr>
          <w:sz w:val="18"/>
        </w:rPr>
        <w:sectPr w:rsidR="003B2FC0">
          <w:footerReference w:type="default" r:id="rId389"/>
          <w:pgSz w:w="11910" w:h="16840"/>
          <w:pgMar w:top="1080" w:right="980" w:bottom="1200" w:left="1040" w:header="708" w:footer="1000" w:gutter="0"/>
          <w:pgNumType w:start="14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Having concluded that the 1937 Act codified the practice of triple talaq and</w:t>
      </w:r>
      <w:r>
        <w:rPr>
          <w:spacing w:val="-33"/>
          <w:sz w:val="26"/>
        </w:rPr>
        <w:t xml:space="preserve"> </w:t>
      </w:r>
      <w:r>
        <w:rPr>
          <w:sz w:val="26"/>
        </w:rPr>
        <w:t>that the</w:t>
      </w:r>
      <w:r>
        <w:rPr>
          <w:spacing w:val="-17"/>
          <w:sz w:val="26"/>
        </w:rPr>
        <w:t xml:space="preserve"> </w:t>
      </w:r>
      <w:r>
        <w:rPr>
          <w:sz w:val="26"/>
        </w:rPr>
        <w:t>legislation</w:t>
      </w:r>
      <w:r>
        <w:rPr>
          <w:spacing w:val="-13"/>
          <w:sz w:val="26"/>
        </w:rPr>
        <w:t xml:space="preserve"> </w:t>
      </w:r>
      <w:r>
        <w:rPr>
          <w:sz w:val="26"/>
        </w:rPr>
        <w:t>would</w:t>
      </w:r>
      <w:r>
        <w:rPr>
          <w:spacing w:val="-16"/>
          <w:sz w:val="26"/>
        </w:rPr>
        <w:t xml:space="preserve"> </w:t>
      </w:r>
      <w:r>
        <w:rPr>
          <w:sz w:val="26"/>
        </w:rPr>
        <w:t>consequently</w:t>
      </w:r>
      <w:r>
        <w:rPr>
          <w:spacing w:val="-18"/>
          <w:sz w:val="26"/>
        </w:rPr>
        <w:t xml:space="preserve"> </w:t>
      </w:r>
      <w:r>
        <w:rPr>
          <w:sz w:val="26"/>
        </w:rPr>
        <w:t>fall</w:t>
      </w:r>
      <w:r>
        <w:rPr>
          <w:spacing w:val="-17"/>
          <w:sz w:val="26"/>
        </w:rPr>
        <w:t xml:space="preserve"> </w:t>
      </w:r>
      <w:r>
        <w:rPr>
          <w:sz w:val="26"/>
        </w:rPr>
        <w:t>within</w:t>
      </w:r>
      <w:r>
        <w:rPr>
          <w:spacing w:val="-16"/>
          <w:sz w:val="26"/>
        </w:rPr>
        <w:t xml:space="preserve"> </w:t>
      </w:r>
      <w:r>
        <w:rPr>
          <w:sz w:val="26"/>
        </w:rPr>
        <w:t>the</w:t>
      </w:r>
      <w:r>
        <w:rPr>
          <w:spacing w:val="-16"/>
          <w:sz w:val="26"/>
        </w:rPr>
        <w:t xml:space="preserve"> </w:t>
      </w:r>
      <w:r>
        <w:rPr>
          <w:sz w:val="26"/>
        </w:rPr>
        <w:t>ambit</w:t>
      </w:r>
      <w:r>
        <w:rPr>
          <w:spacing w:val="-16"/>
          <w:sz w:val="26"/>
        </w:rPr>
        <w:t xml:space="preserve"> </w:t>
      </w:r>
      <w:r>
        <w:rPr>
          <w:sz w:val="26"/>
        </w:rPr>
        <w:t>of</w:t>
      </w:r>
      <w:r>
        <w:rPr>
          <w:spacing w:val="-17"/>
          <w:sz w:val="26"/>
        </w:rPr>
        <w:t xml:space="preserve"> </w:t>
      </w:r>
      <w:r>
        <w:rPr>
          <w:sz w:val="26"/>
        </w:rPr>
        <w:t>‘laws</w:t>
      </w:r>
      <w:r>
        <w:rPr>
          <w:spacing w:val="-16"/>
          <w:sz w:val="26"/>
        </w:rPr>
        <w:t xml:space="preserve"> </w:t>
      </w:r>
      <w:r>
        <w:rPr>
          <w:sz w:val="26"/>
        </w:rPr>
        <w:t>in</w:t>
      </w:r>
      <w:r>
        <w:rPr>
          <w:spacing w:val="-16"/>
          <w:sz w:val="26"/>
        </w:rPr>
        <w:t xml:space="preserve"> </w:t>
      </w:r>
      <w:r>
        <w:rPr>
          <w:sz w:val="26"/>
        </w:rPr>
        <w:t>force’</w:t>
      </w:r>
      <w:r>
        <w:rPr>
          <w:spacing w:val="-16"/>
          <w:sz w:val="26"/>
        </w:rPr>
        <w:t xml:space="preserve"> </w:t>
      </w:r>
      <w:r>
        <w:rPr>
          <w:sz w:val="26"/>
        </w:rPr>
        <w:t>in</w:t>
      </w:r>
      <w:r>
        <w:rPr>
          <w:spacing w:val="-16"/>
          <w:sz w:val="26"/>
        </w:rPr>
        <w:t xml:space="preserve"> </w:t>
      </w:r>
      <w:r>
        <w:rPr>
          <w:sz w:val="26"/>
        </w:rPr>
        <w:t>Article 13(1) of the Constitution, it was held that it was “unnecessary…to decide whether</w:t>
      </w:r>
      <w:r>
        <w:rPr>
          <w:spacing w:val="-13"/>
          <w:sz w:val="26"/>
        </w:rPr>
        <w:t xml:space="preserve"> </w:t>
      </w:r>
      <w:r>
        <w:rPr>
          <w:sz w:val="26"/>
        </w:rPr>
        <w:t>the</w:t>
      </w:r>
      <w:r>
        <w:rPr>
          <w:spacing w:val="-14"/>
          <w:sz w:val="26"/>
        </w:rPr>
        <w:t xml:space="preserve"> </w:t>
      </w:r>
      <w:r>
        <w:rPr>
          <w:sz w:val="26"/>
        </w:rPr>
        <w:t>judgment</w:t>
      </w:r>
      <w:r>
        <w:rPr>
          <w:spacing w:val="-15"/>
          <w:sz w:val="26"/>
        </w:rPr>
        <w:t xml:space="preserve"> </w:t>
      </w:r>
      <w:r>
        <w:rPr>
          <w:sz w:val="26"/>
        </w:rPr>
        <w:t>in</w:t>
      </w:r>
      <w:r>
        <w:rPr>
          <w:spacing w:val="-10"/>
          <w:sz w:val="26"/>
        </w:rPr>
        <w:t xml:space="preserve"> </w:t>
      </w:r>
      <w:r>
        <w:rPr>
          <w:b/>
          <w:sz w:val="26"/>
        </w:rPr>
        <w:t>Narasu</w:t>
      </w:r>
      <w:r>
        <w:rPr>
          <w:b/>
          <w:spacing w:val="-9"/>
          <w:sz w:val="26"/>
        </w:rPr>
        <w:t xml:space="preserve"> </w:t>
      </w:r>
      <w:r>
        <w:rPr>
          <w:b/>
          <w:sz w:val="26"/>
        </w:rPr>
        <w:t>Appa</w:t>
      </w:r>
      <w:r>
        <w:rPr>
          <w:b/>
          <w:spacing w:val="-12"/>
          <w:sz w:val="26"/>
        </w:rPr>
        <w:t xml:space="preserve"> </w:t>
      </w:r>
      <w:r>
        <w:rPr>
          <w:sz w:val="26"/>
        </w:rPr>
        <w:t>(supra)</w:t>
      </w:r>
      <w:r>
        <w:rPr>
          <w:spacing w:val="-14"/>
          <w:sz w:val="26"/>
        </w:rPr>
        <w:t xml:space="preserve"> </w:t>
      </w:r>
      <w:r>
        <w:rPr>
          <w:sz w:val="26"/>
        </w:rPr>
        <w:t>is</w:t>
      </w:r>
      <w:r>
        <w:rPr>
          <w:spacing w:val="-13"/>
          <w:sz w:val="26"/>
        </w:rPr>
        <w:t xml:space="preserve"> </w:t>
      </w:r>
      <w:r>
        <w:rPr>
          <w:sz w:val="26"/>
        </w:rPr>
        <w:t>good</w:t>
      </w:r>
      <w:r>
        <w:rPr>
          <w:spacing w:val="-12"/>
          <w:sz w:val="26"/>
        </w:rPr>
        <w:t xml:space="preserve"> </w:t>
      </w:r>
      <w:r>
        <w:rPr>
          <w:sz w:val="26"/>
        </w:rPr>
        <w:t>law.”</w:t>
      </w:r>
      <w:r>
        <w:rPr>
          <w:position w:val="9"/>
          <w:sz w:val="17"/>
        </w:rPr>
        <w:t>145</w:t>
      </w:r>
      <w:r>
        <w:rPr>
          <w:spacing w:val="9"/>
          <w:position w:val="9"/>
          <w:sz w:val="17"/>
        </w:rPr>
        <w:t xml:space="preserve"> </w:t>
      </w:r>
      <w:r>
        <w:rPr>
          <w:sz w:val="26"/>
        </w:rPr>
        <w:t>Justice</w:t>
      </w:r>
      <w:r>
        <w:rPr>
          <w:spacing w:val="-14"/>
          <w:sz w:val="26"/>
        </w:rPr>
        <w:t xml:space="preserve"> </w:t>
      </w:r>
      <w:r>
        <w:rPr>
          <w:sz w:val="26"/>
        </w:rPr>
        <w:t xml:space="preserve">Nariman, however, doubted the correctness of </w:t>
      </w:r>
      <w:r>
        <w:rPr>
          <w:b/>
          <w:sz w:val="26"/>
        </w:rPr>
        <w:t xml:space="preserve">Narasu </w:t>
      </w:r>
      <w:r>
        <w:rPr>
          <w:sz w:val="26"/>
        </w:rPr>
        <w:t>in the following</w:t>
      </w:r>
      <w:r>
        <w:rPr>
          <w:spacing w:val="-6"/>
          <w:sz w:val="26"/>
        </w:rPr>
        <w:t xml:space="preserve"> </w:t>
      </w:r>
      <w:r>
        <w:rPr>
          <w:sz w:val="26"/>
        </w:rPr>
        <w:t>observation:</w:t>
      </w:r>
    </w:p>
    <w:p w:rsidR="003B2FC0" w:rsidRDefault="00052A49">
      <w:pPr>
        <w:spacing w:before="193" w:line="276" w:lineRule="auto"/>
        <w:ind w:left="1840" w:right="2279"/>
        <w:jc w:val="both"/>
        <w:rPr>
          <w:sz w:val="21"/>
        </w:rPr>
      </w:pPr>
      <w:r>
        <w:rPr>
          <w:sz w:val="21"/>
        </w:rPr>
        <w:t>“However,</w:t>
      </w:r>
      <w:r>
        <w:rPr>
          <w:spacing w:val="-11"/>
          <w:sz w:val="21"/>
        </w:rPr>
        <w:t xml:space="preserve"> </w:t>
      </w:r>
      <w:r>
        <w:rPr>
          <w:sz w:val="21"/>
        </w:rPr>
        <w:t>in</w:t>
      </w:r>
      <w:r>
        <w:rPr>
          <w:spacing w:val="-12"/>
          <w:sz w:val="21"/>
        </w:rPr>
        <w:t xml:space="preserve"> </w:t>
      </w:r>
      <w:r>
        <w:rPr>
          <w:sz w:val="21"/>
        </w:rPr>
        <w:t>a</w:t>
      </w:r>
      <w:r>
        <w:rPr>
          <w:spacing w:val="-9"/>
          <w:sz w:val="21"/>
        </w:rPr>
        <w:t xml:space="preserve"> </w:t>
      </w:r>
      <w:r>
        <w:rPr>
          <w:sz w:val="21"/>
        </w:rPr>
        <w:t>suitable</w:t>
      </w:r>
      <w:r>
        <w:rPr>
          <w:spacing w:val="-11"/>
          <w:sz w:val="21"/>
        </w:rPr>
        <w:t xml:space="preserve"> </w:t>
      </w:r>
      <w:r>
        <w:rPr>
          <w:sz w:val="21"/>
        </w:rPr>
        <w:t>case,</w:t>
      </w:r>
      <w:r>
        <w:rPr>
          <w:spacing w:val="-10"/>
          <w:sz w:val="21"/>
        </w:rPr>
        <w:t xml:space="preserve"> </w:t>
      </w:r>
      <w:r>
        <w:rPr>
          <w:sz w:val="21"/>
        </w:rPr>
        <w:t>it</w:t>
      </w:r>
      <w:r>
        <w:rPr>
          <w:spacing w:val="-12"/>
          <w:sz w:val="21"/>
        </w:rPr>
        <w:t xml:space="preserve"> </w:t>
      </w:r>
      <w:r>
        <w:rPr>
          <w:sz w:val="21"/>
        </w:rPr>
        <w:t>may</w:t>
      </w:r>
      <w:r>
        <w:rPr>
          <w:spacing w:val="-12"/>
          <w:sz w:val="21"/>
        </w:rPr>
        <w:t xml:space="preserve"> </w:t>
      </w:r>
      <w:r>
        <w:rPr>
          <w:sz w:val="21"/>
        </w:rPr>
        <w:t>be</w:t>
      </w:r>
      <w:r>
        <w:rPr>
          <w:spacing w:val="-12"/>
          <w:sz w:val="21"/>
        </w:rPr>
        <w:t xml:space="preserve"> </w:t>
      </w:r>
      <w:r>
        <w:rPr>
          <w:sz w:val="21"/>
        </w:rPr>
        <w:t>necessary</w:t>
      </w:r>
      <w:r>
        <w:rPr>
          <w:spacing w:val="-11"/>
          <w:sz w:val="21"/>
        </w:rPr>
        <w:t xml:space="preserve"> </w:t>
      </w:r>
      <w:r>
        <w:rPr>
          <w:sz w:val="21"/>
        </w:rPr>
        <w:t>to</w:t>
      </w:r>
      <w:r>
        <w:rPr>
          <w:spacing w:val="-12"/>
          <w:sz w:val="21"/>
        </w:rPr>
        <w:t xml:space="preserve"> </w:t>
      </w:r>
      <w:r>
        <w:rPr>
          <w:sz w:val="21"/>
        </w:rPr>
        <w:t>have</w:t>
      </w:r>
      <w:r>
        <w:rPr>
          <w:spacing w:val="-9"/>
          <w:sz w:val="21"/>
        </w:rPr>
        <w:t xml:space="preserve"> </w:t>
      </w:r>
      <w:r>
        <w:rPr>
          <w:sz w:val="21"/>
        </w:rPr>
        <w:t>a</w:t>
      </w:r>
      <w:r>
        <w:rPr>
          <w:spacing w:val="-8"/>
          <w:sz w:val="21"/>
        </w:rPr>
        <w:t xml:space="preserve"> </w:t>
      </w:r>
      <w:r>
        <w:rPr>
          <w:sz w:val="21"/>
        </w:rPr>
        <w:t>re- look at this judgment in that the definition of “law and “laws in force” are both inclusive definitions, and that at least one part of the judgment of P.B. Gajend</w:t>
      </w:r>
      <w:r>
        <w:rPr>
          <w:sz w:val="21"/>
        </w:rPr>
        <w:t>ragadkar, J., (para 26) in which the learned Judge opines that the expression “law” cannot be read into the expression “laws in force” in Article 13(3) is itself no longer good</w:t>
      </w:r>
      <w:r>
        <w:rPr>
          <w:spacing w:val="-4"/>
          <w:sz w:val="21"/>
        </w:rPr>
        <w:t xml:space="preserve"> </w:t>
      </w:r>
      <w:r>
        <w:rPr>
          <w:sz w:val="21"/>
        </w:rPr>
        <w:t>law.”</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94" w:line="480" w:lineRule="auto"/>
        <w:ind w:right="437" w:firstLine="0"/>
        <w:jc w:val="both"/>
        <w:rPr>
          <w:sz w:val="26"/>
        </w:rPr>
      </w:pPr>
      <w:r>
        <w:rPr>
          <w:sz w:val="26"/>
        </w:rPr>
        <w:t>Custom, usages and personal law have a significant impact on the civil status</w:t>
      </w:r>
      <w:r>
        <w:rPr>
          <w:spacing w:val="-8"/>
          <w:sz w:val="26"/>
        </w:rPr>
        <w:t xml:space="preserve"> </w:t>
      </w:r>
      <w:r>
        <w:rPr>
          <w:sz w:val="26"/>
        </w:rPr>
        <w:t>of</w:t>
      </w:r>
      <w:r>
        <w:rPr>
          <w:spacing w:val="-5"/>
          <w:sz w:val="26"/>
        </w:rPr>
        <w:t xml:space="preserve"> </w:t>
      </w:r>
      <w:r>
        <w:rPr>
          <w:sz w:val="26"/>
        </w:rPr>
        <w:t>individuals.</w:t>
      </w:r>
      <w:r>
        <w:rPr>
          <w:spacing w:val="-3"/>
          <w:sz w:val="26"/>
        </w:rPr>
        <w:t xml:space="preserve"> </w:t>
      </w:r>
      <w:r>
        <w:rPr>
          <w:sz w:val="26"/>
        </w:rPr>
        <w:t>Those</w:t>
      </w:r>
      <w:r>
        <w:rPr>
          <w:spacing w:val="-8"/>
          <w:sz w:val="26"/>
        </w:rPr>
        <w:t xml:space="preserve"> </w:t>
      </w:r>
      <w:r>
        <w:rPr>
          <w:sz w:val="26"/>
        </w:rPr>
        <w:t>activities</w:t>
      </w:r>
      <w:r>
        <w:rPr>
          <w:spacing w:val="-7"/>
          <w:sz w:val="26"/>
        </w:rPr>
        <w:t xml:space="preserve"> </w:t>
      </w:r>
      <w:r>
        <w:rPr>
          <w:sz w:val="26"/>
        </w:rPr>
        <w:t>that</w:t>
      </w:r>
      <w:r>
        <w:rPr>
          <w:spacing w:val="-6"/>
          <w:sz w:val="26"/>
        </w:rPr>
        <w:t xml:space="preserve"> </w:t>
      </w:r>
      <w:r>
        <w:rPr>
          <w:sz w:val="26"/>
        </w:rPr>
        <w:t>are</w:t>
      </w:r>
      <w:r>
        <w:rPr>
          <w:spacing w:val="-8"/>
          <w:sz w:val="26"/>
        </w:rPr>
        <w:t xml:space="preserve"> </w:t>
      </w:r>
      <w:r>
        <w:rPr>
          <w:sz w:val="26"/>
        </w:rPr>
        <w:t>inherently</w:t>
      </w:r>
      <w:r>
        <w:rPr>
          <w:spacing w:val="-6"/>
          <w:sz w:val="26"/>
        </w:rPr>
        <w:t xml:space="preserve"> </w:t>
      </w:r>
      <w:r>
        <w:rPr>
          <w:sz w:val="26"/>
        </w:rPr>
        <w:t>connected</w:t>
      </w:r>
      <w:r>
        <w:rPr>
          <w:spacing w:val="-6"/>
          <w:sz w:val="26"/>
        </w:rPr>
        <w:t xml:space="preserve"> </w:t>
      </w:r>
      <w:r>
        <w:rPr>
          <w:sz w:val="26"/>
        </w:rPr>
        <w:t>with</w:t>
      </w:r>
      <w:r>
        <w:rPr>
          <w:spacing w:val="-5"/>
          <w:sz w:val="26"/>
        </w:rPr>
        <w:t xml:space="preserve"> </w:t>
      </w:r>
      <w:r>
        <w:rPr>
          <w:sz w:val="26"/>
        </w:rPr>
        <w:t>the</w:t>
      </w:r>
      <w:r>
        <w:rPr>
          <w:spacing w:val="-8"/>
          <w:sz w:val="26"/>
        </w:rPr>
        <w:t xml:space="preserve"> </w:t>
      </w:r>
      <w:r>
        <w:rPr>
          <w:sz w:val="26"/>
        </w:rPr>
        <w:t>civil status of individuals cannot be granted constitutional immunity merely because they may have some as</w:t>
      </w:r>
      <w:r>
        <w:rPr>
          <w:sz w:val="26"/>
        </w:rPr>
        <w:t>sociational features which have a religious nature. To immunize them from constitutional scrutiny, is to deny the primacy of the Constitution.</w:t>
      </w:r>
    </w:p>
    <w:p w:rsidR="003B2FC0" w:rsidRDefault="003B2FC0">
      <w:pPr>
        <w:rPr>
          <w:sz w:val="28"/>
        </w:rPr>
      </w:pPr>
    </w:p>
    <w:p w:rsidR="003B2FC0" w:rsidRDefault="003B2FC0">
      <w:pPr>
        <w:spacing w:before="10"/>
        <w:rPr>
          <w:sz w:val="32"/>
        </w:rPr>
      </w:pPr>
    </w:p>
    <w:p w:rsidR="003B2FC0" w:rsidRDefault="00052A49">
      <w:pPr>
        <w:spacing w:line="480" w:lineRule="auto"/>
        <w:ind w:left="400" w:right="434"/>
        <w:jc w:val="both"/>
        <w:rPr>
          <w:sz w:val="26"/>
        </w:rPr>
      </w:pPr>
      <w:r>
        <w:rPr>
          <w:sz w:val="26"/>
        </w:rPr>
        <w:t>Our Constitution marks a vision of social transformation. It marks a break from the past – one characterized by</w:t>
      </w:r>
      <w:r>
        <w:rPr>
          <w:sz w:val="26"/>
        </w:rPr>
        <w:t xml:space="preserve"> a deeply divided society resting on social prejudices, stereotypes, subordination and discrimination destructive of the dignity of the individual. It speaks to the future of a vision which is truly</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5"/>
        <w:rPr>
          <w:sz w:val="10"/>
        </w:rPr>
      </w:pPr>
      <w:r w:rsidRPr="003B2FC0">
        <w:pict>
          <v:line id="_x0000_s1073" style="position:absolute;z-index:251642368;mso-wrap-distance-left:0;mso-wrap-distance-right:0;mso-position-horizontal-relative:page" from="1in,8.4pt" to="216.05pt,8.4pt" strokeweight=".72pt">
            <w10:wrap type="topAndBottom" anchorx="page"/>
          </v:line>
        </w:pict>
      </w:r>
    </w:p>
    <w:p w:rsidR="003B2FC0" w:rsidRDefault="00052A49">
      <w:pPr>
        <w:spacing w:before="66"/>
        <w:ind w:left="400"/>
        <w:rPr>
          <w:sz w:val="18"/>
        </w:rPr>
      </w:pPr>
      <w:r>
        <w:rPr>
          <w:position w:val="6"/>
          <w:sz w:val="12"/>
        </w:rPr>
        <w:t xml:space="preserve">145 </w:t>
      </w:r>
      <w:r>
        <w:rPr>
          <w:sz w:val="18"/>
        </w:rPr>
        <w:t>Ibid, at para 51</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9"/>
        <w:jc w:val="both"/>
        <w:rPr>
          <w:sz w:val="26"/>
        </w:rPr>
      </w:pPr>
      <w:r>
        <w:rPr>
          <w:sz w:val="26"/>
        </w:rPr>
        <w:t>emancipatory in nature. In the context of the transformative vision of the South African Constitution, it has been observed that such a vision would:</w:t>
      </w:r>
    </w:p>
    <w:p w:rsidR="003B2FC0" w:rsidRDefault="00052A49">
      <w:pPr>
        <w:spacing w:before="200" w:line="276" w:lineRule="auto"/>
        <w:ind w:left="1840" w:right="2282"/>
        <w:jc w:val="both"/>
        <w:rPr>
          <w:sz w:val="14"/>
        </w:rPr>
      </w:pPr>
      <w:r>
        <w:rPr>
          <w:sz w:val="21"/>
        </w:rPr>
        <w:t>“require a complete reconstruction of the state and society, including a redistribution of power and resou</w:t>
      </w:r>
      <w:r>
        <w:rPr>
          <w:sz w:val="21"/>
        </w:rPr>
        <w:t>rces along egalitarian</w:t>
      </w:r>
      <w:r>
        <w:rPr>
          <w:spacing w:val="-12"/>
          <w:sz w:val="21"/>
        </w:rPr>
        <w:t xml:space="preserve"> </w:t>
      </w:r>
      <w:r>
        <w:rPr>
          <w:sz w:val="21"/>
        </w:rPr>
        <w:t>lines.</w:t>
      </w:r>
      <w:r>
        <w:rPr>
          <w:spacing w:val="-14"/>
          <w:sz w:val="21"/>
        </w:rPr>
        <w:t xml:space="preserve"> </w:t>
      </w:r>
      <w:r>
        <w:rPr>
          <w:sz w:val="21"/>
        </w:rPr>
        <w:t>The</w:t>
      </w:r>
      <w:r>
        <w:rPr>
          <w:spacing w:val="-13"/>
          <w:sz w:val="21"/>
        </w:rPr>
        <w:t xml:space="preserve"> </w:t>
      </w:r>
      <w:r>
        <w:rPr>
          <w:sz w:val="21"/>
        </w:rPr>
        <w:t>challenge</w:t>
      </w:r>
      <w:r>
        <w:rPr>
          <w:spacing w:val="-12"/>
          <w:sz w:val="21"/>
        </w:rPr>
        <w:t xml:space="preserve"> </w:t>
      </w:r>
      <w:r>
        <w:rPr>
          <w:sz w:val="21"/>
        </w:rPr>
        <w:t>of</w:t>
      </w:r>
      <w:r>
        <w:rPr>
          <w:spacing w:val="-12"/>
          <w:sz w:val="21"/>
        </w:rPr>
        <w:t xml:space="preserve"> </w:t>
      </w:r>
      <w:r>
        <w:rPr>
          <w:sz w:val="21"/>
        </w:rPr>
        <w:t>achieving</w:t>
      </w:r>
      <w:r>
        <w:rPr>
          <w:spacing w:val="-12"/>
          <w:sz w:val="21"/>
        </w:rPr>
        <w:t xml:space="preserve"> </w:t>
      </w:r>
      <w:r>
        <w:rPr>
          <w:sz w:val="21"/>
        </w:rPr>
        <w:t>equality</w:t>
      </w:r>
      <w:r>
        <w:rPr>
          <w:spacing w:val="-15"/>
          <w:sz w:val="21"/>
        </w:rPr>
        <w:t xml:space="preserve"> </w:t>
      </w:r>
      <w:r>
        <w:rPr>
          <w:sz w:val="21"/>
        </w:rPr>
        <w:t>within</w:t>
      </w:r>
      <w:r>
        <w:rPr>
          <w:spacing w:val="-13"/>
          <w:sz w:val="21"/>
        </w:rPr>
        <w:t xml:space="preserve"> </w:t>
      </w:r>
      <w:r>
        <w:rPr>
          <w:sz w:val="21"/>
        </w:rPr>
        <w:t>this transformation project involves the eradication of systemic forms</w:t>
      </w:r>
      <w:r>
        <w:rPr>
          <w:spacing w:val="-9"/>
          <w:sz w:val="21"/>
        </w:rPr>
        <w:t xml:space="preserve"> </w:t>
      </w:r>
      <w:r>
        <w:rPr>
          <w:sz w:val="21"/>
        </w:rPr>
        <w:t>of</w:t>
      </w:r>
      <w:r>
        <w:rPr>
          <w:spacing w:val="-7"/>
          <w:sz w:val="21"/>
        </w:rPr>
        <w:t xml:space="preserve"> </w:t>
      </w:r>
      <w:r>
        <w:rPr>
          <w:sz w:val="21"/>
        </w:rPr>
        <w:t>domination</w:t>
      </w:r>
      <w:r>
        <w:rPr>
          <w:spacing w:val="-9"/>
          <w:sz w:val="21"/>
        </w:rPr>
        <w:t xml:space="preserve"> </w:t>
      </w:r>
      <w:r>
        <w:rPr>
          <w:sz w:val="21"/>
        </w:rPr>
        <w:t>and</w:t>
      </w:r>
      <w:r>
        <w:rPr>
          <w:spacing w:val="-8"/>
          <w:sz w:val="21"/>
        </w:rPr>
        <w:t xml:space="preserve"> </w:t>
      </w:r>
      <w:r>
        <w:rPr>
          <w:sz w:val="21"/>
        </w:rPr>
        <w:t>material</w:t>
      </w:r>
      <w:r>
        <w:rPr>
          <w:spacing w:val="-8"/>
          <w:sz w:val="21"/>
        </w:rPr>
        <w:t xml:space="preserve"> </w:t>
      </w:r>
      <w:r>
        <w:rPr>
          <w:sz w:val="21"/>
        </w:rPr>
        <w:t>disadvantage</w:t>
      </w:r>
      <w:r>
        <w:rPr>
          <w:spacing w:val="-9"/>
          <w:sz w:val="21"/>
        </w:rPr>
        <w:t xml:space="preserve"> </w:t>
      </w:r>
      <w:r>
        <w:rPr>
          <w:sz w:val="21"/>
        </w:rPr>
        <w:t>based</w:t>
      </w:r>
      <w:r>
        <w:rPr>
          <w:spacing w:val="-8"/>
          <w:sz w:val="21"/>
        </w:rPr>
        <w:t xml:space="preserve"> </w:t>
      </w:r>
      <w:r>
        <w:rPr>
          <w:sz w:val="21"/>
        </w:rPr>
        <w:t>on</w:t>
      </w:r>
      <w:r>
        <w:rPr>
          <w:spacing w:val="-9"/>
          <w:sz w:val="21"/>
        </w:rPr>
        <w:t xml:space="preserve"> </w:t>
      </w:r>
      <w:r>
        <w:rPr>
          <w:sz w:val="21"/>
        </w:rPr>
        <w:t>race, gender,</w:t>
      </w:r>
      <w:r>
        <w:rPr>
          <w:spacing w:val="-15"/>
          <w:sz w:val="21"/>
        </w:rPr>
        <w:t xml:space="preserve"> </w:t>
      </w:r>
      <w:r>
        <w:rPr>
          <w:sz w:val="21"/>
        </w:rPr>
        <w:t>class</w:t>
      </w:r>
      <w:r>
        <w:rPr>
          <w:spacing w:val="-13"/>
          <w:sz w:val="21"/>
        </w:rPr>
        <w:t xml:space="preserve"> </w:t>
      </w:r>
      <w:r>
        <w:rPr>
          <w:sz w:val="21"/>
        </w:rPr>
        <w:t>and</w:t>
      </w:r>
      <w:r>
        <w:rPr>
          <w:spacing w:val="-13"/>
          <w:sz w:val="21"/>
        </w:rPr>
        <w:t xml:space="preserve"> </w:t>
      </w:r>
      <w:r>
        <w:rPr>
          <w:sz w:val="21"/>
        </w:rPr>
        <w:t>other</w:t>
      </w:r>
      <w:r>
        <w:rPr>
          <w:spacing w:val="-14"/>
          <w:sz w:val="21"/>
        </w:rPr>
        <w:t xml:space="preserve"> </w:t>
      </w:r>
      <w:r>
        <w:rPr>
          <w:sz w:val="21"/>
        </w:rPr>
        <w:t>grounds</w:t>
      </w:r>
      <w:r>
        <w:rPr>
          <w:spacing w:val="-13"/>
          <w:sz w:val="21"/>
        </w:rPr>
        <w:t xml:space="preserve"> </w:t>
      </w:r>
      <w:r>
        <w:rPr>
          <w:sz w:val="21"/>
        </w:rPr>
        <w:t>of</w:t>
      </w:r>
      <w:r>
        <w:rPr>
          <w:spacing w:val="-14"/>
          <w:sz w:val="21"/>
        </w:rPr>
        <w:t xml:space="preserve"> </w:t>
      </w:r>
      <w:r>
        <w:rPr>
          <w:sz w:val="21"/>
        </w:rPr>
        <w:t>inequality.</w:t>
      </w:r>
      <w:r>
        <w:rPr>
          <w:spacing w:val="-14"/>
          <w:sz w:val="21"/>
        </w:rPr>
        <w:t xml:space="preserve"> </w:t>
      </w:r>
      <w:r>
        <w:rPr>
          <w:sz w:val="21"/>
        </w:rPr>
        <w:t>It</w:t>
      </w:r>
      <w:r>
        <w:rPr>
          <w:spacing w:val="-14"/>
          <w:sz w:val="21"/>
        </w:rPr>
        <w:t xml:space="preserve"> </w:t>
      </w:r>
      <w:r>
        <w:rPr>
          <w:sz w:val="21"/>
        </w:rPr>
        <w:t>also</w:t>
      </w:r>
      <w:r>
        <w:rPr>
          <w:spacing w:val="-16"/>
          <w:sz w:val="21"/>
        </w:rPr>
        <w:t xml:space="preserve"> </w:t>
      </w:r>
      <w:r>
        <w:rPr>
          <w:sz w:val="21"/>
        </w:rPr>
        <w:t>entails</w:t>
      </w:r>
      <w:r>
        <w:rPr>
          <w:spacing w:val="-13"/>
          <w:sz w:val="21"/>
        </w:rPr>
        <w:t xml:space="preserve"> </w:t>
      </w:r>
      <w:r>
        <w:rPr>
          <w:sz w:val="21"/>
        </w:rPr>
        <w:t>the development of opportunities which allow people to realise their</w:t>
      </w:r>
      <w:r>
        <w:rPr>
          <w:spacing w:val="-19"/>
          <w:sz w:val="21"/>
        </w:rPr>
        <w:t xml:space="preserve"> </w:t>
      </w:r>
      <w:r>
        <w:rPr>
          <w:sz w:val="21"/>
        </w:rPr>
        <w:t>full</w:t>
      </w:r>
      <w:r>
        <w:rPr>
          <w:spacing w:val="-16"/>
          <w:sz w:val="21"/>
        </w:rPr>
        <w:t xml:space="preserve"> </w:t>
      </w:r>
      <w:r>
        <w:rPr>
          <w:sz w:val="21"/>
        </w:rPr>
        <w:t>human</w:t>
      </w:r>
      <w:r>
        <w:rPr>
          <w:spacing w:val="-18"/>
          <w:sz w:val="21"/>
        </w:rPr>
        <w:t xml:space="preserve"> </w:t>
      </w:r>
      <w:r>
        <w:rPr>
          <w:sz w:val="21"/>
        </w:rPr>
        <w:t>potential</w:t>
      </w:r>
      <w:r>
        <w:rPr>
          <w:spacing w:val="-16"/>
          <w:sz w:val="21"/>
        </w:rPr>
        <w:t xml:space="preserve"> </w:t>
      </w:r>
      <w:r>
        <w:rPr>
          <w:sz w:val="21"/>
        </w:rPr>
        <w:t>within</w:t>
      </w:r>
      <w:r>
        <w:rPr>
          <w:spacing w:val="-21"/>
          <w:sz w:val="21"/>
        </w:rPr>
        <w:t xml:space="preserve"> </w:t>
      </w:r>
      <w:r>
        <w:rPr>
          <w:sz w:val="21"/>
        </w:rPr>
        <w:t>positive</w:t>
      </w:r>
      <w:r>
        <w:rPr>
          <w:spacing w:val="-17"/>
          <w:sz w:val="21"/>
        </w:rPr>
        <w:t xml:space="preserve"> </w:t>
      </w:r>
      <w:r>
        <w:rPr>
          <w:sz w:val="21"/>
        </w:rPr>
        <w:t>social</w:t>
      </w:r>
      <w:r>
        <w:rPr>
          <w:spacing w:val="-17"/>
          <w:sz w:val="21"/>
        </w:rPr>
        <w:t xml:space="preserve"> </w:t>
      </w:r>
      <w:r>
        <w:rPr>
          <w:sz w:val="21"/>
        </w:rPr>
        <w:t>relationships.”</w:t>
      </w:r>
      <w:r>
        <w:rPr>
          <w:position w:val="7"/>
          <w:sz w:val="14"/>
        </w:rPr>
        <w:t>146</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88" w:line="480" w:lineRule="auto"/>
        <w:ind w:right="435" w:firstLine="0"/>
        <w:jc w:val="both"/>
        <w:rPr>
          <w:sz w:val="26"/>
        </w:rPr>
      </w:pPr>
      <w:r>
        <w:rPr>
          <w:sz w:val="26"/>
        </w:rPr>
        <w:t>The Indian Constitution is marked by a transformative vision. Its transformative potential lies in recognizing its</w:t>
      </w:r>
      <w:r>
        <w:rPr>
          <w:sz w:val="26"/>
        </w:rPr>
        <w:t xml:space="preserve"> supremacy over all bodies of law and practices that claim the continuation of a past which militates against its vision of a just society. At the heart of transformative constitutionalism, is a recognition of change. What transformation in social relation</w:t>
      </w:r>
      <w:r>
        <w:rPr>
          <w:sz w:val="26"/>
        </w:rPr>
        <w:t>s did the Constitution seek to achieve? What vision of society does the Constitution envisage?</w:t>
      </w:r>
      <w:r>
        <w:rPr>
          <w:spacing w:val="-14"/>
          <w:sz w:val="26"/>
        </w:rPr>
        <w:t xml:space="preserve"> </w:t>
      </w:r>
      <w:r>
        <w:rPr>
          <w:sz w:val="26"/>
        </w:rPr>
        <w:t>The</w:t>
      </w:r>
      <w:r>
        <w:rPr>
          <w:spacing w:val="-14"/>
          <w:sz w:val="26"/>
        </w:rPr>
        <w:t xml:space="preserve"> </w:t>
      </w:r>
      <w:r>
        <w:rPr>
          <w:sz w:val="26"/>
        </w:rPr>
        <w:t>answer</w:t>
      </w:r>
      <w:r>
        <w:rPr>
          <w:spacing w:val="-13"/>
          <w:sz w:val="26"/>
        </w:rPr>
        <w:t xml:space="preserve"> </w:t>
      </w:r>
      <w:r>
        <w:rPr>
          <w:sz w:val="26"/>
        </w:rPr>
        <w:t>to</w:t>
      </w:r>
      <w:r>
        <w:rPr>
          <w:spacing w:val="-14"/>
          <w:sz w:val="26"/>
        </w:rPr>
        <w:t xml:space="preserve"> </w:t>
      </w:r>
      <w:r>
        <w:rPr>
          <w:sz w:val="26"/>
        </w:rPr>
        <w:t>these</w:t>
      </w:r>
      <w:r>
        <w:rPr>
          <w:spacing w:val="-13"/>
          <w:sz w:val="26"/>
        </w:rPr>
        <w:t xml:space="preserve"> </w:t>
      </w:r>
      <w:r>
        <w:rPr>
          <w:sz w:val="26"/>
        </w:rPr>
        <w:t>questions</w:t>
      </w:r>
      <w:r>
        <w:rPr>
          <w:spacing w:val="-12"/>
          <w:sz w:val="26"/>
        </w:rPr>
        <w:t xml:space="preserve"> </w:t>
      </w:r>
      <w:r>
        <w:rPr>
          <w:sz w:val="26"/>
        </w:rPr>
        <w:t>lies</w:t>
      </w:r>
      <w:r>
        <w:rPr>
          <w:spacing w:val="-14"/>
          <w:sz w:val="26"/>
        </w:rPr>
        <w:t xml:space="preserve"> </w:t>
      </w:r>
      <w:r>
        <w:rPr>
          <w:sz w:val="26"/>
        </w:rPr>
        <w:t>in</w:t>
      </w:r>
      <w:r>
        <w:rPr>
          <w:spacing w:val="-13"/>
          <w:sz w:val="26"/>
        </w:rPr>
        <w:t xml:space="preserve"> </w:t>
      </w:r>
      <w:r>
        <w:rPr>
          <w:sz w:val="26"/>
        </w:rPr>
        <w:t>the</w:t>
      </w:r>
      <w:r>
        <w:rPr>
          <w:spacing w:val="-14"/>
          <w:sz w:val="26"/>
        </w:rPr>
        <w:t xml:space="preserve"> </w:t>
      </w:r>
      <w:r>
        <w:rPr>
          <w:sz w:val="26"/>
        </w:rPr>
        <w:t>recognition</w:t>
      </w:r>
      <w:r>
        <w:rPr>
          <w:spacing w:val="-11"/>
          <w:sz w:val="26"/>
        </w:rPr>
        <w:t xml:space="preserve"> </w:t>
      </w:r>
      <w:r>
        <w:rPr>
          <w:sz w:val="26"/>
        </w:rPr>
        <w:t>of</w:t>
      </w:r>
      <w:r>
        <w:rPr>
          <w:spacing w:val="-14"/>
          <w:sz w:val="26"/>
        </w:rPr>
        <w:t xml:space="preserve"> </w:t>
      </w:r>
      <w:r>
        <w:rPr>
          <w:sz w:val="26"/>
        </w:rPr>
        <w:t>the</w:t>
      </w:r>
      <w:r>
        <w:rPr>
          <w:spacing w:val="-12"/>
          <w:sz w:val="26"/>
        </w:rPr>
        <w:t xml:space="preserve"> </w:t>
      </w:r>
      <w:r>
        <w:rPr>
          <w:sz w:val="26"/>
        </w:rPr>
        <w:t>individual as the basic unit of the Constitution. This view demands that existing</w:t>
      </w:r>
      <w:r>
        <w:rPr>
          <w:spacing w:val="-52"/>
          <w:sz w:val="26"/>
        </w:rPr>
        <w:t xml:space="preserve"> </w:t>
      </w:r>
      <w:r>
        <w:rPr>
          <w:sz w:val="26"/>
        </w:rPr>
        <w:t>structures and laws be viewed from the prism of individual</w:t>
      </w:r>
      <w:r>
        <w:rPr>
          <w:spacing w:val="-6"/>
          <w:sz w:val="26"/>
        </w:rPr>
        <w:t xml:space="preserve"> </w:t>
      </w:r>
      <w:r>
        <w:rPr>
          <w:sz w:val="26"/>
        </w:rPr>
        <w:t>dignity.</w:t>
      </w:r>
    </w:p>
    <w:p w:rsidR="003B2FC0" w:rsidRDefault="003B2FC0">
      <w:pPr>
        <w:rPr>
          <w:sz w:val="28"/>
        </w:rPr>
      </w:pPr>
    </w:p>
    <w:p w:rsidR="003B2FC0" w:rsidRDefault="003B2FC0">
      <w:pPr>
        <w:spacing w:before="8"/>
        <w:rPr>
          <w:sz w:val="36"/>
        </w:rPr>
      </w:pPr>
    </w:p>
    <w:p w:rsidR="003B2FC0" w:rsidRDefault="00052A49">
      <w:pPr>
        <w:spacing w:line="480" w:lineRule="auto"/>
        <w:ind w:left="400" w:right="434"/>
        <w:jc w:val="both"/>
        <w:rPr>
          <w:sz w:val="26"/>
        </w:rPr>
      </w:pPr>
      <w:r>
        <w:rPr>
          <w:sz w:val="26"/>
        </w:rPr>
        <w:t>Did</w:t>
      </w:r>
      <w:r>
        <w:rPr>
          <w:spacing w:val="-19"/>
          <w:sz w:val="26"/>
        </w:rPr>
        <w:t xml:space="preserve"> </w:t>
      </w:r>
      <w:r>
        <w:rPr>
          <w:sz w:val="26"/>
        </w:rPr>
        <w:t>the</w:t>
      </w:r>
      <w:r>
        <w:rPr>
          <w:spacing w:val="-17"/>
          <w:sz w:val="26"/>
        </w:rPr>
        <w:t xml:space="preserve"> </w:t>
      </w:r>
      <w:r>
        <w:rPr>
          <w:sz w:val="26"/>
        </w:rPr>
        <w:t>Constitution</w:t>
      </w:r>
      <w:r>
        <w:rPr>
          <w:spacing w:val="-18"/>
          <w:sz w:val="26"/>
        </w:rPr>
        <w:t xml:space="preserve"> </w:t>
      </w:r>
      <w:r>
        <w:rPr>
          <w:sz w:val="26"/>
        </w:rPr>
        <w:t>intend</w:t>
      </w:r>
      <w:r>
        <w:rPr>
          <w:spacing w:val="-19"/>
          <w:sz w:val="26"/>
        </w:rPr>
        <w:t xml:space="preserve"> </w:t>
      </w:r>
      <w:r>
        <w:rPr>
          <w:sz w:val="26"/>
        </w:rPr>
        <w:t>to</w:t>
      </w:r>
      <w:r>
        <w:rPr>
          <w:spacing w:val="-18"/>
          <w:sz w:val="26"/>
        </w:rPr>
        <w:t xml:space="preserve"> </w:t>
      </w:r>
      <w:r>
        <w:rPr>
          <w:sz w:val="26"/>
        </w:rPr>
        <w:t>exclude</w:t>
      </w:r>
      <w:r>
        <w:rPr>
          <w:spacing w:val="-15"/>
          <w:sz w:val="26"/>
        </w:rPr>
        <w:t xml:space="preserve"> </w:t>
      </w:r>
      <w:r>
        <w:rPr>
          <w:sz w:val="26"/>
        </w:rPr>
        <w:t>any</w:t>
      </w:r>
      <w:r>
        <w:rPr>
          <w:spacing w:val="-16"/>
          <w:sz w:val="26"/>
        </w:rPr>
        <w:t xml:space="preserve"> </w:t>
      </w:r>
      <w:r>
        <w:rPr>
          <w:sz w:val="26"/>
        </w:rPr>
        <w:t>practice</w:t>
      </w:r>
      <w:r>
        <w:rPr>
          <w:spacing w:val="-15"/>
          <w:sz w:val="26"/>
        </w:rPr>
        <w:t xml:space="preserve"> </w:t>
      </w:r>
      <w:r>
        <w:rPr>
          <w:sz w:val="26"/>
        </w:rPr>
        <w:t>from</w:t>
      </w:r>
      <w:r>
        <w:rPr>
          <w:spacing w:val="-16"/>
          <w:sz w:val="26"/>
        </w:rPr>
        <w:t xml:space="preserve"> </w:t>
      </w:r>
      <w:r>
        <w:rPr>
          <w:sz w:val="26"/>
        </w:rPr>
        <w:t>its</w:t>
      </w:r>
      <w:r>
        <w:rPr>
          <w:spacing w:val="-19"/>
          <w:sz w:val="26"/>
        </w:rPr>
        <w:t xml:space="preserve"> </w:t>
      </w:r>
      <w:r>
        <w:rPr>
          <w:sz w:val="26"/>
        </w:rPr>
        <w:t>scrutiny?</w:t>
      </w:r>
      <w:r>
        <w:rPr>
          <w:spacing w:val="-18"/>
          <w:sz w:val="26"/>
        </w:rPr>
        <w:t xml:space="preserve"> </w:t>
      </w:r>
      <w:r>
        <w:rPr>
          <w:sz w:val="26"/>
        </w:rPr>
        <w:t>Did</w:t>
      </w:r>
      <w:r>
        <w:rPr>
          <w:spacing w:val="-19"/>
          <w:sz w:val="26"/>
        </w:rPr>
        <w:t xml:space="preserve"> </w:t>
      </w:r>
      <w:r>
        <w:rPr>
          <w:sz w:val="26"/>
        </w:rPr>
        <w:t>it</w:t>
      </w:r>
      <w:r>
        <w:rPr>
          <w:spacing w:val="-18"/>
          <w:sz w:val="26"/>
        </w:rPr>
        <w:t xml:space="preserve"> </w:t>
      </w:r>
      <w:r>
        <w:rPr>
          <w:sz w:val="26"/>
        </w:rPr>
        <w:t>intend that practices that speak against its vision of dignity, equality and liberty of the individual</w:t>
      </w:r>
      <w:r>
        <w:rPr>
          <w:spacing w:val="-17"/>
          <w:sz w:val="26"/>
        </w:rPr>
        <w:t xml:space="preserve"> </w:t>
      </w:r>
      <w:r>
        <w:rPr>
          <w:sz w:val="26"/>
        </w:rPr>
        <w:t>be</w:t>
      </w:r>
      <w:r>
        <w:rPr>
          <w:spacing w:val="-14"/>
          <w:sz w:val="26"/>
        </w:rPr>
        <w:t xml:space="preserve"> </w:t>
      </w:r>
      <w:r>
        <w:rPr>
          <w:sz w:val="26"/>
        </w:rPr>
        <w:t>gr</w:t>
      </w:r>
      <w:r>
        <w:rPr>
          <w:sz w:val="26"/>
        </w:rPr>
        <w:t>anted</w:t>
      </w:r>
      <w:r>
        <w:rPr>
          <w:spacing w:val="-14"/>
          <w:sz w:val="26"/>
        </w:rPr>
        <w:t xml:space="preserve"> </w:t>
      </w:r>
      <w:r>
        <w:rPr>
          <w:sz w:val="26"/>
        </w:rPr>
        <w:t>immunity</w:t>
      </w:r>
      <w:r>
        <w:rPr>
          <w:spacing w:val="-16"/>
          <w:sz w:val="26"/>
        </w:rPr>
        <w:t xml:space="preserve"> </w:t>
      </w:r>
      <w:r>
        <w:rPr>
          <w:sz w:val="26"/>
        </w:rPr>
        <w:t>from</w:t>
      </w:r>
      <w:r>
        <w:rPr>
          <w:spacing w:val="-14"/>
          <w:sz w:val="26"/>
        </w:rPr>
        <w:t xml:space="preserve"> </w:t>
      </w:r>
      <w:r>
        <w:rPr>
          <w:sz w:val="26"/>
        </w:rPr>
        <w:t>scrutiny?</w:t>
      </w:r>
      <w:r>
        <w:rPr>
          <w:spacing w:val="-16"/>
          <w:sz w:val="26"/>
        </w:rPr>
        <w:t xml:space="preserve"> </w:t>
      </w:r>
      <w:r>
        <w:rPr>
          <w:spacing w:val="2"/>
          <w:sz w:val="26"/>
        </w:rPr>
        <w:t>Was</w:t>
      </w:r>
      <w:r>
        <w:rPr>
          <w:spacing w:val="-17"/>
          <w:sz w:val="26"/>
        </w:rPr>
        <w:t xml:space="preserve"> </w:t>
      </w:r>
      <w:r>
        <w:rPr>
          <w:sz w:val="26"/>
        </w:rPr>
        <w:t>it</w:t>
      </w:r>
      <w:r>
        <w:rPr>
          <w:spacing w:val="-16"/>
          <w:sz w:val="26"/>
        </w:rPr>
        <w:t xml:space="preserve"> </w:t>
      </w:r>
      <w:r>
        <w:rPr>
          <w:sz w:val="26"/>
        </w:rPr>
        <w:t>intended</w:t>
      </w:r>
      <w:r>
        <w:rPr>
          <w:spacing w:val="-16"/>
          <w:sz w:val="26"/>
        </w:rPr>
        <w:t xml:space="preserve"> </w:t>
      </w:r>
      <w:r>
        <w:rPr>
          <w:sz w:val="26"/>
        </w:rPr>
        <w:t>that</w:t>
      </w:r>
      <w:r>
        <w:rPr>
          <w:spacing w:val="-16"/>
          <w:sz w:val="26"/>
        </w:rPr>
        <w:t xml:space="preserve"> </w:t>
      </w:r>
      <w:r>
        <w:rPr>
          <w:sz w:val="26"/>
        </w:rPr>
        <w:t>practices</w:t>
      </w:r>
      <w:r>
        <w:rPr>
          <w:spacing w:val="-11"/>
          <w:sz w:val="26"/>
        </w:rPr>
        <w:t xml:space="preserve"> </w:t>
      </w:r>
      <w:r>
        <w:rPr>
          <w:spacing w:val="-3"/>
          <w:sz w:val="26"/>
        </w:rPr>
        <w:t>that</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rPr>
          <w:sz w:val="16"/>
        </w:rPr>
      </w:pPr>
      <w:r w:rsidRPr="003B2FC0">
        <w:pict>
          <v:line id="_x0000_s1072" style="position:absolute;z-index:251643392;mso-wrap-distance-left:0;mso-wrap-distance-right:0;mso-position-horizontal-relative:page" from="1in,11.8pt" to="216.05pt,11.8pt" strokeweight=".72pt">
            <w10:wrap type="topAndBottom" anchorx="page"/>
          </v:line>
        </w:pict>
      </w:r>
    </w:p>
    <w:p w:rsidR="003B2FC0" w:rsidRDefault="00052A49">
      <w:pPr>
        <w:spacing w:before="66"/>
        <w:ind w:left="580" w:right="434" w:hanging="180"/>
        <w:rPr>
          <w:sz w:val="18"/>
        </w:rPr>
      </w:pPr>
      <w:r>
        <w:rPr>
          <w:position w:val="6"/>
          <w:sz w:val="12"/>
        </w:rPr>
        <w:t xml:space="preserve">146 </w:t>
      </w:r>
      <w:r>
        <w:rPr>
          <w:sz w:val="18"/>
        </w:rPr>
        <w:t>Cathi Albertyn and Beth Goldblatt, Facing the Challenge of Transformation: Difficulties in the Development of an Indigenous Jurisprudence of Equality, Vol. 14, South African Journal of Human Rights (1988), at page 249</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3"/>
        <w:jc w:val="both"/>
        <w:rPr>
          <w:sz w:val="26"/>
        </w:rPr>
      </w:pPr>
      <w:r>
        <w:rPr>
          <w:sz w:val="26"/>
        </w:rPr>
        <w:t>detract</w:t>
      </w:r>
      <w:r>
        <w:rPr>
          <w:spacing w:val="-7"/>
          <w:sz w:val="26"/>
        </w:rPr>
        <w:t xml:space="preserve"> </w:t>
      </w:r>
      <w:r>
        <w:rPr>
          <w:sz w:val="26"/>
        </w:rPr>
        <w:t>from</w:t>
      </w:r>
      <w:r>
        <w:rPr>
          <w:spacing w:val="-6"/>
          <w:sz w:val="26"/>
        </w:rPr>
        <w:t xml:space="preserve"> </w:t>
      </w:r>
      <w:r>
        <w:rPr>
          <w:sz w:val="26"/>
        </w:rPr>
        <w:t>the</w:t>
      </w:r>
      <w:r>
        <w:rPr>
          <w:spacing w:val="-7"/>
          <w:sz w:val="26"/>
        </w:rPr>
        <w:t xml:space="preserve"> </w:t>
      </w:r>
      <w:r>
        <w:rPr>
          <w:sz w:val="26"/>
        </w:rPr>
        <w:t>tr</w:t>
      </w:r>
      <w:r>
        <w:rPr>
          <w:sz w:val="26"/>
        </w:rPr>
        <w:t>ansformative</w:t>
      </w:r>
      <w:r>
        <w:rPr>
          <w:spacing w:val="-4"/>
          <w:sz w:val="26"/>
        </w:rPr>
        <w:t xml:space="preserve"> </w:t>
      </w:r>
      <w:r>
        <w:rPr>
          <w:sz w:val="26"/>
        </w:rPr>
        <w:t>vision</w:t>
      </w:r>
      <w:r>
        <w:rPr>
          <w:spacing w:val="-7"/>
          <w:sz w:val="26"/>
        </w:rPr>
        <w:t xml:space="preserve"> </w:t>
      </w:r>
      <w:r>
        <w:rPr>
          <w:sz w:val="26"/>
        </w:rPr>
        <w:t>of</w:t>
      </w:r>
      <w:r>
        <w:rPr>
          <w:spacing w:val="-7"/>
          <w:sz w:val="26"/>
        </w:rPr>
        <w:t xml:space="preserve"> </w:t>
      </w:r>
      <w:r>
        <w:rPr>
          <w:sz w:val="26"/>
        </w:rPr>
        <w:t>the</w:t>
      </w:r>
      <w:r>
        <w:rPr>
          <w:spacing w:val="-7"/>
          <w:sz w:val="26"/>
        </w:rPr>
        <w:t xml:space="preserve"> </w:t>
      </w:r>
      <w:r>
        <w:rPr>
          <w:sz w:val="26"/>
        </w:rPr>
        <w:t>Constitution</w:t>
      </w:r>
      <w:r>
        <w:rPr>
          <w:spacing w:val="-4"/>
          <w:sz w:val="26"/>
        </w:rPr>
        <w:t xml:space="preserve"> </w:t>
      </w:r>
      <w:r>
        <w:rPr>
          <w:sz w:val="26"/>
        </w:rPr>
        <w:t>be</w:t>
      </w:r>
      <w:r>
        <w:rPr>
          <w:spacing w:val="-7"/>
          <w:sz w:val="26"/>
        </w:rPr>
        <w:t xml:space="preserve"> </w:t>
      </w:r>
      <w:r>
        <w:rPr>
          <w:sz w:val="26"/>
        </w:rPr>
        <w:t>granted</w:t>
      </w:r>
      <w:r>
        <w:rPr>
          <w:spacing w:val="-7"/>
          <w:sz w:val="26"/>
        </w:rPr>
        <w:t xml:space="preserve"> </w:t>
      </w:r>
      <w:r>
        <w:rPr>
          <w:sz w:val="26"/>
        </w:rPr>
        <w:t>supremacy over it? To my mind, the answer to all these, is in the</w:t>
      </w:r>
      <w:r>
        <w:rPr>
          <w:spacing w:val="-12"/>
          <w:sz w:val="26"/>
        </w:rPr>
        <w:t xml:space="preserve"> </w:t>
      </w:r>
      <w:r>
        <w:rPr>
          <w:sz w:val="26"/>
        </w:rPr>
        <w:t>negative.</w:t>
      </w:r>
    </w:p>
    <w:p w:rsidR="003B2FC0" w:rsidRDefault="003B2FC0">
      <w:pPr>
        <w:rPr>
          <w:sz w:val="28"/>
        </w:rPr>
      </w:pPr>
    </w:p>
    <w:p w:rsidR="003B2FC0" w:rsidRDefault="003B2FC0">
      <w:pPr>
        <w:spacing w:before="7"/>
        <w:rPr>
          <w:sz w:val="36"/>
        </w:rPr>
      </w:pPr>
    </w:p>
    <w:p w:rsidR="003B2FC0" w:rsidRDefault="00052A49">
      <w:pPr>
        <w:spacing w:before="1" w:line="480" w:lineRule="auto"/>
        <w:ind w:left="400" w:right="434"/>
        <w:jc w:val="both"/>
        <w:rPr>
          <w:sz w:val="26"/>
        </w:rPr>
      </w:pPr>
      <w:r>
        <w:rPr>
          <w:sz w:val="26"/>
        </w:rPr>
        <w:t>The</w:t>
      </w:r>
      <w:r>
        <w:rPr>
          <w:spacing w:val="-9"/>
          <w:sz w:val="26"/>
        </w:rPr>
        <w:t xml:space="preserve"> </w:t>
      </w:r>
      <w:r>
        <w:rPr>
          <w:sz w:val="26"/>
        </w:rPr>
        <w:t>individual,</w:t>
      </w:r>
      <w:r>
        <w:rPr>
          <w:spacing w:val="-7"/>
          <w:sz w:val="26"/>
        </w:rPr>
        <w:t xml:space="preserve"> </w:t>
      </w:r>
      <w:r>
        <w:rPr>
          <w:sz w:val="26"/>
        </w:rPr>
        <w:t>as</w:t>
      </w:r>
      <w:r>
        <w:rPr>
          <w:spacing w:val="-8"/>
          <w:sz w:val="26"/>
        </w:rPr>
        <w:t xml:space="preserve"> </w:t>
      </w:r>
      <w:r>
        <w:rPr>
          <w:sz w:val="26"/>
        </w:rPr>
        <w:t>the</w:t>
      </w:r>
      <w:r>
        <w:rPr>
          <w:spacing w:val="-7"/>
          <w:sz w:val="26"/>
        </w:rPr>
        <w:t xml:space="preserve"> </w:t>
      </w:r>
      <w:r>
        <w:rPr>
          <w:sz w:val="26"/>
        </w:rPr>
        <w:t>basic</w:t>
      </w:r>
      <w:r>
        <w:rPr>
          <w:spacing w:val="-9"/>
          <w:sz w:val="26"/>
        </w:rPr>
        <w:t xml:space="preserve"> </w:t>
      </w:r>
      <w:r>
        <w:rPr>
          <w:sz w:val="26"/>
        </w:rPr>
        <w:t>unit,</w:t>
      </w:r>
      <w:r>
        <w:rPr>
          <w:spacing w:val="-8"/>
          <w:sz w:val="26"/>
        </w:rPr>
        <w:t xml:space="preserve"> </w:t>
      </w:r>
      <w:r>
        <w:rPr>
          <w:sz w:val="26"/>
        </w:rPr>
        <w:t>is</w:t>
      </w:r>
      <w:r>
        <w:rPr>
          <w:spacing w:val="-9"/>
          <w:sz w:val="26"/>
        </w:rPr>
        <w:t xml:space="preserve"> </w:t>
      </w:r>
      <w:r>
        <w:rPr>
          <w:sz w:val="26"/>
        </w:rPr>
        <w:t>at</w:t>
      </w:r>
      <w:r>
        <w:rPr>
          <w:spacing w:val="-9"/>
          <w:sz w:val="26"/>
        </w:rPr>
        <w:t xml:space="preserve"> </w:t>
      </w:r>
      <w:r>
        <w:rPr>
          <w:sz w:val="26"/>
        </w:rPr>
        <w:t>the</w:t>
      </w:r>
      <w:r>
        <w:rPr>
          <w:spacing w:val="-8"/>
          <w:sz w:val="26"/>
        </w:rPr>
        <w:t xml:space="preserve"> </w:t>
      </w:r>
      <w:r>
        <w:rPr>
          <w:sz w:val="26"/>
        </w:rPr>
        <w:t>heart</w:t>
      </w:r>
      <w:r>
        <w:rPr>
          <w:spacing w:val="-9"/>
          <w:sz w:val="26"/>
        </w:rPr>
        <w:t xml:space="preserve"> </w:t>
      </w:r>
      <w:r>
        <w:rPr>
          <w:sz w:val="26"/>
        </w:rPr>
        <w:t>of</w:t>
      </w:r>
      <w:r>
        <w:rPr>
          <w:spacing w:val="-9"/>
          <w:sz w:val="26"/>
        </w:rPr>
        <w:t xml:space="preserve"> </w:t>
      </w:r>
      <w:r>
        <w:rPr>
          <w:sz w:val="26"/>
        </w:rPr>
        <w:t>the</w:t>
      </w:r>
      <w:r>
        <w:rPr>
          <w:spacing w:val="-8"/>
          <w:sz w:val="26"/>
        </w:rPr>
        <w:t xml:space="preserve"> </w:t>
      </w:r>
      <w:r>
        <w:rPr>
          <w:sz w:val="26"/>
        </w:rPr>
        <w:t>Constitution.</w:t>
      </w:r>
      <w:r>
        <w:rPr>
          <w:spacing w:val="-9"/>
          <w:sz w:val="26"/>
        </w:rPr>
        <w:t xml:space="preserve"> </w:t>
      </w:r>
      <w:r>
        <w:rPr>
          <w:sz w:val="26"/>
        </w:rPr>
        <w:t>All</w:t>
      </w:r>
      <w:r>
        <w:rPr>
          <w:spacing w:val="-9"/>
          <w:sz w:val="26"/>
        </w:rPr>
        <w:t xml:space="preserve"> </w:t>
      </w:r>
      <w:r>
        <w:rPr>
          <w:sz w:val="26"/>
        </w:rPr>
        <w:t>rights</w:t>
      </w:r>
      <w:r>
        <w:rPr>
          <w:spacing w:val="-8"/>
          <w:sz w:val="26"/>
        </w:rPr>
        <w:t xml:space="preserve"> </w:t>
      </w:r>
      <w:r>
        <w:rPr>
          <w:sz w:val="26"/>
        </w:rPr>
        <w:t>and guarantees of the Constitution are operationalized and are aimed towards the self-realization of the individual. This makes the anti-exclusion principle firmly rooted</w:t>
      </w:r>
      <w:r>
        <w:rPr>
          <w:spacing w:val="-13"/>
          <w:sz w:val="26"/>
        </w:rPr>
        <w:t xml:space="preserve"> </w:t>
      </w:r>
      <w:r>
        <w:rPr>
          <w:sz w:val="26"/>
        </w:rPr>
        <w:t>in</w:t>
      </w:r>
      <w:r>
        <w:rPr>
          <w:spacing w:val="-12"/>
          <w:sz w:val="26"/>
        </w:rPr>
        <w:t xml:space="preserve"> </w:t>
      </w:r>
      <w:r>
        <w:rPr>
          <w:sz w:val="26"/>
        </w:rPr>
        <w:t>the</w:t>
      </w:r>
      <w:r>
        <w:rPr>
          <w:spacing w:val="-12"/>
          <w:sz w:val="26"/>
        </w:rPr>
        <w:t xml:space="preserve"> </w:t>
      </w:r>
      <w:r>
        <w:rPr>
          <w:sz w:val="26"/>
        </w:rPr>
        <w:t>transformative</w:t>
      </w:r>
      <w:r>
        <w:rPr>
          <w:spacing w:val="-10"/>
          <w:sz w:val="26"/>
        </w:rPr>
        <w:t xml:space="preserve"> </w:t>
      </w:r>
      <w:r>
        <w:rPr>
          <w:sz w:val="26"/>
        </w:rPr>
        <w:t>vision</w:t>
      </w:r>
      <w:r>
        <w:rPr>
          <w:spacing w:val="-14"/>
          <w:sz w:val="26"/>
        </w:rPr>
        <w:t xml:space="preserve"> </w:t>
      </w:r>
      <w:r>
        <w:rPr>
          <w:sz w:val="26"/>
        </w:rPr>
        <w:t>of</w:t>
      </w:r>
      <w:r>
        <w:rPr>
          <w:spacing w:val="-14"/>
          <w:sz w:val="26"/>
        </w:rPr>
        <w:t xml:space="preserve"> </w:t>
      </w:r>
      <w:r>
        <w:rPr>
          <w:sz w:val="26"/>
        </w:rPr>
        <w:t>the</w:t>
      </w:r>
      <w:r>
        <w:rPr>
          <w:spacing w:val="-12"/>
          <w:sz w:val="26"/>
        </w:rPr>
        <w:t xml:space="preserve"> </w:t>
      </w:r>
      <w:r>
        <w:rPr>
          <w:sz w:val="26"/>
        </w:rPr>
        <w:t>Constitution,</w:t>
      </w:r>
      <w:r>
        <w:rPr>
          <w:spacing w:val="-12"/>
          <w:sz w:val="26"/>
        </w:rPr>
        <w:t xml:space="preserve"> </w:t>
      </w:r>
      <w:r>
        <w:rPr>
          <w:sz w:val="26"/>
        </w:rPr>
        <w:t>and</w:t>
      </w:r>
      <w:r>
        <w:rPr>
          <w:spacing w:val="-13"/>
          <w:sz w:val="26"/>
        </w:rPr>
        <w:t xml:space="preserve"> </w:t>
      </w:r>
      <w:r>
        <w:rPr>
          <w:sz w:val="26"/>
        </w:rPr>
        <w:t>at</w:t>
      </w:r>
      <w:r>
        <w:rPr>
          <w:spacing w:val="-12"/>
          <w:sz w:val="26"/>
        </w:rPr>
        <w:t xml:space="preserve"> </w:t>
      </w:r>
      <w:r>
        <w:rPr>
          <w:sz w:val="26"/>
        </w:rPr>
        <w:t>the</w:t>
      </w:r>
      <w:r>
        <w:rPr>
          <w:spacing w:val="-12"/>
          <w:sz w:val="26"/>
        </w:rPr>
        <w:t xml:space="preserve"> </w:t>
      </w:r>
      <w:r>
        <w:rPr>
          <w:sz w:val="26"/>
        </w:rPr>
        <w:t>heart</w:t>
      </w:r>
      <w:r>
        <w:rPr>
          <w:spacing w:val="-12"/>
          <w:sz w:val="26"/>
        </w:rPr>
        <w:t xml:space="preserve"> </w:t>
      </w:r>
      <w:r>
        <w:rPr>
          <w:sz w:val="26"/>
        </w:rPr>
        <w:t>of</w:t>
      </w:r>
      <w:r>
        <w:rPr>
          <w:spacing w:val="-13"/>
          <w:sz w:val="26"/>
        </w:rPr>
        <w:t xml:space="preserve"> </w:t>
      </w:r>
      <w:r>
        <w:rPr>
          <w:sz w:val="26"/>
        </w:rPr>
        <w:t>judicial enquir</w:t>
      </w:r>
      <w:r>
        <w:rPr>
          <w:sz w:val="26"/>
        </w:rPr>
        <w:t xml:space="preserve">y. </w:t>
      </w:r>
      <w:r>
        <w:rPr>
          <w:i/>
          <w:sz w:val="26"/>
        </w:rPr>
        <w:t>Irrespective of the source from which a practice claims legitimacy</w:t>
      </w:r>
      <w:r>
        <w:rPr>
          <w:sz w:val="26"/>
        </w:rPr>
        <w:t>, this principle enjoins the Court to deny protection to practices that detract from the constitutional vision of an equal citizenship.</w:t>
      </w:r>
    </w:p>
    <w:p w:rsidR="003B2FC0" w:rsidRDefault="003B2FC0">
      <w:pPr>
        <w:rPr>
          <w:sz w:val="28"/>
        </w:rPr>
      </w:pPr>
    </w:p>
    <w:p w:rsidR="003B2FC0" w:rsidRDefault="003B2FC0">
      <w:pPr>
        <w:spacing w:before="8"/>
        <w:rPr>
          <w:sz w:val="36"/>
        </w:rPr>
      </w:pPr>
    </w:p>
    <w:p w:rsidR="003B2FC0" w:rsidRDefault="00052A49">
      <w:pPr>
        <w:pStyle w:val="ListParagraph"/>
        <w:numPr>
          <w:ilvl w:val="0"/>
          <w:numId w:val="39"/>
        </w:numPr>
        <w:tabs>
          <w:tab w:val="left" w:pos="1121"/>
        </w:tabs>
        <w:spacing w:before="1" w:line="480" w:lineRule="auto"/>
        <w:ind w:right="432" w:firstLine="0"/>
        <w:jc w:val="both"/>
        <w:rPr>
          <w:sz w:val="26"/>
        </w:rPr>
      </w:pPr>
      <w:r>
        <w:rPr>
          <w:sz w:val="26"/>
        </w:rPr>
        <w:t xml:space="preserve">The decision in </w:t>
      </w:r>
      <w:r>
        <w:rPr>
          <w:b/>
          <w:sz w:val="26"/>
        </w:rPr>
        <w:t>Narasu</w:t>
      </w:r>
      <w:r>
        <w:rPr>
          <w:sz w:val="26"/>
        </w:rPr>
        <w:t>, in restricting the defini</w:t>
      </w:r>
      <w:r>
        <w:rPr>
          <w:sz w:val="26"/>
        </w:rPr>
        <w:t>tion of the term ‘laws in force’ detracts from the transformative vision of the Constitution. Carving out ‘custom</w:t>
      </w:r>
      <w:r>
        <w:rPr>
          <w:spacing w:val="-12"/>
          <w:sz w:val="26"/>
        </w:rPr>
        <w:t xml:space="preserve"> </w:t>
      </w:r>
      <w:r>
        <w:rPr>
          <w:sz w:val="26"/>
        </w:rPr>
        <w:t>or</w:t>
      </w:r>
      <w:r>
        <w:rPr>
          <w:spacing w:val="-13"/>
          <w:sz w:val="26"/>
        </w:rPr>
        <w:t xml:space="preserve"> </w:t>
      </w:r>
      <w:r>
        <w:rPr>
          <w:sz w:val="26"/>
        </w:rPr>
        <w:t>usage’</w:t>
      </w:r>
      <w:r>
        <w:rPr>
          <w:spacing w:val="-15"/>
          <w:sz w:val="26"/>
        </w:rPr>
        <w:t xml:space="preserve"> </w:t>
      </w:r>
      <w:r>
        <w:rPr>
          <w:sz w:val="26"/>
        </w:rPr>
        <w:t>from</w:t>
      </w:r>
      <w:r>
        <w:rPr>
          <w:spacing w:val="-13"/>
          <w:sz w:val="26"/>
        </w:rPr>
        <w:t xml:space="preserve"> </w:t>
      </w:r>
      <w:r>
        <w:rPr>
          <w:sz w:val="26"/>
        </w:rPr>
        <w:t>constitutional</w:t>
      </w:r>
      <w:r>
        <w:rPr>
          <w:spacing w:val="-14"/>
          <w:sz w:val="26"/>
        </w:rPr>
        <w:t xml:space="preserve"> </w:t>
      </w:r>
      <w:r>
        <w:rPr>
          <w:sz w:val="26"/>
        </w:rPr>
        <w:t>scrutiny,</w:t>
      </w:r>
      <w:r>
        <w:rPr>
          <w:spacing w:val="-14"/>
          <w:sz w:val="26"/>
        </w:rPr>
        <w:t xml:space="preserve"> </w:t>
      </w:r>
      <w:r>
        <w:rPr>
          <w:sz w:val="26"/>
        </w:rPr>
        <w:t>denies</w:t>
      </w:r>
      <w:r>
        <w:rPr>
          <w:spacing w:val="-14"/>
          <w:sz w:val="26"/>
        </w:rPr>
        <w:t xml:space="preserve"> </w:t>
      </w:r>
      <w:r>
        <w:rPr>
          <w:sz w:val="26"/>
        </w:rPr>
        <w:t>the</w:t>
      </w:r>
      <w:r>
        <w:rPr>
          <w:spacing w:val="-15"/>
          <w:sz w:val="26"/>
        </w:rPr>
        <w:t xml:space="preserve"> </w:t>
      </w:r>
      <w:r>
        <w:rPr>
          <w:sz w:val="26"/>
        </w:rPr>
        <w:t>constitutional</w:t>
      </w:r>
      <w:r>
        <w:rPr>
          <w:spacing w:val="-11"/>
          <w:sz w:val="26"/>
        </w:rPr>
        <w:t xml:space="preserve"> </w:t>
      </w:r>
      <w:r>
        <w:rPr>
          <w:sz w:val="26"/>
        </w:rPr>
        <w:t>vision</w:t>
      </w:r>
      <w:r>
        <w:rPr>
          <w:spacing w:val="-12"/>
          <w:sz w:val="26"/>
        </w:rPr>
        <w:t xml:space="preserve"> </w:t>
      </w:r>
      <w:r>
        <w:rPr>
          <w:sz w:val="26"/>
        </w:rPr>
        <w:t xml:space="preserve">of ensuring the primacy of individual dignity. The decision in </w:t>
      </w:r>
      <w:r>
        <w:rPr>
          <w:b/>
          <w:sz w:val="26"/>
        </w:rPr>
        <w:t>Narasu</w:t>
      </w:r>
      <w:r>
        <w:rPr>
          <w:sz w:val="26"/>
        </w:rPr>
        <w:t>, is based on flawed</w:t>
      </w:r>
      <w:r>
        <w:rPr>
          <w:spacing w:val="-11"/>
          <w:sz w:val="26"/>
        </w:rPr>
        <w:t xml:space="preserve"> </w:t>
      </w:r>
      <w:r>
        <w:rPr>
          <w:sz w:val="26"/>
        </w:rPr>
        <w:t>premises.</w:t>
      </w:r>
      <w:r>
        <w:rPr>
          <w:spacing w:val="-11"/>
          <w:sz w:val="26"/>
        </w:rPr>
        <w:t xml:space="preserve"> </w:t>
      </w:r>
      <w:r>
        <w:rPr>
          <w:sz w:val="26"/>
        </w:rPr>
        <w:t>Custom</w:t>
      </w:r>
      <w:r>
        <w:rPr>
          <w:spacing w:val="-11"/>
          <w:sz w:val="26"/>
        </w:rPr>
        <w:t xml:space="preserve"> </w:t>
      </w:r>
      <w:r>
        <w:rPr>
          <w:sz w:val="26"/>
        </w:rPr>
        <w:t>or</w:t>
      </w:r>
      <w:r>
        <w:rPr>
          <w:spacing w:val="-11"/>
          <w:sz w:val="26"/>
        </w:rPr>
        <w:t xml:space="preserve"> </w:t>
      </w:r>
      <w:r>
        <w:rPr>
          <w:sz w:val="26"/>
        </w:rPr>
        <w:t>usage</w:t>
      </w:r>
      <w:r>
        <w:rPr>
          <w:spacing w:val="-11"/>
          <w:sz w:val="26"/>
        </w:rPr>
        <w:t xml:space="preserve"> </w:t>
      </w:r>
      <w:r>
        <w:rPr>
          <w:sz w:val="26"/>
        </w:rPr>
        <w:t>cannot</w:t>
      </w:r>
      <w:r>
        <w:rPr>
          <w:spacing w:val="-11"/>
          <w:sz w:val="26"/>
        </w:rPr>
        <w:t xml:space="preserve"> </w:t>
      </w:r>
      <w:r>
        <w:rPr>
          <w:sz w:val="26"/>
        </w:rPr>
        <w:t>be</w:t>
      </w:r>
      <w:r>
        <w:rPr>
          <w:spacing w:val="-11"/>
          <w:sz w:val="26"/>
        </w:rPr>
        <w:t xml:space="preserve"> </w:t>
      </w:r>
      <w:r>
        <w:rPr>
          <w:sz w:val="26"/>
        </w:rPr>
        <w:t>excluded</w:t>
      </w:r>
      <w:r>
        <w:rPr>
          <w:spacing w:val="-11"/>
          <w:sz w:val="26"/>
        </w:rPr>
        <w:t xml:space="preserve"> </w:t>
      </w:r>
      <w:r>
        <w:rPr>
          <w:sz w:val="26"/>
        </w:rPr>
        <w:t>from</w:t>
      </w:r>
      <w:r>
        <w:rPr>
          <w:spacing w:val="-10"/>
          <w:sz w:val="26"/>
        </w:rPr>
        <w:t xml:space="preserve"> </w:t>
      </w:r>
      <w:r>
        <w:rPr>
          <w:sz w:val="26"/>
        </w:rPr>
        <w:t>‘laws</w:t>
      </w:r>
      <w:r>
        <w:rPr>
          <w:spacing w:val="-11"/>
          <w:sz w:val="26"/>
        </w:rPr>
        <w:t xml:space="preserve"> </w:t>
      </w:r>
      <w:r>
        <w:rPr>
          <w:sz w:val="26"/>
        </w:rPr>
        <w:t>in</w:t>
      </w:r>
      <w:r>
        <w:rPr>
          <w:spacing w:val="-11"/>
          <w:sz w:val="26"/>
        </w:rPr>
        <w:t xml:space="preserve"> </w:t>
      </w:r>
      <w:r>
        <w:rPr>
          <w:sz w:val="26"/>
        </w:rPr>
        <w:t>force’.</w:t>
      </w:r>
      <w:r>
        <w:rPr>
          <w:spacing w:val="-11"/>
          <w:sz w:val="26"/>
        </w:rPr>
        <w:t xml:space="preserve"> </w:t>
      </w:r>
      <w:r>
        <w:rPr>
          <w:sz w:val="26"/>
        </w:rPr>
        <w:t xml:space="preserve">The decision in </w:t>
      </w:r>
      <w:r>
        <w:rPr>
          <w:b/>
          <w:sz w:val="26"/>
        </w:rPr>
        <w:t xml:space="preserve">Narasu </w:t>
      </w:r>
      <w:r>
        <w:rPr>
          <w:sz w:val="26"/>
        </w:rPr>
        <w:t>also opined that personal law is immune from</w:t>
      </w:r>
      <w:r>
        <w:rPr>
          <w:spacing w:val="-52"/>
          <w:sz w:val="26"/>
        </w:rPr>
        <w:t xml:space="preserve"> </w:t>
      </w:r>
      <w:r>
        <w:rPr>
          <w:sz w:val="26"/>
        </w:rPr>
        <w:t>constitutional scrutiny. This detracts from the notion that no body of practices can claim supremacy</w:t>
      </w:r>
      <w:r>
        <w:rPr>
          <w:spacing w:val="-19"/>
          <w:sz w:val="26"/>
        </w:rPr>
        <w:t xml:space="preserve"> </w:t>
      </w:r>
      <w:r>
        <w:rPr>
          <w:sz w:val="26"/>
        </w:rPr>
        <w:t>over</w:t>
      </w:r>
      <w:r>
        <w:rPr>
          <w:spacing w:val="-17"/>
          <w:sz w:val="26"/>
        </w:rPr>
        <w:t xml:space="preserve"> </w:t>
      </w:r>
      <w:r>
        <w:rPr>
          <w:sz w:val="26"/>
        </w:rPr>
        <w:t>the</w:t>
      </w:r>
      <w:r>
        <w:rPr>
          <w:spacing w:val="-16"/>
          <w:sz w:val="26"/>
        </w:rPr>
        <w:t xml:space="preserve"> </w:t>
      </w:r>
      <w:r>
        <w:rPr>
          <w:sz w:val="26"/>
        </w:rPr>
        <w:t>Constitution</w:t>
      </w:r>
      <w:r>
        <w:rPr>
          <w:spacing w:val="-16"/>
          <w:sz w:val="26"/>
        </w:rPr>
        <w:t xml:space="preserve"> </w:t>
      </w:r>
      <w:r>
        <w:rPr>
          <w:sz w:val="26"/>
        </w:rPr>
        <w:t>and</w:t>
      </w:r>
      <w:r>
        <w:rPr>
          <w:spacing w:val="-16"/>
          <w:sz w:val="26"/>
        </w:rPr>
        <w:t xml:space="preserve"> </w:t>
      </w:r>
      <w:r>
        <w:rPr>
          <w:sz w:val="26"/>
        </w:rPr>
        <w:t>its</w:t>
      </w:r>
      <w:r>
        <w:rPr>
          <w:spacing w:val="-16"/>
          <w:sz w:val="26"/>
        </w:rPr>
        <w:t xml:space="preserve"> </w:t>
      </w:r>
      <w:r>
        <w:rPr>
          <w:sz w:val="26"/>
        </w:rPr>
        <w:t>vision</w:t>
      </w:r>
      <w:r>
        <w:rPr>
          <w:spacing w:val="-16"/>
          <w:sz w:val="26"/>
        </w:rPr>
        <w:t xml:space="preserve"> </w:t>
      </w:r>
      <w:r>
        <w:rPr>
          <w:sz w:val="26"/>
        </w:rPr>
        <w:t>of</w:t>
      </w:r>
      <w:r>
        <w:rPr>
          <w:spacing w:val="-16"/>
          <w:sz w:val="26"/>
        </w:rPr>
        <w:t xml:space="preserve"> </w:t>
      </w:r>
      <w:r>
        <w:rPr>
          <w:sz w:val="26"/>
        </w:rPr>
        <w:t>ensuring</w:t>
      </w:r>
      <w:r>
        <w:rPr>
          <w:spacing w:val="-16"/>
          <w:sz w:val="26"/>
        </w:rPr>
        <w:t xml:space="preserve"> </w:t>
      </w:r>
      <w:r>
        <w:rPr>
          <w:sz w:val="26"/>
        </w:rPr>
        <w:t>the</w:t>
      </w:r>
      <w:r>
        <w:rPr>
          <w:spacing w:val="-16"/>
          <w:sz w:val="26"/>
        </w:rPr>
        <w:t xml:space="preserve"> </w:t>
      </w:r>
      <w:r>
        <w:rPr>
          <w:sz w:val="26"/>
        </w:rPr>
        <w:t>sanctity</w:t>
      </w:r>
      <w:r>
        <w:rPr>
          <w:spacing w:val="-19"/>
          <w:sz w:val="26"/>
        </w:rPr>
        <w:t xml:space="preserve"> </w:t>
      </w:r>
      <w:r>
        <w:rPr>
          <w:sz w:val="26"/>
        </w:rPr>
        <w:t>of</w:t>
      </w:r>
      <w:r>
        <w:rPr>
          <w:spacing w:val="-16"/>
          <w:sz w:val="26"/>
        </w:rPr>
        <w:t xml:space="preserve"> </w:t>
      </w:r>
      <w:r>
        <w:rPr>
          <w:sz w:val="26"/>
        </w:rPr>
        <w:t>dignity, liberty</w:t>
      </w:r>
      <w:r>
        <w:rPr>
          <w:spacing w:val="-9"/>
          <w:sz w:val="26"/>
        </w:rPr>
        <w:t xml:space="preserve"> </w:t>
      </w:r>
      <w:r>
        <w:rPr>
          <w:sz w:val="26"/>
        </w:rPr>
        <w:t>and</w:t>
      </w:r>
      <w:r>
        <w:rPr>
          <w:spacing w:val="-7"/>
          <w:sz w:val="26"/>
        </w:rPr>
        <w:t xml:space="preserve"> </w:t>
      </w:r>
      <w:r>
        <w:rPr>
          <w:sz w:val="26"/>
        </w:rPr>
        <w:t>equality.</w:t>
      </w:r>
      <w:r>
        <w:rPr>
          <w:spacing w:val="-6"/>
          <w:sz w:val="26"/>
        </w:rPr>
        <w:t xml:space="preserve"> </w:t>
      </w:r>
      <w:r>
        <w:rPr>
          <w:sz w:val="26"/>
        </w:rPr>
        <w:t>This</w:t>
      </w:r>
      <w:r>
        <w:rPr>
          <w:spacing w:val="-9"/>
          <w:sz w:val="26"/>
        </w:rPr>
        <w:t xml:space="preserve"> </w:t>
      </w:r>
      <w:r>
        <w:rPr>
          <w:sz w:val="26"/>
        </w:rPr>
        <w:t>also</w:t>
      </w:r>
      <w:r>
        <w:rPr>
          <w:spacing w:val="-8"/>
          <w:sz w:val="26"/>
        </w:rPr>
        <w:t xml:space="preserve"> </w:t>
      </w:r>
      <w:r>
        <w:rPr>
          <w:sz w:val="26"/>
        </w:rPr>
        <w:t>overlooks</w:t>
      </w:r>
      <w:r>
        <w:rPr>
          <w:spacing w:val="-9"/>
          <w:sz w:val="26"/>
        </w:rPr>
        <w:t xml:space="preserve"> </w:t>
      </w:r>
      <w:r>
        <w:rPr>
          <w:sz w:val="26"/>
        </w:rPr>
        <w:t>the</w:t>
      </w:r>
      <w:r>
        <w:rPr>
          <w:spacing w:val="-6"/>
          <w:sz w:val="26"/>
        </w:rPr>
        <w:t xml:space="preserve"> </w:t>
      </w:r>
      <w:r>
        <w:rPr>
          <w:sz w:val="26"/>
        </w:rPr>
        <w:t>wide</w:t>
      </w:r>
      <w:r>
        <w:rPr>
          <w:spacing w:val="-7"/>
          <w:sz w:val="26"/>
        </w:rPr>
        <w:t xml:space="preserve"> </w:t>
      </w:r>
      <w:r>
        <w:rPr>
          <w:sz w:val="26"/>
        </w:rPr>
        <w:t>ambit</w:t>
      </w:r>
      <w:r>
        <w:rPr>
          <w:spacing w:val="-9"/>
          <w:sz w:val="26"/>
        </w:rPr>
        <w:t xml:space="preserve"> </w:t>
      </w:r>
      <w:r>
        <w:rPr>
          <w:sz w:val="26"/>
        </w:rPr>
        <w:t>that</w:t>
      </w:r>
      <w:r>
        <w:rPr>
          <w:spacing w:val="-6"/>
          <w:sz w:val="26"/>
        </w:rPr>
        <w:t xml:space="preserve"> </w:t>
      </w:r>
      <w:r>
        <w:rPr>
          <w:sz w:val="26"/>
        </w:rPr>
        <w:t>was</w:t>
      </w:r>
      <w:r>
        <w:rPr>
          <w:spacing w:val="-9"/>
          <w:sz w:val="26"/>
        </w:rPr>
        <w:t xml:space="preserve"> </w:t>
      </w:r>
      <w:r>
        <w:rPr>
          <w:sz w:val="26"/>
        </w:rPr>
        <w:t>to</w:t>
      </w:r>
      <w:r>
        <w:rPr>
          <w:spacing w:val="-6"/>
          <w:sz w:val="26"/>
        </w:rPr>
        <w:t xml:space="preserve"> </w:t>
      </w:r>
      <w:r>
        <w:rPr>
          <w:sz w:val="26"/>
        </w:rPr>
        <w:t>be</w:t>
      </w:r>
      <w:r>
        <w:rPr>
          <w:spacing w:val="-7"/>
          <w:sz w:val="26"/>
        </w:rPr>
        <w:t xml:space="preserve"> </w:t>
      </w:r>
      <w:r>
        <w:rPr>
          <w:sz w:val="26"/>
        </w:rPr>
        <w:t>attributed</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75" w:lineRule="auto"/>
        <w:ind w:left="400" w:right="439"/>
        <w:jc w:val="both"/>
        <w:rPr>
          <w:sz w:val="26"/>
        </w:rPr>
      </w:pPr>
      <w:r>
        <w:rPr>
          <w:sz w:val="26"/>
        </w:rPr>
        <w:t>to the term ‘laws in force’ having regard to its inclusive definition and constitutional history. As H M Seervai notes</w:t>
      </w:r>
      <w:r>
        <w:rPr>
          <w:position w:val="9"/>
          <w:sz w:val="17"/>
        </w:rPr>
        <w:t>147</w:t>
      </w:r>
      <w:r>
        <w:rPr>
          <w:sz w:val="26"/>
        </w:rPr>
        <w:t>:</w:t>
      </w:r>
    </w:p>
    <w:p w:rsidR="003B2FC0" w:rsidRDefault="00052A49">
      <w:pPr>
        <w:spacing w:before="206" w:line="276" w:lineRule="auto"/>
        <w:ind w:left="1840" w:right="2282"/>
        <w:jc w:val="both"/>
        <w:rPr>
          <w:sz w:val="21"/>
        </w:rPr>
      </w:pPr>
      <w:r>
        <w:rPr>
          <w:sz w:val="21"/>
        </w:rPr>
        <w:t>“there is no difference between the expression “existing law” and “law in force” and consequently, personal law would be “existing law” and “law in force …custom, usage and statutory law are so inextricably mixed up in personal law that it would be difficu</w:t>
      </w:r>
      <w:r>
        <w:rPr>
          <w:sz w:val="21"/>
        </w:rPr>
        <w:t>lt to ascertain the residue of personal law outside them.”</w:t>
      </w:r>
    </w:p>
    <w:p w:rsidR="003B2FC0" w:rsidRDefault="003B2FC0">
      <w:pPr>
        <w:rPr>
          <w:sz w:val="24"/>
        </w:rPr>
      </w:pPr>
    </w:p>
    <w:p w:rsidR="003B2FC0" w:rsidRDefault="003B2FC0">
      <w:pPr>
        <w:spacing w:before="6"/>
        <w:rPr>
          <w:sz w:val="19"/>
        </w:rPr>
      </w:pPr>
    </w:p>
    <w:p w:rsidR="003B2FC0" w:rsidRDefault="00052A49">
      <w:pPr>
        <w:spacing w:line="480" w:lineRule="auto"/>
        <w:ind w:left="400" w:right="432"/>
        <w:jc w:val="both"/>
        <w:rPr>
          <w:sz w:val="26"/>
        </w:rPr>
      </w:pPr>
      <w:r>
        <w:rPr>
          <w:sz w:val="26"/>
        </w:rPr>
        <w:t xml:space="preserve">The decision in </w:t>
      </w:r>
      <w:r>
        <w:rPr>
          <w:b/>
          <w:sz w:val="26"/>
        </w:rPr>
        <w:t>Narasu</w:t>
      </w:r>
      <w:r>
        <w:rPr>
          <w:sz w:val="26"/>
        </w:rPr>
        <w:t>, in immunizing uncodified personal law and construing the same as distinct from custom, deserves detailed reconsideration in an appropriate case in the future.</w:t>
      </w:r>
    </w:p>
    <w:p w:rsidR="003B2FC0" w:rsidRDefault="003B2FC0">
      <w:pPr>
        <w:rPr>
          <w:sz w:val="28"/>
        </w:rPr>
      </w:pPr>
    </w:p>
    <w:p w:rsidR="003B2FC0" w:rsidRDefault="003B2FC0">
      <w:pPr>
        <w:spacing w:before="7"/>
        <w:rPr>
          <w:sz w:val="36"/>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In</w:t>
      </w:r>
      <w:r>
        <w:rPr>
          <w:spacing w:val="-7"/>
          <w:sz w:val="26"/>
        </w:rPr>
        <w:t xml:space="preserve"> </w:t>
      </w:r>
      <w:r>
        <w:rPr>
          <w:sz w:val="26"/>
        </w:rPr>
        <w:t>the</w:t>
      </w:r>
      <w:r>
        <w:rPr>
          <w:spacing w:val="-7"/>
          <w:sz w:val="26"/>
        </w:rPr>
        <w:t xml:space="preserve"> </w:t>
      </w:r>
      <w:r>
        <w:rPr>
          <w:sz w:val="26"/>
        </w:rPr>
        <w:t>que</w:t>
      </w:r>
      <w:r>
        <w:rPr>
          <w:sz w:val="26"/>
        </w:rPr>
        <w:t>st</w:t>
      </w:r>
      <w:r>
        <w:rPr>
          <w:spacing w:val="-7"/>
          <w:sz w:val="26"/>
        </w:rPr>
        <w:t xml:space="preserve"> </w:t>
      </w:r>
      <w:r>
        <w:rPr>
          <w:sz w:val="26"/>
        </w:rPr>
        <w:t>towards</w:t>
      </w:r>
      <w:r>
        <w:rPr>
          <w:spacing w:val="-4"/>
          <w:sz w:val="26"/>
        </w:rPr>
        <w:t xml:space="preserve"> </w:t>
      </w:r>
      <w:r>
        <w:rPr>
          <w:sz w:val="26"/>
        </w:rPr>
        <w:t>ensuring</w:t>
      </w:r>
      <w:r>
        <w:rPr>
          <w:spacing w:val="-7"/>
          <w:sz w:val="26"/>
        </w:rPr>
        <w:t xml:space="preserve"> </w:t>
      </w:r>
      <w:r>
        <w:rPr>
          <w:sz w:val="26"/>
        </w:rPr>
        <w:t>the</w:t>
      </w:r>
      <w:r>
        <w:rPr>
          <w:spacing w:val="-7"/>
          <w:sz w:val="26"/>
        </w:rPr>
        <w:t xml:space="preserve"> </w:t>
      </w:r>
      <w:r>
        <w:rPr>
          <w:sz w:val="26"/>
        </w:rPr>
        <w:t>rights</w:t>
      </w:r>
      <w:r>
        <w:rPr>
          <w:spacing w:val="-4"/>
          <w:sz w:val="26"/>
        </w:rPr>
        <w:t xml:space="preserve"> </w:t>
      </w:r>
      <w:r>
        <w:rPr>
          <w:sz w:val="26"/>
        </w:rPr>
        <w:t>guaranteed</w:t>
      </w:r>
      <w:r>
        <w:rPr>
          <w:spacing w:val="-6"/>
          <w:sz w:val="26"/>
        </w:rPr>
        <w:t xml:space="preserve"> </w:t>
      </w:r>
      <w:r>
        <w:rPr>
          <w:sz w:val="26"/>
        </w:rPr>
        <w:t>to</w:t>
      </w:r>
      <w:r>
        <w:rPr>
          <w:spacing w:val="-5"/>
          <w:sz w:val="26"/>
        </w:rPr>
        <w:t xml:space="preserve"> </w:t>
      </w:r>
      <w:r>
        <w:rPr>
          <w:sz w:val="26"/>
        </w:rPr>
        <w:t>every</w:t>
      </w:r>
      <w:r>
        <w:rPr>
          <w:spacing w:val="-7"/>
          <w:sz w:val="26"/>
        </w:rPr>
        <w:t xml:space="preserve"> </w:t>
      </w:r>
      <w:r>
        <w:rPr>
          <w:sz w:val="26"/>
        </w:rPr>
        <w:t>individual,</w:t>
      </w:r>
      <w:r>
        <w:rPr>
          <w:spacing w:val="-7"/>
          <w:sz w:val="26"/>
        </w:rPr>
        <w:t xml:space="preserve"> </w:t>
      </w:r>
      <w:r>
        <w:rPr>
          <w:sz w:val="26"/>
        </w:rPr>
        <w:t>a Constitutional court such as ours is faced with an additional task. Transformative adjudication must provide remedies in individual instances that arise before the Court. In addition, it must</w:t>
      </w:r>
      <w:r>
        <w:rPr>
          <w:sz w:val="26"/>
        </w:rPr>
        <w:t xml:space="preserve"> seek to recognize and transform the underlying social and legal structures that perpetuate practices against the constitutional vision. Subjecting personal laws to constitutional scrutiny is an important step in this direction. Speaking of the true purpos</w:t>
      </w:r>
      <w:r>
        <w:rPr>
          <w:sz w:val="26"/>
        </w:rPr>
        <w:t>e of liberty, Dr B R Ambedkar</w:t>
      </w:r>
      <w:r>
        <w:rPr>
          <w:spacing w:val="-2"/>
          <w:sz w:val="26"/>
        </w:rPr>
        <w:t xml:space="preserve"> </w:t>
      </w:r>
      <w:r>
        <w:rPr>
          <w:sz w:val="26"/>
        </w:rPr>
        <w:t>stated:</w:t>
      </w:r>
    </w:p>
    <w:p w:rsidR="003B2FC0" w:rsidRDefault="00052A49">
      <w:pPr>
        <w:spacing w:before="201" w:line="273" w:lineRule="auto"/>
        <w:ind w:left="1840" w:right="2283"/>
        <w:jc w:val="both"/>
        <w:rPr>
          <w:sz w:val="14"/>
        </w:rPr>
      </w:pPr>
      <w:r>
        <w:rPr>
          <w:sz w:val="21"/>
        </w:rPr>
        <w:t xml:space="preserve">“What are we having this liberty for? We are having this liberty in order to reform our social system, which is so full of inequities, so full of inequalities, discriminations and other things, which conflict with our </w:t>
      </w:r>
      <w:r>
        <w:rPr>
          <w:sz w:val="21"/>
        </w:rPr>
        <w:t>fundamental rights.”</w:t>
      </w:r>
      <w:r>
        <w:rPr>
          <w:position w:val="7"/>
          <w:sz w:val="14"/>
        </w:rPr>
        <w:t>148</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rPr>
          <w:sz w:val="24"/>
        </w:rPr>
      </w:pPr>
      <w:r w:rsidRPr="003B2FC0">
        <w:pict>
          <v:line id="_x0000_s1071" style="position:absolute;z-index:251644416;mso-wrap-distance-left:0;mso-wrap-distance-right:0;mso-position-horizontal-relative:page" from="1in,16.4pt" to="216.05pt,16.4pt" strokeweight=".72pt">
            <w10:wrap type="topAndBottom" anchorx="page"/>
          </v:line>
        </w:pict>
      </w:r>
    </w:p>
    <w:p w:rsidR="003B2FC0" w:rsidRDefault="00052A49">
      <w:pPr>
        <w:spacing w:before="66" w:line="210" w:lineRule="exact"/>
        <w:ind w:left="400"/>
        <w:rPr>
          <w:sz w:val="18"/>
        </w:rPr>
      </w:pPr>
      <w:r>
        <w:rPr>
          <w:position w:val="6"/>
          <w:sz w:val="12"/>
        </w:rPr>
        <w:t xml:space="preserve">147 </w:t>
      </w:r>
      <w:r>
        <w:rPr>
          <w:sz w:val="18"/>
        </w:rPr>
        <w:t>H M Seervai, Constitutional Law of India, Vol. I, at page 677</w:t>
      </w:r>
    </w:p>
    <w:p w:rsidR="003B2FC0" w:rsidRDefault="00052A49">
      <w:pPr>
        <w:spacing w:line="210" w:lineRule="exact"/>
        <w:ind w:left="400"/>
        <w:rPr>
          <w:sz w:val="18"/>
        </w:rPr>
      </w:pPr>
      <w:r>
        <w:rPr>
          <w:position w:val="6"/>
          <w:sz w:val="12"/>
        </w:rPr>
        <w:t xml:space="preserve">148 </w:t>
      </w:r>
      <w:r>
        <w:rPr>
          <w:sz w:val="18"/>
        </w:rPr>
        <w:t>Parliament of India, Constituent Assembly Debates, Vol. VII, at page 781</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7"/>
        <w:jc w:val="both"/>
        <w:rPr>
          <w:sz w:val="26"/>
        </w:rPr>
      </w:pPr>
      <w:r>
        <w:rPr>
          <w:sz w:val="26"/>
        </w:rPr>
        <w:t>Practices, that perpetuate discrimination on the grounds of characteristics that have</w:t>
      </w:r>
      <w:r>
        <w:rPr>
          <w:spacing w:val="-5"/>
          <w:sz w:val="26"/>
        </w:rPr>
        <w:t xml:space="preserve"> </w:t>
      </w:r>
      <w:r>
        <w:rPr>
          <w:sz w:val="26"/>
        </w:rPr>
        <w:t>historically</w:t>
      </w:r>
      <w:r>
        <w:rPr>
          <w:spacing w:val="-6"/>
          <w:sz w:val="26"/>
        </w:rPr>
        <w:t xml:space="preserve"> </w:t>
      </w:r>
      <w:r>
        <w:rPr>
          <w:sz w:val="26"/>
        </w:rPr>
        <w:t>been</w:t>
      </w:r>
      <w:r>
        <w:rPr>
          <w:spacing w:val="-7"/>
          <w:sz w:val="26"/>
        </w:rPr>
        <w:t xml:space="preserve"> </w:t>
      </w:r>
      <w:r>
        <w:rPr>
          <w:sz w:val="26"/>
        </w:rPr>
        <w:t>the</w:t>
      </w:r>
      <w:r>
        <w:rPr>
          <w:spacing w:val="-5"/>
          <w:sz w:val="26"/>
        </w:rPr>
        <w:t xml:space="preserve"> </w:t>
      </w:r>
      <w:r>
        <w:rPr>
          <w:sz w:val="26"/>
        </w:rPr>
        <w:t>basis</w:t>
      </w:r>
      <w:r>
        <w:rPr>
          <w:spacing w:val="-6"/>
          <w:sz w:val="26"/>
        </w:rPr>
        <w:t xml:space="preserve"> </w:t>
      </w:r>
      <w:r>
        <w:rPr>
          <w:sz w:val="26"/>
        </w:rPr>
        <w:t>of</w:t>
      </w:r>
      <w:r>
        <w:rPr>
          <w:spacing w:val="-5"/>
          <w:sz w:val="26"/>
        </w:rPr>
        <w:t xml:space="preserve"> </w:t>
      </w:r>
      <w:r>
        <w:rPr>
          <w:sz w:val="26"/>
        </w:rPr>
        <w:t>discrimination,</w:t>
      </w:r>
      <w:r>
        <w:rPr>
          <w:spacing w:val="-5"/>
          <w:sz w:val="26"/>
        </w:rPr>
        <w:t xml:space="preserve"> </w:t>
      </w:r>
      <w:r>
        <w:rPr>
          <w:sz w:val="26"/>
        </w:rPr>
        <w:t>must</w:t>
      </w:r>
      <w:r>
        <w:rPr>
          <w:spacing w:val="-5"/>
          <w:sz w:val="26"/>
        </w:rPr>
        <w:t xml:space="preserve"> </w:t>
      </w:r>
      <w:r>
        <w:rPr>
          <w:sz w:val="26"/>
        </w:rPr>
        <w:t>not</w:t>
      </w:r>
      <w:r>
        <w:rPr>
          <w:spacing w:val="-6"/>
          <w:sz w:val="26"/>
        </w:rPr>
        <w:t xml:space="preserve"> </w:t>
      </w:r>
      <w:r>
        <w:rPr>
          <w:sz w:val="26"/>
        </w:rPr>
        <w:t>be</w:t>
      </w:r>
      <w:r>
        <w:rPr>
          <w:spacing w:val="-2"/>
          <w:sz w:val="26"/>
        </w:rPr>
        <w:t xml:space="preserve"> </w:t>
      </w:r>
      <w:r>
        <w:rPr>
          <w:sz w:val="26"/>
        </w:rPr>
        <w:t>viewed</w:t>
      </w:r>
      <w:r>
        <w:rPr>
          <w:spacing w:val="-4"/>
          <w:sz w:val="26"/>
        </w:rPr>
        <w:t xml:space="preserve"> </w:t>
      </w:r>
      <w:r>
        <w:rPr>
          <w:sz w:val="26"/>
        </w:rPr>
        <w:t>as</w:t>
      </w:r>
      <w:r>
        <w:rPr>
          <w:spacing w:val="-7"/>
          <w:sz w:val="26"/>
        </w:rPr>
        <w:t xml:space="preserve"> </w:t>
      </w:r>
      <w:r>
        <w:rPr>
          <w:sz w:val="26"/>
        </w:rPr>
        <w:t>part</w:t>
      </w:r>
      <w:r>
        <w:rPr>
          <w:spacing w:val="-8"/>
          <w:sz w:val="26"/>
        </w:rPr>
        <w:t xml:space="preserve"> </w:t>
      </w:r>
      <w:r>
        <w:rPr>
          <w:sz w:val="26"/>
        </w:rPr>
        <w:t>of a</w:t>
      </w:r>
      <w:r>
        <w:rPr>
          <w:spacing w:val="-8"/>
          <w:sz w:val="26"/>
        </w:rPr>
        <w:t xml:space="preserve"> </w:t>
      </w:r>
      <w:r>
        <w:rPr>
          <w:sz w:val="26"/>
        </w:rPr>
        <w:t>seemingly</w:t>
      </w:r>
      <w:r>
        <w:rPr>
          <w:spacing w:val="-9"/>
          <w:sz w:val="26"/>
        </w:rPr>
        <w:t xml:space="preserve"> </w:t>
      </w:r>
      <w:r>
        <w:rPr>
          <w:sz w:val="26"/>
        </w:rPr>
        <w:t>neutral</w:t>
      </w:r>
      <w:r>
        <w:rPr>
          <w:spacing w:val="-7"/>
          <w:sz w:val="26"/>
        </w:rPr>
        <w:t xml:space="preserve"> </w:t>
      </w:r>
      <w:r>
        <w:rPr>
          <w:sz w:val="26"/>
        </w:rPr>
        <w:t>legal</w:t>
      </w:r>
      <w:r>
        <w:rPr>
          <w:spacing w:val="-7"/>
          <w:sz w:val="26"/>
        </w:rPr>
        <w:t xml:space="preserve"> </w:t>
      </w:r>
      <w:r>
        <w:rPr>
          <w:sz w:val="26"/>
        </w:rPr>
        <w:t>background.</w:t>
      </w:r>
      <w:r>
        <w:rPr>
          <w:spacing w:val="-7"/>
          <w:sz w:val="26"/>
        </w:rPr>
        <w:t xml:space="preserve"> </w:t>
      </w:r>
      <w:r>
        <w:rPr>
          <w:sz w:val="26"/>
        </w:rPr>
        <w:t>They</w:t>
      </w:r>
      <w:r>
        <w:rPr>
          <w:spacing w:val="-7"/>
          <w:sz w:val="26"/>
        </w:rPr>
        <w:t xml:space="preserve"> </w:t>
      </w:r>
      <w:r>
        <w:rPr>
          <w:sz w:val="26"/>
        </w:rPr>
        <w:t>have</w:t>
      </w:r>
      <w:r>
        <w:rPr>
          <w:spacing w:val="-7"/>
          <w:sz w:val="26"/>
        </w:rPr>
        <w:t xml:space="preserve"> </w:t>
      </w:r>
      <w:r>
        <w:rPr>
          <w:sz w:val="26"/>
        </w:rPr>
        <w:t>to</w:t>
      </w:r>
      <w:r>
        <w:rPr>
          <w:spacing w:val="-4"/>
          <w:sz w:val="26"/>
        </w:rPr>
        <w:t xml:space="preserve"> </w:t>
      </w:r>
      <w:r>
        <w:rPr>
          <w:sz w:val="26"/>
        </w:rPr>
        <w:t>be</w:t>
      </w:r>
      <w:r>
        <w:rPr>
          <w:spacing w:val="-7"/>
          <w:sz w:val="26"/>
        </w:rPr>
        <w:t xml:space="preserve"> </w:t>
      </w:r>
      <w:r>
        <w:rPr>
          <w:sz w:val="26"/>
        </w:rPr>
        <w:t>used</w:t>
      </w:r>
      <w:r>
        <w:rPr>
          <w:spacing w:val="-7"/>
          <w:sz w:val="26"/>
        </w:rPr>
        <w:t xml:space="preserve"> </w:t>
      </w:r>
      <w:r>
        <w:rPr>
          <w:sz w:val="26"/>
        </w:rPr>
        <w:t>as</w:t>
      </w:r>
      <w:r>
        <w:rPr>
          <w:spacing w:val="-7"/>
          <w:sz w:val="26"/>
        </w:rPr>
        <w:t xml:space="preserve"> </w:t>
      </w:r>
      <w:r>
        <w:rPr>
          <w:sz w:val="26"/>
        </w:rPr>
        <w:t>intrinsic</w:t>
      </w:r>
      <w:r>
        <w:rPr>
          <w:spacing w:val="-7"/>
          <w:sz w:val="26"/>
        </w:rPr>
        <w:t xml:space="preserve"> </w:t>
      </w:r>
      <w:r>
        <w:rPr>
          <w:sz w:val="26"/>
        </w:rPr>
        <w:t>to,</w:t>
      </w:r>
      <w:r>
        <w:rPr>
          <w:spacing w:val="-7"/>
          <w:sz w:val="26"/>
        </w:rPr>
        <w:t xml:space="preserve"> </w:t>
      </w:r>
      <w:r>
        <w:rPr>
          <w:sz w:val="26"/>
        </w:rPr>
        <w:t>and not extraneou</w:t>
      </w:r>
      <w:r>
        <w:rPr>
          <w:sz w:val="26"/>
        </w:rPr>
        <w:t>s to, the interpretive</w:t>
      </w:r>
      <w:r>
        <w:rPr>
          <w:spacing w:val="-2"/>
          <w:sz w:val="26"/>
        </w:rPr>
        <w:t xml:space="preserve"> </w:t>
      </w:r>
      <w:r>
        <w:rPr>
          <w:sz w:val="26"/>
        </w:rPr>
        <w:t>enquiry.</w:t>
      </w:r>
    </w:p>
    <w:p w:rsidR="003B2FC0" w:rsidRDefault="003B2FC0">
      <w:pPr>
        <w:rPr>
          <w:sz w:val="28"/>
        </w:rPr>
      </w:pPr>
    </w:p>
    <w:p w:rsidR="003B2FC0" w:rsidRDefault="003B2FC0">
      <w:pPr>
        <w:spacing w:before="9"/>
        <w:rPr>
          <w:sz w:val="36"/>
        </w:rPr>
      </w:pPr>
    </w:p>
    <w:p w:rsidR="003B2FC0" w:rsidRDefault="00052A49">
      <w:pPr>
        <w:spacing w:line="480" w:lineRule="auto"/>
        <w:ind w:left="400" w:right="437"/>
        <w:jc w:val="both"/>
        <w:rPr>
          <w:sz w:val="26"/>
        </w:rPr>
      </w:pPr>
      <w:r>
        <w:rPr>
          <w:sz w:val="26"/>
        </w:rPr>
        <w:t>The case before us has raised the question of whether it is constitutionally permissible to exclude women between the ages of ten and fifty from the Sabarimala</w:t>
      </w:r>
      <w:r>
        <w:rPr>
          <w:spacing w:val="-5"/>
          <w:sz w:val="26"/>
        </w:rPr>
        <w:t xml:space="preserve"> </w:t>
      </w:r>
      <w:r>
        <w:rPr>
          <w:sz w:val="26"/>
        </w:rPr>
        <w:t>Temple.</w:t>
      </w:r>
      <w:r>
        <w:rPr>
          <w:spacing w:val="-2"/>
          <w:sz w:val="26"/>
        </w:rPr>
        <w:t xml:space="preserve"> </w:t>
      </w:r>
      <w:r>
        <w:rPr>
          <w:sz w:val="26"/>
        </w:rPr>
        <w:t>In</w:t>
      </w:r>
      <w:r>
        <w:rPr>
          <w:spacing w:val="-6"/>
          <w:sz w:val="26"/>
        </w:rPr>
        <w:t xml:space="preserve"> </w:t>
      </w:r>
      <w:r>
        <w:rPr>
          <w:sz w:val="26"/>
        </w:rPr>
        <w:t>the</w:t>
      </w:r>
      <w:r>
        <w:rPr>
          <w:spacing w:val="-5"/>
          <w:sz w:val="26"/>
        </w:rPr>
        <w:t xml:space="preserve"> </w:t>
      </w:r>
      <w:r>
        <w:rPr>
          <w:sz w:val="26"/>
        </w:rPr>
        <w:t>denial</w:t>
      </w:r>
      <w:r>
        <w:rPr>
          <w:spacing w:val="-6"/>
          <w:sz w:val="26"/>
        </w:rPr>
        <w:t xml:space="preserve"> </w:t>
      </w:r>
      <w:r>
        <w:rPr>
          <w:sz w:val="26"/>
        </w:rPr>
        <w:t>of</w:t>
      </w:r>
      <w:r>
        <w:rPr>
          <w:spacing w:val="-4"/>
          <w:sz w:val="26"/>
        </w:rPr>
        <w:t xml:space="preserve"> </w:t>
      </w:r>
      <w:r>
        <w:rPr>
          <w:sz w:val="26"/>
        </w:rPr>
        <w:t>equal</w:t>
      </w:r>
      <w:r>
        <w:rPr>
          <w:spacing w:val="-3"/>
          <w:sz w:val="26"/>
        </w:rPr>
        <w:t xml:space="preserve"> </w:t>
      </w:r>
      <w:r>
        <w:rPr>
          <w:sz w:val="26"/>
        </w:rPr>
        <w:t>access,</w:t>
      </w:r>
      <w:r>
        <w:rPr>
          <w:spacing w:val="-5"/>
          <w:sz w:val="26"/>
        </w:rPr>
        <w:t xml:space="preserve"> </w:t>
      </w:r>
      <w:r>
        <w:rPr>
          <w:sz w:val="26"/>
        </w:rPr>
        <w:t>the</w:t>
      </w:r>
      <w:r>
        <w:rPr>
          <w:spacing w:val="-6"/>
          <w:sz w:val="26"/>
        </w:rPr>
        <w:t xml:space="preserve"> </w:t>
      </w:r>
      <w:r>
        <w:rPr>
          <w:sz w:val="26"/>
        </w:rPr>
        <w:t>practice</w:t>
      </w:r>
      <w:r>
        <w:rPr>
          <w:spacing w:val="-2"/>
          <w:sz w:val="26"/>
        </w:rPr>
        <w:t xml:space="preserve"> </w:t>
      </w:r>
      <w:r>
        <w:rPr>
          <w:sz w:val="26"/>
        </w:rPr>
        <w:t>denies</w:t>
      </w:r>
      <w:r>
        <w:rPr>
          <w:spacing w:val="-5"/>
          <w:sz w:val="26"/>
        </w:rPr>
        <w:t xml:space="preserve"> </w:t>
      </w:r>
      <w:r>
        <w:rPr>
          <w:sz w:val="26"/>
        </w:rPr>
        <w:t>an</w:t>
      </w:r>
      <w:r>
        <w:rPr>
          <w:spacing w:val="-5"/>
          <w:sz w:val="26"/>
        </w:rPr>
        <w:t xml:space="preserve"> </w:t>
      </w:r>
      <w:r>
        <w:rPr>
          <w:sz w:val="26"/>
        </w:rPr>
        <w:t>equal citizenship and substantive equality under the Constitution. The primacy of individual dignity is the wind in the sails of the boat chartered on the constitutional course of a just and egalitarian social</w:t>
      </w:r>
      <w:r>
        <w:rPr>
          <w:spacing w:val="-3"/>
          <w:sz w:val="26"/>
        </w:rPr>
        <w:t xml:space="preserve"> </w:t>
      </w:r>
      <w:r>
        <w:rPr>
          <w:sz w:val="26"/>
        </w:rPr>
        <w:t>order.</w:t>
      </w:r>
    </w:p>
    <w:p w:rsidR="003B2FC0" w:rsidRDefault="003B2FC0">
      <w:pPr>
        <w:rPr>
          <w:sz w:val="28"/>
        </w:rPr>
      </w:pPr>
    </w:p>
    <w:p w:rsidR="003B2FC0" w:rsidRDefault="003B2FC0">
      <w:pPr>
        <w:rPr>
          <w:sz w:val="30"/>
        </w:rPr>
      </w:pPr>
    </w:p>
    <w:p w:rsidR="003B2FC0" w:rsidRDefault="00052A49">
      <w:pPr>
        <w:pStyle w:val="Heading1"/>
        <w:numPr>
          <w:ilvl w:val="0"/>
          <w:numId w:val="20"/>
        </w:numPr>
        <w:tabs>
          <w:tab w:val="left" w:pos="1120"/>
          <w:tab w:val="left" w:pos="1121"/>
        </w:tabs>
      </w:pPr>
      <w:r>
        <w:t>Deity as a bearer of constitutional</w:t>
      </w:r>
      <w:r>
        <w:rPr>
          <w:spacing w:val="-10"/>
        </w:rPr>
        <w:t xml:space="preserve"> </w:t>
      </w:r>
      <w:r>
        <w:t>r</w:t>
      </w:r>
      <w:r>
        <w:t>ights</w:t>
      </w:r>
    </w:p>
    <w:p w:rsidR="003B2FC0" w:rsidRDefault="003B2FC0">
      <w:pPr>
        <w:rPr>
          <w:b/>
          <w:sz w:val="30"/>
        </w:rPr>
      </w:pPr>
    </w:p>
    <w:p w:rsidR="003B2FC0" w:rsidRDefault="003B2FC0">
      <w:pPr>
        <w:spacing w:before="7"/>
        <w:rPr>
          <w:b/>
          <w:sz w:val="29"/>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Mr J Sai Deepak, learned Counsel, urged that the presiding deity of the Sabarimala Temple, Lord Ayyappa, is a bearer of constitutional rights under Part</w:t>
      </w:r>
      <w:r>
        <w:rPr>
          <w:spacing w:val="-19"/>
          <w:sz w:val="26"/>
        </w:rPr>
        <w:t xml:space="preserve"> </w:t>
      </w:r>
      <w:r>
        <w:rPr>
          <w:sz w:val="26"/>
        </w:rPr>
        <w:t>III</w:t>
      </w:r>
      <w:r>
        <w:rPr>
          <w:spacing w:val="-19"/>
          <w:sz w:val="26"/>
        </w:rPr>
        <w:t xml:space="preserve"> </w:t>
      </w:r>
      <w:r>
        <w:rPr>
          <w:sz w:val="26"/>
        </w:rPr>
        <w:t>of</w:t>
      </w:r>
      <w:r>
        <w:rPr>
          <w:spacing w:val="-19"/>
          <w:sz w:val="26"/>
        </w:rPr>
        <w:t xml:space="preserve"> </w:t>
      </w:r>
      <w:r>
        <w:rPr>
          <w:sz w:val="26"/>
        </w:rPr>
        <w:t>the</w:t>
      </w:r>
      <w:r>
        <w:rPr>
          <w:spacing w:val="-19"/>
          <w:sz w:val="26"/>
        </w:rPr>
        <w:t xml:space="preserve"> </w:t>
      </w:r>
      <w:r>
        <w:rPr>
          <w:sz w:val="26"/>
        </w:rPr>
        <w:t>Constitution.</w:t>
      </w:r>
      <w:r>
        <w:rPr>
          <w:spacing w:val="-18"/>
          <w:sz w:val="26"/>
        </w:rPr>
        <w:t xml:space="preserve"> </w:t>
      </w:r>
      <w:r>
        <w:rPr>
          <w:sz w:val="26"/>
        </w:rPr>
        <w:t>It</w:t>
      </w:r>
      <w:r>
        <w:rPr>
          <w:spacing w:val="-16"/>
          <w:sz w:val="26"/>
        </w:rPr>
        <w:t xml:space="preserve"> </w:t>
      </w:r>
      <w:r>
        <w:rPr>
          <w:sz w:val="26"/>
        </w:rPr>
        <w:t>was</w:t>
      </w:r>
      <w:r>
        <w:rPr>
          <w:spacing w:val="-19"/>
          <w:sz w:val="26"/>
        </w:rPr>
        <w:t xml:space="preserve"> </w:t>
      </w:r>
      <w:r>
        <w:rPr>
          <w:sz w:val="26"/>
        </w:rPr>
        <w:t>submitted</w:t>
      </w:r>
      <w:r>
        <w:rPr>
          <w:spacing w:val="-16"/>
          <w:sz w:val="26"/>
        </w:rPr>
        <w:t xml:space="preserve"> </w:t>
      </w:r>
      <w:r>
        <w:rPr>
          <w:sz w:val="26"/>
        </w:rPr>
        <w:t>that</w:t>
      </w:r>
      <w:r>
        <w:rPr>
          <w:spacing w:val="-19"/>
          <w:sz w:val="26"/>
        </w:rPr>
        <w:t xml:space="preserve"> </w:t>
      </w:r>
      <w:r>
        <w:rPr>
          <w:sz w:val="26"/>
        </w:rPr>
        <w:t>the</w:t>
      </w:r>
      <w:r>
        <w:rPr>
          <w:spacing w:val="-18"/>
          <w:sz w:val="26"/>
        </w:rPr>
        <w:t xml:space="preserve"> </w:t>
      </w:r>
      <w:r>
        <w:rPr>
          <w:sz w:val="26"/>
        </w:rPr>
        <w:t>right</w:t>
      </w:r>
      <w:r>
        <w:rPr>
          <w:spacing w:val="-19"/>
          <w:sz w:val="26"/>
        </w:rPr>
        <w:t xml:space="preserve"> </w:t>
      </w:r>
      <w:r>
        <w:rPr>
          <w:sz w:val="26"/>
        </w:rPr>
        <w:t>to</w:t>
      </w:r>
      <w:r>
        <w:rPr>
          <w:spacing w:val="-19"/>
          <w:sz w:val="26"/>
        </w:rPr>
        <w:t xml:space="preserve"> </w:t>
      </w:r>
      <w:r>
        <w:rPr>
          <w:sz w:val="26"/>
        </w:rPr>
        <w:t>preserve</w:t>
      </w:r>
      <w:r>
        <w:rPr>
          <w:spacing w:val="-19"/>
          <w:sz w:val="26"/>
        </w:rPr>
        <w:t xml:space="preserve"> </w:t>
      </w:r>
      <w:r>
        <w:rPr>
          <w:sz w:val="26"/>
        </w:rPr>
        <w:t>the</w:t>
      </w:r>
      <w:r>
        <w:rPr>
          <w:spacing w:val="-18"/>
          <w:sz w:val="26"/>
        </w:rPr>
        <w:t xml:space="preserve"> </w:t>
      </w:r>
      <w:r>
        <w:rPr>
          <w:sz w:val="26"/>
        </w:rPr>
        <w:t xml:space="preserve">celibacy of the deity </w:t>
      </w:r>
      <w:r>
        <w:rPr>
          <w:sz w:val="26"/>
        </w:rPr>
        <w:t>is a protected constitutional right and extends to excluding women from</w:t>
      </w:r>
      <w:r>
        <w:rPr>
          <w:spacing w:val="-5"/>
          <w:sz w:val="26"/>
        </w:rPr>
        <w:t xml:space="preserve"> </w:t>
      </w:r>
      <w:r>
        <w:rPr>
          <w:sz w:val="26"/>
        </w:rPr>
        <w:t>entering</w:t>
      </w:r>
      <w:r>
        <w:rPr>
          <w:spacing w:val="-4"/>
          <w:sz w:val="26"/>
        </w:rPr>
        <w:t xml:space="preserve"> </w:t>
      </w:r>
      <w:r>
        <w:rPr>
          <w:sz w:val="26"/>
        </w:rPr>
        <w:t>and</w:t>
      </w:r>
      <w:r>
        <w:rPr>
          <w:spacing w:val="-4"/>
          <w:sz w:val="26"/>
        </w:rPr>
        <w:t xml:space="preserve"> </w:t>
      </w:r>
      <w:r>
        <w:rPr>
          <w:sz w:val="26"/>
        </w:rPr>
        <w:t>praying</w:t>
      </w:r>
      <w:r>
        <w:rPr>
          <w:spacing w:val="-4"/>
          <w:sz w:val="26"/>
        </w:rPr>
        <w:t xml:space="preserve"> </w:t>
      </w:r>
      <w:r>
        <w:rPr>
          <w:sz w:val="26"/>
        </w:rPr>
        <w:t>at</w:t>
      </w:r>
      <w:r>
        <w:rPr>
          <w:spacing w:val="-4"/>
          <w:sz w:val="26"/>
        </w:rPr>
        <w:t xml:space="preserve"> </w:t>
      </w:r>
      <w:r>
        <w:rPr>
          <w:sz w:val="26"/>
        </w:rPr>
        <w:t>the</w:t>
      </w:r>
      <w:r>
        <w:rPr>
          <w:spacing w:val="-4"/>
          <w:sz w:val="26"/>
        </w:rPr>
        <w:t xml:space="preserve"> </w:t>
      </w:r>
      <w:r>
        <w:rPr>
          <w:sz w:val="26"/>
        </w:rPr>
        <w:t>Sabarimala</w:t>
      </w:r>
      <w:r>
        <w:rPr>
          <w:spacing w:val="-5"/>
          <w:sz w:val="26"/>
        </w:rPr>
        <w:t xml:space="preserve"> </w:t>
      </w:r>
      <w:r>
        <w:rPr>
          <w:sz w:val="26"/>
        </w:rPr>
        <w:t>Temple.</w:t>
      </w:r>
      <w:r>
        <w:rPr>
          <w:spacing w:val="-4"/>
          <w:sz w:val="26"/>
        </w:rPr>
        <w:t xml:space="preserve"> </w:t>
      </w:r>
      <w:r>
        <w:rPr>
          <w:sz w:val="26"/>
        </w:rPr>
        <w:t>It</w:t>
      </w:r>
      <w:r>
        <w:rPr>
          <w:spacing w:val="-2"/>
          <w:sz w:val="26"/>
        </w:rPr>
        <w:t xml:space="preserve"> </w:t>
      </w:r>
      <w:r>
        <w:rPr>
          <w:sz w:val="26"/>
        </w:rPr>
        <w:t>was</w:t>
      </w:r>
      <w:r>
        <w:rPr>
          <w:spacing w:val="-4"/>
          <w:sz w:val="26"/>
        </w:rPr>
        <w:t xml:space="preserve"> </w:t>
      </w:r>
      <w:r>
        <w:rPr>
          <w:sz w:val="26"/>
        </w:rPr>
        <w:t>urged</w:t>
      </w:r>
      <w:r>
        <w:rPr>
          <w:spacing w:val="-5"/>
          <w:sz w:val="26"/>
        </w:rPr>
        <w:t xml:space="preserve"> </w:t>
      </w:r>
      <w:r>
        <w:rPr>
          <w:sz w:val="26"/>
        </w:rPr>
        <w:t>that</w:t>
      </w:r>
      <w:r>
        <w:rPr>
          <w:spacing w:val="-5"/>
          <w:sz w:val="26"/>
        </w:rPr>
        <w:t xml:space="preserve"> </w:t>
      </w:r>
      <w:r>
        <w:rPr>
          <w:sz w:val="26"/>
        </w:rPr>
        <w:t>the</w:t>
      </w:r>
      <w:r>
        <w:rPr>
          <w:spacing w:val="-4"/>
          <w:sz w:val="26"/>
        </w:rPr>
        <w:t xml:space="preserve"> </w:t>
      </w:r>
      <w:r>
        <w:rPr>
          <w:sz w:val="26"/>
        </w:rPr>
        <w:t>right of the deity to follow his Dharma flows from Article 25(1) and Article 26 of the Constitution and any alteration in the practice followed would have an adverse effect on the fundamental rights of the</w:t>
      </w:r>
      <w:r>
        <w:rPr>
          <w:spacing w:val="-7"/>
          <w:sz w:val="26"/>
        </w:rPr>
        <w:t xml:space="preserve"> </w:t>
      </w:r>
      <w:r>
        <w:rPr>
          <w:sz w:val="26"/>
        </w:rPr>
        <w:t>deity.</w:t>
      </w:r>
    </w:p>
    <w:p w:rsidR="003B2FC0" w:rsidRDefault="003B2FC0">
      <w:pPr>
        <w:spacing w:line="480" w:lineRule="auto"/>
        <w:jc w:val="both"/>
        <w:rPr>
          <w:sz w:val="26"/>
        </w:rPr>
        <w:sectPr w:rsidR="003B2FC0">
          <w:headerReference w:type="default" r:id="rId39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5" w:firstLine="0"/>
        <w:jc w:val="both"/>
        <w:rPr>
          <w:sz w:val="26"/>
        </w:rPr>
      </w:pPr>
      <w:r>
        <w:rPr>
          <w:sz w:val="26"/>
        </w:rPr>
        <w:t xml:space="preserve">The law recognizes an idol or deity as a juristic persons which can own property and can sue and be sued in the Court of law. In </w:t>
      </w:r>
      <w:r>
        <w:rPr>
          <w:b/>
          <w:sz w:val="26"/>
        </w:rPr>
        <w:t xml:space="preserve">Pramatha </w:t>
      </w:r>
      <w:r>
        <w:rPr>
          <w:b/>
          <w:spacing w:val="-3"/>
          <w:sz w:val="26"/>
        </w:rPr>
        <w:t xml:space="preserve">Nath </w:t>
      </w:r>
      <w:r>
        <w:rPr>
          <w:b/>
          <w:sz w:val="26"/>
        </w:rPr>
        <w:t>Mullick</w:t>
      </w:r>
      <w:r>
        <w:rPr>
          <w:b/>
          <w:spacing w:val="-17"/>
          <w:sz w:val="26"/>
        </w:rPr>
        <w:t xml:space="preserve"> </w:t>
      </w:r>
      <w:r>
        <w:rPr>
          <w:sz w:val="26"/>
        </w:rPr>
        <w:t>v</w:t>
      </w:r>
      <w:r>
        <w:rPr>
          <w:spacing w:val="-19"/>
          <w:sz w:val="26"/>
        </w:rPr>
        <w:t xml:space="preserve"> </w:t>
      </w:r>
      <w:r>
        <w:rPr>
          <w:b/>
          <w:sz w:val="26"/>
        </w:rPr>
        <w:t>Pradyumna</w:t>
      </w:r>
      <w:r>
        <w:rPr>
          <w:b/>
          <w:spacing w:val="-16"/>
          <w:sz w:val="26"/>
        </w:rPr>
        <w:t xml:space="preserve"> </w:t>
      </w:r>
      <w:r>
        <w:rPr>
          <w:b/>
          <w:sz w:val="26"/>
        </w:rPr>
        <w:t>Kumar</w:t>
      </w:r>
      <w:r>
        <w:rPr>
          <w:b/>
          <w:spacing w:val="-16"/>
          <w:sz w:val="26"/>
        </w:rPr>
        <w:t xml:space="preserve"> </w:t>
      </w:r>
      <w:r>
        <w:rPr>
          <w:b/>
          <w:sz w:val="26"/>
        </w:rPr>
        <w:t>Mullick</w:t>
      </w:r>
      <w:r>
        <w:rPr>
          <w:position w:val="9"/>
          <w:sz w:val="17"/>
        </w:rPr>
        <w:t>149</w:t>
      </w:r>
      <w:r>
        <w:rPr>
          <w:sz w:val="26"/>
        </w:rPr>
        <w:t>,</w:t>
      </w:r>
      <w:r>
        <w:rPr>
          <w:spacing w:val="-16"/>
          <w:sz w:val="26"/>
        </w:rPr>
        <w:t xml:space="preserve"> </w:t>
      </w:r>
      <w:r>
        <w:rPr>
          <w:sz w:val="26"/>
        </w:rPr>
        <w:t>the</w:t>
      </w:r>
      <w:r>
        <w:rPr>
          <w:spacing w:val="-14"/>
          <w:sz w:val="26"/>
        </w:rPr>
        <w:t xml:space="preserve"> </w:t>
      </w:r>
      <w:r>
        <w:rPr>
          <w:sz w:val="26"/>
        </w:rPr>
        <w:t>Privy</w:t>
      </w:r>
      <w:r>
        <w:rPr>
          <w:spacing w:val="-17"/>
          <w:sz w:val="26"/>
        </w:rPr>
        <w:t xml:space="preserve"> </w:t>
      </w:r>
      <w:r>
        <w:rPr>
          <w:sz w:val="26"/>
        </w:rPr>
        <w:t>Council</w:t>
      </w:r>
      <w:r>
        <w:rPr>
          <w:spacing w:val="-16"/>
          <w:sz w:val="26"/>
        </w:rPr>
        <w:t xml:space="preserve"> </w:t>
      </w:r>
      <w:r>
        <w:rPr>
          <w:sz w:val="26"/>
        </w:rPr>
        <w:t>dealt</w:t>
      </w:r>
      <w:r>
        <w:rPr>
          <w:spacing w:val="-14"/>
          <w:sz w:val="26"/>
        </w:rPr>
        <w:t xml:space="preserve"> </w:t>
      </w:r>
      <w:r>
        <w:rPr>
          <w:sz w:val="26"/>
        </w:rPr>
        <w:t>with</w:t>
      </w:r>
      <w:r>
        <w:rPr>
          <w:spacing w:val="-16"/>
          <w:sz w:val="26"/>
        </w:rPr>
        <w:t xml:space="preserve"> </w:t>
      </w:r>
      <w:r>
        <w:rPr>
          <w:sz w:val="26"/>
        </w:rPr>
        <w:t>the</w:t>
      </w:r>
      <w:r>
        <w:rPr>
          <w:spacing w:val="-16"/>
          <w:sz w:val="26"/>
        </w:rPr>
        <w:t xml:space="preserve"> </w:t>
      </w:r>
      <w:r>
        <w:rPr>
          <w:sz w:val="26"/>
        </w:rPr>
        <w:t>nature of an idol and services due to the idol. Speaking for the Court, Lord Shaw held thus:</w:t>
      </w:r>
    </w:p>
    <w:p w:rsidR="003B2FC0" w:rsidRDefault="00052A49">
      <w:pPr>
        <w:spacing w:before="193" w:line="273" w:lineRule="auto"/>
        <w:ind w:left="1840" w:right="2259"/>
        <w:jc w:val="both"/>
        <w:rPr>
          <w:sz w:val="14"/>
        </w:rPr>
      </w:pPr>
      <w:r>
        <w:rPr>
          <w:sz w:val="21"/>
        </w:rPr>
        <w:t>“A Hindu idol is, according to long established authority, founded upon the religious customs of the Hindus, and the recognition thereof by Courts of law, a “juris</w:t>
      </w:r>
      <w:r>
        <w:rPr>
          <w:sz w:val="21"/>
        </w:rPr>
        <w:t>tic entity.” It has a juridical status with the power of suing and being sued.”</w:t>
      </w:r>
      <w:r>
        <w:rPr>
          <w:position w:val="7"/>
          <w:sz w:val="14"/>
        </w:rPr>
        <w:t>150</w:t>
      </w:r>
    </w:p>
    <w:p w:rsidR="003B2FC0" w:rsidRDefault="003B2FC0">
      <w:pPr>
        <w:rPr>
          <w:sz w:val="24"/>
        </w:rPr>
      </w:pPr>
    </w:p>
    <w:p w:rsidR="003B2FC0" w:rsidRDefault="003B2FC0">
      <w:pPr>
        <w:rPr>
          <w:sz w:val="24"/>
        </w:rPr>
      </w:pPr>
    </w:p>
    <w:p w:rsidR="003B2FC0" w:rsidRDefault="00052A49">
      <w:pPr>
        <w:spacing w:before="149" w:line="480" w:lineRule="auto"/>
        <w:ind w:left="400" w:right="460"/>
        <w:jc w:val="both"/>
        <w:rPr>
          <w:sz w:val="26"/>
        </w:rPr>
      </w:pPr>
      <w:r>
        <w:rPr>
          <w:sz w:val="26"/>
        </w:rPr>
        <w:t xml:space="preserve">In </w:t>
      </w:r>
      <w:r>
        <w:rPr>
          <w:b/>
          <w:sz w:val="26"/>
        </w:rPr>
        <w:t xml:space="preserve">Yogendra Nath Naskar </w:t>
      </w:r>
      <w:r>
        <w:rPr>
          <w:sz w:val="26"/>
        </w:rPr>
        <w:t xml:space="preserve">v </w:t>
      </w:r>
      <w:r>
        <w:rPr>
          <w:b/>
          <w:sz w:val="26"/>
        </w:rPr>
        <w:t>Commissioner of the Income-Tax, Calcutta</w:t>
      </w:r>
      <w:r>
        <w:rPr>
          <w:position w:val="9"/>
          <w:sz w:val="17"/>
        </w:rPr>
        <w:t>151</w:t>
      </w:r>
      <w:r>
        <w:rPr>
          <w:sz w:val="26"/>
        </w:rPr>
        <w:t>, this Court held thus:</w:t>
      </w:r>
    </w:p>
    <w:p w:rsidR="003B2FC0" w:rsidRDefault="00052A49">
      <w:pPr>
        <w:spacing w:before="199" w:line="276" w:lineRule="auto"/>
        <w:ind w:left="1840" w:right="2259"/>
        <w:jc w:val="both"/>
        <w:rPr>
          <w:sz w:val="14"/>
        </w:rPr>
      </w:pPr>
      <w:r>
        <w:rPr>
          <w:sz w:val="21"/>
        </w:rPr>
        <w:t>“6.But so far as the deity stands as the representative and symbol of the part</w:t>
      </w:r>
      <w:r>
        <w:rPr>
          <w:sz w:val="21"/>
        </w:rPr>
        <w:t>icular purpose which is indicated by the donor,</w:t>
      </w:r>
      <w:r>
        <w:rPr>
          <w:spacing w:val="-12"/>
          <w:sz w:val="21"/>
        </w:rPr>
        <w:t xml:space="preserve"> </w:t>
      </w:r>
      <w:r>
        <w:rPr>
          <w:sz w:val="21"/>
        </w:rPr>
        <w:t>it</w:t>
      </w:r>
      <w:r>
        <w:rPr>
          <w:spacing w:val="-11"/>
          <w:sz w:val="21"/>
        </w:rPr>
        <w:t xml:space="preserve"> </w:t>
      </w:r>
      <w:r>
        <w:rPr>
          <w:sz w:val="21"/>
        </w:rPr>
        <w:t>can</w:t>
      </w:r>
      <w:r>
        <w:rPr>
          <w:spacing w:val="-9"/>
          <w:sz w:val="21"/>
        </w:rPr>
        <w:t xml:space="preserve"> </w:t>
      </w:r>
      <w:r>
        <w:rPr>
          <w:sz w:val="21"/>
        </w:rPr>
        <w:t>figure</w:t>
      </w:r>
      <w:r>
        <w:rPr>
          <w:spacing w:val="-10"/>
          <w:sz w:val="21"/>
        </w:rPr>
        <w:t xml:space="preserve"> </w:t>
      </w:r>
      <w:r>
        <w:rPr>
          <w:sz w:val="21"/>
        </w:rPr>
        <w:t>as</w:t>
      </w:r>
      <w:r>
        <w:rPr>
          <w:spacing w:val="-10"/>
          <w:sz w:val="21"/>
        </w:rPr>
        <w:t xml:space="preserve"> </w:t>
      </w:r>
      <w:r>
        <w:rPr>
          <w:sz w:val="21"/>
        </w:rPr>
        <w:t>a</w:t>
      </w:r>
      <w:r>
        <w:rPr>
          <w:spacing w:val="-10"/>
          <w:sz w:val="21"/>
        </w:rPr>
        <w:t xml:space="preserve"> </w:t>
      </w:r>
      <w:r>
        <w:rPr>
          <w:sz w:val="21"/>
        </w:rPr>
        <w:t>legal</w:t>
      </w:r>
      <w:r>
        <w:rPr>
          <w:spacing w:val="-8"/>
          <w:sz w:val="21"/>
        </w:rPr>
        <w:t xml:space="preserve"> </w:t>
      </w:r>
      <w:r>
        <w:rPr>
          <w:sz w:val="21"/>
        </w:rPr>
        <w:t>person.</w:t>
      </w:r>
      <w:r>
        <w:rPr>
          <w:spacing w:val="-11"/>
          <w:sz w:val="21"/>
        </w:rPr>
        <w:t xml:space="preserve"> </w:t>
      </w:r>
      <w:r>
        <w:rPr>
          <w:sz w:val="21"/>
        </w:rPr>
        <w:t>The</w:t>
      </w:r>
      <w:r>
        <w:rPr>
          <w:spacing w:val="-10"/>
          <w:sz w:val="21"/>
        </w:rPr>
        <w:t xml:space="preserve"> </w:t>
      </w:r>
      <w:r>
        <w:rPr>
          <w:sz w:val="21"/>
        </w:rPr>
        <w:t>true</w:t>
      </w:r>
      <w:r>
        <w:rPr>
          <w:spacing w:val="-9"/>
          <w:sz w:val="21"/>
        </w:rPr>
        <w:t xml:space="preserve"> </w:t>
      </w:r>
      <w:r>
        <w:rPr>
          <w:sz w:val="21"/>
        </w:rPr>
        <w:t>legal</w:t>
      </w:r>
      <w:r>
        <w:rPr>
          <w:spacing w:val="-9"/>
          <w:sz w:val="21"/>
        </w:rPr>
        <w:t xml:space="preserve"> </w:t>
      </w:r>
      <w:r>
        <w:rPr>
          <w:sz w:val="21"/>
        </w:rPr>
        <w:t>view</w:t>
      </w:r>
      <w:r>
        <w:rPr>
          <w:spacing w:val="-12"/>
          <w:sz w:val="21"/>
        </w:rPr>
        <w:t xml:space="preserve"> </w:t>
      </w:r>
      <w:r>
        <w:rPr>
          <w:sz w:val="21"/>
        </w:rPr>
        <w:t>is</w:t>
      </w:r>
      <w:r>
        <w:rPr>
          <w:spacing w:val="-10"/>
          <w:sz w:val="21"/>
        </w:rPr>
        <w:t xml:space="preserve"> </w:t>
      </w:r>
      <w:r>
        <w:rPr>
          <w:sz w:val="21"/>
        </w:rPr>
        <w:t>that in that capacity alone the dedicated property vests in it. There is</w:t>
      </w:r>
      <w:r>
        <w:rPr>
          <w:spacing w:val="-8"/>
          <w:sz w:val="21"/>
        </w:rPr>
        <w:t xml:space="preserve"> </w:t>
      </w:r>
      <w:r>
        <w:rPr>
          <w:sz w:val="21"/>
        </w:rPr>
        <w:t>no</w:t>
      </w:r>
      <w:r>
        <w:rPr>
          <w:spacing w:val="-7"/>
          <w:sz w:val="21"/>
        </w:rPr>
        <w:t xml:space="preserve"> </w:t>
      </w:r>
      <w:r>
        <w:rPr>
          <w:sz w:val="21"/>
        </w:rPr>
        <w:t>principle</w:t>
      </w:r>
      <w:r>
        <w:rPr>
          <w:spacing w:val="-8"/>
          <w:sz w:val="21"/>
        </w:rPr>
        <w:t xml:space="preserve"> </w:t>
      </w:r>
      <w:r>
        <w:rPr>
          <w:sz w:val="21"/>
        </w:rPr>
        <w:t>why</w:t>
      </w:r>
      <w:r>
        <w:rPr>
          <w:spacing w:val="-10"/>
          <w:sz w:val="21"/>
        </w:rPr>
        <w:t xml:space="preserve"> </w:t>
      </w:r>
      <w:r>
        <w:rPr>
          <w:sz w:val="21"/>
        </w:rPr>
        <w:t>a</w:t>
      </w:r>
      <w:r>
        <w:rPr>
          <w:spacing w:val="-8"/>
          <w:sz w:val="21"/>
        </w:rPr>
        <w:t xml:space="preserve"> </w:t>
      </w:r>
      <w:r>
        <w:rPr>
          <w:sz w:val="21"/>
        </w:rPr>
        <w:t>deity</w:t>
      </w:r>
      <w:r>
        <w:rPr>
          <w:spacing w:val="-5"/>
          <w:sz w:val="21"/>
        </w:rPr>
        <w:t xml:space="preserve"> </w:t>
      </w:r>
      <w:r>
        <w:rPr>
          <w:sz w:val="21"/>
        </w:rPr>
        <w:t>as</w:t>
      </w:r>
      <w:r>
        <w:rPr>
          <w:spacing w:val="-8"/>
          <w:sz w:val="21"/>
        </w:rPr>
        <w:t xml:space="preserve"> </w:t>
      </w:r>
      <w:r>
        <w:rPr>
          <w:sz w:val="21"/>
        </w:rPr>
        <w:t>such</w:t>
      </w:r>
      <w:r>
        <w:rPr>
          <w:spacing w:val="-7"/>
          <w:sz w:val="21"/>
        </w:rPr>
        <w:t xml:space="preserve"> </w:t>
      </w:r>
      <w:r>
        <w:rPr>
          <w:sz w:val="21"/>
        </w:rPr>
        <w:t>a</w:t>
      </w:r>
      <w:r>
        <w:rPr>
          <w:spacing w:val="-8"/>
          <w:sz w:val="21"/>
        </w:rPr>
        <w:t xml:space="preserve"> </w:t>
      </w:r>
      <w:r>
        <w:rPr>
          <w:sz w:val="21"/>
        </w:rPr>
        <w:t>legal</w:t>
      </w:r>
      <w:r>
        <w:rPr>
          <w:spacing w:val="-7"/>
          <w:sz w:val="21"/>
        </w:rPr>
        <w:t xml:space="preserve"> </w:t>
      </w:r>
      <w:r>
        <w:rPr>
          <w:sz w:val="21"/>
        </w:rPr>
        <w:t>person</w:t>
      </w:r>
      <w:r>
        <w:rPr>
          <w:spacing w:val="-8"/>
          <w:sz w:val="21"/>
        </w:rPr>
        <w:t xml:space="preserve"> </w:t>
      </w:r>
      <w:r>
        <w:rPr>
          <w:sz w:val="21"/>
        </w:rPr>
        <w:t>should</w:t>
      </w:r>
      <w:r>
        <w:rPr>
          <w:spacing w:val="-7"/>
          <w:sz w:val="21"/>
        </w:rPr>
        <w:t xml:space="preserve"> </w:t>
      </w:r>
      <w:r>
        <w:rPr>
          <w:sz w:val="21"/>
        </w:rPr>
        <w:t>not</w:t>
      </w:r>
      <w:r>
        <w:rPr>
          <w:spacing w:val="-9"/>
          <w:sz w:val="21"/>
        </w:rPr>
        <w:t xml:space="preserve"> </w:t>
      </w:r>
      <w:r>
        <w:rPr>
          <w:sz w:val="21"/>
        </w:rPr>
        <w:t>be taxed if such a legal person is allowed in law to own property even though in the ideal sense and to sue for the property, to realize rent and to defend such property…in the ideal sense.”</w:t>
      </w:r>
      <w:r>
        <w:rPr>
          <w:position w:val="7"/>
          <w:sz w:val="14"/>
        </w:rPr>
        <w:t>152</w:t>
      </w: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10"/>
        <w:rPr>
          <w:sz w:val="31"/>
        </w:rPr>
      </w:pPr>
    </w:p>
    <w:p w:rsidR="003B2FC0" w:rsidRDefault="00052A49">
      <w:pPr>
        <w:spacing w:line="480" w:lineRule="auto"/>
        <w:ind w:left="400" w:right="440"/>
        <w:jc w:val="both"/>
        <w:rPr>
          <w:sz w:val="26"/>
        </w:rPr>
      </w:pPr>
      <w:r>
        <w:rPr>
          <w:sz w:val="26"/>
        </w:rPr>
        <w:t>B K Mukherjea in his seminal work ‘The Hindu Law of Religi</w:t>
      </w:r>
      <w:r>
        <w:rPr>
          <w:sz w:val="26"/>
        </w:rPr>
        <w:t>ous and Charitable Trusts’ writes thus:</w:t>
      </w:r>
    </w:p>
    <w:p w:rsidR="003B2FC0" w:rsidRDefault="00052A49">
      <w:pPr>
        <w:spacing w:before="200" w:line="276" w:lineRule="auto"/>
        <w:ind w:left="1840" w:right="2257"/>
        <w:jc w:val="both"/>
        <w:rPr>
          <w:sz w:val="21"/>
        </w:rPr>
      </w:pPr>
      <w:r>
        <w:rPr>
          <w:sz w:val="21"/>
        </w:rPr>
        <w:t xml:space="preserve">“An idol is certainly a juristic person and as the Judicial Committee observed in </w:t>
      </w:r>
      <w:r>
        <w:rPr>
          <w:i/>
          <w:sz w:val="21"/>
        </w:rPr>
        <w:t>Promotha v Prayumna</w:t>
      </w:r>
      <w:r>
        <w:rPr>
          <w:sz w:val="21"/>
        </w:rPr>
        <w:t>, “it has a juridical</w:t>
      </w:r>
      <w:r>
        <w:rPr>
          <w:spacing w:val="-8"/>
          <w:sz w:val="21"/>
        </w:rPr>
        <w:t xml:space="preserve"> </w:t>
      </w:r>
      <w:r>
        <w:rPr>
          <w:sz w:val="21"/>
        </w:rPr>
        <w:t>status</w:t>
      </w:r>
      <w:r>
        <w:rPr>
          <w:spacing w:val="-9"/>
          <w:sz w:val="21"/>
        </w:rPr>
        <w:t xml:space="preserve"> </w:t>
      </w:r>
      <w:r>
        <w:rPr>
          <w:sz w:val="21"/>
        </w:rPr>
        <w:t>with</w:t>
      </w:r>
      <w:r>
        <w:rPr>
          <w:spacing w:val="-8"/>
          <w:sz w:val="21"/>
        </w:rPr>
        <w:t xml:space="preserve"> </w:t>
      </w:r>
      <w:r>
        <w:rPr>
          <w:sz w:val="21"/>
        </w:rPr>
        <w:t>the</w:t>
      </w:r>
      <w:r>
        <w:rPr>
          <w:spacing w:val="-9"/>
          <w:sz w:val="21"/>
        </w:rPr>
        <w:t xml:space="preserve"> </w:t>
      </w:r>
      <w:r>
        <w:rPr>
          <w:sz w:val="21"/>
        </w:rPr>
        <w:t>power</w:t>
      </w:r>
      <w:r>
        <w:rPr>
          <w:spacing w:val="-9"/>
          <w:sz w:val="21"/>
        </w:rPr>
        <w:t xml:space="preserve"> </w:t>
      </w:r>
      <w:r>
        <w:rPr>
          <w:sz w:val="21"/>
        </w:rPr>
        <w:t>of</w:t>
      </w:r>
      <w:r>
        <w:rPr>
          <w:spacing w:val="-8"/>
          <w:sz w:val="21"/>
        </w:rPr>
        <w:t xml:space="preserve"> </w:t>
      </w:r>
      <w:r>
        <w:rPr>
          <w:sz w:val="21"/>
        </w:rPr>
        <w:t>suing</w:t>
      </w:r>
      <w:r>
        <w:rPr>
          <w:spacing w:val="-8"/>
          <w:sz w:val="21"/>
        </w:rPr>
        <w:t xml:space="preserve"> </w:t>
      </w:r>
      <w:r>
        <w:rPr>
          <w:sz w:val="21"/>
        </w:rPr>
        <w:t>and</w:t>
      </w:r>
      <w:r>
        <w:rPr>
          <w:spacing w:val="-9"/>
          <w:sz w:val="21"/>
        </w:rPr>
        <w:t xml:space="preserve"> </w:t>
      </w:r>
      <w:r>
        <w:rPr>
          <w:sz w:val="21"/>
        </w:rPr>
        <w:t>being</w:t>
      </w:r>
      <w:r>
        <w:rPr>
          <w:spacing w:val="-8"/>
          <w:sz w:val="21"/>
        </w:rPr>
        <w:t xml:space="preserve"> </w:t>
      </w:r>
      <w:r>
        <w:rPr>
          <w:sz w:val="21"/>
        </w:rPr>
        <w:t>sued.”</w:t>
      </w:r>
      <w:r>
        <w:rPr>
          <w:spacing w:val="-10"/>
          <w:sz w:val="21"/>
        </w:rPr>
        <w:t xml:space="preserve"> </w:t>
      </w:r>
      <w:r>
        <w:rPr>
          <w:sz w:val="21"/>
        </w:rPr>
        <w:t>An</w:t>
      </w:r>
      <w:r>
        <w:rPr>
          <w:spacing w:val="-8"/>
          <w:sz w:val="21"/>
        </w:rPr>
        <w:t xml:space="preserve"> </w:t>
      </w:r>
      <w:r>
        <w:rPr>
          <w:sz w:val="21"/>
        </w:rPr>
        <w:t>idol can hold property and obviously it ca</w:t>
      </w:r>
      <w:r>
        <w:rPr>
          <w:sz w:val="21"/>
        </w:rPr>
        <w:t>n sue and be sued</w:t>
      </w:r>
      <w:r>
        <w:rPr>
          <w:spacing w:val="3"/>
          <w:sz w:val="21"/>
        </w:rPr>
        <w:t xml:space="preserve"> </w:t>
      </w:r>
      <w:r>
        <w:rPr>
          <w:sz w:val="21"/>
        </w:rPr>
        <w:t>in</w:t>
      </w:r>
    </w:p>
    <w:p w:rsidR="003B2FC0" w:rsidRDefault="003B2FC0">
      <w:pPr>
        <w:rPr>
          <w:sz w:val="20"/>
        </w:rPr>
      </w:pPr>
    </w:p>
    <w:p w:rsidR="003B2FC0" w:rsidRDefault="003B2FC0">
      <w:pPr>
        <w:spacing w:before="8"/>
        <w:rPr>
          <w:sz w:val="12"/>
        </w:rPr>
      </w:pPr>
      <w:r w:rsidRPr="003B2FC0">
        <w:pict>
          <v:line id="_x0000_s1070" style="position:absolute;z-index:251645440;mso-wrap-distance-left:0;mso-wrap-distance-right:0;mso-position-horizontal-relative:page" from="1in,9.7pt" to="216.05pt,9.7pt" strokeweight=".72pt">
            <w10:wrap type="topAndBottom" anchorx="page"/>
          </v:line>
        </w:pict>
      </w:r>
    </w:p>
    <w:p w:rsidR="003B2FC0" w:rsidRDefault="00052A49">
      <w:pPr>
        <w:spacing w:before="67" w:line="209" w:lineRule="exact"/>
        <w:ind w:left="400"/>
        <w:rPr>
          <w:sz w:val="18"/>
        </w:rPr>
      </w:pPr>
      <w:r>
        <w:rPr>
          <w:position w:val="6"/>
          <w:sz w:val="12"/>
        </w:rPr>
        <w:t xml:space="preserve">149 </w:t>
      </w:r>
      <w:r>
        <w:rPr>
          <w:sz w:val="18"/>
        </w:rPr>
        <w:t>(1925) 27 Bom LR 1064</w:t>
      </w:r>
    </w:p>
    <w:p w:rsidR="003B2FC0" w:rsidRDefault="00052A49">
      <w:pPr>
        <w:spacing w:line="206" w:lineRule="exact"/>
        <w:ind w:left="400"/>
        <w:rPr>
          <w:sz w:val="18"/>
        </w:rPr>
      </w:pPr>
      <w:r>
        <w:rPr>
          <w:position w:val="6"/>
          <w:sz w:val="12"/>
        </w:rPr>
        <w:t xml:space="preserve">150 </w:t>
      </w:r>
      <w:r>
        <w:rPr>
          <w:sz w:val="18"/>
        </w:rPr>
        <w:t>Ibid, at page 250</w:t>
      </w:r>
    </w:p>
    <w:p w:rsidR="003B2FC0" w:rsidRDefault="00052A49">
      <w:pPr>
        <w:spacing w:line="208" w:lineRule="exact"/>
        <w:ind w:left="400"/>
        <w:rPr>
          <w:sz w:val="18"/>
        </w:rPr>
      </w:pPr>
      <w:r>
        <w:rPr>
          <w:position w:val="6"/>
          <w:sz w:val="12"/>
        </w:rPr>
        <w:t xml:space="preserve">151 </w:t>
      </w:r>
      <w:r>
        <w:rPr>
          <w:sz w:val="18"/>
        </w:rPr>
        <w:t>(1969) 1 SCC 555</w:t>
      </w:r>
    </w:p>
    <w:p w:rsidR="003B2FC0" w:rsidRDefault="00052A49">
      <w:pPr>
        <w:spacing w:line="210" w:lineRule="exact"/>
        <w:ind w:left="400"/>
        <w:rPr>
          <w:sz w:val="18"/>
        </w:rPr>
      </w:pPr>
      <w:r>
        <w:rPr>
          <w:position w:val="6"/>
          <w:sz w:val="12"/>
        </w:rPr>
        <w:t xml:space="preserve">152 </w:t>
      </w:r>
      <w:r>
        <w:rPr>
          <w:sz w:val="18"/>
        </w:rPr>
        <w:t>Ibid, at page 560</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6"/>
        <w:rPr>
          <w:sz w:val="21"/>
        </w:rPr>
      </w:pPr>
    </w:p>
    <w:p w:rsidR="003B2FC0" w:rsidRDefault="00052A49">
      <w:pPr>
        <w:spacing w:before="94" w:line="273" w:lineRule="auto"/>
        <w:ind w:left="1840" w:right="2261"/>
        <w:jc w:val="both"/>
        <w:rPr>
          <w:sz w:val="14"/>
        </w:rPr>
      </w:pPr>
      <w:r>
        <w:rPr>
          <w:sz w:val="21"/>
        </w:rPr>
        <w:t>respect of it…[Thus] the deity as a juristic person has undoubtedly the right to institute a suit for the protection of its interest.”</w:t>
      </w:r>
      <w:r>
        <w:rPr>
          <w:position w:val="7"/>
          <w:sz w:val="14"/>
        </w:rPr>
        <w:t>153</w:t>
      </w:r>
    </w:p>
    <w:p w:rsidR="003B2FC0" w:rsidRDefault="003B2FC0">
      <w:pPr>
        <w:rPr>
          <w:sz w:val="24"/>
        </w:rPr>
      </w:pPr>
    </w:p>
    <w:p w:rsidR="003B2FC0" w:rsidRDefault="003B2FC0">
      <w:pPr>
        <w:rPr>
          <w:sz w:val="24"/>
        </w:rPr>
      </w:pPr>
    </w:p>
    <w:p w:rsidR="003B2FC0" w:rsidRDefault="00052A49">
      <w:pPr>
        <w:pStyle w:val="ListParagraph"/>
        <w:numPr>
          <w:ilvl w:val="0"/>
          <w:numId w:val="39"/>
        </w:numPr>
        <w:tabs>
          <w:tab w:val="left" w:pos="1121"/>
        </w:tabs>
        <w:spacing w:before="150" w:line="480" w:lineRule="auto"/>
        <w:ind w:right="436" w:firstLine="0"/>
        <w:jc w:val="both"/>
        <w:rPr>
          <w:sz w:val="26"/>
        </w:rPr>
      </w:pPr>
      <w:r>
        <w:rPr>
          <w:sz w:val="26"/>
        </w:rPr>
        <w:t>The word ‘persons’ in certain statutes have been interpreted to include idols. However, to claim that a deity is the</w:t>
      </w:r>
      <w:r>
        <w:rPr>
          <w:sz w:val="26"/>
        </w:rPr>
        <w:t xml:space="preserve"> bearer of constitutional rights is a distinct</w:t>
      </w:r>
      <w:r>
        <w:rPr>
          <w:spacing w:val="-10"/>
          <w:sz w:val="26"/>
        </w:rPr>
        <w:t xml:space="preserve"> </w:t>
      </w:r>
      <w:r>
        <w:rPr>
          <w:sz w:val="26"/>
        </w:rPr>
        <w:t>issue,</w:t>
      </w:r>
      <w:r>
        <w:rPr>
          <w:spacing w:val="-7"/>
          <w:sz w:val="26"/>
        </w:rPr>
        <w:t xml:space="preserve"> </w:t>
      </w:r>
      <w:r>
        <w:rPr>
          <w:sz w:val="26"/>
        </w:rPr>
        <w:t>and</w:t>
      </w:r>
      <w:r>
        <w:rPr>
          <w:spacing w:val="-7"/>
          <w:sz w:val="26"/>
        </w:rPr>
        <w:t xml:space="preserve"> </w:t>
      </w:r>
      <w:r>
        <w:rPr>
          <w:sz w:val="26"/>
        </w:rPr>
        <w:t>does</w:t>
      </w:r>
      <w:r>
        <w:rPr>
          <w:spacing w:val="-10"/>
          <w:sz w:val="26"/>
        </w:rPr>
        <w:t xml:space="preserve"> </w:t>
      </w:r>
      <w:r>
        <w:rPr>
          <w:sz w:val="26"/>
        </w:rPr>
        <w:t>not</w:t>
      </w:r>
      <w:r>
        <w:rPr>
          <w:spacing w:val="-7"/>
          <w:sz w:val="26"/>
        </w:rPr>
        <w:t xml:space="preserve"> </w:t>
      </w:r>
      <w:r>
        <w:rPr>
          <w:sz w:val="26"/>
        </w:rPr>
        <w:t>flow</w:t>
      </w:r>
      <w:r>
        <w:rPr>
          <w:spacing w:val="-10"/>
          <w:sz w:val="26"/>
        </w:rPr>
        <w:t xml:space="preserve"> </w:t>
      </w:r>
      <w:r>
        <w:rPr>
          <w:sz w:val="26"/>
        </w:rPr>
        <w:t>as</w:t>
      </w:r>
      <w:r>
        <w:rPr>
          <w:spacing w:val="-10"/>
          <w:sz w:val="26"/>
        </w:rPr>
        <w:t xml:space="preserve"> </w:t>
      </w:r>
      <w:r>
        <w:rPr>
          <w:sz w:val="26"/>
        </w:rPr>
        <w:t>a</w:t>
      </w:r>
      <w:r>
        <w:rPr>
          <w:spacing w:val="-7"/>
          <w:sz w:val="26"/>
        </w:rPr>
        <w:t xml:space="preserve"> </w:t>
      </w:r>
      <w:r>
        <w:rPr>
          <w:sz w:val="26"/>
        </w:rPr>
        <w:t>necessary</w:t>
      </w:r>
      <w:r>
        <w:rPr>
          <w:spacing w:val="-12"/>
          <w:sz w:val="26"/>
        </w:rPr>
        <w:t xml:space="preserve"> </w:t>
      </w:r>
      <w:r>
        <w:rPr>
          <w:sz w:val="26"/>
        </w:rPr>
        <w:t>consequence</w:t>
      </w:r>
      <w:r>
        <w:rPr>
          <w:spacing w:val="-10"/>
          <w:sz w:val="26"/>
        </w:rPr>
        <w:t xml:space="preserve"> </w:t>
      </w:r>
      <w:r>
        <w:rPr>
          <w:sz w:val="26"/>
        </w:rPr>
        <w:t>from</w:t>
      </w:r>
      <w:r>
        <w:rPr>
          <w:spacing w:val="-9"/>
          <w:sz w:val="26"/>
        </w:rPr>
        <w:t xml:space="preserve"> </w:t>
      </w:r>
      <w:r>
        <w:rPr>
          <w:sz w:val="26"/>
        </w:rPr>
        <w:t>the</w:t>
      </w:r>
      <w:r>
        <w:rPr>
          <w:spacing w:val="-8"/>
          <w:sz w:val="26"/>
        </w:rPr>
        <w:t xml:space="preserve"> </w:t>
      </w:r>
      <w:r>
        <w:rPr>
          <w:sz w:val="26"/>
        </w:rPr>
        <w:t>position of</w:t>
      </w:r>
      <w:r>
        <w:rPr>
          <w:spacing w:val="-12"/>
          <w:sz w:val="26"/>
        </w:rPr>
        <w:t xml:space="preserve"> </w:t>
      </w:r>
      <w:r>
        <w:rPr>
          <w:sz w:val="26"/>
        </w:rPr>
        <w:t>the</w:t>
      </w:r>
      <w:r>
        <w:rPr>
          <w:spacing w:val="-12"/>
          <w:sz w:val="26"/>
        </w:rPr>
        <w:t xml:space="preserve"> </w:t>
      </w:r>
      <w:r>
        <w:rPr>
          <w:sz w:val="26"/>
        </w:rPr>
        <w:t>deity</w:t>
      </w:r>
      <w:r>
        <w:rPr>
          <w:spacing w:val="-11"/>
          <w:sz w:val="26"/>
        </w:rPr>
        <w:t xml:space="preserve"> </w:t>
      </w:r>
      <w:r>
        <w:rPr>
          <w:sz w:val="26"/>
        </w:rPr>
        <w:t>as</w:t>
      </w:r>
      <w:r>
        <w:rPr>
          <w:spacing w:val="-11"/>
          <w:sz w:val="26"/>
        </w:rPr>
        <w:t xml:space="preserve"> </w:t>
      </w:r>
      <w:r>
        <w:rPr>
          <w:sz w:val="26"/>
        </w:rPr>
        <w:t>a</w:t>
      </w:r>
      <w:r>
        <w:rPr>
          <w:spacing w:val="-12"/>
          <w:sz w:val="26"/>
        </w:rPr>
        <w:t xml:space="preserve"> </w:t>
      </w:r>
      <w:r>
        <w:rPr>
          <w:sz w:val="26"/>
        </w:rPr>
        <w:t>juristic</w:t>
      </w:r>
      <w:r>
        <w:rPr>
          <w:spacing w:val="-11"/>
          <w:sz w:val="26"/>
        </w:rPr>
        <w:t xml:space="preserve"> </w:t>
      </w:r>
      <w:r>
        <w:rPr>
          <w:sz w:val="26"/>
        </w:rPr>
        <w:t>person</w:t>
      </w:r>
      <w:r>
        <w:rPr>
          <w:spacing w:val="-12"/>
          <w:sz w:val="26"/>
        </w:rPr>
        <w:t xml:space="preserve"> </w:t>
      </w:r>
      <w:r>
        <w:rPr>
          <w:sz w:val="26"/>
        </w:rPr>
        <w:t>for</w:t>
      </w:r>
      <w:r>
        <w:rPr>
          <w:spacing w:val="-10"/>
          <w:sz w:val="26"/>
        </w:rPr>
        <w:t xml:space="preserve"> </w:t>
      </w:r>
      <w:r>
        <w:rPr>
          <w:sz w:val="26"/>
        </w:rPr>
        <w:t>certain</w:t>
      </w:r>
      <w:r>
        <w:rPr>
          <w:spacing w:val="-9"/>
          <w:sz w:val="26"/>
        </w:rPr>
        <w:t xml:space="preserve"> </w:t>
      </w:r>
      <w:r>
        <w:rPr>
          <w:sz w:val="26"/>
        </w:rPr>
        <w:t>purposes.</w:t>
      </w:r>
      <w:r>
        <w:rPr>
          <w:spacing w:val="-9"/>
          <w:sz w:val="26"/>
        </w:rPr>
        <w:t xml:space="preserve"> </w:t>
      </w:r>
      <w:r>
        <w:rPr>
          <w:sz w:val="26"/>
        </w:rPr>
        <w:t>Merely</w:t>
      </w:r>
      <w:r>
        <w:rPr>
          <w:spacing w:val="-14"/>
          <w:sz w:val="26"/>
        </w:rPr>
        <w:t xml:space="preserve"> </w:t>
      </w:r>
      <w:r>
        <w:rPr>
          <w:sz w:val="26"/>
        </w:rPr>
        <w:t>because</w:t>
      </w:r>
      <w:r>
        <w:rPr>
          <w:spacing w:val="-11"/>
          <w:sz w:val="26"/>
        </w:rPr>
        <w:t xml:space="preserve"> </w:t>
      </w:r>
      <w:r>
        <w:rPr>
          <w:sz w:val="26"/>
        </w:rPr>
        <w:t>a</w:t>
      </w:r>
      <w:r>
        <w:rPr>
          <w:spacing w:val="-12"/>
          <w:sz w:val="26"/>
        </w:rPr>
        <w:t xml:space="preserve"> </w:t>
      </w:r>
      <w:r>
        <w:rPr>
          <w:sz w:val="26"/>
        </w:rPr>
        <w:t>deity</w:t>
      </w:r>
      <w:r>
        <w:rPr>
          <w:spacing w:val="-14"/>
          <w:sz w:val="26"/>
        </w:rPr>
        <w:t xml:space="preserve"> </w:t>
      </w:r>
      <w:r>
        <w:rPr>
          <w:sz w:val="26"/>
        </w:rPr>
        <w:t>has been granted limited rights as juristic persons under st</w:t>
      </w:r>
      <w:r>
        <w:rPr>
          <w:sz w:val="26"/>
        </w:rPr>
        <w:t>atutory law does not mean that the deity necessarily has constitutional</w:t>
      </w:r>
      <w:r>
        <w:rPr>
          <w:spacing w:val="-5"/>
          <w:sz w:val="26"/>
        </w:rPr>
        <w:t xml:space="preserve"> </w:t>
      </w:r>
      <w:r>
        <w:rPr>
          <w:sz w:val="26"/>
        </w:rPr>
        <w:t>rights.</w:t>
      </w:r>
    </w:p>
    <w:p w:rsidR="003B2FC0" w:rsidRDefault="003B2FC0">
      <w:pPr>
        <w:rPr>
          <w:sz w:val="28"/>
        </w:rPr>
      </w:pPr>
    </w:p>
    <w:p w:rsidR="003B2FC0" w:rsidRDefault="003B2FC0">
      <w:pPr>
        <w:spacing w:before="9"/>
        <w:rPr>
          <w:sz w:val="32"/>
        </w:rPr>
      </w:pPr>
    </w:p>
    <w:p w:rsidR="003B2FC0" w:rsidRDefault="00052A49">
      <w:pPr>
        <w:spacing w:before="1" w:line="482" w:lineRule="auto"/>
        <w:ind w:left="400" w:right="435"/>
        <w:jc w:val="both"/>
        <w:rPr>
          <w:sz w:val="26"/>
        </w:rPr>
      </w:pPr>
      <w:r>
        <w:rPr>
          <w:sz w:val="26"/>
        </w:rPr>
        <w:t xml:space="preserve">In </w:t>
      </w:r>
      <w:r>
        <w:rPr>
          <w:b/>
          <w:sz w:val="26"/>
        </w:rPr>
        <w:t>Shirur Mutt</w:t>
      </w:r>
      <w:r>
        <w:rPr>
          <w:sz w:val="26"/>
        </w:rPr>
        <w:t>, Justice B K Mukherjea writing for the Court, made</w:t>
      </w:r>
      <w:r>
        <w:rPr>
          <w:spacing w:val="-49"/>
          <w:sz w:val="26"/>
        </w:rPr>
        <w:t xml:space="preserve"> </w:t>
      </w:r>
      <w:r>
        <w:rPr>
          <w:sz w:val="26"/>
        </w:rPr>
        <w:t>observations on the bearer of the rights under Article 25 of the</w:t>
      </w:r>
      <w:r>
        <w:rPr>
          <w:spacing w:val="-6"/>
          <w:sz w:val="26"/>
        </w:rPr>
        <w:t xml:space="preserve"> </w:t>
      </w:r>
      <w:r>
        <w:rPr>
          <w:sz w:val="26"/>
        </w:rPr>
        <w:t>Constitution:</w:t>
      </w:r>
    </w:p>
    <w:p w:rsidR="003B2FC0" w:rsidRDefault="00052A49">
      <w:pPr>
        <w:spacing w:before="194" w:line="276" w:lineRule="auto"/>
        <w:ind w:left="1840" w:right="2279"/>
        <w:jc w:val="both"/>
        <w:rPr>
          <w:sz w:val="21"/>
        </w:rPr>
      </w:pPr>
      <w:r>
        <w:rPr>
          <w:sz w:val="21"/>
        </w:rPr>
        <w:t xml:space="preserve">“14.We now come to Article 25 which, as its language indicates, secures to every person, subject to public order, health and morality, a freedom not only to entertain such religious belief, as may be approved of by his judgment and conscience, but also to </w:t>
      </w:r>
      <w:r>
        <w:rPr>
          <w:sz w:val="21"/>
        </w:rPr>
        <w:t>exhibit his belief in such outward acts as he thinks proper and to propagate or disseminate his ideas for the edification of others. A question is raised as to whether the word “persons” here means individuals only or includes corporate bodies as well….</w:t>
      </w:r>
      <w:r>
        <w:rPr>
          <w:b/>
          <w:sz w:val="21"/>
        </w:rPr>
        <w:t>Ins</w:t>
      </w:r>
      <w:r>
        <w:rPr>
          <w:b/>
          <w:sz w:val="21"/>
        </w:rPr>
        <w:t>titutions, as such cannot practise or propagate religion; it can be done only by individual persons and whether these persons propagate their personal views or the tenets for which the</w:t>
      </w:r>
      <w:r>
        <w:rPr>
          <w:b/>
          <w:spacing w:val="-32"/>
          <w:sz w:val="21"/>
        </w:rPr>
        <w:t xml:space="preserve"> </w:t>
      </w:r>
      <w:r>
        <w:rPr>
          <w:b/>
          <w:sz w:val="21"/>
        </w:rPr>
        <w:t xml:space="preserve">institution stands is really immaterial for purposes of Article 25. It </w:t>
      </w:r>
      <w:r>
        <w:rPr>
          <w:b/>
          <w:sz w:val="21"/>
        </w:rPr>
        <w:t>is the propagation of belief that is protected, no matter whether the propagation takes place in a church or monastery, or in a temple or  parlour  meeting</w:t>
      </w:r>
      <w:r>
        <w:rPr>
          <w:sz w:val="21"/>
        </w:rPr>
        <w:t>.”  (Emphasis</w:t>
      </w:r>
      <w:r>
        <w:rPr>
          <w:spacing w:val="-2"/>
          <w:sz w:val="21"/>
        </w:rPr>
        <w:t xml:space="preserve"> </w:t>
      </w:r>
      <w:r>
        <w:rPr>
          <w:sz w:val="21"/>
        </w:rPr>
        <w:t>supplied)</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7"/>
        <w:rPr>
          <w:sz w:val="24"/>
        </w:rPr>
      </w:pPr>
      <w:r w:rsidRPr="003B2FC0">
        <w:pict>
          <v:line id="_x0000_s1069" style="position:absolute;z-index:251646464;mso-wrap-distance-left:0;mso-wrap-distance-right:0;mso-position-horizontal-relative:page" from="1in,16.5pt" to="216.05pt,16.5pt" strokeweight=".72pt">
            <w10:wrap type="topAndBottom" anchorx="page"/>
          </v:line>
        </w:pict>
      </w:r>
    </w:p>
    <w:p w:rsidR="003B2FC0" w:rsidRDefault="00052A49">
      <w:pPr>
        <w:spacing w:before="66"/>
        <w:ind w:left="400"/>
        <w:rPr>
          <w:sz w:val="18"/>
        </w:rPr>
      </w:pPr>
      <w:r>
        <w:rPr>
          <w:position w:val="6"/>
          <w:sz w:val="12"/>
        </w:rPr>
        <w:t xml:space="preserve">153 </w:t>
      </w:r>
      <w:r>
        <w:rPr>
          <w:sz w:val="18"/>
        </w:rPr>
        <w:t>B K Mukherjea “The Hindu Law of Religious and Charitable Trust”, at pages 257, 264</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0"/>
        </w:rPr>
      </w:pPr>
    </w:p>
    <w:p w:rsidR="003B2FC0" w:rsidRDefault="00052A49">
      <w:pPr>
        <w:spacing w:before="97" w:line="480" w:lineRule="auto"/>
        <w:ind w:left="400" w:right="431"/>
        <w:jc w:val="both"/>
        <w:rPr>
          <w:sz w:val="26"/>
        </w:rPr>
      </w:pPr>
      <w:r>
        <w:rPr>
          <w:sz w:val="26"/>
        </w:rPr>
        <w:t>In</w:t>
      </w:r>
      <w:r>
        <w:rPr>
          <w:spacing w:val="-10"/>
          <w:sz w:val="26"/>
        </w:rPr>
        <w:t xml:space="preserve"> </w:t>
      </w:r>
      <w:r>
        <w:rPr>
          <w:sz w:val="26"/>
        </w:rPr>
        <w:t>Shri</w:t>
      </w:r>
      <w:r>
        <w:rPr>
          <w:spacing w:val="-5"/>
          <w:sz w:val="26"/>
        </w:rPr>
        <w:t xml:space="preserve"> </w:t>
      </w:r>
      <w:r>
        <w:rPr>
          <w:b/>
          <w:sz w:val="26"/>
        </w:rPr>
        <w:t>A</w:t>
      </w:r>
      <w:r>
        <w:rPr>
          <w:b/>
          <w:spacing w:val="-14"/>
          <w:sz w:val="26"/>
        </w:rPr>
        <w:t xml:space="preserve"> </w:t>
      </w:r>
      <w:r>
        <w:rPr>
          <w:b/>
          <w:sz w:val="26"/>
        </w:rPr>
        <w:t>S</w:t>
      </w:r>
      <w:r>
        <w:rPr>
          <w:b/>
          <w:spacing w:val="-9"/>
          <w:sz w:val="26"/>
        </w:rPr>
        <w:t xml:space="preserve"> </w:t>
      </w:r>
      <w:r>
        <w:rPr>
          <w:b/>
          <w:sz w:val="26"/>
        </w:rPr>
        <w:t>Narayana</w:t>
      </w:r>
      <w:r>
        <w:rPr>
          <w:b/>
          <w:spacing w:val="-10"/>
          <w:sz w:val="26"/>
        </w:rPr>
        <w:t xml:space="preserve"> </w:t>
      </w:r>
      <w:r>
        <w:rPr>
          <w:b/>
          <w:sz w:val="26"/>
        </w:rPr>
        <w:t>Deekshitulu</w:t>
      </w:r>
      <w:r>
        <w:rPr>
          <w:b/>
          <w:spacing w:val="-5"/>
          <w:sz w:val="26"/>
        </w:rPr>
        <w:t xml:space="preserve"> </w:t>
      </w:r>
      <w:r>
        <w:rPr>
          <w:sz w:val="26"/>
        </w:rPr>
        <w:t>v</w:t>
      </w:r>
      <w:r>
        <w:rPr>
          <w:spacing w:val="-12"/>
          <w:sz w:val="26"/>
        </w:rPr>
        <w:t xml:space="preserve"> </w:t>
      </w:r>
      <w:r>
        <w:rPr>
          <w:b/>
          <w:sz w:val="26"/>
        </w:rPr>
        <w:t>State</w:t>
      </w:r>
      <w:r>
        <w:rPr>
          <w:b/>
          <w:spacing w:val="-9"/>
          <w:sz w:val="26"/>
        </w:rPr>
        <w:t xml:space="preserve"> </w:t>
      </w:r>
      <w:r>
        <w:rPr>
          <w:b/>
          <w:sz w:val="26"/>
        </w:rPr>
        <w:t>Of</w:t>
      </w:r>
      <w:r>
        <w:rPr>
          <w:b/>
          <w:spacing w:val="-8"/>
          <w:sz w:val="26"/>
        </w:rPr>
        <w:t xml:space="preserve"> </w:t>
      </w:r>
      <w:r>
        <w:rPr>
          <w:b/>
          <w:sz w:val="26"/>
        </w:rPr>
        <w:t>Andhra</w:t>
      </w:r>
      <w:r>
        <w:rPr>
          <w:b/>
          <w:spacing w:val="-9"/>
          <w:sz w:val="26"/>
        </w:rPr>
        <w:t xml:space="preserve"> </w:t>
      </w:r>
      <w:r>
        <w:rPr>
          <w:b/>
          <w:sz w:val="26"/>
        </w:rPr>
        <w:t>Pradesh</w:t>
      </w:r>
      <w:r>
        <w:rPr>
          <w:position w:val="9"/>
          <w:sz w:val="17"/>
        </w:rPr>
        <w:t>154</w:t>
      </w:r>
      <w:r>
        <w:rPr>
          <w:sz w:val="26"/>
        </w:rPr>
        <w:t>,</w:t>
      </w:r>
      <w:r>
        <w:rPr>
          <w:spacing w:val="-10"/>
          <w:sz w:val="26"/>
        </w:rPr>
        <w:t xml:space="preserve"> </w:t>
      </w:r>
      <w:r>
        <w:rPr>
          <w:sz w:val="26"/>
        </w:rPr>
        <w:t>a</w:t>
      </w:r>
      <w:r>
        <w:rPr>
          <w:spacing w:val="-9"/>
          <w:sz w:val="26"/>
        </w:rPr>
        <w:t xml:space="preserve"> </w:t>
      </w:r>
      <w:r>
        <w:rPr>
          <w:sz w:val="26"/>
        </w:rPr>
        <w:t>two</w:t>
      </w:r>
      <w:r>
        <w:rPr>
          <w:spacing w:val="-10"/>
          <w:sz w:val="26"/>
        </w:rPr>
        <w:t xml:space="preserve"> </w:t>
      </w:r>
      <w:r>
        <w:rPr>
          <w:sz w:val="26"/>
        </w:rPr>
        <w:t>judge Bench of this Court considered the constitutionality of Sections 34, 35, 37, 39 and</w:t>
      </w:r>
      <w:r>
        <w:rPr>
          <w:spacing w:val="-6"/>
          <w:sz w:val="26"/>
        </w:rPr>
        <w:t xml:space="preserve"> </w:t>
      </w:r>
      <w:r>
        <w:rPr>
          <w:sz w:val="26"/>
        </w:rPr>
        <w:t>144</w:t>
      </w:r>
      <w:r>
        <w:rPr>
          <w:spacing w:val="-5"/>
          <w:sz w:val="26"/>
        </w:rPr>
        <w:t xml:space="preserve"> </w:t>
      </w:r>
      <w:r>
        <w:rPr>
          <w:sz w:val="26"/>
        </w:rPr>
        <w:t>of</w:t>
      </w:r>
      <w:r>
        <w:rPr>
          <w:spacing w:val="-4"/>
          <w:sz w:val="26"/>
        </w:rPr>
        <w:t xml:space="preserve"> </w:t>
      </w:r>
      <w:r>
        <w:rPr>
          <w:sz w:val="26"/>
        </w:rPr>
        <w:t>the</w:t>
      </w:r>
      <w:r>
        <w:rPr>
          <w:spacing w:val="-5"/>
          <w:sz w:val="26"/>
        </w:rPr>
        <w:t xml:space="preserve"> </w:t>
      </w:r>
      <w:r>
        <w:rPr>
          <w:sz w:val="26"/>
        </w:rPr>
        <w:t>Andhra</w:t>
      </w:r>
      <w:r>
        <w:rPr>
          <w:spacing w:val="-7"/>
          <w:sz w:val="26"/>
        </w:rPr>
        <w:t xml:space="preserve"> </w:t>
      </w:r>
      <w:r>
        <w:rPr>
          <w:sz w:val="26"/>
        </w:rPr>
        <w:t>Pradesh</w:t>
      </w:r>
      <w:r>
        <w:rPr>
          <w:spacing w:val="-5"/>
          <w:sz w:val="26"/>
        </w:rPr>
        <w:t xml:space="preserve"> </w:t>
      </w:r>
      <w:r>
        <w:rPr>
          <w:sz w:val="26"/>
        </w:rPr>
        <w:t>Charitable</w:t>
      </w:r>
      <w:r>
        <w:rPr>
          <w:spacing w:val="-6"/>
          <w:sz w:val="26"/>
        </w:rPr>
        <w:t xml:space="preserve"> </w:t>
      </w:r>
      <w:r>
        <w:rPr>
          <w:sz w:val="26"/>
        </w:rPr>
        <w:t>and</w:t>
      </w:r>
      <w:r>
        <w:rPr>
          <w:spacing w:val="-5"/>
          <w:sz w:val="26"/>
        </w:rPr>
        <w:t xml:space="preserve"> </w:t>
      </w:r>
      <w:r>
        <w:rPr>
          <w:sz w:val="26"/>
        </w:rPr>
        <w:t>Hindu</w:t>
      </w:r>
      <w:r>
        <w:rPr>
          <w:spacing w:val="-4"/>
          <w:sz w:val="26"/>
        </w:rPr>
        <w:t xml:space="preserve"> </w:t>
      </w:r>
      <w:r>
        <w:rPr>
          <w:sz w:val="26"/>
        </w:rPr>
        <w:t>Religious</w:t>
      </w:r>
      <w:r>
        <w:rPr>
          <w:spacing w:val="-5"/>
          <w:sz w:val="26"/>
        </w:rPr>
        <w:t xml:space="preserve"> </w:t>
      </w:r>
      <w:r>
        <w:rPr>
          <w:sz w:val="26"/>
        </w:rPr>
        <w:t>Institutions</w:t>
      </w:r>
      <w:r>
        <w:rPr>
          <w:spacing w:val="-5"/>
          <w:sz w:val="26"/>
        </w:rPr>
        <w:t xml:space="preserve"> </w:t>
      </w:r>
      <w:r>
        <w:rPr>
          <w:sz w:val="26"/>
        </w:rPr>
        <w:t xml:space="preserve">and Endowments Act, 1987 which abolished the hereditary rights of </w:t>
      </w:r>
      <w:r>
        <w:rPr>
          <w:i/>
          <w:sz w:val="26"/>
        </w:rPr>
        <w:t>archakas</w:t>
      </w:r>
      <w:r>
        <w:rPr>
          <w:sz w:val="26"/>
        </w:rPr>
        <w:t xml:space="preserve">, </w:t>
      </w:r>
      <w:r>
        <w:rPr>
          <w:i/>
          <w:sz w:val="26"/>
        </w:rPr>
        <w:t>mirasidars</w:t>
      </w:r>
      <w:r>
        <w:rPr>
          <w:sz w:val="26"/>
        </w:rPr>
        <w:t xml:space="preserve">, </w:t>
      </w:r>
      <w:r>
        <w:rPr>
          <w:i/>
          <w:sz w:val="26"/>
        </w:rPr>
        <w:t>gamekars</w:t>
      </w:r>
      <w:r>
        <w:rPr>
          <w:i/>
          <w:sz w:val="26"/>
        </w:rPr>
        <w:t xml:space="preserve"> </w:t>
      </w:r>
      <w:r>
        <w:rPr>
          <w:sz w:val="26"/>
        </w:rPr>
        <w:t>and other office-holders. Upholding the Act, the Court held:</w:t>
      </w:r>
    </w:p>
    <w:p w:rsidR="003B2FC0" w:rsidRDefault="00052A49">
      <w:pPr>
        <w:spacing w:before="199" w:line="276" w:lineRule="auto"/>
        <w:ind w:left="1840" w:right="2280"/>
        <w:jc w:val="both"/>
        <w:rPr>
          <w:sz w:val="14"/>
        </w:rPr>
      </w:pPr>
      <w:r>
        <w:rPr>
          <w:sz w:val="21"/>
        </w:rPr>
        <w:t>“85.Articles 25 and 26 deal with and protect religious freedom. Religion</w:t>
      </w:r>
      <w:r>
        <w:rPr>
          <w:spacing w:val="-9"/>
          <w:sz w:val="21"/>
        </w:rPr>
        <w:t xml:space="preserve"> </w:t>
      </w:r>
      <w:r>
        <w:rPr>
          <w:sz w:val="21"/>
        </w:rPr>
        <w:t>as</w:t>
      </w:r>
      <w:r>
        <w:rPr>
          <w:spacing w:val="-12"/>
          <w:sz w:val="21"/>
        </w:rPr>
        <w:t xml:space="preserve"> </w:t>
      </w:r>
      <w:r>
        <w:rPr>
          <w:sz w:val="21"/>
        </w:rPr>
        <w:t>used</w:t>
      </w:r>
      <w:r>
        <w:rPr>
          <w:spacing w:val="-8"/>
          <w:sz w:val="21"/>
        </w:rPr>
        <w:t xml:space="preserve"> </w:t>
      </w:r>
      <w:r>
        <w:rPr>
          <w:sz w:val="21"/>
        </w:rPr>
        <w:t>in</w:t>
      </w:r>
      <w:r>
        <w:rPr>
          <w:spacing w:val="-9"/>
          <w:sz w:val="21"/>
        </w:rPr>
        <w:t xml:space="preserve"> </w:t>
      </w:r>
      <w:r>
        <w:rPr>
          <w:sz w:val="21"/>
        </w:rPr>
        <w:t>these</w:t>
      </w:r>
      <w:r>
        <w:rPr>
          <w:spacing w:val="-12"/>
          <w:sz w:val="21"/>
        </w:rPr>
        <w:t xml:space="preserve"> </w:t>
      </w:r>
      <w:r>
        <w:rPr>
          <w:sz w:val="21"/>
        </w:rPr>
        <w:t>articles</w:t>
      </w:r>
      <w:r>
        <w:rPr>
          <w:spacing w:val="-11"/>
          <w:sz w:val="21"/>
        </w:rPr>
        <w:t xml:space="preserve"> </w:t>
      </w:r>
      <w:r>
        <w:rPr>
          <w:sz w:val="21"/>
        </w:rPr>
        <w:t>must</w:t>
      </w:r>
      <w:r>
        <w:rPr>
          <w:spacing w:val="-10"/>
          <w:sz w:val="21"/>
        </w:rPr>
        <w:t xml:space="preserve"> </w:t>
      </w:r>
      <w:r>
        <w:rPr>
          <w:sz w:val="21"/>
        </w:rPr>
        <w:t>be</w:t>
      </w:r>
      <w:r>
        <w:rPr>
          <w:spacing w:val="-8"/>
          <w:sz w:val="21"/>
        </w:rPr>
        <w:t xml:space="preserve"> </w:t>
      </w:r>
      <w:r>
        <w:rPr>
          <w:sz w:val="21"/>
        </w:rPr>
        <w:t>construed</w:t>
      </w:r>
      <w:r>
        <w:rPr>
          <w:spacing w:val="-12"/>
          <w:sz w:val="21"/>
        </w:rPr>
        <w:t xml:space="preserve"> </w:t>
      </w:r>
      <w:r>
        <w:rPr>
          <w:sz w:val="21"/>
        </w:rPr>
        <w:t>in</w:t>
      </w:r>
      <w:r>
        <w:rPr>
          <w:spacing w:val="-9"/>
          <w:sz w:val="21"/>
        </w:rPr>
        <w:t xml:space="preserve"> </w:t>
      </w:r>
      <w:r>
        <w:rPr>
          <w:sz w:val="21"/>
        </w:rPr>
        <w:t>its</w:t>
      </w:r>
      <w:r>
        <w:rPr>
          <w:spacing w:val="-11"/>
          <w:sz w:val="21"/>
        </w:rPr>
        <w:t xml:space="preserve"> </w:t>
      </w:r>
      <w:r>
        <w:rPr>
          <w:sz w:val="21"/>
        </w:rPr>
        <w:t>strict and etymological sense. Religion is that which binds a man with</w:t>
      </w:r>
      <w:r>
        <w:rPr>
          <w:sz w:val="21"/>
        </w:rPr>
        <w:t xml:space="preserve"> his Cosmos, his Creator or super force. It is difficult and rather impossible to define or delimit the expressions ‘religion’ or</w:t>
      </w:r>
      <w:r>
        <w:rPr>
          <w:spacing w:val="-9"/>
          <w:sz w:val="21"/>
        </w:rPr>
        <w:t xml:space="preserve"> </w:t>
      </w:r>
      <w:r>
        <w:rPr>
          <w:sz w:val="21"/>
        </w:rPr>
        <w:t>“matters</w:t>
      </w:r>
      <w:r>
        <w:rPr>
          <w:spacing w:val="-9"/>
          <w:sz w:val="21"/>
        </w:rPr>
        <w:t xml:space="preserve"> </w:t>
      </w:r>
      <w:r>
        <w:rPr>
          <w:sz w:val="21"/>
        </w:rPr>
        <w:t>of</w:t>
      </w:r>
      <w:r>
        <w:rPr>
          <w:spacing w:val="-7"/>
          <w:sz w:val="21"/>
        </w:rPr>
        <w:t xml:space="preserve"> </w:t>
      </w:r>
      <w:r>
        <w:rPr>
          <w:sz w:val="21"/>
        </w:rPr>
        <w:t>religion”</w:t>
      </w:r>
      <w:r>
        <w:rPr>
          <w:spacing w:val="-9"/>
          <w:sz w:val="21"/>
        </w:rPr>
        <w:t xml:space="preserve"> </w:t>
      </w:r>
      <w:r>
        <w:rPr>
          <w:sz w:val="21"/>
        </w:rPr>
        <w:t>used</w:t>
      </w:r>
      <w:r>
        <w:rPr>
          <w:spacing w:val="-8"/>
          <w:sz w:val="21"/>
        </w:rPr>
        <w:t xml:space="preserve"> </w:t>
      </w:r>
      <w:r>
        <w:rPr>
          <w:sz w:val="21"/>
        </w:rPr>
        <w:t>in</w:t>
      </w:r>
      <w:r>
        <w:rPr>
          <w:spacing w:val="-7"/>
          <w:sz w:val="21"/>
        </w:rPr>
        <w:t xml:space="preserve"> </w:t>
      </w:r>
      <w:r>
        <w:rPr>
          <w:sz w:val="21"/>
        </w:rPr>
        <w:t>Articles</w:t>
      </w:r>
      <w:r>
        <w:rPr>
          <w:spacing w:val="-8"/>
          <w:sz w:val="21"/>
        </w:rPr>
        <w:t xml:space="preserve"> </w:t>
      </w:r>
      <w:r>
        <w:rPr>
          <w:sz w:val="21"/>
        </w:rPr>
        <w:t>25</w:t>
      </w:r>
      <w:r>
        <w:rPr>
          <w:spacing w:val="-8"/>
          <w:sz w:val="21"/>
        </w:rPr>
        <w:t xml:space="preserve"> </w:t>
      </w:r>
      <w:r>
        <w:rPr>
          <w:sz w:val="21"/>
        </w:rPr>
        <w:t>and</w:t>
      </w:r>
      <w:r>
        <w:rPr>
          <w:spacing w:val="-8"/>
          <w:sz w:val="21"/>
        </w:rPr>
        <w:t xml:space="preserve"> </w:t>
      </w:r>
      <w:r>
        <w:rPr>
          <w:sz w:val="21"/>
        </w:rPr>
        <w:t>26.</w:t>
      </w:r>
      <w:r>
        <w:rPr>
          <w:spacing w:val="-5"/>
          <w:sz w:val="21"/>
        </w:rPr>
        <w:t xml:space="preserve"> </w:t>
      </w:r>
      <w:r>
        <w:rPr>
          <w:b/>
          <w:sz w:val="21"/>
        </w:rPr>
        <w:t>Essentially, religion is a matter of personal faith and belief of</w:t>
      </w:r>
      <w:r>
        <w:rPr>
          <w:b/>
          <w:spacing w:val="-40"/>
          <w:sz w:val="21"/>
        </w:rPr>
        <w:t xml:space="preserve"> </w:t>
      </w:r>
      <w:r>
        <w:rPr>
          <w:b/>
          <w:sz w:val="21"/>
        </w:rPr>
        <w:t>personal relations</w:t>
      </w:r>
      <w:r>
        <w:rPr>
          <w:b/>
          <w:spacing w:val="-12"/>
          <w:sz w:val="21"/>
        </w:rPr>
        <w:t xml:space="preserve"> </w:t>
      </w:r>
      <w:r>
        <w:rPr>
          <w:b/>
          <w:sz w:val="21"/>
        </w:rPr>
        <w:t>of</w:t>
      </w:r>
      <w:r>
        <w:rPr>
          <w:b/>
          <w:spacing w:val="-12"/>
          <w:sz w:val="21"/>
        </w:rPr>
        <w:t xml:space="preserve"> </w:t>
      </w:r>
      <w:r>
        <w:rPr>
          <w:b/>
          <w:sz w:val="21"/>
        </w:rPr>
        <w:t>an</w:t>
      </w:r>
      <w:r>
        <w:rPr>
          <w:b/>
          <w:spacing w:val="-12"/>
          <w:sz w:val="21"/>
        </w:rPr>
        <w:t xml:space="preserve"> </w:t>
      </w:r>
      <w:r>
        <w:rPr>
          <w:b/>
          <w:sz w:val="21"/>
        </w:rPr>
        <w:t>individual</w:t>
      </w:r>
      <w:r>
        <w:rPr>
          <w:b/>
          <w:spacing w:val="-16"/>
          <w:sz w:val="21"/>
        </w:rPr>
        <w:t xml:space="preserve"> </w:t>
      </w:r>
      <w:r>
        <w:rPr>
          <w:b/>
          <w:sz w:val="21"/>
        </w:rPr>
        <w:t>with</w:t>
      </w:r>
      <w:r>
        <w:rPr>
          <w:b/>
          <w:spacing w:val="-14"/>
          <w:sz w:val="21"/>
        </w:rPr>
        <w:t xml:space="preserve"> </w:t>
      </w:r>
      <w:r>
        <w:rPr>
          <w:b/>
          <w:sz w:val="21"/>
        </w:rPr>
        <w:t>what</w:t>
      </w:r>
      <w:r>
        <w:rPr>
          <w:b/>
          <w:spacing w:val="-13"/>
          <w:sz w:val="21"/>
        </w:rPr>
        <w:t xml:space="preserve"> </w:t>
      </w:r>
      <w:r>
        <w:rPr>
          <w:b/>
          <w:sz w:val="21"/>
        </w:rPr>
        <w:t>he</w:t>
      </w:r>
      <w:r>
        <w:rPr>
          <w:b/>
          <w:spacing w:val="-12"/>
          <w:sz w:val="21"/>
        </w:rPr>
        <w:t xml:space="preserve"> </w:t>
      </w:r>
      <w:r>
        <w:rPr>
          <w:b/>
          <w:sz w:val="21"/>
        </w:rPr>
        <w:t>regards</w:t>
      </w:r>
      <w:r>
        <w:rPr>
          <w:b/>
          <w:spacing w:val="-12"/>
          <w:sz w:val="21"/>
        </w:rPr>
        <w:t xml:space="preserve"> </w:t>
      </w:r>
      <w:r>
        <w:rPr>
          <w:b/>
          <w:sz w:val="21"/>
        </w:rPr>
        <w:t>as</w:t>
      </w:r>
      <w:r>
        <w:rPr>
          <w:b/>
          <w:spacing w:val="-13"/>
          <w:sz w:val="21"/>
        </w:rPr>
        <w:t xml:space="preserve"> </w:t>
      </w:r>
      <w:r>
        <w:rPr>
          <w:b/>
          <w:sz w:val="21"/>
        </w:rPr>
        <w:t>Cosmos, his Maker or his Creator which, he believes, regulates the existence of insentient beings and the forces of the universe</w:t>
      </w:r>
      <w:r>
        <w:rPr>
          <w:sz w:val="21"/>
        </w:rPr>
        <w:t>.”</w:t>
      </w:r>
      <w:r>
        <w:rPr>
          <w:position w:val="7"/>
          <w:sz w:val="14"/>
        </w:rPr>
        <w:t>155</w:t>
      </w:r>
    </w:p>
    <w:p w:rsidR="003B2FC0" w:rsidRDefault="00052A49">
      <w:pPr>
        <w:spacing w:line="238" w:lineRule="exact"/>
        <w:ind w:left="1840"/>
        <w:rPr>
          <w:sz w:val="21"/>
        </w:rPr>
      </w:pPr>
      <w:r>
        <w:rPr>
          <w:sz w:val="21"/>
        </w:rPr>
        <w:t>(Emphasis supplied)</w:t>
      </w:r>
    </w:p>
    <w:p w:rsidR="003B2FC0" w:rsidRDefault="003B2FC0">
      <w:pPr>
        <w:rPr>
          <w:sz w:val="24"/>
        </w:rPr>
      </w:pPr>
    </w:p>
    <w:p w:rsidR="003B2FC0" w:rsidRDefault="003B2FC0">
      <w:pPr>
        <w:rPr>
          <w:sz w:val="24"/>
        </w:rPr>
      </w:pPr>
    </w:p>
    <w:p w:rsidR="003B2FC0" w:rsidRDefault="003B2FC0">
      <w:pPr>
        <w:rPr>
          <w:sz w:val="24"/>
        </w:rPr>
      </w:pPr>
    </w:p>
    <w:p w:rsidR="003B2FC0" w:rsidRDefault="003B2FC0">
      <w:pPr>
        <w:spacing w:before="7"/>
        <w:rPr>
          <w:sz w:val="30"/>
        </w:rPr>
      </w:pPr>
    </w:p>
    <w:p w:rsidR="003B2FC0" w:rsidRDefault="00052A49">
      <w:pPr>
        <w:pStyle w:val="ListParagraph"/>
        <w:numPr>
          <w:ilvl w:val="0"/>
          <w:numId w:val="39"/>
        </w:numPr>
        <w:tabs>
          <w:tab w:val="left" w:pos="1121"/>
        </w:tabs>
        <w:spacing w:before="1" w:line="480" w:lineRule="auto"/>
        <w:ind w:right="434" w:firstLine="0"/>
        <w:jc w:val="both"/>
        <w:rPr>
          <w:sz w:val="26"/>
        </w:rPr>
      </w:pPr>
      <w:r>
        <w:rPr>
          <w:sz w:val="26"/>
        </w:rPr>
        <w:t>A religious denomination or any sectio</w:t>
      </w:r>
      <w:r>
        <w:rPr>
          <w:sz w:val="26"/>
        </w:rPr>
        <w:t>n thereof has a right under Article 26</w:t>
      </w:r>
      <w:r>
        <w:rPr>
          <w:spacing w:val="-19"/>
          <w:sz w:val="26"/>
        </w:rPr>
        <w:t xml:space="preserve"> </w:t>
      </w:r>
      <w:r>
        <w:rPr>
          <w:sz w:val="26"/>
        </w:rPr>
        <w:t>to</w:t>
      </w:r>
      <w:r>
        <w:rPr>
          <w:spacing w:val="-16"/>
          <w:sz w:val="26"/>
        </w:rPr>
        <w:t xml:space="preserve"> </w:t>
      </w:r>
      <w:r>
        <w:rPr>
          <w:sz w:val="26"/>
        </w:rPr>
        <w:t>manage</w:t>
      </w:r>
      <w:r>
        <w:rPr>
          <w:spacing w:val="-19"/>
          <w:sz w:val="26"/>
        </w:rPr>
        <w:t xml:space="preserve"> </w:t>
      </w:r>
      <w:r>
        <w:rPr>
          <w:sz w:val="26"/>
        </w:rPr>
        <w:t>religious</w:t>
      </w:r>
      <w:r>
        <w:rPr>
          <w:spacing w:val="-19"/>
          <w:sz w:val="26"/>
        </w:rPr>
        <w:t xml:space="preserve"> </w:t>
      </w:r>
      <w:r>
        <w:rPr>
          <w:sz w:val="26"/>
        </w:rPr>
        <w:t>affairs.</w:t>
      </w:r>
      <w:r>
        <w:rPr>
          <w:spacing w:val="-19"/>
          <w:sz w:val="26"/>
        </w:rPr>
        <w:t xml:space="preserve"> </w:t>
      </w:r>
      <w:r>
        <w:rPr>
          <w:sz w:val="26"/>
        </w:rPr>
        <w:t>This</w:t>
      </w:r>
      <w:r>
        <w:rPr>
          <w:spacing w:val="-18"/>
          <w:sz w:val="26"/>
        </w:rPr>
        <w:t xml:space="preserve"> </w:t>
      </w:r>
      <w:r>
        <w:rPr>
          <w:sz w:val="26"/>
        </w:rPr>
        <w:t>right</w:t>
      </w:r>
      <w:r>
        <w:rPr>
          <w:spacing w:val="-16"/>
          <w:sz w:val="26"/>
        </w:rPr>
        <w:t xml:space="preserve"> </w:t>
      </w:r>
      <w:r>
        <w:rPr>
          <w:sz w:val="26"/>
        </w:rPr>
        <w:t>vests</w:t>
      </w:r>
      <w:r>
        <w:rPr>
          <w:spacing w:val="-19"/>
          <w:sz w:val="26"/>
        </w:rPr>
        <w:t xml:space="preserve"> </w:t>
      </w:r>
      <w:r>
        <w:rPr>
          <w:sz w:val="26"/>
        </w:rPr>
        <w:t>in</w:t>
      </w:r>
      <w:r>
        <w:rPr>
          <w:spacing w:val="-16"/>
          <w:sz w:val="26"/>
        </w:rPr>
        <w:t xml:space="preserve"> </w:t>
      </w:r>
      <w:r>
        <w:rPr>
          <w:sz w:val="26"/>
        </w:rPr>
        <w:t>a</w:t>
      </w:r>
      <w:r>
        <w:rPr>
          <w:spacing w:val="-16"/>
          <w:sz w:val="26"/>
        </w:rPr>
        <w:t xml:space="preserve"> </w:t>
      </w:r>
      <w:r>
        <w:rPr>
          <w:i/>
          <w:sz w:val="26"/>
        </w:rPr>
        <w:t>collection</w:t>
      </w:r>
      <w:r>
        <w:rPr>
          <w:i/>
          <w:spacing w:val="-17"/>
          <w:sz w:val="26"/>
        </w:rPr>
        <w:t xml:space="preserve"> </w:t>
      </w:r>
      <w:r>
        <w:rPr>
          <w:i/>
          <w:sz w:val="26"/>
        </w:rPr>
        <w:t>of</w:t>
      </w:r>
      <w:r>
        <w:rPr>
          <w:i/>
          <w:spacing w:val="-18"/>
          <w:sz w:val="26"/>
        </w:rPr>
        <w:t xml:space="preserve"> </w:t>
      </w:r>
      <w:r>
        <w:rPr>
          <w:i/>
          <w:sz w:val="26"/>
        </w:rPr>
        <w:t>individuals</w:t>
      </w:r>
      <w:r>
        <w:rPr>
          <w:i/>
          <w:spacing w:val="-14"/>
          <w:sz w:val="26"/>
        </w:rPr>
        <w:t xml:space="preserve"> </w:t>
      </w:r>
      <w:r>
        <w:rPr>
          <w:sz w:val="26"/>
        </w:rPr>
        <w:t>which demonstrate (i) the existence of a religious sect or body; (ii) a common faith shared by those who belong to the religious sect and a common spiritual organisation; (iii) the existence of a distinctive name and (iv) a common thread of religion. Artic</w:t>
      </w:r>
      <w:r>
        <w:rPr>
          <w:sz w:val="26"/>
        </w:rPr>
        <w:t xml:space="preserve">le 25 grants the right to the freedom of </w:t>
      </w:r>
      <w:r>
        <w:rPr>
          <w:i/>
          <w:sz w:val="26"/>
        </w:rPr>
        <w:t xml:space="preserve">conscience </w:t>
      </w:r>
      <w:r>
        <w:rPr>
          <w:sz w:val="26"/>
        </w:rPr>
        <w:t>and free profession, practice and propagation of religion. Conscience, as a cognitive process that elicits emotion and associations based on an individual's</w:t>
      </w:r>
      <w:r>
        <w:rPr>
          <w:spacing w:val="63"/>
          <w:sz w:val="26"/>
        </w:rPr>
        <w:t xml:space="preserve"> </w:t>
      </w:r>
      <w:r>
        <w:rPr>
          <w:sz w:val="26"/>
        </w:rPr>
        <w:t>beliefs</w:t>
      </w:r>
    </w:p>
    <w:p w:rsidR="003B2FC0" w:rsidRDefault="003B2FC0">
      <w:pPr>
        <w:spacing w:before="7"/>
        <w:rPr>
          <w:sz w:val="29"/>
        </w:rPr>
      </w:pPr>
      <w:r w:rsidRPr="003B2FC0">
        <w:pict>
          <v:line id="_x0000_s1068" style="position:absolute;z-index:251647488;mso-wrap-distance-left:0;mso-wrap-distance-right:0;mso-position-horizontal-relative:page" from="1in,19.4pt" to="216.05pt,19.4pt" strokeweight=".72pt">
            <w10:wrap type="topAndBottom" anchorx="page"/>
          </v:line>
        </w:pict>
      </w:r>
    </w:p>
    <w:p w:rsidR="003B2FC0" w:rsidRDefault="00052A49">
      <w:pPr>
        <w:spacing w:before="66" w:line="210" w:lineRule="exact"/>
        <w:ind w:left="400"/>
        <w:rPr>
          <w:sz w:val="18"/>
        </w:rPr>
      </w:pPr>
      <w:r>
        <w:rPr>
          <w:position w:val="6"/>
          <w:sz w:val="12"/>
        </w:rPr>
        <w:t xml:space="preserve">154 </w:t>
      </w:r>
      <w:r>
        <w:rPr>
          <w:sz w:val="18"/>
        </w:rPr>
        <w:t>1996 9 SCC 548</w:t>
      </w:r>
    </w:p>
    <w:p w:rsidR="003B2FC0" w:rsidRDefault="00052A49">
      <w:pPr>
        <w:spacing w:line="210" w:lineRule="exact"/>
        <w:ind w:left="400"/>
        <w:rPr>
          <w:sz w:val="18"/>
        </w:rPr>
      </w:pPr>
      <w:r>
        <w:rPr>
          <w:position w:val="6"/>
          <w:sz w:val="12"/>
        </w:rPr>
        <w:t xml:space="preserve">155 </w:t>
      </w:r>
      <w:r>
        <w:rPr>
          <w:sz w:val="18"/>
        </w:rPr>
        <w:t>Ibid, at pages 592-593</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8" w:firstLine="72"/>
        <w:jc w:val="both"/>
        <w:rPr>
          <w:sz w:val="26"/>
        </w:rPr>
      </w:pPr>
      <w:r>
        <w:rPr>
          <w:sz w:val="26"/>
        </w:rPr>
        <w:t xml:space="preserve">rests only in individuals. The Constitution postulates every individual as its basic unit. The rights guaranteed under Part III of the Constitution are geared towards the recognition of the individual as its basic </w:t>
      </w:r>
      <w:r>
        <w:rPr>
          <w:sz w:val="26"/>
        </w:rPr>
        <w:t>unit. The individual is the bearer of rights under Part III of the Constitution. The deity may be a juristic person</w:t>
      </w:r>
      <w:r>
        <w:rPr>
          <w:spacing w:val="-16"/>
          <w:sz w:val="26"/>
        </w:rPr>
        <w:t xml:space="preserve"> </w:t>
      </w:r>
      <w:r>
        <w:rPr>
          <w:sz w:val="26"/>
        </w:rPr>
        <w:t>for</w:t>
      </w:r>
      <w:r>
        <w:rPr>
          <w:spacing w:val="-19"/>
          <w:sz w:val="26"/>
        </w:rPr>
        <w:t xml:space="preserve"> </w:t>
      </w:r>
      <w:r>
        <w:rPr>
          <w:sz w:val="26"/>
        </w:rPr>
        <w:t>the</w:t>
      </w:r>
      <w:r>
        <w:rPr>
          <w:spacing w:val="-18"/>
          <w:sz w:val="26"/>
        </w:rPr>
        <w:t xml:space="preserve"> </w:t>
      </w:r>
      <w:r>
        <w:rPr>
          <w:sz w:val="26"/>
        </w:rPr>
        <w:t>purposes</w:t>
      </w:r>
      <w:r>
        <w:rPr>
          <w:spacing w:val="-19"/>
          <w:sz w:val="26"/>
        </w:rPr>
        <w:t xml:space="preserve"> </w:t>
      </w:r>
      <w:r>
        <w:rPr>
          <w:sz w:val="26"/>
        </w:rPr>
        <w:t>of</w:t>
      </w:r>
      <w:r>
        <w:rPr>
          <w:spacing w:val="-18"/>
          <w:sz w:val="26"/>
        </w:rPr>
        <w:t xml:space="preserve"> </w:t>
      </w:r>
      <w:r>
        <w:rPr>
          <w:sz w:val="26"/>
        </w:rPr>
        <w:t>religious</w:t>
      </w:r>
      <w:r>
        <w:rPr>
          <w:spacing w:val="-19"/>
          <w:sz w:val="26"/>
        </w:rPr>
        <w:t xml:space="preserve"> </w:t>
      </w:r>
      <w:r>
        <w:rPr>
          <w:sz w:val="26"/>
        </w:rPr>
        <w:t>law</w:t>
      </w:r>
      <w:r>
        <w:rPr>
          <w:spacing w:val="-18"/>
          <w:sz w:val="26"/>
        </w:rPr>
        <w:t xml:space="preserve"> </w:t>
      </w:r>
      <w:r>
        <w:rPr>
          <w:sz w:val="26"/>
        </w:rPr>
        <w:t>and</w:t>
      </w:r>
      <w:r>
        <w:rPr>
          <w:spacing w:val="-19"/>
          <w:sz w:val="26"/>
        </w:rPr>
        <w:t xml:space="preserve"> </w:t>
      </w:r>
      <w:r>
        <w:rPr>
          <w:sz w:val="26"/>
        </w:rPr>
        <w:t>capable</w:t>
      </w:r>
      <w:r>
        <w:rPr>
          <w:spacing w:val="-18"/>
          <w:sz w:val="26"/>
        </w:rPr>
        <w:t xml:space="preserve"> </w:t>
      </w:r>
      <w:r>
        <w:rPr>
          <w:sz w:val="26"/>
        </w:rPr>
        <w:t>of</w:t>
      </w:r>
      <w:r>
        <w:rPr>
          <w:spacing w:val="-16"/>
          <w:sz w:val="26"/>
        </w:rPr>
        <w:t xml:space="preserve"> </w:t>
      </w:r>
      <w:r>
        <w:rPr>
          <w:sz w:val="26"/>
        </w:rPr>
        <w:t>asserting</w:t>
      </w:r>
      <w:r>
        <w:rPr>
          <w:spacing w:val="-18"/>
          <w:sz w:val="26"/>
        </w:rPr>
        <w:t xml:space="preserve"> </w:t>
      </w:r>
      <w:r>
        <w:rPr>
          <w:sz w:val="26"/>
        </w:rPr>
        <w:t>property</w:t>
      </w:r>
      <w:r>
        <w:rPr>
          <w:spacing w:val="-21"/>
          <w:sz w:val="26"/>
        </w:rPr>
        <w:t xml:space="preserve"> </w:t>
      </w:r>
      <w:r>
        <w:rPr>
          <w:sz w:val="26"/>
        </w:rPr>
        <w:t>rights. However,</w:t>
      </w:r>
      <w:r>
        <w:rPr>
          <w:spacing w:val="-16"/>
          <w:sz w:val="26"/>
        </w:rPr>
        <w:t xml:space="preserve"> </w:t>
      </w:r>
      <w:r>
        <w:rPr>
          <w:sz w:val="26"/>
        </w:rPr>
        <w:t>the</w:t>
      </w:r>
      <w:r>
        <w:rPr>
          <w:spacing w:val="-16"/>
          <w:sz w:val="26"/>
        </w:rPr>
        <w:t xml:space="preserve"> </w:t>
      </w:r>
      <w:r>
        <w:rPr>
          <w:sz w:val="26"/>
        </w:rPr>
        <w:t>deity</w:t>
      </w:r>
      <w:r>
        <w:rPr>
          <w:spacing w:val="-17"/>
          <w:sz w:val="26"/>
        </w:rPr>
        <w:t xml:space="preserve"> </w:t>
      </w:r>
      <w:r>
        <w:rPr>
          <w:sz w:val="26"/>
        </w:rPr>
        <w:t>is</w:t>
      </w:r>
      <w:r>
        <w:rPr>
          <w:spacing w:val="-13"/>
          <w:sz w:val="26"/>
        </w:rPr>
        <w:t xml:space="preserve"> </w:t>
      </w:r>
      <w:r>
        <w:rPr>
          <w:sz w:val="26"/>
        </w:rPr>
        <w:t>not</w:t>
      </w:r>
      <w:r>
        <w:rPr>
          <w:spacing w:val="-16"/>
          <w:sz w:val="26"/>
        </w:rPr>
        <w:t xml:space="preserve"> </w:t>
      </w:r>
      <w:r>
        <w:rPr>
          <w:sz w:val="26"/>
        </w:rPr>
        <w:t>a</w:t>
      </w:r>
      <w:r>
        <w:rPr>
          <w:spacing w:val="-15"/>
          <w:sz w:val="26"/>
        </w:rPr>
        <w:t xml:space="preserve"> </w:t>
      </w:r>
      <w:r>
        <w:rPr>
          <w:sz w:val="26"/>
        </w:rPr>
        <w:t>‘person’</w:t>
      </w:r>
      <w:r>
        <w:rPr>
          <w:spacing w:val="-16"/>
          <w:sz w:val="26"/>
        </w:rPr>
        <w:t xml:space="preserve"> </w:t>
      </w:r>
      <w:r>
        <w:rPr>
          <w:sz w:val="26"/>
        </w:rPr>
        <w:t>for</w:t>
      </w:r>
      <w:r>
        <w:rPr>
          <w:spacing w:val="-16"/>
          <w:sz w:val="26"/>
        </w:rPr>
        <w:t xml:space="preserve"> </w:t>
      </w:r>
      <w:r>
        <w:rPr>
          <w:sz w:val="26"/>
        </w:rPr>
        <w:t>the</w:t>
      </w:r>
      <w:r>
        <w:rPr>
          <w:spacing w:val="-12"/>
          <w:sz w:val="26"/>
        </w:rPr>
        <w:t xml:space="preserve"> </w:t>
      </w:r>
      <w:r>
        <w:rPr>
          <w:sz w:val="26"/>
        </w:rPr>
        <w:t>purpose</w:t>
      </w:r>
      <w:r>
        <w:rPr>
          <w:spacing w:val="-16"/>
          <w:sz w:val="26"/>
        </w:rPr>
        <w:t xml:space="preserve"> </w:t>
      </w:r>
      <w:r>
        <w:rPr>
          <w:sz w:val="26"/>
        </w:rPr>
        <w:t>of</w:t>
      </w:r>
      <w:r>
        <w:rPr>
          <w:spacing w:val="-16"/>
          <w:sz w:val="26"/>
        </w:rPr>
        <w:t xml:space="preserve"> </w:t>
      </w:r>
      <w:r>
        <w:rPr>
          <w:sz w:val="26"/>
        </w:rPr>
        <w:t>Part</w:t>
      </w:r>
      <w:r>
        <w:rPr>
          <w:spacing w:val="-14"/>
          <w:sz w:val="26"/>
        </w:rPr>
        <w:t xml:space="preserve"> </w:t>
      </w:r>
      <w:r>
        <w:rPr>
          <w:sz w:val="26"/>
        </w:rPr>
        <w:t>III</w:t>
      </w:r>
      <w:r>
        <w:rPr>
          <w:spacing w:val="-15"/>
          <w:sz w:val="26"/>
        </w:rPr>
        <w:t xml:space="preserve"> </w:t>
      </w:r>
      <w:r>
        <w:rPr>
          <w:sz w:val="26"/>
        </w:rPr>
        <w:t>of</w:t>
      </w:r>
      <w:r>
        <w:rPr>
          <w:spacing w:val="-16"/>
          <w:sz w:val="26"/>
        </w:rPr>
        <w:t xml:space="preserve"> </w:t>
      </w:r>
      <w:r>
        <w:rPr>
          <w:sz w:val="26"/>
        </w:rPr>
        <w:t>the</w:t>
      </w:r>
      <w:r>
        <w:rPr>
          <w:spacing w:val="-15"/>
          <w:sz w:val="26"/>
        </w:rPr>
        <w:t xml:space="preserve"> </w:t>
      </w:r>
      <w:r>
        <w:rPr>
          <w:sz w:val="26"/>
        </w:rPr>
        <w:t>Constitution. The legal fiction which has led to the recognition of a deity as a juristic person cannot be extended to the gamut of rights under Part III of the</w:t>
      </w:r>
      <w:r>
        <w:rPr>
          <w:spacing w:val="-13"/>
          <w:sz w:val="26"/>
        </w:rPr>
        <w:t xml:space="preserve"> </w:t>
      </w:r>
      <w:r>
        <w:rPr>
          <w:sz w:val="26"/>
        </w:rPr>
        <w:t>Constitution.</w:t>
      </w:r>
    </w:p>
    <w:p w:rsidR="003B2FC0" w:rsidRDefault="003B2FC0">
      <w:pPr>
        <w:rPr>
          <w:sz w:val="28"/>
        </w:rPr>
      </w:pPr>
    </w:p>
    <w:p w:rsidR="003B2FC0" w:rsidRDefault="003B2FC0">
      <w:pPr>
        <w:spacing w:before="9"/>
        <w:rPr>
          <w:sz w:val="32"/>
        </w:rPr>
      </w:pPr>
    </w:p>
    <w:p w:rsidR="003B2FC0" w:rsidRDefault="00052A49">
      <w:pPr>
        <w:spacing w:line="480" w:lineRule="auto"/>
        <w:ind w:left="400" w:right="436"/>
        <w:jc w:val="both"/>
        <w:rPr>
          <w:sz w:val="26"/>
        </w:rPr>
      </w:pPr>
      <w:r>
        <w:rPr>
          <w:sz w:val="26"/>
        </w:rPr>
        <w:t xml:space="preserve">In any case, the exclusion of women from the Sabarimala temple effects </w:t>
      </w:r>
      <w:r>
        <w:rPr>
          <w:sz w:val="26"/>
        </w:rPr>
        <w:t>both, the</w:t>
      </w:r>
      <w:r>
        <w:rPr>
          <w:spacing w:val="-9"/>
          <w:sz w:val="26"/>
        </w:rPr>
        <w:t xml:space="preserve"> </w:t>
      </w:r>
      <w:r>
        <w:rPr>
          <w:sz w:val="26"/>
        </w:rPr>
        <w:t>religious</w:t>
      </w:r>
      <w:r>
        <w:rPr>
          <w:spacing w:val="-8"/>
          <w:sz w:val="26"/>
        </w:rPr>
        <w:t xml:space="preserve"> </w:t>
      </w:r>
      <w:r>
        <w:rPr>
          <w:sz w:val="26"/>
        </w:rPr>
        <w:t>and</w:t>
      </w:r>
      <w:r>
        <w:rPr>
          <w:spacing w:val="-9"/>
          <w:sz w:val="26"/>
        </w:rPr>
        <w:t xml:space="preserve"> </w:t>
      </w:r>
      <w:r>
        <w:rPr>
          <w:sz w:val="26"/>
        </w:rPr>
        <w:t>civic</w:t>
      </w:r>
      <w:r>
        <w:rPr>
          <w:spacing w:val="-8"/>
          <w:sz w:val="26"/>
        </w:rPr>
        <w:t xml:space="preserve"> </w:t>
      </w:r>
      <w:r>
        <w:rPr>
          <w:sz w:val="26"/>
        </w:rPr>
        <w:t>rights</w:t>
      </w:r>
      <w:r>
        <w:rPr>
          <w:spacing w:val="-9"/>
          <w:sz w:val="26"/>
        </w:rPr>
        <w:t xml:space="preserve"> </w:t>
      </w:r>
      <w:r>
        <w:rPr>
          <w:sz w:val="26"/>
        </w:rPr>
        <w:t>of</w:t>
      </w:r>
      <w:r>
        <w:rPr>
          <w:spacing w:val="-6"/>
          <w:sz w:val="26"/>
        </w:rPr>
        <w:t xml:space="preserve"> </w:t>
      </w:r>
      <w:r>
        <w:rPr>
          <w:sz w:val="26"/>
        </w:rPr>
        <w:t>the</w:t>
      </w:r>
      <w:r>
        <w:rPr>
          <w:spacing w:val="-7"/>
          <w:sz w:val="26"/>
        </w:rPr>
        <w:t xml:space="preserve"> </w:t>
      </w:r>
      <w:r>
        <w:rPr>
          <w:sz w:val="26"/>
        </w:rPr>
        <w:t>individual.</w:t>
      </w:r>
      <w:r>
        <w:rPr>
          <w:spacing w:val="-8"/>
          <w:sz w:val="26"/>
        </w:rPr>
        <w:t xml:space="preserve"> </w:t>
      </w:r>
      <w:r>
        <w:rPr>
          <w:sz w:val="26"/>
        </w:rPr>
        <w:t>The</w:t>
      </w:r>
      <w:r>
        <w:rPr>
          <w:spacing w:val="-7"/>
          <w:sz w:val="26"/>
        </w:rPr>
        <w:t xml:space="preserve"> </w:t>
      </w:r>
      <w:r>
        <w:rPr>
          <w:sz w:val="26"/>
        </w:rPr>
        <w:t>anti-exclusion</w:t>
      </w:r>
      <w:r>
        <w:rPr>
          <w:spacing w:val="-8"/>
          <w:sz w:val="26"/>
        </w:rPr>
        <w:t xml:space="preserve"> </w:t>
      </w:r>
      <w:r>
        <w:rPr>
          <w:sz w:val="26"/>
        </w:rPr>
        <w:t>principle</w:t>
      </w:r>
      <w:r>
        <w:rPr>
          <w:spacing w:val="-5"/>
          <w:sz w:val="26"/>
        </w:rPr>
        <w:t xml:space="preserve"> </w:t>
      </w:r>
      <w:r>
        <w:rPr>
          <w:sz w:val="26"/>
        </w:rPr>
        <w:t xml:space="preserve">would disallow a claim based on Article 25 and 26 which excludes women from the Sabarimala Temple and hampers their exercise of religious freedom. This is in keeping with </w:t>
      </w:r>
      <w:r>
        <w:rPr>
          <w:sz w:val="26"/>
        </w:rPr>
        <w:t>over-arching liberal values of the Constitution and its vision of ensuring an equal citizenship.</w:t>
      </w:r>
    </w:p>
    <w:p w:rsidR="003B2FC0" w:rsidRDefault="003B2FC0">
      <w:pPr>
        <w:rPr>
          <w:sz w:val="28"/>
        </w:rPr>
      </w:pPr>
    </w:p>
    <w:p w:rsidR="003B2FC0" w:rsidRDefault="003B2FC0">
      <w:pPr>
        <w:spacing w:before="11"/>
        <w:rPr>
          <w:sz w:val="34"/>
        </w:rPr>
      </w:pPr>
    </w:p>
    <w:p w:rsidR="003B2FC0" w:rsidRDefault="00052A49">
      <w:pPr>
        <w:pStyle w:val="Heading1"/>
        <w:numPr>
          <w:ilvl w:val="0"/>
          <w:numId w:val="20"/>
        </w:numPr>
        <w:tabs>
          <w:tab w:val="left" w:pos="1120"/>
          <w:tab w:val="left" w:pos="1121"/>
        </w:tabs>
      </w:pPr>
      <w:r>
        <w:t>A road map for the</w:t>
      </w:r>
      <w:r>
        <w:rPr>
          <w:spacing w:val="-8"/>
        </w:rPr>
        <w:t xml:space="preserve"> </w:t>
      </w:r>
      <w:r>
        <w:t>future</w:t>
      </w:r>
    </w:p>
    <w:p w:rsidR="003B2FC0" w:rsidRDefault="003B2FC0">
      <w:pPr>
        <w:rPr>
          <w:b/>
          <w:sz w:val="30"/>
        </w:rPr>
      </w:pPr>
    </w:p>
    <w:p w:rsidR="003B2FC0" w:rsidRDefault="003B2FC0">
      <w:pPr>
        <w:spacing w:before="1"/>
        <w:rPr>
          <w:b/>
          <w:sz w:val="41"/>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 xml:space="preserve">The decision in </w:t>
      </w:r>
      <w:r>
        <w:rPr>
          <w:b/>
          <w:sz w:val="26"/>
        </w:rPr>
        <w:t xml:space="preserve">Shirur Mutt </w:t>
      </w:r>
      <w:r>
        <w:rPr>
          <w:sz w:val="26"/>
        </w:rPr>
        <w:t>defined religion to encompass matters beyond conscience and faith. The court recognized that religiou</w:t>
      </w:r>
      <w:r>
        <w:rPr>
          <w:sz w:val="26"/>
        </w:rPr>
        <w:t>s practices are as</w:t>
      </w:r>
      <w:r>
        <w:rPr>
          <w:spacing w:val="-7"/>
          <w:sz w:val="26"/>
        </w:rPr>
        <w:t xml:space="preserve"> </w:t>
      </w:r>
      <w:r>
        <w:rPr>
          <w:sz w:val="26"/>
        </w:rPr>
        <w:t>much</w:t>
      </w:r>
      <w:r>
        <w:rPr>
          <w:spacing w:val="-4"/>
          <w:sz w:val="26"/>
        </w:rPr>
        <w:t xml:space="preserve"> </w:t>
      </w:r>
      <w:r>
        <w:rPr>
          <w:sz w:val="26"/>
        </w:rPr>
        <w:t>a</w:t>
      </w:r>
      <w:r>
        <w:rPr>
          <w:spacing w:val="-7"/>
          <w:sz w:val="26"/>
        </w:rPr>
        <w:t xml:space="preserve"> </w:t>
      </w:r>
      <w:r>
        <w:rPr>
          <w:sz w:val="26"/>
        </w:rPr>
        <w:t>part</w:t>
      </w:r>
      <w:r>
        <w:rPr>
          <w:spacing w:val="-4"/>
          <w:sz w:val="26"/>
        </w:rPr>
        <w:t xml:space="preserve"> </w:t>
      </w:r>
      <w:r>
        <w:rPr>
          <w:sz w:val="26"/>
        </w:rPr>
        <w:t>of</w:t>
      </w:r>
      <w:r>
        <w:rPr>
          <w:spacing w:val="-7"/>
          <w:sz w:val="26"/>
        </w:rPr>
        <w:t xml:space="preserve"> </w:t>
      </w:r>
      <w:r>
        <w:rPr>
          <w:sz w:val="26"/>
        </w:rPr>
        <w:t>religion.</w:t>
      </w:r>
      <w:r>
        <w:rPr>
          <w:spacing w:val="-7"/>
          <w:sz w:val="26"/>
        </w:rPr>
        <w:t xml:space="preserve"> </w:t>
      </w:r>
      <w:r>
        <w:rPr>
          <w:sz w:val="26"/>
        </w:rPr>
        <w:t>Hence,</w:t>
      </w:r>
      <w:r>
        <w:rPr>
          <w:spacing w:val="-5"/>
          <w:sz w:val="26"/>
        </w:rPr>
        <w:t xml:space="preserve"> </w:t>
      </w:r>
      <w:r>
        <w:rPr>
          <w:sz w:val="26"/>
        </w:rPr>
        <w:t>where</w:t>
      </w:r>
      <w:r>
        <w:rPr>
          <w:spacing w:val="-4"/>
          <w:sz w:val="26"/>
        </w:rPr>
        <w:t xml:space="preserve"> </w:t>
      </w:r>
      <w:r>
        <w:rPr>
          <w:sz w:val="26"/>
        </w:rPr>
        <w:t>the</w:t>
      </w:r>
      <w:r>
        <w:rPr>
          <w:spacing w:val="-7"/>
          <w:sz w:val="26"/>
        </w:rPr>
        <w:t xml:space="preserve"> </w:t>
      </w:r>
      <w:r>
        <w:rPr>
          <w:sz w:val="26"/>
        </w:rPr>
        <w:t>tenets</w:t>
      </w:r>
      <w:r>
        <w:rPr>
          <w:spacing w:val="-7"/>
          <w:sz w:val="26"/>
        </w:rPr>
        <w:t xml:space="preserve"> </w:t>
      </w:r>
      <w:r>
        <w:rPr>
          <w:sz w:val="26"/>
        </w:rPr>
        <w:t>of</w:t>
      </w:r>
      <w:r>
        <w:rPr>
          <w:spacing w:val="-7"/>
          <w:sz w:val="26"/>
        </w:rPr>
        <w:t xml:space="preserve"> </w:t>
      </w:r>
      <w:r>
        <w:rPr>
          <w:sz w:val="26"/>
        </w:rPr>
        <w:t>a</w:t>
      </w:r>
      <w:r>
        <w:rPr>
          <w:spacing w:val="-4"/>
          <w:sz w:val="26"/>
        </w:rPr>
        <w:t xml:space="preserve"> </w:t>
      </w:r>
      <w:r>
        <w:rPr>
          <w:sz w:val="26"/>
        </w:rPr>
        <w:t>religious</w:t>
      </w:r>
      <w:r>
        <w:rPr>
          <w:spacing w:val="-7"/>
          <w:sz w:val="26"/>
        </w:rPr>
        <w:t xml:space="preserve"> </w:t>
      </w:r>
      <w:r>
        <w:rPr>
          <w:sz w:val="26"/>
        </w:rPr>
        <w:t>sect</w:t>
      </w:r>
      <w:r>
        <w:rPr>
          <w:spacing w:val="-6"/>
          <w:sz w:val="26"/>
        </w:rPr>
        <w:t xml:space="preserve"> </w:t>
      </w:r>
      <w:r>
        <w:rPr>
          <w:sz w:val="26"/>
        </w:rPr>
        <w:t>prescribe ceremonies</w:t>
      </w:r>
      <w:r>
        <w:rPr>
          <w:spacing w:val="-16"/>
          <w:sz w:val="26"/>
        </w:rPr>
        <w:t xml:space="preserve"> </w:t>
      </w:r>
      <w:r>
        <w:rPr>
          <w:sz w:val="26"/>
        </w:rPr>
        <w:t>at</w:t>
      </w:r>
      <w:r>
        <w:rPr>
          <w:spacing w:val="-16"/>
          <w:sz w:val="26"/>
        </w:rPr>
        <w:t xml:space="preserve"> </w:t>
      </w:r>
      <w:r>
        <w:rPr>
          <w:sz w:val="26"/>
        </w:rPr>
        <w:t>particular</w:t>
      </w:r>
      <w:r>
        <w:rPr>
          <w:spacing w:val="-15"/>
          <w:sz w:val="26"/>
        </w:rPr>
        <w:t xml:space="preserve"> </w:t>
      </w:r>
      <w:r>
        <w:rPr>
          <w:sz w:val="26"/>
        </w:rPr>
        <w:t>hours</w:t>
      </w:r>
      <w:r>
        <w:rPr>
          <w:spacing w:val="-16"/>
          <w:sz w:val="26"/>
        </w:rPr>
        <w:t xml:space="preserve"> </w:t>
      </w:r>
      <w:r>
        <w:rPr>
          <w:sz w:val="26"/>
        </w:rPr>
        <w:t>of</w:t>
      </w:r>
      <w:r>
        <w:rPr>
          <w:spacing w:val="-13"/>
          <w:sz w:val="26"/>
        </w:rPr>
        <w:t xml:space="preserve"> </w:t>
      </w:r>
      <w:r>
        <w:rPr>
          <w:sz w:val="26"/>
        </w:rPr>
        <w:t>the</w:t>
      </w:r>
      <w:r>
        <w:rPr>
          <w:spacing w:val="-14"/>
          <w:sz w:val="26"/>
        </w:rPr>
        <w:t xml:space="preserve"> </w:t>
      </w:r>
      <w:r>
        <w:rPr>
          <w:sz w:val="26"/>
        </w:rPr>
        <w:t>day</w:t>
      </w:r>
      <w:r>
        <w:rPr>
          <w:spacing w:val="-16"/>
          <w:sz w:val="26"/>
        </w:rPr>
        <w:t xml:space="preserve"> </w:t>
      </w:r>
      <w:r>
        <w:rPr>
          <w:sz w:val="26"/>
        </w:rPr>
        <w:t>or</w:t>
      </w:r>
      <w:r>
        <w:rPr>
          <w:spacing w:val="-15"/>
          <w:sz w:val="26"/>
        </w:rPr>
        <w:t xml:space="preserve"> </w:t>
      </w:r>
      <w:r>
        <w:rPr>
          <w:sz w:val="26"/>
        </w:rPr>
        <w:t>regular</w:t>
      </w:r>
      <w:r>
        <w:rPr>
          <w:spacing w:val="-16"/>
          <w:sz w:val="26"/>
        </w:rPr>
        <w:t xml:space="preserve"> </w:t>
      </w:r>
      <w:r>
        <w:rPr>
          <w:sz w:val="26"/>
        </w:rPr>
        <w:t>offerings</w:t>
      </w:r>
      <w:r>
        <w:rPr>
          <w:spacing w:val="-13"/>
          <w:sz w:val="26"/>
        </w:rPr>
        <w:t xml:space="preserve"> </w:t>
      </w:r>
      <w:r>
        <w:rPr>
          <w:sz w:val="26"/>
        </w:rPr>
        <w:t>of</w:t>
      </w:r>
      <w:r>
        <w:rPr>
          <w:spacing w:val="-14"/>
          <w:sz w:val="26"/>
        </w:rPr>
        <w:t xml:space="preserve"> </w:t>
      </w:r>
      <w:r>
        <w:rPr>
          <w:sz w:val="26"/>
        </w:rPr>
        <w:t>food</w:t>
      </w:r>
      <w:r>
        <w:rPr>
          <w:spacing w:val="-16"/>
          <w:sz w:val="26"/>
        </w:rPr>
        <w:t xml:space="preserve"> </w:t>
      </w:r>
      <w:r>
        <w:rPr>
          <w:sz w:val="26"/>
        </w:rPr>
        <w:t>to</w:t>
      </w:r>
      <w:r>
        <w:rPr>
          <w:spacing w:val="-15"/>
          <w:sz w:val="26"/>
        </w:rPr>
        <w:t xml:space="preserve"> </w:t>
      </w:r>
      <w:r>
        <w:rPr>
          <w:sz w:val="26"/>
        </w:rPr>
        <w:t>the</w:t>
      </w:r>
      <w:r>
        <w:rPr>
          <w:spacing w:val="-14"/>
          <w:sz w:val="26"/>
        </w:rPr>
        <w:t xml:space="preserve"> </w:t>
      </w:r>
      <w:r>
        <w:rPr>
          <w:sz w:val="26"/>
        </w:rPr>
        <w:t>deity, this</w:t>
      </w:r>
      <w:r>
        <w:rPr>
          <w:spacing w:val="-15"/>
          <w:sz w:val="26"/>
        </w:rPr>
        <w:t xml:space="preserve"> </w:t>
      </w:r>
      <w:r>
        <w:rPr>
          <w:sz w:val="26"/>
        </w:rPr>
        <w:t>would</w:t>
      </w:r>
      <w:r>
        <w:rPr>
          <w:spacing w:val="-16"/>
          <w:sz w:val="26"/>
        </w:rPr>
        <w:t xml:space="preserve"> </w:t>
      </w:r>
      <w:r>
        <w:rPr>
          <w:sz w:val="26"/>
        </w:rPr>
        <w:t>constitute</w:t>
      </w:r>
      <w:r>
        <w:rPr>
          <w:spacing w:val="-14"/>
          <w:sz w:val="26"/>
        </w:rPr>
        <w:t xml:space="preserve"> </w:t>
      </w:r>
      <w:r>
        <w:rPr>
          <w:sz w:val="26"/>
        </w:rPr>
        <w:t>a</w:t>
      </w:r>
      <w:r>
        <w:rPr>
          <w:spacing w:val="-16"/>
          <w:sz w:val="26"/>
        </w:rPr>
        <w:t xml:space="preserve"> </w:t>
      </w:r>
      <w:r>
        <w:rPr>
          <w:sz w:val="26"/>
        </w:rPr>
        <w:t>part</w:t>
      </w:r>
      <w:r>
        <w:rPr>
          <w:spacing w:val="-14"/>
          <w:sz w:val="26"/>
        </w:rPr>
        <w:t xml:space="preserve"> </w:t>
      </w:r>
      <w:r>
        <w:rPr>
          <w:sz w:val="26"/>
        </w:rPr>
        <w:t>of</w:t>
      </w:r>
      <w:r>
        <w:rPr>
          <w:spacing w:val="-16"/>
          <w:sz w:val="26"/>
        </w:rPr>
        <w:t xml:space="preserve"> </w:t>
      </w:r>
      <w:r>
        <w:rPr>
          <w:sz w:val="26"/>
        </w:rPr>
        <w:t>religion.</w:t>
      </w:r>
      <w:r>
        <w:rPr>
          <w:spacing w:val="-16"/>
          <w:sz w:val="26"/>
        </w:rPr>
        <w:t xml:space="preserve"> </w:t>
      </w:r>
      <w:r>
        <w:rPr>
          <w:sz w:val="26"/>
        </w:rPr>
        <w:t>The</w:t>
      </w:r>
      <w:r>
        <w:rPr>
          <w:spacing w:val="-14"/>
          <w:sz w:val="26"/>
        </w:rPr>
        <w:t xml:space="preserve"> </w:t>
      </w:r>
      <w:r>
        <w:rPr>
          <w:sz w:val="26"/>
        </w:rPr>
        <w:t>mere</w:t>
      </w:r>
      <w:r>
        <w:rPr>
          <w:spacing w:val="-16"/>
          <w:sz w:val="26"/>
        </w:rPr>
        <w:t xml:space="preserve"> </w:t>
      </w:r>
      <w:r>
        <w:rPr>
          <w:sz w:val="26"/>
        </w:rPr>
        <w:t>fact</w:t>
      </w:r>
      <w:r>
        <w:rPr>
          <w:spacing w:val="-16"/>
          <w:sz w:val="26"/>
        </w:rPr>
        <w:t xml:space="preserve"> </w:t>
      </w:r>
      <w:r>
        <w:rPr>
          <w:sz w:val="26"/>
        </w:rPr>
        <w:t>that</w:t>
      </w:r>
      <w:r>
        <w:rPr>
          <w:spacing w:val="-16"/>
          <w:sz w:val="26"/>
        </w:rPr>
        <w:t xml:space="preserve"> </w:t>
      </w:r>
      <w:r>
        <w:rPr>
          <w:sz w:val="26"/>
        </w:rPr>
        <w:t>these</w:t>
      </w:r>
      <w:r>
        <w:rPr>
          <w:spacing w:val="-14"/>
          <w:sz w:val="26"/>
        </w:rPr>
        <w:t xml:space="preserve"> </w:t>
      </w:r>
      <w:r>
        <w:rPr>
          <w:sz w:val="26"/>
        </w:rPr>
        <w:t>practices</w:t>
      </w:r>
      <w:r>
        <w:rPr>
          <w:spacing w:val="-16"/>
          <w:sz w:val="26"/>
        </w:rPr>
        <w:t xml:space="preserve"> </w:t>
      </w:r>
      <w:r>
        <w:rPr>
          <w:sz w:val="26"/>
        </w:rPr>
        <w:t>involve</w:t>
      </w:r>
    </w:p>
    <w:p w:rsidR="003B2FC0" w:rsidRDefault="003B2FC0">
      <w:pPr>
        <w:spacing w:line="480" w:lineRule="auto"/>
        <w:jc w:val="both"/>
        <w:rPr>
          <w:sz w:val="26"/>
        </w:rPr>
        <w:sectPr w:rsidR="003B2FC0">
          <w:headerReference w:type="default" r:id="rId391"/>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 xml:space="preserve">the expenditure of money would not take away their religious character. The precept that religion encompasses doctrine and ceremony enabled the court to allow religion a broad autonomy in deciding what according to its tenets is integral or essential. </w:t>
      </w:r>
      <w:r>
        <w:rPr>
          <w:b/>
          <w:sz w:val="26"/>
        </w:rPr>
        <w:t>Shir</w:t>
      </w:r>
      <w:r>
        <w:rPr>
          <w:b/>
          <w:sz w:val="26"/>
        </w:rPr>
        <w:t xml:space="preserve">ur Mutt </w:t>
      </w:r>
      <w:r>
        <w:rPr>
          <w:sz w:val="26"/>
        </w:rPr>
        <w:t xml:space="preserve">was followed by another decision in </w:t>
      </w:r>
      <w:r>
        <w:rPr>
          <w:b/>
          <w:sz w:val="26"/>
        </w:rPr>
        <w:t>Ratilal</w:t>
      </w:r>
      <w:r>
        <w:rPr>
          <w:sz w:val="26"/>
        </w:rPr>
        <w:t>. Both cases were decided in the same year.</w:t>
      </w:r>
    </w:p>
    <w:p w:rsidR="003B2FC0" w:rsidRDefault="003B2FC0">
      <w:pPr>
        <w:rPr>
          <w:sz w:val="28"/>
        </w:rPr>
      </w:pPr>
    </w:p>
    <w:p w:rsidR="003B2FC0" w:rsidRDefault="003B2FC0">
      <w:pPr>
        <w:spacing w:before="11"/>
        <w:rPr>
          <w:sz w:val="34"/>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As the jurisprudence of the court evolved, two separate issues came to the fore. The first was the divide between what is religious and secular. This divide is</w:t>
      </w:r>
      <w:r>
        <w:rPr>
          <w:sz w:val="26"/>
        </w:rPr>
        <w:t xml:space="preserve"> reflected in Article 25(2)(a) which allows the state to enact legislation which would regulate or restrict economic, financial, political or “other secular activities” which may be associated with religious practice. A second distinct issue, however, was </w:t>
      </w:r>
      <w:r>
        <w:rPr>
          <w:sz w:val="26"/>
        </w:rPr>
        <w:t>addressed by this Court. That was whether a practice is essential to religion. While the religious versus secular divide finds support in constitutional</w:t>
      </w:r>
      <w:r>
        <w:rPr>
          <w:spacing w:val="-13"/>
          <w:sz w:val="26"/>
        </w:rPr>
        <w:t xml:space="preserve"> </w:t>
      </w:r>
      <w:r>
        <w:rPr>
          <w:sz w:val="26"/>
        </w:rPr>
        <w:t>text,</w:t>
      </w:r>
      <w:r>
        <w:rPr>
          <w:spacing w:val="-12"/>
          <w:sz w:val="26"/>
        </w:rPr>
        <w:t xml:space="preserve"> </w:t>
      </w:r>
      <w:r>
        <w:rPr>
          <w:sz w:val="26"/>
        </w:rPr>
        <w:t>neither</w:t>
      </w:r>
      <w:r>
        <w:rPr>
          <w:spacing w:val="-14"/>
          <w:sz w:val="26"/>
        </w:rPr>
        <w:t xml:space="preserve"> </w:t>
      </w:r>
      <w:r>
        <w:rPr>
          <w:sz w:val="26"/>
        </w:rPr>
        <w:t>Article</w:t>
      </w:r>
      <w:r>
        <w:rPr>
          <w:spacing w:val="-12"/>
          <w:sz w:val="26"/>
        </w:rPr>
        <w:t xml:space="preserve"> </w:t>
      </w:r>
      <w:r>
        <w:rPr>
          <w:sz w:val="26"/>
        </w:rPr>
        <w:t>25</w:t>
      </w:r>
      <w:r>
        <w:rPr>
          <w:spacing w:val="-14"/>
          <w:sz w:val="26"/>
        </w:rPr>
        <w:t xml:space="preserve"> </w:t>
      </w:r>
      <w:r>
        <w:rPr>
          <w:sz w:val="26"/>
        </w:rPr>
        <w:t>nor</w:t>
      </w:r>
      <w:r>
        <w:rPr>
          <w:spacing w:val="-14"/>
          <w:sz w:val="26"/>
        </w:rPr>
        <w:t xml:space="preserve"> </w:t>
      </w:r>
      <w:r>
        <w:rPr>
          <w:sz w:val="26"/>
        </w:rPr>
        <w:t>Article</w:t>
      </w:r>
      <w:r>
        <w:rPr>
          <w:spacing w:val="-15"/>
          <w:sz w:val="26"/>
        </w:rPr>
        <w:t xml:space="preserve"> </w:t>
      </w:r>
      <w:r>
        <w:rPr>
          <w:sz w:val="26"/>
        </w:rPr>
        <w:t>26</w:t>
      </w:r>
      <w:r>
        <w:rPr>
          <w:spacing w:val="-12"/>
          <w:sz w:val="26"/>
        </w:rPr>
        <w:t xml:space="preserve"> </w:t>
      </w:r>
      <w:r>
        <w:rPr>
          <w:sz w:val="26"/>
        </w:rPr>
        <w:t>speaks</w:t>
      </w:r>
      <w:r>
        <w:rPr>
          <w:spacing w:val="-12"/>
          <w:sz w:val="26"/>
        </w:rPr>
        <w:t xml:space="preserve"> </w:t>
      </w:r>
      <w:r>
        <w:rPr>
          <w:sz w:val="26"/>
        </w:rPr>
        <w:t>about</w:t>
      </w:r>
      <w:r>
        <w:rPr>
          <w:spacing w:val="-13"/>
          <w:sz w:val="26"/>
        </w:rPr>
        <w:t xml:space="preserve"> </w:t>
      </w:r>
      <w:r>
        <w:rPr>
          <w:sz w:val="26"/>
        </w:rPr>
        <w:t>practices</w:t>
      </w:r>
      <w:r>
        <w:rPr>
          <w:spacing w:val="-12"/>
          <w:sz w:val="26"/>
        </w:rPr>
        <w:t xml:space="preserve"> </w:t>
      </w:r>
      <w:r>
        <w:rPr>
          <w:sz w:val="26"/>
        </w:rPr>
        <w:t xml:space="preserve">which are essential to religion. As the </w:t>
      </w:r>
      <w:r>
        <w:rPr>
          <w:sz w:val="26"/>
        </w:rPr>
        <w:t>jurisprudence of this Court unfolded, the court assumed the function of determining whether or not a practice constitutes an essential and integral part of religion. This set the determination up at the threshold.</w:t>
      </w:r>
      <w:r>
        <w:rPr>
          <w:spacing w:val="44"/>
          <w:sz w:val="26"/>
        </w:rPr>
        <w:t xml:space="preserve"> </w:t>
      </w:r>
      <w:r>
        <w:rPr>
          <w:sz w:val="26"/>
        </w:rPr>
        <w:t>Something</w:t>
      </w:r>
      <w:r>
        <w:rPr>
          <w:spacing w:val="-12"/>
          <w:sz w:val="26"/>
        </w:rPr>
        <w:t xml:space="preserve"> </w:t>
      </w:r>
      <w:r>
        <w:rPr>
          <w:sz w:val="26"/>
        </w:rPr>
        <w:t>which</w:t>
      </w:r>
      <w:r>
        <w:rPr>
          <w:spacing w:val="-14"/>
          <w:sz w:val="26"/>
        </w:rPr>
        <w:t xml:space="preserve"> </w:t>
      </w:r>
      <w:r>
        <w:rPr>
          <w:sz w:val="26"/>
        </w:rPr>
        <w:t>the</w:t>
      </w:r>
      <w:r>
        <w:rPr>
          <w:spacing w:val="-14"/>
          <w:sz w:val="26"/>
        </w:rPr>
        <w:t xml:space="preserve"> </w:t>
      </w:r>
      <w:r>
        <w:rPr>
          <w:sz w:val="26"/>
        </w:rPr>
        <w:t>court</w:t>
      </w:r>
      <w:r>
        <w:rPr>
          <w:spacing w:val="-13"/>
          <w:sz w:val="26"/>
        </w:rPr>
        <w:t xml:space="preserve"> </w:t>
      </w:r>
      <w:r>
        <w:rPr>
          <w:sz w:val="26"/>
        </w:rPr>
        <w:t>holds</w:t>
      </w:r>
      <w:r>
        <w:rPr>
          <w:spacing w:val="-14"/>
          <w:sz w:val="26"/>
        </w:rPr>
        <w:t xml:space="preserve"> </w:t>
      </w:r>
      <w:r>
        <w:rPr>
          <w:sz w:val="26"/>
        </w:rPr>
        <w:t>not</w:t>
      </w:r>
      <w:r>
        <w:rPr>
          <w:spacing w:val="-14"/>
          <w:sz w:val="26"/>
        </w:rPr>
        <w:t xml:space="preserve"> </w:t>
      </w:r>
      <w:r>
        <w:rPr>
          <w:sz w:val="26"/>
        </w:rPr>
        <w:t>to</w:t>
      </w:r>
      <w:r>
        <w:rPr>
          <w:spacing w:val="-12"/>
          <w:sz w:val="26"/>
        </w:rPr>
        <w:t xml:space="preserve"> </w:t>
      </w:r>
      <w:r>
        <w:rPr>
          <w:sz w:val="26"/>
        </w:rPr>
        <w:t>be</w:t>
      </w:r>
      <w:r>
        <w:rPr>
          <w:spacing w:val="-14"/>
          <w:sz w:val="26"/>
        </w:rPr>
        <w:t xml:space="preserve"> </w:t>
      </w:r>
      <w:r>
        <w:rPr>
          <w:sz w:val="26"/>
        </w:rPr>
        <w:t>essential</w:t>
      </w:r>
      <w:r>
        <w:rPr>
          <w:spacing w:val="-12"/>
          <w:sz w:val="26"/>
        </w:rPr>
        <w:t xml:space="preserve"> </w:t>
      </w:r>
      <w:r>
        <w:rPr>
          <w:sz w:val="26"/>
        </w:rPr>
        <w:t>to</w:t>
      </w:r>
      <w:r>
        <w:rPr>
          <w:spacing w:val="-14"/>
          <w:sz w:val="26"/>
        </w:rPr>
        <w:t xml:space="preserve"> </w:t>
      </w:r>
      <w:r>
        <w:rPr>
          <w:sz w:val="26"/>
        </w:rPr>
        <w:t>religion</w:t>
      </w:r>
      <w:r>
        <w:rPr>
          <w:spacing w:val="-12"/>
          <w:sz w:val="26"/>
        </w:rPr>
        <w:t xml:space="preserve"> </w:t>
      </w:r>
      <w:r>
        <w:rPr>
          <w:sz w:val="26"/>
        </w:rPr>
        <w:t xml:space="preserve">would not be protected by Article 25, or as the case may be, Article 26. Matters of religion under Article 26(b) came to be conflated with what is an essential part of religion. In </w:t>
      </w:r>
      <w:r>
        <w:rPr>
          <w:b/>
          <w:sz w:val="26"/>
        </w:rPr>
        <w:t xml:space="preserve">Qureshi </w:t>
      </w:r>
      <w:r>
        <w:rPr>
          <w:sz w:val="26"/>
        </w:rPr>
        <w:t>(1959), a Constitution Bench (of which Justice Gajendragadkar was a part) emphasised the non-obligatory nature of the practice</w:t>
      </w:r>
      <w:r>
        <w:rPr>
          <w:spacing w:val="24"/>
          <w:sz w:val="26"/>
        </w:rPr>
        <w:t xml:space="preserve"> </w:t>
      </w:r>
      <w:r>
        <w:rPr>
          <w:sz w:val="26"/>
        </w:rPr>
        <w:t>and</w:t>
      </w:r>
      <w:r>
        <w:rPr>
          <w:spacing w:val="22"/>
          <w:sz w:val="26"/>
        </w:rPr>
        <w:t xml:space="preserve"> </w:t>
      </w:r>
      <w:r>
        <w:rPr>
          <w:sz w:val="26"/>
        </w:rPr>
        <w:t>held</w:t>
      </w:r>
      <w:r>
        <w:rPr>
          <w:spacing w:val="22"/>
          <w:sz w:val="26"/>
        </w:rPr>
        <w:t xml:space="preserve"> </w:t>
      </w:r>
      <w:r>
        <w:rPr>
          <w:sz w:val="26"/>
        </w:rPr>
        <w:t>that</w:t>
      </w:r>
      <w:r>
        <w:rPr>
          <w:spacing w:val="22"/>
          <w:sz w:val="26"/>
        </w:rPr>
        <w:t xml:space="preserve"> </w:t>
      </w:r>
      <w:r>
        <w:rPr>
          <w:sz w:val="26"/>
        </w:rPr>
        <w:t>the</w:t>
      </w:r>
      <w:r>
        <w:rPr>
          <w:spacing w:val="24"/>
          <w:sz w:val="26"/>
        </w:rPr>
        <w:t xml:space="preserve"> </w:t>
      </w:r>
      <w:r>
        <w:rPr>
          <w:sz w:val="26"/>
        </w:rPr>
        <w:t>sacrificing</w:t>
      </w:r>
      <w:r>
        <w:rPr>
          <w:spacing w:val="24"/>
          <w:sz w:val="26"/>
        </w:rPr>
        <w:t xml:space="preserve"> </w:t>
      </w:r>
      <w:r>
        <w:rPr>
          <w:sz w:val="26"/>
        </w:rPr>
        <w:t>of</w:t>
      </w:r>
      <w:r>
        <w:rPr>
          <w:spacing w:val="27"/>
          <w:sz w:val="26"/>
        </w:rPr>
        <w:t xml:space="preserve"> </w:t>
      </w:r>
      <w:r>
        <w:rPr>
          <w:sz w:val="26"/>
        </w:rPr>
        <w:t>cows</w:t>
      </w:r>
      <w:r>
        <w:rPr>
          <w:spacing w:val="22"/>
          <w:sz w:val="26"/>
        </w:rPr>
        <w:t xml:space="preserve"> </w:t>
      </w:r>
      <w:r>
        <w:rPr>
          <w:sz w:val="26"/>
        </w:rPr>
        <w:t>at</w:t>
      </w:r>
      <w:r>
        <w:rPr>
          <w:spacing w:val="22"/>
          <w:sz w:val="26"/>
        </w:rPr>
        <w:t xml:space="preserve"> </w:t>
      </w:r>
      <w:r>
        <w:rPr>
          <w:sz w:val="26"/>
        </w:rPr>
        <w:t>Bakr-Id</w:t>
      </w:r>
      <w:r>
        <w:rPr>
          <w:spacing w:val="27"/>
          <w:sz w:val="26"/>
        </w:rPr>
        <w:t xml:space="preserve"> </w:t>
      </w:r>
      <w:r>
        <w:rPr>
          <w:sz w:val="26"/>
        </w:rPr>
        <w:t>was</w:t>
      </w:r>
      <w:r>
        <w:rPr>
          <w:spacing w:val="25"/>
          <w:sz w:val="26"/>
        </w:rPr>
        <w:t xml:space="preserve"> </w:t>
      </w:r>
      <w:r>
        <w:rPr>
          <w:sz w:val="26"/>
        </w:rPr>
        <w:t>not</w:t>
      </w:r>
      <w:r>
        <w:rPr>
          <w:spacing w:val="24"/>
          <w:sz w:val="26"/>
        </w:rPr>
        <w:t xml:space="preserve"> </w:t>
      </w:r>
      <w:r>
        <w:rPr>
          <w:sz w:val="26"/>
        </w:rPr>
        <w:t>an</w:t>
      </w:r>
      <w:r>
        <w:rPr>
          <w:spacing w:val="25"/>
          <w:sz w:val="26"/>
        </w:rPr>
        <w:t xml:space="preserve"> </w:t>
      </w:r>
      <w:r>
        <w:rPr>
          <w:sz w:val="26"/>
        </w:rPr>
        <w:t>essential</w:t>
      </w:r>
    </w:p>
    <w:p w:rsidR="003B2FC0" w:rsidRDefault="003B2FC0">
      <w:pPr>
        <w:spacing w:line="480" w:lineRule="auto"/>
        <w:jc w:val="both"/>
        <w:rPr>
          <w:sz w:val="26"/>
        </w:rPr>
        <w:sectPr w:rsidR="003B2FC0">
          <w:footerReference w:type="default" r:id="rId392"/>
          <w:pgSz w:w="11910" w:h="16840"/>
          <w:pgMar w:top="1080" w:right="980" w:bottom="1200" w:left="1040" w:header="708" w:footer="1000" w:gutter="0"/>
          <w:pgNumType w:start="15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practice for th</w:t>
      </w:r>
      <w:r>
        <w:rPr>
          <w:sz w:val="26"/>
        </w:rPr>
        <w:t xml:space="preserve">e Muslim community. </w:t>
      </w:r>
      <w:r>
        <w:rPr>
          <w:b/>
          <w:sz w:val="26"/>
        </w:rPr>
        <w:t xml:space="preserve">Durgah Committee </w:t>
      </w:r>
      <w:r>
        <w:rPr>
          <w:sz w:val="26"/>
        </w:rPr>
        <w:t xml:space="preserve">(1962), </w:t>
      </w:r>
      <w:r>
        <w:rPr>
          <w:b/>
          <w:sz w:val="26"/>
        </w:rPr>
        <w:t xml:space="preserve">Tilkayat </w:t>
      </w:r>
      <w:r>
        <w:rPr>
          <w:sz w:val="26"/>
        </w:rPr>
        <w:t xml:space="preserve">(1964) and </w:t>
      </w:r>
      <w:r>
        <w:rPr>
          <w:b/>
          <w:sz w:val="26"/>
        </w:rPr>
        <w:t xml:space="preserve">Sastri Yagnapurushadji </w:t>
      </w:r>
      <w:r>
        <w:rPr>
          <w:sz w:val="26"/>
        </w:rPr>
        <w:t>(1966), Justice Gajendragadkar reserved to the court the authority to determine whether a practice was religious and, if</w:t>
      </w:r>
      <w:r>
        <w:rPr>
          <w:spacing w:val="-43"/>
          <w:sz w:val="26"/>
        </w:rPr>
        <w:t xml:space="preserve"> </w:t>
      </w:r>
      <w:r>
        <w:rPr>
          <w:sz w:val="26"/>
        </w:rPr>
        <w:t xml:space="preserve">it is, whether the practice can be regarded as </w:t>
      </w:r>
      <w:r>
        <w:rPr>
          <w:sz w:val="26"/>
        </w:rPr>
        <w:t xml:space="preserve">essential or integral to religion. In </w:t>
      </w:r>
      <w:r>
        <w:rPr>
          <w:b/>
          <w:sz w:val="26"/>
        </w:rPr>
        <w:t>Durgah Committee</w:t>
      </w:r>
      <w:r>
        <w:rPr>
          <w:sz w:val="26"/>
        </w:rPr>
        <w:t>, Justice Gajendragadkar sought to justify the exercise of that adjudicatory function by stating that otherwise, practices which may have originated</w:t>
      </w:r>
      <w:r>
        <w:rPr>
          <w:spacing w:val="-14"/>
          <w:sz w:val="26"/>
        </w:rPr>
        <w:t xml:space="preserve"> </w:t>
      </w:r>
      <w:r>
        <w:rPr>
          <w:sz w:val="26"/>
        </w:rPr>
        <w:t>in</w:t>
      </w:r>
      <w:r>
        <w:rPr>
          <w:spacing w:val="-13"/>
          <w:sz w:val="26"/>
        </w:rPr>
        <w:t xml:space="preserve"> </w:t>
      </w:r>
      <w:r>
        <w:rPr>
          <w:sz w:val="26"/>
        </w:rPr>
        <w:t>“merely</w:t>
      </w:r>
      <w:r>
        <w:rPr>
          <w:spacing w:val="-13"/>
          <w:sz w:val="26"/>
        </w:rPr>
        <w:t xml:space="preserve"> </w:t>
      </w:r>
      <w:r>
        <w:rPr>
          <w:sz w:val="26"/>
        </w:rPr>
        <w:t>superstitious</w:t>
      </w:r>
      <w:r>
        <w:rPr>
          <w:spacing w:val="-14"/>
          <w:sz w:val="26"/>
        </w:rPr>
        <w:t xml:space="preserve"> </w:t>
      </w:r>
      <w:r>
        <w:rPr>
          <w:sz w:val="26"/>
        </w:rPr>
        <w:t>beliefs”</w:t>
      </w:r>
      <w:r>
        <w:rPr>
          <w:spacing w:val="-11"/>
          <w:sz w:val="26"/>
        </w:rPr>
        <w:t xml:space="preserve"> </w:t>
      </w:r>
      <w:r>
        <w:rPr>
          <w:sz w:val="26"/>
        </w:rPr>
        <w:t>and</w:t>
      </w:r>
      <w:r>
        <w:rPr>
          <w:spacing w:val="-12"/>
          <w:sz w:val="26"/>
        </w:rPr>
        <w:t xml:space="preserve"> </w:t>
      </w:r>
      <w:r>
        <w:rPr>
          <w:sz w:val="26"/>
        </w:rPr>
        <w:t>would,</w:t>
      </w:r>
      <w:r>
        <w:rPr>
          <w:spacing w:val="-13"/>
          <w:sz w:val="26"/>
        </w:rPr>
        <w:t xml:space="preserve"> </w:t>
      </w:r>
      <w:r>
        <w:rPr>
          <w:sz w:val="26"/>
        </w:rPr>
        <w:t>therefore,</w:t>
      </w:r>
      <w:r>
        <w:rPr>
          <w:spacing w:val="-11"/>
          <w:sz w:val="26"/>
        </w:rPr>
        <w:t xml:space="preserve"> </w:t>
      </w:r>
      <w:r>
        <w:rPr>
          <w:sz w:val="26"/>
        </w:rPr>
        <w:t>be</w:t>
      </w:r>
      <w:r>
        <w:rPr>
          <w:spacing w:val="-14"/>
          <w:sz w:val="26"/>
        </w:rPr>
        <w:t xml:space="preserve"> </w:t>
      </w:r>
      <w:r>
        <w:rPr>
          <w:sz w:val="26"/>
        </w:rPr>
        <w:t xml:space="preserve">“extraneous and unessential accretions” to religion would be treated as essential parts of religion. In </w:t>
      </w:r>
      <w:r>
        <w:rPr>
          <w:b/>
          <w:sz w:val="26"/>
        </w:rPr>
        <w:t>Sastri Yagnapurushadji</w:t>
      </w:r>
      <w:r>
        <w:rPr>
          <w:sz w:val="26"/>
        </w:rPr>
        <w:t>, Chief Justice Gajendragadkar propounded a view of Hinduism which in doctrinal terms segregates it from practices w</w:t>
      </w:r>
      <w:r>
        <w:rPr>
          <w:sz w:val="26"/>
        </w:rPr>
        <w:t>hich could be isolated from a rational view of religion. The result which followed was that while at a formal level, the court continued to adopt a view which placed credence on the role of the community in deciding what constitutes a part of its religion,</w:t>
      </w:r>
      <w:r>
        <w:rPr>
          <w:sz w:val="26"/>
        </w:rPr>
        <w:t xml:space="preserve"> there is a super imposed adjudicatory role of the court which would determine as to whether something is essential or inessential</w:t>
      </w:r>
      <w:r>
        <w:rPr>
          <w:spacing w:val="-15"/>
          <w:sz w:val="26"/>
        </w:rPr>
        <w:t xml:space="preserve"> </w:t>
      </w:r>
      <w:r>
        <w:rPr>
          <w:sz w:val="26"/>
        </w:rPr>
        <w:t>to</w:t>
      </w:r>
      <w:r>
        <w:rPr>
          <w:spacing w:val="-14"/>
          <w:sz w:val="26"/>
        </w:rPr>
        <w:t xml:space="preserve"> </w:t>
      </w:r>
      <w:r>
        <w:rPr>
          <w:sz w:val="26"/>
        </w:rPr>
        <w:t>religion.</w:t>
      </w:r>
      <w:r>
        <w:rPr>
          <w:spacing w:val="-14"/>
          <w:sz w:val="26"/>
        </w:rPr>
        <w:t xml:space="preserve"> </w:t>
      </w:r>
      <w:r>
        <w:rPr>
          <w:sz w:val="26"/>
        </w:rPr>
        <w:t>In</w:t>
      </w:r>
      <w:r>
        <w:rPr>
          <w:spacing w:val="-14"/>
          <w:sz w:val="26"/>
        </w:rPr>
        <w:t xml:space="preserve"> </w:t>
      </w:r>
      <w:r>
        <w:rPr>
          <w:sz w:val="26"/>
        </w:rPr>
        <w:t>the</w:t>
      </w:r>
      <w:r>
        <w:rPr>
          <w:spacing w:val="-15"/>
          <w:sz w:val="26"/>
        </w:rPr>
        <w:t xml:space="preserve"> </w:t>
      </w:r>
      <w:r>
        <w:rPr>
          <w:sz w:val="26"/>
        </w:rPr>
        <w:t>case</w:t>
      </w:r>
      <w:r>
        <w:rPr>
          <w:spacing w:val="-14"/>
          <w:sz w:val="26"/>
        </w:rPr>
        <w:t xml:space="preserve"> </w:t>
      </w:r>
      <w:r>
        <w:rPr>
          <w:sz w:val="26"/>
        </w:rPr>
        <w:t>of</w:t>
      </w:r>
      <w:r>
        <w:rPr>
          <w:spacing w:val="-10"/>
          <w:sz w:val="26"/>
        </w:rPr>
        <w:t xml:space="preserve"> </w:t>
      </w:r>
      <w:r>
        <w:rPr>
          <w:sz w:val="26"/>
        </w:rPr>
        <w:t>the</w:t>
      </w:r>
      <w:r>
        <w:rPr>
          <w:spacing w:val="-10"/>
          <w:sz w:val="26"/>
        </w:rPr>
        <w:t xml:space="preserve"> </w:t>
      </w:r>
      <w:r>
        <w:rPr>
          <w:b/>
          <w:sz w:val="26"/>
        </w:rPr>
        <w:t>Avadhuta</w:t>
      </w:r>
      <w:r>
        <w:rPr>
          <w:b/>
          <w:spacing w:val="-11"/>
          <w:sz w:val="26"/>
        </w:rPr>
        <w:t xml:space="preserve"> </w:t>
      </w:r>
      <w:r>
        <w:rPr>
          <w:b/>
          <w:sz w:val="26"/>
        </w:rPr>
        <w:t>II</w:t>
      </w:r>
      <w:r>
        <w:rPr>
          <w:sz w:val="26"/>
        </w:rPr>
        <w:t>,</w:t>
      </w:r>
      <w:r>
        <w:rPr>
          <w:spacing w:val="-14"/>
          <w:sz w:val="26"/>
        </w:rPr>
        <w:t xml:space="preserve"> </w:t>
      </w:r>
      <w:r>
        <w:rPr>
          <w:sz w:val="26"/>
        </w:rPr>
        <w:t>the</w:t>
      </w:r>
      <w:r>
        <w:rPr>
          <w:spacing w:val="-12"/>
          <w:sz w:val="26"/>
        </w:rPr>
        <w:t xml:space="preserve"> </w:t>
      </w:r>
      <w:r>
        <w:rPr>
          <w:sz w:val="26"/>
        </w:rPr>
        <w:t>assumption</w:t>
      </w:r>
      <w:r>
        <w:rPr>
          <w:spacing w:val="-15"/>
          <w:sz w:val="26"/>
        </w:rPr>
        <w:t xml:space="preserve"> </w:t>
      </w:r>
      <w:r>
        <w:rPr>
          <w:sz w:val="26"/>
        </w:rPr>
        <w:t>of</w:t>
      </w:r>
      <w:r>
        <w:rPr>
          <w:spacing w:val="-14"/>
          <w:sz w:val="26"/>
        </w:rPr>
        <w:t xml:space="preserve"> </w:t>
      </w:r>
      <w:r>
        <w:rPr>
          <w:sz w:val="26"/>
        </w:rPr>
        <w:t>this</w:t>
      </w:r>
      <w:r>
        <w:rPr>
          <w:spacing w:val="-14"/>
          <w:sz w:val="26"/>
        </w:rPr>
        <w:t xml:space="preserve"> </w:t>
      </w:r>
      <w:r>
        <w:rPr>
          <w:sz w:val="26"/>
        </w:rPr>
        <w:t>role by the Court came to the forefront in allowing it to</w:t>
      </w:r>
      <w:r>
        <w:rPr>
          <w:sz w:val="26"/>
        </w:rPr>
        <w:t xml:space="preserve"> reject a practice as not</w:t>
      </w:r>
      <w:r>
        <w:rPr>
          <w:spacing w:val="-30"/>
          <w:sz w:val="26"/>
        </w:rPr>
        <w:t xml:space="preserve"> </w:t>
      </w:r>
      <w:r>
        <w:rPr>
          <w:sz w:val="26"/>
        </w:rPr>
        <w:t>being essential,</w:t>
      </w:r>
      <w:r>
        <w:rPr>
          <w:spacing w:val="-4"/>
          <w:sz w:val="26"/>
        </w:rPr>
        <w:t xml:space="preserve"> </w:t>
      </w:r>
      <w:r>
        <w:rPr>
          <w:sz w:val="26"/>
        </w:rPr>
        <w:t>though</w:t>
      </w:r>
      <w:r>
        <w:rPr>
          <w:spacing w:val="-4"/>
          <w:sz w:val="26"/>
        </w:rPr>
        <w:t xml:space="preserve"> </w:t>
      </w:r>
      <w:r>
        <w:rPr>
          <w:sz w:val="26"/>
        </w:rPr>
        <w:t>it</w:t>
      </w:r>
      <w:r>
        <w:rPr>
          <w:spacing w:val="-4"/>
          <w:sz w:val="26"/>
        </w:rPr>
        <w:t xml:space="preserve"> </w:t>
      </w:r>
      <w:r>
        <w:rPr>
          <w:sz w:val="26"/>
        </w:rPr>
        <w:t>had</w:t>
      </w:r>
      <w:r>
        <w:rPr>
          <w:spacing w:val="-4"/>
          <w:sz w:val="26"/>
        </w:rPr>
        <w:t xml:space="preserve"> </w:t>
      </w:r>
      <w:r>
        <w:rPr>
          <w:sz w:val="26"/>
        </w:rPr>
        <w:t>been</w:t>
      </w:r>
      <w:r>
        <w:rPr>
          <w:spacing w:val="-1"/>
          <w:sz w:val="26"/>
        </w:rPr>
        <w:t xml:space="preserve"> </w:t>
      </w:r>
      <w:r>
        <w:rPr>
          <w:sz w:val="26"/>
        </w:rPr>
        <w:t>prescribed</w:t>
      </w:r>
      <w:r>
        <w:rPr>
          <w:spacing w:val="-5"/>
          <w:sz w:val="26"/>
        </w:rPr>
        <w:t xml:space="preserve"> </w:t>
      </w:r>
      <w:r>
        <w:rPr>
          <w:sz w:val="26"/>
        </w:rPr>
        <w:t>in</w:t>
      </w:r>
      <w:r>
        <w:rPr>
          <w:spacing w:val="-4"/>
          <w:sz w:val="26"/>
        </w:rPr>
        <w:t xml:space="preserve"> </w:t>
      </w:r>
      <w:r>
        <w:rPr>
          <w:sz w:val="26"/>
        </w:rPr>
        <w:t>a</w:t>
      </w:r>
      <w:r>
        <w:rPr>
          <w:spacing w:val="-4"/>
          <w:sz w:val="26"/>
        </w:rPr>
        <w:t xml:space="preserve"> </w:t>
      </w:r>
      <w:r>
        <w:rPr>
          <w:sz w:val="26"/>
        </w:rPr>
        <w:t>religious</w:t>
      </w:r>
      <w:r>
        <w:rPr>
          <w:spacing w:val="-4"/>
          <w:sz w:val="26"/>
        </w:rPr>
        <w:t xml:space="preserve"> </w:t>
      </w:r>
      <w:r>
        <w:rPr>
          <w:sz w:val="26"/>
        </w:rPr>
        <w:t>text</w:t>
      </w:r>
      <w:r>
        <w:rPr>
          <w:spacing w:val="-3"/>
          <w:sz w:val="26"/>
        </w:rPr>
        <w:t xml:space="preserve"> </w:t>
      </w:r>
      <w:r>
        <w:rPr>
          <w:sz w:val="26"/>
        </w:rPr>
        <w:t>by</w:t>
      </w:r>
      <w:r>
        <w:rPr>
          <w:spacing w:val="-6"/>
          <w:sz w:val="26"/>
        </w:rPr>
        <w:t xml:space="preserve"> </w:t>
      </w:r>
      <w:r>
        <w:rPr>
          <w:sz w:val="26"/>
        </w:rPr>
        <w:t>the</w:t>
      </w:r>
      <w:r>
        <w:rPr>
          <w:spacing w:val="-4"/>
          <w:sz w:val="26"/>
        </w:rPr>
        <w:t xml:space="preserve"> </w:t>
      </w:r>
      <w:r>
        <w:rPr>
          <w:sz w:val="26"/>
        </w:rPr>
        <w:t>founder</w:t>
      </w:r>
      <w:r>
        <w:rPr>
          <w:spacing w:val="-4"/>
          <w:sz w:val="26"/>
        </w:rPr>
        <w:t xml:space="preserve"> </w:t>
      </w:r>
      <w:r>
        <w:rPr>
          <w:sz w:val="26"/>
        </w:rPr>
        <w:t>of</w:t>
      </w:r>
      <w:r>
        <w:rPr>
          <w:spacing w:val="-4"/>
          <w:sz w:val="26"/>
        </w:rPr>
        <w:t xml:space="preserve"> </w:t>
      </w:r>
      <w:r>
        <w:rPr>
          <w:sz w:val="26"/>
        </w:rPr>
        <w:t>the sect.</w:t>
      </w:r>
    </w:p>
    <w:p w:rsidR="003B2FC0" w:rsidRDefault="003B2FC0">
      <w:pPr>
        <w:rPr>
          <w:sz w:val="28"/>
        </w:rPr>
      </w:pPr>
    </w:p>
    <w:p w:rsidR="003B2FC0" w:rsidRDefault="003B2FC0">
      <w:pPr>
        <w:spacing w:before="11"/>
        <w:rPr>
          <w:sz w:val="32"/>
        </w:rPr>
      </w:pPr>
    </w:p>
    <w:p w:rsidR="003B2FC0" w:rsidRDefault="00052A49">
      <w:pPr>
        <w:spacing w:line="480" w:lineRule="auto"/>
        <w:ind w:left="400" w:right="436"/>
        <w:jc w:val="both"/>
        <w:rPr>
          <w:sz w:val="26"/>
        </w:rPr>
      </w:pPr>
      <w:r>
        <w:rPr>
          <w:sz w:val="26"/>
        </w:rPr>
        <w:t>By reserving to itself the authority to determine practices which are essential</w:t>
      </w:r>
      <w:r>
        <w:rPr>
          <w:spacing w:val="-27"/>
          <w:sz w:val="26"/>
        </w:rPr>
        <w:t xml:space="preserve"> </w:t>
      </w:r>
      <w:r>
        <w:rPr>
          <w:sz w:val="26"/>
        </w:rPr>
        <w:t>or inessential to religion, the Court assumed a reformatory role which would allow it</w:t>
      </w:r>
      <w:r>
        <w:rPr>
          <w:spacing w:val="27"/>
          <w:sz w:val="26"/>
        </w:rPr>
        <w:t xml:space="preserve"> </w:t>
      </w:r>
      <w:r>
        <w:rPr>
          <w:sz w:val="26"/>
        </w:rPr>
        <w:t>to</w:t>
      </w:r>
      <w:r>
        <w:rPr>
          <w:spacing w:val="27"/>
          <w:sz w:val="26"/>
        </w:rPr>
        <w:t xml:space="preserve"> </w:t>
      </w:r>
      <w:r>
        <w:rPr>
          <w:sz w:val="26"/>
        </w:rPr>
        <w:t>cleanse</w:t>
      </w:r>
      <w:r>
        <w:rPr>
          <w:spacing w:val="28"/>
          <w:sz w:val="26"/>
        </w:rPr>
        <w:t xml:space="preserve"> </w:t>
      </w:r>
      <w:r>
        <w:rPr>
          <w:sz w:val="26"/>
        </w:rPr>
        <w:t>religion</w:t>
      </w:r>
      <w:r>
        <w:rPr>
          <w:spacing w:val="29"/>
          <w:sz w:val="26"/>
        </w:rPr>
        <w:t xml:space="preserve"> </w:t>
      </w:r>
      <w:r>
        <w:rPr>
          <w:sz w:val="26"/>
        </w:rPr>
        <w:t>of</w:t>
      </w:r>
      <w:r>
        <w:rPr>
          <w:spacing w:val="27"/>
          <w:sz w:val="26"/>
        </w:rPr>
        <w:t xml:space="preserve"> </w:t>
      </w:r>
      <w:r>
        <w:rPr>
          <w:sz w:val="26"/>
        </w:rPr>
        <w:t>practices</w:t>
      </w:r>
      <w:r>
        <w:rPr>
          <w:spacing w:val="31"/>
          <w:sz w:val="26"/>
        </w:rPr>
        <w:t xml:space="preserve"> </w:t>
      </w:r>
      <w:r>
        <w:rPr>
          <w:sz w:val="26"/>
        </w:rPr>
        <w:t>which</w:t>
      </w:r>
      <w:r>
        <w:rPr>
          <w:spacing w:val="29"/>
          <w:sz w:val="26"/>
        </w:rPr>
        <w:t xml:space="preserve"> </w:t>
      </w:r>
      <w:r>
        <w:rPr>
          <w:sz w:val="26"/>
        </w:rPr>
        <w:t>were</w:t>
      </w:r>
      <w:r>
        <w:rPr>
          <w:spacing w:val="27"/>
          <w:sz w:val="26"/>
        </w:rPr>
        <w:t xml:space="preserve"> </w:t>
      </w:r>
      <w:r>
        <w:rPr>
          <w:sz w:val="26"/>
        </w:rPr>
        <w:t>derogatory</w:t>
      </w:r>
      <w:r>
        <w:rPr>
          <w:spacing w:val="25"/>
          <w:sz w:val="26"/>
        </w:rPr>
        <w:t xml:space="preserve"> </w:t>
      </w:r>
      <w:r>
        <w:rPr>
          <w:sz w:val="26"/>
        </w:rPr>
        <w:t>to</w:t>
      </w:r>
      <w:r>
        <w:rPr>
          <w:spacing w:val="27"/>
          <w:sz w:val="26"/>
        </w:rPr>
        <w:t xml:space="preserve"> </w:t>
      </w:r>
      <w:r>
        <w:rPr>
          <w:sz w:val="26"/>
        </w:rPr>
        <w:t>individual</w:t>
      </w:r>
      <w:r>
        <w:rPr>
          <w:spacing w:val="27"/>
          <w:sz w:val="26"/>
        </w:rPr>
        <w:t xml:space="preserve"> </w:t>
      </w:r>
      <w:r>
        <w:rPr>
          <w:sz w:val="26"/>
        </w:rPr>
        <w:t>dignity.</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 xml:space="preserve">Exclusions from temple entry could be regarded as matters which were not </w:t>
      </w:r>
      <w:r>
        <w:rPr>
          <w:sz w:val="26"/>
        </w:rPr>
        <w:t>integral to religion. While doing so, the Court would set up a progressive view of religion. This approach is problematic. The rationale for allowing a religious community to define what constitutes an essential aspect of its religion is to protect the aut</w:t>
      </w:r>
      <w:r>
        <w:rPr>
          <w:sz w:val="26"/>
        </w:rPr>
        <w:t>onomy of religions and religious denominations. Protecting that autonomy enhances the liberal values of the Constitution. By entering upon doctrinal</w:t>
      </w:r>
      <w:r>
        <w:rPr>
          <w:spacing w:val="-10"/>
          <w:sz w:val="26"/>
        </w:rPr>
        <w:t xml:space="preserve"> </w:t>
      </w:r>
      <w:r>
        <w:rPr>
          <w:sz w:val="26"/>
        </w:rPr>
        <w:t>issues</w:t>
      </w:r>
      <w:r>
        <w:rPr>
          <w:spacing w:val="-9"/>
          <w:sz w:val="26"/>
        </w:rPr>
        <w:t xml:space="preserve"> </w:t>
      </w:r>
      <w:r>
        <w:rPr>
          <w:sz w:val="26"/>
        </w:rPr>
        <w:t>of</w:t>
      </w:r>
      <w:r>
        <w:rPr>
          <w:spacing w:val="-7"/>
          <w:sz w:val="26"/>
        </w:rPr>
        <w:t xml:space="preserve"> </w:t>
      </w:r>
      <w:r>
        <w:rPr>
          <w:sz w:val="26"/>
        </w:rPr>
        <w:t>what</w:t>
      </w:r>
      <w:r>
        <w:rPr>
          <w:spacing w:val="-9"/>
          <w:sz w:val="26"/>
        </w:rPr>
        <w:t xml:space="preserve"> </w:t>
      </w:r>
      <w:r>
        <w:rPr>
          <w:sz w:val="26"/>
        </w:rPr>
        <w:t>does</w:t>
      </w:r>
      <w:r>
        <w:rPr>
          <w:spacing w:val="-7"/>
          <w:sz w:val="26"/>
        </w:rPr>
        <w:t xml:space="preserve"> </w:t>
      </w:r>
      <w:r>
        <w:rPr>
          <w:sz w:val="26"/>
        </w:rPr>
        <w:t>or</w:t>
      </w:r>
      <w:r>
        <w:rPr>
          <w:spacing w:val="-10"/>
          <w:sz w:val="26"/>
        </w:rPr>
        <w:t xml:space="preserve"> </w:t>
      </w:r>
      <w:r>
        <w:rPr>
          <w:sz w:val="26"/>
        </w:rPr>
        <w:t>does</w:t>
      </w:r>
      <w:r>
        <w:rPr>
          <w:spacing w:val="-9"/>
          <w:sz w:val="26"/>
        </w:rPr>
        <w:t xml:space="preserve"> </w:t>
      </w:r>
      <w:r>
        <w:rPr>
          <w:sz w:val="26"/>
        </w:rPr>
        <w:t>not</w:t>
      </w:r>
      <w:r>
        <w:rPr>
          <w:spacing w:val="-7"/>
          <w:sz w:val="26"/>
        </w:rPr>
        <w:t xml:space="preserve"> </w:t>
      </w:r>
      <w:r>
        <w:rPr>
          <w:sz w:val="26"/>
        </w:rPr>
        <w:t>constitute</w:t>
      </w:r>
      <w:r>
        <w:rPr>
          <w:spacing w:val="-9"/>
          <w:sz w:val="26"/>
        </w:rPr>
        <w:t xml:space="preserve"> </w:t>
      </w:r>
      <w:r>
        <w:rPr>
          <w:sz w:val="26"/>
        </w:rPr>
        <w:t>an</w:t>
      </w:r>
      <w:r>
        <w:rPr>
          <w:spacing w:val="-9"/>
          <w:sz w:val="26"/>
        </w:rPr>
        <w:t xml:space="preserve"> </w:t>
      </w:r>
      <w:r>
        <w:rPr>
          <w:sz w:val="26"/>
        </w:rPr>
        <w:t>essential</w:t>
      </w:r>
      <w:r>
        <w:rPr>
          <w:spacing w:val="-9"/>
          <w:sz w:val="26"/>
        </w:rPr>
        <w:t xml:space="preserve"> </w:t>
      </w:r>
      <w:r>
        <w:rPr>
          <w:sz w:val="26"/>
        </w:rPr>
        <w:t>part</w:t>
      </w:r>
      <w:r>
        <w:rPr>
          <w:spacing w:val="-10"/>
          <w:sz w:val="26"/>
        </w:rPr>
        <w:t xml:space="preserve"> </w:t>
      </w:r>
      <w:r>
        <w:rPr>
          <w:sz w:val="26"/>
        </w:rPr>
        <w:t>of</w:t>
      </w:r>
      <w:r>
        <w:rPr>
          <w:spacing w:val="-9"/>
          <w:sz w:val="26"/>
        </w:rPr>
        <w:t xml:space="preserve"> </w:t>
      </w:r>
      <w:r>
        <w:rPr>
          <w:sz w:val="26"/>
        </w:rPr>
        <w:t>religion, the Court has, as a necessary con</w:t>
      </w:r>
      <w:r>
        <w:rPr>
          <w:sz w:val="26"/>
        </w:rPr>
        <w:t>sequence, been required to adopt a</w:t>
      </w:r>
      <w:r>
        <w:rPr>
          <w:spacing w:val="-51"/>
          <w:sz w:val="26"/>
        </w:rPr>
        <w:t xml:space="preserve"> </w:t>
      </w:r>
      <w:r>
        <w:rPr>
          <w:sz w:val="26"/>
        </w:rPr>
        <w:t>religious mantle. The Court would determine as to whether a practice is or is not an essential part of religion. This has enabled the Court to adopt a reformist</w:t>
      </w:r>
      <w:r>
        <w:rPr>
          <w:spacing w:val="-28"/>
          <w:sz w:val="26"/>
        </w:rPr>
        <w:t xml:space="preserve"> </w:t>
      </w:r>
      <w:r>
        <w:rPr>
          <w:sz w:val="26"/>
        </w:rPr>
        <w:t>vision of religion even though it may conflict with the views held by the religion and</w:t>
      </w:r>
      <w:r>
        <w:rPr>
          <w:spacing w:val="-38"/>
          <w:sz w:val="26"/>
        </w:rPr>
        <w:t xml:space="preserve"> </w:t>
      </w:r>
      <w:r>
        <w:rPr>
          <w:sz w:val="26"/>
        </w:rPr>
        <w:t>by those who practice and profess the faith. The competence of the Court to do so and the legitimacy of the assumption of that role may be questionable. The Court discha</w:t>
      </w:r>
      <w:r>
        <w:rPr>
          <w:sz w:val="26"/>
        </w:rPr>
        <w:t>rges a constitutional (as distinct from an ecclesiastical) role in adjudication. Adjudicating on what does or does not form an essential part of religion blurs the distinction between the religious-secular divide and the essential/inessential approach. The</w:t>
      </w:r>
      <w:r>
        <w:rPr>
          <w:sz w:val="26"/>
        </w:rPr>
        <w:t xml:space="preserve"> former has a textual origin in Article 25(2)(a). The latter is a judicial</w:t>
      </w:r>
      <w:r>
        <w:rPr>
          <w:spacing w:val="-3"/>
          <w:sz w:val="26"/>
        </w:rPr>
        <w:t xml:space="preserve"> </w:t>
      </w:r>
      <w:r>
        <w:rPr>
          <w:sz w:val="26"/>
        </w:rPr>
        <w:t>creation.</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5" w:firstLine="0"/>
        <w:jc w:val="both"/>
        <w:rPr>
          <w:sz w:val="26"/>
        </w:rPr>
      </w:pPr>
      <w:r>
        <w:rPr>
          <w:sz w:val="26"/>
        </w:rPr>
        <w:t>The assumption by the court of the authority to determine whether a practice is or is not essential to religion has led to our jurisprudence bypassing what should in fac</w:t>
      </w:r>
      <w:r>
        <w:rPr>
          <w:sz w:val="26"/>
        </w:rPr>
        <w:t>t be the central issue for debate. That issue is whether the Constitution ascribes to religion and to religious denominations the authority</w:t>
      </w:r>
      <w:r>
        <w:rPr>
          <w:spacing w:val="33"/>
          <w:sz w:val="26"/>
        </w:rPr>
        <w:t xml:space="preserve"> </w:t>
      </w:r>
      <w:r>
        <w:rPr>
          <w:sz w:val="26"/>
        </w:rPr>
        <w:t>to</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5"/>
        <w:jc w:val="both"/>
        <w:rPr>
          <w:sz w:val="26"/>
        </w:rPr>
      </w:pPr>
      <w:r>
        <w:rPr>
          <w:sz w:val="26"/>
        </w:rPr>
        <w:t>enforce practices which exclude a group of citizens. The exclusion may relate to prayer and wo</w:t>
      </w:r>
      <w:r>
        <w:rPr>
          <w:sz w:val="26"/>
        </w:rPr>
        <w:t>rship, but may extend to matters which bear upon the liberty and</w:t>
      </w:r>
      <w:r>
        <w:rPr>
          <w:spacing w:val="-16"/>
          <w:sz w:val="26"/>
        </w:rPr>
        <w:t xml:space="preserve"> </w:t>
      </w:r>
      <w:r>
        <w:rPr>
          <w:sz w:val="26"/>
        </w:rPr>
        <w:t>dignity</w:t>
      </w:r>
      <w:r>
        <w:rPr>
          <w:spacing w:val="-16"/>
          <w:sz w:val="26"/>
        </w:rPr>
        <w:t xml:space="preserve"> </w:t>
      </w:r>
      <w:r>
        <w:rPr>
          <w:sz w:val="26"/>
        </w:rPr>
        <w:t>of</w:t>
      </w:r>
      <w:r>
        <w:rPr>
          <w:spacing w:val="-15"/>
          <w:sz w:val="26"/>
        </w:rPr>
        <w:t xml:space="preserve"> </w:t>
      </w:r>
      <w:r>
        <w:rPr>
          <w:sz w:val="26"/>
        </w:rPr>
        <w:t>the</w:t>
      </w:r>
      <w:r>
        <w:rPr>
          <w:spacing w:val="-14"/>
          <w:sz w:val="26"/>
        </w:rPr>
        <w:t xml:space="preserve"> </w:t>
      </w:r>
      <w:r>
        <w:rPr>
          <w:sz w:val="26"/>
        </w:rPr>
        <w:t>individual.</w:t>
      </w:r>
      <w:r>
        <w:rPr>
          <w:spacing w:val="41"/>
          <w:sz w:val="26"/>
        </w:rPr>
        <w:t xml:space="preserve"> </w:t>
      </w:r>
      <w:r>
        <w:rPr>
          <w:sz w:val="26"/>
        </w:rPr>
        <w:t>The</w:t>
      </w:r>
      <w:r>
        <w:rPr>
          <w:spacing w:val="-13"/>
          <w:sz w:val="26"/>
        </w:rPr>
        <w:t xml:space="preserve"> </w:t>
      </w:r>
      <w:r>
        <w:rPr>
          <w:sz w:val="26"/>
        </w:rPr>
        <w:t>Constitution</w:t>
      </w:r>
      <w:r>
        <w:rPr>
          <w:spacing w:val="-16"/>
          <w:sz w:val="26"/>
        </w:rPr>
        <w:t xml:space="preserve"> </w:t>
      </w:r>
      <w:r>
        <w:rPr>
          <w:sz w:val="26"/>
        </w:rPr>
        <w:t>does</w:t>
      </w:r>
      <w:r>
        <w:rPr>
          <w:spacing w:val="-16"/>
          <w:sz w:val="26"/>
        </w:rPr>
        <w:t xml:space="preserve"> </w:t>
      </w:r>
      <w:r>
        <w:rPr>
          <w:sz w:val="26"/>
        </w:rPr>
        <w:t>recognise</w:t>
      </w:r>
      <w:r>
        <w:rPr>
          <w:spacing w:val="-15"/>
          <w:sz w:val="26"/>
        </w:rPr>
        <w:t xml:space="preserve"> </w:t>
      </w:r>
      <w:r>
        <w:rPr>
          <w:sz w:val="26"/>
        </w:rPr>
        <w:t>group</w:t>
      </w:r>
      <w:r>
        <w:rPr>
          <w:spacing w:val="-16"/>
          <w:sz w:val="26"/>
        </w:rPr>
        <w:t xml:space="preserve"> </w:t>
      </w:r>
      <w:r>
        <w:rPr>
          <w:sz w:val="26"/>
        </w:rPr>
        <w:t>rights</w:t>
      </w:r>
      <w:r>
        <w:rPr>
          <w:spacing w:val="-13"/>
          <w:sz w:val="26"/>
        </w:rPr>
        <w:t xml:space="preserve"> </w:t>
      </w:r>
      <w:r>
        <w:rPr>
          <w:sz w:val="26"/>
        </w:rPr>
        <w:t>when it confers rights on religious denominations in Article 26. Yet the basic</w:t>
      </w:r>
      <w:r>
        <w:rPr>
          <w:spacing w:val="-33"/>
          <w:sz w:val="26"/>
        </w:rPr>
        <w:t xml:space="preserve"> </w:t>
      </w:r>
      <w:r>
        <w:rPr>
          <w:sz w:val="26"/>
        </w:rPr>
        <w:t>question which needs to be answered is w</w:t>
      </w:r>
      <w:r>
        <w:rPr>
          <w:sz w:val="26"/>
        </w:rPr>
        <w:t>hether the recognition of rights inhering in religious denominations can impact upon the fundamental values of dignity, liberty and equality which animate the soul of the</w:t>
      </w:r>
      <w:r>
        <w:rPr>
          <w:spacing w:val="-11"/>
          <w:sz w:val="26"/>
        </w:rPr>
        <w:t xml:space="preserve"> </w:t>
      </w:r>
      <w:r>
        <w:rPr>
          <w:sz w:val="26"/>
        </w:rPr>
        <w:t>Constitution.</w:t>
      </w:r>
    </w:p>
    <w:p w:rsidR="003B2FC0" w:rsidRDefault="003B2FC0">
      <w:pPr>
        <w:rPr>
          <w:sz w:val="28"/>
        </w:rPr>
      </w:pPr>
    </w:p>
    <w:p w:rsidR="003B2FC0" w:rsidRDefault="003B2FC0">
      <w:pPr>
        <w:spacing w:before="9"/>
        <w:rPr>
          <w:sz w:val="32"/>
        </w:rPr>
      </w:pPr>
    </w:p>
    <w:p w:rsidR="003B2FC0" w:rsidRDefault="00052A49">
      <w:pPr>
        <w:spacing w:line="480" w:lineRule="auto"/>
        <w:ind w:left="400" w:right="435"/>
        <w:jc w:val="both"/>
        <w:rPr>
          <w:sz w:val="26"/>
        </w:rPr>
      </w:pPr>
      <w:r>
        <w:rPr>
          <w:sz w:val="26"/>
        </w:rPr>
        <w:t>In analysing this issue, it is well to remind ourselves that the righ</w:t>
      </w:r>
      <w:r>
        <w:rPr>
          <w:sz w:val="26"/>
        </w:rPr>
        <w:t>t to freedom</w:t>
      </w:r>
      <w:r>
        <w:rPr>
          <w:spacing w:val="-30"/>
          <w:sz w:val="26"/>
        </w:rPr>
        <w:t xml:space="preserve"> </w:t>
      </w:r>
      <w:r>
        <w:rPr>
          <w:sz w:val="26"/>
        </w:rPr>
        <w:t>of religion</w:t>
      </w:r>
      <w:r>
        <w:rPr>
          <w:spacing w:val="-14"/>
          <w:sz w:val="26"/>
        </w:rPr>
        <w:t xml:space="preserve"> </w:t>
      </w:r>
      <w:r>
        <w:rPr>
          <w:sz w:val="26"/>
        </w:rPr>
        <w:t>which</w:t>
      </w:r>
      <w:r>
        <w:rPr>
          <w:spacing w:val="-14"/>
          <w:sz w:val="26"/>
        </w:rPr>
        <w:t xml:space="preserve"> </w:t>
      </w:r>
      <w:r>
        <w:rPr>
          <w:sz w:val="26"/>
        </w:rPr>
        <w:t>is</w:t>
      </w:r>
      <w:r>
        <w:rPr>
          <w:spacing w:val="-16"/>
          <w:sz w:val="26"/>
        </w:rPr>
        <w:t xml:space="preserve"> </w:t>
      </w:r>
      <w:r>
        <w:rPr>
          <w:sz w:val="26"/>
        </w:rPr>
        <w:t>comprehended</w:t>
      </w:r>
      <w:r>
        <w:rPr>
          <w:spacing w:val="-16"/>
          <w:sz w:val="26"/>
        </w:rPr>
        <w:t xml:space="preserve"> </w:t>
      </w:r>
      <w:r>
        <w:rPr>
          <w:sz w:val="26"/>
        </w:rPr>
        <w:t>in</w:t>
      </w:r>
      <w:r>
        <w:rPr>
          <w:spacing w:val="-16"/>
          <w:sz w:val="26"/>
        </w:rPr>
        <w:t xml:space="preserve"> </w:t>
      </w:r>
      <w:r>
        <w:rPr>
          <w:sz w:val="26"/>
        </w:rPr>
        <w:t>Articles</w:t>
      </w:r>
      <w:r>
        <w:rPr>
          <w:spacing w:val="-14"/>
          <w:sz w:val="26"/>
        </w:rPr>
        <w:t xml:space="preserve"> </w:t>
      </w:r>
      <w:r>
        <w:rPr>
          <w:sz w:val="26"/>
        </w:rPr>
        <w:t>25,</w:t>
      </w:r>
      <w:r>
        <w:rPr>
          <w:spacing w:val="-16"/>
          <w:sz w:val="26"/>
        </w:rPr>
        <w:t xml:space="preserve"> </w:t>
      </w:r>
      <w:r>
        <w:rPr>
          <w:sz w:val="26"/>
        </w:rPr>
        <w:t>26,</w:t>
      </w:r>
      <w:r>
        <w:rPr>
          <w:spacing w:val="-14"/>
          <w:sz w:val="26"/>
        </w:rPr>
        <w:t xml:space="preserve"> </w:t>
      </w:r>
      <w:r>
        <w:rPr>
          <w:sz w:val="26"/>
        </w:rPr>
        <w:t>27</w:t>
      </w:r>
      <w:r>
        <w:rPr>
          <w:spacing w:val="-14"/>
          <w:sz w:val="26"/>
        </w:rPr>
        <w:t xml:space="preserve"> </w:t>
      </w:r>
      <w:r>
        <w:rPr>
          <w:sz w:val="26"/>
        </w:rPr>
        <w:t>and</w:t>
      </w:r>
      <w:r>
        <w:rPr>
          <w:spacing w:val="-16"/>
          <w:sz w:val="26"/>
        </w:rPr>
        <w:t xml:space="preserve"> </w:t>
      </w:r>
      <w:r>
        <w:rPr>
          <w:sz w:val="26"/>
        </w:rPr>
        <w:t>28</w:t>
      </w:r>
      <w:r>
        <w:rPr>
          <w:spacing w:val="-16"/>
          <w:sz w:val="26"/>
        </w:rPr>
        <w:t xml:space="preserve"> </w:t>
      </w:r>
      <w:r>
        <w:rPr>
          <w:sz w:val="26"/>
        </w:rPr>
        <w:t>is</w:t>
      </w:r>
      <w:r>
        <w:rPr>
          <w:spacing w:val="-13"/>
          <w:sz w:val="26"/>
        </w:rPr>
        <w:t xml:space="preserve"> </w:t>
      </w:r>
      <w:r>
        <w:rPr>
          <w:sz w:val="26"/>
        </w:rPr>
        <w:t>not</w:t>
      </w:r>
      <w:r>
        <w:rPr>
          <w:spacing w:val="-16"/>
          <w:sz w:val="26"/>
        </w:rPr>
        <w:t xml:space="preserve"> </w:t>
      </w:r>
      <w:r>
        <w:rPr>
          <w:sz w:val="26"/>
        </w:rPr>
        <w:t>a</w:t>
      </w:r>
      <w:r>
        <w:rPr>
          <w:spacing w:val="-16"/>
          <w:sz w:val="26"/>
        </w:rPr>
        <w:t xml:space="preserve"> </w:t>
      </w:r>
      <w:r>
        <w:rPr>
          <w:sz w:val="26"/>
        </w:rPr>
        <w:t>stand</w:t>
      </w:r>
      <w:r>
        <w:rPr>
          <w:spacing w:val="-14"/>
          <w:sz w:val="26"/>
        </w:rPr>
        <w:t xml:space="preserve"> </w:t>
      </w:r>
      <w:r>
        <w:rPr>
          <w:sz w:val="26"/>
        </w:rPr>
        <w:t>alone right. These Articles of the Constitution are an integral element of the entire chapter on fundamental rights. Constitutional articles which recognise fundamental rights have to be understood as a seamless web. Together, they build the edifice of con</w:t>
      </w:r>
      <w:r>
        <w:rPr>
          <w:sz w:val="26"/>
        </w:rPr>
        <w:t>stitutional liberty. Fundamental human freedoms in Part III are not disjunctive or isolated. They exist together. It is only in cohesion that they bring a realistic sense to the life of the individual as the focus of human freedoms.</w:t>
      </w:r>
      <w:r>
        <w:rPr>
          <w:spacing w:val="-16"/>
          <w:sz w:val="26"/>
        </w:rPr>
        <w:t xml:space="preserve"> </w:t>
      </w:r>
      <w:r>
        <w:rPr>
          <w:sz w:val="26"/>
        </w:rPr>
        <w:t>The</w:t>
      </w:r>
      <w:r>
        <w:rPr>
          <w:spacing w:val="-16"/>
          <w:sz w:val="26"/>
        </w:rPr>
        <w:t xml:space="preserve"> </w:t>
      </w:r>
      <w:r>
        <w:rPr>
          <w:sz w:val="26"/>
        </w:rPr>
        <w:t>right</w:t>
      </w:r>
      <w:r>
        <w:rPr>
          <w:spacing w:val="-14"/>
          <w:sz w:val="26"/>
        </w:rPr>
        <w:t xml:space="preserve"> </w:t>
      </w:r>
      <w:r>
        <w:rPr>
          <w:sz w:val="26"/>
        </w:rPr>
        <w:t>of</w:t>
      </w:r>
      <w:r>
        <w:rPr>
          <w:spacing w:val="-16"/>
          <w:sz w:val="26"/>
        </w:rPr>
        <w:t xml:space="preserve"> </w:t>
      </w:r>
      <w:r>
        <w:rPr>
          <w:sz w:val="26"/>
        </w:rPr>
        <w:t>a</w:t>
      </w:r>
      <w:r>
        <w:rPr>
          <w:spacing w:val="-16"/>
          <w:sz w:val="26"/>
        </w:rPr>
        <w:t xml:space="preserve"> </w:t>
      </w:r>
      <w:r>
        <w:rPr>
          <w:sz w:val="26"/>
        </w:rPr>
        <w:t>denomina</w:t>
      </w:r>
      <w:r>
        <w:rPr>
          <w:sz w:val="26"/>
        </w:rPr>
        <w:t>tion</w:t>
      </w:r>
      <w:r>
        <w:rPr>
          <w:spacing w:val="-14"/>
          <w:sz w:val="26"/>
        </w:rPr>
        <w:t xml:space="preserve"> </w:t>
      </w:r>
      <w:r>
        <w:rPr>
          <w:sz w:val="26"/>
        </w:rPr>
        <w:t>must</w:t>
      </w:r>
      <w:r>
        <w:rPr>
          <w:spacing w:val="-15"/>
          <w:sz w:val="26"/>
        </w:rPr>
        <w:t xml:space="preserve"> </w:t>
      </w:r>
      <w:r>
        <w:rPr>
          <w:sz w:val="26"/>
        </w:rPr>
        <w:t>then</w:t>
      </w:r>
      <w:r>
        <w:rPr>
          <w:spacing w:val="-14"/>
          <w:sz w:val="26"/>
        </w:rPr>
        <w:t xml:space="preserve"> </w:t>
      </w:r>
      <w:r>
        <w:rPr>
          <w:sz w:val="26"/>
        </w:rPr>
        <w:t>be</w:t>
      </w:r>
      <w:r>
        <w:rPr>
          <w:spacing w:val="-16"/>
          <w:sz w:val="26"/>
        </w:rPr>
        <w:t xml:space="preserve"> </w:t>
      </w:r>
      <w:r>
        <w:rPr>
          <w:sz w:val="26"/>
        </w:rPr>
        <w:t>balanced</w:t>
      </w:r>
      <w:r>
        <w:rPr>
          <w:spacing w:val="-14"/>
          <w:sz w:val="26"/>
        </w:rPr>
        <w:t xml:space="preserve"> </w:t>
      </w:r>
      <w:r>
        <w:rPr>
          <w:sz w:val="26"/>
        </w:rPr>
        <w:t>with</w:t>
      </w:r>
      <w:r>
        <w:rPr>
          <w:spacing w:val="-16"/>
          <w:sz w:val="26"/>
        </w:rPr>
        <w:t xml:space="preserve"> </w:t>
      </w:r>
      <w:r>
        <w:rPr>
          <w:sz w:val="26"/>
        </w:rPr>
        <w:t>the</w:t>
      </w:r>
      <w:r>
        <w:rPr>
          <w:spacing w:val="-16"/>
          <w:sz w:val="26"/>
        </w:rPr>
        <w:t xml:space="preserve"> </w:t>
      </w:r>
      <w:r>
        <w:rPr>
          <w:sz w:val="26"/>
        </w:rPr>
        <w:t>individual rights to which each of its members has a protected entitlement in Part</w:t>
      </w:r>
      <w:r>
        <w:rPr>
          <w:spacing w:val="-10"/>
          <w:sz w:val="26"/>
        </w:rPr>
        <w:t xml:space="preserve"> </w:t>
      </w:r>
      <w:r>
        <w:rPr>
          <w:sz w:val="26"/>
        </w:rPr>
        <w:t>III.</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1"/>
        </w:tabs>
        <w:spacing w:line="480" w:lineRule="auto"/>
        <w:ind w:right="438" w:firstLine="0"/>
        <w:jc w:val="both"/>
        <w:rPr>
          <w:sz w:val="26"/>
        </w:rPr>
      </w:pPr>
      <w:r>
        <w:rPr>
          <w:sz w:val="26"/>
        </w:rPr>
        <w:t>Several articles in the chapter on fundamental rights are addressed specifically to the state. But significantly, others have a horizontal application to state as well non-state entities. Article 15(2) embodies a guarantee against discrimination</w:t>
      </w:r>
      <w:r>
        <w:rPr>
          <w:spacing w:val="-7"/>
          <w:sz w:val="26"/>
        </w:rPr>
        <w:t xml:space="preserve"> </w:t>
      </w:r>
      <w:r>
        <w:rPr>
          <w:sz w:val="26"/>
        </w:rPr>
        <w:t>on</w:t>
      </w:r>
      <w:r>
        <w:rPr>
          <w:spacing w:val="-9"/>
          <w:sz w:val="26"/>
        </w:rPr>
        <w:t xml:space="preserve"> </w:t>
      </w:r>
      <w:r>
        <w:rPr>
          <w:sz w:val="26"/>
        </w:rPr>
        <w:t>grounds</w:t>
      </w:r>
      <w:r>
        <w:rPr>
          <w:spacing w:val="-8"/>
          <w:sz w:val="26"/>
        </w:rPr>
        <w:t xml:space="preserve"> </w:t>
      </w:r>
      <w:r>
        <w:rPr>
          <w:sz w:val="26"/>
        </w:rPr>
        <w:t>of</w:t>
      </w:r>
      <w:r>
        <w:rPr>
          <w:spacing w:val="-9"/>
          <w:sz w:val="26"/>
        </w:rPr>
        <w:t xml:space="preserve"> </w:t>
      </w:r>
      <w:r>
        <w:rPr>
          <w:sz w:val="26"/>
        </w:rPr>
        <w:t>religion,</w:t>
      </w:r>
      <w:r>
        <w:rPr>
          <w:spacing w:val="-8"/>
          <w:sz w:val="26"/>
        </w:rPr>
        <w:t xml:space="preserve"> </w:t>
      </w:r>
      <w:r>
        <w:rPr>
          <w:sz w:val="26"/>
        </w:rPr>
        <w:t>race,</w:t>
      </w:r>
      <w:r>
        <w:rPr>
          <w:spacing w:val="-9"/>
          <w:sz w:val="26"/>
        </w:rPr>
        <w:t xml:space="preserve"> </w:t>
      </w:r>
      <w:r>
        <w:rPr>
          <w:sz w:val="26"/>
        </w:rPr>
        <w:t>caste,</w:t>
      </w:r>
      <w:r>
        <w:rPr>
          <w:spacing w:val="-8"/>
          <w:sz w:val="26"/>
        </w:rPr>
        <w:t xml:space="preserve"> </w:t>
      </w:r>
      <w:r>
        <w:rPr>
          <w:sz w:val="26"/>
        </w:rPr>
        <w:t>sex</w:t>
      </w:r>
      <w:r>
        <w:rPr>
          <w:spacing w:val="-11"/>
          <w:sz w:val="26"/>
        </w:rPr>
        <w:t xml:space="preserve"> </w:t>
      </w:r>
      <w:r>
        <w:rPr>
          <w:sz w:val="26"/>
        </w:rPr>
        <w:t>or</w:t>
      </w:r>
      <w:r>
        <w:rPr>
          <w:spacing w:val="-8"/>
          <w:sz w:val="26"/>
        </w:rPr>
        <w:t xml:space="preserve"> </w:t>
      </w:r>
      <w:r>
        <w:rPr>
          <w:sz w:val="26"/>
        </w:rPr>
        <w:t>birth</w:t>
      </w:r>
      <w:r>
        <w:rPr>
          <w:spacing w:val="-9"/>
          <w:sz w:val="26"/>
        </w:rPr>
        <w:t xml:space="preserve"> </w:t>
      </w:r>
      <w:r>
        <w:rPr>
          <w:sz w:val="26"/>
        </w:rPr>
        <w:t>place</w:t>
      </w:r>
      <w:r>
        <w:rPr>
          <w:spacing w:val="-8"/>
          <w:sz w:val="26"/>
        </w:rPr>
        <w:t xml:space="preserve"> </w:t>
      </w:r>
      <w:r>
        <w:rPr>
          <w:sz w:val="26"/>
        </w:rPr>
        <w:t>in</w:t>
      </w:r>
      <w:r>
        <w:rPr>
          <w:spacing w:val="-9"/>
          <w:sz w:val="26"/>
        </w:rPr>
        <w:t xml:space="preserve"> </w:t>
      </w:r>
      <w:r>
        <w:rPr>
          <w:sz w:val="26"/>
        </w:rPr>
        <w:t>access</w:t>
      </w:r>
      <w:r>
        <w:rPr>
          <w:spacing w:val="-8"/>
          <w:sz w:val="26"/>
        </w:rPr>
        <w:t xml:space="preserve"> </w:t>
      </w:r>
      <w:r>
        <w:rPr>
          <w:sz w:val="26"/>
        </w:rPr>
        <w:t>to</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2"/>
        <w:jc w:val="both"/>
        <w:rPr>
          <w:sz w:val="26"/>
        </w:rPr>
      </w:pPr>
      <w:r>
        <w:rPr>
          <w:sz w:val="26"/>
        </w:rPr>
        <w:t>listed public places. Article 17 which abolishes untouchability has a horizontal application which is available against the state as well as non-state entities. Article 23, Article 24 and Article 25(1) are illustrations of horizontal rights intended to sec</w:t>
      </w:r>
      <w:r>
        <w:rPr>
          <w:sz w:val="26"/>
        </w:rPr>
        <w:t>ure the dignity of the individual. All these guarantees rest in equilibrium with other fundamental freedoms that the Constitution recognizes: equality</w:t>
      </w:r>
      <w:r>
        <w:rPr>
          <w:spacing w:val="-11"/>
          <w:sz w:val="26"/>
        </w:rPr>
        <w:t xml:space="preserve"> </w:t>
      </w:r>
      <w:r>
        <w:rPr>
          <w:sz w:val="26"/>
        </w:rPr>
        <w:t>under</w:t>
      </w:r>
      <w:r>
        <w:rPr>
          <w:spacing w:val="-11"/>
          <w:sz w:val="26"/>
        </w:rPr>
        <w:t xml:space="preserve"> </w:t>
      </w:r>
      <w:r>
        <w:rPr>
          <w:sz w:val="26"/>
        </w:rPr>
        <w:t>Article</w:t>
      </w:r>
      <w:r>
        <w:rPr>
          <w:spacing w:val="-9"/>
          <w:sz w:val="26"/>
        </w:rPr>
        <w:t xml:space="preserve"> </w:t>
      </w:r>
      <w:r>
        <w:rPr>
          <w:sz w:val="26"/>
        </w:rPr>
        <w:t>14,</w:t>
      </w:r>
      <w:r>
        <w:rPr>
          <w:spacing w:val="-12"/>
          <w:sz w:val="26"/>
        </w:rPr>
        <w:t xml:space="preserve"> </w:t>
      </w:r>
      <w:r>
        <w:rPr>
          <w:sz w:val="26"/>
        </w:rPr>
        <w:t>freedoms</w:t>
      </w:r>
      <w:r>
        <w:rPr>
          <w:spacing w:val="-11"/>
          <w:sz w:val="26"/>
        </w:rPr>
        <w:t xml:space="preserve"> </w:t>
      </w:r>
      <w:r>
        <w:rPr>
          <w:sz w:val="26"/>
        </w:rPr>
        <w:t>under</w:t>
      </w:r>
      <w:r>
        <w:rPr>
          <w:spacing w:val="-9"/>
          <w:sz w:val="26"/>
        </w:rPr>
        <w:t xml:space="preserve"> </w:t>
      </w:r>
      <w:r>
        <w:rPr>
          <w:sz w:val="26"/>
        </w:rPr>
        <w:t>Article</w:t>
      </w:r>
      <w:r>
        <w:rPr>
          <w:spacing w:val="-11"/>
          <w:sz w:val="26"/>
        </w:rPr>
        <w:t xml:space="preserve"> </w:t>
      </w:r>
      <w:r>
        <w:rPr>
          <w:sz w:val="26"/>
        </w:rPr>
        <w:t>19</w:t>
      </w:r>
      <w:r>
        <w:rPr>
          <w:spacing w:val="-12"/>
          <w:sz w:val="26"/>
        </w:rPr>
        <w:t xml:space="preserve"> </w:t>
      </w:r>
      <w:r>
        <w:rPr>
          <w:sz w:val="26"/>
        </w:rPr>
        <w:t>and</w:t>
      </w:r>
      <w:r>
        <w:rPr>
          <w:spacing w:val="-12"/>
          <w:sz w:val="26"/>
        </w:rPr>
        <w:t xml:space="preserve"> </w:t>
      </w:r>
      <w:r>
        <w:rPr>
          <w:sz w:val="26"/>
        </w:rPr>
        <w:t>life</w:t>
      </w:r>
      <w:r>
        <w:rPr>
          <w:spacing w:val="-8"/>
          <w:sz w:val="26"/>
        </w:rPr>
        <w:t xml:space="preserve"> </w:t>
      </w:r>
      <w:r>
        <w:rPr>
          <w:sz w:val="26"/>
        </w:rPr>
        <w:t>and</w:t>
      </w:r>
      <w:r>
        <w:rPr>
          <w:spacing w:val="-12"/>
          <w:sz w:val="26"/>
        </w:rPr>
        <w:t xml:space="preserve"> </w:t>
      </w:r>
      <w:r>
        <w:rPr>
          <w:sz w:val="26"/>
        </w:rPr>
        <w:t>personal</w:t>
      </w:r>
      <w:r>
        <w:rPr>
          <w:spacing w:val="-12"/>
          <w:sz w:val="26"/>
        </w:rPr>
        <w:t xml:space="preserve"> </w:t>
      </w:r>
      <w:r>
        <w:rPr>
          <w:sz w:val="26"/>
        </w:rPr>
        <w:t>liberty under Article 21. The individua</w:t>
      </w:r>
      <w:r>
        <w:rPr>
          <w:sz w:val="26"/>
        </w:rPr>
        <w:t>l right to the freedom of religion under Article 25 must rest in mutual co-existence with other freedoms which guarantee above all, the dignity and autonomy of the individual. Article 26 guarantees a group right</w:t>
      </w:r>
      <w:r>
        <w:rPr>
          <w:spacing w:val="-7"/>
          <w:sz w:val="26"/>
        </w:rPr>
        <w:t xml:space="preserve"> </w:t>
      </w:r>
      <w:r>
        <w:rPr>
          <w:sz w:val="26"/>
        </w:rPr>
        <w:t>–</w:t>
      </w:r>
      <w:r>
        <w:rPr>
          <w:spacing w:val="-8"/>
          <w:sz w:val="26"/>
        </w:rPr>
        <w:t xml:space="preserve"> </w:t>
      </w:r>
      <w:r>
        <w:rPr>
          <w:sz w:val="26"/>
        </w:rPr>
        <w:t>the</w:t>
      </w:r>
      <w:r>
        <w:rPr>
          <w:spacing w:val="-9"/>
          <w:sz w:val="26"/>
        </w:rPr>
        <w:t xml:space="preserve"> </w:t>
      </w:r>
      <w:r>
        <w:rPr>
          <w:sz w:val="26"/>
        </w:rPr>
        <w:t>right</w:t>
      </w:r>
      <w:r>
        <w:rPr>
          <w:spacing w:val="-6"/>
          <w:sz w:val="26"/>
        </w:rPr>
        <w:t xml:space="preserve"> </w:t>
      </w:r>
      <w:r>
        <w:rPr>
          <w:sz w:val="26"/>
        </w:rPr>
        <w:t>of</w:t>
      </w:r>
      <w:r>
        <w:rPr>
          <w:spacing w:val="-6"/>
          <w:sz w:val="26"/>
        </w:rPr>
        <w:t xml:space="preserve"> </w:t>
      </w:r>
      <w:r>
        <w:rPr>
          <w:sz w:val="26"/>
        </w:rPr>
        <w:t>a</w:t>
      </w:r>
      <w:r>
        <w:rPr>
          <w:spacing w:val="-7"/>
          <w:sz w:val="26"/>
        </w:rPr>
        <w:t xml:space="preserve"> </w:t>
      </w:r>
      <w:r>
        <w:rPr>
          <w:sz w:val="26"/>
        </w:rPr>
        <w:t>religious</w:t>
      </w:r>
      <w:r>
        <w:rPr>
          <w:spacing w:val="-6"/>
          <w:sz w:val="26"/>
        </w:rPr>
        <w:t xml:space="preserve"> </w:t>
      </w:r>
      <w:r>
        <w:rPr>
          <w:sz w:val="26"/>
        </w:rPr>
        <w:t>denomination.</w:t>
      </w:r>
      <w:r>
        <w:rPr>
          <w:spacing w:val="-9"/>
          <w:sz w:val="26"/>
        </w:rPr>
        <w:t xml:space="preserve"> </w:t>
      </w:r>
      <w:r>
        <w:rPr>
          <w:sz w:val="26"/>
        </w:rPr>
        <w:t>The</w:t>
      </w:r>
      <w:r>
        <w:rPr>
          <w:spacing w:val="-8"/>
          <w:sz w:val="26"/>
        </w:rPr>
        <w:t xml:space="preserve"> </w:t>
      </w:r>
      <w:r>
        <w:rPr>
          <w:sz w:val="26"/>
        </w:rPr>
        <w:t>co-existence</w:t>
      </w:r>
      <w:r>
        <w:rPr>
          <w:spacing w:val="-4"/>
          <w:sz w:val="26"/>
        </w:rPr>
        <w:t xml:space="preserve"> </w:t>
      </w:r>
      <w:r>
        <w:rPr>
          <w:sz w:val="26"/>
        </w:rPr>
        <w:t>of</w:t>
      </w:r>
      <w:r>
        <w:rPr>
          <w:spacing w:val="-9"/>
          <w:sz w:val="26"/>
        </w:rPr>
        <w:t xml:space="preserve"> </w:t>
      </w:r>
      <w:r>
        <w:rPr>
          <w:sz w:val="26"/>
        </w:rPr>
        <w:t>a</w:t>
      </w:r>
      <w:r>
        <w:rPr>
          <w:spacing w:val="-6"/>
          <w:sz w:val="26"/>
        </w:rPr>
        <w:t xml:space="preserve"> </w:t>
      </w:r>
      <w:r>
        <w:rPr>
          <w:sz w:val="26"/>
        </w:rPr>
        <w:t>group</w:t>
      </w:r>
      <w:r>
        <w:rPr>
          <w:spacing w:val="-6"/>
          <w:sz w:val="26"/>
        </w:rPr>
        <w:t xml:space="preserve"> </w:t>
      </w:r>
      <w:r>
        <w:rPr>
          <w:sz w:val="26"/>
        </w:rPr>
        <w:t>right</w:t>
      </w:r>
      <w:r>
        <w:rPr>
          <w:spacing w:val="-7"/>
          <w:sz w:val="26"/>
        </w:rPr>
        <w:t xml:space="preserve"> </w:t>
      </w:r>
      <w:r>
        <w:rPr>
          <w:sz w:val="26"/>
        </w:rPr>
        <w:t>in a chapter on fundamental rights which places the individual at the forefront of its focus cannot be a matter without significance. Would the Constitution have intended</w:t>
      </w:r>
      <w:r>
        <w:rPr>
          <w:spacing w:val="-15"/>
          <w:sz w:val="26"/>
        </w:rPr>
        <w:t xml:space="preserve"> </w:t>
      </w:r>
      <w:r>
        <w:rPr>
          <w:sz w:val="26"/>
        </w:rPr>
        <w:t>to</w:t>
      </w:r>
      <w:r>
        <w:rPr>
          <w:spacing w:val="-14"/>
          <w:sz w:val="26"/>
        </w:rPr>
        <w:t xml:space="preserve"> </w:t>
      </w:r>
      <w:r>
        <w:rPr>
          <w:sz w:val="26"/>
        </w:rPr>
        <w:t>preserve</w:t>
      </w:r>
      <w:r>
        <w:rPr>
          <w:spacing w:val="-14"/>
          <w:sz w:val="26"/>
        </w:rPr>
        <w:t xml:space="preserve"> </w:t>
      </w:r>
      <w:r>
        <w:rPr>
          <w:sz w:val="26"/>
        </w:rPr>
        <w:t>the</w:t>
      </w:r>
      <w:r>
        <w:rPr>
          <w:spacing w:val="-15"/>
          <w:sz w:val="26"/>
        </w:rPr>
        <w:t xml:space="preserve"> </w:t>
      </w:r>
      <w:r>
        <w:rPr>
          <w:sz w:val="26"/>
        </w:rPr>
        <w:t>assertion</w:t>
      </w:r>
      <w:r>
        <w:rPr>
          <w:spacing w:val="-14"/>
          <w:sz w:val="26"/>
        </w:rPr>
        <w:t xml:space="preserve"> </w:t>
      </w:r>
      <w:r>
        <w:rPr>
          <w:sz w:val="26"/>
        </w:rPr>
        <w:t>of</w:t>
      </w:r>
      <w:r>
        <w:rPr>
          <w:spacing w:val="-14"/>
          <w:sz w:val="26"/>
        </w:rPr>
        <w:t xml:space="preserve"> </w:t>
      </w:r>
      <w:r>
        <w:rPr>
          <w:sz w:val="26"/>
        </w:rPr>
        <w:t>group</w:t>
      </w:r>
      <w:r>
        <w:rPr>
          <w:spacing w:val="-15"/>
          <w:sz w:val="26"/>
        </w:rPr>
        <w:t xml:space="preserve"> </w:t>
      </w:r>
      <w:r>
        <w:rPr>
          <w:sz w:val="26"/>
        </w:rPr>
        <w:t>rights</w:t>
      </w:r>
      <w:r>
        <w:rPr>
          <w:spacing w:val="-14"/>
          <w:sz w:val="26"/>
        </w:rPr>
        <w:t xml:space="preserve"> </w:t>
      </w:r>
      <w:r>
        <w:rPr>
          <w:sz w:val="26"/>
        </w:rPr>
        <w:t>even</w:t>
      </w:r>
      <w:r>
        <w:rPr>
          <w:spacing w:val="-14"/>
          <w:sz w:val="26"/>
        </w:rPr>
        <w:t xml:space="preserve"> </w:t>
      </w:r>
      <w:r>
        <w:rPr>
          <w:sz w:val="26"/>
        </w:rPr>
        <w:t>at</w:t>
      </w:r>
      <w:r>
        <w:rPr>
          <w:spacing w:val="-15"/>
          <w:sz w:val="26"/>
        </w:rPr>
        <w:t xml:space="preserve"> </w:t>
      </w:r>
      <w:r>
        <w:rPr>
          <w:sz w:val="26"/>
        </w:rPr>
        <w:t>the</w:t>
      </w:r>
      <w:r>
        <w:rPr>
          <w:spacing w:val="-14"/>
          <w:sz w:val="26"/>
        </w:rPr>
        <w:t xml:space="preserve"> </w:t>
      </w:r>
      <w:r>
        <w:rPr>
          <w:sz w:val="26"/>
        </w:rPr>
        <w:t>cost</w:t>
      </w:r>
      <w:r>
        <w:rPr>
          <w:spacing w:val="-14"/>
          <w:sz w:val="26"/>
        </w:rPr>
        <w:t xml:space="preserve"> </w:t>
      </w:r>
      <w:r>
        <w:rPr>
          <w:sz w:val="26"/>
        </w:rPr>
        <w:t>of</w:t>
      </w:r>
      <w:r>
        <w:rPr>
          <w:spacing w:val="-15"/>
          <w:sz w:val="26"/>
        </w:rPr>
        <w:t xml:space="preserve"> </w:t>
      </w:r>
      <w:r>
        <w:rPr>
          <w:sz w:val="26"/>
        </w:rPr>
        <w:t>denigrating individual</w:t>
      </w:r>
      <w:r>
        <w:rPr>
          <w:spacing w:val="-10"/>
          <w:sz w:val="26"/>
        </w:rPr>
        <w:t xml:space="preserve"> </w:t>
      </w:r>
      <w:r>
        <w:rPr>
          <w:sz w:val="26"/>
        </w:rPr>
        <w:t>freedoms?</w:t>
      </w:r>
      <w:r>
        <w:rPr>
          <w:spacing w:val="-7"/>
          <w:sz w:val="26"/>
        </w:rPr>
        <w:t xml:space="preserve"> </w:t>
      </w:r>
      <w:r>
        <w:rPr>
          <w:sz w:val="26"/>
        </w:rPr>
        <w:t>Should</w:t>
      </w:r>
      <w:r>
        <w:rPr>
          <w:spacing w:val="-10"/>
          <w:sz w:val="26"/>
        </w:rPr>
        <w:t xml:space="preserve"> </w:t>
      </w:r>
      <w:r>
        <w:rPr>
          <w:sz w:val="26"/>
        </w:rPr>
        <w:t>the</w:t>
      </w:r>
      <w:r>
        <w:rPr>
          <w:spacing w:val="-9"/>
          <w:sz w:val="26"/>
        </w:rPr>
        <w:t xml:space="preserve"> </w:t>
      </w:r>
      <w:r>
        <w:rPr>
          <w:sz w:val="26"/>
        </w:rPr>
        <w:t>freedom</w:t>
      </w:r>
      <w:r>
        <w:rPr>
          <w:spacing w:val="-9"/>
          <w:sz w:val="26"/>
        </w:rPr>
        <w:t xml:space="preserve"> </w:t>
      </w:r>
      <w:r>
        <w:rPr>
          <w:sz w:val="26"/>
        </w:rPr>
        <w:t>conferred</w:t>
      </w:r>
      <w:r>
        <w:rPr>
          <w:spacing w:val="-10"/>
          <w:sz w:val="26"/>
        </w:rPr>
        <w:t xml:space="preserve"> </w:t>
      </w:r>
      <w:r>
        <w:rPr>
          <w:sz w:val="26"/>
        </w:rPr>
        <w:t>upon</w:t>
      </w:r>
      <w:r>
        <w:rPr>
          <w:spacing w:val="-7"/>
          <w:sz w:val="26"/>
        </w:rPr>
        <w:t xml:space="preserve"> </w:t>
      </w:r>
      <w:r>
        <w:rPr>
          <w:sz w:val="26"/>
        </w:rPr>
        <w:t>a</w:t>
      </w:r>
      <w:r>
        <w:rPr>
          <w:spacing w:val="-9"/>
          <w:sz w:val="26"/>
        </w:rPr>
        <w:t xml:space="preserve"> </w:t>
      </w:r>
      <w:r>
        <w:rPr>
          <w:sz w:val="26"/>
        </w:rPr>
        <w:t>group</w:t>
      </w:r>
      <w:r>
        <w:rPr>
          <w:spacing w:val="-6"/>
          <w:sz w:val="26"/>
        </w:rPr>
        <w:t xml:space="preserve"> </w:t>
      </w:r>
      <w:r>
        <w:rPr>
          <w:sz w:val="26"/>
        </w:rPr>
        <w:t>-</w:t>
      </w:r>
      <w:r>
        <w:rPr>
          <w:spacing w:val="-9"/>
          <w:sz w:val="26"/>
        </w:rPr>
        <w:t xml:space="preserve"> </w:t>
      </w:r>
      <w:r>
        <w:rPr>
          <w:sz w:val="26"/>
        </w:rPr>
        <w:t>the</w:t>
      </w:r>
      <w:r>
        <w:rPr>
          <w:spacing w:val="-9"/>
          <w:sz w:val="26"/>
        </w:rPr>
        <w:t xml:space="preserve"> </w:t>
      </w:r>
      <w:r>
        <w:rPr>
          <w:sz w:val="26"/>
        </w:rPr>
        <w:t>religious denomination under Article 26(b) – have such a broad canvas as would allow the denomination to practice exclusion that would be destructive of individual freedom? The answer to this, in my view, would have to be in the negative for the simple rea</w:t>
      </w:r>
      <w:r>
        <w:rPr>
          <w:sz w:val="26"/>
        </w:rPr>
        <w:t>son that it would be impossible to conceive of the preservation</w:t>
      </w:r>
      <w:r>
        <w:rPr>
          <w:spacing w:val="-44"/>
          <w:sz w:val="26"/>
        </w:rPr>
        <w:t xml:space="preserve"> </w:t>
      </w:r>
      <w:r>
        <w:rPr>
          <w:sz w:val="26"/>
        </w:rPr>
        <w:t>of liberal constitutional values while at the same time allowing group rights to</w:t>
      </w:r>
      <w:r>
        <w:rPr>
          <w:spacing w:val="-37"/>
          <w:sz w:val="26"/>
        </w:rPr>
        <w:t xml:space="preserve"> </w:t>
      </w:r>
      <w:r>
        <w:rPr>
          <w:sz w:val="26"/>
        </w:rPr>
        <w:t>defy those</w:t>
      </w:r>
      <w:r>
        <w:rPr>
          <w:spacing w:val="-10"/>
          <w:sz w:val="26"/>
        </w:rPr>
        <w:t xml:space="preserve"> </w:t>
      </w:r>
      <w:r>
        <w:rPr>
          <w:sz w:val="26"/>
        </w:rPr>
        <w:t>values</w:t>
      </w:r>
      <w:r>
        <w:rPr>
          <w:spacing w:val="-12"/>
          <w:sz w:val="26"/>
        </w:rPr>
        <w:t xml:space="preserve"> </w:t>
      </w:r>
      <w:r>
        <w:rPr>
          <w:sz w:val="26"/>
        </w:rPr>
        <w:t>by</w:t>
      </w:r>
      <w:r>
        <w:rPr>
          <w:spacing w:val="-12"/>
          <w:sz w:val="26"/>
        </w:rPr>
        <w:t xml:space="preserve"> </w:t>
      </w:r>
      <w:r>
        <w:rPr>
          <w:sz w:val="26"/>
        </w:rPr>
        <w:t>practicing</w:t>
      </w:r>
      <w:r>
        <w:rPr>
          <w:spacing w:val="-12"/>
          <w:sz w:val="26"/>
        </w:rPr>
        <w:t xml:space="preserve"> </w:t>
      </w:r>
      <w:r>
        <w:rPr>
          <w:sz w:val="26"/>
        </w:rPr>
        <w:t>exclusion</w:t>
      </w:r>
      <w:r>
        <w:rPr>
          <w:spacing w:val="-9"/>
          <w:sz w:val="26"/>
        </w:rPr>
        <w:t xml:space="preserve"> </w:t>
      </w:r>
      <w:r>
        <w:rPr>
          <w:sz w:val="26"/>
        </w:rPr>
        <w:t>and</w:t>
      </w:r>
      <w:r>
        <w:rPr>
          <w:spacing w:val="-13"/>
          <w:sz w:val="26"/>
        </w:rPr>
        <w:t xml:space="preserve"> </w:t>
      </w:r>
      <w:r>
        <w:rPr>
          <w:sz w:val="26"/>
        </w:rPr>
        <w:t>through</w:t>
      </w:r>
      <w:r>
        <w:rPr>
          <w:spacing w:val="-9"/>
          <w:sz w:val="26"/>
        </w:rPr>
        <w:t xml:space="preserve"> </w:t>
      </w:r>
      <w:r>
        <w:rPr>
          <w:sz w:val="26"/>
        </w:rPr>
        <w:t>customs</w:t>
      </w:r>
      <w:r>
        <w:rPr>
          <w:spacing w:val="-10"/>
          <w:sz w:val="26"/>
        </w:rPr>
        <w:t xml:space="preserve"> </w:t>
      </w:r>
      <w:r>
        <w:rPr>
          <w:sz w:val="26"/>
        </w:rPr>
        <w:t>which</w:t>
      </w:r>
      <w:r>
        <w:rPr>
          <w:spacing w:val="-12"/>
          <w:sz w:val="26"/>
        </w:rPr>
        <w:t xml:space="preserve"> </w:t>
      </w:r>
      <w:r>
        <w:rPr>
          <w:sz w:val="26"/>
        </w:rPr>
        <w:t>are</w:t>
      </w:r>
      <w:r>
        <w:rPr>
          <w:spacing w:val="-12"/>
          <w:sz w:val="26"/>
        </w:rPr>
        <w:t xml:space="preserve"> </w:t>
      </w:r>
      <w:r>
        <w:rPr>
          <w:sz w:val="26"/>
        </w:rPr>
        <w:t>derogatory to dignity. This apparent co</w:t>
      </w:r>
      <w:r>
        <w:rPr>
          <w:sz w:val="26"/>
        </w:rPr>
        <w:t>ntradiction can be resolved by postulating that notwithstanding</w:t>
      </w:r>
      <w:r>
        <w:rPr>
          <w:spacing w:val="-15"/>
          <w:sz w:val="26"/>
        </w:rPr>
        <w:t xml:space="preserve"> </w:t>
      </w:r>
      <w:r>
        <w:rPr>
          <w:sz w:val="26"/>
        </w:rPr>
        <w:t>the</w:t>
      </w:r>
      <w:r>
        <w:rPr>
          <w:spacing w:val="-14"/>
          <w:sz w:val="26"/>
        </w:rPr>
        <w:t xml:space="preserve"> </w:t>
      </w:r>
      <w:r>
        <w:rPr>
          <w:sz w:val="26"/>
        </w:rPr>
        <w:t>recognition</w:t>
      </w:r>
      <w:r>
        <w:rPr>
          <w:spacing w:val="-14"/>
          <w:sz w:val="26"/>
        </w:rPr>
        <w:t xml:space="preserve"> </w:t>
      </w:r>
      <w:r>
        <w:rPr>
          <w:sz w:val="26"/>
        </w:rPr>
        <w:t>of</w:t>
      </w:r>
      <w:r>
        <w:rPr>
          <w:spacing w:val="-15"/>
          <w:sz w:val="26"/>
        </w:rPr>
        <w:t xml:space="preserve"> </w:t>
      </w:r>
      <w:r>
        <w:rPr>
          <w:sz w:val="26"/>
        </w:rPr>
        <w:t>group</w:t>
      </w:r>
      <w:r>
        <w:rPr>
          <w:spacing w:val="-14"/>
          <w:sz w:val="26"/>
        </w:rPr>
        <w:t xml:space="preserve"> </w:t>
      </w:r>
      <w:r>
        <w:rPr>
          <w:sz w:val="26"/>
        </w:rPr>
        <w:t>rights</w:t>
      </w:r>
      <w:r>
        <w:rPr>
          <w:spacing w:val="-14"/>
          <w:sz w:val="26"/>
        </w:rPr>
        <w:t xml:space="preserve"> </w:t>
      </w:r>
      <w:r>
        <w:rPr>
          <w:sz w:val="26"/>
        </w:rPr>
        <w:t>in</w:t>
      </w:r>
      <w:r>
        <w:rPr>
          <w:spacing w:val="-15"/>
          <w:sz w:val="26"/>
        </w:rPr>
        <w:t xml:space="preserve"> </w:t>
      </w:r>
      <w:r>
        <w:rPr>
          <w:sz w:val="26"/>
        </w:rPr>
        <w:t>Article</w:t>
      </w:r>
      <w:r>
        <w:rPr>
          <w:spacing w:val="-14"/>
          <w:sz w:val="26"/>
        </w:rPr>
        <w:t xml:space="preserve"> </w:t>
      </w:r>
      <w:r>
        <w:rPr>
          <w:sz w:val="26"/>
        </w:rPr>
        <w:t>26,</w:t>
      </w:r>
      <w:r>
        <w:rPr>
          <w:spacing w:val="-14"/>
          <w:sz w:val="26"/>
        </w:rPr>
        <w:t xml:space="preserve"> </w:t>
      </w:r>
      <w:r>
        <w:rPr>
          <w:sz w:val="26"/>
        </w:rPr>
        <w:t>the</w:t>
      </w:r>
      <w:r>
        <w:rPr>
          <w:spacing w:val="-13"/>
          <w:sz w:val="26"/>
        </w:rPr>
        <w:t xml:space="preserve"> </w:t>
      </w:r>
      <w:r>
        <w:rPr>
          <w:sz w:val="26"/>
        </w:rPr>
        <w:t>Constitution</w:t>
      </w:r>
      <w:r>
        <w:rPr>
          <w:spacing w:val="-14"/>
          <w:sz w:val="26"/>
        </w:rPr>
        <w:t xml:space="preserve"> </w:t>
      </w:r>
      <w:r>
        <w:rPr>
          <w:sz w:val="26"/>
        </w:rPr>
        <w:t>has never</w:t>
      </w:r>
      <w:r>
        <w:rPr>
          <w:spacing w:val="11"/>
          <w:sz w:val="26"/>
        </w:rPr>
        <w:t xml:space="preserve"> </w:t>
      </w:r>
      <w:r>
        <w:rPr>
          <w:sz w:val="26"/>
        </w:rPr>
        <w:t>intended</w:t>
      </w:r>
      <w:r>
        <w:rPr>
          <w:spacing w:val="11"/>
          <w:sz w:val="26"/>
        </w:rPr>
        <w:t xml:space="preserve"> </w:t>
      </w:r>
      <w:r>
        <w:rPr>
          <w:sz w:val="26"/>
        </w:rPr>
        <w:t>that</w:t>
      </w:r>
      <w:r>
        <w:rPr>
          <w:spacing w:val="12"/>
          <w:sz w:val="26"/>
        </w:rPr>
        <w:t xml:space="preserve"> </w:t>
      </w:r>
      <w:r>
        <w:rPr>
          <w:sz w:val="26"/>
        </w:rPr>
        <w:t>the</w:t>
      </w:r>
      <w:r>
        <w:rPr>
          <w:spacing w:val="11"/>
          <w:sz w:val="26"/>
        </w:rPr>
        <w:t xml:space="preserve"> </w:t>
      </w:r>
      <w:r>
        <w:rPr>
          <w:sz w:val="26"/>
        </w:rPr>
        <w:t>assertion</w:t>
      </w:r>
      <w:r>
        <w:rPr>
          <w:spacing w:val="12"/>
          <w:sz w:val="26"/>
        </w:rPr>
        <w:t xml:space="preserve"> </w:t>
      </w:r>
      <w:r>
        <w:rPr>
          <w:sz w:val="26"/>
        </w:rPr>
        <w:t>of</w:t>
      </w:r>
      <w:r>
        <w:rPr>
          <w:spacing w:val="11"/>
          <w:sz w:val="26"/>
        </w:rPr>
        <w:t xml:space="preserve"> </w:t>
      </w:r>
      <w:r>
        <w:rPr>
          <w:sz w:val="26"/>
        </w:rPr>
        <w:t>these</w:t>
      </w:r>
      <w:r>
        <w:rPr>
          <w:spacing w:val="14"/>
          <w:sz w:val="26"/>
        </w:rPr>
        <w:t xml:space="preserve"> </w:t>
      </w:r>
      <w:r>
        <w:rPr>
          <w:sz w:val="26"/>
        </w:rPr>
        <w:t>rights</w:t>
      </w:r>
      <w:r>
        <w:rPr>
          <w:spacing w:val="11"/>
          <w:sz w:val="26"/>
        </w:rPr>
        <w:t xml:space="preserve"> </w:t>
      </w:r>
      <w:r>
        <w:rPr>
          <w:sz w:val="26"/>
        </w:rPr>
        <w:t>destroy</w:t>
      </w:r>
      <w:r>
        <w:rPr>
          <w:spacing w:val="10"/>
          <w:sz w:val="26"/>
        </w:rPr>
        <w:t xml:space="preserve"> </w:t>
      </w:r>
      <w:r>
        <w:rPr>
          <w:sz w:val="26"/>
        </w:rPr>
        <w:t>individual</w:t>
      </w:r>
      <w:r>
        <w:rPr>
          <w:spacing w:val="11"/>
          <w:sz w:val="26"/>
        </w:rPr>
        <w:t xml:space="preserve"> </w:t>
      </w:r>
      <w:r>
        <w:rPr>
          <w:sz w:val="26"/>
        </w:rPr>
        <w:t>dignity</w:t>
      </w:r>
      <w:r>
        <w:rPr>
          <w:spacing w:val="13"/>
          <w:sz w:val="26"/>
        </w:rPr>
        <w:t xml:space="preserve"> </w:t>
      </w:r>
      <w:r>
        <w:rPr>
          <w:sz w:val="26"/>
        </w:rPr>
        <w:t>and</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77" w:lineRule="auto"/>
        <w:ind w:left="400" w:right="436"/>
        <w:jc w:val="both"/>
        <w:rPr>
          <w:sz w:val="26"/>
        </w:rPr>
      </w:pPr>
      <w:r>
        <w:rPr>
          <w:sz w:val="26"/>
        </w:rPr>
        <w:t>liberty. Group rights have been recognized by the Constitution in order to provide</w:t>
      </w:r>
      <w:r>
        <w:rPr>
          <w:spacing w:val="-8"/>
          <w:sz w:val="26"/>
        </w:rPr>
        <w:t xml:space="preserve"> </w:t>
      </w:r>
      <w:r>
        <w:rPr>
          <w:sz w:val="26"/>
        </w:rPr>
        <w:t>a</w:t>
      </w:r>
      <w:r>
        <w:rPr>
          <w:spacing w:val="-8"/>
          <w:sz w:val="26"/>
        </w:rPr>
        <w:t xml:space="preserve"> </w:t>
      </w:r>
      <w:r>
        <w:rPr>
          <w:sz w:val="26"/>
        </w:rPr>
        <w:t>platform</w:t>
      </w:r>
      <w:r>
        <w:rPr>
          <w:spacing w:val="-7"/>
          <w:sz w:val="26"/>
        </w:rPr>
        <w:t xml:space="preserve"> </w:t>
      </w:r>
      <w:r>
        <w:rPr>
          <w:sz w:val="26"/>
        </w:rPr>
        <w:t>to</w:t>
      </w:r>
      <w:r>
        <w:rPr>
          <w:spacing w:val="-5"/>
          <w:sz w:val="26"/>
        </w:rPr>
        <w:t xml:space="preserve"> </w:t>
      </w:r>
      <w:r>
        <w:rPr>
          <w:sz w:val="26"/>
        </w:rPr>
        <w:t>individuals</w:t>
      </w:r>
      <w:r>
        <w:rPr>
          <w:spacing w:val="-5"/>
          <w:sz w:val="26"/>
        </w:rPr>
        <w:t xml:space="preserve"> </w:t>
      </w:r>
      <w:r>
        <w:rPr>
          <w:sz w:val="26"/>
        </w:rPr>
        <w:t>within</w:t>
      </w:r>
      <w:r>
        <w:rPr>
          <w:spacing w:val="-8"/>
          <w:sz w:val="26"/>
        </w:rPr>
        <w:t xml:space="preserve"> </w:t>
      </w:r>
      <w:r>
        <w:rPr>
          <w:sz w:val="26"/>
        </w:rPr>
        <w:t>those</w:t>
      </w:r>
      <w:r>
        <w:rPr>
          <w:spacing w:val="-8"/>
          <w:sz w:val="26"/>
        </w:rPr>
        <w:t xml:space="preserve"> </w:t>
      </w:r>
      <w:r>
        <w:rPr>
          <w:sz w:val="26"/>
        </w:rPr>
        <w:t>denominations</w:t>
      </w:r>
      <w:r>
        <w:rPr>
          <w:spacing w:val="-8"/>
          <w:sz w:val="26"/>
        </w:rPr>
        <w:t xml:space="preserve"> </w:t>
      </w:r>
      <w:r>
        <w:rPr>
          <w:sz w:val="26"/>
        </w:rPr>
        <w:t>to</w:t>
      </w:r>
      <w:r>
        <w:rPr>
          <w:spacing w:val="-5"/>
          <w:sz w:val="26"/>
        </w:rPr>
        <w:t xml:space="preserve"> </w:t>
      </w:r>
      <w:r>
        <w:rPr>
          <w:sz w:val="26"/>
        </w:rPr>
        <w:t>realize</w:t>
      </w:r>
      <w:r>
        <w:rPr>
          <w:spacing w:val="-7"/>
          <w:sz w:val="26"/>
        </w:rPr>
        <w:t xml:space="preserve"> </w:t>
      </w:r>
      <w:r>
        <w:rPr>
          <w:sz w:val="26"/>
        </w:rPr>
        <w:t>fulfilment and self-determination. Gautam Bhatia</w:t>
      </w:r>
      <w:r>
        <w:rPr>
          <w:position w:val="9"/>
          <w:sz w:val="17"/>
        </w:rPr>
        <w:t xml:space="preserve">156 </w:t>
      </w:r>
      <w:r>
        <w:rPr>
          <w:sz w:val="26"/>
        </w:rPr>
        <w:t>in a seminal article on the subject succinctly</w:t>
      </w:r>
      <w:r>
        <w:rPr>
          <w:spacing w:val="-2"/>
          <w:sz w:val="26"/>
        </w:rPr>
        <w:t xml:space="preserve"> </w:t>
      </w:r>
      <w:r>
        <w:rPr>
          <w:sz w:val="26"/>
        </w:rPr>
        <w:t>observes:</w:t>
      </w:r>
    </w:p>
    <w:p w:rsidR="003B2FC0" w:rsidRDefault="00052A49">
      <w:pPr>
        <w:spacing w:before="206" w:line="276" w:lineRule="auto"/>
        <w:ind w:left="1840" w:right="2282"/>
        <w:jc w:val="both"/>
        <w:rPr>
          <w:sz w:val="21"/>
        </w:rPr>
      </w:pPr>
      <w:r>
        <w:rPr>
          <w:sz w:val="21"/>
        </w:rPr>
        <w:t>“While it is true that Article 26(b) makes groups the bearers of rights,</w:t>
      </w:r>
      <w:r>
        <w:rPr>
          <w:spacing w:val="-15"/>
          <w:sz w:val="21"/>
        </w:rPr>
        <w:t xml:space="preserve"> </w:t>
      </w:r>
      <w:r>
        <w:rPr>
          <w:sz w:val="21"/>
        </w:rPr>
        <w:t>as</w:t>
      </w:r>
      <w:r>
        <w:rPr>
          <w:spacing w:val="-14"/>
          <w:sz w:val="21"/>
        </w:rPr>
        <w:t xml:space="preserve"> </w:t>
      </w:r>
      <w:r>
        <w:rPr>
          <w:sz w:val="21"/>
        </w:rPr>
        <w:t>pointed</w:t>
      </w:r>
      <w:r>
        <w:rPr>
          <w:spacing w:val="-14"/>
          <w:sz w:val="21"/>
        </w:rPr>
        <w:t xml:space="preserve"> </w:t>
      </w:r>
      <w:r>
        <w:rPr>
          <w:sz w:val="21"/>
        </w:rPr>
        <w:t>out</w:t>
      </w:r>
      <w:r>
        <w:rPr>
          <w:spacing w:val="-15"/>
          <w:sz w:val="21"/>
        </w:rPr>
        <w:t xml:space="preserve"> </w:t>
      </w:r>
      <w:r>
        <w:rPr>
          <w:sz w:val="21"/>
        </w:rPr>
        <w:t>above,</w:t>
      </w:r>
      <w:r>
        <w:rPr>
          <w:spacing w:val="-15"/>
          <w:sz w:val="21"/>
        </w:rPr>
        <w:t xml:space="preserve"> </w:t>
      </w:r>
      <w:r>
        <w:rPr>
          <w:sz w:val="21"/>
        </w:rPr>
        <w:t>the</w:t>
      </w:r>
      <w:r>
        <w:rPr>
          <w:spacing w:val="-14"/>
          <w:sz w:val="21"/>
        </w:rPr>
        <w:t xml:space="preserve"> </w:t>
      </w:r>
      <w:r>
        <w:rPr>
          <w:sz w:val="21"/>
        </w:rPr>
        <w:t>Constitution</w:t>
      </w:r>
      <w:r>
        <w:rPr>
          <w:spacing w:val="-14"/>
          <w:sz w:val="21"/>
        </w:rPr>
        <w:t xml:space="preserve"> </w:t>
      </w:r>
      <w:r>
        <w:rPr>
          <w:sz w:val="21"/>
        </w:rPr>
        <w:t>does</w:t>
      </w:r>
      <w:r>
        <w:rPr>
          <w:spacing w:val="-14"/>
          <w:sz w:val="21"/>
        </w:rPr>
        <w:t xml:space="preserve"> </w:t>
      </w:r>
      <w:r>
        <w:rPr>
          <w:sz w:val="21"/>
        </w:rPr>
        <w:t>not</w:t>
      </w:r>
      <w:r>
        <w:rPr>
          <w:spacing w:val="-14"/>
          <w:sz w:val="21"/>
        </w:rPr>
        <w:t xml:space="preserve"> </w:t>
      </w:r>
      <w:r>
        <w:rPr>
          <w:sz w:val="21"/>
        </w:rPr>
        <w:t>state</w:t>
      </w:r>
      <w:r>
        <w:rPr>
          <w:spacing w:val="-14"/>
          <w:sz w:val="21"/>
        </w:rPr>
        <w:t xml:space="preserve"> </w:t>
      </w:r>
      <w:r>
        <w:rPr>
          <w:sz w:val="21"/>
        </w:rPr>
        <w:t xml:space="preserve">the </w:t>
      </w:r>
      <w:r>
        <w:rPr>
          <w:i/>
          <w:sz w:val="21"/>
        </w:rPr>
        <w:t>basis</w:t>
      </w:r>
      <w:r>
        <w:rPr>
          <w:i/>
          <w:spacing w:val="-16"/>
          <w:sz w:val="21"/>
        </w:rPr>
        <w:t xml:space="preserve"> </w:t>
      </w:r>
      <w:r>
        <w:rPr>
          <w:sz w:val="21"/>
        </w:rPr>
        <w:t>of</w:t>
      </w:r>
      <w:r>
        <w:rPr>
          <w:spacing w:val="-14"/>
          <w:sz w:val="21"/>
        </w:rPr>
        <w:t xml:space="preserve"> </w:t>
      </w:r>
      <w:r>
        <w:rPr>
          <w:sz w:val="21"/>
        </w:rPr>
        <w:t>doing</w:t>
      </w:r>
      <w:r>
        <w:rPr>
          <w:spacing w:val="-14"/>
          <w:sz w:val="21"/>
        </w:rPr>
        <w:t xml:space="preserve"> </w:t>
      </w:r>
      <w:r>
        <w:rPr>
          <w:sz w:val="21"/>
        </w:rPr>
        <w:t>so.</w:t>
      </w:r>
      <w:r>
        <w:rPr>
          <w:spacing w:val="-16"/>
          <w:sz w:val="21"/>
        </w:rPr>
        <w:t xml:space="preserve"> </w:t>
      </w:r>
      <w:r>
        <w:rPr>
          <w:sz w:val="21"/>
        </w:rPr>
        <w:t>It</w:t>
      </w:r>
      <w:r>
        <w:rPr>
          <w:spacing w:val="-16"/>
          <w:sz w:val="21"/>
        </w:rPr>
        <w:t xml:space="preserve"> </w:t>
      </w:r>
      <w:r>
        <w:rPr>
          <w:sz w:val="21"/>
        </w:rPr>
        <w:t>does</w:t>
      </w:r>
      <w:r>
        <w:rPr>
          <w:spacing w:val="-15"/>
          <w:sz w:val="21"/>
        </w:rPr>
        <w:t xml:space="preserve"> </w:t>
      </w:r>
      <w:r>
        <w:rPr>
          <w:sz w:val="21"/>
        </w:rPr>
        <w:t>not</w:t>
      </w:r>
      <w:r>
        <w:rPr>
          <w:spacing w:val="-15"/>
          <w:sz w:val="21"/>
        </w:rPr>
        <w:t xml:space="preserve"> </w:t>
      </w:r>
      <w:r>
        <w:rPr>
          <w:sz w:val="21"/>
        </w:rPr>
        <w:t>clarify</w:t>
      </w:r>
      <w:r>
        <w:rPr>
          <w:spacing w:val="-18"/>
          <w:sz w:val="21"/>
        </w:rPr>
        <w:t xml:space="preserve"> </w:t>
      </w:r>
      <w:r>
        <w:rPr>
          <w:sz w:val="21"/>
        </w:rPr>
        <w:t>whether</w:t>
      </w:r>
      <w:r>
        <w:rPr>
          <w:spacing w:val="-15"/>
          <w:sz w:val="21"/>
        </w:rPr>
        <w:t xml:space="preserve"> </w:t>
      </w:r>
      <w:r>
        <w:rPr>
          <w:sz w:val="21"/>
        </w:rPr>
        <w:t>groups</w:t>
      </w:r>
      <w:r>
        <w:rPr>
          <w:spacing w:val="-16"/>
          <w:sz w:val="21"/>
        </w:rPr>
        <w:t xml:space="preserve"> </w:t>
      </w:r>
      <w:r>
        <w:rPr>
          <w:sz w:val="21"/>
        </w:rPr>
        <w:t>are</w:t>
      </w:r>
      <w:r>
        <w:rPr>
          <w:spacing w:val="-15"/>
          <w:sz w:val="21"/>
        </w:rPr>
        <w:t xml:space="preserve"> </w:t>
      </w:r>
      <w:r>
        <w:rPr>
          <w:sz w:val="21"/>
        </w:rPr>
        <w:t>granted rights for the instrumental reason that individuals can only achieve self-determination and fulfilment within the ‘context of choice’</w:t>
      </w:r>
      <w:r>
        <w:rPr>
          <w:position w:val="7"/>
          <w:sz w:val="14"/>
        </w:rPr>
        <w:t xml:space="preserve">157 </w:t>
      </w:r>
      <w:r>
        <w:rPr>
          <w:sz w:val="21"/>
        </w:rPr>
        <w:t xml:space="preserve">provided by communities, or whether the Constitution treats groups, along with individuals, as </w:t>
      </w:r>
      <w:r>
        <w:rPr>
          <w:i/>
          <w:sz w:val="21"/>
        </w:rPr>
        <w:t>constitutive uni</w:t>
      </w:r>
      <w:r>
        <w:rPr>
          <w:i/>
          <w:sz w:val="21"/>
        </w:rPr>
        <w:t xml:space="preserve">ts </w:t>
      </w:r>
      <w:r>
        <w:rPr>
          <w:sz w:val="21"/>
        </w:rPr>
        <w:t>worthy of equal concern and respect.</w:t>
      </w:r>
      <w:r>
        <w:rPr>
          <w:position w:val="7"/>
          <w:sz w:val="14"/>
        </w:rPr>
        <w:t xml:space="preserve">158 </w:t>
      </w:r>
      <w:r>
        <w:rPr>
          <w:sz w:val="21"/>
        </w:rPr>
        <w:t>The distinction</w:t>
      </w:r>
      <w:r>
        <w:rPr>
          <w:spacing w:val="-14"/>
          <w:sz w:val="21"/>
        </w:rPr>
        <w:t xml:space="preserve"> </w:t>
      </w:r>
      <w:r>
        <w:rPr>
          <w:sz w:val="21"/>
        </w:rPr>
        <w:t>is</w:t>
      </w:r>
      <w:r>
        <w:rPr>
          <w:spacing w:val="-13"/>
          <w:sz w:val="21"/>
        </w:rPr>
        <w:t xml:space="preserve"> </w:t>
      </w:r>
      <w:r>
        <w:rPr>
          <w:sz w:val="21"/>
        </w:rPr>
        <w:t>crucial,</w:t>
      </w:r>
      <w:r>
        <w:rPr>
          <w:spacing w:val="-15"/>
          <w:sz w:val="21"/>
        </w:rPr>
        <w:t xml:space="preserve"> </w:t>
      </w:r>
      <w:r>
        <w:rPr>
          <w:sz w:val="21"/>
        </w:rPr>
        <w:t>because</w:t>
      </w:r>
      <w:r>
        <w:rPr>
          <w:spacing w:val="-13"/>
          <w:sz w:val="21"/>
        </w:rPr>
        <w:t xml:space="preserve"> </w:t>
      </w:r>
      <w:r>
        <w:rPr>
          <w:sz w:val="21"/>
        </w:rPr>
        <w:t>the</w:t>
      </w:r>
      <w:r>
        <w:rPr>
          <w:spacing w:val="-14"/>
          <w:sz w:val="21"/>
        </w:rPr>
        <w:t xml:space="preserve"> </w:t>
      </w:r>
      <w:r>
        <w:rPr>
          <w:sz w:val="21"/>
        </w:rPr>
        <w:t>weight</w:t>
      </w:r>
      <w:r>
        <w:rPr>
          <w:spacing w:val="-14"/>
          <w:sz w:val="21"/>
        </w:rPr>
        <w:t xml:space="preserve"> </w:t>
      </w:r>
      <w:r>
        <w:rPr>
          <w:sz w:val="21"/>
        </w:rPr>
        <w:t>that</w:t>
      </w:r>
      <w:r>
        <w:rPr>
          <w:spacing w:val="-17"/>
          <w:sz w:val="21"/>
        </w:rPr>
        <w:t xml:space="preserve"> </w:t>
      </w:r>
      <w:r>
        <w:rPr>
          <w:sz w:val="21"/>
        </w:rPr>
        <w:t>must</w:t>
      </w:r>
      <w:r>
        <w:rPr>
          <w:spacing w:val="-14"/>
          <w:sz w:val="21"/>
        </w:rPr>
        <w:t xml:space="preserve"> </w:t>
      </w:r>
      <w:r>
        <w:rPr>
          <w:sz w:val="21"/>
        </w:rPr>
        <w:t>be</w:t>
      </w:r>
      <w:r>
        <w:rPr>
          <w:spacing w:val="-14"/>
          <w:sz w:val="21"/>
        </w:rPr>
        <w:t xml:space="preserve"> </w:t>
      </w:r>
      <w:r>
        <w:rPr>
          <w:sz w:val="21"/>
        </w:rPr>
        <w:t>accorded to</w:t>
      </w:r>
      <w:r>
        <w:rPr>
          <w:spacing w:val="-14"/>
          <w:sz w:val="21"/>
        </w:rPr>
        <w:t xml:space="preserve"> </w:t>
      </w:r>
      <w:r>
        <w:rPr>
          <w:sz w:val="21"/>
        </w:rPr>
        <w:t>group</w:t>
      </w:r>
      <w:r>
        <w:rPr>
          <w:spacing w:val="-13"/>
          <w:sz w:val="21"/>
        </w:rPr>
        <w:t xml:space="preserve"> </w:t>
      </w:r>
      <w:r>
        <w:rPr>
          <w:sz w:val="21"/>
        </w:rPr>
        <w:t>integrity,</w:t>
      </w:r>
      <w:r>
        <w:rPr>
          <w:spacing w:val="-14"/>
          <w:sz w:val="21"/>
        </w:rPr>
        <w:t xml:space="preserve"> </w:t>
      </w:r>
      <w:r>
        <w:rPr>
          <w:sz w:val="21"/>
        </w:rPr>
        <w:t>even</w:t>
      </w:r>
      <w:r>
        <w:rPr>
          <w:spacing w:val="-13"/>
          <w:sz w:val="21"/>
        </w:rPr>
        <w:t xml:space="preserve"> </w:t>
      </w:r>
      <w:r>
        <w:rPr>
          <w:sz w:val="21"/>
        </w:rPr>
        <w:t>at</w:t>
      </w:r>
      <w:r>
        <w:rPr>
          <w:spacing w:val="-12"/>
          <w:sz w:val="21"/>
        </w:rPr>
        <w:t xml:space="preserve"> </w:t>
      </w:r>
      <w:r>
        <w:rPr>
          <w:sz w:val="21"/>
        </w:rPr>
        <w:t>the</w:t>
      </w:r>
      <w:r>
        <w:rPr>
          <w:spacing w:val="-13"/>
          <w:sz w:val="21"/>
        </w:rPr>
        <w:t xml:space="preserve"> </w:t>
      </w:r>
      <w:r>
        <w:rPr>
          <w:sz w:val="21"/>
        </w:rPr>
        <w:t>cost</w:t>
      </w:r>
      <w:r>
        <w:rPr>
          <w:spacing w:val="-14"/>
          <w:sz w:val="21"/>
        </w:rPr>
        <w:t xml:space="preserve"> </w:t>
      </w:r>
      <w:r>
        <w:rPr>
          <w:sz w:val="21"/>
        </w:rPr>
        <w:t>of</w:t>
      </w:r>
      <w:r>
        <w:rPr>
          <w:spacing w:val="-12"/>
          <w:sz w:val="21"/>
        </w:rPr>
        <w:t xml:space="preserve"> </w:t>
      </w:r>
      <w:r>
        <w:rPr>
          <w:sz w:val="21"/>
        </w:rPr>
        <w:t>blocking</w:t>
      </w:r>
      <w:r>
        <w:rPr>
          <w:spacing w:val="-13"/>
          <w:sz w:val="21"/>
        </w:rPr>
        <w:t xml:space="preserve"> </w:t>
      </w:r>
      <w:r>
        <w:rPr>
          <w:sz w:val="21"/>
        </w:rPr>
        <w:t>individual</w:t>
      </w:r>
      <w:r>
        <w:rPr>
          <w:spacing w:val="-12"/>
          <w:sz w:val="21"/>
        </w:rPr>
        <w:t xml:space="preserve"> </w:t>
      </w:r>
      <w:r>
        <w:rPr>
          <w:sz w:val="21"/>
        </w:rPr>
        <w:t>access to important public goods, can only be determined by</w:t>
      </w:r>
      <w:r>
        <w:rPr>
          <w:spacing w:val="-23"/>
          <w:sz w:val="21"/>
        </w:rPr>
        <w:t xml:space="preserve"> </w:t>
      </w:r>
      <w:r>
        <w:rPr>
          <w:sz w:val="21"/>
        </w:rPr>
        <w:t>deciding which vision th</w:t>
      </w:r>
      <w:r>
        <w:rPr>
          <w:sz w:val="21"/>
        </w:rPr>
        <w:t>e Constitution subscribes</w:t>
      </w:r>
      <w:r>
        <w:rPr>
          <w:spacing w:val="-10"/>
          <w:sz w:val="21"/>
        </w:rPr>
        <w:t xml:space="preserve"> </w:t>
      </w:r>
      <w:r>
        <w:rPr>
          <w:sz w:val="21"/>
        </w:rPr>
        <w:t>to.”</w:t>
      </w:r>
    </w:p>
    <w:p w:rsidR="003B2FC0" w:rsidRDefault="003B2FC0">
      <w:pPr>
        <w:rPr>
          <w:sz w:val="24"/>
        </w:rPr>
      </w:pPr>
    </w:p>
    <w:p w:rsidR="003B2FC0" w:rsidRDefault="003B2FC0">
      <w:pPr>
        <w:spacing w:before="4"/>
        <w:rPr>
          <w:sz w:val="34"/>
        </w:rPr>
      </w:pPr>
    </w:p>
    <w:p w:rsidR="003B2FC0" w:rsidRDefault="00052A49">
      <w:pPr>
        <w:spacing w:line="480" w:lineRule="auto"/>
        <w:ind w:left="400" w:right="435"/>
        <w:jc w:val="both"/>
        <w:rPr>
          <w:sz w:val="26"/>
        </w:rPr>
      </w:pPr>
      <w:r>
        <w:rPr>
          <w:sz w:val="26"/>
        </w:rPr>
        <w:t>Relevant to the subject which this section explores, Bhatia’s thesis is that the essential religious practices doctrine, which lacks a sure constitutional foundation,</w:t>
      </w:r>
      <w:r>
        <w:rPr>
          <w:spacing w:val="-16"/>
          <w:sz w:val="26"/>
        </w:rPr>
        <w:t xml:space="preserve"> </w:t>
      </w:r>
      <w:r>
        <w:rPr>
          <w:sz w:val="26"/>
        </w:rPr>
        <w:t>has</w:t>
      </w:r>
      <w:r>
        <w:rPr>
          <w:spacing w:val="-19"/>
          <w:sz w:val="26"/>
        </w:rPr>
        <w:t xml:space="preserve"> </w:t>
      </w:r>
      <w:r>
        <w:rPr>
          <w:sz w:val="26"/>
        </w:rPr>
        <w:t>led</w:t>
      </w:r>
      <w:r>
        <w:rPr>
          <w:spacing w:val="-19"/>
          <w:sz w:val="26"/>
        </w:rPr>
        <w:t xml:space="preserve"> </w:t>
      </w:r>
      <w:r>
        <w:rPr>
          <w:sz w:val="26"/>
        </w:rPr>
        <w:t>the</w:t>
      </w:r>
      <w:r>
        <w:rPr>
          <w:spacing w:val="-19"/>
          <w:sz w:val="26"/>
        </w:rPr>
        <w:t xml:space="preserve"> </w:t>
      </w:r>
      <w:r>
        <w:rPr>
          <w:sz w:val="26"/>
        </w:rPr>
        <w:t>court</w:t>
      </w:r>
      <w:r>
        <w:rPr>
          <w:spacing w:val="-16"/>
          <w:sz w:val="26"/>
        </w:rPr>
        <w:t xml:space="preserve"> </w:t>
      </w:r>
      <w:r>
        <w:rPr>
          <w:sz w:val="26"/>
        </w:rPr>
        <w:t>into</w:t>
      </w:r>
      <w:r>
        <w:rPr>
          <w:spacing w:val="-16"/>
          <w:sz w:val="26"/>
        </w:rPr>
        <w:t xml:space="preserve"> </w:t>
      </w:r>
      <w:r>
        <w:rPr>
          <w:sz w:val="26"/>
        </w:rPr>
        <w:t>a</w:t>
      </w:r>
      <w:r>
        <w:rPr>
          <w:spacing w:val="-19"/>
          <w:sz w:val="26"/>
        </w:rPr>
        <w:t xml:space="preserve"> </w:t>
      </w:r>
      <w:r>
        <w:rPr>
          <w:sz w:val="26"/>
        </w:rPr>
        <w:t>maze</w:t>
      </w:r>
      <w:r>
        <w:rPr>
          <w:spacing w:val="-19"/>
          <w:sz w:val="26"/>
        </w:rPr>
        <w:t xml:space="preserve"> </w:t>
      </w:r>
      <w:r>
        <w:rPr>
          <w:sz w:val="26"/>
        </w:rPr>
        <w:t>in</w:t>
      </w:r>
      <w:r>
        <w:rPr>
          <w:spacing w:val="-15"/>
          <w:sz w:val="26"/>
        </w:rPr>
        <w:t xml:space="preserve"> </w:t>
      </w:r>
      <w:r>
        <w:rPr>
          <w:sz w:val="26"/>
        </w:rPr>
        <w:t>the</w:t>
      </w:r>
      <w:r>
        <w:rPr>
          <w:spacing w:val="-19"/>
          <w:sz w:val="26"/>
        </w:rPr>
        <w:t xml:space="preserve"> </w:t>
      </w:r>
      <w:r>
        <w:rPr>
          <w:sz w:val="26"/>
        </w:rPr>
        <w:t>process</w:t>
      </w:r>
      <w:r>
        <w:rPr>
          <w:spacing w:val="-17"/>
          <w:sz w:val="26"/>
        </w:rPr>
        <w:t xml:space="preserve"> </w:t>
      </w:r>
      <w:r>
        <w:rPr>
          <w:sz w:val="26"/>
        </w:rPr>
        <w:t>of</w:t>
      </w:r>
      <w:r>
        <w:rPr>
          <w:spacing w:val="-19"/>
          <w:sz w:val="26"/>
        </w:rPr>
        <w:t xml:space="preserve"> </w:t>
      </w:r>
      <w:r>
        <w:rPr>
          <w:sz w:val="26"/>
        </w:rPr>
        <w:t>unraveling</w:t>
      </w:r>
      <w:r>
        <w:rPr>
          <w:spacing w:val="-14"/>
          <w:sz w:val="26"/>
        </w:rPr>
        <w:t xml:space="preserve"> </w:t>
      </w:r>
      <w:r>
        <w:rPr>
          <w:sz w:val="26"/>
        </w:rPr>
        <w:t>theological principles. While deciding what is or is not essential to religion, the court has ventured into areas where it lacks both the competence and legitimacy to pronounce on the importance of specific doctrines or beliefs internal to</w:t>
      </w:r>
      <w:r>
        <w:rPr>
          <w:spacing w:val="-29"/>
          <w:sz w:val="26"/>
        </w:rPr>
        <w:t xml:space="preserve"> </w:t>
      </w:r>
      <w:r>
        <w:rPr>
          <w:sz w:val="26"/>
        </w:rPr>
        <w:t>relig</w:t>
      </w:r>
      <w:r>
        <w:rPr>
          <w:sz w:val="26"/>
        </w:rPr>
        <w:t>ion. In making that determination, the court essentially imposes an external point of view. Imposition of an external perspective about what does or does</w:t>
      </w:r>
      <w:r>
        <w:rPr>
          <w:spacing w:val="60"/>
          <w:sz w:val="26"/>
        </w:rPr>
        <w:t xml:space="preserve"> </w:t>
      </w:r>
      <w:r>
        <w:rPr>
          <w:sz w:val="26"/>
        </w:rPr>
        <w:t>not</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1"/>
      </w:pPr>
      <w:r>
        <w:pict>
          <v:line id="_x0000_s1067" style="position:absolute;z-index:251648512;mso-wrap-distance-left:0;mso-wrap-distance-right:0;mso-position-horizontal-relative:page" from="1in,15.05pt" to="216.05pt,15.05pt" strokeweight=".72pt">
            <w10:wrap type="topAndBottom" anchorx="page"/>
          </v:line>
        </w:pict>
      </w:r>
    </w:p>
    <w:p w:rsidR="003B2FC0" w:rsidRDefault="00052A49">
      <w:pPr>
        <w:spacing w:before="66"/>
        <w:ind w:left="671" w:right="434" w:hanging="272"/>
        <w:rPr>
          <w:sz w:val="18"/>
        </w:rPr>
      </w:pPr>
      <w:r>
        <w:rPr>
          <w:position w:val="6"/>
          <w:sz w:val="12"/>
        </w:rPr>
        <w:t xml:space="preserve">156 </w:t>
      </w:r>
      <w:r>
        <w:rPr>
          <w:sz w:val="18"/>
        </w:rPr>
        <w:t>Gautam Bhatia, Freedom from community: Individual rights, group life, state authority and religious freedom under the Indian Constitution, Global Constitutionalism, Cambridge University Press (2016).</w:t>
      </w:r>
    </w:p>
    <w:p w:rsidR="003B2FC0" w:rsidRDefault="00052A49">
      <w:pPr>
        <w:ind w:left="671" w:hanging="272"/>
        <w:rPr>
          <w:sz w:val="18"/>
        </w:rPr>
      </w:pPr>
      <w:r>
        <w:rPr>
          <w:position w:val="6"/>
          <w:sz w:val="12"/>
        </w:rPr>
        <w:t xml:space="preserve">157 </w:t>
      </w:r>
      <w:r>
        <w:rPr>
          <w:sz w:val="18"/>
        </w:rPr>
        <w:t>C Taylor, The Politics of Recognition in Multicultur</w:t>
      </w:r>
      <w:r>
        <w:rPr>
          <w:sz w:val="18"/>
        </w:rPr>
        <w:t>alism: Examining the Politics of Recognition (A Gutmann ed.) Princeton University Press (1994)</w:t>
      </w:r>
    </w:p>
    <w:p w:rsidR="003B2FC0" w:rsidRDefault="00052A49">
      <w:pPr>
        <w:spacing w:line="242" w:lineRule="auto"/>
        <w:ind w:left="671" w:hanging="272"/>
        <w:rPr>
          <w:sz w:val="18"/>
        </w:rPr>
      </w:pPr>
      <w:r>
        <w:rPr>
          <w:position w:val="6"/>
          <w:sz w:val="12"/>
        </w:rPr>
        <w:t>158</w:t>
      </w:r>
      <w:r>
        <w:rPr>
          <w:spacing w:val="4"/>
          <w:position w:val="6"/>
          <w:sz w:val="12"/>
        </w:rPr>
        <w:t xml:space="preserve"> </w:t>
      </w:r>
      <w:r>
        <w:rPr>
          <w:sz w:val="18"/>
        </w:rPr>
        <w:t>R</w:t>
      </w:r>
      <w:r>
        <w:rPr>
          <w:spacing w:val="-13"/>
          <w:sz w:val="18"/>
        </w:rPr>
        <w:t xml:space="preserve"> </w:t>
      </w:r>
      <w:r>
        <w:rPr>
          <w:sz w:val="18"/>
        </w:rPr>
        <w:t>Bhargava,</w:t>
      </w:r>
      <w:r>
        <w:rPr>
          <w:spacing w:val="-11"/>
          <w:sz w:val="18"/>
        </w:rPr>
        <w:t xml:space="preserve"> </w:t>
      </w:r>
      <w:r>
        <w:rPr>
          <w:sz w:val="18"/>
        </w:rPr>
        <w:t>Introduction</w:t>
      </w:r>
      <w:r>
        <w:rPr>
          <w:spacing w:val="-14"/>
          <w:sz w:val="18"/>
        </w:rPr>
        <w:t xml:space="preserve"> </w:t>
      </w:r>
      <w:r>
        <w:rPr>
          <w:sz w:val="18"/>
        </w:rPr>
        <w:t>Multiculturalism</w:t>
      </w:r>
      <w:r>
        <w:rPr>
          <w:spacing w:val="-12"/>
          <w:sz w:val="18"/>
        </w:rPr>
        <w:t xml:space="preserve"> </w:t>
      </w:r>
      <w:r>
        <w:rPr>
          <w:sz w:val="18"/>
        </w:rPr>
        <w:t>in</w:t>
      </w:r>
      <w:r>
        <w:rPr>
          <w:spacing w:val="-7"/>
          <w:sz w:val="18"/>
        </w:rPr>
        <w:t xml:space="preserve"> </w:t>
      </w:r>
      <w:r>
        <w:rPr>
          <w:sz w:val="18"/>
        </w:rPr>
        <w:t>Multiculturalism,</w:t>
      </w:r>
      <w:r>
        <w:rPr>
          <w:spacing w:val="-17"/>
          <w:sz w:val="18"/>
        </w:rPr>
        <w:t xml:space="preserve"> </w:t>
      </w:r>
      <w:r>
        <w:rPr>
          <w:sz w:val="18"/>
        </w:rPr>
        <w:t>Liberalism</w:t>
      </w:r>
      <w:r>
        <w:rPr>
          <w:spacing w:val="-13"/>
          <w:sz w:val="18"/>
        </w:rPr>
        <w:t xml:space="preserve"> </w:t>
      </w:r>
      <w:r>
        <w:rPr>
          <w:sz w:val="18"/>
        </w:rPr>
        <w:t>and</w:t>
      </w:r>
      <w:r>
        <w:rPr>
          <w:spacing w:val="-14"/>
          <w:sz w:val="18"/>
        </w:rPr>
        <w:t xml:space="preserve"> </w:t>
      </w:r>
      <w:r>
        <w:rPr>
          <w:sz w:val="18"/>
        </w:rPr>
        <w:t>Democracy</w:t>
      </w:r>
      <w:r>
        <w:rPr>
          <w:spacing w:val="-13"/>
          <w:sz w:val="18"/>
        </w:rPr>
        <w:t xml:space="preserve"> </w:t>
      </w:r>
      <w:r>
        <w:rPr>
          <w:sz w:val="18"/>
        </w:rPr>
        <w:t>(R</w:t>
      </w:r>
      <w:r>
        <w:rPr>
          <w:spacing w:val="-15"/>
          <w:sz w:val="18"/>
        </w:rPr>
        <w:t xml:space="preserve"> </w:t>
      </w:r>
      <w:r>
        <w:rPr>
          <w:sz w:val="18"/>
        </w:rPr>
        <w:t>Bhargava</w:t>
      </w:r>
      <w:r>
        <w:rPr>
          <w:spacing w:val="-9"/>
          <w:sz w:val="18"/>
        </w:rPr>
        <w:t xml:space="preserve"> </w:t>
      </w:r>
      <w:r>
        <w:rPr>
          <w:i/>
          <w:sz w:val="18"/>
        </w:rPr>
        <w:t>et</w:t>
      </w:r>
      <w:r>
        <w:rPr>
          <w:i/>
          <w:spacing w:val="-14"/>
          <w:sz w:val="18"/>
        </w:rPr>
        <w:t xml:space="preserve"> </w:t>
      </w:r>
      <w:r>
        <w:rPr>
          <w:i/>
          <w:sz w:val="18"/>
        </w:rPr>
        <w:t>al.</w:t>
      </w:r>
      <w:r>
        <w:rPr>
          <w:i/>
          <w:spacing w:val="-14"/>
          <w:sz w:val="18"/>
        </w:rPr>
        <w:t xml:space="preserve"> </w:t>
      </w:r>
      <w:r>
        <w:rPr>
          <w:sz w:val="18"/>
        </w:rPr>
        <w:t>eds), Oxford University Press</w:t>
      </w:r>
      <w:r>
        <w:rPr>
          <w:spacing w:val="-1"/>
          <w:sz w:val="18"/>
        </w:rPr>
        <w:t xml:space="preserve"> </w:t>
      </w:r>
      <w:r>
        <w:rPr>
          <w:sz w:val="18"/>
        </w:rPr>
        <w:t>(2007)</w:t>
      </w:r>
    </w:p>
    <w:p w:rsidR="003B2FC0" w:rsidRDefault="003B2FC0">
      <w:pPr>
        <w:spacing w:line="242" w:lineRule="auto"/>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41"/>
        <w:jc w:val="both"/>
        <w:rPr>
          <w:sz w:val="26"/>
        </w:rPr>
      </w:pPr>
      <w:r>
        <w:rPr>
          <w:sz w:val="26"/>
        </w:rPr>
        <w:t>constitute an essential part of religion is inconsistent with the liberal values of the Constitution which recognize autonomy in matters of faith and belief.</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A</w:t>
      </w:r>
      <w:r>
        <w:rPr>
          <w:spacing w:val="-14"/>
          <w:sz w:val="26"/>
        </w:rPr>
        <w:t xml:space="preserve"> </w:t>
      </w:r>
      <w:r>
        <w:rPr>
          <w:sz w:val="26"/>
        </w:rPr>
        <w:t>similar</w:t>
      </w:r>
      <w:r>
        <w:rPr>
          <w:spacing w:val="-14"/>
          <w:sz w:val="26"/>
        </w:rPr>
        <w:t xml:space="preserve"> </w:t>
      </w:r>
      <w:r>
        <w:rPr>
          <w:sz w:val="26"/>
        </w:rPr>
        <w:t>critique</w:t>
      </w:r>
      <w:r>
        <w:rPr>
          <w:spacing w:val="-12"/>
          <w:sz w:val="26"/>
        </w:rPr>
        <w:t xml:space="preserve"> </w:t>
      </w:r>
      <w:r>
        <w:rPr>
          <w:sz w:val="26"/>
        </w:rPr>
        <w:t>of</w:t>
      </w:r>
      <w:r>
        <w:rPr>
          <w:spacing w:val="-12"/>
          <w:sz w:val="26"/>
        </w:rPr>
        <w:t xml:space="preserve"> </w:t>
      </w:r>
      <w:r>
        <w:rPr>
          <w:sz w:val="26"/>
        </w:rPr>
        <w:t>the</w:t>
      </w:r>
      <w:r>
        <w:rPr>
          <w:spacing w:val="-14"/>
          <w:sz w:val="26"/>
        </w:rPr>
        <w:t xml:space="preserve"> </w:t>
      </w:r>
      <w:r>
        <w:rPr>
          <w:sz w:val="26"/>
        </w:rPr>
        <w:t>essential</w:t>
      </w:r>
      <w:r>
        <w:rPr>
          <w:spacing w:val="-12"/>
          <w:sz w:val="26"/>
        </w:rPr>
        <w:t xml:space="preserve"> </w:t>
      </w:r>
      <w:r>
        <w:rPr>
          <w:sz w:val="26"/>
        </w:rPr>
        <w:t>religious</w:t>
      </w:r>
      <w:r>
        <w:rPr>
          <w:spacing w:val="-9"/>
          <w:sz w:val="26"/>
        </w:rPr>
        <w:t xml:space="preserve"> </w:t>
      </w:r>
      <w:r>
        <w:rPr>
          <w:sz w:val="26"/>
        </w:rPr>
        <w:t>practices</w:t>
      </w:r>
      <w:r>
        <w:rPr>
          <w:spacing w:val="-14"/>
          <w:sz w:val="26"/>
        </w:rPr>
        <w:t xml:space="preserve"> </w:t>
      </w:r>
      <w:r>
        <w:rPr>
          <w:sz w:val="26"/>
        </w:rPr>
        <w:t>doctrine</w:t>
      </w:r>
      <w:r>
        <w:rPr>
          <w:spacing w:val="-12"/>
          <w:sz w:val="26"/>
        </w:rPr>
        <w:t xml:space="preserve"> </w:t>
      </w:r>
      <w:r>
        <w:rPr>
          <w:sz w:val="26"/>
        </w:rPr>
        <w:t>has</w:t>
      </w:r>
      <w:r>
        <w:rPr>
          <w:spacing w:val="-14"/>
          <w:sz w:val="26"/>
        </w:rPr>
        <w:t xml:space="preserve"> </w:t>
      </w:r>
      <w:r>
        <w:rPr>
          <w:sz w:val="26"/>
        </w:rPr>
        <w:t>been</w:t>
      </w:r>
      <w:r>
        <w:rPr>
          <w:spacing w:val="-14"/>
          <w:sz w:val="26"/>
        </w:rPr>
        <w:t xml:space="preserve"> </w:t>
      </w:r>
      <w:r>
        <w:rPr>
          <w:sz w:val="26"/>
        </w:rPr>
        <w:t>pu</w:t>
      </w:r>
      <w:r>
        <w:rPr>
          <w:sz w:val="26"/>
        </w:rPr>
        <w:t>t forth by Professors Faizan Mustafa and Jagteshwar Singh Sohi in a recent publication titled “Freedom of Religion in India: Current Issues and Supreme Court Acting as Clergy”.</w:t>
      </w:r>
      <w:r>
        <w:rPr>
          <w:position w:val="9"/>
          <w:sz w:val="17"/>
        </w:rPr>
        <w:t xml:space="preserve">159 </w:t>
      </w:r>
      <w:r>
        <w:rPr>
          <w:sz w:val="26"/>
        </w:rPr>
        <w:t>Along similar lines, Jaclyn L Neo in an article titled “Definitional Imbrogl</w:t>
      </w:r>
      <w:r>
        <w:rPr>
          <w:sz w:val="26"/>
        </w:rPr>
        <w:t>ios: A critique of the definition of religion and essential practice</w:t>
      </w:r>
      <w:r>
        <w:rPr>
          <w:spacing w:val="-14"/>
          <w:sz w:val="26"/>
        </w:rPr>
        <w:t xml:space="preserve"> </w:t>
      </w:r>
      <w:r>
        <w:rPr>
          <w:sz w:val="26"/>
        </w:rPr>
        <w:t>tests</w:t>
      </w:r>
      <w:r>
        <w:rPr>
          <w:spacing w:val="-16"/>
          <w:sz w:val="26"/>
        </w:rPr>
        <w:t xml:space="preserve"> </w:t>
      </w:r>
      <w:r>
        <w:rPr>
          <w:sz w:val="26"/>
        </w:rPr>
        <w:t>in</w:t>
      </w:r>
      <w:r>
        <w:rPr>
          <w:spacing w:val="-13"/>
          <w:sz w:val="26"/>
        </w:rPr>
        <w:t xml:space="preserve"> </w:t>
      </w:r>
      <w:r>
        <w:rPr>
          <w:sz w:val="26"/>
        </w:rPr>
        <w:t>religious</w:t>
      </w:r>
      <w:r>
        <w:rPr>
          <w:spacing w:val="-16"/>
          <w:sz w:val="26"/>
        </w:rPr>
        <w:t xml:space="preserve"> </w:t>
      </w:r>
      <w:r>
        <w:rPr>
          <w:sz w:val="26"/>
        </w:rPr>
        <w:t>freedom</w:t>
      </w:r>
      <w:r>
        <w:rPr>
          <w:spacing w:val="-15"/>
          <w:sz w:val="26"/>
        </w:rPr>
        <w:t xml:space="preserve"> </w:t>
      </w:r>
      <w:r>
        <w:rPr>
          <w:sz w:val="26"/>
        </w:rPr>
        <w:t>adjudication”</w:t>
      </w:r>
      <w:r>
        <w:rPr>
          <w:position w:val="9"/>
          <w:sz w:val="17"/>
        </w:rPr>
        <w:t>160</w:t>
      </w:r>
      <w:r>
        <w:rPr>
          <w:spacing w:val="8"/>
          <w:position w:val="9"/>
          <w:sz w:val="17"/>
        </w:rPr>
        <w:t xml:space="preserve"> </w:t>
      </w:r>
      <w:r>
        <w:rPr>
          <w:sz w:val="26"/>
        </w:rPr>
        <w:t>has</w:t>
      </w:r>
      <w:r>
        <w:rPr>
          <w:spacing w:val="-13"/>
          <w:sz w:val="26"/>
        </w:rPr>
        <w:t xml:space="preserve"> </w:t>
      </w:r>
      <w:r>
        <w:rPr>
          <w:sz w:val="26"/>
        </w:rPr>
        <w:t>dealt</w:t>
      </w:r>
      <w:r>
        <w:rPr>
          <w:spacing w:val="-11"/>
          <w:sz w:val="26"/>
        </w:rPr>
        <w:t xml:space="preserve"> </w:t>
      </w:r>
      <w:r>
        <w:rPr>
          <w:sz w:val="26"/>
        </w:rPr>
        <w:t>with</w:t>
      </w:r>
      <w:r>
        <w:rPr>
          <w:spacing w:val="-13"/>
          <w:sz w:val="26"/>
        </w:rPr>
        <w:t xml:space="preserve"> </w:t>
      </w:r>
      <w:r>
        <w:rPr>
          <w:sz w:val="26"/>
        </w:rPr>
        <w:t>the</w:t>
      </w:r>
      <w:r>
        <w:rPr>
          <w:spacing w:val="-15"/>
          <w:sz w:val="26"/>
        </w:rPr>
        <w:t xml:space="preserve"> </w:t>
      </w:r>
      <w:r>
        <w:rPr>
          <w:sz w:val="26"/>
        </w:rPr>
        <w:t>flaws</w:t>
      </w:r>
      <w:r>
        <w:rPr>
          <w:spacing w:val="-16"/>
          <w:sz w:val="26"/>
        </w:rPr>
        <w:t xml:space="preserve"> </w:t>
      </w:r>
      <w:r>
        <w:rPr>
          <w:sz w:val="26"/>
        </w:rPr>
        <w:t>of</w:t>
      </w:r>
      <w:r>
        <w:rPr>
          <w:spacing w:val="-13"/>
          <w:sz w:val="26"/>
        </w:rPr>
        <w:t xml:space="preserve"> </w:t>
      </w:r>
      <w:r>
        <w:rPr>
          <w:sz w:val="26"/>
        </w:rPr>
        <w:t>the essential religious practices doctrine. The author notes that definitional tests such as the essential religious practices doctrine are formalistic in nature, leading</w:t>
      </w:r>
      <w:r>
        <w:rPr>
          <w:spacing w:val="-5"/>
          <w:sz w:val="26"/>
        </w:rPr>
        <w:t xml:space="preserve"> </w:t>
      </w:r>
      <w:r>
        <w:rPr>
          <w:sz w:val="26"/>
        </w:rPr>
        <w:t>the</w:t>
      </w:r>
      <w:r>
        <w:rPr>
          <w:spacing w:val="-7"/>
          <w:sz w:val="26"/>
        </w:rPr>
        <w:t xml:space="preserve"> </w:t>
      </w:r>
      <w:r>
        <w:rPr>
          <w:sz w:val="26"/>
        </w:rPr>
        <w:t>court</w:t>
      </w:r>
      <w:r>
        <w:rPr>
          <w:spacing w:val="-7"/>
          <w:sz w:val="26"/>
        </w:rPr>
        <w:t xml:space="preserve"> </w:t>
      </w:r>
      <w:r>
        <w:rPr>
          <w:sz w:val="26"/>
        </w:rPr>
        <w:t>to</w:t>
      </w:r>
      <w:r>
        <w:rPr>
          <w:spacing w:val="-7"/>
          <w:sz w:val="26"/>
        </w:rPr>
        <w:t xml:space="preserve"> </w:t>
      </w:r>
      <w:r>
        <w:rPr>
          <w:sz w:val="26"/>
        </w:rPr>
        <w:t>draw</w:t>
      </w:r>
      <w:r>
        <w:rPr>
          <w:spacing w:val="-8"/>
          <w:sz w:val="26"/>
        </w:rPr>
        <w:t xml:space="preserve"> </w:t>
      </w:r>
      <w:r>
        <w:rPr>
          <w:sz w:val="26"/>
        </w:rPr>
        <w:t>an</w:t>
      </w:r>
      <w:r>
        <w:rPr>
          <w:spacing w:val="-7"/>
          <w:sz w:val="26"/>
        </w:rPr>
        <w:t xml:space="preserve"> </w:t>
      </w:r>
      <w:r>
        <w:rPr>
          <w:sz w:val="26"/>
        </w:rPr>
        <w:t>arbitrary</w:t>
      </w:r>
      <w:r>
        <w:rPr>
          <w:spacing w:val="-9"/>
          <w:sz w:val="26"/>
        </w:rPr>
        <w:t xml:space="preserve"> </w:t>
      </w:r>
      <w:r>
        <w:rPr>
          <w:sz w:val="26"/>
        </w:rPr>
        <w:t>line</w:t>
      </w:r>
      <w:r>
        <w:rPr>
          <w:spacing w:val="-4"/>
          <w:sz w:val="26"/>
        </w:rPr>
        <w:t xml:space="preserve"> </w:t>
      </w:r>
      <w:r>
        <w:rPr>
          <w:sz w:val="26"/>
        </w:rPr>
        <w:t>between</w:t>
      </w:r>
      <w:r>
        <w:rPr>
          <w:spacing w:val="-7"/>
          <w:sz w:val="26"/>
        </w:rPr>
        <w:t xml:space="preserve"> </w:t>
      </w:r>
      <w:r>
        <w:rPr>
          <w:sz w:val="26"/>
        </w:rPr>
        <w:t>protected</w:t>
      </w:r>
      <w:r>
        <w:rPr>
          <w:spacing w:val="-4"/>
          <w:sz w:val="26"/>
        </w:rPr>
        <w:t xml:space="preserve"> </w:t>
      </w:r>
      <w:r>
        <w:rPr>
          <w:sz w:val="26"/>
        </w:rPr>
        <w:t>and</w:t>
      </w:r>
      <w:r>
        <w:rPr>
          <w:spacing w:val="-7"/>
          <w:sz w:val="26"/>
        </w:rPr>
        <w:t xml:space="preserve"> </w:t>
      </w:r>
      <w:r>
        <w:rPr>
          <w:sz w:val="26"/>
        </w:rPr>
        <w:t>non-protected religious bel</w:t>
      </w:r>
      <w:r>
        <w:rPr>
          <w:sz w:val="26"/>
        </w:rPr>
        <w:t>iefs or practices:</w:t>
      </w:r>
    </w:p>
    <w:p w:rsidR="003B2FC0" w:rsidRDefault="00052A49">
      <w:pPr>
        <w:spacing w:before="187" w:line="276" w:lineRule="auto"/>
        <w:ind w:left="1840" w:right="2277"/>
        <w:jc w:val="both"/>
        <w:rPr>
          <w:sz w:val="14"/>
        </w:rPr>
      </w:pPr>
      <w:r>
        <w:rPr>
          <w:sz w:val="21"/>
        </w:rPr>
        <w:t>“The key distinction between adjudicating religious freedom claims by examining whether the restrictions are permissible under the limitation clauses and adjudicating claims through a definitional test is that the latter precludes a reli</w:t>
      </w:r>
      <w:r>
        <w:rPr>
          <w:sz w:val="21"/>
        </w:rPr>
        <w:t>gious freedom claim by determining that it falls outside the scope of a constitutional guarantee, before any consideration could be made concerning the appropriate balance between the right and competing rights or interests. Definitional tests are often fo</w:t>
      </w:r>
      <w:r>
        <w:rPr>
          <w:sz w:val="21"/>
        </w:rPr>
        <w:t>rmalistic in that courts select a particular set of criteria and make a decision on the religious freedom claim by simply considering whether the religion, belief or practice falls within these</w:t>
      </w:r>
      <w:r>
        <w:rPr>
          <w:spacing w:val="-6"/>
          <w:sz w:val="21"/>
        </w:rPr>
        <w:t xml:space="preserve"> </w:t>
      </w:r>
      <w:r>
        <w:rPr>
          <w:sz w:val="21"/>
        </w:rPr>
        <w:t>criteria.</w:t>
      </w:r>
      <w:r>
        <w:rPr>
          <w:spacing w:val="-7"/>
          <w:sz w:val="21"/>
        </w:rPr>
        <w:t xml:space="preserve"> </w:t>
      </w:r>
      <w:r>
        <w:rPr>
          <w:sz w:val="21"/>
        </w:rPr>
        <w:t>In</w:t>
      </w:r>
      <w:r>
        <w:rPr>
          <w:spacing w:val="-6"/>
          <w:sz w:val="21"/>
        </w:rPr>
        <w:t xml:space="preserve"> </w:t>
      </w:r>
      <w:r>
        <w:rPr>
          <w:sz w:val="21"/>
        </w:rPr>
        <w:t>doing</w:t>
      </w:r>
      <w:r>
        <w:rPr>
          <w:spacing w:val="-6"/>
          <w:sz w:val="21"/>
        </w:rPr>
        <w:t xml:space="preserve"> </w:t>
      </w:r>
      <w:r>
        <w:rPr>
          <w:sz w:val="21"/>
        </w:rPr>
        <w:t>so,</w:t>
      </w:r>
      <w:r>
        <w:rPr>
          <w:spacing w:val="-9"/>
          <w:sz w:val="21"/>
        </w:rPr>
        <w:t xml:space="preserve"> </w:t>
      </w:r>
      <w:r>
        <w:rPr>
          <w:sz w:val="21"/>
        </w:rPr>
        <w:t>the</w:t>
      </w:r>
      <w:r>
        <w:rPr>
          <w:spacing w:val="-6"/>
          <w:sz w:val="21"/>
        </w:rPr>
        <w:t xml:space="preserve"> </w:t>
      </w:r>
      <w:r>
        <w:rPr>
          <w:sz w:val="21"/>
        </w:rPr>
        <w:t>courts</w:t>
      </w:r>
      <w:r>
        <w:rPr>
          <w:spacing w:val="-6"/>
          <w:sz w:val="21"/>
        </w:rPr>
        <w:t xml:space="preserve"> </w:t>
      </w:r>
      <w:r>
        <w:rPr>
          <w:sz w:val="21"/>
        </w:rPr>
        <w:t>therefore</w:t>
      </w:r>
      <w:r>
        <w:rPr>
          <w:spacing w:val="-6"/>
          <w:sz w:val="21"/>
        </w:rPr>
        <w:t xml:space="preserve"> </w:t>
      </w:r>
      <w:r>
        <w:rPr>
          <w:sz w:val="21"/>
        </w:rPr>
        <w:t>could</w:t>
      </w:r>
      <w:r>
        <w:rPr>
          <w:spacing w:val="-6"/>
          <w:sz w:val="21"/>
        </w:rPr>
        <w:t xml:space="preserve"> </w:t>
      </w:r>
      <w:r>
        <w:rPr>
          <w:sz w:val="21"/>
        </w:rPr>
        <w:t>be</w:t>
      </w:r>
      <w:r>
        <w:rPr>
          <w:spacing w:val="-6"/>
          <w:sz w:val="21"/>
        </w:rPr>
        <w:t xml:space="preserve"> </w:t>
      </w:r>
      <w:r>
        <w:rPr>
          <w:sz w:val="21"/>
        </w:rPr>
        <w:t>said</w:t>
      </w:r>
      <w:r>
        <w:rPr>
          <w:spacing w:val="-6"/>
          <w:sz w:val="21"/>
        </w:rPr>
        <w:t xml:space="preserve"> </w:t>
      </w:r>
      <w:r>
        <w:rPr>
          <w:sz w:val="21"/>
        </w:rPr>
        <w:t>to r</w:t>
      </w:r>
      <w:r>
        <w:rPr>
          <w:sz w:val="21"/>
        </w:rPr>
        <w:t>isk drawing an arbitrary line between protected and non- protected religions, beliefs or</w:t>
      </w:r>
      <w:r>
        <w:rPr>
          <w:spacing w:val="-12"/>
          <w:sz w:val="21"/>
        </w:rPr>
        <w:t xml:space="preserve"> </w:t>
      </w:r>
      <w:r>
        <w:rPr>
          <w:sz w:val="21"/>
        </w:rPr>
        <w:t>practices.”</w:t>
      </w:r>
      <w:r>
        <w:rPr>
          <w:position w:val="7"/>
          <w:sz w:val="14"/>
        </w:rPr>
        <w:t>161</w:t>
      </w:r>
    </w:p>
    <w:p w:rsidR="003B2FC0" w:rsidRDefault="003B2FC0">
      <w:pPr>
        <w:rPr>
          <w:sz w:val="20"/>
        </w:rPr>
      </w:pPr>
    </w:p>
    <w:p w:rsidR="003B2FC0" w:rsidRDefault="003B2FC0">
      <w:pPr>
        <w:rPr>
          <w:sz w:val="20"/>
        </w:rPr>
      </w:pPr>
    </w:p>
    <w:p w:rsidR="003B2FC0" w:rsidRDefault="003B2FC0">
      <w:pPr>
        <w:spacing w:before="11"/>
        <w:rPr>
          <w:sz w:val="29"/>
        </w:rPr>
      </w:pPr>
      <w:r w:rsidRPr="003B2FC0">
        <w:pict>
          <v:line id="_x0000_s1066" style="position:absolute;z-index:251649536;mso-wrap-distance-left:0;mso-wrap-distance-right:0;mso-position-horizontal-relative:page" from="1in,19.6pt" to="216.05pt,19.6pt" strokeweight=".72pt">
            <w10:wrap type="topAndBottom" anchorx="page"/>
          </v:line>
        </w:pict>
      </w:r>
    </w:p>
    <w:p w:rsidR="003B2FC0" w:rsidRDefault="00052A49">
      <w:pPr>
        <w:spacing w:before="66"/>
        <w:ind w:left="671" w:right="434" w:hanging="272"/>
        <w:rPr>
          <w:sz w:val="18"/>
        </w:rPr>
      </w:pPr>
      <w:r>
        <w:rPr>
          <w:position w:val="6"/>
          <w:sz w:val="12"/>
        </w:rPr>
        <w:t xml:space="preserve">159 </w:t>
      </w:r>
      <w:r>
        <w:rPr>
          <w:sz w:val="18"/>
        </w:rPr>
        <w:t>Faizan Mustafa and Jagteshwar Singh Sohi, Freedom of Religion in India: Current Issues and Supreme Court Acting as Clergy, Brigham Young University Review (2017)</w:t>
      </w:r>
    </w:p>
    <w:p w:rsidR="003B2FC0" w:rsidRDefault="00052A49">
      <w:pPr>
        <w:ind w:left="671" w:hanging="272"/>
        <w:rPr>
          <w:sz w:val="18"/>
        </w:rPr>
      </w:pPr>
      <w:r>
        <w:rPr>
          <w:position w:val="6"/>
          <w:sz w:val="12"/>
        </w:rPr>
        <w:t>160</w:t>
      </w:r>
      <w:r>
        <w:rPr>
          <w:spacing w:val="4"/>
          <w:position w:val="6"/>
          <w:sz w:val="12"/>
        </w:rPr>
        <w:t xml:space="preserve"> </w:t>
      </w:r>
      <w:r>
        <w:rPr>
          <w:sz w:val="18"/>
        </w:rPr>
        <w:t>Jaclyn</w:t>
      </w:r>
      <w:r>
        <w:rPr>
          <w:spacing w:val="-14"/>
          <w:sz w:val="18"/>
        </w:rPr>
        <w:t xml:space="preserve"> </w:t>
      </w:r>
      <w:r>
        <w:rPr>
          <w:sz w:val="18"/>
        </w:rPr>
        <w:t>L</w:t>
      </w:r>
      <w:r>
        <w:rPr>
          <w:spacing w:val="-11"/>
          <w:sz w:val="18"/>
        </w:rPr>
        <w:t xml:space="preserve"> </w:t>
      </w:r>
      <w:r>
        <w:rPr>
          <w:sz w:val="18"/>
        </w:rPr>
        <w:t>Neo,</w:t>
      </w:r>
      <w:r>
        <w:rPr>
          <w:spacing w:val="-11"/>
          <w:sz w:val="18"/>
        </w:rPr>
        <w:t xml:space="preserve"> </w:t>
      </w:r>
      <w:r>
        <w:rPr>
          <w:sz w:val="18"/>
        </w:rPr>
        <w:t>Definitional</w:t>
      </w:r>
      <w:r>
        <w:rPr>
          <w:spacing w:val="-13"/>
          <w:sz w:val="18"/>
        </w:rPr>
        <w:t xml:space="preserve"> </w:t>
      </w:r>
      <w:r>
        <w:rPr>
          <w:sz w:val="18"/>
        </w:rPr>
        <w:t>imbroglios:</w:t>
      </w:r>
      <w:r>
        <w:rPr>
          <w:spacing w:val="-14"/>
          <w:sz w:val="18"/>
        </w:rPr>
        <w:t xml:space="preserve"> </w:t>
      </w:r>
      <w:r>
        <w:rPr>
          <w:sz w:val="18"/>
        </w:rPr>
        <w:t>A</w:t>
      </w:r>
      <w:r>
        <w:rPr>
          <w:spacing w:val="-14"/>
          <w:sz w:val="18"/>
        </w:rPr>
        <w:t xml:space="preserve"> </w:t>
      </w:r>
      <w:r>
        <w:rPr>
          <w:sz w:val="18"/>
        </w:rPr>
        <w:t>critique</w:t>
      </w:r>
      <w:r>
        <w:rPr>
          <w:spacing w:val="-13"/>
          <w:sz w:val="18"/>
        </w:rPr>
        <w:t xml:space="preserve"> </w:t>
      </w:r>
      <w:r>
        <w:rPr>
          <w:sz w:val="18"/>
        </w:rPr>
        <w:t>of</w:t>
      </w:r>
      <w:r>
        <w:rPr>
          <w:spacing w:val="-14"/>
          <w:sz w:val="18"/>
        </w:rPr>
        <w:t xml:space="preserve"> </w:t>
      </w:r>
      <w:r>
        <w:rPr>
          <w:sz w:val="18"/>
        </w:rPr>
        <w:t>the</w:t>
      </w:r>
      <w:r>
        <w:rPr>
          <w:spacing w:val="-13"/>
          <w:sz w:val="18"/>
        </w:rPr>
        <w:t xml:space="preserve"> </w:t>
      </w:r>
      <w:r>
        <w:rPr>
          <w:sz w:val="18"/>
        </w:rPr>
        <w:t>definition</w:t>
      </w:r>
      <w:r>
        <w:rPr>
          <w:spacing w:val="-11"/>
          <w:sz w:val="18"/>
        </w:rPr>
        <w:t xml:space="preserve"> </w:t>
      </w:r>
      <w:r>
        <w:rPr>
          <w:sz w:val="18"/>
        </w:rPr>
        <w:t>of</w:t>
      </w:r>
      <w:r>
        <w:rPr>
          <w:spacing w:val="-14"/>
          <w:sz w:val="18"/>
        </w:rPr>
        <w:t xml:space="preserve"> </w:t>
      </w:r>
      <w:r>
        <w:rPr>
          <w:sz w:val="18"/>
        </w:rPr>
        <w:t>religion</w:t>
      </w:r>
      <w:r>
        <w:rPr>
          <w:spacing w:val="-14"/>
          <w:sz w:val="18"/>
        </w:rPr>
        <w:t xml:space="preserve"> </w:t>
      </w:r>
      <w:r>
        <w:rPr>
          <w:sz w:val="18"/>
        </w:rPr>
        <w:t>and</w:t>
      </w:r>
      <w:r>
        <w:rPr>
          <w:spacing w:val="-13"/>
          <w:sz w:val="18"/>
        </w:rPr>
        <w:t xml:space="preserve"> </w:t>
      </w:r>
      <w:r>
        <w:rPr>
          <w:sz w:val="18"/>
        </w:rPr>
        <w:t>essent</w:t>
      </w:r>
      <w:r>
        <w:rPr>
          <w:sz w:val="18"/>
        </w:rPr>
        <w:t>ial</w:t>
      </w:r>
      <w:r>
        <w:rPr>
          <w:spacing w:val="-13"/>
          <w:sz w:val="18"/>
        </w:rPr>
        <w:t xml:space="preserve"> </w:t>
      </w:r>
      <w:r>
        <w:rPr>
          <w:sz w:val="18"/>
        </w:rPr>
        <w:t>practice</w:t>
      </w:r>
      <w:r>
        <w:rPr>
          <w:spacing w:val="-13"/>
          <w:sz w:val="18"/>
        </w:rPr>
        <w:t xml:space="preserve"> </w:t>
      </w:r>
      <w:r>
        <w:rPr>
          <w:sz w:val="18"/>
        </w:rPr>
        <w:t>tests</w:t>
      </w:r>
      <w:r>
        <w:rPr>
          <w:spacing w:val="-13"/>
          <w:sz w:val="18"/>
        </w:rPr>
        <w:t xml:space="preserve"> </w:t>
      </w:r>
      <w:r>
        <w:rPr>
          <w:sz w:val="18"/>
        </w:rPr>
        <w:t>in</w:t>
      </w:r>
      <w:r>
        <w:rPr>
          <w:spacing w:val="-13"/>
          <w:sz w:val="18"/>
        </w:rPr>
        <w:t xml:space="preserve"> </w:t>
      </w:r>
      <w:r>
        <w:rPr>
          <w:sz w:val="18"/>
        </w:rPr>
        <w:t>religious freedom adjudication, International Journal of Constitutional Law, Vol. 16 (2018), at pages</w:t>
      </w:r>
      <w:r>
        <w:rPr>
          <w:spacing w:val="-19"/>
          <w:sz w:val="18"/>
        </w:rPr>
        <w:t xml:space="preserve"> </w:t>
      </w:r>
      <w:r>
        <w:rPr>
          <w:sz w:val="18"/>
        </w:rPr>
        <w:t>574-595</w:t>
      </w:r>
    </w:p>
    <w:p w:rsidR="003B2FC0" w:rsidRDefault="00052A49">
      <w:pPr>
        <w:spacing w:line="208" w:lineRule="exact"/>
        <w:ind w:left="400"/>
        <w:rPr>
          <w:sz w:val="18"/>
        </w:rPr>
      </w:pPr>
      <w:r>
        <w:rPr>
          <w:position w:val="6"/>
          <w:sz w:val="12"/>
        </w:rPr>
        <w:t xml:space="preserve">161 </w:t>
      </w:r>
      <w:r>
        <w:rPr>
          <w:sz w:val="18"/>
        </w:rPr>
        <w:t>Ibid, at pages 575, 576</w:t>
      </w:r>
    </w:p>
    <w:p w:rsidR="003B2FC0" w:rsidRDefault="003B2FC0">
      <w:pPr>
        <w:spacing w:line="208"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6"/>
        <w:jc w:val="both"/>
        <w:rPr>
          <w:sz w:val="26"/>
        </w:rPr>
      </w:pPr>
      <w:r>
        <w:rPr>
          <w:sz w:val="26"/>
        </w:rPr>
        <w:t>Associated with this conceptual difficulty in applying the essential religious practices test is the issue of competence and legitimacy for the court to rule on religious tenets:</w:t>
      </w:r>
    </w:p>
    <w:p w:rsidR="003B2FC0" w:rsidRDefault="00052A49">
      <w:pPr>
        <w:spacing w:before="200" w:line="276" w:lineRule="auto"/>
        <w:ind w:left="1840" w:right="2283"/>
        <w:jc w:val="both"/>
        <w:rPr>
          <w:sz w:val="14"/>
        </w:rPr>
      </w:pPr>
      <w:r>
        <w:rPr>
          <w:sz w:val="21"/>
        </w:rPr>
        <w:t>“While</w:t>
      </w:r>
      <w:r>
        <w:rPr>
          <w:spacing w:val="-5"/>
          <w:sz w:val="21"/>
        </w:rPr>
        <w:t xml:space="preserve"> </w:t>
      </w:r>
      <w:r>
        <w:rPr>
          <w:sz w:val="21"/>
        </w:rPr>
        <w:t>it</w:t>
      </w:r>
      <w:r>
        <w:rPr>
          <w:spacing w:val="-6"/>
          <w:sz w:val="21"/>
        </w:rPr>
        <w:t xml:space="preserve"> </w:t>
      </w:r>
      <w:r>
        <w:rPr>
          <w:sz w:val="21"/>
        </w:rPr>
        <w:t>may</w:t>
      </w:r>
      <w:r>
        <w:rPr>
          <w:spacing w:val="-7"/>
          <w:sz w:val="21"/>
        </w:rPr>
        <w:t xml:space="preserve"> </w:t>
      </w:r>
      <w:r>
        <w:rPr>
          <w:sz w:val="21"/>
        </w:rPr>
        <w:t>be</w:t>
      </w:r>
      <w:r>
        <w:rPr>
          <w:spacing w:val="-4"/>
          <w:sz w:val="21"/>
        </w:rPr>
        <w:t xml:space="preserve"> </w:t>
      </w:r>
      <w:r>
        <w:rPr>
          <w:sz w:val="21"/>
        </w:rPr>
        <w:t>legitimate</w:t>
      </w:r>
      <w:r>
        <w:rPr>
          <w:spacing w:val="-7"/>
          <w:sz w:val="21"/>
        </w:rPr>
        <w:t xml:space="preserve"> </w:t>
      </w:r>
      <w:r>
        <w:rPr>
          <w:sz w:val="21"/>
        </w:rPr>
        <w:t>for</w:t>
      </w:r>
      <w:r>
        <w:rPr>
          <w:spacing w:val="-5"/>
          <w:sz w:val="21"/>
        </w:rPr>
        <w:t xml:space="preserve"> </w:t>
      </w:r>
      <w:r>
        <w:rPr>
          <w:sz w:val="21"/>
        </w:rPr>
        <w:t>religious</w:t>
      </w:r>
      <w:r>
        <w:rPr>
          <w:spacing w:val="-5"/>
          <w:sz w:val="21"/>
        </w:rPr>
        <w:t xml:space="preserve"> </w:t>
      </w:r>
      <w:r>
        <w:rPr>
          <w:sz w:val="21"/>
        </w:rPr>
        <w:t>courts</w:t>
      </w:r>
      <w:r>
        <w:rPr>
          <w:spacing w:val="-4"/>
          <w:sz w:val="21"/>
        </w:rPr>
        <w:t xml:space="preserve"> </w:t>
      </w:r>
      <w:r>
        <w:rPr>
          <w:sz w:val="21"/>
        </w:rPr>
        <w:t>to</w:t>
      </w:r>
      <w:r>
        <w:rPr>
          <w:spacing w:val="-5"/>
          <w:sz w:val="21"/>
        </w:rPr>
        <w:t xml:space="preserve"> </w:t>
      </w:r>
      <w:r>
        <w:rPr>
          <w:sz w:val="21"/>
        </w:rPr>
        <w:t>apply</w:t>
      </w:r>
      <w:r>
        <w:rPr>
          <w:spacing w:val="-7"/>
          <w:sz w:val="21"/>
        </w:rPr>
        <w:t xml:space="preserve"> </w:t>
      </w:r>
      <w:r>
        <w:rPr>
          <w:sz w:val="21"/>
        </w:rPr>
        <w:t xml:space="preserve">internal religious doctrines, civil courts are constitutionally established to adjudicate upon secular constitutional statutory and common law issues. In a religiously pluralistic society, judges cannot presume to </w:t>
      </w:r>
      <w:r>
        <w:rPr>
          <w:spacing w:val="-3"/>
          <w:sz w:val="21"/>
        </w:rPr>
        <w:t xml:space="preserve">have </w:t>
      </w:r>
      <w:r>
        <w:rPr>
          <w:sz w:val="21"/>
        </w:rPr>
        <w:t>judicial competence to have theologic</w:t>
      </w:r>
      <w:r>
        <w:rPr>
          <w:sz w:val="21"/>
        </w:rPr>
        <w:t>al expertise over all</w:t>
      </w:r>
      <w:r>
        <w:rPr>
          <w:spacing w:val="-6"/>
          <w:sz w:val="21"/>
        </w:rPr>
        <w:t xml:space="preserve"> </w:t>
      </w:r>
      <w:r>
        <w:rPr>
          <w:sz w:val="21"/>
        </w:rPr>
        <w:t>religions.”</w:t>
      </w:r>
      <w:r>
        <w:rPr>
          <w:position w:val="7"/>
          <w:sz w:val="14"/>
        </w:rPr>
        <w:t>162</w:t>
      </w:r>
    </w:p>
    <w:p w:rsidR="003B2FC0" w:rsidRDefault="003B2FC0">
      <w:pPr>
        <w:rPr>
          <w:sz w:val="24"/>
        </w:rPr>
      </w:pPr>
    </w:p>
    <w:p w:rsidR="003B2FC0" w:rsidRDefault="003B2FC0">
      <w:pPr>
        <w:rPr>
          <w:sz w:val="24"/>
        </w:rPr>
      </w:pPr>
    </w:p>
    <w:p w:rsidR="003B2FC0" w:rsidRDefault="00052A49">
      <w:pPr>
        <w:spacing w:before="143"/>
        <w:ind w:left="400"/>
        <w:rPr>
          <w:sz w:val="26"/>
        </w:rPr>
      </w:pPr>
      <w:r>
        <w:rPr>
          <w:sz w:val="26"/>
        </w:rPr>
        <w:t>She suggests a two stage determination which is explained thus:</w:t>
      </w:r>
    </w:p>
    <w:p w:rsidR="003B2FC0" w:rsidRDefault="003B2FC0">
      <w:pPr>
        <w:rPr>
          <w:sz w:val="28"/>
        </w:rPr>
      </w:pPr>
    </w:p>
    <w:p w:rsidR="003B2FC0" w:rsidRDefault="00052A49">
      <w:pPr>
        <w:spacing w:before="177" w:line="276" w:lineRule="auto"/>
        <w:ind w:left="1840" w:right="2279"/>
        <w:jc w:val="both"/>
        <w:rPr>
          <w:sz w:val="14"/>
        </w:rPr>
      </w:pPr>
      <w:r>
        <w:rPr>
          <w:sz w:val="21"/>
        </w:rPr>
        <w:t>“Accordingly, there would be a two-stage test in adjudicating religious freedom claims that adopts a more deferential approach to definition, bearing in</w:t>
      </w:r>
      <w:r>
        <w:rPr>
          <w:sz w:val="21"/>
        </w:rPr>
        <w:t xml:space="preserve"> mind…a workable approach to religious freedom protection in plural societies. In the first stage, as mentioned, the courts should accept a group’s self- definition</w:t>
      </w:r>
      <w:r>
        <w:rPr>
          <w:spacing w:val="-8"/>
          <w:sz w:val="21"/>
        </w:rPr>
        <w:t xml:space="preserve"> </w:t>
      </w:r>
      <w:r>
        <w:rPr>
          <w:sz w:val="21"/>
        </w:rPr>
        <w:t>except</w:t>
      </w:r>
      <w:r>
        <w:rPr>
          <w:spacing w:val="-8"/>
          <w:sz w:val="21"/>
        </w:rPr>
        <w:t xml:space="preserve"> </w:t>
      </w:r>
      <w:r>
        <w:rPr>
          <w:sz w:val="21"/>
        </w:rPr>
        <w:t>in</w:t>
      </w:r>
      <w:r>
        <w:rPr>
          <w:spacing w:val="-7"/>
          <w:sz w:val="21"/>
        </w:rPr>
        <w:t xml:space="preserve"> </w:t>
      </w:r>
      <w:r>
        <w:rPr>
          <w:sz w:val="21"/>
        </w:rPr>
        <w:t>extreme</w:t>
      </w:r>
      <w:r>
        <w:rPr>
          <w:spacing w:val="-7"/>
          <w:sz w:val="21"/>
        </w:rPr>
        <w:t xml:space="preserve"> </w:t>
      </w:r>
      <w:r>
        <w:rPr>
          <w:sz w:val="21"/>
        </w:rPr>
        <w:t>cases</w:t>
      </w:r>
      <w:r>
        <w:rPr>
          <w:spacing w:val="-8"/>
          <w:sz w:val="21"/>
        </w:rPr>
        <w:t xml:space="preserve"> </w:t>
      </w:r>
      <w:r>
        <w:rPr>
          <w:sz w:val="21"/>
        </w:rPr>
        <w:t>where</w:t>
      </w:r>
      <w:r>
        <w:rPr>
          <w:spacing w:val="-7"/>
          <w:sz w:val="21"/>
        </w:rPr>
        <w:t xml:space="preserve"> </w:t>
      </w:r>
      <w:r>
        <w:rPr>
          <w:sz w:val="21"/>
        </w:rPr>
        <w:t>there</w:t>
      </w:r>
      <w:r>
        <w:rPr>
          <w:spacing w:val="-7"/>
          <w:sz w:val="21"/>
        </w:rPr>
        <w:t xml:space="preserve"> </w:t>
      </w:r>
      <w:r>
        <w:rPr>
          <w:sz w:val="21"/>
        </w:rPr>
        <w:t>is</w:t>
      </w:r>
      <w:r>
        <w:rPr>
          <w:spacing w:val="-7"/>
          <w:sz w:val="21"/>
        </w:rPr>
        <w:t xml:space="preserve"> </w:t>
      </w:r>
      <w:r>
        <w:rPr>
          <w:sz w:val="21"/>
        </w:rPr>
        <w:t>clearly</w:t>
      </w:r>
      <w:r>
        <w:rPr>
          <w:spacing w:val="-10"/>
          <w:sz w:val="21"/>
        </w:rPr>
        <w:t xml:space="preserve"> </w:t>
      </w:r>
      <w:r>
        <w:rPr>
          <w:sz w:val="21"/>
        </w:rPr>
        <w:t>a</w:t>
      </w:r>
      <w:r>
        <w:rPr>
          <w:spacing w:val="-7"/>
          <w:sz w:val="21"/>
        </w:rPr>
        <w:t xml:space="preserve"> </w:t>
      </w:r>
      <w:r>
        <w:rPr>
          <w:sz w:val="21"/>
        </w:rPr>
        <w:t>lack of sincerity, fraud or ulterior motiv</w:t>
      </w:r>
      <w:r>
        <w:rPr>
          <w:sz w:val="21"/>
        </w:rPr>
        <w:t>e. At the second stage, the courts should apply a balancing, compelling reason inquiry, or proportionality analysis to determine whether the religious freedom claim is outweighed by competing state or public interest.”</w:t>
      </w:r>
      <w:r>
        <w:rPr>
          <w:position w:val="7"/>
          <w:sz w:val="14"/>
        </w:rPr>
        <w:t>163</w:t>
      </w:r>
    </w:p>
    <w:p w:rsidR="003B2FC0" w:rsidRDefault="003B2FC0">
      <w:pPr>
        <w:rPr>
          <w:sz w:val="24"/>
        </w:rPr>
      </w:pPr>
    </w:p>
    <w:p w:rsidR="003B2FC0" w:rsidRDefault="003B2FC0">
      <w:pPr>
        <w:rPr>
          <w:sz w:val="24"/>
        </w:rPr>
      </w:pPr>
    </w:p>
    <w:p w:rsidR="003B2FC0" w:rsidRDefault="00052A49">
      <w:pPr>
        <w:spacing w:before="144" w:line="480" w:lineRule="auto"/>
        <w:ind w:left="400" w:right="435"/>
        <w:jc w:val="both"/>
        <w:rPr>
          <w:sz w:val="26"/>
        </w:rPr>
      </w:pPr>
      <w:r>
        <w:rPr>
          <w:sz w:val="26"/>
        </w:rPr>
        <w:t>A deferential approach to what c</w:t>
      </w:r>
      <w:r>
        <w:rPr>
          <w:sz w:val="26"/>
        </w:rPr>
        <w:t>onstitutes a part of religious tenets would free the court from the unenviable task of adjudicating upon religious texts and doctrines. The deference, however, that is attributed to religion is subject to</w:t>
      </w:r>
      <w:r>
        <w:rPr>
          <w:spacing w:val="-43"/>
          <w:sz w:val="26"/>
        </w:rPr>
        <w:t xml:space="preserve"> </w:t>
      </w:r>
      <w:r>
        <w:rPr>
          <w:sz w:val="26"/>
        </w:rPr>
        <w:t>the fundamental principles which emerge from the qu</w:t>
      </w:r>
      <w:r>
        <w:rPr>
          <w:sz w:val="26"/>
        </w:rPr>
        <w:t>est for liberty, equality and dignity</w:t>
      </w:r>
      <w:r>
        <w:rPr>
          <w:spacing w:val="-14"/>
          <w:sz w:val="26"/>
        </w:rPr>
        <w:t xml:space="preserve"> </w:t>
      </w:r>
      <w:r>
        <w:rPr>
          <w:sz w:val="26"/>
        </w:rPr>
        <w:t>in</w:t>
      </w:r>
      <w:r>
        <w:rPr>
          <w:spacing w:val="-9"/>
          <w:sz w:val="26"/>
        </w:rPr>
        <w:t xml:space="preserve"> </w:t>
      </w:r>
      <w:r>
        <w:rPr>
          <w:sz w:val="26"/>
        </w:rPr>
        <w:t>Part</w:t>
      </w:r>
      <w:r>
        <w:rPr>
          <w:spacing w:val="-12"/>
          <w:sz w:val="26"/>
        </w:rPr>
        <w:t xml:space="preserve"> </w:t>
      </w:r>
      <w:r>
        <w:rPr>
          <w:sz w:val="26"/>
        </w:rPr>
        <w:t>III</w:t>
      </w:r>
      <w:r>
        <w:rPr>
          <w:spacing w:val="-12"/>
          <w:sz w:val="26"/>
        </w:rPr>
        <w:t xml:space="preserve"> </w:t>
      </w:r>
      <w:r>
        <w:rPr>
          <w:sz w:val="26"/>
        </w:rPr>
        <w:t>of</w:t>
      </w:r>
      <w:r>
        <w:rPr>
          <w:spacing w:val="-12"/>
          <w:sz w:val="26"/>
        </w:rPr>
        <w:t xml:space="preserve"> </w:t>
      </w:r>
      <w:r>
        <w:rPr>
          <w:sz w:val="26"/>
        </w:rPr>
        <w:t>the</w:t>
      </w:r>
      <w:r>
        <w:rPr>
          <w:spacing w:val="-12"/>
          <w:sz w:val="26"/>
        </w:rPr>
        <w:t xml:space="preserve"> </w:t>
      </w:r>
      <w:r>
        <w:rPr>
          <w:sz w:val="26"/>
        </w:rPr>
        <w:t>Constitution.</w:t>
      </w:r>
      <w:r>
        <w:rPr>
          <w:spacing w:val="-9"/>
          <w:sz w:val="26"/>
        </w:rPr>
        <w:t xml:space="preserve"> </w:t>
      </w:r>
      <w:r>
        <w:rPr>
          <w:sz w:val="26"/>
        </w:rPr>
        <w:t>Both</w:t>
      </w:r>
      <w:r>
        <w:rPr>
          <w:spacing w:val="-9"/>
          <w:sz w:val="26"/>
        </w:rPr>
        <w:t xml:space="preserve"> </w:t>
      </w:r>
      <w:r>
        <w:rPr>
          <w:sz w:val="26"/>
        </w:rPr>
        <w:t>Article</w:t>
      </w:r>
      <w:r>
        <w:rPr>
          <w:spacing w:val="-11"/>
          <w:sz w:val="26"/>
        </w:rPr>
        <w:t xml:space="preserve"> </w:t>
      </w:r>
      <w:r>
        <w:rPr>
          <w:sz w:val="26"/>
        </w:rPr>
        <w:t>25(1)</w:t>
      </w:r>
      <w:r>
        <w:rPr>
          <w:spacing w:val="-11"/>
          <w:sz w:val="26"/>
        </w:rPr>
        <w:t xml:space="preserve"> </w:t>
      </w:r>
      <w:r>
        <w:rPr>
          <w:sz w:val="26"/>
        </w:rPr>
        <w:t>and</w:t>
      </w:r>
      <w:r>
        <w:rPr>
          <w:spacing w:val="-9"/>
          <w:sz w:val="26"/>
        </w:rPr>
        <w:t xml:space="preserve"> </w:t>
      </w:r>
      <w:r>
        <w:rPr>
          <w:sz w:val="26"/>
        </w:rPr>
        <w:t>Article</w:t>
      </w:r>
      <w:r>
        <w:rPr>
          <w:spacing w:val="-11"/>
          <w:sz w:val="26"/>
        </w:rPr>
        <w:t xml:space="preserve"> </w:t>
      </w:r>
      <w:r>
        <w:rPr>
          <w:sz w:val="26"/>
        </w:rPr>
        <w:t>26</w:t>
      </w:r>
      <w:r>
        <w:rPr>
          <w:spacing w:val="-11"/>
          <w:sz w:val="26"/>
        </w:rPr>
        <w:t xml:space="preserve"> </w:t>
      </w:r>
      <w:r>
        <w:rPr>
          <w:sz w:val="26"/>
        </w:rPr>
        <w:t>are</w:t>
      </w:r>
      <w:r>
        <w:rPr>
          <w:spacing w:val="-12"/>
          <w:sz w:val="26"/>
        </w:rPr>
        <w:t xml:space="preserve"> </w:t>
      </w:r>
      <w:r>
        <w:rPr>
          <w:sz w:val="26"/>
        </w:rPr>
        <w:t>subject to public order, morality and health. Acting under the rubric of these</w:t>
      </w:r>
      <w:r>
        <w:rPr>
          <w:spacing w:val="58"/>
          <w:sz w:val="26"/>
        </w:rPr>
        <w:t xml:space="preserve"> </w:t>
      </w:r>
      <w:r>
        <w:rPr>
          <w:sz w:val="26"/>
        </w:rPr>
        <w:t>limitations</w:t>
      </w:r>
    </w:p>
    <w:p w:rsidR="003B2FC0" w:rsidRDefault="003B2FC0">
      <w:pPr>
        <w:rPr>
          <w:sz w:val="20"/>
        </w:rPr>
      </w:pPr>
    </w:p>
    <w:p w:rsidR="003B2FC0" w:rsidRDefault="003B2FC0">
      <w:pPr>
        <w:rPr>
          <w:sz w:val="20"/>
        </w:rPr>
      </w:pPr>
    </w:p>
    <w:p w:rsidR="003B2FC0" w:rsidRDefault="003B2FC0">
      <w:pPr>
        <w:rPr>
          <w:sz w:val="20"/>
        </w:rPr>
      </w:pPr>
    </w:p>
    <w:p w:rsidR="003B2FC0" w:rsidRDefault="003B2FC0">
      <w:pPr>
        <w:spacing w:before="4"/>
        <w:rPr>
          <w:sz w:val="17"/>
        </w:rPr>
      </w:pPr>
      <w:r w:rsidRPr="003B2FC0">
        <w:pict>
          <v:line id="_x0000_s1065" style="position:absolute;z-index:251650560;mso-wrap-distance-left:0;mso-wrap-distance-right:0;mso-position-horizontal-relative:page" from="1in,12.35pt" to="216.05pt,12.35pt" strokeweight=".72pt">
            <w10:wrap type="topAndBottom" anchorx="page"/>
          </v:line>
        </w:pict>
      </w:r>
    </w:p>
    <w:p w:rsidR="003B2FC0" w:rsidRDefault="00052A49">
      <w:pPr>
        <w:spacing w:before="66" w:line="210" w:lineRule="exact"/>
        <w:ind w:left="400"/>
        <w:rPr>
          <w:sz w:val="18"/>
        </w:rPr>
      </w:pPr>
      <w:r>
        <w:rPr>
          <w:position w:val="6"/>
          <w:sz w:val="12"/>
        </w:rPr>
        <w:t xml:space="preserve">162  </w:t>
      </w:r>
      <w:r>
        <w:rPr>
          <w:sz w:val="18"/>
        </w:rPr>
        <w:t>Ibid, at page</w:t>
      </w:r>
      <w:r>
        <w:rPr>
          <w:spacing w:val="-23"/>
          <w:sz w:val="18"/>
        </w:rPr>
        <w:t xml:space="preserve"> </w:t>
      </w:r>
      <w:r>
        <w:rPr>
          <w:sz w:val="18"/>
        </w:rPr>
        <w:t>589</w:t>
      </w:r>
    </w:p>
    <w:p w:rsidR="003B2FC0" w:rsidRDefault="00052A49">
      <w:pPr>
        <w:spacing w:line="210" w:lineRule="exact"/>
        <w:ind w:left="400"/>
        <w:rPr>
          <w:sz w:val="18"/>
        </w:rPr>
      </w:pPr>
      <w:r>
        <w:rPr>
          <w:position w:val="6"/>
          <w:sz w:val="12"/>
        </w:rPr>
        <w:t xml:space="preserve">163  </w:t>
      </w:r>
      <w:r>
        <w:rPr>
          <w:sz w:val="18"/>
        </w:rPr>
        <w:t>Ibid, at page</w:t>
      </w:r>
      <w:r>
        <w:rPr>
          <w:spacing w:val="-23"/>
          <w:sz w:val="18"/>
        </w:rPr>
        <w:t xml:space="preserve"> </w:t>
      </w:r>
      <w:r>
        <w:rPr>
          <w:sz w:val="18"/>
        </w:rPr>
        <w:t>591</w:t>
      </w:r>
    </w:p>
    <w:p w:rsidR="003B2FC0" w:rsidRDefault="003B2FC0">
      <w:pPr>
        <w:spacing w:line="210" w:lineRule="exact"/>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34"/>
        <w:jc w:val="both"/>
        <w:rPr>
          <w:sz w:val="26"/>
        </w:rPr>
      </w:pPr>
      <w:r>
        <w:rPr>
          <w:sz w:val="26"/>
        </w:rPr>
        <w:t>even the religious freedom of a denomination is subject to an anti-exclusion principle:</w:t>
      </w:r>
    </w:p>
    <w:p w:rsidR="003B2FC0" w:rsidRDefault="00052A49">
      <w:pPr>
        <w:spacing w:before="200" w:line="273" w:lineRule="auto"/>
        <w:ind w:left="1840" w:right="2283"/>
        <w:jc w:val="both"/>
        <w:rPr>
          <w:sz w:val="14"/>
        </w:rPr>
      </w:pPr>
      <w:r>
        <w:rPr>
          <w:sz w:val="21"/>
        </w:rPr>
        <w:t>“the anti-exclusion principle holds that the external norm of constitutional anti-discrimination be applied to limit the autonomy of religious group</w:t>
      </w:r>
      <w:r>
        <w:rPr>
          <w:sz w:val="21"/>
        </w:rPr>
        <w:t>s in situations where these groups are blocking access to basic goods.”</w:t>
      </w:r>
      <w:r>
        <w:rPr>
          <w:position w:val="7"/>
          <w:sz w:val="14"/>
        </w:rPr>
        <w:t>164</w:t>
      </w:r>
    </w:p>
    <w:p w:rsidR="003B2FC0" w:rsidRDefault="003B2FC0">
      <w:pPr>
        <w:rPr>
          <w:sz w:val="24"/>
        </w:rPr>
      </w:pPr>
    </w:p>
    <w:p w:rsidR="003B2FC0" w:rsidRDefault="003B2FC0">
      <w:pPr>
        <w:spacing w:before="5"/>
        <w:rPr>
          <w:sz w:val="35"/>
        </w:rPr>
      </w:pPr>
    </w:p>
    <w:p w:rsidR="003B2FC0" w:rsidRDefault="00052A49">
      <w:pPr>
        <w:ind w:left="400"/>
        <w:rPr>
          <w:sz w:val="26"/>
        </w:rPr>
      </w:pPr>
      <w:r>
        <w:rPr>
          <w:sz w:val="26"/>
        </w:rPr>
        <w:t>The anti-exclusion principle stipulates thus:</w:t>
      </w:r>
    </w:p>
    <w:p w:rsidR="003B2FC0" w:rsidRDefault="003B2FC0">
      <w:pPr>
        <w:rPr>
          <w:sz w:val="28"/>
        </w:rPr>
      </w:pPr>
    </w:p>
    <w:p w:rsidR="003B2FC0" w:rsidRDefault="00052A49">
      <w:pPr>
        <w:spacing w:before="175" w:line="276" w:lineRule="auto"/>
        <w:ind w:left="1840" w:right="2281"/>
        <w:jc w:val="both"/>
        <w:rPr>
          <w:sz w:val="14"/>
        </w:rPr>
      </w:pPr>
      <w:r>
        <w:rPr>
          <w:sz w:val="21"/>
        </w:rPr>
        <w:t>“…that the state and the Court must respect the integrity of religious group life (and thereby treat the internal point of religious</w:t>
      </w:r>
      <w:r>
        <w:rPr>
          <w:spacing w:val="-9"/>
          <w:sz w:val="21"/>
        </w:rPr>
        <w:t xml:space="preserve"> </w:t>
      </w:r>
      <w:r>
        <w:rPr>
          <w:sz w:val="21"/>
        </w:rPr>
        <w:t>adherents</w:t>
      </w:r>
      <w:r>
        <w:rPr>
          <w:spacing w:val="-8"/>
          <w:sz w:val="21"/>
        </w:rPr>
        <w:t xml:space="preserve"> </w:t>
      </w:r>
      <w:r>
        <w:rPr>
          <w:sz w:val="21"/>
        </w:rPr>
        <w:t>as</w:t>
      </w:r>
      <w:r>
        <w:rPr>
          <w:spacing w:val="-8"/>
          <w:sz w:val="21"/>
        </w:rPr>
        <w:t xml:space="preserve"> </w:t>
      </w:r>
      <w:r>
        <w:rPr>
          <w:sz w:val="21"/>
        </w:rPr>
        <w:t>determinative</w:t>
      </w:r>
      <w:r>
        <w:rPr>
          <w:spacing w:val="-8"/>
          <w:sz w:val="21"/>
        </w:rPr>
        <w:t xml:space="preserve"> </w:t>
      </w:r>
      <w:r>
        <w:rPr>
          <w:sz w:val="21"/>
        </w:rPr>
        <w:t>of</w:t>
      </w:r>
      <w:r>
        <w:rPr>
          <w:spacing w:val="-7"/>
          <w:sz w:val="21"/>
        </w:rPr>
        <w:t xml:space="preserve"> </w:t>
      </w:r>
      <w:r>
        <w:rPr>
          <w:sz w:val="21"/>
        </w:rPr>
        <w:t>the</w:t>
      </w:r>
      <w:r>
        <w:rPr>
          <w:spacing w:val="-10"/>
          <w:sz w:val="21"/>
        </w:rPr>
        <w:t xml:space="preserve"> </w:t>
      </w:r>
      <w:r>
        <w:rPr>
          <w:sz w:val="21"/>
        </w:rPr>
        <w:t>form</w:t>
      </w:r>
      <w:r>
        <w:rPr>
          <w:spacing w:val="-7"/>
          <w:sz w:val="21"/>
        </w:rPr>
        <w:t xml:space="preserve"> </w:t>
      </w:r>
      <w:r>
        <w:rPr>
          <w:sz w:val="21"/>
        </w:rPr>
        <w:t>and</w:t>
      </w:r>
      <w:r>
        <w:rPr>
          <w:spacing w:val="-11"/>
          <w:sz w:val="21"/>
        </w:rPr>
        <w:t xml:space="preserve"> </w:t>
      </w:r>
      <w:r>
        <w:rPr>
          <w:sz w:val="21"/>
        </w:rPr>
        <w:t>content</w:t>
      </w:r>
      <w:r>
        <w:rPr>
          <w:spacing w:val="-9"/>
          <w:sz w:val="21"/>
        </w:rPr>
        <w:t xml:space="preserve"> </w:t>
      </w:r>
      <w:r>
        <w:rPr>
          <w:sz w:val="21"/>
        </w:rPr>
        <w:t>of religious</w:t>
      </w:r>
      <w:r>
        <w:rPr>
          <w:spacing w:val="-11"/>
          <w:sz w:val="21"/>
        </w:rPr>
        <w:t xml:space="preserve"> </w:t>
      </w:r>
      <w:r>
        <w:rPr>
          <w:sz w:val="21"/>
        </w:rPr>
        <w:t>practices)</w:t>
      </w:r>
      <w:r>
        <w:rPr>
          <w:spacing w:val="-12"/>
          <w:sz w:val="21"/>
        </w:rPr>
        <w:t xml:space="preserve"> </w:t>
      </w:r>
      <w:r>
        <w:rPr>
          <w:i/>
          <w:sz w:val="21"/>
        </w:rPr>
        <w:t>except</w:t>
      </w:r>
      <w:r>
        <w:rPr>
          <w:i/>
          <w:spacing w:val="-12"/>
          <w:sz w:val="21"/>
        </w:rPr>
        <w:t xml:space="preserve"> </w:t>
      </w:r>
      <w:r>
        <w:rPr>
          <w:sz w:val="21"/>
        </w:rPr>
        <w:t>where</w:t>
      </w:r>
      <w:r>
        <w:rPr>
          <w:spacing w:val="-12"/>
          <w:sz w:val="21"/>
        </w:rPr>
        <w:t xml:space="preserve"> </w:t>
      </w:r>
      <w:r>
        <w:rPr>
          <w:sz w:val="21"/>
        </w:rPr>
        <w:t>the</w:t>
      </w:r>
      <w:r>
        <w:rPr>
          <w:spacing w:val="-10"/>
          <w:sz w:val="21"/>
        </w:rPr>
        <w:t xml:space="preserve"> </w:t>
      </w:r>
      <w:r>
        <w:rPr>
          <w:sz w:val="21"/>
        </w:rPr>
        <w:t>practices</w:t>
      </w:r>
      <w:r>
        <w:rPr>
          <w:spacing w:val="-12"/>
          <w:sz w:val="21"/>
        </w:rPr>
        <w:t xml:space="preserve"> </w:t>
      </w:r>
      <w:r>
        <w:rPr>
          <w:sz w:val="21"/>
        </w:rPr>
        <w:t>in</w:t>
      </w:r>
      <w:r>
        <w:rPr>
          <w:spacing w:val="-11"/>
          <w:sz w:val="21"/>
        </w:rPr>
        <w:t xml:space="preserve"> </w:t>
      </w:r>
      <w:r>
        <w:rPr>
          <w:sz w:val="21"/>
        </w:rPr>
        <w:t>question</w:t>
      </w:r>
      <w:r>
        <w:rPr>
          <w:spacing w:val="-14"/>
          <w:sz w:val="21"/>
        </w:rPr>
        <w:t xml:space="preserve"> </w:t>
      </w:r>
      <w:r>
        <w:rPr>
          <w:sz w:val="21"/>
        </w:rPr>
        <w:t>lead to</w:t>
      </w:r>
      <w:r>
        <w:rPr>
          <w:spacing w:val="-7"/>
          <w:sz w:val="21"/>
        </w:rPr>
        <w:t xml:space="preserve"> </w:t>
      </w:r>
      <w:r>
        <w:rPr>
          <w:sz w:val="21"/>
        </w:rPr>
        <w:t>the</w:t>
      </w:r>
      <w:r>
        <w:rPr>
          <w:spacing w:val="-7"/>
          <w:sz w:val="21"/>
        </w:rPr>
        <w:t xml:space="preserve"> </w:t>
      </w:r>
      <w:r>
        <w:rPr>
          <w:sz w:val="21"/>
        </w:rPr>
        <w:t>exclusion</w:t>
      </w:r>
      <w:r>
        <w:rPr>
          <w:spacing w:val="-7"/>
          <w:sz w:val="21"/>
        </w:rPr>
        <w:t xml:space="preserve"> </w:t>
      </w:r>
      <w:r>
        <w:rPr>
          <w:sz w:val="21"/>
        </w:rPr>
        <w:t>of</w:t>
      </w:r>
      <w:r>
        <w:rPr>
          <w:spacing w:val="-6"/>
          <w:sz w:val="21"/>
        </w:rPr>
        <w:t xml:space="preserve"> </w:t>
      </w:r>
      <w:r>
        <w:rPr>
          <w:sz w:val="21"/>
        </w:rPr>
        <w:t>individuals</w:t>
      </w:r>
      <w:r>
        <w:rPr>
          <w:spacing w:val="-7"/>
          <w:sz w:val="21"/>
        </w:rPr>
        <w:t xml:space="preserve"> </w:t>
      </w:r>
      <w:r>
        <w:rPr>
          <w:sz w:val="21"/>
        </w:rPr>
        <w:t>from</w:t>
      </w:r>
      <w:r>
        <w:rPr>
          <w:spacing w:val="-6"/>
          <w:sz w:val="21"/>
        </w:rPr>
        <w:t xml:space="preserve"> </w:t>
      </w:r>
      <w:r>
        <w:rPr>
          <w:sz w:val="21"/>
        </w:rPr>
        <w:t>economic,</w:t>
      </w:r>
      <w:r>
        <w:rPr>
          <w:spacing w:val="-8"/>
          <w:sz w:val="21"/>
        </w:rPr>
        <w:t xml:space="preserve"> </w:t>
      </w:r>
      <w:r>
        <w:rPr>
          <w:sz w:val="21"/>
        </w:rPr>
        <w:t>social</w:t>
      </w:r>
      <w:r>
        <w:rPr>
          <w:spacing w:val="-8"/>
          <w:sz w:val="21"/>
        </w:rPr>
        <w:t xml:space="preserve"> </w:t>
      </w:r>
      <w:r>
        <w:rPr>
          <w:sz w:val="21"/>
        </w:rPr>
        <w:t>or</w:t>
      </w:r>
      <w:r>
        <w:rPr>
          <w:spacing w:val="-8"/>
          <w:sz w:val="21"/>
        </w:rPr>
        <w:t xml:space="preserve"> </w:t>
      </w:r>
      <w:r>
        <w:rPr>
          <w:sz w:val="21"/>
        </w:rPr>
        <w:t>cultural life in a manner that impairs their dignity, or hampers their access to basic</w:t>
      </w:r>
      <w:r>
        <w:rPr>
          <w:spacing w:val="-4"/>
          <w:sz w:val="21"/>
        </w:rPr>
        <w:t xml:space="preserve"> </w:t>
      </w:r>
      <w:r>
        <w:rPr>
          <w:sz w:val="21"/>
        </w:rPr>
        <w:t>goods.”</w:t>
      </w:r>
      <w:r>
        <w:rPr>
          <w:position w:val="7"/>
          <w:sz w:val="14"/>
        </w:rPr>
        <w:t>165</w:t>
      </w:r>
    </w:p>
    <w:p w:rsidR="003B2FC0" w:rsidRDefault="003B2FC0">
      <w:pPr>
        <w:rPr>
          <w:sz w:val="24"/>
        </w:rPr>
      </w:pPr>
    </w:p>
    <w:p w:rsidR="003B2FC0" w:rsidRDefault="003B2FC0">
      <w:pPr>
        <w:spacing w:before="10"/>
        <w:rPr>
          <w:sz w:val="34"/>
        </w:rPr>
      </w:pPr>
    </w:p>
    <w:p w:rsidR="003B2FC0" w:rsidRDefault="00052A49">
      <w:pPr>
        <w:pStyle w:val="ListParagraph"/>
        <w:numPr>
          <w:ilvl w:val="0"/>
          <w:numId w:val="39"/>
        </w:numPr>
        <w:tabs>
          <w:tab w:val="left" w:pos="1121"/>
        </w:tabs>
        <w:spacing w:line="480" w:lineRule="auto"/>
        <w:ind w:right="434" w:firstLine="0"/>
        <w:jc w:val="both"/>
        <w:rPr>
          <w:sz w:val="26"/>
        </w:rPr>
      </w:pPr>
      <w:r>
        <w:rPr>
          <w:sz w:val="26"/>
        </w:rPr>
        <w:t>The anti-exclusion principle allows for due-deference to the ability of a religion to determine its own religious tenets and doctrines. At the same time, th</w:t>
      </w:r>
      <w:r>
        <w:rPr>
          <w:sz w:val="26"/>
        </w:rPr>
        <w:t>e</w:t>
      </w:r>
      <w:r>
        <w:rPr>
          <w:spacing w:val="-15"/>
          <w:sz w:val="26"/>
        </w:rPr>
        <w:t xml:space="preserve"> </w:t>
      </w:r>
      <w:r>
        <w:rPr>
          <w:sz w:val="26"/>
        </w:rPr>
        <w:t>anti-exclusion</w:t>
      </w:r>
      <w:r>
        <w:rPr>
          <w:spacing w:val="-14"/>
          <w:sz w:val="26"/>
        </w:rPr>
        <w:t xml:space="preserve"> </w:t>
      </w:r>
      <w:r>
        <w:rPr>
          <w:sz w:val="26"/>
        </w:rPr>
        <w:t>principle</w:t>
      </w:r>
      <w:r>
        <w:rPr>
          <w:spacing w:val="-15"/>
          <w:sz w:val="26"/>
        </w:rPr>
        <w:t xml:space="preserve"> </w:t>
      </w:r>
      <w:r>
        <w:rPr>
          <w:sz w:val="26"/>
        </w:rPr>
        <w:t>postulates</w:t>
      </w:r>
      <w:r>
        <w:rPr>
          <w:spacing w:val="-14"/>
          <w:sz w:val="26"/>
        </w:rPr>
        <w:t xml:space="preserve"> </w:t>
      </w:r>
      <w:r>
        <w:rPr>
          <w:sz w:val="26"/>
        </w:rPr>
        <w:t>that</w:t>
      </w:r>
      <w:r>
        <w:rPr>
          <w:spacing w:val="-13"/>
          <w:sz w:val="26"/>
        </w:rPr>
        <w:t xml:space="preserve"> </w:t>
      </w:r>
      <w:r>
        <w:rPr>
          <w:sz w:val="26"/>
        </w:rPr>
        <w:t>where</w:t>
      </w:r>
      <w:r>
        <w:rPr>
          <w:spacing w:val="-14"/>
          <w:sz w:val="26"/>
        </w:rPr>
        <w:t xml:space="preserve"> </w:t>
      </w:r>
      <w:r>
        <w:rPr>
          <w:sz w:val="26"/>
        </w:rPr>
        <w:t>a</w:t>
      </w:r>
      <w:r>
        <w:rPr>
          <w:spacing w:val="-14"/>
          <w:sz w:val="26"/>
        </w:rPr>
        <w:t xml:space="preserve"> </w:t>
      </w:r>
      <w:r>
        <w:rPr>
          <w:sz w:val="26"/>
        </w:rPr>
        <w:t>religious</w:t>
      </w:r>
      <w:r>
        <w:rPr>
          <w:spacing w:val="-15"/>
          <w:sz w:val="26"/>
        </w:rPr>
        <w:t xml:space="preserve"> </w:t>
      </w:r>
      <w:r>
        <w:rPr>
          <w:sz w:val="26"/>
        </w:rPr>
        <w:t>practice</w:t>
      </w:r>
      <w:r>
        <w:rPr>
          <w:spacing w:val="-14"/>
          <w:sz w:val="26"/>
        </w:rPr>
        <w:t xml:space="preserve"> </w:t>
      </w:r>
      <w:r>
        <w:rPr>
          <w:sz w:val="26"/>
        </w:rPr>
        <w:t>causes</w:t>
      </w:r>
      <w:r>
        <w:rPr>
          <w:spacing w:val="-15"/>
          <w:sz w:val="26"/>
        </w:rPr>
        <w:t xml:space="preserve"> </w:t>
      </w:r>
      <w:r>
        <w:rPr>
          <w:sz w:val="26"/>
        </w:rPr>
        <w:t>the exclusion</w:t>
      </w:r>
      <w:r>
        <w:rPr>
          <w:spacing w:val="-9"/>
          <w:sz w:val="26"/>
        </w:rPr>
        <w:t xml:space="preserve"> </w:t>
      </w:r>
      <w:r>
        <w:rPr>
          <w:sz w:val="26"/>
        </w:rPr>
        <w:t>of</w:t>
      </w:r>
      <w:r>
        <w:rPr>
          <w:spacing w:val="-8"/>
          <w:sz w:val="26"/>
        </w:rPr>
        <w:t xml:space="preserve"> </w:t>
      </w:r>
      <w:r>
        <w:rPr>
          <w:sz w:val="26"/>
        </w:rPr>
        <w:t>individuals</w:t>
      </w:r>
      <w:r>
        <w:rPr>
          <w:spacing w:val="-8"/>
          <w:sz w:val="26"/>
        </w:rPr>
        <w:t xml:space="preserve"> </w:t>
      </w:r>
      <w:r>
        <w:rPr>
          <w:sz w:val="26"/>
        </w:rPr>
        <w:t>in</w:t>
      </w:r>
      <w:r>
        <w:rPr>
          <w:spacing w:val="-8"/>
          <w:sz w:val="26"/>
        </w:rPr>
        <w:t xml:space="preserve"> </w:t>
      </w:r>
      <w:r>
        <w:rPr>
          <w:sz w:val="26"/>
        </w:rPr>
        <w:t>a</w:t>
      </w:r>
      <w:r>
        <w:rPr>
          <w:spacing w:val="-9"/>
          <w:sz w:val="26"/>
        </w:rPr>
        <w:t xml:space="preserve"> </w:t>
      </w:r>
      <w:r>
        <w:rPr>
          <w:sz w:val="26"/>
        </w:rPr>
        <w:t>manner</w:t>
      </w:r>
      <w:r>
        <w:rPr>
          <w:spacing w:val="-5"/>
          <w:sz w:val="26"/>
        </w:rPr>
        <w:t xml:space="preserve"> </w:t>
      </w:r>
      <w:r>
        <w:rPr>
          <w:sz w:val="26"/>
        </w:rPr>
        <w:t>which</w:t>
      </w:r>
      <w:r>
        <w:rPr>
          <w:spacing w:val="-8"/>
          <w:sz w:val="26"/>
        </w:rPr>
        <w:t xml:space="preserve"> </w:t>
      </w:r>
      <w:r>
        <w:rPr>
          <w:sz w:val="26"/>
        </w:rPr>
        <w:t>impairs</w:t>
      </w:r>
      <w:r>
        <w:rPr>
          <w:spacing w:val="-9"/>
          <w:sz w:val="26"/>
        </w:rPr>
        <w:t xml:space="preserve"> </w:t>
      </w:r>
      <w:r>
        <w:rPr>
          <w:sz w:val="26"/>
        </w:rPr>
        <w:t>their</w:t>
      </w:r>
      <w:r>
        <w:rPr>
          <w:spacing w:val="-7"/>
          <w:sz w:val="26"/>
        </w:rPr>
        <w:t xml:space="preserve"> </w:t>
      </w:r>
      <w:r>
        <w:rPr>
          <w:sz w:val="26"/>
        </w:rPr>
        <w:t>dignity</w:t>
      </w:r>
      <w:r>
        <w:rPr>
          <w:spacing w:val="-8"/>
          <w:sz w:val="26"/>
        </w:rPr>
        <w:t xml:space="preserve"> </w:t>
      </w:r>
      <w:r>
        <w:rPr>
          <w:sz w:val="26"/>
        </w:rPr>
        <w:t>or</w:t>
      </w:r>
      <w:r>
        <w:rPr>
          <w:spacing w:val="-8"/>
          <w:sz w:val="26"/>
        </w:rPr>
        <w:t xml:space="preserve"> </w:t>
      </w:r>
      <w:r>
        <w:rPr>
          <w:sz w:val="26"/>
        </w:rPr>
        <w:t>hampers</w:t>
      </w:r>
      <w:r>
        <w:rPr>
          <w:spacing w:val="-9"/>
          <w:sz w:val="26"/>
        </w:rPr>
        <w:t xml:space="preserve"> </w:t>
      </w:r>
      <w:r>
        <w:rPr>
          <w:sz w:val="26"/>
        </w:rPr>
        <w:t>their access</w:t>
      </w:r>
      <w:r>
        <w:rPr>
          <w:spacing w:val="-16"/>
          <w:sz w:val="26"/>
        </w:rPr>
        <w:t xml:space="preserve"> </w:t>
      </w:r>
      <w:r>
        <w:rPr>
          <w:sz w:val="26"/>
        </w:rPr>
        <w:t>to</w:t>
      </w:r>
      <w:r>
        <w:rPr>
          <w:spacing w:val="-16"/>
          <w:sz w:val="26"/>
        </w:rPr>
        <w:t xml:space="preserve"> </w:t>
      </w:r>
      <w:r>
        <w:rPr>
          <w:sz w:val="26"/>
        </w:rPr>
        <w:t>basic</w:t>
      </w:r>
      <w:r>
        <w:rPr>
          <w:spacing w:val="-16"/>
          <w:sz w:val="26"/>
        </w:rPr>
        <w:t xml:space="preserve"> </w:t>
      </w:r>
      <w:r>
        <w:rPr>
          <w:sz w:val="26"/>
        </w:rPr>
        <w:t>goods,</w:t>
      </w:r>
      <w:r>
        <w:rPr>
          <w:spacing w:val="-15"/>
          <w:sz w:val="26"/>
        </w:rPr>
        <w:t xml:space="preserve"> </w:t>
      </w:r>
      <w:r>
        <w:rPr>
          <w:sz w:val="26"/>
        </w:rPr>
        <w:t>the</w:t>
      </w:r>
      <w:r>
        <w:rPr>
          <w:spacing w:val="-16"/>
          <w:sz w:val="26"/>
        </w:rPr>
        <w:t xml:space="preserve"> </w:t>
      </w:r>
      <w:r>
        <w:rPr>
          <w:sz w:val="26"/>
        </w:rPr>
        <w:t>freedom</w:t>
      </w:r>
      <w:r>
        <w:rPr>
          <w:spacing w:val="-16"/>
          <w:sz w:val="26"/>
        </w:rPr>
        <w:t xml:space="preserve"> </w:t>
      </w:r>
      <w:r>
        <w:rPr>
          <w:sz w:val="26"/>
        </w:rPr>
        <w:t>of</w:t>
      </w:r>
      <w:r>
        <w:rPr>
          <w:spacing w:val="-16"/>
          <w:sz w:val="26"/>
        </w:rPr>
        <w:t xml:space="preserve"> </w:t>
      </w:r>
      <w:r>
        <w:rPr>
          <w:sz w:val="26"/>
        </w:rPr>
        <w:t>religion</w:t>
      </w:r>
      <w:r>
        <w:rPr>
          <w:spacing w:val="-15"/>
          <w:sz w:val="26"/>
        </w:rPr>
        <w:t xml:space="preserve"> </w:t>
      </w:r>
      <w:r>
        <w:rPr>
          <w:sz w:val="26"/>
        </w:rPr>
        <w:t>must</w:t>
      </w:r>
      <w:r>
        <w:rPr>
          <w:spacing w:val="-16"/>
          <w:sz w:val="26"/>
        </w:rPr>
        <w:t xml:space="preserve"> </w:t>
      </w:r>
      <w:r>
        <w:rPr>
          <w:sz w:val="26"/>
        </w:rPr>
        <w:t>give</w:t>
      </w:r>
      <w:r>
        <w:rPr>
          <w:spacing w:val="-16"/>
          <w:sz w:val="26"/>
        </w:rPr>
        <w:t xml:space="preserve"> </w:t>
      </w:r>
      <w:r>
        <w:rPr>
          <w:sz w:val="26"/>
        </w:rPr>
        <w:t>way</w:t>
      </w:r>
      <w:r>
        <w:rPr>
          <w:spacing w:val="-19"/>
          <w:sz w:val="26"/>
        </w:rPr>
        <w:t xml:space="preserve"> </w:t>
      </w:r>
      <w:r>
        <w:rPr>
          <w:sz w:val="26"/>
        </w:rPr>
        <w:t>to</w:t>
      </w:r>
      <w:r>
        <w:rPr>
          <w:spacing w:val="-15"/>
          <w:sz w:val="26"/>
        </w:rPr>
        <w:t xml:space="preserve"> </w:t>
      </w:r>
      <w:r>
        <w:rPr>
          <w:sz w:val="26"/>
        </w:rPr>
        <w:t>the</w:t>
      </w:r>
      <w:r>
        <w:rPr>
          <w:spacing w:val="-16"/>
          <w:sz w:val="26"/>
        </w:rPr>
        <w:t xml:space="preserve"> </w:t>
      </w:r>
      <w:r>
        <w:rPr>
          <w:sz w:val="26"/>
        </w:rPr>
        <w:t>over-arching values</w:t>
      </w:r>
      <w:r>
        <w:rPr>
          <w:spacing w:val="-16"/>
          <w:sz w:val="26"/>
        </w:rPr>
        <w:t xml:space="preserve"> </w:t>
      </w:r>
      <w:r>
        <w:rPr>
          <w:sz w:val="26"/>
        </w:rPr>
        <w:t>of</w:t>
      </w:r>
      <w:r>
        <w:rPr>
          <w:spacing w:val="-19"/>
          <w:sz w:val="26"/>
        </w:rPr>
        <w:t xml:space="preserve"> </w:t>
      </w:r>
      <w:r>
        <w:rPr>
          <w:sz w:val="26"/>
        </w:rPr>
        <w:t>a</w:t>
      </w:r>
      <w:r>
        <w:rPr>
          <w:spacing w:val="-19"/>
          <w:sz w:val="26"/>
        </w:rPr>
        <w:t xml:space="preserve"> </w:t>
      </w:r>
      <w:r>
        <w:rPr>
          <w:sz w:val="26"/>
        </w:rPr>
        <w:t>liberal</w:t>
      </w:r>
      <w:r>
        <w:rPr>
          <w:spacing w:val="-18"/>
          <w:sz w:val="26"/>
        </w:rPr>
        <w:t xml:space="preserve"> </w:t>
      </w:r>
      <w:r>
        <w:rPr>
          <w:sz w:val="26"/>
        </w:rPr>
        <w:t>constitution.</w:t>
      </w:r>
      <w:r>
        <w:rPr>
          <w:spacing w:val="-17"/>
          <w:sz w:val="26"/>
        </w:rPr>
        <w:t xml:space="preserve"> </w:t>
      </w:r>
      <w:r>
        <w:rPr>
          <w:sz w:val="26"/>
        </w:rPr>
        <w:t>The</w:t>
      </w:r>
      <w:r>
        <w:rPr>
          <w:spacing w:val="-19"/>
          <w:sz w:val="26"/>
        </w:rPr>
        <w:t xml:space="preserve"> </w:t>
      </w:r>
      <w:r>
        <w:rPr>
          <w:sz w:val="26"/>
        </w:rPr>
        <w:t>essential</w:t>
      </w:r>
      <w:r>
        <w:rPr>
          <w:spacing w:val="-19"/>
          <w:sz w:val="26"/>
        </w:rPr>
        <w:t xml:space="preserve"> </w:t>
      </w:r>
      <w:r>
        <w:rPr>
          <w:sz w:val="26"/>
        </w:rPr>
        <w:t>religious</w:t>
      </w:r>
      <w:r>
        <w:rPr>
          <w:spacing w:val="-18"/>
          <w:sz w:val="26"/>
        </w:rPr>
        <w:t xml:space="preserve"> </w:t>
      </w:r>
      <w:r>
        <w:rPr>
          <w:sz w:val="26"/>
        </w:rPr>
        <w:t>practices</w:t>
      </w:r>
      <w:r>
        <w:rPr>
          <w:spacing w:val="-19"/>
          <w:sz w:val="26"/>
        </w:rPr>
        <w:t xml:space="preserve"> </w:t>
      </w:r>
      <w:r>
        <w:rPr>
          <w:sz w:val="26"/>
        </w:rPr>
        <w:t>test</w:t>
      </w:r>
      <w:r>
        <w:rPr>
          <w:spacing w:val="-19"/>
          <w:sz w:val="26"/>
        </w:rPr>
        <w:t xml:space="preserve"> </w:t>
      </w:r>
      <w:r>
        <w:rPr>
          <w:sz w:val="26"/>
        </w:rPr>
        <w:t>should</w:t>
      </w:r>
      <w:r>
        <w:rPr>
          <w:spacing w:val="-19"/>
          <w:sz w:val="26"/>
        </w:rPr>
        <w:t xml:space="preserve"> </w:t>
      </w:r>
      <w:r>
        <w:rPr>
          <w:sz w:val="26"/>
        </w:rPr>
        <w:t>merit a close look, again for the above reasons, in an appropriate case in the future. For the present, this judgment has decided the issues raised on the law as it stands.</w:t>
      </w:r>
    </w:p>
    <w:p w:rsidR="003B2FC0" w:rsidRDefault="003B2FC0">
      <w:pPr>
        <w:rPr>
          <w:sz w:val="20"/>
        </w:rPr>
      </w:pPr>
    </w:p>
    <w:p w:rsidR="003B2FC0" w:rsidRDefault="003B2FC0">
      <w:pPr>
        <w:rPr>
          <w:sz w:val="20"/>
        </w:rPr>
      </w:pPr>
    </w:p>
    <w:p w:rsidR="003B2FC0" w:rsidRDefault="003B2FC0">
      <w:pPr>
        <w:rPr>
          <w:sz w:val="20"/>
        </w:rPr>
      </w:pPr>
    </w:p>
    <w:p w:rsidR="003B2FC0" w:rsidRDefault="003B2FC0">
      <w:pPr>
        <w:rPr>
          <w:sz w:val="26"/>
        </w:rPr>
      </w:pPr>
      <w:r w:rsidRPr="003B2FC0">
        <w:pict>
          <v:line id="_x0000_s1064" style="position:absolute;z-index:251651584;mso-wrap-distance-left:0;mso-wrap-distance-right:0;mso-position-horizontal-relative:page" from="1in,17.3pt" to="216.05pt,17.3pt" strokeweight=".72pt">
            <w10:wrap type="topAndBottom" anchorx="page"/>
          </v:line>
        </w:pict>
      </w:r>
    </w:p>
    <w:p w:rsidR="003B2FC0" w:rsidRDefault="00052A49">
      <w:pPr>
        <w:spacing w:before="67"/>
        <w:ind w:left="671" w:right="434" w:hanging="272"/>
        <w:rPr>
          <w:sz w:val="18"/>
        </w:rPr>
      </w:pPr>
      <w:r>
        <w:rPr>
          <w:position w:val="6"/>
          <w:sz w:val="12"/>
        </w:rPr>
        <w:t xml:space="preserve">164 </w:t>
      </w:r>
      <w:r>
        <w:rPr>
          <w:sz w:val="18"/>
        </w:rPr>
        <w:t>Gautam Bhatia, Freedom from community: Individual rights, group life, state authority and religious freedom under the Indian Constitution, Global Constitutionalism, Cambridge University Press (2016) at page</w:t>
      </w:r>
      <w:r>
        <w:rPr>
          <w:spacing w:val="-27"/>
          <w:sz w:val="18"/>
        </w:rPr>
        <w:t xml:space="preserve"> </w:t>
      </w:r>
      <w:r>
        <w:rPr>
          <w:sz w:val="18"/>
        </w:rPr>
        <w:t>374</w:t>
      </w:r>
    </w:p>
    <w:p w:rsidR="003B2FC0" w:rsidRDefault="00052A49">
      <w:pPr>
        <w:spacing w:line="242" w:lineRule="auto"/>
        <w:ind w:left="671" w:right="434" w:hanging="272"/>
        <w:rPr>
          <w:sz w:val="18"/>
        </w:rPr>
      </w:pPr>
      <w:r>
        <w:rPr>
          <w:position w:val="6"/>
          <w:sz w:val="12"/>
        </w:rPr>
        <w:t xml:space="preserve">165 </w:t>
      </w:r>
      <w:r>
        <w:rPr>
          <w:sz w:val="18"/>
        </w:rPr>
        <w:t>Gautam Bhatia, Freedom from community: In</w:t>
      </w:r>
      <w:r>
        <w:rPr>
          <w:sz w:val="18"/>
        </w:rPr>
        <w:t>dividual rights, group life, state authority and religious freedom under the Indian Constitution, Global Constitutionalism, Cambridge University Press (2016) at page</w:t>
      </w:r>
      <w:r>
        <w:rPr>
          <w:spacing w:val="-27"/>
          <w:sz w:val="18"/>
        </w:rPr>
        <w:t xml:space="preserve"> </w:t>
      </w:r>
      <w:r>
        <w:rPr>
          <w:sz w:val="18"/>
        </w:rPr>
        <w:t>382</w:t>
      </w:r>
    </w:p>
    <w:p w:rsidR="003B2FC0" w:rsidRDefault="003B2FC0">
      <w:pPr>
        <w:spacing w:line="242" w:lineRule="auto"/>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Heading1"/>
        <w:numPr>
          <w:ilvl w:val="0"/>
          <w:numId w:val="20"/>
        </w:numPr>
        <w:tabs>
          <w:tab w:val="left" w:pos="1120"/>
          <w:tab w:val="left" w:pos="1121"/>
        </w:tabs>
        <w:spacing w:before="92"/>
      </w:pPr>
      <w:r>
        <w:t>Conclusion</w:t>
      </w:r>
    </w:p>
    <w:p w:rsidR="003B2FC0" w:rsidRDefault="003B2FC0">
      <w:pPr>
        <w:rPr>
          <w:b/>
          <w:sz w:val="30"/>
        </w:rPr>
      </w:pPr>
    </w:p>
    <w:p w:rsidR="003B2FC0" w:rsidRDefault="00052A49">
      <w:pPr>
        <w:pStyle w:val="ListParagraph"/>
        <w:numPr>
          <w:ilvl w:val="0"/>
          <w:numId w:val="39"/>
        </w:numPr>
        <w:tabs>
          <w:tab w:val="left" w:pos="1121"/>
        </w:tabs>
        <w:spacing w:before="177" w:line="480" w:lineRule="auto"/>
        <w:ind w:right="436" w:firstLine="0"/>
        <w:jc w:val="both"/>
        <w:rPr>
          <w:sz w:val="26"/>
        </w:rPr>
      </w:pPr>
      <w:r>
        <w:rPr>
          <w:sz w:val="26"/>
        </w:rPr>
        <w:t>The</w:t>
      </w:r>
      <w:r>
        <w:rPr>
          <w:spacing w:val="-10"/>
          <w:sz w:val="26"/>
        </w:rPr>
        <w:t xml:space="preserve"> </w:t>
      </w:r>
      <w:r>
        <w:rPr>
          <w:sz w:val="26"/>
        </w:rPr>
        <w:t>Constitution</w:t>
      </w:r>
      <w:r>
        <w:rPr>
          <w:spacing w:val="-9"/>
          <w:sz w:val="26"/>
        </w:rPr>
        <w:t xml:space="preserve"> </w:t>
      </w:r>
      <w:r>
        <w:rPr>
          <w:sz w:val="26"/>
        </w:rPr>
        <w:t>embodies</w:t>
      </w:r>
      <w:r>
        <w:rPr>
          <w:spacing w:val="-8"/>
          <w:sz w:val="26"/>
        </w:rPr>
        <w:t xml:space="preserve"> </w:t>
      </w:r>
      <w:r>
        <w:rPr>
          <w:sz w:val="26"/>
        </w:rPr>
        <w:t>a</w:t>
      </w:r>
      <w:r>
        <w:rPr>
          <w:spacing w:val="-7"/>
          <w:sz w:val="26"/>
        </w:rPr>
        <w:t xml:space="preserve"> </w:t>
      </w:r>
      <w:r>
        <w:rPr>
          <w:sz w:val="26"/>
        </w:rPr>
        <w:t>vision</w:t>
      </w:r>
      <w:r>
        <w:rPr>
          <w:spacing w:val="-9"/>
          <w:sz w:val="26"/>
        </w:rPr>
        <w:t xml:space="preserve"> </w:t>
      </w:r>
      <w:r>
        <w:rPr>
          <w:sz w:val="26"/>
        </w:rPr>
        <w:t>of</w:t>
      </w:r>
      <w:r>
        <w:rPr>
          <w:spacing w:val="-10"/>
          <w:sz w:val="26"/>
        </w:rPr>
        <w:t xml:space="preserve"> </w:t>
      </w:r>
      <w:r>
        <w:rPr>
          <w:sz w:val="26"/>
        </w:rPr>
        <w:t>social</w:t>
      </w:r>
      <w:r>
        <w:rPr>
          <w:spacing w:val="-9"/>
          <w:sz w:val="26"/>
        </w:rPr>
        <w:t xml:space="preserve"> </w:t>
      </w:r>
      <w:r>
        <w:rPr>
          <w:sz w:val="26"/>
        </w:rPr>
        <w:t>transforma</w:t>
      </w:r>
      <w:r>
        <w:rPr>
          <w:sz w:val="26"/>
        </w:rPr>
        <w:t>tion.</w:t>
      </w:r>
      <w:r>
        <w:rPr>
          <w:spacing w:val="-10"/>
          <w:sz w:val="26"/>
        </w:rPr>
        <w:t xml:space="preserve"> </w:t>
      </w:r>
      <w:r>
        <w:rPr>
          <w:sz w:val="26"/>
        </w:rPr>
        <w:t>It</w:t>
      </w:r>
      <w:r>
        <w:rPr>
          <w:spacing w:val="-7"/>
          <w:sz w:val="26"/>
        </w:rPr>
        <w:t xml:space="preserve"> </w:t>
      </w:r>
      <w:r>
        <w:rPr>
          <w:sz w:val="26"/>
        </w:rPr>
        <w:t>represents a break from a history marked by the indignation and discrimination attached</w:t>
      </w:r>
      <w:r>
        <w:rPr>
          <w:spacing w:val="-51"/>
          <w:sz w:val="26"/>
        </w:rPr>
        <w:t xml:space="preserve"> </w:t>
      </w:r>
      <w:r>
        <w:rPr>
          <w:sz w:val="26"/>
        </w:rPr>
        <w:t>to certain identities and serves as a bridge to a vision of a just and equal citizenship.</w:t>
      </w:r>
      <w:r>
        <w:rPr>
          <w:spacing w:val="-5"/>
          <w:sz w:val="26"/>
        </w:rPr>
        <w:t xml:space="preserve"> </w:t>
      </w:r>
      <w:r>
        <w:rPr>
          <w:sz w:val="26"/>
        </w:rPr>
        <w:t>In</w:t>
      </w:r>
      <w:r>
        <w:rPr>
          <w:spacing w:val="-4"/>
          <w:sz w:val="26"/>
        </w:rPr>
        <w:t xml:space="preserve"> </w:t>
      </w:r>
      <w:r>
        <w:rPr>
          <w:sz w:val="26"/>
        </w:rPr>
        <w:t>a</w:t>
      </w:r>
      <w:r>
        <w:rPr>
          <w:spacing w:val="-3"/>
          <w:sz w:val="26"/>
        </w:rPr>
        <w:t xml:space="preserve"> </w:t>
      </w:r>
      <w:r>
        <w:rPr>
          <w:sz w:val="26"/>
        </w:rPr>
        <w:t>deeply</w:t>
      </w:r>
      <w:r>
        <w:rPr>
          <w:spacing w:val="-7"/>
          <w:sz w:val="26"/>
        </w:rPr>
        <w:t xml:space="preserve"> </w:t>
      </w:r>
      <w:r>
        <w:rPr>
          <w:sz w:val="26"/>
        </w:rPr>
        <w:t>divided</w:t>
      </w:r>
      <w:r>
        <w:rPr>
          <w:spacing w:val="-4"/>
          <w:sz w:val="26"/>
        </w:rPr>
        <w:t xml:space="preserve"> </w:t>
      </w:r>
      <w:r>
        <w:rPr>
          <w:sz w:val="26"/>
        </w:rPr>
        <w:t>society</w:t>
      </w:r>
      <w:r>
        <w:rPr>
          <w:spacing w:val="-7"/>
          <w:sz w:val="26"/>
        </w:rPr>
        <w:t xml:space="preserve"> </w:t>
      </w:r>
      <w:r>
        <w:rPr>
          <w:sz w:val="26"/>
        </w:rPr>
        <w:t>marked</w:t>
      </w:r>
      <w:r>
        <w:rPr>
          <w:spacing w:val="-3"/>
          <w:sz w:val="26"/>
        </w:rPr>
        <w:t xml:space="preserve"> </w:t>
      </w:r>
      <w:r>
        <w:rPr>
          <w:sz w:val="26"/>
        </w:rPr>
        <w:t>by</w:t>
      </w:r>
      <w:r>
        <w:rPr>
          <w:spacing w:val="-9"/>
          <w:sz w:val="26"/>
        </w:rPr>
        <w:t xml:space="preserve"> </w:t>
      </w:r>
      <w:r>
        <w:rPr>
          <w:sz w:val="26"/>
        </w:rPr>
        <w:t>intermixing</w:t>
      </w:r>
      <w:r>
        <w:rPr>
          <w:spacing w:val="-4"/>
          <w:sz w:val="26"/>
        </w:rPr>
        <w:t xml:space="preserve"> </w:t>
      </w:r>
      <w:r>
        <w:rPr>
          <w:sz w:val="26"/>
        </w:rPr>
        <w:t>identities</w:t>
      </w:r>
      <w:r>
        <w:rPr>
          <w:spacing w:val="-5"/>
          <w:sz w:val="26"/>
        </w:rPr>
        <w:t xml:space="preserve"> </w:t>
      </w:r>
      <w:r>
        <w:rPr>
          <w:sz w:val="26"/>
        </w:rPr>
        <w:t>such</w:t>
      </w:r>
      <w:r>
        <w:rPr>
          <w:spacing w:val="-3"/>
          <w:sz w:val="26"/>
        </w:rPr>
        <w:t xml:space="preserve"> </w:t>
      </w:r>
      <w:r>
        <w:rPr>
          <w:sz w:val="26"/>
        </w:rPr>
        <w:t xml:space="preserve">as religion, race, caste, sex and personal characteristics as the sites of discrimination and oppression, the Constitution marks a perception of a </w:t>
      </w:r>
      <w:r>
        <w:rPr>
          <w:spacing w:val="2"/>
          <w:sz w:val="26"/>
        </w:rPr>
        <w:t xml:space="preserve">new </w:t>
      </w:r>
      <w:r>
        <w:rPr>
          <w:sz w:val="26"/>
        </w:rPr>
        <w:t>social order. This social order places the dignity of every individual at the heart of</w:t>
      </w:r>
      <w:r>
        <w:rPr>
          <w:spacing w:val="-12"/>
          <w:sz w:val="26"/>
        </w:rPr>
        <w:t xml:space="preserve"> </w:t>
      </w:r>
      <w:r>
        <w:rPr>
          <w:sz w:val="26"/>
        </w:rPr>
        <w:t>its</w:t>
      </w:r>
      <w:r>
        <w:rPr>
          <w:spacing w:val="-9"/>
          <w:sz w:val="26"/>
        </w:rPr>
        <w:t xml:space="preserve"> </w:t>
      </w:r>
      <w:r>
        <w:rPr>
          <w:sz w:val="26"/>
        </w:rPr>
        <w:t>endeavours.</w:t>
      </w:r>
      <w:r>
        <w:rPr>
          <w:spacing w:val="-11"/>
          <w:sz w:val="26"/>
        </w:rPr>
        <w:t xml:space="preserve"> </w:t>
      </w:r>
      <w:r>
        <w:rPr>
          <w:sz w:val="26"/>
        </w:rPr>
        <w:t>As</w:t>
      </w:r>
      <w:r>
        <w:rPr>
          <w:spacing w:val="-9"/>
          <w:sz w:val="26"/>
        </w:rPr>
        <w:t xml:space="preserve"> </w:t>
      </w:r>
      <w:r>
        <w:rPr>
          <w:sz w:val="26"/>
        </w:rPr>
        <w:t>the</w:t>
      </w:r>
      <w:r>
        <w:rPr>
          <w:spacing w:val="-12"/>
          <w:sz w:val="26"/>
        </w:rPr>
        <w:t xml:space="preserve"> </w:t>
      </w:r>
      <w:r>
        <w:rPr>
          <w:sz w:val="26"/>
        </w:rPr>
        <w:t>basic</w:t>
      </w:r>
      <w:r>
        <w:rPr>
          <w:spacing w:val="-9"/>
          <w:sz w:val="26"/>
        </w:rPr>
        <w:t xml:space="preserve"> </w:t>
      </w:r>
      <w:r>
        <w:rPr>
          <w:sz w:val="26"/>
        </w:rPr>
        <w:t>unit</w:t>
      </w:r>
      <w:r>
        <w:rPr>
          <w:spacing w:val="-9"/>
          <w:sz w:val="26"/>
        </w:rPr>
        <w:t xml:space="preserve"> </w:t>
      </w:r>
      <w:r>
        <w:rPr>
          <w:sz w:val="26"/>
        </w:rPr>
        <w:t>of</w:t>
      </w:r>
      <w:r>
        <w:rPr>
          <w:spacing w:val="-11"/>
          <w:sz w:val="26"/>
        </w:rPr>
        <w:t xml:space="preserve"> </w:t>
      </w:r>
      <w:r>
        <w:rPr>
          <w:sz w:val="26"/>
        </w:rPr>
        <w:t>the</w:t>
      </w:r>
      <w:r>
        <w:rPr>
          <w:spacing w:val="-9"/>
          <w:sz w:val="26"/>
        </w:rPr>
        <w:t xml:space="preserve"> </w:t>
      </w:r>
      <w:r>
        <w:rPr>
          <w:sz w:val="26"/>
        </w:rPr>
        <w:t>Constitution,</w:t>
      </w:r>
      <w:r>
        <w:rPr>
          <w:spacing w:val="-9"/>
          <w:sz w:val="26"/>
        </w:rPr>
        <w:t xml:space="preserve"> </w:t>
      </w:r>
      <w:r>
        <w:rPr>
          <w:sz w:val="26"/>
        </w:rPr>
        <w:t>the</w:t>
      </w:r>
      <w:r>
        <w:rPr>
          <w:spacing w:val="-9"/>
          <w:sz w:val="26"/>
        </w:rPr>
        <w:t xml:space="preserve"> </w:t>
      </w:r>
      <w:r>
        <w:rPr>
          <w:sz w:val="26"/>
        </w:rPr>
        <w:t>individual</w:t>
      </w:r>
      <w:r>
        <w:rPr>
          <w:spacing w:val="-12"/>
          <w:sz w:val="26"/>
        </w:rPr>
        <w:t xml:space="preserve"> </w:t>
      </w:r>
      <w:r>
        <w:rPr>
          <w:sz w:val="26"/>
        </w:rPr>
        <w:t>is</w:t>
      </w:r>
      <w:r>
        <w:rPr>
          <w:spacing w:val="-11"/>
          <w:sz w:val="26"/>
        </w:rPr>
        <w:t xml:space="preserve"> </w:t>
      </w:r>
      <w:r>
        <w:rPr>
          <w:sz w:val="26"/>
        </w:rPr>
        <w:t>the</w:t>
      </w:r>
      <w:r>
        <w:rPr>
          <w:spacing w:val="-12"/>
          <w:sz w:val="26"/>
        </w:rPr>
        <w:t xml:space="preserve"> </w:t>
      </w:r>
      <w:r>
        <w:rPr>
          <w:sz w:val="26"/>
        </w:rPr>
        <w:t>focal point through which the ideals of the Constitution are</w:t>
      </w:r>
      <w:r>
        <w:rPr>
          <w:spacing w:val="-13"/>
          <w:sz w:val="26"/>
        </w:rPr>
        <w:t xml:space="preserve"> </w:t>
      </w:r>
      <w:r>
        <w:rPr>
          <w:sz w:val="26"/>
        </w:rPr>
        <w:t>realized.</w:t>
      </w:r>
    </w:p>
    <w:p w:rsidR="003B2FC0" w:rsidRDefault="003B2FC0">
      <w:pPr>
        <w:rPr>
          <w:sz w:val="28"/>
        </w:rPr>
      </w:pPr>
    </w:p>
    <w:p w:rsidR="003B2FC0" w:rsidRDefault="003B2FC0">
      <w:pPr>
        <w:spacing w:before="9"/>
        <w:rPr>
          <w:sz w:val="32"/>
        </w:rPr>
      </w:pPr>
    </w:p>
    <w:p w:rsidR="003B2FC0" w:rsidRDefault="00052A49">
      <w:pPr>
        <w:spacing w:line="480" w:lineRule="auto"/>
        <w:ind w:left="400" w:right="434"/>
        <w:jc w:val="both"/>
        <w:rPr>
          <w:sz w:val="26"/>
        </w:rPr>
      </w:pPr>
      <w:r>
        <w:rPr>
          <w:sz w:val="26"/>
        </w:rPr>
        <w:t>The</w:t>
      </w:r>
      <w:r>
        <w:rPr>
          <w:spacing w:val="-7"/>
          <w:sz w:val="26"/>
        </w:rPr>
        <w:t xml:space="preserve"> </w:t>
      </w:r>
      <w:r>
        <w:rPr>
          <w:sz w:val="26"/>
        </w:rPr>
        <w:t>framers</w:t>
      </w:r>
      <w:r>
        <w:rPr>
          <w:spacing w:val="-7"/>
          <w:sz w:val="26"/>
        </w:rPr>
        <w:t xml:space="preserve"> </w:t>
      </w:r>
      <w:r>
        <w:rPr>
          <w:sz w:val="26"/>
        </w:rPr>
        <w:t>had</w:t>
      </w:r>
      <w:r>
        <w:rPr>
          <w:spacing w:val="-7"/>
          <w:sz w:val="26"/>
        </w:rPr>
        <w:t xml:space="preserve"> </w:t>
      </w:r>
      <w:r>
        <w:rPr>
          <w:sz w:val="26"/>
        </w:rPr>
        <w:t>before</w:t>
      </w:r>
      <w:r>
        <w:rPr>
          <w:spacing w:val="-7"/>
          <w:sz w:val="26"/>
        </w:rPr>
        <w:t xml:space="preserve"> </w:t>
      </w:r>
      <w:r>
        <w:rPr>
          <w:sz w:val="26"/>
        </w:rPr>
        <w:t>them</w:t>
      </w:r>
      <w:r>
        <w:rPr>
          <w:spacing w:val="-7"/>
          <w:sz w:val="26"/>
        </w:rPr>
        <w:t xml:space="preserve"> </w:t>
      </w:r>
      <w:r>
        <w:rPr>
          <w:sz w:val="26"/>
        </w:rPr>
        <w:t>the</w:t>
      </w:r>
      <w:r>
        <w:rPr>
          <w:spacing w:val="-7"/>
          <w:sz w:val="26"/>
        </w:rPr>
        <w:t xml:space="preserve"> </w:t>
      </w:r>
      <w:r>
        <w:rPr>
          <w:sz w:val="26"/>
        </w:rPr>
        <w:t>task</w:t>
      </w:r>
      <w:r>
        <w:rPr>
          <w:spacing w:val="-7"/>
          <w:sz w:val="26"/>
        </w:rPr>
        <w:t xml:space="preserve"> </w:t>
      </w:r>
      <w:r>
        <w:rPr>
          <w:sz w:val="26"/>
        </w:rPr>
        <w:t>of</w:t>
      </w:r>
      <w:r>
        <w:rPr>
          <w:spacing w:val="-7"/>
          <w:sz w:val="26"/>
        </w:rPr>
        <w:t xml:space="preserve"> </w:t>
      </w:r>
      <w:r>
        <w:rPr>
          <w:sz w:val="26"/>
        </w:rPr>
        <w:t>ensuring</w:t>
      </w:r>
      <w:r>
        <w:rPr>
          <w:spacing w:val="-7"/>
          <w:sz w:val="26"/>
        </w:rPr>
        <w:t xml:space="preserve"> </w:t>
      </w:r>
      <w:r>
        <w:rPr>
          <w:sz w:val="26"/>
        </w:rPr>
        <w:t>a</w:t>
      </w:r>
      <w:r>
        <w:rPr>
          <w:spacing w:val="-7"/>
          <w:sz w:val="26"/>
        </w:rPr>
        <w:t xml:space="preserve"> </w:t>
      </w:r>
      <w:r>
        <w:rPr>
          <w:sz w:val="26"/>
        </w:rPr>
        <w:t>balance</w:t>
      </w:r>
      <w:r>
        <w:rPr>
          <w:spacing w:val="-7"/>
          <w:sz w:val="26"/>
        </w:rPr>
        <w:t xml:space="preserve"> </w:t>
      </w:r>
      <w:r>
        <w:rPr>
          <w:sz w:val="26"/>
        </w:rPr>
        <w:t>between</w:t>
      </w:r>
      <w:r>
        <w:rPr>
          <w:spacing w:val="-7"/>
          <w:sz w:val="26"/>
        </w:rPr>
        <w:t xml:space="preserve"> </w:t>
      </w:r>
      <w:r>
        <w:rPr>
          <w:sz w:val="26"/>
        </w:rPr>
        <w:t>individual rights and claims of a communitarian nature. T</w:t>
      </w:r>
      <w:r>
        <w:rPr>
          <w:sz w:val="26"/>
        </w:rPr>
        <w:t>he Constituent Assembly recognised</w:t>
      </w:r>
      <w:r>
        <w:rPr>
          <w:spacing w:val="-16"/>
          <w:sz w:val="26"/>
        </w:rPr>
        <w:t xml:space="preserve"> </w:t>
      </w:r>
      <w:r>
        <w:rPr>
          <w:sz w:val="26"/>
        </w:rPr>
        <w:t>that</w:t>
      </w:r>
      <w:r>
        <w:rPr>
          <w:spacing w:val="-15"/>
          <w:sz w:val="26"/>
        </w:rPr>
        <w:t xml:space="preserve"> </w:t>
      </w:r>
      <w:r>
        <w:rPr>
          <w:sz w:val="26"/>
        </w:rPr>
        <w:t>the</w:t>
      </w:r>
      <w:r>
        <w:rPr>
          <w:spacing w:val="-16"/>
          <w:sz w:val="26"/>
        </w:rPr>
        <w:t xml:space="preserve"> </w:t>
      </w:r>
      <w:r>
        <w:rPr>
          <w:sz w:val="26"/>
        </w:rPr>
        <w:t>recognition</w:t>
      </w:r>
      <w:r>
        <w:rPr>
          <w:spacing w:val="-15"/>
          <w:sz w:val="26"/>
        </w:rPr>
        <w:t xml:space="preserve"> </w:t>
      </w:r>
      <w:r>
        <w:rPr>
          <w:sz w:val="26"/>
        </w:rPr>
        <w:t>of</w:t>
      </w:r>
      <w:r>
        <w:rPr>
          <w:spacing w:val="-13"/>
          <w:sz w:val="26"/>
        </w:rPr>
        <w:t xml:space="preserve"> </w:t>
      </w:r>
      <w:r>
        <w:rPr>
          <w:sz w:val="26"/>
        </w:rPr>
        <w:t>a</w:t>
      </w:r>
      <w:r>
        <w:rPr>
          <w:spacing w:val="-16"/>
          <w:sz w:val="26"/>
        </w:rPr>
        <w:t xml:space="preserve"> </w:t>
      </w:r>
      <w:r>
        <w:rPr>
          <w:sz w:val="26"/>
        </w:rPr>
        <w:t>truly</w:t>
      </w:r>
      <w:r>
        <w:rPr>
          <w:spacing w:val="-18"/>
          <w:sz w:val="26"/>
        </w:rPr>
        <w:t xml:space="preserve"> </w:t>
      </w:r>
      <w:r>
        <w:rPr>
          <w:sz w:val="26"/>
        </w:rPr>
        <w:t>just</w:t>
      </w:r>
      <w:r>
        <w:rPr>
          <w:spacing w:val="-15"/>
          <w:sz w:val="26"/>
        </w:rPr>
        <w:t xml:space="preserve"> </w:t>
      </w:r>
      <w:r>
        <w:rPr>
          <w:sz w:val="26"/>
        </w:rPr>
        <w:t>social</w:t>
      </w:r>
      <w:r>
        <w:rPr>
          <w:spacing w:val="-16"/>
          <w:sz w:val="26"/>
        </w:rPr>
        <w:t xml:space="preserve"> </w:t>
      </w:r>
      <w:r>
        <w:rPr>
          <w:sz w:val="26"/>
        </w:rPr>
        <w:t>order</w:t>
      </w:r>
      <w:r>
        <w:rPr>
          <w:spacing w:val="-15"/>
          <w:sz w:val="26"/>
        </w:rPr>
        <w:t xml:space="preserve"> </w:t>
      </w:r>
      <w:r>
        <w:rPr>
          <w:sz w:val="26"/>
        </w:rPr>
        <w:t>situated</w:t>
      </w:r>
      <w:r>
        <w:rPr>
          <w:spacing w:val="-16"/>
          <w:sz w:val="26"/>
        </w:rPr>
        <w:t xml:space="preserve"> </w:t>
      </w:r>
      <w:r>
        <w:rPr>
          <w:sz w:val="26"/>
        </w:rPr>
        <w:t>the</w:t>
      </w:r>
      <w:r>
        <w:rPr>
          <w:spacing w:val="-8"/>
          <w:sz w:val="26"/>
        </w:rPr>
        <w:t xml:space="preserve"> </w:t>
      </w:r>
      <w:r>
        <w:rPr>
          <w:b/>
          <w:sz w:val="26"/>
        </w:rPr>
        <w:t xml:space="preserve">individual </w:t>
      </w:r>
      <w:r>
        <w:rPr>
          <w:sz w:val="26"/>
        </w:rPr>
        <w:t>as the ‘backbone of the state, the pivot, the cardinal center of all social activity, whose happiness and satisfaction should be the goal of every social mechanism.’</w:t>
      </w:r>
      <w:r>
        <w:rPr>
          <w:position w:val="9"/>
          <w:sz w:val="17"/>
        </w:rPr>
        <w:t xml:space="preserve">166 </w:t>
      </w:r>
      <w:r>
        <w:rPr>
          <w:sz w:val="26"/>
        </w:rPr>
        <w:t>In forming the base and the summit of the social pyramid, the dignity of every individu</w:t>
      </w:r>
      <w:r>
        <w:rPr>
          <w:sz w:val="26"/>
        </w:rPr>
        <w:t>al illuminates the constitutional order and its</w:t>
      </w:r>
      <w:r>
        <w:rPr>
          <w:spacing w:val="-43"/>
          <w:sz w:val="26"/>
        </w:rPr>
        <w:t xml:space="preserve"> </w:t>
      </w:r>
      <w:r>
        <w:rPr>
          <w:sz w:val="26"/>
        </w:rPr>
        <w:t>aspirations for a just social order. Existing structures of social discrimination must be evaluated</w:t>
      </w:r>
      <w:r>
        <w:rPr>
          <w:spacing w:val="-16"/>
          <w:sz w:val="26"/>
        </w:rPr>
        <w:t xml:space="preserve"> </w:t>
      </w:r>
      <w:r>
        <w:rPr>
          <w:sz w:val="26"/>
        </w:rPr>
        <w:t>through</w:t>
      </w:r>
      <w:r>
        <w:rPr>
          <w:spacing w:val="-16"/>
          <w:sz w:val="26"/>
        </w:rPr>
        <w:t xml:space="preserve"> </w:t>
      </w:r>
      <w:r>
        <w:rPr>
          <w:sz w:val="26"/>
        </w:rPr>
        <w:t>the</w:t>
      </w:r>
      <w:r>
        <w:rPr>
          <w:spacing w:val="-16"/>
          <w:sz w:val="26"/>
        </w:rPr>
        <w:t xml:space="preserve"> </w:t>
      </w:r>
      <w:r>
        <w:rPr>
          <w:sz w:val="26"/>
        </w:rPr>
        <w:t>prism</w:t>
      </w:r>
      <w:r>
        <w:rPr>
          <w:spacing w:val="-15"/>
          <w:sz w:val="26"/>
        </w:rPr>
        <w:t xml:space="preserve"> </w:t>
      </w:r>
      <w:r>
        <w:rPr>
          <w:sz w:val="26"/>
        </w:rPr>
        <w:t>of</w:t>
      </w:r>
      <w:r>
        <w:rPr>
          <w:spacing w:val="-16"/>
          <w:sz w:val="26"/>
        </w:rPr>
        <w:t xml:space="preserve"> </w:t>
      </w:r>
      <w:r>
        <w:rPr>
          <w:sz w:val="26"/>
        </w:rPr>
        <w:t>constitutional</w:t>
      </w:r>
      <w:r>
        <w:rPr>
          <w:spacing w:val="-15"/>
          <w:sz w:val="26"/>
        </w:rPr>
        <w:t xml:space="preserve"> </w:t>
      </w:r>
      <w:r>
        <w:rPr>
          <w:sz w:val="26"/>
        </w:rPr>
        <w:t>morality.</w:t>
      </w:r>
      <w:r>
        <w:rPr>
          <w:spacing w:val="-16"/>
          <w:sz w:val="26"/>
        </w:rPr>
        <w:t xml:space="preserve"> </w:t>
      </w:r>
      <w:r>
        <w:rPr>
          <w:sz w:val="26"/>
        </w:rPr>
        <w:t>The</w:t>
      </w:r>
      <w:r>
        <w:rPr>
          <w:spacing w:val="-16"/>
          <w:sz w:val="26"/>
        </w:rPr>
        <w:t xml:space="preserve"> </w:t>
      </w:r>
      <w:r>
        <w:rPr>
          <w:sz w:val="26"/>
        </w:rPr>
        <w:t>effect</w:t>
      </w:r>
      <w:r>
        <w:rPr>
          <w:spacing w:val="-16"/>
          <w:sz w:val="26"/>
        </w:rPr>
        <w:t xml:space="preserve"> </w:t>
      </w:r>
      <w:r>
        <w:rPr>
          <w:sz w:val="26"/>
        </w:rPr>
        <w:t>and</w:t>
      </w:r>
      <w:r>
        <w:rPr>
          <w:spacing w:val="-10"/>
          <w:sz w:val="26"/>
        </w:rPr>
        <w:t xml:space="preserve"> </w:t>
      </w:r>
      <w:r>
        <w:rPr>
          <w:sz w:val="26"/>
        </w:rPr>
        <w:t>endeavour is to produce a society marked by com</w:t>
      </w:r>
      <w:r>
        <w:rPr>
          <w:sz w:val="26"/>
        </w:rPr>
        <w:t>passion for every</w:t>
      </w:r>
      <w:r>
        <w:rPr>
          <w:spacing w:val="-12"/>
          <w:sz w:val="26"/>
        </w:rPr>
        <w:t xml:space="preserve"> </w:t>
      </w:r>
      <w:r>
        <w:rPr>
          <w:sz w:val="26"/>
        </w:rPr>
        <w:t>individual.</w:t>
      </w:r>
    </w:p>
    <w:p w:rsidR="003B2FC0" w:rsidRDefault="003B2FC0">
      <w:pPr>
        <w:rPr>
          <w:sz w:val="20"/>
        </w:rPr>
      </w:pPr>
    </w:p>
    <w:p w:rsidR="003B2FC0" w:rsidRDefault="003B2FC0">
      <w:pPr>
        <w:spacing w:before="7"/>
        <w:rPr>
          <w:sz w:val="21"/>
        </w:rPr>
      </w:pPr>
      <w:r w:rsidRPr="003B2FC0">
        <w:pict>
          <v:line id="_x0000_s1063" style="position:absolute;z-index:251652608;mso-wrap-distance-left:0;mso-wrap-distance-right:0;mso-position-horizontal-relative:page" from="1in,14.8pt" to="216.05pt,14.8pt" strokeweight=".72pt">
            <w10:wrap type="topAndBottom" anchorx="page"/>
          </v:line>
        </w:pict>
      </w:r>
    </w:p>
    <w:p w:rsidR="003B2FC0" w:rsidRDefault="00052A49">
      <w:pPr>
        <w:spacing w:before="66"/>
        <w:ind w:left="580" w:hanging="180"/>
        <w:rPr>
          <w:sz w:val="18"/>
        </w:rPr>
      </w:pPr>
      <w:r>
        <w:rPr>
          <w:position w:val="6"/>
          <w:sz w:val="12"/>
        </w:rPr>
        <w:t xml:space="preserve">166 </w:t>
      </w:r>
      <w:r>
        <w:rPr>
          <w:sz w:val="18"/>
        </w:rPr>
        <w:t>Pandit Govind Ballabh Pant (Member, Constituent Assembly) in a speech to the Constituent Assembly on 24 January, 1947</w:t>
      </w:r>
    </w:p>
    <w:p w:rsidR="003B2FC0" w:rsidRDefault="003B2FC0">
      <w:pPr>
        <w:rPr>
          <w:sz w:val="18"/>
        </w:rPr>
        <w:sectPr w:rsidR="003B2FC0">
          <w:headerReference w:type="default" r:id="rId393"/>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4" w:firstLine="0"/>
        <w:jc w:val="both"/>
        <w:rPr>
          <w:sz w:val="26"/>
        </w:rPr>
      </w:pPr>
      <w:r>
        <w:rPr>
          <w:sz w:val="26"/>
        </w:rPr>
        <w:t>The</w:t>
      </w:r>
      <w:r>
        <w:rPr>
          <w:spacing w:val="-20"/>
          <w:sz w:val="26"/>
        </w:rPr>
        <w:t xml:space="preserve"> </w:t>
      </w:r>
      <w:r>
        <w:rPr>
          <w:sz w:val="26"/>
        </w:rPr>
        <w:t>Constitution</w:t>
      </w:r>
      <w:r>
        <w:rPr>
          <w:spacing w:val="-19"/>
          <w:sz w:val="26"/>
        </w:rPr>
        <w:t xml:space="preserve"> </w:t>
      </w:r>
      <w:r>
        <w:rPr>
          <w:sz w:val="26"/>
        </w:rPr>
        <w:t>protects</w:t>
      </w:r>
      <w:r>
        <w:rPr>
          <w:spacing w:val="-19"/>
          <w:sz w:val="26"/>
        </w:rPr>
        <w:t xml:space="preserve"> </w:t>
      </w:r>
      <w:r>
        <w:rPr>
          <w:sz w:val="26"/>
        </w:rPr>
        <w:t>the</w:t>
      </w:r>
      <w:r>
        <w:rPr>
          <w:spacing w:val="-20"/>
          <w:sz w:val="26"/>
        </w:rPr>
        <w:t xml:space="preserve"> </w:t>
      </w:r>
      <w:r>
        <w:rPr>
          <w:sz w:val="26"/>
        </w:rPr>
        <w:t>equal</w:t>
      </w:r>
      <w:r>
        <w:rPr>
          <w:spacing w:val="-19"/>
          <w:sz w:val="26"/>
        </w:rPr>
        <w:t xml:space="preserve"> </w:t>
      </w:r>
      <w:r>
        <w:rPr>
          <w:sz w:val="26"/>
        </w:rPr>
        <w:t>entitlement</w:t>
      </w:r>
      <w:r>
        <w:rPr>
          <w:spacing w:val="-19"/>
          <w:sz w:val="26"/>
        </w:rPr>
        <w:t xml:space="preserve"> </w:t>
      </w:r>
      <w:r>
        <w:rPr>
          <w:sz w:val="26"/>
        </w:rPr>
        <w:t>of</w:t>
      </w:r>
      <w:r>
        <w:rPr>
          <w:spacing w:val="-20"/>
          <w:sz w:val="26"/>
        </w:rPr>
        <w:t xml:space="preserve"> </w:t>
      </w:r>
      <w:r>
        <w:rPr>
          <w:sz w:val="26"/>
        </w:rPr>
        <w:t>all</w:t>
      </w:r>
      <w:r>
        <w:rPr>
          <w:spacing w:val="-19"/>
          <w:sz w:val="26"/>
        </w:rPr>
        <w:t xml:space="preserve"> </w:t>
      </w:r>
      <w:r>
        <w:rPr>
          <w:sz w:val="26"/>
        </w:rPr>
        <w:t>persons</w:t>
      </w:r>
      <w:r>
        <w:rPr>
          <w:spacing w:val="-16"/>
          <w:sz w:val="26"/>
        </w:rPr>
        <w:t xml:space="preserve"> </w:t>
      </w:r>
      <w:r>
        <w:rPr>
          <w:sz w:val="26"/>
        </w:rPr>
        <w:t>to</w:t>
      </w:r>
      <w:r>
        <w:rPr>
          <w:spacing w:val="-17"/>
          <w:sz w:val="26"/>
        </w:rPr>
        <w:t xml:space="preserve"> </w:t>
      </w:r>
      <w:r>
        <w:rPr>
          <w:sz w:val="26"/>
        </w:rPr>
        <w:t>a</w:t>
      </w:r>
      <w:r>
        <w:rPr>
          <w:spacing w:val="-19"/>
          <w:sz w:val="26"/>
        </w:rPr>
        <w:t xml:space="preserve"> </w:t>
      </w:r>
      <w:r>
        <w:rPr>
          <w:sz w:val="26"/>
        </w:rPr>
        <w:t xml:space="preserve">freedom of conscience and to freely profess, protect and propagate religion. Inhering in the right to religious freedom, is the </w:t>
      </w:r>
      <w:r>
        <w:rPr>
          <w:b/>
          <w:sz w:val="26"/>
        </w:rPr>
        <w:t xml:space="preserve">equal </w:t>
      </w:r>
      <w:r>
        <w:rPr>
          <w:sz w:val="26"/>
        </w:rPr>
        <w:t xml:space="preserve">entitlement of </w:t>
      </w:r>
      <w:r>
        <w:rPr>
          <w:b/>
          <w:sz w:val="26"/>
        </w:rPr>
        <w:t xml:space="preserve">all </w:t>
      </w:r>
      <w:r>
        <w:rPr>
          <w:sz w:val="26"/>
        </w:rPr>
        <w:t>persons, without exception, to profess, practice and propagate religion. Equal participation of women</w:t>
      </w:r>
      <w:r>
        <w:rPr>
          <w:spacing w:val="-5"/>
          <w:sz w:val="26"/>
        </w:rPr>
        <w:t xml:space="preserve"> </w:t>
      </w:r>
      <w:r>
        <w:rPr>
          <w:sz w:val="26"/>
        </w:rPr>
        <w:t>i</w:t>
      </w:r>
      <w:r>
        <w:rPr>
          <w:sz w:val="26"/>
        </w:rPr>
        <w:t>n</w:t>
      </w:r>
      <w:r>
        <w:rPr>
          <w:spacing w:val="-4"/>
          <w:sz w:val="26"/>
        </w:rPr>
        <w:t xml:space="preserve"> </w:t>
      </w:r>
      <w:r>
        <w:rPr>
          <w:sz w:val="26"/>
        </w:rPr>
        <w:t>exercising</w:t>
      </w:r>
      <w:r>
        <w:rPr>
          <w:spacing w:val="-4"/>
          <w:sz w:val="26"/>
        </w:rPr>
        <w:t xml:space="preserve"> </w:t>
      </w:r>
      <w:r>
        <w:rPr>
          <w:sz w:val="26"/>
        </w:rPr>
        <w:t>their</w:t>
      </w:r>
      <w:r>
        <w:rPr>
          <w:spacing w:val="-7"/>
          <w:sz w:val="26"/>
        </w:rPr>
        <w:t xml:space="preserve"> </w:t>
      </w:r>
      <w:r>
        <w:rPr>
          <w:sz w:val="26"/>
        </w:rPr>
        <w:t>right</w:t>
      </w:r>
      <w:r>
        <w:rPr>
          <w:spacing w:val="-7"/>
          <w:sz w:val="26"/>
        </w:rPr>
        <w:t xml:space="preserve"> </w:t>
      </w:r>
      <w:r>
        <w:rPr>
          <w:sz w:val="26"/>
        </w:rPr>
        <w:t>to</w:t>
      </w:r>
      <w:r>
        <w:rPr>
          <w:spacing w:val="-7"/>
          <w:sz w:val="26"/>
        </w:rPr>
        <w:t xml:space="preserve"> </w:t>
      </w:r>
      <w:r>
        <w:rPr>
          <w:sz w:val="26"/>
        </w:rPr>
        <w:t>religious</w:t>
      </w:r>
      <w:r>
        <w:rPr>
          <w:spacing w:val="-5"/>
          <w:sz w:val="26"/>
        </w:rPr>
        <w:t xml:space="preserve"> </w:t>
      </w:r>
      <w:r>
        <w:rPr>
          <w:sz w:val="26"/>
        </w:rPr>
        <w:t>freedom</w:t>
      </w:r>
      <w:r>
        <w:rPr>
          <w:spacing w:val="-7"/>
          <w:sz w:val="26"/>
        </w:rPr>
        <w:t xml:space="preserve"> </w:t>
      </w:r>
      <w:r>
        <w:rPr>
          <w:sz w:val="26"/>
        </w:rPr>
        <w:t>is</w:t>
      </w:r>
      <w:r>
        <w:rPr>
          <w:spacing w:val="-5"/>
          <w:sz w:val="26"/>
        </w:rPr>
        <w:t xml:space="preserve"> </w:t>
      </w:r>
      <w:r>
        <w:rPr>
          <w:sz w:val="26"/>
        </w:rPr>
        <w:t>a</w:t>
      </w:r>
      <w:r>
        <w:rPr>
          <w:spacing w:val="-7"/>
          <w:sz w:val="26"/>
        </w:rPr>
        <w:t xml:space="preserve"> </w:t>
      </w:r>
      <w:r>
        <w:rPr>
          <w:sz w:val="26"/>
        </w:rPr>
        <w:t>recognition</w:t>
      </w:r>
      <w:r>
        <w:rPr>
          <w:spacing w:val="-7"/>
          <w:sz w:val="26"/>
        </w:rPr>
        <w:t xml:space="preserve"> </w:t>
      </w:r>
      <w:r>
        <w:rPr>
          <w:sz w:val="26"/>
        </w:rPr>
        <w:t>of</w:t>
      </w:r>
      <w:r>
        <w:rPr>
          <w:spacing w:val="-5"/>
          <w:sz w:val="26"/>
        </w:rPr>
        <w:t xml:space="preserve"> </w:t>
      </w:r>
      <w:r>
        <w:rPr>
          <w:sz w:val="26"/>
        </w:rPr>
        <w:t>this</w:t>
      </w:r>
      <w:r>
        <w:rPr>
          <w:spacing w:val="-5"/>
          <w:sz w:val="26"/>
        </w:rPr>
        <w:t xml:space="preserve"> </w:t>
      </w:r>
      <w:r>
        <w:rPr>
          <w:sz w:val="26"/>
        </w:rPr>
        <w:t>right. In protecting religious freedom, the framers subjected the right to religious freedom to the overriding constitutional postulates of equality, liberty and personal</w:t>
      </w:r>
      <w:r>
        <w:rPr>
          <w:spacing w:val="-10"/>
          <w:sz w:val="26"/>
        </w:rPr>
        <w:t xml:space="preserve"> </w:t>
      </w:r>
      <w:r>
        <w:rPr>
          <w:sz w:val="26"/>
        </w:rPr>
        <w:t>freedom</w:t>
      </w:r>
      <w:r>
        <w:rPr>
          <w:spacing w:val="-7"/>
          <w:sz w:val="26"/>
        </w:rPr>
        <w:t xml:space="preserve"> </w:t>
      </w:r>
      <w:r>
        <w:rPr>
          <w:sz w:val="26"/>
        </w:rPr>
        <w:t>in</w:t>
      </w:r>
      <w:r>
        <w:rPr>
          <w:spacing w:val="-5"/>
          <w:sz w:val="26"/>
        </w:rPr>
        <w:t xml:space="preserve"> </w:t>
      </w:r>
      <w:r>
        <w:rPr>
          <w:sz w:val="26"/>
        </w:rPr>
        <w:t>Part</w:t>
      </w:r>
      <w:r>
        <w:rPr>
          <w:spacing w:val="-9"/>
          <w:sz w:val="26"/>
        </w:rPr>
        <w:t xml:space="preserve"> </w:t>
      </w:r>
      <w:r>
        <w:rPr>
          <w:sz w:val="26"/>
        </w:rPr>
        <w:t>III</w:t>
      </w:r>
      <w:r>
        <w:rPr>
          <w:spacing w:val="-7"/>
          <w:sz w:val="26"/>
        </w:rPr>
        <w:t xml:space="preserve"> </w:t>
      </w:r>
      <w:r>
        <w:rPr>
          <w:sz w:val="26"/>
        </w:rPr>
        <w:t>of</w:t>
      </w:r>
      <w:r>
        <w:rPr>
          <w:spacing w:val="-7"/>
          <w:sz w:val="26"/>
        </w:rPr>
        <w:t xml:space="preserve"> </w:t>
      </w:r>
      <w:r>
        <w:rPr>
          <w:sz w:val="26"/>
        </w:rPr>
        <w:t>the</w:t>
      </w:r>
      <w:r>
        <w:rPr>
          <w:spacing w:val="-7"/>
          <w:sz w:val="26"/>
        </w:rPr>
        <w:t xml:space="preserve"> </w:t>
      </w:r>
      <w:r>
        <w:rPr>
          <w:sz w:val="26"/>
        </w:rPr>
        <w:t>Constitution.</w:t>
      </w:r>
      <w:r>
        <w:rPr>
          <w:spacing w:val="-9"/>
          <w:sz w:val="26"/>
        </w:rPr>
        <w:t xml:space="preserve"> </w:t>
      </w:r>
      <w:r>
        <w:rPr>
          <w:sz w:val="26"/>
        </w:rPr>
        <w:t>The</w:t>
      </w:r>
      <w:r>
        <w:rPr>
          <w:spacing w:val="-7"/>
          <w:sz w:val="26"/>
        </w:rPr>
        <w:t xml:space="preserve"> </w:t>
      </w:r>
      <w:r>
        <w:rPr>
          <w:sz w:val="26"/>
        </w:rPr>
        <w:t>dignity</w:t>
      </w:r>
      <w:r>
        <w:rPr>
          <w:spacing w:val="-11"/>
          <w:sz w:val="26"/>
        </w:rPr>
        <w:t xml:space="preserve"> </w:t>
      </w:r>
      <w:r>
        <w:rPr>
          <w:sz w:val="26"/>
        </w:rPr>
        <w:t>of</w:t>
      </w:r>
      <w:r>
        <w:rPr>
          <w:spacing w:val="-5"/>
          <w:sz w:val="26"/>
        </w:rPr>
        <w:t xml:space="preserve"> </w:t>
      </w:r>
      <w:r>
        <w:rPr>
          <w:sz w:val="26"/>
        </w:rPr>
        <w:t>women</w:t>
      </w:r>
      <w:r>
        <w:rPr>
          <w:spacing w:val="-7"/>
          <w:sz w:val="26"/>
        </w:rPr>
        <w:t xml:space="preserve"> </w:t>
      </w:r>
      <w:r>
        <w:rPr>
          <w:sz w:val="26"/>
        </w:rPr>
        <w:t>cannot</w:t>
      </w:r>
      <w:r>
        <w:rPr>
          <w:spacing w:val="-8"/>
          <w:sz w:val="26"/>
        </w:rPr>
        <w:t xml:space="preserve"> </w:t>
      </w:r>
      <w:r>
        <w:rPr>
          <w:sz w:val="26"/>
        </w:rPr>
        <w:t>be disassociated from the exercise of religious freedom. In the constitutional</w:t>
      </w:r>
      <w:r>
        <w:rPr>
          <w:spacing w:val="-29"/>
          <w:sz w:val="26"/>
        </w:rPr>
        <w:t xml:space="preserve"> </w:t>
      </w:r>
      <w:r>
        <w:rPr>
          <w:sz w:val="26"/>
        </w:rPr>
        <w:t>order of priorities, the right to religious freedom is to be exercised in a manner consonant with the vision underlying</w:t>
      </w:r>
      <w:r>
        <w:rPr>
          <w:sz w:val="26"/>
        </w:rPr>
        <w:t xml:space="preserve"> the provisions of Part III. The</w:t>
      </w:r>
      <w:r>
        <w:rPr>
          <w:spacing w:val="31"/>
          <w:sz w:val="26"/>
        </w:rPr>
        <w:t xml:space="preserve"> </w:t>
      </w:r>
      <w:r>
        <w:rPr>
          <w:sz w:val="26"/>
        </w:rPr>
        <w:t>equal participation of women in worship inheres in the constitutional vision of a just social</w:t>
      </w:r>
      <w:r>
        <w:rPr>
          <w:spacing w:val="-2"/>
          <w:sz w:val="26"/>
        </w:rPr>
        <w:t xml:space="preserve"> </w:t>
      </w:r>
      <w:r>
        <w:rPr>
          <w:sz w:val="26"/>
        </w:rPr>
        <w:t>order.</w:t>
      </w:r>
    </w:p>
    <w:p w:rsidR="003B2FC0" w:rsidRDefault="003B2FC0">
      <w:pPr>
        <w:rPr>
          <w:sz w:val="28"/>
        </w:rPr>
      </w:pPr>
    </w:p>
    <w:p w:rsidR="003B2FC0" w:rsidRDefault="003B2FC0">
      <w:pPr>
        <w:spacing w:before="10"/>
        <w:rPr>
          <w:sz w:val="32"/>
        </w:rPr>
      </w:pPr>
    </w:p>
    <w:p w:rsidR="003B2FC0" w:rsidRDefault="00052A49">
      <w:pPr>
        <w:pStyle w:val="ListParagraph"/>
        <w:numPr>
          <w:ilvl w:val="0"/>
          <w:numId w:val="39"/>
        </w:numPr>
        <w:tabs>
          <w:tab w:val="left" w:pos="1121"/>
        </w:tabs>
        <w:spacing w:line="480" w:lineRule="auto"/>
        <w:ind w:right="436" w:firstLine="0"/>
        <w:jc w:val="both"/>
        <w:rPr>
          <w:sz w:val="26"/>
        </w:rPr>
      </w:pPr>
      <w:r>
        <w:rPr>
          <w:sz w:val="26"/>
        </w:rPr>
        <w:t>The discourse of freedom in the Constitution cannot be denuded of its context</w:t>
      </w:r>
      <w:r>
        <w:rPr>
          <w:spacing w:val="-5"/>
          <w:sz w:val="26"/>
        </w:rPr>
        <w:t xml:space="preserve"> </w:t>
      </w:r>
      <w:r>
        <w:rPr>
          <w:sz w:val="26"/>
        </w:rPr>
        <w:t>by</w:t>
      </w:r>
      <w:r>
        <w:rPr>
          <w:spacing w:val="-4"/>
          <w:sz w:val="26"/>
        </w:rPr>
        <w:t xml:space="preserve"> </w:t>
      </w:r>
      <w:r>
        <w:rPr>
          <w:sz w:val="26"/>
        </w:rPr>
        <w:t>construing</w:t>
      </w:r>
      <w:r>
        <w:rPr>
          <w:spacing w:val="-2"/>
          <w:sz w:val="26"/>
        </w:rPr>
        <w:t xml:space="preserve"> </w:t>
      </w:r>
      <w:r>
        <w:rPr>
          <w:sz w:val="26"/>
        </w:rPr>
        <w:t>an</w:t>
      </w:r>
      <w:r>
        <w:rPr>
          <w:spacing w:val="-5"/>
          <w:sz w:val="26"/>
        </w:rPr>
        <w:t xml:space="preserve"> </w:t>
      </w:r>
      <w:r>
        <w:rPr>
          <w:sz w:val="26"/>
        </w:rPr>
        <w:t>Article</w:t>
      </w:r>
      <w:r>
        <w:rPr>
          <w:spacing w:val="-4"/>
          <w:sz w:val="26"/>
        </w:rPr>
        <w:t xml:space="preserve"> </w:t>
      </w:r>
      <w:r>
        <w:rPr>
          <w:sz w:val="26"/>
        </w:rPr>
        <w:t>in</w:t>
      </w:r>
      <w:r>
        <w:rPr>
          <w:spacing w:val="-4"/>
          <w:sz w:val="26"/>
        </w:rPr>
        <w:t xml:space="preserve"> </w:t>
      </w:r>
      <w:r>
        <w:rPr>
          <w:sz w:val="26"/>
        </w:rPr>
        <w:t>Part</w:t>
      </w:r>
      <w:r>
        <w:rPr>
          <w:spacing w:val="-5"/>
          <w:sz w:val="26"/>
        </w:rPr>
        <w:t xml:space="preserve"> </w:t>
      </w:r>
      <w:r>
        <w:rPr>
          <w:sz w:val="26"/>
        </w:rPr>
        <w:t>III detac</w:t>
      </w:r>
      <w:r>
        <w:rPr>
          <w:sz w:val="26"/>
        </w:rPr>
        <w:t>hed</w:t>
      </w:r>
      <w:r>
        <w:rPr>
          <w:spacing w:val="-4"/>
          <w:sz w:val="26"/>
        </w:rPr>
        <w:t xml:space="preserve"> </w:t>
      </w:r>
      <w:r>
        <w:rPr>
          <w:sz w:val="26"/>
        </w:rPr>
        <w:t>from</w:t>
      </w:r>
      <w:r>
        <w:rPr>
          <w:spacing w:val="-5"/>
          <w:sz w:val="26"/>
        </w:rPr>
        <w:t xml:space="preserve"> </w:t>
      </w:r>
      <w:r>
        <w:rPr>
          <w:sz w:val="26"/>
        </w:rPr>
        <w:t>the</w:t>
      </w:r>
      <w:r>
        <w:rPr>
          <w:spacing w:val="-4"/>
          <w:sz w:val="26"/>
        </w:rPr>
        <w:t xml:space="preserve"> </w:t>
      </w:r>
      <w:r>
        <w:rPr>
          <w:sz w:val="26"/>
        </w:rPr>
        <w:t>part</w:t>
      </w:r>
      <w:r>
        <w:rPr>
          <w:spacing w:val="-4"/>
          <w:sz w:val="26"/>
        </w:rPr>
        <w:t xml:space="preserve"> </w:t>
      </w:r>
      <w:r>
        <w:rPr>
          <w:sz w:val="26"/>
        </w:rPr>
        <w:t>within</w:t>
      </w:r>
      <w:r>
        <w:rPr>
          <w:spacing w:val="-3"/>
          <w:sz w:val="26"/>
        </w:rPr>
        <w:t xml:space="preserve"> </w:t>
      </w:r>
      <w:r>
        <w:rPr>
          <w:sz w:val="26"/>
        </w:rPr>
        <w:t>which</w:t>
      </w:r>
      <w:r>
        <w:rPr>
          <w:spacing w:val="-4"/>
          <w:sz w:val="26"/>
        </w:rPr>
        <w:t xml:space="preserve"> </w:t>
      </w:r>
      <w:r>
        <w:rPr>
          <w:sz w:val="26"/>
        </w:rPr>
        <w:t>it is situated. Even the right of a religious denomination to manage its own</w:t>
      </w:r>
      <w:r>
        <w:rPr>
          <w:spacing w:val="-35"/>
          <w:sz w:val="26"/>
        </w:rPr>
        <w:t xml:space="preserve"> </w:t>
      </w:r>
      <w:r>
        <w:rPr>
          <w:sz w:val="26"/>
        </w:rPr>
        <w:t>affairs in matters of religion cannot be exercised in isolation from Part III of the Constitution. The primacy of the individual, is the thread that</w:t>
      </w:r>
      <w:r>
        <w:rPr>
          <w:sz w:val="26"/>
        </w:rPr>
        <w:t xml:space="preserve"> runs through the guarantee of rights. In being located in Part III of the Constitution, the exercise of denominational rights cannot override and render meaningless</w:t>
      </w:r>
      <w:r>
        <w:rPr>
          <w:spacing w:val="-39"/>
          <w:sz w:val="26"/>
        </w:rPr>
        <w:t xml:space="preserve"> </w:t>
      </w:r>
      <w:r>
        <w:rPr>
          <w:sz w:val="26"/>
        </w:rPr>
        <w:t>constitutional protections which are informed by the overarching values of a liberal Constitution.</w:t>
      </w:r>
    </w:p>
    <w:p w:rsidR="003B2FC0" w:rsidRDefault="003B2FC0">
      <w:pPr>
        <w:spacing w:line="480" w:lineRule="auto"/>
        <w:jc w:val="both"/>
        <w:rPr>
          <w:sz w:val="26"/>
        </w:rPr>
        <w:sectPr w:rsidR="003B2FC0">
          <w:footerReference w:type="default" r:id="rId394"/>
          <w:pgSz w:w="11910" w:h="16840"/>
          <w:pgMar w:top="1080" w:right="980" w:bottom="1200" w:left="1040" w:header="708" w:footer="1000" w:gutter="0"/>
          <w:pgNumType w:start="16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4" w:firstLine="0"/>
        <w:jc w:val="both"/>
        <w:rPr>
          <w:sz w:val="26"/>
        </w:rPr>
      </w:pPr>
      <w:r>
        <w:rPr>
          <w:sz w:val="26"/>
        </w:rPr>
        <w:t>The Constitution seeks to achieve a transformed society based on equality and justice to those who are victims of</w:t>
      </w:r>
      <w:r>
        <w:rPr>
          <w:sz w:val="26"/>
        </w:rPr>
        <w:t xml:space="preserve"> traditional belief systems founded in graded inequality. It reflects a guarantee to protect the dignity of all individuals who have faced systematic discrimination, prejudice and social exclusion. Construed in this context, the prohibition against untouch</w:t>
      </w:r>
      <w:r>
        <w:rPr>
          <w:sz w:val="26"/>
        </w:rPr>
        <w:t>ability marks a powerful guarantee to remedy the stigmatization and exclusion of individuals and groups based on hierarchies of the social structure. Notions of purity and pollution have been employed to perpetuate discrimination and prejudice against wome</w:t>
      </w:r>
      <w:r>
        <w:rPr>
          <w:sz w:val="26"/>
        </w:rPr>
        <w:t>n. They have no place in a constitutional order. In acknowledging the inalienable dignity and worth of every individual, these notions are prohibited by the guarantee against untouchability and by the freedoms that underlie the</w:t>
      </w:r>
      <w:r>
        <w:rPr>
          <w:spacing w:val="-3"/>
          <w:sz w:val="26"/>
        </w:rPr>
        <w:t xml:space="preserve"> </w:t>
      </w:r>
      <w:r>
        <w:rPr>
          <w:sz w:val="26"/>
        </w:rPr>
        <w:t>Constitution.</w:t>
      </w:r>
    </w:p>
    <w:p w:rsidR="003B2FC0" w:rsidRDefault="003B2FC0">
      <w:pPr>
        <w:rPr>
          <w:sz w:val="28"/>
        </w:rPr>
      </w:pPr>
    </w:p>
    <w:p w:rsidR="003B2FC0" w:rsidRDefault="003B2FC0">
      <w:pPr>
        <w:spacing w:before="10"/>
        <w:rPr>
          <w:sz w:val="32"/>
        </w:rPr>
      </w:pPr>
    </w:p>
    <w:p w:rsidR="003B2FC0" w:rsidRDefault="00052A49">
      <w:pPr>
        <w:spacing w:line="480" w:lineRule="auto"/>
        <w:ind w:left="400" w:right="434"/>
        <w:jc w:val="both"/>
        <w:rPr>
          <w:sz w:val="26"/>
        </w:rPr>
      </w:pPr>
      <w:r>
        <w:rPr>
          <w:sz w:val="26"/>
        </w:rPr>
        <w:t>In civic as in social life, women have been subjected to prejudice, stereotypes and social exclusion. In religious life, exclusionary traditional customs assert a claim to legitimacy which owes its origin to patriarchal structures. These forms of discrimin</w:t>
      </w:r>
      <w:r>
        <w:rPr>
          <w:sz w:val="26"/>
        </w:rPr>
        <w:t>ation are not mutually exclusive. The intersection of identities in social and religious life produces a unique form of discrimination that denies women</w:t>
      </w:r>
      <w:r>
        <w:rPr>
          <w:spacing w:val="-7"/>
          <w:sz w:val="26"/>
        </w:rPr>
        <w:t xml:space="preserve"> </w:t>
      </w:r>
      <w:r>
        <w:rPr>
          <w:sz w:val="26"/>
        </w:rPr>
        <w:t>an</w:t>
      </w:r>
      <w:r>
        <w:rPr>
          <w:spacing w:val="-7"/>
          <w:sz w:val="26"/>
        </w:rPr>
        <w:t xml:space="preserve"> </w:t>
      </w:r>
      <w:r>
        <w:rPr>
          <w:sz w:val="26"/>
        </w:rPr>
        <w:t>equal</w:t>
      </w:r>
      <w:r>
        <w:rPr>
          <w:spacing w:val="-7"/>
          <w:sz w:val="26"/>
        </w:rPr>
        <w:t xml:space="preserve"> </w:t>
      </w:r>
      <w:r>
        <w:rPr>
          <w:sz w:val="26"/>
        </w:rPr>
        <w:t>citizenship</w:t>
      </w:r>
      <w:r>
        <w:rPr>
          <w:spacing w:val="-7"/>
          <w:sz w:val="26"/>
        </w:rPr>
        <w:t xml:space="preserve"> </w:t>
      </w:r>
      <w:r>
        <w:rPr>
          <w:sz w:val="26"/>
        </w:rPr>
        <w:t>under</w:t>
      </w:r>
      <w:r>
        <w:rPr>
          <w:spacing w:val="-7"/>
          <w:sz w:val="26"/>
        </w:rPr>
        <w:t xml:space="preserve"> </w:t>
      </w:r>
      <w:r>
        <w:rPr>
          <w:sz w:val="26"/>
        </w:rPr>
        <w:t>the</w:t>
      </w:r>
      <w:r>
        <w:rPr>
          <w:spacing w:val="-7"/>
          <w:sz w:val="26"/>
        </w:rPr>
        <w:t xml:space="preserve"> </w:t>
      </w:r>
      <w:r>
        <w:rPr>
          <w:sz w:val="26"/>
        </w:rPr>
        <w:t>Constitution.</w:t>
      </w:r>
      <w:r>
        <w:rPr>
          <w:spacing w:val="-7"/>
          <w:sz w:val="26"/>
        </w:rPr>
        <w:t xml:space="preserve"> </w:t>
      </w:r>
      <w:r>
        <w:rPr>
          <w:sz w:val="26"/>
        </w:rPr>
        <w:t>Recognizing</w:t>
      </w:r>
      <w:r>
        <w:rPr>
          <w:spacing w:val="-7"/>
          <w:sz w:val="26"/>
        </w:rPr>
        <w:t xml:space="preserve"> </w:t>
      </w:r>
      <w:r>
        <w:rPr>
          <w:sz w:val="26"/>
        </w:rPr>
        <w:t>these</w:t>
      </w:r>
      <w:r>
        <w:rPr>
          <w:spacing w:val="-7"/>
          <w:sz w:val="26"/>
        </w:rPr>
        <w:t xml:space="preserve"> </w:t>
      </w:r>
      <w:r>
        <w:rPr>
          <w:sz w:val="26"/>
        </w:rPr>
        <w:t>forms</w:t>
      </w:r>
      <w:r>
        <w:rPr>
          <w:spacing w:val="-7"/>
          <w:sz w:val="26"/>
        </w:rPr>
        <w:t xml:space="preserve"> </w:t>
      </w:r>
      <w:r>
        <w:rPr>
          <w:sz w:val="26"/>
        </w:rPr>
        <w:t>of intersectional discrimination i</w:t>
      </w:r>
      <w:r>
        <w:rPr>
          <w:sz w:val="26"/>
        </w:rPr>
        <w:t>s the first step towards extending constitutional protection against discrimination attached to intersecting</w:t>
      </w:r>
      <w:r>
        <w:rPr>
          <w:spacing w:val="-7"/>
          <w:sz w:val="26"/>
        </w:rPr>
        <w:t xml:space="preserve"> </w:t>
      </w:r>
      <w:r>
        <w:rPr>
          <w:sz w:val="26"/>
        </w:rPr>
        <w:t>identities.</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39"/>
        </w:numPr>
        <w:tabs>
          <w:tab w:val="left" w:pos="1121"/>
        </w:tabs>
        <w:spacing w:before="91" w:line="480" w:lineRule="auto"/>
        <w:ind w:right="436" w:firstLine="0"/>
        <w:jc w:val="both"/>
        <w:rPr>
          <w:sz w:val="26"/>
        </w:rPr>
      </w:pPr>
      <w:r>
        <w:rPr>
          <w:sz w:val="26"/>
        </w:rPr>
        <w:t>In the dialogue between constitutional freedoms, rights are not isolated silos. In infusing each other with substant</w:t>
      </w:r>
      <w:r>
        <w:rPr>
          <w:sz w:val="26"/>
        </w:rPr>
        <w:t>ive content, they provide a cohesion and unity which militates against practices that depart from the values that underlie the Constitution – justice, liberty, equality and fraternity. Substantive notions of equality require the recognition of and remedies</w:t>
      </w:r>
      <w:r>
        <w:rPr>
          <w:sz w:val="26"/>
        </w:rPr>
        <w:t xml:space="preserve"> for historical discrimination which has pervaded certain identities. Such a notion focuses on not only distributive questions, but on the structures of oppression and domination which exclude these identities from participation in an equal life.</w:t>
      </w:r>
      <w:r>
        <w:rPr>
          <w:spacing w:val="-28"/>
          <w:sz w:val="26"/>
        </w:rPr>
        <w:t xml:space="preserve"> </w:t>
      </w:r>
      <w:r>
        <w:rPr>
          <w:sz w:val="26"/>
        </w:rPr>
        <w:t>An indisp</w:t>
      </w:r>
      <w:r>
        <w:rPr>
          <w:sz w:val="26"/>
        </w:rPr>
        <w:t>ensable facet of an equal life, is the equal participation of women in all spheres of social</w:t>
      </w:r>
      <w:r>
        <w:rPr>
          <w:spacing w:val="-2"/>
          <w:sz w:val="26"/>
        </w:rPr>
        <w:t xml:space="preserve"> </w:t>
      </w:r>
      <w:r>
        <w:rPr>
          <w:sz w:val="26"/>
        </w:rPr>
        <w:t>activity.</w:t>
      </w:r>
    </w:p>
    <w:p w:rsidR="003B2FC0" w:rsidRDefault="003B2FC0">
      <w:pPr>
        <w:rPr>
          <w:sz w:val="28"/>
        </w:rPr>
      </w:pPr>
    </w:p>
    <w:p w:rsidR="003B2FC0" w:rsidRDefault="003B2FC0">
      <w:pPr>
        <w:spacing w:before="11"/>
        <w:rPr>
          <w:sz w:val="32"/>
        </w:rPr>
      </w:pPr>
    </w:p>
    <w:p w:rsidR="003B2FC0" w:rsidRDefault="00052A49">
      <w:pPr>
        <w:spacing w:line="480" w:lineRule="auto"/>
        <w:ind w:left="400" w:right="435"/>
        <w:jc w:val="both"/>
        <w:rPr>
          <w:sz w:val="26"/>
        </w:rPr>
      </w:pPr>
      <w:r>
        <w:rPr>
          <w:sz w:val="26"/>
        </w:rPr>
        <w:t>The case at hand asks important questions of our conversation with the Constitution. In a dialogue about our public spaces, it raises the question of</w:t>
      </w:r>
      <w:r>
        <w:rPr>
          <w:spacing w:val="-46"/>
          <w:sz w:val="26"/>
        </w:rPr>
        <w:t xml:space="preserve"> </w:t>
      </w:r>
      <w:r>
        <w:rPr>
          <w:sz w:val="26"/>
        </w:rPr>
        <w:t>the boundaries</w:t>
      </w:r>
      <w:r>
        <w:rPr>
          <w:spacing w:val="-5"/>
          <w:sz w:val="26"/>
        </w:rPr>
        <w:t xml:space="preserve"> </w:t>
      </w:r>
      <w:r>
        <w:rPr>
          <w:sz w:val="26"/>
        </w:rPr>
        <w:t>of</w:t>
      </w:r>
      <w:r>
        <w:rPr>
          <w:spacing w:val="-5"/>
          <w:sz w:val="26"/>
        </w:rPr>
        <w:t xml:space="preserve"> </w:t>
      </w:r>
      <w:r>
        <w:rPr>
          <w:sz w:val="26"/>
        </w:rPr>
        <w:t>religion</w:t>
      </w:r>
      <w:r>
        <w:rPr>
          <w:spacing w:val="-7"/>
          <w:sz w:val="26"/>
        </w:rPr>
        <w:t xml:space="preserve"> </w:t>
      </w:r>
      <w:r>
        <w:rPr>
          <w:sz w:val="26"/>
        </w:rPr>
        <w:t>under</w:t>
      </w:r>
      <w:r>
        <w:rPr>
          <w:spacing w:val="-4"/>
          <w:sz w:val="26"/>
        </w:rPr>
        <w:t xml:space="preserve"> </w:t>
      </w:r>
      <w:r>
        <w:rPr>
          <w:sz w:val="26"/>
        </w:rPr>
        <w:t>the</w:t>
      </w:r>
      <w:r>
        <w:rPr>
          <w:spacing w:val="-5"/>
          <w:sz w:val="26"/>
        </w:rPr>
        <w:t xml:space="preserve"> </w:t>
      </w:r>
      <w:r>
        <w:rPr>
          <w:sz w:val="26"/>
        </w:rPr>
        <w:t>Constitution.</w:t>
      </w:r>
      <w:r>
        <w:rPr>
          <w:spacing w:val="-7"/>
          <w:sz w:val="26"/>
        </w:rPr>
        <w:t xml:space="preserve"> </w:t>
      </w:r>
      <w:r>
        <w:rPr>
          <w:sz w:val="26"/>
        </w:rPr>
        <w:t>The</w:t>
      </w:r>
      <w:r>
        <w:rPr>
          <w:spacing w:val="-4"/>
          <w:sz w:val="26"/>
        </w:rPr>
        <w:t xml:space="preserve"> </w:t>
      </w:r>
      <w:r>
        <w:rPr>
          <w:sz w:val="26"/>
        </w:rPr>
        <w:t>quest</w:t>
      </w:r>
      <w:r>
        <w:rPr>
          <w:spacing w:val="-5"/>
          <w:sz w:val="26"/>
        </w:rPr>
        <w:t xml:space="preserve"> </w:t>
      </w:r>
      <w:r>
        <w:rPr>
          <w:sz w:val="26"/>
        </w:rPr>
        <w:t>for</w:t>
      </w:r>
      <w:r>
        <w:rPr>
          <w:spacing w:val="-5"/>
          <w:sz w:val="26"/>
        </w:rPr>
        <w:t xml:space="preserve"> </w:t>
      </w:r>
      <w:r>
        <w:rPr>
          <w:sz w:val="26"/>
        </w:rPr>
        <w:t>equality</w:t>
      </w:r>
      <w:r>
        <w:rPr>
          <w:spacing w:val="-5"/>
          <w:sz w:val="26"/>
        </w:rPr>
        <w:t xml:space="preserve"> </w:t>
      </w:r>
      <w:r>
        <w:rPr>
          <w:sz w:val="26"/>
        </w:rPr>
        <w:t>is</w:t>
      </w:r>
      <w:r>
        <w:rPr>
          <w:spacing w:val="-7"/>
          <w:sz w:val="26"/>
        </w:rPr>
        <w:t xml:space="preserve"> </w:t>
      </w:r>
      <w:r>
        <w:rPr>
          <w:sz w:val="26"/>
        </w:rPr>
        <w:t xml:space="preserve">denuded of its content if practices that exclude women are treated to </w:t>
      </w:r>
      <w:r>
        <w:rPr>
          <w:spacing w:val="2"/>
          <w:sz w:val="26"/>
        </w:rPr>
        <w:t xml:space="preserve">be </w:t>
      </w:r>
      <w:r>
        <w:rPr>
          <w:sz w:val="26"/>
        </w:rPr>
        <w:t>acceptable.</w:t>
      </w:r>
      <w:r>
        <w:rPr>
          <w:spacing w:val="-46"/>
          <w:sz w:val="26"/>
        </w:rPr>
        <w:t xml:space="preserve"> </w:t>
      </w:r>
      <w:r>
        <w:rPr>
          <w:sz w:val="26"/>
        </w:rPr>
        <w:t>The Constitution cannot allow practices, irrespective of their source, which are derogatory to</w:t>
      </w:r>
      <w:r>
        <w:rPr>
          <w:sz w:val="26"/>
        </w:rPr>
        <w:t xml:space="preserve"> women. Religion cannot become a cover to exclude and to deny the right of every woman to find fulfillment in worship. In his speech before the Constituent</w:t>
      </w:r>
      <w:r>
        <w:rPr>
          <w:spacing w:val="-20"/>
          <w:sz w:val="26"/>
        </w:rPr>
        <w:t xml:space="preserve"> </w:t>
      </w:r>
      <w:r>
        <w:rPr>
          <w:sz w:val="26"/>
        </w:rPr>
        <w:t>Assembly</w:t>
      </w:r>
      <w:r>
        <w:rPr>
          <w:spacing w:val="-19"/>
          <w:sz w:val="26"/>
        </w:rPr>
        <w:t xml:space="preserve"> </w:t>
      </w:r>
      <w:r>
        <w:rPr>
          <w:sz w:val="26"/>
        </w:rPr>
        <w:t>on</w:t>
      </w:r>
      <w:r>
        <w:rPr>
          <w:spacing w:val="-19"/>
          <w:sz w:val="26"/>
        </w:rPr>
        <w:t xml:space="preserve"> </w:t>
      </w:r>
      <w:r>
        <w:rPr>
          <w:sz w:val="26"/>
        </w:rPr>
        <w:t>25</w:t>
      </w:r>
      <w:r>
        <w:rPr>
          <w:spacing w:val="-17"/>
          <w:sz w:val="26"/>
        </w:rPr>
        <w:t xml:space="preserve"> </w:t>
      </w:r>
      <w:r>
        <w:rPr>
          <w:sz w:val="26"/>
        </w:rPr>
        <w:t>November</w:t>
      </w:r>
      <w:r>
        <w:rPr>
          <w:spacing w:val="-17"/>
          <w:sz w:val="26"/>
        </w:rPr>
        <w:t xml:space="preserve"> </w:t>
      </w:r>
      <w:r>
        <w:rPr>
          <w:sz w:val="26"/>
        </w:rPr>
        <w:t>1949,</w:t>
      </w:r>
      <w:r>
        <w:rPr>
          <w:spacing w:val="-19"/>
          <w:sz w:val="26"/>
        </w:rPr>
        <w:t xml:space="preserve"> </w:t>
      </w:r>
      <w:r>
        <w:rPr>
          <w:sz w:val="26"/>
        </w:rPr>
        <w:t>Dr</w:t>
      </w:r>
      <w:r>
        <w:rPr>
          <w:spacing w:val="-18"/>
          <w:sz w:val="26"/>
        </w:rPr>
        <w:t xml:space="preserve"> </w:t>
      </w:r>
      <w:r>
        <w:rPr>
          <w:sz w:val="26"/>
        </w:rPr>
        <w:t>B</w:t>
      </w:r>
      <w:r>
        <w:rPr>
          <w:spacing w:val="-17"/>
          <w:sz w:val="26"/>
        </w:rPr>
        <w:t xml:space="preserve"> </w:t>
      </w:r>
      <w:r>
        <w:rPr>
          <w:sz w:val="26"/>
        </w:rPr>
        <w:t>R</w:t>
      </w:r>
      <w:r>
        <w:rPr>
          <w:spacing w:val="-19"/>
          <w:sz w:val="26"/>
        </w:rPr>
        <w:t xml:space="preserve"> </w:t>
      </w:r>
      <w:r>
        <w:rPr>
          <w:sz w:val="26"/>
        </w:rPr>
        <w:t>Ambedkar</w:t>
      </w:r>
      <w:r>
        <w:rPr>
          <w:spacing w:val="-16"/>
          <w:sz w:val="26"/>
        </w:rPr>
        <w:t xml:space="preserve"> </w:t>
      </w:r>
      <w:r>
        <w:rPr>
          <w:sz w:val="26"/>
        </w:rPr>
        <w:t>sought</w:t>
      </w:r>
      <w:r>
        <w:rPr>
          <w:spacing w:val="-17"/>
          <w:sz w:val="26"/>
        </w:rPr>
        <w:t xml:space="preserve"> </w:t>
      </w:r>
      <w:r>
        <w:rPr>
          <w:sz w:val="26"/>
        </w:rPr>
        <w:t xml:space="preserve">answers to these questions: ‘How long shall we </w:t>
      </w:r>
      <w:r>
        <w:rPr>
          <w:sz w:val="26"/>
        </w:rPr>
        <w:t>continue to live this life of contradictions? How long shall we continue to deny equality in our social and economic</w:t>
      </w:r>
      <w:r>
        <w:rPr>
          <w:spacing w:val="-11"/>
          <w:sz w:val="26"/>
        </w:rPr>
        <w:t xml:space="preserve"> </w:t>
      </w:r>
      <w:r>
        <w:rPr>
          <w:sz w:val="26"/>
        </w:rPr>
        <w:t>life?’</w:t>
      </w:r>
      <w:r>
        <w:rPr>
          <w:position w:val="9"/>
          <w:sz w:val="17"/>
        </w:rPr>
        <w:t>167</w:t>
      </w:r>
      <w:r>
        <w:rPr>
          <w:spacing w:val="13"/>
          <w:position w:val="9"/>
          <w:sz w:val="17"/>
        </w:rPr>
        <w:t xml:space="preserve"> </w:t>
      </w:r>
      <w:r>
        <w:rPr>
          <w:sz w:val="26"/>
        </w:rPr>
        <w:t>Sixty</w:t>
      </w:r>
      <w:r>
        <w:rPr>
          <w:spacing w:val="-10"/>
          <w:sz w:val="26"/>
        </w:rPr>
        <w:t xml:space="preserve"> </w:t>
      </w:r>
      <w:r>
        <w:rPr>
          <w:sz w:val="26"/>
        </w:rPr>
        <w:t>eight</w:t>
      </w:r>
      <w:r>
        <w:rPr>
          <w:spacing w:val="-8"/>
          <w:sz w:val="26"/>
        </w:rPr>
        <w:t xml:space="preserve"> </w:t>
      </w:r>
      <w:r>
        <w:rPr>
          <w:sz w:val="26"/>
        </w:rPr>
        <w:t>years</w:t>
      </w:r>
      <w:r>
        <w:rPr>
          <w:spacing w:val="-11"/>
          <w:sz w:val="26"/>
        </w:rPr>
        <w:t xml:space="preserve"> </w:t>
      </w:r>
      <w:r>
        <w:rPr>
          <w:sz w:val="26"/>
        </w:rPr>
        <w:t>after</w:t>
      </w:r>
      <w:r>
        <w:rPr>
          <w:spacing w:val="-11"/>
          <w:sz w:val="26"/>
        </w:rPr>
        <w:t xml:space="preserve"> </w:t>
      </w:r>
      <w:r>
        <w:rPr>
          <w:sz w:val="26"/>
        </w:rPr>
        <w:t>the</w:t>
      </w:r>
      <w:r>
        <w:rPr>
          <w:spacing w:val="-8"/>
          <w:sz w:val="26"/>
        </w:rPr>
        <w:t xml:space="preserve"> </w:t>
      </w:r>
      <w:r>
        <w:rPr>
          <w:sz w:val="26"/>
        </w:rPr>
        <w:t>advent</w:t>
      </w:r>
      <w:r>
        <w:rPr>
          <w:spacing w:val="-11"/>
          <w:sz w:val="26"/>
        </w:rPr>
        <w:t xml:space="preserve"> </w:t>
      </w:r>
      <w:r>
        <w:rPr>
          <w:sz w:val="26"/>
        </w:rPr>
        <w:t>of</w:t>
      </w:r>
      <w:r>
        <w:rPr>
          <w:spacing w:val="-11"/>
          <w:sz w:val="26"/>
        </w:rPr>
        <w:t xml:space="preserve"> </w:t>
      </w:r>
      <w:r>
        <w:rPr>
          <w:sz w:val="26"/>
        </w:rPr>
        <w:t>the</w:t>
      </w:r>
      <w:r>
        <w:rPr>
          <w:spacing w:val="-10"/>
          <w:sz w:val="26"/>
        </w:rPr>
        <w:t xml:space="preserve"> </w:t>
      </w:r>
      <w:r>
        <w:rPr>
          <w:sz w:val="26"/>
        </w:rPr>
        <w:t>Constitution,</w:t>
      </w:r>
      <w:r>
        <w:rPr>
          <w:spacing w:val="-9"/>
          <w:sz w:val="26"/>
        </w:rPr>
        <w:t xml:space="preserve"> </w:t>
      </w:r>
      <w:r>
        <w:rPr>
          <w:sz w:val="26"/>
        </w:rPr>
        <w:t>we</w:t>
      </w:r>
      <w:r>
        <w:rPr>
          <w:spacing w:val="-9"/>
          <w:sz w:val="26"/>
        </w:rPr>
        <w:t xml:space="preserve"> </w:t>
      </w:r>
      <w:r>
        <w:rPr>
          <w:sz w:val="26"/>
        </w:rPr>
        <w:t>have</w:t>
      </w:r>
    </w:p>
    <w:p w:rsidR="003B2FC0" w:rsidRDefault="003B2FC0">
      <w:pPr>
        <w:spacing w:before="1"/>
        <w:rPr>
          <w:sz w:val="29"/>
        </w:rPr>
      </w:pPr>
      <w:r w:rsidRPr="003B2FC0">
        <w:pict>
          <v:line id="_x0000_s1062" style="position:absolute;z-index:251653632;mso-wrap-distance-left:0;mso-wrap-distance-right:0;mso-position-horizontal-relative:page" from="1in,19.1pt" to="216.05pt,19.1pt" strokeweight=".72pt">
            <w10:wrap type="topAndBottom" anchorx="page"/>
          </v:line>
        </w:pict>
      </w:r>
    </w:p>
    <w:p w:rsidR="003B2FC0" w:rsidRDefault="00052A49">
      <w:pPr>
        <w:spacing w:before="66"/>
        <w:ind w:left="400"/>
        <w:rPr>
          <w:sz w:val="18"/>
        </w:rPr>
      </w:pPr>
      <w:r>
        <w:rPr>
          <w:position w:val="6"/>
          <w:sz w:val="12"/>
        </w:rPr>
        <w:t xml:space="preserve">167 </w:t>
      </w:r>
      <w:r>
        <w:rPr>
          <w:sz w:val="18"/>
        </w:rPr>
        <w:t>Dr. B R Ambedkar in a speech to the Constituent Assembly on 25 November 1949</w:t>
      </w:r>
    </w:p>
    <w:p w:rsidR="003B2FC0" w:rsidRDefault="003B2FC0">
      <w:pPr>
        <w:rPr>
          <w:sz w:val="18"/>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spacing w:before="91" w:line="480" w:lineRule="auto"/>
        <w:ind w:left="400" w:right="440"/>
        <w:jc w:val="both"/>
        <w:rPr>
          <w:sz w:val="26"/>
        </w:rPr>
      </w:pPr>
      <w:r>
        <w:rPr>
          <w:sz w:val="26"/>
        </w:rPr>
        <w:t>held that in providing equality in matters of faith and worship, the Constitution does not allow the exclusion of women.</w:t>
      </w:r>
    </w:p>
    <w:p w:rsidR="003B2FC0" w:rsidRDefault="003B2FC0">
      <w:pPr>
        <w:rPr>
          <w:sz w:val="28"/>
        </w:rPr>
      </w:pPr>
    </w:p>
    <w:p w:rsidR="003B2FC0" w:rsidRDefault="003B2FC0">
      <w:pPr>
        <w:rPr>
          <w:sz w:val="28"/>
        </w:rPr>
      </w:pPr>
    </w:p>
    <w:p w:rsidR="003B2FC0" w:rsidRDefault="003B2FC0">
      <w:pPr>
        <w:rPr>
          <w:sz w:val="28"/>
        </w:rPr>
      </w:pPr>
    </w:p>
    <w:p w:rsidR="003B2FC0" w:rsidRDefault="00052A49">
      <w:pPr>
        <w:pStyle w:val="ListParagraph"/>
        <w:numPr>
          <w:ilvl w:val="0"/>
          <w:numId w:val="39"/>
        </w:numPr>
        <w:tabs>
          <w:tab w:val="left" w:pos="1121"/>
        </w:tabs>
        <w:spacing w:before="231" w:line="480" w:lineRule="auto"/>
        <w:ind w:right="436" w:firstLine="0"/>
        <w:jc w:val="both"/>
        <w:rPr>
          <w:sz w:val="26"/>
        </w:rPr>
      </w:pPr>
      <w:r>
        <w:rPr>
          <w:sz w:val="26"/>
        </w:rPr>
        <w:t>Liberty in matters of belief, faith and worship, must produce a compassionate and humane society marked by the equality of status of all its citizens. The Indian Constitution sought to break the shackles of social hierarchies. In doing so, it sought to ush</w:t>
      </w:r>
      <w:r>
        <w:rPr>
          <w:sz w:val="26"/>
        </w:rPr>
        <w:t xml:space="preserve">er an era characterized by a commitment to freedom, equality and justice. </w:t>
      </w:r>
      <w:r>
        <w:rPr>
          <w:spacing w:val="2"/>
          <w:sz w:val="26"/>
        </w:rPr>
        <w:t xml:space="preserve">The </w:t>
      </w:r>
      <w:r>
        <w:rPr>
          <w:sz w:val="26"/>
        </w:rPr>
        <w:t>liberal values of the Constitution</w:t>
      </w:r>
      <w:r>
        <w:rPr>
          <w:spacing w:val="-10"/>
          <w:sz w:val="26"/>
        </w:rPr>
        <w:t xml:space="preserve"> </w:t>
      </w:r>
      <w:r>
        <w:rPr>
          <w:sz w:val="26"/>
        </w:rPr>
        <w:t>secure</w:t>
      </w:r>
      <w:r>
        <w:rPr>
          <w:spacing w:val="-10"/>
          <w:sz w:val="26"/>
        </w:rPr>
        <w:t xml:space="preserve"> </w:t>
      </w:r>
      <w:r>
        <w:rPr>
          <w:sz w:val="26"/>
        </w:rPr>
        <w:t>to</w:t>
      </w:r>
      <w:r>
        <w:rPr>
          <w:spacing w:val="-11"/>
          <w:sz w:val="26"/>
        </w:rPr>
        <w:t xml:space="preserve"> </w:t>
      </w:r>
      <w:r>
        <w:rPr>
          <w:sz w:val="26"/>
        </w:rPr>
        <w:t>each</w:t>
      </w:r>
      <w:r>
        <w:rPr>
          <w:spacing w:val="-11"/>
          <w:sz w:val="26"/>
        </w:rPr>
        <w:t xml:space="preserve"> </w:t>
      </w:r>
      <w:r>
        <w:rPr>
          <w:sz w:val="26"/>
        </w:rPr>
        <w:t>individual</w:t>
      </w:r>
      <w:r>
        <w:rPr>
          <w:spacing w:val="-10"/>
          <w:sz w:val="26"/>
        </w:rPr>
        <w:t xml:space="preserve"> </w:t>
      </w:r>
      <w:r>
        <w:rPr>
          <w:sz w:val="26"/>
        </w:rPr>
        <w:t>an</w:t>
      </w:r>
      <w:r>
        <w:rPr>
          <w:spacing w:val="-7"/>
          <w:sz w:val="26"/>
        </w:rPr>
        <w:t xml:space="preserve"> </w:t>
      </w:r>
      <w:r>
        <w:rPr>
          <w:sz w:val="26"/>
        </w:rPr>
        <w:t>equal</w:t>
      </w:r>
      <w:r>
        <w:rPr>
          <w:spacing w:val="-10"/>
          <w:sz w:val="26"/>
        </w:rPr>
        <w:t xml:space="preserve"> </w:t>
      </w:r>
      <w:r>
        <w:rPr>
          <w:sz w:val="26"/>
        </w:rPr>
        <w:t>citizenship.</w:t>
      </w:r>
      <w:r>
        <w:rPr>
          <w:spacing w:val="-12"/>
          <w:sz w:val="26"/>
        </w:rPr>
        <w:t xml:space="preserve"> </w:t>
      </w:r>
      <w:r>
        <w:rPr>
          <w:sz w:val="26"/>
        </w:rPr>
        <w:t>This</w:t>
      </w:r>
      <w:r>
        <w:rPr>
          <w:spacing w:val="-11"/>
          <w:sz w:val="26"/>
        </w:rPr>
        <w:t xml:space="preserve"> </w:t>
      </w:r>
      <w:r>
        <w:rPr>
          <w:sz w:val="26"/>
        </w:rPr>
        <w:t>recognizes</w:t>
      </w:r>
      <w:r>
        <w:rPr>
          <w:spacing w:val="-11"/>
          <w:sz w:val="26"/>
        </w:rPr>
        <w:t xml:space="preserve"> </w:t>
      </w:r>
      <w:r>
        <w:rPr>
          <w:sz w:val="26"/>
        </w:rPr>
        <w:t>that the Constitution exists not only to disenable entrenched structures of dis</w:t>
      </w:r>
      <w:r>
        <w:rPr>
          <w:sz w:val="26"/>
        </w:rPr>
        <w:t>crimination</w:t>
      </w:r>
      <w:r>
        <w:rPr>
          <w:spacing w:val="-6"/>
          <w:sz w:val="26"/>
        </w:rPr>
        <w:t xml:space="preserve"> </w:t>
      </w:r>
      <w:r>
        <w:rPr>
          <w:sz w:val="26"/>
        </w:rPr>
        <w:t>and</w:t>
      </w:r>
      <w:r>
        <w:rPr>
          <w:spacing w:val="-6"/>
          <w:sz w:val="26"/>
        </w:rPr>
        <w:t xml:space="preserve"> </w:t>
      </w:r>
      <w:r>
        <w:rPr>
          <w:sz w:val="26"/>
        </w:rPr>
        <w:t>prejudice,</w:t>
      </w:r>
      <w:r>
        <w:rPr>
          <w:spacing w:val="-5"/>
          <w:sz w:val="26"/>
        </w:rPr>
        <w:t xml:space="preserve"> </w:t>
      </w:r>
      <w:r>
        <w:rPr>
          <w:sz w:val="26"/>
        </w:rPr>
        <w:t>but</w:t>
      </w:r>
      <w:r>
        <w:rPr>
          <w:spacing w:val="-6"/>
          <w:sz w:val="26"/>
        </w:rPr>
        <w:t xml:space="preserve"> </w:t>
      </w:r>
      <w:r>
        <w:rPr>
          <w:sz w:val="26"/>
        </w:rPr>
        <w:t>to</w:t>
      </w:r>
      <w:r>
        <w:rPr>
          <w:spacing w:val="-5"/>
          <w:sz w:val="26"/>
        </w:rPr>
        <w:t xml:space="preserve"> </w:t>
      </w:r>
      <w:r>
        <w:rPr>
          <w:sz w:val="26"/>
        </w:rPr>
        <w:t>empower</w:t>
      </w:r>
      <w:r>
        <w:rPr>
          <w:spacing w:val="-7"/>
          <w:sz w:val="26"/>
        </w:rPr>
        <w:t xml:space="preserve"> </w:t>
      </w:r>
      <w:r>
        <w:rPr>
          <w:sz w:val="26"/>
        </w:rPr>
        <w:t>those</w:t>
      </w:r>
      <w:r>
        <w:rPr>
          <w:spacing w:val="-5"/>
          <w:sz w:val="26"/>
        </w:rPr>
        <w:t xml:space="preserve"> </w:t>
      </w:r>
      <w:r>
        <w:rPr>
          <w:sz w:val="26"/>
        </w:rPr>
        <w:t>who</w:t>
      </w:r>
      <w:r>
        <w:rPr>
          <w:spacing w:val="-5"/>
          <w:sz w:val="26"/>
        </w:rPr>
        <w:t xml:space="preserve"> </w:t>
      </w:r>
      <w:r>
        <w:rPr>
          <w:sz w:val="26"/>
        </w:rPr>
        <w:t>traditionally</w:t>
      </w:r>
      <w:r>
        <w:rPr>
          <w:spacing w:val="-7"/>
          <w:sz w:val="26"/>
        </w:rPr>
        <w:t xml:space="preserve"> </w:t>
      </w:r>
      <w:r>
        <w:rPr>
          <w:sz w:val="26"/>
        </w:rPr>
        <w:t>have</w:t>
      </w:r>
      <w:r>
        <w:rPr>
          <w:spacing w:val="-5"/>
          <w:sz w:val="26"/>
        </w:rPr>
        <w:t xml:space="preserve"> </w:t>
      </w:r>
      <w:r>
        <w:rPr>
          <w:sz w:val="26"/>
        </w:rPr>
        <w:t>been deprived of an equal citizenship. The equal participation of women in every sphere of the life of the nation subserves that</w:t>
      </w:r>
      <w:r>
        <w:rPr>
          <w:spacing w:val="-2"/>
          <w:sz w:val="26"/>
        </w:rPr>
        <w:t xml:space="preserve"> </w:t>
      </w:r>
      <w:r>
        <w:rPr>
          <w:sz w:val="26"/>
        </w:rPr>
        <w:t>premise.</w:t>
      </w:r>
    </w:p>
    <w:p w:rsidR="003B2FC0" w:rsidRDefault="003B2FC0">
      <w:pPr>
        <w:rPr>
          <w:sz w:val="28"/>
        </w:rPr>
      </w:pPr>
    </w:p>
    <w:p w:rsidR="003B2FC0" w:rsidRDefault="003B2FC0">
      <w:pPr>
        <w:spacing w:before="11"/>
        <w:rPr>
          <w:sz w:val="32"/>
        </w:rPr>
      </w:pPr>
    </w:p>
    <w:p w:rsidR="003B2FC0" w:rsidRDefault="00052A49">
      <w:pPr>
        <w:pStyle w:val="ListParagraph"/>
        <w:numPr>
          <w:ilvl w:val="0"/>
          <w:numId w:val="39"/>
        </w:numPr>
        <w:tabs>
          <w:tab w:val="left" w:pos="1120"/>
          <w:tab w:val="left" w:pos="1121"/>
        </w:tabs>
        <w:ind w:left="1120"/>
        <w:rPr>
          <w:sz w:val="26"/>
        </w:rPr>
      </w:pPr>
      <w:r>
        <w:rPr>
          <w:sz w:val="26"/>
        </w:rPr>
        <w:t>I hold and declare</w:t>
      </w:r>
      <w:r>
        <w:rPr>
          <w:spacing w:val="-6"/>
          <w:sz w:val="26"/>
        </w:rPr>
        <w:t xml:space="preserve"> </w:t>
      </w:r>
      <w:r>
        <w:rPr>
          <w:sz w:val="26"/>
        </w:rPr>
        <w:t>that:</w:t>
      </w:r>
    </w:p>
    <w:p w:rsidR="003B2FC0" w:rsidRDefault="003B2FC0">
      <w:pPr>
        <w:rPr>
          <w:sz w:val="28"/>
        </w:rPr>
      </w:pPr>
    </w:p>
    <w:p w:rsidR="003B2FC0" w:rsidRDefault="003B2FC0">
      <w:pPr>
        <w:rPr>
          <w:sz w:val="28"/>
        </w:rPr>
      </w:pPr>
    </w:p>
    <w:p w:rsidR="003B2FC0" w:rsidRDefault="003B2FC0">
      <w:pPr>
        <w:spacing w:before="11"/>
        <w:rPr>
          <w:sz w:val="30"/>
        </w:rPr>
      </w:pPr>
    </w:p>
    <w:p w:rsidR="003B2FC0" w:rsidRDefault="00052A49">
      <w:pPr>
        <w:pStyle w:val="ListParagraph"/>
        <w:numPr>
          <w:ilvl w:val="0"/>
          <w:numId w:val="14"/>
        </w:numPr>
        <w:tabs>
          <w:tab w:val="left" w:pos="761"/>
        </w:tabs>
        <w:spacing w:line="480" w:lineRule="auto"/>
        <w:ind w:right="438"/>
        <w:jc w:val="both"/>
        <w:rPr>
          <w:sz w:val="26"/>
        </w:rPr>
      </w:pPr>
      <w:r>
        <w:rPr>
          <w:sz w:val="26"/>
        </w:rPr>
        <w:t>The devotees of Lord Ayyappa do not satisfy the judicially</w:t>
      </w:r>
      <w:r>
        <w:rPr>
          <w:spacing w:val="48"/>
          <w:sz w:val="26"/>
        </w:rPr>
        <w:t xml:space="preserve"> </w:t>
      </w:r>
      <w:r>
        <w:rPr>
          <w:sz w:val="26"/>
        </w:rPr>
        <w:t>enunciated requirements to constitute a religious denomination under Article 26 of the Constitution;</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14"/>
        </w:numPr>
        <w:tabs>
          <w:tab w:val="left" w:pos="761"/>
        </w:tabs>
        <w:spacing w:before="91" w:line="480" w:lineRule="auto"/>
        <w:ind w:right="438"/>
        <w:jc w:val="both"/>
        <w:rPr>
          <w:sz w:val="26"/>
        </w:rPr>
      </w:pPr>
      <w:r>
        <w:rPr>
          <w:sz w:val="26"/>
        </w:rPr>
        <w:t>A claim for the exclusion of women from religious worship, even if it be foun</w:t>
      </w:r>
      <w:r>
        <w:rPr>
          <w:sz w:val="26"/>
        </w:rPr>
        <w:t>ded</w:t>
      </w:r>
      <w:r>
        <w:rPr>
          <w:spacing w:val="-10"/>
          <w:sz w:val="26"/>
        </w:rPr>
        <w:t xml:space="preserve"> </w:t>
      </w:r>
      <w:r>
        <w:rPr>
          <w:sz w:val="26"/>
        </w:rPr>
        <w:t>in</w:t>
      </w:r>
      <w:r>
        <w:rPr>
          <w:spacing w:val="-9"/>
          <w:sz w:val="26"/>
        </w:rPr>
        <w:t xml:space="preserve"> </w:t>
      </w:r>
      <w:r>
        <w:rPr>
          <w:sz w:val="26"/>
        </w:rPr>
        <w:t>religious</w:t>
      </w:r>
      <w:r>
        <w:rPr>
          <w:spacing w:val="-9"/>
          <w:sz w:val="26"/>
        </w:rPr>
        <w:t xml:space="preserve"> </w:t>
      </w:r>
      <w:r>
        <w:rPr>
          <w:sz w:val="26"/>
        </w:rPr>
        <w:t>text,</w:t>
      </w:r>
      <w:r>
        <w:rPr>
          <w:spacing w:val="-9"/>
          <w:sz w:val="26"/>
        </w:rPr>
        <w:t xml:space="preserve"> </w:t>
      </w:r>
      <w:r>
        <w:rPr>
          <w:sz w:val="26"/>
        </w:rPr>
        <w:t>is</w:t>
      </w:r>
      <w:r>
        <w:rPr>
          <w:spacing w:val="-10"/>
          <w:sz w:val="26"/>
        </w:rPr>
        <w:t xml:space="preserve"> </w:t>
      </w:r>
      <w:r>
        <w:rPr>
          <w:sz w:val="26"/>
        </w:rPr>
        <w:t>subordinate</w:t>
      </w:r>
      <w:r>
        <w:rPr>
          <w:spacing w:val="-9"/>
          <w:sz w:val="26"/>
        </w:rPr>
        <w:t xml:space="preserve"> </w:t>
      </w:r>
      <w:r>
        <w:rPr>
          <w:sz w:val="26"/>
        </w:rPr>
        <w:t>to</w:t>
      </w:r>
      <w:r>
        <w:rPr>
          <w:spacing w:val="-7"/>
          <w:sz w:val="26"/>
        </w:rPr>
        <w:t xml:space="preserve"> </w:t>
      </w:r>
      <w:r>
        <w:rPr>
          <w:sz w:val="26"/>
        </w:rPr>
        <w:t>the</w:t>
      </w:r>
      <w:r>
        <w:rPr>
          <w:spacing w:val="-9"/>
          <w:sz w:val="26"/>
        </w:rPr>
        <w:t xml:space="preserve"> </w:t>
      </w:r>
      <w:r>
        <w:rPr>
          <w:sz w:val="26"/>
        </w:rPr>
        <w:t>constitutional</w:t>
      </w:r>
      <w:r>
        <w:rPr>
          <w:spacing w:val="-8"/>
          <w:sz w:val="26"/>
        </w:rPr>
        <w:t xml:space="preserve"> </w:t>
      </w:r>
      <w:r>
        <w:rPr>
          <w:sz w:val="26"/>
        </w:rPr>
        <w:t>values</w:t>
      </w:r>
      <w:r>
        <w:rPr>
          <w:spacing w:val="-9"/>
          <w:sz w:val="26"/>
        </w:rPr>
        <w:t xml:space="preserve"> </w:t>
      </w:r>
      <w:r>
        <w:rPr>
          <w:sz w:val="26"/>
        </w:rPr>
        <w:t>of</w:t>
      </w:r>
      <w:r>
        <w:rPr>
          <w:spacing w:val="-9"/>
          <w:sz w:val="26"/>
        </w:rPr>
        <w:t xml:space="preserve"> </w:t>
      </w:r>
      <w:r>
        <w:rPr>
          <w:sz w:val="26"/>
        </w:rPr>
        <w:t>liberty, dignity and equality. Exclusionary practices are contrary to constitutional morality;</w:t>
      </w:r>
    </w:p>
    <w:p w:rsidR="003B2FC0" w:rsidRDefault="003B2FC0">
      <w:pPr>
        <w:rPr>
          <w:sz w:val="28"/>
        </w:rPr>
      </w:pPr>
    </w:p>
    <w:p w:rsidR="003B2FC0" w:rsidRDefault="003B2FC0">
      <w:pPr>
        <w:spacing w:before="1"/>
        <w:rPr>
          <w:sz w:val="24"/>
        </w:rPr>
      </w:pPr>
    </w:p>
    <w:p w:rsidR="003B2FC0" w:rsidRDefault="00052A49">
      <w:pPr>
        <w:pStyle w:val="ListParagraph"/>
        <w:numPr>
          <w:ilvl w:val="0"/>
          <w:numId w:val="14"/>
        </w:numPr>
        <w:tabs>
          <w:tab w:val="left" w:pos="761"/>
        </w:tabs>
        <w:spacing w:line="480" w:lineRule="auto"/>
        <w:ind w:right="437"/>
        <w:jc w:val="both"/>
        <w:rPr>
          <w:sz w:val="26"/>
        </w:rPr>
      </w:pPr>
      <w:r>
        <w:rPr>
          <w:sz w:val="26"/>
        </w:rPr>
        <w:t>In</w:t>
      </w:r>
      <w:r>
        <w:rPr>
          <w:spacing w:val="-15"/>
          <w:sz w:val="26"/>
        </w:rPr>
        <w:t xml:space="preserve"> </w:t>
      </w:r>
      <w:r>
        <w:rPr>
          <w:sz w:val="26"/>
        </w:rPr>
        <w:t>any</w:t>
      </w:r>
      <w:r>
        <w:rPr>
          <w:spacing w:val="-14"/>
          <w:sz w:val="26"/>
        </w:rPr>
        <w:t xml:space="preserve"> </w:t>
      </w:r>
      <w:r>
        <w:rPr>
          <w:sz w:val="26"/>
        </w:rPr>
        <w:t>event,</w:t>
      </w:r>
      <w:r>
        <w:rPr>
          <w:spacing w:val="-14"/>
          <w:sz w:val="26"/>
        </w:rPr>
        <w:t xml:space="preserve"> </w:t>
      </w:r>
      <w:r>
        <w:rPr>
          <w:sz w:val="26"/>
        </w:rPr>
        <w:t>the</w:t>
      </w:r>
      <w:r>
        <w:rPr>
          <w:spacing w:val="-12"/>
          <w:sz w:val="26"/>
        </w:rPr>
        <w:t xml:space="preserve"> </w:t>
      </w:r>
      <w:r>
        <w:rPr>
          <w:sz w:val="26"/>
        </w:rPr>
        <w:t>practice</w:t>
      </w:r>
      <w:r>
        <w:rPr>
          <w:spacing w:val="-14"/>
          <w:sz w:val="26"/>
        </w:rPr>
        <w:t xml:space="preserve"> </w:t>
      </w:r>
      <w:r>
        <w:rPr>
          <w:sz w:val="26"/>
        </w:rPr>
        <w:t>of</w:t>
      </w:r>
      <w:r>
        <w:rPr>
          <w:spacing w:val="-13"/>
          <w:sz w:val="26"/>
        </w:rPr>
        <w:t xml:space="preserve"> </w:t>
      </w:r>
      <w:r>
        <w:rPr>
          <w:sz w:val="26"/>
        </w:rPr>
        <w:t>excluding</w:t>
      </w:r>
      <w:r>
        <w:rPr>
          <w:spacing w:val="-12"/>
          <w:sz w:val="26"/>
        </w:rPr>
        <w:t xml:space="preserve"> </w:t>
      </w:r>
      <w:r>
        <w:rPr>
          <w:sz w:val="26"/>
        </w:rPr>
        <w:t>women</w:t>
      </w:r>
      <w:r>
        <w:rPr>
          <w:spacing w:val="-14"/>
          <w:sz w:val="26"/>
        </w:rPr>
        <w:t xml:space="preserve"> </w:t>
      </w:r>
      <w:r>
        <w:rPr>
          <w:sz w:val="26"/>
        </w:rPr>
        <w:t>from</w:t>
      </w:r>
      <w:r>
        <w:rPr>
          <w:spacing w:val="-12"/>
          <w:sz w:val="26"/>
        </w:rPr>
        <w:t xml:space="preserve"> </w:t>
      </w:r>
      <w:r>
        <w:rPr>
          <w:sz w:val="26"/>
        </w:rPr>
        <w:t>the</w:t>
      </w:r>
      <w:r>
        <w:rPr>
          <w:spacing w:val="-12"/>
          <w:sz w:val="26"/>
        </w:rPr>
        <w:t xml:space="preserve"> </w:t>
      </w:r>
      <w:r>
        <w:rPr>
          <w:sz w:val="26"/>
        </w:rPr>
        <w:t>temple</w:t>
      </w:r>
      <w:r>
        <w:rPr>
          <w:spacing w:val="-14"/>
          <w:sz w:val="26"/>
        </w:rPr>
        <w:t xml:space="preserve"> </w:t>
      </w:r>
      <w:r>
        <w:rPr>
          <w:sz w:val="26"/>
        </w:rPr>
        <w:t>at</w:t>
      </w:r>
      <w:r>
        <w:rPr>
          <w:spacing w:val="-13"/>
          <w:sz w:val="26"/>
        </w:rPr>
        <w:t xml:space="preserve"> </w:t>
      </w:r>
      <w:r>
        <w:rPr>
          <w:sz w:val="26"/>
        </w:rPr>
        <w:t>Sabarimala is not an essential religious practice. The Court must decline to grant constitutional legitimacy to practices which derogate from the dignity of women and to their entitlement to an equal</w:t>
      </w:r>
      <w:r>
        <w:rPr>
          <w:spacing w:val="-5"/>
          <w:sz w:val="26"/>
        </w:rPr>
        <w:t xml:space="preserve"> </w:t>
      </w:r>
      <w:r>
        <w:rPr>
          <w:sz w:val="26"/>
        </w:rPr>
        <w:t>citizenship;</w:t>
      </w:r>
    </w:p>
    <w:p w:rsidR="003B2FC0" w:rsidRDefault="003B2FC0">
      <w:pPr>
        <w:rPr>
          <w:sz w:val="28"/>
        </w:rPr>
      </w:pPr>
    </w:p>
    <w:p w:rsidR="003B2FC0" w:rsidRDefault="003B2FC0">
      <w:pPr>
        <w:spacing w:before="10"/>
        <w:rPr>
          <w:sz w:val="23"/>
        </w:rPr>
      </w:pPr>
    </w:p>
    <w:p w:rsidR="003B2FC0" w:rsidRDefault="00052A49">
      <w:pPr>
        <w:pStyle w:val="ListParagraph"/>
        <w:numPr>
          <w:ilvl w:val="0"/>
          <w:numId w:val="14"/>
        </w:numPr>
        <w:tabs>
          <w:tab w:val="left" w:pos="761"/>
        </w:tabs>
        <w:spacing w:line="480" w:lineRule="auto"/>
        <w:ind w:right="440"/>
        <w:jc w:val="both"/>
        <w:rPr>
          <w:sz w:val="26"/>
        </w:rPr>
      </w:pPr>
      <w:r>
        <w:rPr>
          <w:sz w:val="26"/>
        </w:rPr>
        <w:t>The social exclusion of women, based on menstrual status, is a form of untouchability which is an anathema to constitutional values. Notions of “purity and pollution”, which stigmatize individuals, have no place in a constitutional order;</w:t>
      </w:r>
    </w:p>
    <w:p w:rsidR="003B2FC0" w:rsidRDefault="003B2FC0">
      <w:pPr>
        <w:rPr>
          <w:sz w:val="28"/>
        </w:rPr>
      </w:pPr>
    </w:p>
    <w:p w:rsidR="003B2FC0" w:rsidRDefault="003B2FC0">
      <w:pPr>
        <w:spacing w:before="1"/>
        <w:rPr>
          <w:sz w:val="28"/>
        </w:rPr>
      </w:pPr>
    </w:p>
    <w:p w:rsidR="003B2FC0" w:rsidRDefault="00052A49">
      <w:pPr>
        <w:pStyle w:val="ListParagraph"/>
        <w:numPr>
          <w:ilvl w:val="0"/>
          <w:numId w:val="14"/>
        </w:numPr>
        <w:tabs>
          <w:tab w:val="left" w:pos="761"/>
        </w:tabs>
        <w:spacing w:line="480" w:lineRule="auto"/>
        <w:ind w:right="439"/>
        <w:jc w:val="both"/>
        <w:rPr>
          <w:sz w:val="26"/>
        </w:rPr>
      </w:pPr>
      <w:r>
        <w:rPr>
          <w:sz w:val="26"/>
        </w:rPr>
        <w:t>The notificatio</w:t>
      </w:r>
      <w:r>
        <w:rPr>
          <w:sz w:val="26"/>
        </w:rPr>
        <w:t xml:space="preserve">ns dated 21 October 1955 and 27 November 1956 issued by the Devaswom Board, prohibiting the entry of women between the ages of ten and fifty, are </w:t>
      </w:r>
      <w:r>
        <w:rPr>
          <w:i/>
          <w:sz w:val="26"/>
        </w:rPr>
        <w:t xml:space="preserve">ultra vires </w:t>
      </w:r>
      <w:r>
        <w:rPr>
          <w:sz w:val="26"/>
        </w:rPr>
        <w:t>Section 3 of the Kerala Hindu Places of Public Worship (Authorisation of Entry) Act 1965 and are e</w:t>
      </w:r>
      <w:r>
        <w:rPr>
          <w:sz w:val="26"/>
        </w:rPr>
        <w:t>ven otherwise unconstitutional;</w:t>
      </w:r>
      <w:r>
        <w:rPr>
          <w:spacing w:val="-1"/>
          <w:sz w:val="26"/>
        </w:rPr>
        <w:t xml:space="preserve"> </w:t>
      </w:r>
      <w:r>
        <w:rPr>
          <w:sz w:val="26"/>
        </w:rPr>
        <w:t>and</w:t>
      </w:r>
    </w:p>
    <w:p w:rsidR="003B2FC0" w:rsidRDefault="003B2FC0">
      <w:pPr>
        <w:spacing w:line="480" w:lineRule="auto"/>
        <w:jc w:val="both"/>
        <w:rPr>
          <w:sz w:val="26"/>
        </w:rPr>
        <w:sectPr w:rsidR="003B2FC0">
          <w:pgSz w:w="11910" w:h="16840"/>
          <w:pgMar w:top="1080" w:right="980" w:bottom="1200" w:left="1040" w:header="708" w:footer="1000" w:gutter="0"/>
          <w:cols w:space="720"/>
        </w:sectPr>
      </w:pPr>
    </w:p>
    <w:p w:rsidR="003B2FC0" w:rsidRDefault="003B2FC0">
      <w:pPr>
        <w:spacing w:before="10"/>
        <w:rPr>
          <w:sz w:val="21"/>
        </w:rPr>
      </w:pPr>
    </w:p>
    <w:p w:rsidR="003B2FC0" w:rsidRDefault="00052A49">
      <w:pPr>
        <w:pStyle w:val="ListParagraph"/>
        <w:numPr>
          <w:ilvl w:val="0"/>
          <w:numId w:val="14"/>
        </w:numPr>
        <w:tabs>
          <w:tab w:val="left" w:pos="761"/>
        </w:tabs>
        <w:spacing w:before="91" w:line="480" w:lineRule="auto"/>
        <w:ind w:right="107"/>
        <w:jc w:val="both"/>
        <w:rPr>
          <w:sz w:val="26"/>
        </w:rPr>
      </w:pPr>
      <w:r>
        <w:rPr>
          <w:sz w:val="26"/>
        </w:rPr>
        <w:t>Hindu</w:t>
      </w:r>
      <w:r>
        <w:rPr>
          <w:spacing w:val="-10"/>
          <w:sz w:val="26"/>
        </w:rPr>
        <w:t xml:space="preserve"> </w:t>
      </w:r>
      <w:r>
        <w:rPr>
          <w:sz w:val="26"/>
        </w:rPr>
        <w:t>women</w:t>
      </w:r>
      <w:r>
        <w:rPr>
          <w:spacing w:val="-11"/>
          <w:sz w:val="26"/>
        </w:rPr>
        <w:t xml:space="preserve"> </w:t>
      </w:r>
      <w:r>
        <w:rPr>
          <w:sz w:val="26"/>
        </w:rPr>
        <w:t>constitute</w:t>
      </w:r>
      <w:r>
        <w:rPr>
          <w:spacing w:val="-11"/>
          <w:sz w:val="26"/>
        </w:rPr>
        <w:t xml:space="preserve"> </w:t>
      </w:r>
      <w:r>
        <w:rPr>
          <w:sz w:val="26"/>
        </w:rPr>
        <w:t>a</w:t>
      </w:r>
      <w:r>
        <w:rPr>
          <w:spacing w:val="-10"/>
          <w:sz w:val="26"/>
        </w:rPr>
        <w:t xml:space="preserve"> </w:t>
      </w:r>
      <w:r>
        <w:rPr>
          <w:sz w:val="26"/>
        </w:rPr>
        <w:t>‘section</w:t>
      </w:r>
      <w:r>
        <w:rPr>
          <w:spacing w:val="-9"/>
          <w:sz w:val="26"/>
        </w:rPr>
        <w:t xml:space="preserve"> </w:t>
      </w:r>
      <w:r>
        <w:rPr>
          <w:sz w:val="26"/>
        </w:rPr>
        <w:t>or</w:t>
      </w:r>
      <w:r>
        <w:rPr>
          <w:spacing w:val="-11"/>
          <w:sz w:val="26"/>
        </w:rPr>
        <w:t xml:space="preserve"> </w:t>
      </w:r>
      <w:r>
        <w:rPr>
          <w:sz w:val="26"/>
        </w:rPr>
        <w:t>class’</w:t>
      </w:r>
      <w:r>
        <w:rPr>
          <w:spacing w:val="-11"/>
          <w:sz w:val="26"/>
        </w:rPr>
        <w:t xml:space="preserve"> </w:t>
      </w:r>
      <w:r>
        <w:rPr>
          <w:sz w:val="26"/>
        </w:rPr>
        <w:t>of</w:t>
      </w:r>
      <w:r>
        <w:rPr>
          <w:spacing w:val="-10"/>
          <w:sz w:val="26"/>
        </w:rPr>
        <w:t xml:space="preserve"> </w:t>
      </w:r>
      <w:r>
        <w:rPr>
          <w:sz w:val="26"/>
        </w:rPr>
        <w:t>Hindus</w:t>
      </w:r>
      <w:r>
        <w:rPr>
          <w:spacing w:val="-11"/>
          <w:sz w:val="26"/>
        </w:rPr>
        <w:t xml:space="preserve"> </w:t>
      </w:r>
      <w:r>
        <w:rPr>
          <w:sz w:val="26"/>
        </w:rPr>
        <w:t>under</w:t>
      </w:r>
      <w:r>
        <w:rPr>
          <w:spacing w:val="-9"/>
          <w:sz w:val="26"/>
        </w:rPr>
        <w:t xml:space="preserve"> </w:t>
      </w:r>
      <w:r>
        <w:rPr>
          <w:sz w:val="26"/>
        </w:rPr>
        <w:t>clauses</w:t>
      </w:r>
      <w:r>
        <w:rPr>
          <w:spacing w:val="-9"/>
          <w:sz w:val="26"/>
        </w:rPr>
        <w:t xml:space="preserve"> </w:t>
      </w:r>
      <w:r>
        <w:rPr>
          <w:sz w:val="26"/>
        </w:rPr>
        <w:t>(b)</w:t>
      </w:r>
      <w:r>
        <w:rPr>
          <w:spacing w:val="-10"/>
          <w:sz w:val="26"/>
        </w:rPr>
        <w:t xml:space="preserve"> </w:t>
      </w:r>
      <w:r>
        <w:rPr>
          <w:sz w:val="26"/>
        </w:rPr>
        <w:t>and</w:t>
      </w:r>
      <w:r>
        <w:rPr>
          <w:spacing w:val="-9"/>
          <w:sz w:val="26"/>
        </w:rPr>
        <w:t xml:space="preserve"> </w:t>
      </w:r>
      <w:r>
        <w:rPr>
          <w:sz w:val="26"/>
        </w:rPr>
        <w:t>(c) of Section 2 of the 1965 Act. Rule 3(b) of the 1965 Rules enforces a custom contrary to Section 3 of the 1965 Act. This d</w:t>
      </w:r>
      <w:r>
        <w:rPr>
          <w:sz w:val="26"/>
        </w:rPr>
        <w:t xml:space="preserve">irectly offends the right of temple entry established by Section 3. Rule 3(b) is </w:t>
      </w:r>
      <w:r>
        <w:rPr>
          <w:i/>
          <w:sz w:val="26"/>
        </w:rPr>
        <w:t xml:space="preserve">ultra vires </w:t>
      </w:r>
      <w:r>
        <w:rPr>
          <w:sz w:val="26"/>
        </w:rPr>
        <w:t>the 1965</w:t>
      </w:r>
      <w:r>
        <w:rPr>
          <w:spacing w:val="-7"/>
          <w:sz w:val="26"/>
        </w:rPr>
        <w:t xml:space="preserve"> </w:t>
      </w:r>
      <w:r>
        <w:rPr>
          <w:sz w:val="26"/>
        </w:rPr>
        <w:t>Act.</w:t>
      </w:r>
    </w:p>
    <w:p w:rsidR="003B2FC0" w:rsidRDefault="003B2FC0">
      <w:pPr>
        <w:rPr>
          <w:sz w:val="28"/>
        </w:rPr>
      </w:pPr>
    </w:p>
    <w:p w:rsidR="003B2FC0" w:rsidRDefault="003B2FC0">
      <w:pPr>
        <w:spacing w:before="1"/>
        <w:rPr>
          <w:sz w:val="34"/>
        </w:rPr>
      </w:pPr>
    </w:p>
    <w:p w:rsidR="003B2FC0" w:rsidRDefault="00052A49">
      <w:pPr>
        <w:ind w:left="482"/>
        <w:rPr>
          <w:b/>
          <w:sz w:val="28"/>
        </w:rPr>
      </w:pPr>
      <w:r>
        <w:rPr>
          <w:b/>
          <w:color w:val="212121"/>
          <w:sz w:val="28"/>
        </w:rPr>
        <w:t>Acknowledgment</w:t>
      </w:r>
    </w:p>
    <w:p w:rsidR="003B2FC0" w:rsidRDefault="003B2FC0">
      <w:pPr>
        <w:rPr>
          <w:b/>
          <w:sz w:val="30"/>
        </w:rPr>
      </w:pPr>
    </w:p>
    <w:p w:rsidR="003B2FC0" w:rsidRDefault="003B2FC0">
      <w:pPr>
        <w:spacing w:before="10"/>
        <w:rPr>
          <w:b/>
          <w:sz w:val="27"/>
        </w:rPr>
      </w:pPr>
    </w:p>
    <w:p w:rsidR="003B2FC0" w:rsidRDefault="00052A49">
      <w:pPr>
        <w:spacing w:line="480" w:lineRule="auto"/>
        <w:ind w:left="400" w:right="433"/>
        <w:jc w:val="both"/>
        <w:rPr>
          <w:sz w:val="27"/>
        </w:rPr>
      </w:pPr>
      <w:r>
        <w:rPr>
          <w:color w:val="212121"/>
          <w:sz w:val="27"/>
        </w:rPr>
        <w:t>Before concluding, I acknowledge the efforts of the counsel for the parties who appeared in this case – Ms Indira Jaising, Dr. Abhishek Manu Singhvi, Mr K Parasaran, Mr Jaideep Gupta, Mr V Giri, Mr P V Surendranath, and</w:t>
      </w:r>
      <w:r>
        <w:rPr>
          <w:color w:val="212121"/>
          <w:spacing w:val="-48"/>
          <w:sz w:val="27"/>
        </w:rPr>
        <w:t xml:space="preserve"> </w:t>
      </w:r>
      <w:r>
        <w:rPr>
          <w:color w:val="212121"/>
          <w:sz w:val="27"/>
        </w:rPr>
        <w:t xml:space="preserve">Mr K Radhakrishnan, Senior Counsel; </w:t>
      </w:r>
      <w:r>
        <w:rPr>
          <w:color w:val="212121"/>
          <w:sz w:val="27"/>
        </w:rPr>
        <w:t xml:space="preserve">and Mr Ravi Prakash Gupta, Mr J Sai Deepak, Mr V K Biju, and Mr Gopal Sankaranarayanan, learned Counsel. I acknowledge the dispassionate assistance rendered by Mr Raju Ramachandran and Mr K Ramamoorthy, Senior  Counsel who  appeared as </w:t>
      </w:r>
      <w:r>
        <w:rPr>
          <w:i/>
          <w:color w:val="212121"/>
          <w:sz w:val="27"/>
        </w:rPr>
        <w:t xml:space="preserve">Amicus Curiae. </w:t>
      </w:r>
      <w:r>
        <w:rPr>
          <w:color w:val="212121"/>
          <w:sz w:val="27"/>
        </w:rPr>
        <w:t>Their</w:t>
      </w:r>
      <w:r>
        <w:rPr>
          <w:color w:val="212121"/>
          <w:sz w:val="27"/>
        </w:rPr>
        <w:t xml:space="preserve"> knowledge and erudition have enriched my own learning.</w:t>
      </w:r>
    </w:p>
    <w:p w:rsidR="003B2FC0" w:rsidRDefault="003B2FC0">
      <w:pPr>
        <w:rPr>
          <w:sz w:val="30"/>
        </w:rPr>
      </w:pPr>
    </w:p>
    <w:p w:rsidR="003B2FC0" w:rsidRDefault="003B2FC0">
      <w:pPr>
        <w:rPr>
          <w:sz w:val="30"/>
        </w:rPr>
      </w:pPr>
    </w:p>
    <w:p w:rsidR="003B2FC0" w:rsidRDefault="003B2FC0">
      <w:pPr>
        <w:rPr>
          <w:sz w:val="30"/>
        </w:rPr>
      </w:pPr>
    </w:p>
    <w:p w:rsidR="003B2FC0" w:rsidRDefault="003B2FC0">
      <w:pPr>
        <w:rPr>
          <w:sz w:val="30"/>
        </w:rPr>
      </w:pPr>
    </w:p>
    <w:p w:rsidR="003B2FC0" w:rsidRDefault="003B2FC0">
      <w:pPr>
        <w:rPr>
          <w:sz w:val="30"/>
        </w:rPr>
      </w:pPr>
    </w:p>
    <w:p w:rsidR="003B2FC0" w:rsidRDefault="00052A49">
      <w:pPr>
        <w:spacing w:before="227"/>
        <w:ind w:left="4983" w:right="63"/>
        <w:jc w:val="center"/>
        <w:rPr>
          <w:b/>
        </w:rPr>
      </w:pPr>
      <w:r>
        <w:rPr>
          <w:b/>
        </w:rPr>
        <w:t>…………….…….….............................................J</w:t>
      </w:r>
    </w:p>
    <w:p w:rsidR="003B2FC0" w:rsidRDefault="00052A49">
      <w:pPr>
        <w:pStyle w:val="Heading1"/>
        <w:spacing w:before="3"/>
        <w:ind w:left="4999" w:right="199"/>
        <w:jc w:val="center"/>
      </w:pPr>
      <w:r>
        <w:t>[Dr Dhananjaya Y Chandrachud]</w:t>
      </w:r>
    </w:p>
    <w:p w:rsidR="003B2FC0" w:rsidRDefault="003B2FC0">
      <w:pPr>
        <w:rPr>
          <w:b/>
          <w:sz w:val="30"/>
        </w:rPr>
      </w:pPr>
    </w:p>
    <w:p w:rsidR="003B2FC0" w:rsidRDefault="003B2FC0">
      <w:pPr>
        <w:spacing w:before="2"/>
        <w:rPr>
          <w:b/>
          <w:sz w:val="29"/>
        </w:rPr>
      </w:pPr>
    </w:p>
    <w:p w:rsidR="003B2FC0" w:rsidRDefault="00052A49">
      <w:pPr>
        <w:spacing w:before="1"/>
        <w:ind w:left="400" w:right="6777"/>
        <w:rPr>
          <w:b/>
          <w:sz w:val="28"/>
        </w:rPr>
      </w:pPr>
      <w:r>
        <w:rPr>
          <w:b/>
          <w:sz w:val="28"/>
        </w:rPr>
        <w:t>New Delhi; September 28, 2018.</w:t>
      </w:r>
    </w:p>
    <w:p w:rsidR="003B2FC0" w:rsidRDefault="003B2FC0">
      <w:pPr>
        <w:rPr>
          <w:sz w:val="28"/>
        </w:rPr>
        <w:sectPr w:rsidR="003B2FC0">
          <w:pgSz w:w="11910" w:h="16840"/>
          <w:pgMar w:top="1080" w:right="980" w:bottom="1200" w:left="1040" w:header="708" w:footer="1000" w:gutter="0"/>
          <w:cols w:space="720"/>
        </w:sectPr>
      </w:pPr>
    </w:p>
    <w:p w:rsidR="003B2FC0" w:rsidRDefault="00052A49">
      <w:pPr>
        <w:spacing w:before="81"/>
        <w:ind w:right="455"/>
        <w:jc w:val="right"/>
        <w:rPr>
          <w:rFonts w:ascii="Bookman Old Style"/>
          <w:b/>
          <w:sz w:val="24"/>
        </w:rPr>
      </w:pPr>
      <w:r>
        <w:rPr>
          <w:rFonts w:ascii="Bookman Old Style"/>
          <w:b/>
          <w:sz w:val="24"/>
        </w:rPr>
        <w:t>REPORTABLE</w:t>
      </w:r>
    </w:p>
    <w:p w:rsidR="003B2FC0" w:rsidRDefault="003B2FC0">
      <w:pPr>
        <w:pStyle w:val="BodyText"/>
        <w:rPr>
          <w:b/>
          <w:sz w:val="29"/>
        </w:rPr>
      </w:pPr>
    </w:p>
    <w:p w:rsidR="003B2FC0" w:rsidRDefault="00052A49">
      <w:pPr>
        <w:spacing w:before="100" w:line="376" w:lineRule="auto"/>
        <w:ind w:left="2618" w:right="2678"/>
        <w:jc w:val="center"/>
        <w:rPr>
          <w:rFonts w:ascii="Bookman Old Style"/>
          <w:b/>
          <w:sz w:val="24"/>
        </w:rPr>
      </w:pPr>
      <w:r>
        <w:rPr>
          <w:rFonts w:ascii="Bookman Old Style"/>
          <w:b/>
          <w:sz w:val="24"/>
          <w:u w:val="single"/>
        </w:rPr>
        <w:t>IN THE SUPREME COURT OF INDIA</w:t>
      </w:r>
      <w:r>
        <w:rPr>
          <w:rFonts w:ascii="Bookman Old Style"/>
          <w:b/>
          <w:sz w:val="24"/>
        </w:rPr>
        <w:t xml:space="preserve"> </w:t>
      </w:r>
      <w:r>
        <w:rPr>
          <w:rFonts w:ascii="Bookman Old Style"/>
          <w:b/>
          <w:sz w:val="24"/>
          <w:u w:val="single"/>
        </w:rPr>
        <w:t>CIVIL ORIGINAL JURISDICTION</w:t>
      </w:r>
    </w:p>
    <w:p w:rsidR="003B2FC0" w:rsidRDefault="00052A49">
      <w:pPr>
        <w:spacing w:before="1"/>
        <w:ind w:right="59"/>
        <w:jc w:val="center"/>
        <w:rPr>
          <w:rFonts w:ascii="Bookman Old Style"/>
          <w:b/>
          <w:sz w:val="24"/>
        </w:rPr>
      </w:pPr>
      <w:r>
        <w:rPr>
          <w:rFonts w:ascii="Bookman Old Style"/>
          <w:b/>
          <w:sz w:val="24"/>
          <w:u w:val="single"/>
        </w:rPr>
        <w:t>WRIT PETITION (CIVIL) NO. 373 OF 2006</w:t>
      </w:r>
    </w:p>
    <w:p w:rsidR="003B2FC0" w:rsidRDefault="003B2FC0">
      <w:pPr>
        <w:pStyle w:val="BodyText"/>
        <w:rPr>
          <w:b/>
          <w:sz w:val="20"/>
        </w:rPr>
      </w:pPr>
    </w:p>
    <w:p w:rsidR="003B2FC0" w:rsidRDefault="003B2FC0">
      <w:pPr>
        <w:pStyle w:val="BodyText"/>
        <w:spacing w:before="9"/>
        <w:rPr>
          <w:b/>
          <w:sz w:val="22"/>
        </w:rPr>
      </w:pPr>
    </w:p>
    <w:p w:rsidR="003B2FC0" w:rsidRDefault="00052A49">
      <w:pPr>
        <w:tabs>
          <w:tab w:val="left" w:pos="7479"/>
        </w:tabs>
        <w:spacing w:before="100"/>
        <w:ind w:right="115"/>
        <w:jc w:val="center"/>
        <w:rPr>
          <w:rFonts w:ascii="Bookman Old Style" w:hAnsi="Bookman Old Style"/>
          <w:sz w:val="24"/>
        </w:rPr>
      </w:pPr>
      <w:r>
        <w:rPr>
          <w:rFonts w:ascii="Bookman Old Style" w:hAnsi="Bookman Old Style"/>
          <w:sz w:val="24"/>
        </w:rPr>
        <w:t>Indian Young Lawyers Association</w:t>
      </w:r>
      <w:r>
        <w:rPr>
          <w:rFonts w:ascii="Bookman Old Style" w:hAnsi="Bookman Old Style"/>
          <w:spacing w:val="-17"/>
          <w:sz w:val="24"/>
        </w:rPr>
        <w:t xml:space="preserve"> </w:t>
      </w:r>
      <w:r>
        <w:rPr>
          <w:rFonts w:ascii="Bookman Old Style" w:hAnsi="Bookman Old Style"/>
          <w:sz w:val="24"/>
        </w:rPr>
        <w:t>&amp;</w:t>
      </w:r>
      <w:r>
        <w:rPr>
          <w:rFonts w:ascii="Bookman Old Style" w:hAnsi="Bookman Old Style"/>
          <w:spacing w:val="-3"/>
          <w:sz w:val="24"/>
        </w:rPr>
        <w:t xml:space="preserve"> </w:t>
      </w:r>
      <w:r>
        <w:rPr>
          <w:rFonts w:ascii="Bookman Old Style" w:hAnsi="Bookman Old Style"/>
          <w:sz w:val="24"/>
        </w:rPr>
        <w:t>Ors.</w:t>
      </w:r>
      <w:r>
        <w:rPr>
          <w:rFonts w:ascii="Bookman Old Style" w:hAnsi="Bookman Old Style"/>
          <w:sz w:val="24"/>
        </w:rPr>
        <w:tab/>
        <w:t>…Petitioners</w:t>
      </w:r>
    </w:p>
    <w:p w:rsidR="003B2FC0" w:rsidRDefault="003B2FC0">
      <w:pPr>
        <w:pStyle w:val="BodyText"/>
        <w:spacing w:before="6"/>
        <w:rPr>
          <w:sz w:val="37"/>
        </w:rPr>
      </w:pPr>
    </w:p>
    <w:p w:rsidR="003B2FC0" w:rsidRDefault="00052A49">
      <w:pPr>
        <w:ind w:left="2246" w:right="2304"/>
        <w:jc w:val="center"/>
        <w:rPr>
          <w:rFonts w:ascii="Bookman Old Style"/>
          <w:sz w:val="24"/>
        </w:rPr>
      </w:pPr>
      <w:r>
        <w:rPr>
          <w:rFonts w:ascii="Bookman Old Style"/>
          <w:sz w:val="24"/>
        </w:rPr>
        <w:t>Versus</w:t>
      </w:r>
    </w:p>
    <w:p w:rsidR="003B2FC0" w:rsidRDefault="003B2FC0">
      <w:pPr>
        <w:pStyle w:val="BodyText"/>
        <w:spacing w:before="7"/>
        <w:rPr>
          <w:sz w:val="37"/>
        </w:rPr>
      </w:pPr>
    </w:p>
    <w:p w:rsidR="003B2FC0" w:rsidRDefault="00052A49">
      <w:pPr>
        <w:tabs>
          <w:tab w:val="left" w:pos="7268"/>
        </w:tabs>
        <w:ind w:right="63"/>
        <w:jc w:val="center"/>
        <w:rPr>
          <w:rFonts w:ascii="Bookman Old Style" w:hAnsi="Bookman Old Style"/>
          <w:sz w:val="24"/>
        </w:rPr>
      </w:pPr>
      <w:r>
        <w:rPr>
          <w:rFonts w:ascii="Bookman Old Style" w:hAnsi="Bookman Old Style"/>
          <w:sz w:val="24"/>
        </w:rPr>
        <w:t>State of Kerala</w:t>
      </w:r>
      <w:r>
        <w:rPr>
          <w:rFonts w:ascii="Bookman Old Style" w:hAnsi="Bookman Old Style"/>
          <w:spacing w:val="-8"/>
          <w:sz w:val="24"/>
        </w:rPr>
        <w:t xml:space="preserve"> </w:t>
      </w:r>
      <w:r>
        <w:rPr>
          <w:rFonts w:ascii="Bookman Old Style" w:hAnsi="Bookman Old Style"/>
          <w:sz w:val="24"/>
        </w:rPr>
        <w:t>&amp;</w:t>
      </w:r>
      <w:r>
        <w:rPr>
          <w:rFonts w:ascii="Bookman Old Style" w:hAnsi="Bookman Old Style"/>
          <w:spacing w:val="-1"/>
          <w:sz w:val="24"/>
        </w:rPr>
        <w:t xml:space="preserve"> </w:t>
      </w:r>
      <w:r>
        <w:rPr>
          <w:rFonts w:ascii="Bookman Old Style" w:hAnsi="Bookman Old Style"/>
          <w:sz w:val="24"/>
        </w:rPr>
        <w:t>Ors.</w:t>
      </w:r>
      <w:r>
        <w:rPr>
          <w:rFonts w:ascii="Bookman Old Style" w:hAnsi="Bookman Old Style"/>
          <w:sz w:val="24"/>
        </w:rPr>
        <w:tab/>
        <w:t>…Respondents</w:t>
      </w:r>
    </w:p>
    <w:p w:rsidR="003B2FC0" w:rsidRDefault="003B2FC0">
      <w:pPr>
        <w:pStyle w:val="BodyText"/>
      </w:pPr>
    </w:p>
    <w:p w:rsidR="003B2FC0" w:rsidRDefault="003B2FC0">
      <w:pPr>
        <w:pStyle w:val="BodyText"/>
      </w:pPr>
    </w:p>
    <w:p w:rsidR="003B2FC0" w:rsidRDefault="003B2FC0">
      <w:pPr>
        <w:pStyle w:val="BodyText"/>
      </w:pPr>
    </w:p>
    <w:p w:rsidR="003B2FC0" w:rsidRDefault="00052A49">
      <w:pPr>
        <w:spacing w:before="180"/>
        <w:ind w:left="2244" w:right="2304"/>
        <w:jc w:val="center"/>
        <w:rPr>
          <w:rFonts w:ascii="Bookman Old Style"/>
          <w:b/>
          <w:sz w:val="24"/>
        </w:rPr>
      </w:pPr>
      <w:r>
        <w:rPr>
          <w:rFonts w:ascii="Bookman Old Style"/>
          <w:b/>
          <w:sz w:val="24"/>
          <w:u w:val="single"/>
        </w:rPr>
        <w:t>J U D G M E N T</w:t>
      </w:r>
    </w:p>
    <w:p w:rsidR="003B2FC0" w:rsidRDefault="003B2FC0">
      <w:pPr>
        <w:pStyle w:val="BodyText"/>
        <w:spacing w:before="2"/>
        <w:rPr>
          <w:b/>
          <w:sz w:val="29"/>
        </w:rPr>
      </w:pPr>
    </w:p>
    <w:p w:rsidR="003B2FC0" w:rsidRDefault="00052A49">
      <w:pPr>
        <w:spacing w:before="100"/>
        <w:ind w:left="400"/>
        <w:rPr>
          <w:rFonts w:ascii="Bookman Old Style"/>
          <w:b/>
          <w:sz w:val="24"/>
        </w:rPr>
      </w:pPr>
      <w:r>
        <w:rPr>
          <w:rFonts w:ascii="Bookman Old Style"/>
          <w:b/>
          <w:sz w:val="24"/>
          <w:u w:val="single"/>
        </w:rPr>
        <w:t>INDU MALHOTRA, J.</w:t>
      </w:r>
    </w:p>
    <w:p w:rsidR="003B2FC0" w:rsidRDefault="003B2FC0">
      <w:pPr>
        <w:pStyle w:val="BodyText"/>
        <w:spacing w:before="3"/>
        <w:rPr>
          <w:b/>
          <w:sz w:val="29"/>
        </w:rPr>
      </w:pPr>
    </w:p>
    <w:p w:rsidR="003B2FC0" w:rsidRDefault="00052A49">
      <w:pPr>
        <w:pStyle w:val="ListParagraph"/>
        <w:numPr>
          <w:ilvl w:val="0"/>
          <w:numId w:val="13"/>
        </w:numPr>
        <w:tabs>
          <w:tab w:val="left" w:pos="543"/>
        </w:tabs>
        <w:spacing w:before="100" w:line="480" w:lineRule="auto"/>
        <w:ind w:right="455"/>
        <w:jc w:val="both"/>
        <w:rPr>
          <w:rFonts w:ascii="Bookman Old Style"/>
          <w:sz w:val="24"/>
        </w:rPr>
      </w:pPr>
      <w:r>
        <w:rPr>
          <w:rFonts w:ascii="Bookman Old Style"/>
          <w:sz w:val="24"/>
        </w:rPr>
        <w:t>The present Writ Petition has been filed in public interest by a registered association of Young Lawyers. The Intervenors in the Application for Intervention have averred that they are gender rights activists working in and around the State of Punjab, with</w:t>
      </w:r>
      <w:r>
        <w:rPr>
          <w:rFonts w:ascii="Bookman Old Style"/>
          <w:sz w:val="24"/>
        </w:rPr>
        <w:t xml:space="preserve"> a focus on issues of gender equality and justice, sexuality, and menstrual</w:t>
      </w:r>
      <w:r>
        <w:rPr>
          <w:rFonts w:ascii="Bookman Old Style"/>
          <w:spacing w:val="-3"/>
          <w:sz w:val="24"/>
        </w:rPr>
        <w:t xml:space="preserve"> </w:t>
      </w:r>
      <w:r>
        <w:rPr>
          <w:rFonts w:ascii="Bookman Old Style"/>
          <w:sz w:val="24"/>
        </w:rPr>
        <w:t>discrimination.</w:t>
      </w:r>
    </w:p>
    <w:p w:rsidR="003B2FC0" w:rsidRDefault="00052A49">
      <w:pPr>
        <w:spacing w:before="1" w:line="480" w:lineRule="auto"/>
        <w:ind w:left="542" w:right="454" w:firstLine="424"/>
        <w:jc w:val="both"/>
        <w:rPr>
          <w:rFonts w:ascii="Bookman Old Style"/>
          <w:sz w:val="24"/>
        </w:rPr>
      </w:pPr>
      <w:r>
        <w:rPr>
          <w:rFonts w:ascii="Bookman Old Style"/>
          <w:sz w:val="24"/>
        </w:rPr>
        <w:t xml:space="preserve">The Petitioners have </w:t>
      </w:r>
      <w:r>
        <w:rPr>
          <w:rFonts w:ascii="Bookman Old Style"/>
          <w:i/>
          <w:sz w:val="24"/>
        </w:rPr>
        <w:t xml:space="preserve">inter alia </w:t>
      </w:r>
      <w:r>
        <w:rPr>
          <w:rFonts w:ascii="Bookman Old Style"/>
          <w:sz w:val="24"/>
        </w:rPr>
        <w:t>stated that they learnt of the practise of restricting the entry of women in the age group of 10 to 50 years in the Sabarimala Templ</w:t>
      </w:r>
      <w:r>
        <w:rPr>
          <w:rFonts w:ascii="Bookman Old Style"/>
          <w:sz w:val="24"/>
        </w:rPr>
        <w:t>e in Kerala from three newspaper articles written by Barkha Dutt (Scent of a Woman, Hindustan Times; July 1, 2006), Sharvani Pandit (Touching Faith, Times of India; July 1, 2006), and Vir Sanghvi (Keeping the Faith, Losing our Religion, Sunday Hindustan Ti</w:t>
      </w:r>
      <w:r>
        <w:rPr>
          <w:rFonts w:ascii="Bookman Old Style"/>
          <w:sz w:val="24"/>
        </w:rPr>
        <w:t>mes; July 2, 2006).</w:t>
      </w:r>
    </w:p>
    <w:p w:rsidR="003B2FC0" w:rsidRDefault="003B2FC0">
      <w:pPr>
        <w:spacing w:line="480" w:lineRule="auto"/>
        <w:jc w:val="both"/>
        <w:rPr>
          <w:rFonts w:ascii="Bookman Old Style"/>
          <w:sz w:val="24"/>
        </w:rPr>
        <w:sectPr w:rsidR="003B2FC0">
          <w:headerReference w:type="default" r:id="rId395"/>
          <w:footerReference w:type="default" r:id="rId396"/>
          <w:pgSz w:w="11910" w:h="16840"/>
          <w:pgMar w:top="1340" w:right="980" w:bottom="1220" w:left="1040" w:header="0" w:footer="1033" w:gutter="0"/>
          <w:pgNumType w:start="1"/>
          <w:cols w:space="720"/>
        </w:sectPr>
      </w:pPr>
    </w:p>
    <w:p w:rsidR="003B2FC0" w:rsidRDefault="00052A49">
      <w:pPr>
        <w:spacing w:before="83" w:line="480" w:lineRule="auto"/>
        <w:ind w:left="542" w:right="457" w:firstLine="424"/>
        <w:jc w:val="both"/>
        <w:rPr>
          <w:rFonts w:ascii="Bookman Old Style" w:hAnsi="Bookman Old Style"/>
          <w:sz w:val="24"/>
        </w:rPr>
      </w:pPr>
      <w:r>
        <w:rPr>
          <w:rFonts w:ascii="Bookman Old Style" w:hAnsi="Bookman Old Style"/>
          <w:sz w:val="24"/>
        </w:rPr>
        <w:t>The Petitioners have challenged the Constitutional validity of Rule 3(b) of the Kerala Hindu Places of Public Worship (Authorisation of Entry) Rules, 1965 (hereinafter referred to as “the 1965 Rules”), which restricts the entry of women into the Sabarimala</w:t>
      </w:r>
      <w:r>
        <w:rPr>
          <w:rFonts w:ascii="Bookman Old Style" w:hAnsi="Bookman Old Style"/>
          <w:sz w:val="24"/>
        </w:rPr>
        <w:t xml:space="preserve"> Temple as being </w:t>
      </w:r>
      <w:r>
        <w:rPr>
          <w:rFonts w:ascii="Bookman Old Style" w:hAnsi="Bookman Old Style"/>
          <w:i/>
          <w:sz w:val="24"/>
        </w:rPr>
        <w:t xml:space="preserve">ultra vires </w:t>
      </w:r>
      <w:r>
        <w:rPr>
          <w:rFonts w:ascii="Bookman Old Style" w:hAnsi="Bookman Old Style"/>
          <w:sz w:val="24"/>
        </w:rPr>
        <w:t>Section 3 of the Kerala Hindu Places of Public Worship (Authorisation of Entry) Act, 1965 (hereinafter referred to as “the 1965</w:t>
      </w:r>
      <w:r>
        <w:rPr>
          <w:rFonts w:ascii="Bookman Old Style" w:hAnsi="Bookman Old Style"/>
          <w:spacing w:val="-6"/>
          <w:sz w:val="24"/>
        </w:rPr>
        <w:t xml:space="preserve"> </w:t>
      </w:r>
      <w:r>
        <w:rPr>
          <w:rFonts w:ascii="Bookman Old Style" w:hAnsi="Bookman Old Style"/>
          <w:sz w:val="24"/>
        </w:rPr>
        <w:t>Act”).</w:t>
      </w:r>
    </w:p>
    <w:p w:rsidR="003B2FC0" w:rsidRDefault="00052A49">
      <w:pPr>
        <w:spacing w:before="2" w:line="480" w:lineRule="auto"/>
        <w:ind w:left="542" w:right="456" w:firstLine="424"/>
        <w:jc w:val="both"/>
        <w:rPr>
          <w:rFonts w:ascii="Bookman Old Style"/>
          <w:sz w:val="24"/>
        </w:rPr>
      </w:pPr>
      <w:r>
        <w:rPr>
          <w:rFonts w:ascii="Bookman Old Style"/>
          <w:sz w:val="24"/>
        </w:rPr>
        <w:t xml:space="preserve">Further, the Petitioners have prayed for the issuance of a Writ of Mandamus to the State of </w:t>
      </w:r>
      <w:r>
        <w:rPr>
          <w:rFonts w:ascii="Bookman Old Style"/>
          <w:sz w:val="24"/>
        </w:rPr>
        <w:t>Kerala, the Travancore Devaswom Board, the Chief Thanthri of Sabarimala Temple and the District Magistrate of Pathanamthitta to ensure that female devotees between the age group of 10 to 50 years are permitted to enter the Sabarimala Temple without any res</w:t>
      </w:r>
      <w:r>
        <w:rPr>
          <w:rFonts w:ascii="Bookman Old Style"/>
          <w:sz w:val="24"/>
        </w:rPr>
        <w:t>triction.</w:t>
      </w:r>
    </w:p>
    <w:p w:rsidR="003B2FC0" w:rsidRDefault="003B2FC0">
      <w:pPr>
        <w:pStyle w:val="BodyText"/>
      </w:pPr>
    </w:p>
    <w:p w:rsidR="003B2FC0" w:rsidRDefault="00052A49">
      <w:pPr>
        <w:pStyle w:val="ListParagraph"/>
        <w:numPr>
          <w:ilvl w:val="0"/>
          <w:numId w:val="13"/>
        </w:numPr>
        <w:tabs>
          <w:tab w:val="left" w:pos="543"/>
        </w:tabs>
        <w:spacing w:before="234"/>
        <w:jc w:val="left"/>
        <w:rPr>
          <w:rFonts w:ascii="Bookman Old Style"/>
          <w:sz w:val="19"/>
        </w:rPr>
      </w:pPr>
      <w:r>
        <w:rPr>
          <w:rFonts w:ascii="Bookman Old Style"/>
          <w:sz w:val="24"/>
          <w:u w:val="single"/>
        </w:rPr>
        <w:t>S</w:t>
      </w:r>
      <w:r>
        <w:rPr>
          <w:rFonts w:ascii="Bookman Old Style"/>
          <w:sz w:val="19"/>
          <w:u w:val="single"/>
        </w:rPr>
        <w:t xml:space="preserve">UBMISSIONS OF </w:t>
      </w:r>
      <w:r>
        <w:rPr>
          <w:rFonts w:ascii="Bookman Old Style"/>
          <w:sz w:val="24"/>
          <w:u w:val="single"/>
        </w:rPr>
        <w:t>P</w:t>
      </w:r>
      <w:r>
        <w:rPr>
          <w:rFonts w:ascii="Bookman Old Style"/>
          <w:sz w:val="19"/>
          <w:u w:val="single"/>
        </w:rPr>
        <w:t>ETITIONERS AND</w:t>
      </w:r>
      <w:r>
        <w:rPr>
          <w:rFonts w:ascii="Bookman Old Style"/>
          <w:spacing w:val="-6"/>
          <w:sz w:val="19"/>
          <w:u w:val="single"/>
        </w:rPr>
        <w:t xml:space="preserve"> </w:t>
      </w:r>
      <w:r>
        <w:rPr>
          <w:rFonts w:ascii="Bookman Old Style"/>
          <w:sz w:val="24"/>
          <w:u w:val="single"/>
        </w:rPr>
        <w:t>I</w:t>
      </w:r>
      <w:r>
        <w:rPr>
          <w:rFonts w:ascii="Bookman Old Style"/>
          <w:sz w:val="19"/>
          <w:u w:val="single"/>
        </w:rPr>
        <w:t>NTERVENORS</w:t>
      </w:r>
    </w:p>
    <w:p w:rsidR="003B2FC0" w:rsidRDefault="003B2FC0">
      <w:pPr>
        <w:pStyle w:val="BodyText"/>
        <w:spacing w:before="6"/>
        <w:rPr>
          <w:sz w:val="15"/>
        </w:rPr>
      </w:pPr>
    </w:p>
    <w:p w:rsidR="003B2FC0" w:rsidRDefault="00052A49">
      <w:pPr>
        <w:spacing w:before="100" w:line="480" w:lineRule="auto"/>
        <w:ind w:left="542" w:right="458" w:firstLine="424"/>
        <w:jc w:val="both"/>
        <w:rPr>
          <w:rFonts w:ascii="Bookman Old Style"/>
          <w:sz w:val="24"/>
        </w:rPr>
      </w:pPr>
      <w:r>
        <w:rPr>
          <w:rFonts w:ascii="Bookman Old Style"/>
          <w:sz w:val="24"/>
        </w:rPr>
        <w:t xml:space="preserve">The Petitioners and the Intervenors were represented by Mr. R.P. Gupta, and Ms. Indira Jaising, Senior Advocate. Mr. Raju Ramachandran, learned Senior Advocate appeared as </w:t>
      </w:r>
      <w:r>
        <w:rPr>
          <w:rFonts w:ascii="Bookman Old Style"/>
          <w:i/>
          <w:sz w:val="24"/>
        </w:rPr>
        <w:t xml:space="preserve">Amicus Curiae </w:t>
      </w:r>
      <w:r>
        <w:rPr>
          <w:rFonts w:ascii="Bookman Old Style"/>
          <w:sz w:val="24"/>
        </w:rPr>
        <w:t>who supported t</w:t>
      </w:r>
      <w:r>
        <w:rPr>
          <w:rFonts w:ascii="Bookman Old Style"/>
          <w:sz w:val="24"/>
        </w:rPr>
        <w:t>he case of the</w:t>
      </w:r>
      <w:r>
        <w:rPr>
          <w:rFonts w:ascii="Bookman Old Style"/>
          <w:spacing w:val="-1"/>
          <w:sz w:val="24"/>
        </w:rPr>
        <w:t xml:space="preserve"> </w:t>
      </w:r>
      <w:r>
        <w:rPr>
          <w:rFonts w:ascii="Bookman Old Style"/>
          <w:sz w:val="24"/>
        </w:rPr>
        <w:t>Petitioners.</w:t>
      </w:r>
    </w:p>
    <w:p w:rsidR="003B2FC0" w:rsidRDefault="00052A49">
      <w:pPr>
        <w:pStyle w:val="ListParagraph"/>
        <w:numPr>
          <w:ilvl w:val="1"/>
          <w:numId w:val="13"/>
        </w:numPr>
        <w:tabs>
          <w:tab w:val="left" w:pos="1262"/>
        </w:tabs>
        <w:spacing w:line="480" w:lineRule="auto"/>
        <w:ind w:right="457"/>
        <w:jc w:val="both"/>
        <w:rPr>
          <w:rFonts w:ascii="Bookman Old Style"/>
          <w:sz w:val="24"/>
        </w:rPr>
      </w:pPr>
      <w:r>
        <w:rPr>
          <w:rFonts w:ascii="Bookman Old Style"/>
          <w:sz w:val="24"/>
        </w:rPr>
        <w:t>In the Writ Petition, the Petitioners state that the present case pertains to a centuries old custom of prohibiting entry of women between the ages of 10 years to 50 years into the Sabarimala Temple of Lord</w:t>
      </w:r>
      <w:r>
        <w:rPr>
          <w:rFonts w:ascii="Bookman Old Style"/>
          <w:spacing w:val="-1"/>
          <w:sz w:val="24"/>
        </w:rPr>
        <w:t xml:space="preserve"> </w:t>
      </w:r>
      <w:r>
        <w:rPr>
          <w:rFonts w:ascii="Bookman Old Style"/>
          <w:sz w:val="24"/>
        </w:rPr>
        <w:t>Ayyappa.</w:t>
      </w:r>
    </w:p>
    <w:p w:rsidR="003B2FC0" w:rsidRDefault="00052A49">
      <w:pPr>
        <w:spacing w:line="480" w:lineRule="auto"/>
        <w:ind w:left="1261" w:firstLine="415"/>
        <w:rPr>
          <w:rFonts w:ascii="Bookman Old Style"/>
          <w:sz w:val="24"/>
        </w:rPr>
      </w:pPr>
      <w:r>
        <w:rPr>
          <w:rFonts w:ascii="Bookman Old Style"/>
          <w:sz w:val="24"/>
        </w:rPr>
        <w:t>The customar</w:t>
      </w:r>
      <w:r>
        <w:rPr>
          <w:rFonts w:ascii="Bookman Old Style"/>
          <w:sz w:val="24"/>
        </w:rPr>
        <w:t>y practise, as codified in Rule 3(b) of the 1965 Rules read with the Notifications issued by the Travancore Devaswom</w:t>
      </w:r>
    </w:p>
    <w:p w:rsidR="003B2FC0" w:rsidRDefault="003B2FC0">
      <w:pPr>
        <w:spacing w:line="480" w:lineRule="auto"/>
        <w:rPr>
          <w:rFonts w:ascii="Bookman Old Style"/>
          <w:sz w:val="24"/>
        </w:rPr>
        <w:sectPr w:rsidR="003B2FC0">
          <w:headerReference w:type="default" r:id="rId397"/>
          <w:footerReference w:type="default" r:id="rId398"/>
          <w:pgSz w:w="11910" w:h="16840"/>
          <w:pgMar w:top="1340" w:right="980" w:bottom="1220" w:left="1040" w:header="0" w:footer="1033" w:gutter="0"/>
          <w:pgNumType w:start="2"/>
          <w:cols w:space="720"/>
        </w:sectPr>
      </w:pPr>
    </w:p>
    <w:p w:rsidR="003B2FC0" w:rsidRDefault="00052A49">
      <w:pPr>
        <w:spacing w:before="83" w:line="480" w:lineRule="auto"/>
        <w:ind w:left="1261" w:right="554"/>
        <w:rPr>
          <w:rFonts w:ascii="Bookman Old Style"/>
          <w:sz w:val="24"/>
        </w:rPr>
      </w:pPr>
      <w:r>
        <w:rPr>
          <w:rFonts w:ascii="Bookman Old Style"/>
          <w:sz w:val="24"/>
        </w:rPr>
        <w:t>Board dated October 21, 1955 and November 27, 1956, does not meet the tests of Articles 14, 15 and 21 of the</w:t>
      </w:r>
      <w:r>
        <w:rPr>
          <w:rFonts w:ascii="Bookman Old Style"/>
          <w:spacing w:val="-11"/>
          <w:sz w:val="24"/>
        </w:rPr>
        <w:t xml:space="preserve"> </w:t>
      </w:r>
      <w:r>
        <w:rPr>
          <w:rFonts w:ascii="Bookman Old Style"/>
          <w:sz w:val="24"/>
        </w:rPr>
        <w:t>Constitution.</w:t>
      </w:r>
    </w:p>
    <w:p w:rsidR="003B2FC0" w:rsidRDefault="00052A49">
      <w:pPr>
        <w:spacing w:before="2" w:line="480" w:lineRule="auto"/>
        <w:ind w:left="1261" w:right="456" w:firstLine="415"/>
        <w:jc w:val="both"/>
        <w:rPr>
          <w:rFonts w:ascii="Bookman Old Style"/>
          <w:sz w:val="24"/>
        </w:rPr>
      </w:pPr>
      <w:r>
        <w:rPr>
          <w:rFonts w:ascii="Bookman Old Style"/>
          <w:sz w:val="24"/>
        </w:rPr>
        <w:t xml:space="preserve">This exclusionary practise violates Article 14 as the classification lacks a Constitutional object. It is manifestly arbitrary as it </w:t>
      </w:r>
      <w:r>
        <w:rPr>
          <w:rFonts w:ascii="Bookman Old Style"/>
          <w:sz w:val="24"/>
        </w:rPr>
        <w:t>is based on physiological factors alone, and does not serve any valid object.</w:t>
      </w:r>
    </w:p>
    <w:p w:rsidR="003B2FC0" w:rsidRDefault="00052A49">
      <w:pPr>
        <w:pStyle w:val="ListParagraph"/>
        <w:numPr>
          <w:ilvl w:val="1"/>
          <w:numId w:val="13"/>
        </w:numPr>
        <w:tabs>
          <w:tab w:val="left" w:pos="1261"/>
          <w:tab w:val="left" w:pos="1262"/>
        </w:tabs>
        <w:spacing w:line="281" w:lineRule="exact"/>
        <w:rPr>
          <w:rFonts w:ascii="Bookman Old Style"/>
          <w:sz w:val="24"/>
        </w:rPr>
      </w:pPr>
      <w:r>
        <w:rPr>
          <w:rFonts w:ascii="Bookman Old Style"/>
          <w:sz w:val="24"/>
        </w:rPr>
        <w:t>The customary practise violates Article 15(1) of the Constitution as it</w:t>
      </w:r>
    </w:p>
    <w:p w:rsidR="003B2FC0" w:rsidRDefault="003B2FC0">
      <w:pPr>
        <w:pStyle w:val="BodyText"/>
        <w:spacing w:before="1"/>
        <w:rPr>
          <w:sz w:val="24"/>
        </w:rPr>
      </w:pPr>
    </w:p>
    <w:p w:rsidR="003B2FC0" w:rsidRDefault="00052A49">
      <w:pPr>
        <w:ind w:left="1261"/>
        <w:rPr>
          <w:rFonts w:ascii="Bookman Old Style" w:hAnsi="Bookman Old Style"/>
          <w:sz w:val="24"/>
        </w:rPr>
      </w:pPr>
      <w:r>
        <w:rPr>
          <w:rFonts w:ascii="Bookman Old Style" w:hAnsi="Bookman Old Style"/>
          <w:sz w:val="24"/>
        </w:rPr>
        <w:t>is based on ‘sex’ alone.</w:t>
      </w:r>
    </w:p>
    <w:p w:rsidR="003B2FC0" w:rsidRDefault="003B2FC0">
      <w:pPr>
        <w:pStyle w:val="BodyText"/>
        <w:spacing w:before="9"/>
        <w:rPr>
          <w:sz w:val="23"/>
        </w:rPr>
      </w:pPr>
    </w:p>
    <w:p w:rsidR="003B2FC0" w:rsidRDefault="00052A49">
      <w:pPr>
        <w:spacing w:before="1" w:line="480" w:lineRule="auto"/>
        <w:ind w:left="1261" w:right="455" w:firstLine="415"/>
        <w:jc w:val="both"/>
        <w:rPr>
          <w:rFonts w:ascii="Bookman Old Style"/>
          <w:sz w:val="24"/>
        </w:rPr>
      </w:pPr>
      <w:r>
        <w:rPr>
          <w:rFonts w:ascii="Bookman Old Style"/>
          <w:sz w:val="24"/>
        </w:rPr>
        <w:t>The practise also violates Article 15(2)(b) since the Sabarimala Temple is a pu</w:t>
      </w:r>
      <w:r>
        <w:rPr>
          <w:rFonts w:ascii="Bookman Old Style"/>
          <w:sz w:val="24"/>
        </w:rPr>
        <w:t>blic place of worship being open and dedicated to the public and is partly funded by the State under Article 290A.</w:t>
      </w:r>
    </w:p>
    <w:p w:rsidR="003B2FC0" w:rsidRDefault="00052A49">
      <w:pPr>
        <w:pStyle w:val="ListParagraph"/>
        <w:numPr>
          <w:ilvl w:val="1"/>
          <w:numId w:val="13"/>
        </w:numPr>
        <w:tabs>
          <w:tab w:val="left" w:pos="1261"/>
          <w:tab w:val="left" w:pos="1262"/>
        </w:tabs>
        <w:spacing w:before="1" w:line="477" w:lineRule="auto"/>
        <w:ind w:right="458"/>
        <w:rPr>
          <w:rFonts w:ascii="Bookman Old Style"/>
          <w:sz w:val="24"/>
        </w:rPr>
      </w:pPr>
      <w:r>
        <w:rPr>
          <w:rFonts w:ascii="Bookman Old Style"/>
          <w:sz w:val="24"/>
        </w:rPr>
        <w:t>Article 25 guarantees the Fundamental Right to an individual to worship or follow any</w:t>
      </w:r>
      <w:r>
        <w:rPr>
          <w:rFonts w:ascii="Bookman Old Style"/>
          <w:spacing w:val="-1"/>
          <w:sz w:val="24"/>
        </w:rPr>
        <w:t xml:space="preserve"> </w:t>
      </w:r>
      <w:r>
        <w:rPr>
          <w:rFonts w:ascii="Bookman Old Style"/>
          <w:sz w:val="24"/>
        </w:rPr>
        <w:t>religion.</w:t>
      </w:r>
    </w:p>
    <w:p w:rsidR="003B2FC0" w:rsidRDefault="00052A49">
      <w:pPr>
        <w:spacing w:before="5" w:line="480" w:lineRule="auto"/>
        <w:ind w:left="1261" w:right="457" w:firstLine="415"/>
        <w:jc w:val="both"/>
        <w:rPr>
          <w:rFonts w:ascii="Bookman Old Style" w:hAnsi="Bookman Old Style"/>
          <w:sz w:val="24"/>
        </w:rPr>
      </w:pPr>
      <w:r>
        <w:rPr>
          <w:rFonts w:ascii="Bookman Old Style" w:hAnsi="Bookman Old Style"/>
          <w:sz w:val="24"/>
        </w:rPr>
        <w:t>The 1965 Act has been passed in furtherance o</w:t>
      </w:r>
      <w:r>
        <w:rPr>
          <w:rFonts w:ascii="Bookman Old Style" w:hAnsi="Bookman Old Style"/>
          <w:sz w:val="24"/>
        </w:rPr>
        <w:t>f the goals enshrined in Article 25(2)(b) as a ‘measure of social reform’. The Act contains no prohibition against women from entering any public temple.</w:t>
      </w:r>
    </w:p>
    <w:p w:rsidR="003B2FC0" w:rsidRDefault="00052A49">
      <w:pPr>
        <w:pStyle w:val="ListParagraph"/>
        <w:numPr>
          <w:ilvl w:val="1"/>
          <w:numId w:val="13"/>
        </w:numPr>
        <w:tabs>
          <w:tab w:val="left" w:pos="1261"/>
          <w:tab w:val="left" w:pos="1262"/>
        </w:tabs>
        <w:spacing w:line="480" w:lineRule="auto"/>
        <w:ind w:right="459"/>
        <w:rPr>
          <w:rFonts w:ascii="Bookman Old Style"/>
          <w:sz w:val="24"/>
        </w:rPr>
      </w:pPr>
      <w:r>
        <w:rPr>
          <w:rFonts w:ascii="Bookman Old Style"/>
          <w:sz w:val="24"/>
        </w:rPr>
        <w:t xml:space="preserve">Rule 3(b) of the 1965 Rules is </w:t>
      </w:r>
      <w:r>
        <w:rPr>
          <w:rFonts w:ascii="Bookman Old Style"/>
          <w:i/>
          <w:sz w:val="24"/>
        </w:rPr>
        <w:t xml:space="preserve">ultra vires </w:t>
      </w:r>
      <w:r>
        <w:rPr>
          <w:rFonts w:ascii="Bookman Old Style"/>
          <w:sz w:val="24"/>
        </w:rPr>
        <w:t>the Act insofar as it prohibits the entry of</w:t>
      </w:r>
      <w:r>
        <w:rPr>
          <w:rFonts w:ascii="Bookman Old Style"/>
          <w:spacing w:val="-2"/>
          <w:sz w:val="24"/>
        </w:rPr>
        <w:t xml:space="preserve"> </w:t>
      </w:r>
      <w:r>
        <w:rPr>
          <w:rFonts w:ascii="Bookman Old Style"/>
          <w:sz w:val="24"/>
        </w:rPr>
        <w:t>women.</w:t>
      </w:r>
    </w:p>
    <w:p w:rsidR="003B2FC0" w:rsidRDefault="00052A49">
      <w:pPr>
        <w:pStyle w:val="ListParagraph"/>
        <w:numPr>
          <w:ilvl w:val="1"/>
          <w:numId w:val="13"/>
        </w:numPr>
        <w:tabs>
          <w:tab w:val="left" w:pos="1261"/>
          <w:tab w:val="left" w:pos="1262"/>
        </w:tabs>
        <w:spacing w:before="1" w:line="480" w:lineRule="auto"/>
        <w:ind w:right="462"/>
        <w:rPr>
          <w:rFonts w:ascii="Bookman Old Style"/>
          <w:sz w:val="24"/>
        </w:rPr>
      </w:pPr>
      <w:r>
        <w:rPr>
          <w:rFonts w:ascii="Bookman Old Style"/>
          <w:sz w:val="24"/>
        </w:rPr>
        <w:t>The Petitioners contend that a religious denomination must have the following</w:t>
      </w:r>
      <w:r>
        <w:rPr>
          <w:rFonts w:ascii="Bookman Old Style"/>
          <w:spacing w:val="-1"/>
          <w:sz w:val="24"/>
        </w:rPr>
        <w:t xml:space="preserve"> </w:t>
      </w:r>
      <w:r>
        <w:rPr>
          <w:rFonts w:ascii="Bookman Old Style"/>
          <w:sz w:val="24"/>
        </w:rPr>
        <w:t>attributes:</w:t>
      </w:r>
    </w:p>
    <w:p w:rsidR="003B2FC0" w:rsidRDefault="00052A49">
      <w:pPr>
        <w:pStyle w:val="ListParagraph"/>
        <w:numPr>
          <w:ilvl w:val="2"/>
          <w:numId w:val="13"/>
        </w:numPr>
        <w:tabs>
          <w:tab w:val="left" w:pos="1677"/>
          <w:tab w:val="left" w:pos="1678"/>
        </w:tabs>
        <w:spacing w:line="468" w:lineRule="auto"/>
        <w:ind w:right="457"/>
        <w:jc w:val="left"/>
        <w:rPr>
          <w:rFonts w:ascii="Bookman Old Style" w:hAnsi="Bookman Old Style"/>
          <w:sz w:val="24"/>
        </w:rPr>
      </w:pPr>
      <w:r>
        <w:rPr>
          <w:rFonts w:ascii="Bookman Old Style" w:hAnsi="Bookman Old Style"/>
          <w:sz w:val="24"/>
        </w:rPr>
        <w:t>It has its own property &amp; establishment capable of succession by its followers.</w:t>
      </w:r>
    </w:p>
    <w:p w:rsidR="003B2FC0" w:rsidRDefault="00052A49">
      <w:pPr>
        <w:pStyle w:val="ListParagraph"/>
        <w:numPr>
          <w:ilvl w:val="2"/>
          <w:numId w:val="13"/>
        </w:numPr>
        <w:tabs>
          <w:tab w:val="left" w:pos="1677"/>
          <w:tab w:val="left" w:pos="1678"/>
        </w:tabs>
        <w:spacing w:before="16" w:line="468" w:lineRule="auto"/>
        <w:ind w:right="456"/>
        <w:jc w:val="left"/>
        <w:rPr>
          <w:rFonts w:ascii="Bookman Old Style" w:hAnsi="Bookman Old Style"/>
          <w:sz w:val="24"/>
        </w:rPr>
      </w:pPr>
      <w:r>
        <w:rPr>
          <w:rFonts w:ascii="Bookman Old Style" w:hAnsi="Bookman Old Style"/>
          <w:sz w:val="24"/>
        </w:rPr>
        <w:t>It has its distinct identity clearly distinguishable from any established religion.</w:t>
      </w:r>
    </w:p>
    <w:p w:rsidR="003B2FC0" w:rsidRDefault="003B2FC0">
      <w:pPr>
        <w:spacing w:line="468" w:lineRule="auto"/>
        <w:rPr>
          <w:rFonts w:ascii="Bookman Old Style" w:hAnsi="Bookman Old Style"/>
          <w:sz w:val="24"/>
        </w:rPr>
        <w:sectPr w:rsidR="003B2FC0">
          <w:headerReference w:type="default" r:id="rId399"/>
          <w:footerReference w:type="default" r:id="rId400"/>
          <w:pgSz w:w="11910" w:h="16840"/>
          <w:pgMar w:top="1340" w:right="980" w:bottom="1220" w:left="1040" w:header="0" w:footer="1033" w:gutter="0"/>
          <w:pgNumType w:start="3"/>
          <w:cols w:space="720"/>
        </w:sectPr>
      </w:pPr>
    </w:p>
    <w:p w:rsidR="003B2FC0" w:rsidRDefault="00052A49">
      <w:pPr>
        <w:pStyle w:val="ListParagraph"/>
        <w:numPr>
          <w:ilvl w:val="2"/>
          <w:numId w:val="13"/>
        </w:numPr>
        <w:tabs>
          <w:tab w:val="left" w:pos="1677"/>
          <w:tab w:val="left" w:pos="1678"/>
        </w:tabs>
        <w:spacing w:before="83" w:line="468" w:lineRule="auto"/>
        <w:ind w:right="460"/>
        <w:jc w:val="left"/>
        <w:rPr>
          <w:rFonts w:ascii="Bookman Old Style" w:hAnsi="Bookman Old Style"/>
          <w:sz w:val="24"/>
        </w:rPr>
      </w:pPr>
      <w:r>
        <w:rPr>
          <w:rFonts w:ascii="Bookman Old Style" w:hAnsi="Bookman Old Style"/>
          <w:sz w:val="24"/>
        </w:rPr>
        <w:t>It has its own set of followers who are bound by a distinct set of beliefs, practises, rituals or</w:t>
      </w:r>
      <w:r>
        <w:rPr>
          <w:rFonts w:ascii="Bookman Old Style" w:hAnsi="Bookman Old Style"/>
          <w:spacing w:val="-3"/>
          <w:sz w:val="24"/>
        </w:rPr>
        <w:t xml:space="preserve"> </w:t>
      </w:r>
      <w:r>
        <w:rPr>
          <w:rFonts w:ascii="Bookman Old Style" w:hAnsi="Bookman Old Style"/>
          <w:sz w:val="24"/>
        </w:rPr>
        <w:t>beliefs.</w:t>
      </w:r>
    </w:p>
    <w:p w:rsidR="003B2FC0" w:rsidRDefault="00052A49">
      <w:pPr>
        <w:pStyle w:val="ListParagraph"/>
        <w:numPr>
          <w:ilvl w:val="2"/>
          <w:numId w:val="13"/>
        </w:numPr>
        <w:tabs>
          <w:tab w:val="left" w:pos="1677"/>
          <w:tab w:val="left" w:pos="1678"/>
        </w:tabs>
        <w:spacing w:before="17" w:line="468" w:lineRule="auto"/>
        <w:ind w:right="458"/>
        <w:jc w:val="left"/>
        <w:rPr>
          <w:rFonts w:ascii="Bookman Old Style" w:hAnsi="Bookman Old Style"/>
          <w:sz w:val="24"/>
        </w:rPr>
      </w:pPr>
      <w:r>
        <w:rPr>
          <w:rFonts w:ascii="Bookman Old Style" w:hAnsi="Bookman Old Style"/>
          <w:sz w:val="24"/>
        </w:rPr>
        <w:t>It has the hierarchy of its own administration, not controlled by any outside</w:t>
      </w:r>
      <w:r>
        <w:rPr>
          <w:rFonts w:ascii="Bookman Old Style" w:hAnsi="Bookman Old Style"/>
          <w:spacing w:val="-1"/>
          <w:sz w:val="24"/>
        </w:rPr>
        <w:t xml:space="preserve"> </w:t>
      </w:r>
      <w:r>
        <w:rPr>
          <w:rFonts w:ascii="Bookman Old Style" w:hAnsi="Bookman Old Style"/>
          <w:sz w:val="24"/>
        </w:rPr>
        <w:t>agency.</w:t>
      </w:r>
    </w:p>
    <w:p w:rsidR="003B2FC0" w:rsidRDefault="00052A49">
      <w:pPr>
        <w:spacing w:before="17" w:line="480" w:lineRule="auto"/>
        <w:ind w:left="1261" w:right="456" w:firstLine="415"/>
        <w:jc w:val="both"/>
        <w:rPr>
          <w:rFonts w:ascii="Bookman Old Style"/>
          <w:sz w:val="24"/>
        </w:rPr>
      </w:pPr>
      <w:r>
        <w:rPr>
          <w:rFonts w:ascii="Bookman Old Style"/>
          <w:sz w:val="24"/>
        </w:rPr>
        <w:t>It was contended that the devotees of Lord Ayyappa do not constitute a religious denomination under Article 26 as they do not have a common faith, or a distinct name. The devotees of Lord Ayyappa are not unified on the basis of some distinct set of practis</w:t>
      </w:r>
      <w:r>
        <w:rPr>
          <w:rFonts w:ascii="Bookman Old Style"/>
          <w:sz w:val="24"/>
        </w:rPr>
        <w:t>es. Every temple in India has its own different set of rituals. It differs from region to region. A minor difference in rituals and ceremonies does not make them a separate religious denomination.</w:t>
      </w:r>
    </w:p>
    <w:p w:rsidR="003B2FC0" w:rsidRDefault="00052A49">
      <w:pPr>
        <w:spacing w:line="480" w:lineRule="auto"/>
        <w:ind w:left="1261" w:right="453" w:firstLine="415"/>
        <w:jc w:val="both"/>
        <w:rPr>
          <w:rFonts w:ascii="Bookman Old Style"/>
          <w:sz w:val="24"/>
        </w:rPr>
      </w:pPr>
      <w:r>
        <w:rPr>
          <w:rFonts w:ascii="Bookman Old Style"/>
          <w:sz w:val="24"/>
        </w:rPr>
        <w:t>The devotees of Lord Ayyappa do not form a religious denomi</w:t>
      </w:r>
      <w:r>
        <w:rPr>
          <w:rFonts w:ascii="Bookman Old Style"/>
          <w:sz w:val="24"/>
        </w:rPr>
        <w:t>nation since the tests prescribed by this Court have not been satisfied in this case. Even assuming that the devotees of Lord Ayyappa constitute a religious denomination, their rights under Article 26(b) would be subject to Article 25(2)(b) in line with th</w:t>
      </w:r>
      <w:r>
        <w:rPr>
          <w:rFonts w:ascii="Bookman Old Style"/>
          <w:sz w:val="24"/>
        </w:rPr>
        <w:t xml:space="preserve">e decision of this Court in </w:t>
      </w:r>
      <w:r>
        <w:rPr>
          <w:rFonts w:ascii="Bookman Old Style"/>
          <w:i/>
          <w:sz w:val="24"/>
        </w:rPr>
        <w:t xml:space="preserve">Sri Venkataramana Devaru &amp; Ors. </w:t>
      </w:r>
      <w:r>
        <w:rPr>
          <w:rFonts w:ascii="Bookman Old Style"/>
          <w:sz w:val="24"/>
        </w:rPr>
        <w:t xml:space="preserve">v. </w:t>
      </w:r>
      <w:r>
        <w:rPr>
          <w:rFonts w:ascii="Bookman Old Style"/>
          <w:i/>
          <w:sz w:val="24"/>
        </w:rPr>
        <w:t>State of Mysore &amp; Ors.</w:t>
      </w:r>
      <w:r>
        <w:rPr>
          <w:rFonts w:ascii="Bookman Old Style"/>
          <w:position w:val="6"/>
          <w:sz w:val="16"/>
        </w:rPr>
        <w:t>1</w:t>
      </w:r>
      <w:r>
        <w:rPr>
          <w:rFonts w:ascii="Bookman Old Style"/>
          <w:sz w:val="24"/>
        </w:rPr>
        <w:t>.</w:t>
      </w:r>
    </w:p>
    <w:p w:rsidR="003B2FC0" w:rsidRDefault="00052A49">
      <w:pPr>
        <w:spacing w:line="480" w:lineRule="auto"/>
        <w:ind w:left="1261" w:right="453" w:firstLine="415"/>
        <w:jc w:val="both"/>
        <w:rPr>
          <w:rFonts w:ascii="Bookman Old Style"/>
          <w:sz w:val="24"/>
        </w:rPr>
      </w:pPr>
      <w:r>
        <w:rPr>
          <w:rFonts w:ascii="Bookman Old Style"/>
          <w:sz w:val="24"/>
        </w:rPr>
        <w:t>It was further submitted that there are no exclusive followers of this Temple except general Hindu followers visiting any Hindu temple.</w:t>
      </w:r>
    </w:p>
    <w:p w:rsidR="003B2FC0" w:rsidRDefault="00052A49">
      <w:pPr>
        <w:spacing w:before="2" w:line="480" w:lineRule="auto"/>
        <w:ind w:left="1261" w:right="456" w:firstLine="415"/>
        <w:jc w:val="both"/>
        <w:rPr>
          <w:rFonts w:ascii="Bookman Old Style"/>
          <w:i/>
          <w:sz w:val="24"/>
        </w:rPr>
      </w:pPr>
      <w:r>
        <w:rPr>
          <w:rFonts w:ascii="Bookman Old Style"/>
          <w:sz w:val="24"/>
        </w:rPr>
        <w:t>Reliance was placed on the judgm</w:t>
      </w:r>
      <w:r>
        <w:rPr>
          <w:rFonts w:ascii="Bookman Old Style"/>
          <w:sz w:val="24"/>
        </w:rPr>
        <w:t xml:space="preserve">ents of this Court in </w:t>
      </w:r>
      <w:r>
        <w:rPr>
          <w:rFonts w:ascii="Bookman Old Style"/>
          <w:i/>
          <w:sz w:val="24"/>
        </w:rPr>
        <w:t xml:space="preserve">Sardar Syedna Taher Saifuddin Saheb </w:t>
      </w:r>
      <w:r>
        <w:rPr>
          <w:rFonts w:ascii="Bookman Old Style"/>
          <w:sz w:val="24"/>
        </w:rPr>
        <w:t>v</w:t>
      </w:r>
      <w:r>
        <w:rPr>
          <w:rFonts w:ascii="Bookman Old Style"/>
          <w:i/>
          <w:sz w:val="24"/>
        </w:rPr>
        <w:t>. State of Bombay</w:t>
      </w:r>
      <w:r>
        <w:rPr>
          <w:rFonts w:ascii="Bookman Old Style"/>
          <w:position w:val="6"/>
          <w:sz w:val="16"/>
        </w:rPr>
        <w:t>2</w:t>
      </w:r>
      <w:r>
        <w:rPr>
          <w:rFonts w:ascii="Bookman Old Style"/>
          <w:i/>
          <w:sz w:val="24"/>
        </w:rPr>
        <w:t>, Raja Bira Kishore</w:t>
      </w:r>
    </w:p>
    <w:p w:rsidR="003B2FC0" w:rsidRDefault="003B2FC0">
      <w:pPr>
        <w:pStyle w:val="BodyText"/>
        <w:rPr>
          <w:i/>
          <w:sz w:val="29"/>
        </w:rPr>
      </w:pPr>
      <w:r w:rsidRPr="003B2FC0">
        <w:pict>
          <v:line id="_x0000_s1061" style="position:absolute;z-index:251654656;mso-wrap-distance-left:0;mso-wrap-distance-right:0;mso-position-horizontal-relative:page" from="1in,19.4pt" to="216.05pt,19.4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1 </w:t>
      </w:r>
      <w:r>
        <w:rPr>
          <w:rFonts w:ascii="Bookman Old Style"/>
          <w:sz w:val="20"/>
        </w:rPr>
        <w:t>1958 SCR 895 : AIR 1958 SC 255</w:t>
      </w:r>
    </w:p>
    <w:p w:rsidR="003B2FC0" w:rsidRDefault="00052A49">
      <w:pPr>
        <w:ind w:left="400"/>
        <w:rPr>
          <w:rFonts w:ascii="Bookman Old Style"/>
          <w:sz w:val="20"/>
        </w:rPr>
      </w:pPr>
      <w:r>
        <w:rPr>
          <w:rFonts w:ascii="Bookman Old Style"/>
          <w:position w:val="5"/>
          <w:sz w:val="13"/>
        </w:rPr>
        <w:t xml:space="preserve">2 </w:t>
      </w:r>
      <w:r>
        <w:rPr>
          <w:rFonts w:ascii="Bookman Old Style"/>
          <w:sz w:val="20"/>
        </w:rPr>
        <w:t>1962 Supp (2) SCR 496 : AIR 1962 SC 853</w:t>
      </w:r>
    </w:p>
    <w:p w:rsidR="003B2FC0" w:rsidRDefault="003B2FC0">
      <w:pPr>
        <w:rPr>
          <w:rFonts w:ascii="Bookman Old Style"/>
          <w:sz w:val="20"/>
        </w:rPr>
        <w:sectPr w:rsidR="003B2FC0">
          <w:headerReference w:type="default" r:id="rId401"/>
          <w:footerReference w:type="default" r:id="rId402"/>
          <w:pgSz w:w="11910" w:h="16840"/>
          <w:pgMar w:top="1340" w:right="980" w:bottom="1220" w:left="1040" w:header="0" w:footer="1033" w:gutter="0"/>
          <w:pgNumType w:start="4"/>
          <w:cols w:space="720"/>
        </w:sectPr>
      </w:pPr>
    </w:p>
    <w:p w:rsidR="003B2FC0" w:rsidRDefault="00052A49">
      <w:pPr>
        <w:spacing w:before="84" w:line="480" w:lineRule="auto"/>
        <w:ind w:left="1261" w:right="434"/>
        <w:rPr>
          <w:rFonts w:ascii="Bookman Old Style"/>
          <w:sz w:val="24"/>
        </w:rPr>
      </w:pPr>
      <w:r>
        <w:rPr>
          <w:rFonts w:ascii="Bookman Old Style"/>
          <w:i/>
          <w:sz w:val="24"/>
        </w:rPr>
        <w:t xml:space="preserve">Deb, Hereditary Superintendent, Jagannath Temple, P.O. and District Puri </w:t>
      </w:r>
      <w:r>
        <w:rPr>
          <w:rFonts w:ascii="Bookman Old Style"/>
          <w:sz w:val="24"/>
        </w:rPr>
        <w:t xml:space="preserve">v. </w:t>
      </w:r>
      <w:r>
        <w:rPr>
          <w:rFonts w:ascii="Bookman Old Style"/>
          <w:i/>
          <w:sz w:val="24"/>
        </w:rPr>
        <w:t>State of Orissa</w:t>
      </w:r>
      <w:r>
        <w:rPr>
          <w:rFonts w:ascii="Bookman Old Style"/>
          <w:position w:val="6"/>
          <w:sz w:val="16"/>
        </w:rPr>
        <w:t>3</w:t>
      </w:r>
      <w:r>
        <w:rPr>
          <w:rFonts w:ascii="Bookman Old Style"/>
          <w:i/>
          <w:sz w:val="24"/>
        </w:rPr>
        <w:t xml:space="preserve">, </w:t>
      </w:r>
      <w:r>
        <w:rPr>
          <w:rFonts w:ascii="Bookman Old Style"/>
          <w:sz w:val="24"/>
        </w:rPr>
        <w:t xml:space="preserve">and in </w:t>
      </w:r>
      <w:r>
        <w:rPr>
          <w:rFonts w:ascii="Bookman Old Style"/>
          <w:i/>
          <w:sz w:val="24"/>
        </w:rPr>
        <w:t xml:space="preserve">S.P. Mittal </w:t>
      </w:r>
      <w:r>
        <w:rPr>
          <w:rFonts w:ascii="Bookman Old Style"/>
          <w:sz w:val="24"/>
        </w:rPr>
        <w:t xml:space="preserve">v. </w:t>
      </w:r>
      <w:r>
        <w:rPr>
          <w:rFonts w:ascii="Bookman Old Style"/>
          <w:i/>
          <w:sz w:val="24"/>
        </w:rPr>
        <w:t>Union of India &amp; Ors</w:t>
      </w:r>
      <w:r>
        <w:rPr>
          <w:rFonts w:ascii="Bookman Old Style"/>
          <w:sz w:val="24"/>
        </w:rPr>
        <w:t>.</w:t>
      </w:r>
      <w:r>
        <w:rPr>
          <w:rFonts w:ascii="Bookman Old Style"/>
          <w:position w:val="6"/>
          <w:sz w:val="16"/>
        </w:rPr>
        <w:t>4</w:t>
      </w:r>
      <w:r>
        <w:rPr>
          <w:rFonts w:ascii="Bookman Old Style"/>
          <w:sz w:val="24"/>
        </w:rPr>
        <w:t>.</w:t>
      </w:r>
    </w:p>
    <w:p w:rsidR="003B2FC0" w:rsidRDefault="00052A49">
      <w:pPr>
        <w:pStyle w:val="ListParagraph"/>
        <w:numPr>
          <w:ilvl w:val="1"/>
          <w:numId w:val="13"/>
        </w:numPr>
        <w:tabs>
          <w:tab w:val="left" w:pos="1262"/>
        </w:tabs>
        <w:spacing w:line="480" w:lineRule="auto"/>
        <w:ind w:right="455"/>
        <w:jc w:val="both"/>
        <w:rPr>
          <w:rFonts w:ascii="Bookman Old Style"/>
          <w:sz w:val="24"/>
        </w:rPr>
      </w:pPr>
      <w:r>
        <w:rPr>
          <w:rFonts w:ascii="Bookman Old Style"/>
          <w:sz w:val="24"/>
        </w:rPr>
        <w:t>Even if the Sabarimala Temple is taken to be a religious denomination, the restriction on the entry of women is not an essential religious</w:t>
      </w:r>
      <w:r>
        <w:rPr>
          <w:rFonts w:ascii="Bookman Old Style"/>
          <w:spacing w:val="-1"/>
          <w:sz w:val="24"/>
        </w:rPr>
        <w:t xml:space="preserve"> </w:t>
      </w:r>
      <w:r>
        <w:rPr>
          <w:rFonts w:ascii="Bookman Old Style"/>
          <w:sz w:val="24"/>
        </w:rPr>
        <w:t>practise.</w:t>
      </w:r>
    </w:p>
    <w:p w:rsidR="003B2FC0" w:rsidRDefault="00052A49">
      <w:pPr>
        <w:spacing w:line="480" w:lineRule="auto"/>
        <w:ind w:left="1261" w:right="455" w:firstLine="415"/>
        <w:jc w:val="both"/>
        <w:rPr>
          <w:rFonts w:ascii="Bookman Old Style"/>
          <w:sz w:val="24"/>
        </w:rPr>
      </w:pPr>
      <w:r>
        <w:rPr>
          <w:rFonts w:ascii="Bookman Old Style"/>
          <w:sz w:val="24"/>
        </w:rPr>
        <w:t>The prohibition on women between the ages of 10 to 50 years from entering the temple does not constitute th</w:t>
      </w:r>
      <w:r>
        <w:rPr>
          <w:rFonts w:ascii="Bookman Old Style"/>
          <w:sz w:val="24"/>
        </w:rPr>
        <w:t>e core foundation of the assumed religious denomination. Any law or custom to be protected under Article 26 must have Constitutional</w:t>
      </w:r>
      <w:r>
        <w:rPr>
          <w:rFonts w:ascii="Bookman Old Style"/>
          <w:spacing w:val="-17"/>
          <w:sz w:val="24"/>
        </w:rPr>
        <w:t xml:space="preserve"> </w:t>
      </w:r>
      <w:r>
        <w:rPr>
          <w:rFonts w:ascii="Bookman Old Style"/>
          <w:sz w:val="24"/>
        </w:rPr>
        <w:t>legitimacy.</w:t>
      </w:r>
    </w:p>
    <w:p w:rsidR="003B2FC0" w:rsidRDefault="00052A49">
      <w:pPr>
        <w:pStyle w:val="ListParagraph"/>
        <w:numPr>
          <w:ilvl w:val="1"/>
          <w:numId w:val="13"/>
        </w:numPr>
        <w:tabs>
          <w:tab w:val="left" w:pos="1262"/>
        </w:tabs>
        <w:spacing w:line="480" w:lineRule="auto"/>
        <w:ind w:right="455"/>
        <w:jc w:val="both"/>
        <w:rPr>
          <w:rFonts w:ascii="Bookman Old Style"/>
          <w:sz w:val="24"/>
        </w:rPr>
      </w:pPr>
      <w:r>
        <w:rPr>
          <w:rFonts w:ascii="Bookman Old Style"/>
          <w:sz w:val="24"/>
        </w:rPr>
        <w:t>The exclusionary practise is violative of Article 21, as it has the impact of casting a stigma on women as they</w:t>
      </w:r>
      <w:r>
        <w:rPr>
          <w:rFonts w:ascii="Bookman Old Style"/>
          <w:sz w:val="24"/>
        </w:rPr>
        <w:t xml:space="preserve"> are considered to be polluted, which has a huge psychological impact on them, and undermines their dignity under Article</w:t>
      </w:r>
      <w:r>
        <w:rPr>
          <w:rFonts w:ascii="Bookman Old Style"/>
          <w:spacing w:val="-7"/>
          <w:sz w:val="24"/>
        </w:rPr>
        <w:t xml:space="preserve"> </w:t>
      </w:r>
      <w:r>
        <w:rPr>
          <w:rFonts w:ascii="Bookman Old Style"/>
          <w:sz w:val="24"/>
        </w:rPr>
        <w:t>21.</w:t>
      </w:r>
    </w:p>
    <w:p w:rsidR="003B2FC0" w:rsidRDefault="00052A49">
      <w:pPr>
        <w:spacing w:line="480" w:lineRule="auto"/>
        <w:ind w:left="1261" w:right="457" w:firstLine="415"/>
        <w:jc w:val="both"/>
        <w:rPr>
          <w:rFonts w:ascii="Bookman Old Style" w:hAnsi="Bookman Old Style"/>
          <w:sz w:val="24"/>
        </w:rPr>
      </w:pPr>
      <w:r>
        <w:rPr>
          <w:rFonts w:ascii="Bookman Old Style" w:hAnsi="Bookman Old Style"/>
          <w:sz w:val="24"/>
        </w:rPr>
        <w:t>The exclusionary practise is violative of Article 17 as it is a direct form of “Untouchability”. Excluding women from public place</w:t>
      </w:r>
      <w:r>
        <w:rPr>
          <w:rFonts w:ascii="Bookman Old Style" w:hAnsi="Bookman Old Style"/>
          <w:sz w:val="24"/>
        </w:rPr>
        <w:t>s such as temples, based on menstruation, is a form of ‘untouchability’.  This Article is enforceable both against non-State as well as State actors.</w:t>
      </w:r>
    </w:p>
    <w:p w:rsidR="003B2FC0" w:rsidRDefault="00052A49">
      <w:pPr>
        <w:pStyle w:val="ListParagraph"/>
        <w:numPr>
          <w:ilvl w:val="1"/>
          <w:numId w:val="13"/>
        </w:numPr>
        <w:tabs>
          <w:tab w:val="left" w:pos="1262"/>
        </w:tabs>
        <w:spacing w:before="1" w:line="480" w:lineRule="auto"/>
        <w:ind w:right="456"/>
        <w:jc w:val="both"/>
        <w:rPr>
          <w:rFonts w:ascii="Bookman Old Style"/>
          <w:sz w:val="24"/>
        </w:rPr>
      </w:pPr>
      <w:r>
        <w:rPr>
          <w:rFonts w:ascii="Bookman Old Style"/>
          <w:sz w:val="24"/>
        </w:rPr>
        <w:t xml:space="preserve">Mr. Raju Ramachandran, learned </w:t>
      </w:r>
      <w:r>
        <w:rPr>
          <w:rFonts w:ascii="Bookman Old Style"/>
          <w:i/>
          <w:sz w:val="24"/>
        </w:rPr>
        <w:t>Amicus Curiae</w:t>
      </w:r>
      <w:r>
        <w:rPr>
          <w:rFonts w:ascii="Bookman Old Style"/>
          <w:sz w:val="24"/>
        </w:rPr>
        <w:t>, submitted that the Sabarimala Temple is a place of public wo</w:t>
      </w:r>
      <w:r>
        <w:rPr>
          <w:rFonts w:ascii="Bookman Old Style"/>
          <w:sz w:val="24"/>
        </w:rPr>
        <w:t>rship. It is managed and administered by a statutory body i.e. the Travancore Devaswom Board. According to him, a public temple by its very character is established,</w:t>
      </w:r>
      <w:r>
        <w:rPr>
          <w:rFonts w:ascii="Bookman Old Style"/>
          <w:spacing w:val="14"/>
          <w:sz w:val="24"/>
        </w:rPr>
        <w:t xml:space="preserve"> </w:t>
      </w:r>
      <w:r>
        <w:rPr>
          <w:rFonts w:ascii="Bookman Old Style"/>
          <w:sz w:val="24"/>
        </w:rPr>
        <w:t>and</w:t>
      </w:r>
      <w:r>
        <w:rPr>
          <w:rFonts w:ascii="Bookman Old Style"/>
          <w:spacing w:val="14"/>
          <w:sz w:val="24"/>
        </w:rPr>
        <w:t xml:space="preserve"> </w:t>
      </w:r>
      <w:r>
        <w:rPr>
          <w:rFonts w:ascii="Bookman Old Style"/>
          <w:sz w:val="24"/>
        </w:rPr>
        <w:t>maintained</w:t>
      </w:r>
      <w:r>
        <w:rPr>
          <w:rFonts w:ascii="Bookman Old Style"/>
          <w:spacing w:val="14"/>
          <w:sz w:val="24"/>
        </w:rPr>
        <w:t xml:space="preserve"> </w:t>
      </w:r>
      <w:r>
        <w:rPr>
          <w:rFonts w:ascii="Bookman Old Style"/>
          <w:sz w:val="24"/>
        </w:rPr>
        <w:t>for</w:t>
      </w:r>
      <w:r>
        <w:rPr>
          <w:rFonts w:ascii="Bookman Old Style"/>
          <w:spacing w:val="14"/>
          <w:sz w:val="24"/>
        </w:rPr>
        <w:t xml:space="preserve"> </w:t>
      </w:r>
      <w:r>
        <w:rPr>
          <w:rFonts w:ascii="Bookman Old Style"/>
          <w:sz w:val="24"/>
        </w:rPr>
        <w:t>the</w:t>
      </w:r>
      <w:r>
        <w:rPr>
          <w:rFonts w:ascii="Bookman Old Style"/>
          <w:spacing w:val="14"/>
          <w:sz w:val="24"/>
        </w:rPr>
        <w:t xml:space="preserve"> </w:t>
      </w:r>
      <w:r>
        <w:rPr>
          <w:rFonts w:ascii="Bookman Old Style"/>
          <w:sz w:val="24"/>
        </w:rPr>
        <w:t>benefit</w:t>
      </w:r>
      <w:r>
        <w:rPr>
          <w:rFonts w:ascii="Bookman Old Style"/>
          <w:spacing w:val="16"/>
          <w:sz w:val="24"/>
        </w:rPr>
        <w:t xml:space="preserve"> </w:t>
      </w:r>
      <w:r>
        <w:rPr>
          <w:rFonts w:ascii="Bookman Old Style"/>
          <w:sz w:val="24"/>
        </w:rPr>
        <w:t>of</w:t>
      </w:r>
      <w:r>
        <w:rPr>
          <w:rFonts w:ascii="Bookman Old Style"/>
          <w:spacing w:val="14"/>
          <w:sz w:val="24"/>
        </w:rPr>
        <w:t xml:space="preserve"> </w:t>
      </w:r>
      <w:r>
        <w:rPr>
          <w:rFonts w:ascii="Bookman Old Style"/>
          <w:sz w:val="24"/>
        </w:rPr>
        <w:t>its</w:t>
      </w:r>
      <w:r>
        <w:rPr>
          <w:rFonts w:ascii="Bookman Old Style"/>
          <w:spacing w:val="14"/>
          <w:sz w:val="24"/>
        </w:rPr>
        <w:t xml:space="preserve"> </w:t>
      </w:r>
      <w:r>
        <w:rPr>
          <w:rFonts w:ascii="Bookman Old Style"/>
          <w:sz w:val="24"/>
        </w:rPr>
        <w:t>devotees.</w:t>
      </w:r>
      <w:r>
        <w:rPr>
          <w:rFonts w:ascii="Bookman Old Style"/>
          <w:spacing w:val="12"/>
          <w:sz w:val="24"/>
        </w:rPr>
        <w:t xml:space="preserve"> </w:t>
      </w:r>
      <w:r>
        <w:rPr>
          <w:rFonts w:ascii="Bookman Old Style"/>
          <w:sz w:val="24"/>
        </w:rPr>
        <w:t>The</w:t>
      </w:r>
      <w:r>
        <w:rPr>
          <w:rFonts w:ascii="Bookman Old Style"/>
          <w:spacing w:val="14"/>
          <w:sz w:val="24"/>
        </w:rPr>
        <w:t xml:space="preserve"> </w:t>
      </w:r>
      <w:r>
        <w:rPr>
          <w:rFonts w:ascii="Bookman Old Style"/>
          <w:sz w:val="24"/>
        </w:rPr>
        <w:t>right</w:t>
      </w:r>
    </w:p>
    <w:p w:rsidR="003B2FC0" w:rsidRDefault="003B2FC0">
      <w:pPr>
        <w:pStyle w:val="BodyText"/>
        <w:rPr>
          <w:sz w:val="20"/>
        </w:rPr>
      </w:pPr>
    </w:p>
    <w:p w:rsidR="003B2FC0" w:rsidRDefault="003B2FC0">
      <w:pPr>
        <w:pStyle w:val="BodyText"/>
        <w:spacing w:before="8"/>
        <w:rPr>
          <w:sz w:val="11"/>
        </w:rPr>
      </w:pPr>
      <w:r w:rsidRPr="003B2FC0">
        <w:pict>
          <v:line id="_x0000_s1060" style="position:absolute;z-index:251655680;mso-wrap-distance-left:0;mso-wrap-distance-right:0;mso-position-horizontal-relative:page" from="1in,9.25pt" to="216.05pt,9.2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3 </w:t>
      </w:r>
      <w:r>
        <w:rPr>
          <w:rFonts w:ascii="Bookman Old Style"/>
          <w:sz w:val="20"/>
        </w:rPr>
        <w:t>(1964) 7 SCR 32 : AIR 1964 SC 1501</w:t>
      </w:r>
    </w:p>
    <w:p w:rsidR="003B2FC0" w:rsidRDefault="00052A49">
      <w:pPr>
        <w:ind w:left="400"/>
        <w:rPr>
          <w:rFonts w:ascii="Bookman Old Style"/>
          <w:sz w:val="20"/>
        </w:rPr>
      </w:pPr>
      <w:r>
        <w:rPr>
          <w:rFonts w:ascii="Bookman Old Style"/>
          <w:position w:val="5"/>
          <w:sz w:val="13"/>
        </w:rPr>
        <w:t xml:space="preserve">4 </w:t>
      </w:r>
      <w:r>
        <w:rPr>
          <w:rFonts w:ascii="Bookman Old Style"/>
          <w:sz w:val="20"/>
        </w:rPr>
        <w:t>(1983) 1 SCC 51</w:t>
      </w:r>
    </w:p>
    <w:p w:rsidR="003B2FC0" w:rsidRDefault="003B2FC0">
      <w:pPr>
        <w:rPr>
          <w:rFonts w:ascii="Bookman Old Style"/>
          <w:sz w:val="20"/>
        </w:rPr>
        <w:sectPr w:rsidR="003B2FC0">
          <w:headerReference w:type="default" r:id="rId403"/>
          <w:footerReference w:type="default" r:id="rId404"/>
          <w:pgSz w:w="11910" w:h="16840"/>
          <w:pgMar w:top="1340" w:right="980" w:bottom="1220" w:left="1040" w:header="0" w:footer="1033" w:gutter="0"/>
          <w:pgNumType w:start="5"/>
          <w:cols w:space="720"/>
        </w:sectPr>
      </w:pPr>
    </w:p>
    <w:p w:rsidR="003B2FC0" w:rsidRDefault="00052A49">
      <w:pPr>
        <w:spacing w:before="83" w:line="480" w:lineRule="auto"/>
        <w:ind w:left="1261" w:right="434"/>
        <w:rPr>
          <w:rFonts w:ascii="Bookman Old Style"/>
          <w:sz w:val="24"/>
        </w:rPr>
      </w:pPr>
      <w:r>
        <w:rPr>
          <w:rFonts w:ascii="Bookman Old Style"/>
          <w:sz w:val="24"/>
        </w:rPr>
        <w:t>of entry emanates from this public character, and is a legal right which is not dependent upon the temple authorities.</w:t>
      </w:r>
    </w:p>
    <w:p w:rsidR="003B2FC0" w:rsidRDefault="00052A49">
      <w:pPr>
        <w:spacing w:before="2" w:line="480" w:lineRule="auto"/>
        <w:ind w:left="1261" w:right="453" w:firstLine="415"/>
        <w:jc w:val="both"/>
        <w:rPr>
          <w:rFonts w:ascii="Bookman Old Style" w:hAnsi="Bookman Old Style"/>
          <w:sz w:val="24"/>
        </w:rPr>
      </w:pPr>
      <w:r>
        <w:rPr>
          <w:rFonts w:ascii="Bookman Old Style" w:hAnsi="Bookman Old Style"/>
          <w:sz w:val="24"/>
        </w:rPr>
        <w:t xml:space="preserve">The Travancore Devaswom Board is a statutorily created authority under the Travancore – Cochin Hindu Religious Institutions Act, 1950, and receives an annual payment from the Consolidated Fund of India under Article 290A. It would squarely fall within the </w:t>
      </w:r>
      <w:r>
        <w:rPr>
          <w:rFonts w:ascii="Bookman Old Style" w:hAnsi="Bookman Old Style"/>
          <w:sz w:val="24"/>
        </w:rPr>
        <w:t>ambit of “other authorities” in Article 12, and is duty bound to give effect to the Fundamental</w:t>
      </w:r>
      <w:r>
        <w:rPr>
          <w:rFonts w:ascii="Bookman Old Style" w:hAnsi="Bookman Old Style"/>
          <w:spacing w:val="-8"/>
          <w:sz w:val="24"/>
        </w:rPr>
        <w:t xml:space="preserve"> </w:t>
      </w:r>
      <w:r>
        <w:rPr>
          <w:rFonts w:ascii="Bookman Old Style" w:hAnsi="Bookman Old Style"/>
          <w:sz w:val="24"/>
        </w:rPr>
        <w:t>Rights.</w:t>
      </w:r>
    </w:p>
    <w:p w:rsidR="003B2FC0" w:rsidRDefault="00052A49">
      <w:pPr>
        <w:pStyle w:val="ListParagraph"/>
        <w:numPr>
          <w:ilvl w:val="1"/>
          <w:numId w:val="13"/>
        </w:numPr>
        <w:tabs>
          <w:tab w:val="left" w:pos="1262"/>
        </w:tabs>
        <w:spacing w:line="480" w:lineRule="auto"/>
        <w:ind w:right="456"/>
        <w:jc w:val="both"/>
        <w:rPr>
          <w:rFonts w:ascii="Bookman Old Style"/>
          <w:sz w:val="24"/>
        </w:rPr>
      </w:pPr>
      <w:r>
        <w:rPr>
          <w:rFonts w:ascii="Bookman Old Style"/>
          <w:sz w:val="24"/>
        </w:rPr>
        <w:t>The Fundamental Right to worship under Article 25(1) is a non- discriminatory right, and is equally available to both men and  women alike. The right of</w:t>
      </w:r>
      <w:r>
        <w:rPr>
          <w:rFonts w:ascii="Bookman Old Style"/>
          <w:sz w:val="24"/>
        </w:rPr>
        <w:t xml:space="preserve"> a woman to enter the Temple as a devotee is an essential aspect of her right to worship, and is a necessary concomitant of the right to equality guaranteed by Articles</w:t>
      </w:r>
      <w:r>
        <w:rPr>
          <w:rFonts w:ascii="Bookman Old Style"/>
          <w:spacing w:val="-16"/>
          <w:sz w:val="24"/>
        </w:rPr>
        <w:t xml:space="preserve"> </w:t>
      </w:r>
      <w:r>
        <w:rPr>
          <w:rFonts w:ascii="Bookman Old Style"/>
          <w:sz w:val="24"/>
        </w:rPr>
        <w:t>15.</w:t>
      </w:r>
    </w:p>
    <w:p w:rsidR="003B2FC0" w:rsidRDefault="00052A49">
      <w:pPr>
        <w:spacing w:line="480" w:lineRule="auto"/>
        <w:ind w:left="1261" w:right="457" w:firstLine="415"/>
        <w:jc w:val="both"/>
        <w:rPr>
          <w:rFonts w:ascii="Bookman Old Style"/>
          <w:sz w:val="24"/>
        </w:rPr>
      </w:pPr>
      <w:r>
        <w:rPr>
          <w:rFonts w:ascii="Bookman Old Style"/>
          <w:sz w:val="24"/>
        </w:rPr>
        <w:t>The non-discriminatory right of worship is not dependent upon the will of the State</w:t>
      </w:r>
      <w:r>
        <w:rPr>
          <w:rFonts w:ascii="Bookman Old Style"/>
          <w:sz w:val="24"/>
        </w:rPr>
        <w:t xml:space="preserve"> to provide for social welfare or reform under Article 25(2)(b).</w:t>
      </w:r>
    </w:p>
    <w:p w:rsidR="003B2FC0" w:rsidRDefault="00052A49">
      <w:pPr>
        <w:spacing w:line="480" w:lineRule="auto"/>
        <w:ind w:left="1261" w:right="457" w:firstLine="415"/>
        <w:jc w:val="both"/>
        <w:rPr>
          <w:rFonts w:ascii="Bookman Old Style"/>
          <w:sz w:val="24"/>
        </w:rPr>
      </w:pPr>
      <w:r>
        <w:rPr>
          <w:rFonts w:ascii="Bookman Old Style"/>
          <w:sz w:val="24"/>
        </w:rPr>
        <w:t>Article 25(2)(b) is not merely an enabling provision, but provides a substantive right. The exclusion of women cannot be classified as an essential religious practise in the absence of any sc</w:t>
      </w:r>
      <w:r>
        <w:rPr>
          <w:rFonts w:ascii="Bookman Old Style"/>
          <w:sz w:val="24"/>
        </w:rPr>
        <w:t>riptural evidence being adduced on the part of the Respondents.</w:t>
      </w:r>
    </w:p>
    <w:p w:rsidR="003B2FC0" w:rsidRDefault="00052A49">
      <w:pPr>
        <w:pStyle w:val="ListParagraph"/>
        <w:numPr>
          <w:ilvl w:val="1"/>
          <w:numId w:val="13"/>
        </w:numPr>
        <w:tabs>
          <w:tab w:val="left" w:pos="1262"/>
        </w:tabs>
        <w:spacing w:line="480" w:lineRule="auto"/>
        <w:ind w:right="456"/>
        <w:jc w:val="both"/>
        <w:rPr>
          <w:rFonts w:ascii="Bookman Old Style" w:hAnsi="Bookman Old Style"/>
          <w:i/>
          <w:sz w:val="24"/>
        </w:rPr>
      </w:pPr>
      <w:r>
        <w:rPr>
          <w:rFonts w:ascii="Bookman Old Style" w:hAnsi="Bookman Old Style"/>
          <w:sz w:val="24"/>
        </w:rPr>
        <w:t xml:space="preserve">The exclusionary practise results in discrimination against women as a class, since a significant section of women are excluded from entering the Temple. Placing reliance on the “impact test” </w:t>
      </w:r>
      <w:r>
        <w:rPr>
          <w:rFonts w:ascii="Bookman Old Style" w:hAnsi="Bookman Old Style"/>
          <w:sz w:val="24"/>
        </w:rPr>
        <w:t>enunciated by</w:t>
      </w:r>
      <w:r>
        <w:rPr>
          <w:rFonts w:ascii="Bookman Old Style" w:hAnsi="Bookman Old Style"/>
          <w:spacing w:val="31"/>
          <w:sz w:val="24"/>
        </w:rPr>
        <w:t xml:space="preserve"> </w:t>
      </w:r>
      <w:r>
        <w:rPr>
          <w:rFonts w:ascii="Bookman Old Style" w:hAnsi="Bookman Old Style"/>
          <w:sz w:val="24"/>
        </w:rPr>
        <w:t>this</w:t>
      </w:r>
      <w:r>
        <w:rPr>
          <w:rFonts w:ascii="Bookman Old Style" w:hAnsi="Bookman Old Style"/>
          <w:spacing w:val="32"/>
          <w:sz w:val="24"/>
        </w:rPr>
        <w:t xml:space="preserve"> </w:t>
      </w:r>
      <w:r>
        <w:rPr>
          <w:rFonts w:ascii="Bookman Old Style" w:hAnsi="Bookman Old Style"/>
          <w:sz w:val="24"/>
        </w:rPr>
        <w:t>Court</w:t>
      </w:r>
      <w:r>
        <w:rPr>
          <w:rFonts w:ascii="Bookman Old Style" w:hAnsi="Bookman Old Style"/>
          <w:spacing w:val="32"/>
          <w:sz w:val="24"/>
        </w:rPr>
        <w:t xml:space="preserve"> </w:t>
      </w:r>
      <w:r>
        <w:rPr>
          <w:rFonts w:ascii="Bookman Old Style" w:hAnsi="Bookman Old Style"/>
          <w:sz w:val="24"/>
        </w:rPr>
        <w:t>in</w:t>
      </w:r>
      <w:r>
        <w:rPr>
          <w:rFonts w:ascii="Bookman Old Style" w:hAnsi="Bookman Old Style"/>
          <w:spacing w:val="33"/>
          <w:sz w:val="24"/>
        </w:rPr>
        <w:t xml:space="preserve"> </w:t>
      </w:r>
      <w:r>
        <w:rPr>
          <w:rFonts w:ascii="Bookman Old Style" w:hAnsi="Bookman Old Style"/>
          <w:i/>
          <w:sz w:val="24"/>
        </w:rPr>
        <w:t>Bennett</w:t>
      </w:r>
      <w:r>
        <w:rPr>
          <w:rFonts w:ascii="Bookman Old Style" w:hAnsi="Bookman Old Style"/>
          <w:i/>
          <w:spacing w:val="30"/>
          <w:sz w:val="24"/>
        </w:rPr>
        <w:t xml:space="preserve"> </w:t>
      </w:r>
      <w:r>
        <w:rPr>
          <w:rFonts w:ascii="Bookman Old Style" w:hAnsi="Bookman Old Style"/>
          <w:i/>
          <w:sz w:val="24"/>
        </w:rPr>
        <w:t>Coleman</w:t>
      </w:r>
      <w:r>
        <w:rPr>
          <w:rFonts w:ascii="Bookman Old Style" w:hAnsi="Bookman Old Style"/>
          <w:i/>
          <w:spacing w:val="33"/>
          <w:sz w:val="24"/>
        </w:rPr>
        <w:t xml:space="preserve"> </w:t>
      </w:r>
      <w:r>
        <w:rPr>
          <w:rFonts w:ascii="Bookman Old Style" w:hAnsi="Bookman Old Style"/>
          <w:i/>
          <w:sz w:val="24"/>
        </w:rPr>
        <w:t>&amp;</w:t>
      </w:r>
      <w:r>
        <w:rPr>
          <w:rFonts w:ascii="Bookman Old Style" w:hAnsi="Bookman Old Style"/>
          <w:i/>
          <w:spacing w:val="32"/>
          <w:sz w:val="24"/>
        </w:rPr>
        <w:t xml:space="preserve"> </w:t>
      </w:r>
      <w:r>
        <w:rPr>
          <w:rFonts w:ascii="Bookman Old Style" w:hAnsi="Bookman Old Style"/>
          <w:i/>
          <w:sz w:val="24"/>
        </w:rPr>
        <w:t>Co.</w:t>
      </w:r>
      <w:r>
        <w:rPr>
          <w:rFonts w:ascii="Bookman Old Style" w:hAnsi="Bookman Old Style"/>
          <w:i/>
          <w:spacing w:val="32"/>
          <w:sz w:val="24"/>
        </w:rPr>
        <w:t xml:space="preserve"> </w:t>
      </w:r>
      <w:r>
        <w:rPr>
          <w:rFonts w:ascii="Bookman Old Style" w:hAnsi="Bookman Old Style"/>
          <w:i/>
          <w:sz w:val="24"/>
        </w:rPr>
        <w:t>&amp;</w:t>
      </w:r>
      <w:r>
        <w:rPr>
          <w:rFonts w:ascii="Bookman Old Style" w:hAnsi="Bookman Old Style"/>
          <w:i/>
          <w:spacing w:val="32"/>
          <w:sz w:val="24"/>
        </w:rPr>
        <w:t xml:space="preserve"> </w:t>
      </w:r>
      <w:r>
        <w:rPr>
          <w:rFonts w:ascii="Bookman Old Style" w:hAnsi="Bookman Old Style"/>
          <w:i/>
          <w:sz w:val="24"/>
        </w:rPr>
        <w:t>Ors.</w:t>
      </w:r>
      <w:r>
        <w:rPr>
          <w:rFonts w:ascii="Bookman Old Style" w:hAnsi="Bookman Old Style"/>
          <w:i/>
          <w:spacing w:val="40"/>
          <w:sz w:val="24"/>
        </w:rPr>
        <w:t xml:space="preserve"> </w:t>
      </w:r>
      <w:r>
        <w:rPr>
          <w:rFonts w:ascii="Bookman Old Style" w:hAnsi="Bookman Old Style"/>
          <w:sz w:val="24"/>
        </w:rPr>
        <w:t>v.</w:t>
      </w:r>
      <w:r>
        <w:rPr>
          <w:rFonts w:ascii="Bookman Old Style" w:hAnsi="Bookman Old Style"/>
          <w:spacing w:val="31"/>
          <w:sz w:val="24"/>
        </w:rPr>
        <w:t xml:space="preserve"> </w:t>
      </w:r>
      <w:r>
        <w:rPr>
          <w:rFonts w:ascii="Bookman Old Style" w:hAnsi="Bookman Old Style"/>
          <w:i/>
          <w:sz w:val="24"/>
        </w:rPr>
        <w:t>Union</w:t>
      </w:r>
      <w:r>
        <w:rPr>
          <w:rFonts w:ascii="Bookman Old Style" w:hAnsi="Bookman Old Style"/>
          <w:i/>
          <w:spacing w:val="32"/>
          <w:sz w:val="24"/>
        </w:rPr>
        <w:t xml:space="preserve"> </w:t>
      </w:r>
      <w:r>
        <w:rPr>
          <w:rFonts w:ascii="Bookman Old Style" w:hAnsi="Bookman Old Style"/>
          <w:i/>
          <w:sz w:val="24"/>
        </w:rPr>
        <w:t>of</w:t>
      </w:r>
      <w:r>
        <w:rPr>
          <w:rFonts w:ascii="Bookman Old Style" w:hAnsi="Bookman Old Style"/>
          <w:i/>
          <w:spacing w:val="39"/>
          <w:sz w:val="24"/>
        </w:rPr>
        <w:t xml:space="preserve"> </w:t>
      </w:r>
      <w:r>
        <w:rPr>
          <w:rFonts w:ascii="Bookman Old Style" w:hAnsi="Bookman Old Style"/>
          <w:i/>
          <w:sz w:val="24"/>
        </w:rPr>
        <w:t>India</w:t>
      </w:r>
      <w:r>
        <w:rPr>
          <w:rFonts w:ascii="Bookman Old Style" w:hAnsi="Bookman Old Style"/>
          <w:i/>
          <w:spacing w:val="32"/>
          <w:sz w:val="24"/>
        </w:rPr>
        <w:t xml:space="preserve"> </w:t>
      </w:r>
      <w:r>
        <w:rPr>
          <w:rFonts w:ascii="Bookman Old Style" w:hAnsi="Bookman Old Style"/>
          <w:i/>
          <w:sz w:val="24"/>
        </w:rPr>
        <w:t>&amp;</w:t>
      </w:r>
    </w:p>
    <w:p w:rsidR="003B2FC0" w:rsidRDefault="003B2FC0">
      <w:pPr>
        <w:spacing w:line="480" w:lineRule="auto"/>
        <w:jc w:val="both"/>
        <w:rPr>
          <w:rFonts w:ascii="Bookman Old Style" w:hAnsi="Bookman Old Style"/>
          <w:sz w:val="24"/>
        </w:rPr>
        <w:sectPr w:rsidR="003B2FC0">
          <w:headerReference w:type="default" r:id="rId405"/>
          <w:footerReference w:type="default" r:id="rId406"/>
          <w:pgSz w:w="11910" w:h="16840"/>
          <w:pgMar w:top="1340" w:right="980" w:bottom="1220" w:left="1040" w:header="0" w:footer="1033" w:gutter="0"/>
          <w:pgNumType w:start="6"/>
          <w:cols w:space="720"/>
        </w:sectPr>
      </w:pPr>
    </w:p>
    <w:p w:rsidR="003B2FC0" w:rsidRDefault="00052A49">
      <w:pPr>
        <w:spacing w:before="83" w:line="480" w:lineRule="auto"/>
        <w:ind w:left="1261" w:right="456"/>
        <w:jc w:val="both"/>
        <w:rPr>
          <w:rFonts w:ascii="Bookman Old Style" w:hAnsi="Bookman Old Style"/>
          <w:sz w:val="24"/>
        </w:rPr>
      </w:pPr>
      <w:r>
        <w:rPr>
          <w:rFonts w:ascii="Bookman Old Style" w:hAnsi="Bookman Old Style"/>
          <w:i/>
          <w:sz w:val="24"/>
        </w:rPr>
        <w:t>Ors.</w:t>
      </w:r>
      <w:r>
        <w:rPr>
          <w:rFonts w:ascii="Bookman Old Style" w:hAnsi="Bookman Old Style"/>
          <w:position w:val="6"/>
          <w:sz w:val="16"/>
        </w:rPr>
        <w:t>5</w:t>
      </w:r>
      <w:r>
        <w:rPr>
          <w:rFonts w:ascii="Bookman Old Style" w:hAnsi="Bookman Old Style"/>
          <w:sz w:val="24"/>
        </w:rPr>
        <w:t>, he submitted that the discrimination is only on the ground of “sex” since the biological feature of menstruation emanates from the characteristics of the particular sex.</w:t>
      </w:r>
    </w:p>
    <w:p w:rsidR="003B2FC0" w:rsidRDefault="00052A49">
      <w:pPr>
        <w:pStyle w:val="ListParagraph"/>
        <w:numPr>
          <w:ilvl w:val="1"/>
          <w:numId w:val="13"/>
        </w:numPr>
        <w:tabs>
          <w:tab w:val="left" w:pos="1262"/>
        </w:tabs>
        <w:spacing w:line="480" w:lineRule="auto"/>
        <w:ind w:right="455"/>
        <w:jc w:val="both"/>
        <w:rPr>
          <w:rFonts w:ascii="Bookman Old Style" w:hAnsi="Bookman Old Style"/>
          <w:sz w:val="24"/>
        </w:rPr>
      </w:pPr>
      <w:r>
        <w:rPr>
          <w:rFonts w:ascii="Bookman Old Style" w:hAnsi="Bookman Old Style"/>
          <w:sz w:val="24"/>
        </w:rPr>
        <w:t>Article 17 prohibits untouchability “in any form” in order to abolish all practises based on notions of purity, and pollution. The exclusion of menstruating women is on the same footing as the exclusion of oppressed</w:t>
      </w:r>
      <w:r>
        <w:rPr>
          <w:rFonts w:ascii="Bookman Old Style" w:hAnsi="Bookman Old Style"/>
          <w:spacing w:val="-1"/>
          <w:sz w:val="24"/>
        </w:rPr>
        <w:t xml:space="preserve"> </w:t>
      </w:r>
      <w:r>
        <w:rPr>
          <w:rFonts w:ascii="Bookman Old Style" w:hAnsi="Bookman Old Style"/>
          <w:sz w:val="24"/>
        </w:rPr>
        <w:t>classes.</w:t>
      </w:r>
    </w:p>
    <w:p w:rsidR="003B2FC0" w:rsidRDefault="00052A49">
      <w:pPr>
        <w:pStyle w:val="ListParagraph"/>
        <w:numPr>
          <w:ilvl w:val="1"/>
          <w:numId w:val="13"/>
        </w:numPr>
        <w:tabs>
          <w:tab w:val="left" w:pos="1262"/>
        </w:tabs>
        <w:spacing w:line="480" w:lineRule="auto"/>
        <w:ind w:right="456"/>
        <w:jc w:val="both"/>
        <w:rPr>
          <w:rFonts w:ascii="Bookman Old Style" w:hAnsi="Bookman Old Style"/>
          <w:sz w:val="24"/>
        </w:rPr>
      </w:pPr>
      <w:r>
        <w:rPr>
          <w:rFonts w:ascii="Bookman Old Style" w:hAnsi="Bookman Old Style"/>
          <w:sz w:val="24"/>
        </w:rPr>
        <w:t>The term “morality” used in Art</w:t>
      </w:r>
      <w:r>
        <w:rPr>
          <w:rFonts w:ascii="Bookman Old Style" w:hAnsi="Bookman Old Style"/>
          <w:sz w:val="24"/>
        </w:rPr>
        <w:t>icles 25 and 26 refers to Constitutional Morality, and not an individualised or sectionalised sense of morality. It must be informed by Articles 14, 15, 17, 38, and 51A.</w:t>
      </w:r>
    </w:p>
    <w:p w:rsidR="003B2FC0" w:rsidRDefault="00052A49">
      <w:pPr>
        <w:pStyle w:val="ListParagraph"/>
        <w:numPr>
          <w:ilvl w:val="1"/>
          <w:numId w:val="13"/>
        </w:numPr>
        <w:tabs>
          <w:tab w:val="left" w:pos="1262"/>
        </w:tabs>
        <w:spacing w:before="2" w:line="480" w:lineRule="auto"/>
        <w:ind w:right="453"/>
        <w:jc w:val="both"/>
        <w:rPr>
          <w:rFonts w:ascii="Bookman Old Style"/>
          <w:sz w:val="24"/>
        </w:rPr>
      </w:pPr>
      <w:r>
        <w:rPr>
          <w:rFonts w:ascii="Bookman Old Style"/>
          <w:sz w:val="24"/>
        </w:rPr>
        <w:t xml:space="preserve">Mr. Ramachandran, learned </w:t>
      </w:r>
      <w:r>
        <w:rPr>
          <w:rFonts w:ascii="Bookman Old Style"/>
          <w:i/>
          <w:sz w:val="24"/>
        </w:rPr>
        <w:t xml:space="preserve">Amicus Curiae </w:t>
      </w:r>
      <w:r>
        <w:rPr>
          <w:rFonts w:ascii="Bookman Old Style"/>
          <w:sz w:val="24"/>
        </w:rPr>
        <w:t xml:space="preserve">submitted that Rule 3(b) of the 1965 Act is </w:t>
      </w:r>
      <w:r>
        <w:rPr>
          <w:rFonts w:ascii="Bookman Old Style"/>
          <w:i/>
          <w:sz w:val="24"/>
        </w:rPr>
        <w:t>ul</w:t>
      </w:r>
      <w:r>
        <w:rPr>
          <w:rFonts w:ascii="Bookman Old Style"/>
          <w:i/>
          <w:sz w:val="24"/>
        </w:rPr>
        <w:t xml:space="preserve">tra vires </w:t>
      </w:r>
      <w:r>
        <w:rPr>
          <w:rFonts w:ascii="Bookman Old Style"/>
          <w:sz w:val="24"/>
        </w:rPr>
        <w:t xml:space="preserve">Section 3 of the 1965 Act insofar as it seeks to protect customs and usages, which Section 3 specifically over-rides. The justification for Rule 3 cannot flow from the proviso  to Section 3, since the proviso can only be interpreted in line with </w:t>
      </w:r>
      <w:r>
        <w:rPr>
          <w:rFonts w:ascii="Bookman Old Style"/>
          <w:sz w:val="24"/>
        </w:rPr>
        <w:t xml:space="preserve"> the decision of this Court in </w:t>
      </w:r>
      <w:r>
        <w:rPr>
          <w:rFonts w:ascii="Bookman Old Style"/>
          <w:i/>
          <w:sz w:val="24"/>
        </w:rPr>
        <w:t xml:space="preserve">Sri Venkataramana Devaru &amp; Ors. </w:t>
      </w:r>
      <w:r>
        <w:rPr>
          <w:rFonts w:ascii="Bookman Old Style"/>
          <w:sz w:val="24"/>
        </w:rPr>
        <w:t xml:space="preserve">v. </w:t>
      </w:r>
      <w:r>
        <w:rPr>
          <w:rFonts w:ascii="Bookman Old Style"/>
          <w:i/>
          <w:sz w:val="24"/>
        </w:rPr>
        <w:t xml:space="preserve">State of Mysore &amp; Ors. </w:t>
      </w:r>
      <w:r>
        <w:rPr>
          <w:rFonts w:ascii="Bookman Old Style"/>
          <w:sz w:val="24"/>
        </w:rPr>
        <w:t xml:space="preserve">(supra). It is </w:t>
      </w:r>
      <w:r>
        <w:rPr>
          <w:rFonts w:ascii="Bookman Old Style"/>
          <w:i/>
          <w:sz w:val="24"/>
        </w:rPr>
        <w:t xml:space="preserve">ultra vires </w:t>
      </w:r>
      <w:r>
        <w:rPr>
          <w:rFonts w:ascii="Bookman Old Style"/>
          <w:sz w:val="24"/>
        </w:rPr>
        <w:t>Section 4 since it provides that the Rules framed thereunder cannot be discriminatory against any section or</w:t>
      </w:r>
      <w:r>
        <w:rPr>
          <w:rFonts w:ascii="Bookman Old Style"/>
          <w:spacing w:val="-1"/>
          <w:sz w:val="24"/>
        </w:rPr>
        <w:t xml:space="preserve"> </w:t>
      </w:r>
      <w:r>
        <w:rPr>
          <w:rFonts w:ascii="Bookman Old Style"/>
          <w:sz w:val="24"/>
        </w:rPr>
        <w:t>class.</w:t>
      </w:r>
    </w:p>
    <w:p w:rsidR="003B2FC0" w:rsidRDefault="003B2FC0">
      <w:pPr>
        <w:pStyle w:val="BodyText"/>
      </w:pPr>
    </w:p>
    <w:p w:rsidR="003B2FC0" w:rsidRDefault="00052A49">
      <w:pPr>
        <w:pStyle w:val="ListParagraph"/>
        <w:numPr>
          <w:ilvl w:val="0"/>
          <w:numId w:val="13"/>
        </w:numPr>
        <w:tabs>
          <w:tab w:val="left" w:pos="543"/>
        </w:tabs>
        <w:spacing w:before="236"/>
        <w:jc w:val="left"/>
        <w:rPr>
          <w:rFonts w:ascii="Bookman Old Style"/>
          <w:sz w:val="19"/>
        </w:rPr>
      </w:pPr>
      <w:r>
        <w:rPr>
          <w:rFonts w:ascii="Bookman Old Style"/>
          <w:sz w:val="24"/>
          <w:u w:val="single"/>
        </w:rPr>
        <w:t>S</w:t>
      </w:r>
      <w:r>
        <w:rPr>
          <w:rFonts w:ascii="Bookman Old Style"/>
          <w:sz w:val="19"/>
          <w:u w:val="single"/>
        </w:rPr>
        <w:t>UBMISSIONS OF THE</w:t>
      </w:r>
      <w:r>
        <w:rPr>
          <w:rFonts w:ascii="Bookman Old Style"/>
          <w:spacing w:val="-4"/>
          <w:sz w:val="19"/>
          <w:u w:val="single"/>
        </w:rPr>
        <w:t xml:space="preserve"> </w:t>
      </w:r>
      <w:r>
        <w:rPr>
          <w:rFonts w:ascii="Bookman Old Style"/>
          <w:sz w:val="24"/>
          <w:u w:val="single"/>
        </w:rPr>
        <w:t>R</w:t>
      </w:r>
      <w:r>
        <w:rPr>
          <w:rFonts w:ascii="Bookman Old Style"/>
          <w:sz w:val="19"/>
          <w:u w:val="single"/>
        </w:rPr>
        <w:t>ESPONDENTS</w:t>
      </w:r>
    </w:p>
    <w:p w:rsidR="003B2FC0" w:rsidRDefault="003B2FC0">
      <w:pPr>
        <w:pStyle w:val="BodyText"/>
        <w:spacing w:before="10"/>
        <w:rPr>
          <w:sz w:val="23"/>
        </w:rPr>
      </w:pPr>
    </w:p>
    <w:p w:rsidR="003B2FC0" w:rsidRDefault="003B2FC0">
      <w:pPr>
        <w:spacing w:line="480" w:lineRule="auto"/>
        <w:ind w:left="542" w:right="434" w:firstLine="424"/>
        <w:rPr>
          <w:rFonts w:ascii="Bookman Old Style"/>
          <w:sz w:val="24"/>
        </w:rPr>
      </w:pPr>
      <w:r w:rsidRPr="003B2FC0">
        <w:pict>
          <v:line id="_x0000_s1059" style="position:absolute;left:0;text-align:left;z-index:251656704;mso-wrap-distance-left:0;mso-wrap-distance-right:0;mso-position-horizontal-relative:page" from="1in,60.9pt" to="216.05pt,60.9pt" strokeweight=".72pt">
            <w10:wrap type="topAndBottom" anchorx="page"/>
          </v:line>
        </w:pict>
      </w:r>
      <w:r w:rsidR="00052A49">
        <w:rPr>
          <w:rFonts w:ascii="Bookman Old Style"/>
          <w:sz w:val="24"/>
        </w:rPr>
        <w:t>The State of Kerala was represented by Mr. Jaideep Gupta, Senior Advocate. The Travancore Dewaswom Board was represented by Dr. A.M.</w:t>
      </w:r>
    </w:p>
    <w:p w:rsidR="003B2FC0" w:rsidRDefault="00052A49">
      <w:pPr>
        <w:spacing w:before="72"/>
        <w:ind w:left="400"/>
        <w:rPr>
          <w:rFonts w:ascii="Bookman Old Style"/>
          <w:sz w:val="20"/>
        </w:rPr>
      </w:pPr>
      <w:r>
        <w:rPr>
          <w:rFonts w:ascii="Bookman Old Style"/>
          <w:position w:val="5"/>
          <w:sz w:val="13"/>
        </w:rPr>
        <w:t xml:space="preserve">5 </w:t>
      </w:r>
      <w:r>
        <w:rPr>
          <w:rFonts w:ascii="Bookman Old Style"/>
          <w:sz w:val="20"/>
        </w:rPr>
        <w:t>(1972) 2 SCC 788</w:t>
      </w:r>
    </w:p>
    <w:p w:rsidR="003B2FC0" w:rsidRDefault="003B2FC0">
      <w:pPr>
        <w:rPr>
          <w:rFonts w:ascii="Bookman Old Style"/>
          <w:sz w:val="20"/>
        </w:rPr>
        <w:sectPr w:rsidR="003B2FC0">
          <w:headerReference w:type="default" r:id="rId407"/>
          <w:footerReference w:type="default" r:id="rId408"/>
          <w:pgSz w:w="11910" w:h="16840"/>
          <w:pgMar w:top="1340" w:right="980" w:bottom="1220" w:left="1040" w:header="0" w:footer="1033" w:gutter="0"/>
          <w:pgNumType w:start="7"/>
          <w:cols w:space="720"/>
        </w:sectPr>
      </w:pPr>
    </w:p>
    <w:p w:rsidR="003B2FC0" w:rsidRDefault="00052A49">
      <w:pPr>
        <w:spacing w:before="83" w:line="480" w:lineRule="auto"/>
        <w:ind w:left="542" w:right="453"/>
        <w:jc w:val="both"/>
        <w:rPr>
          <w:rFonts w:ascii="Bookman Old Style"/>
          <w:sz w:val="24"/>
        </w:rPr>
      </w:pPr>
      <w:r>
        <w:rPr>
          <w:rFonts w:ascii="Bookman Old Style"/>
          <w:sz w:val="24"/>
        </w:rPr>
        <w:t xml:space="preserve">Singhvi, Senior Advocate. The Chief Thanthri was represented by Mr. V. Giri, Senior Advocate. The Nair Service Society was represented by Mr. K. Parasaran, Senior Advocate. The </w:t>
      </w:r>
      <w:r>
        <w:rPr>
          <w:rFonts w:ascii="Bookman Old Style"/>
          <w:i/>
          <w:sz w:val="24"/>
        </w:rPr>
        <w:t xml:space="preserve">Raja </w:t>
      </w:r>
      <w:r>
        <w:rPr>
          <w:rFonts w:ascii="Bookman Old Style"/>
          <w:sz w:val="24"/>
        </w:rPr>
        <w:t xml:space="preserve">of </w:t>
      </w:r>
      <w:r>
        <w:rPr>
          <w:rFonts w:ascii="Bookman Old Style"/>
          <w:i/>
          <w:sz w:val="24"/>
        </w:rPr>
        <w:t xml:space="preserve">Pandalam </w:t>
      </w:r>
      <w:r>
        <w:rPr>
          <w:rFonts w:ascii="Bookman Old Style"/>
          <w:sz w:val="24"/>
        </w:rPr>
        <w:t>was represented by</w:t>
      </w:r>
      <w:r>
        <w:rPr>
          <w:rFonts w:ascii="Bookman Old Style"/>
          <w:spacing w:val="72"/>
          <w:sz w:val="24"/>
        </w:rPr>
        <w:t xml:space="preserve"> </w:t>
      </w:r>
      <w:r>
        <w:rPr>
          <w:rFonts w:ascii="Bookman Old Style"/>
          <w:sz w:val="24"/>
        </w:rPr>
        <w:t>Mr.</w:t>
      </w:r>
    </w:p>
    <w:p w:rsidR="003B2FC0" w:rsidRDefault="00052A49">
      <w:pPr>
        <w:spacing w:line="480" w:lineRule="auto"/>
        <w:ind w:left="542" w:right="454"/>
        <w:jc w:val="both"/>
        <w:rPr>
          <w:rFonts w:ascii="Bookman Old Style"/>
          <w:sz w:val="24"/>
        </w:rPr>
      </w:pPr>
      <w:r>
        <w:rPr>
          <w:rFonts w:ascii="Bookman Old Style"/>
          <w:sz w:val="24"/>
        </w:rPr>
        <w:t>K. Radhakrishnan. Mr. J. Sai Deepak appeared on behalf of Respondent No. 18 and Intervenor by the name of People for Dharma.</w:t>
      </w:r>
      <w:r>
        <w:rPr>
          <w:rFonts w:ascii="Bookman Old Style"/>
          <w:spacing w:val="37"/>
          <w:sz w:val="24"/>
        </w:rPr>
        <w:t xml:space="preserve"> </w:t>
      </w:r>
      <w:r>
        <w:rPr>
          <w:rFonts w:ascii="Bookman Old Style"/>
          <w:sz w:val="24"/>
        </w:rPr>
        <w:t xml:space="preserve">Mr. Ramamurthy, Senior Advocate appeared as </w:t>
      </w:r>
      <w:r>
        <w:rPr>
          <w:rFonts w:ascii="Bookman Old Style"/>
          <w:i/>
          <w:sz w:val="24"/>
        </w:rPr>
        <w:t xml:space="preserve">Amicus Curiae </w:t>
      </w:r>
      <w:r>
        <w:rPr>
          <w:rFonts w:ascii="Bookman Old Style"/>
          <w:sz w:val="24"/>
        </w:rPr>
        <w:t>who supported the case of the</w:t>
      </w:r>
      <w:r>
        <w:rPr>
          <w:rFonts w:ascii="Bookman Old Style"/>
          <w:spacing w:val="-1"/>
          <w:sz w:val="24"/>
        </w:rPr>
        <w:t xml:space="preserve"> </w:t>
      </w:r>
      <w:r>
        <w:rPr>
          <w:rFonts w:ascii="Bookman Old Style"/>
          <w:sz w:val="24"/>
        </w:rPr>
        <w:t>Respondents.</w:t>
      </w:r>
    </w:p>
    <w:p w:rsidR="003B2FC0" w:rsidRDefault="003B2FC0">
      <w:pPr>
        <w:pStyle w:val="BodyText"/>
      </w:pPr>
    </w:p>
    <w:p w:rsidR="003B2FC0" w:rsidRDefault="00052A49">
      <w:pPr>
        <w:pStyle w:val="ListParagraph"/>
        <w:numPr>
          <w:ilvl w:val="0"/>
          <w:numId w:val="13"/>
        </w:numPr>
        <w:tabs>
          <w:tab w:val="left" w:pos="543"/>
        </w:tabs>
        <w:spacing w:before="235"/>
        <w:ind w:hanging="426"/>
        <w:jc w:val="left"/>
        <w:rPr>
          <w:rFonts w:ascii="Bookman Old Style"/>
          <w:sz w:val="24"/>
        </w:rPr>
      </w:pPr>
      <w:r>
        <w:rPr>
          <w:rFonts w:ascii="Bookman Old Style"/>
          <w:sz w:val="24"/>
        </w:rPr>
        <w:t>The State of Kerala filed two</w:t>
      </w:r>
      <w:r>
        <w:rPr>
          <w:rFonts w:ascii="Bookman Old Style"/>
          <w:sz w:val="24"/>
        </w:rPr>
        <w:t xml:space="preserve"> Affidavits in the present Writ</w:t>
      </w:r>
      <w:r>
        <w:rPr>
          <w:rFonts w:ascii="Bookman Old Style"/>
          <w:spacing w:val="-17"/>
          <w:sz w:val="24"/>
        </w:rPr>
        <w:t xml:space="preserve"> </w:t>
      </w:r>
      <w:r>
        <w:rPr>
          <w:rFonts w:ascii="Bookman Old Style"/>
          <w:sz w:val="24"/>
        </w:rPr>
        <w:t>Petition.</w:t>
      </w:r>
    </w:p>
    <w:p w:rsidR="003B2FC0" w:rsidRDefault="003B2FC0">
      <w:pPr>
        <w:pStyle w:val="BodyText"/>
        <w:rPr>
          <w:sz w:val="24"/>
        </w:rPr>
      </w:pPr>
    </w:p>
    <w:p w:rsidR="003B2FC0" w:rsidRDefault="00052A49">
      <w:pPr>
        <w:spacing w:before="1" w:line="480" w:lineRule="auto"/>
        <w:ind w:left="542" w:right="456" w:firstLine="424"/>
        <w:jc w:val="both"/>
        <w:rPr>
          <w:rFonts w:ascii="Bookman Old Style" w:hAnsi="Bookman Old Style"/>
          <w:sz w:val="24"/>
        </w:rPr>
      </w:pPr>
      <w:r>
        <w:rPr>
          <w:rFonts w:ascii="Bookman Old Style" w:hAnsi="Bookman Old Style"/>
          <w:sz w:val="24"/>
        </w:rPr>
        <w:t>The State of Kerala filed an Affidavit dated November 13, 2007 supporting the cause of the Petitioners. The State however prayed for the appointment of an “appropriate commission” to submit suggestions/views on wh</w:t>
      </w:r>
      <w:r>
        <w:rPr>
          <w:rFonts w:ascii="Bookman Old Style" w:hAnsi="Bookman Old Style"/>
          <w:sz w:val="24"/>
        </w:rPr>
        <w:t>ether entry of women between the ages of 10 to 50 years should be permitted. Some of the averments made in the said Affidavit are pertinent to note, and are being reproduced herein below for</w:t>
      </w:r>
      <w:r>
        <w:rPr>
          <w:rFonts w:ascii="Bookman Old Style" w:hAnsi="Bookman Old Style"/>
          <w:spacing w:val="-10"/>
          <w:sz w:val="24"/>
        </w:rPr>
        <w:t xml:space="preserve"> </w:t>
      </w:r>
      <w:r>
        <w:rPr>
          <w:rFonts w:ascii="Bookman Old Style" w:hAnsi="Bookman Old Style"/>
          <w:sz w:val="24"/>
        </w:rPr>
        <w:t>reference:</w:t>
      </w:r>
    </w:p>
    <w:p w:rsidR="003B2FC0" w:rsidRDefault="00052A49">
      <w:pPr>
        <w:ind w:left="966" w:right="839"/>
        <w:jc w:val="both"/>
        <w:rPr>
          <w:rFonts w:ascii="Bookman Old Style" w:hAnsi="Bookman Old Style"/>
          <w:i/>
          <w:sz w:val="24"/>
        </w:rPr>
      </w:pPr>
      <w:r>
        <w:rPr>
          <w:rFonts w:ascii="Bookman Old Style" w:hAnsi="Bookman Old Style"/>
          <w:i/>
          <w:sz w:val="24"/>
        </w:rPr>
        <w:t>“…As such, Government cannot render an independent dir</w:t>
      </w:r>
      <w:r>
        <w:rPr>
          <w:rFonts w:ascii="Bookman Old Style" w:hAnsi="Bookman Old Style"/>
          <w:i/>
          <w:sz w:val="24"/>
        </w:rPr>
        <w:t xml:space="preserve">ection against the present prevailing custom, regard being had to the finality of the said judgment [Kerala High Court’s decision in S. Mahendran (supra)] </w:t>
      </w:r>
      <w:r>
        <w:rPr>
          <w:rFonts w:ascii="Bookman Old Style" w:hAnsi="Bookman Old Style"/>
          <w:i/>
          <w:sz w:val="24"/>
          <w:u w:val="single"/>
        </w:rPr>
        <w:t>over the disputed questions of facts which requires the</w:t>
      </w:r>
      <w:r>
        <w:rPr>
          <w:rFonts w:ascii="Bookman Old Style" w:hAnsi="Bookman Old Style"/>
          <w:i/>
          <w:sz w:val="24"/>
        </w:rPr>
        <w:t xml:space="preserve"> </w:t>
      </w:r>
      <w:r>
        <w:rPr>
          <w:rFonts w:ascii="Bookman Old Style" w:hAnsi="Bookman Old Style"/>
          <w:i/>
          <w:sz w:val="24"/>
          <w:u w:val="single"/>
        </w:rPr>
        <w:t>necessity of adducing evidence also</w:t>
      </w:r>
      <w:r>
        <w:rPr>
          <w:rFonts w:ascii="Bookman Old Style" w:hAnsi="Bookman Old Style"/>
          <w:i/>
          <w:sz w:val="24"/>
        </w:rPr>
        <w:t>…</w:t>
      </w:r>
    </w:p>
    <w:p w:rsidR="003B2FC0" w:rsidRDefault="00052A49">
      <w:pPr>
        <w:ind w:left="966" w:right="839"/>
        <w:jc w:val="both"/>
        <w:rPr>
          <w:rFonts w:ascii="Bookman Old Style" w:hAnsi="Bookman Old Style"/>
          <w:sz w:val="24"/>
        </w:rPr>
      </w:pPr>
      <w:r>
        <w:rPr>
          <w:rFonts w:ascii="Bookman Old Style" w:hAnsi="Bookman Old Style"/>
          <w:i/>
          <w:sz w:val="24"/>
        </w:rPr>
        <w:t>…Thus, G</w:t>
      </w:r>
      <w:r>
        <w:rPr>
          <w:rFonts w:ascii="Bookman Old Style" w:hAnsi="Bookman Old Style"/>
          <w:i/>
          <w:sz w:val="24"/>
        </w:rPr>
        <w:t>overnment is of the opinion that no body should be prohibited from their right to worship, but considering the fact that the matter of entry to Sabarimala is a practise followed for so many years and connected with the belief and values accepted by the peo</w:t>
      </w:r>
      <w:r>
        <w:rPr>
          <w:rFonts w:ascii="Bookman Old Style" w:hAnsi="Bookman Old Style"/>
          <w:i/>
          <w:sz w:val="24"/>
        </w:rPr>
        <w:t xml:space="preserve">ple and since there is a binding High Court judgment in that regard, </w:t>
      </w:r>
      <w:r>
        <w:rPr>
          <w:rFonts w:ascii="Bookman Old Style" w:hAnsi="Bookman Old Style"/>
          <w:i/>
          <w:sz w:val="24"/>
          <w:u w:val="single"/>
        </w:rPr>
        <w:t>Government felt that this Hon'ble Court may be requested to appoint</w:t>
      </w:r>
      <w:r>
        <w:rPr>
          <w:rFonts w:ascii="Bookman Old Style" w:hAnsi="Bookman Old Style"/>
          <w:i/>
          <w:sz w:val="24"/>
        </w:rPr>
        <w:t xml:space="preserve"> </w:t>
      </w:r>
      <w:r>
        <w:rPr>
          <w:rFonts w:ascii="Bookman Old Style" w:hAnsi="Bookman Old Style"/>
          <w:i/>
          <w:sz w:val="24"/>
          <w:u w:val="single"/>
        </w:rPr>
        <w:t>an appropriate commission consisting of eminent scholars with</w:t>
      </w:r>
      <w:r>
        <w:rPr>
          <w:rFonts w:ascii="Bookman Old Style" w:hAnsi="Bookman Old Style"/>
          <w:i/>
          <w:sz w:val="24"/>
        </w:rPr>
        <w:t xml:space="preserve"> </w:t>
      </w:r>
      <w:r>
        <w:rPr>
          <w:rFonts w:ascii="Bookman Old Style" w:hAnsi="Bookman Old Style"/>
          <w:i/>
          <w:sz w:val="24"/>
          <w:u w:val="single"/>
        </w:rPr>
        <w:t>authentic knowledge in Hinduism and reputed and uncorrupt</w:t>
      </w:r>
      <w:r>
        <w:rPr>
          <w:rFonts w:ascii="Bookman Old Style" w:hAnsi="Bookman Old Style"/>
          <w:i/>
          <w:sz w:val="24"/>
          <w:u w:val="single"/>
        </w:rPr>
        <w:t xml:space="preserve"> social</w:t>
      </w:r>
      <w:r>
        <w:rPr>
          <w:rFonts w:ascii="Bookman Old Style" w:hAnsi="Bookman Old Style"/>
          <w:i/>
          <w:sz w:val="24"/>
        </w:rPr>
        <w:t xml:space="preserve"> </w:t>
      </w:r>
      <w:r>
        <w:rPr>
          <w:rFonts w:ascii="Bookman Old Style" w:hAnsi="Bookman Old Style"/>
          <w:i/>
          <w:sz w:val="24"/>
          <w:u w:val="single"/>
        </w:rPr>
        <w:t>reformers to submit suggestions/views on the issue whether it is open</w:t>
      </w:r>
      <w:r>
        <w:rPr>
          <w:rFonts w:ascii="Bookman Old Style" w:hAnsi="Bookman Old Style"/>
          <w:i/>
          <w:sz w:val="24"/>
        </w:rPr>
        <w:t xml:space="preserve"> </w:t>
      </w:r>
      <w:r>
        <w:rPr>
          <w:rFonts w:ascii="Bookman Old Style" w:hAnsi="Bookman Old Style"/>
          <w:i/>
          <w:sz w:val="24"/>
          <w:u w:val="single"/>
        </w:rPr>
        <w:t>to all women, irrespective of their age to enter the temple and make</w:t>
      </w:r>
      <w:r>
        <w:rPr>
          <w:rFonts w:ascii="Bookman Old Style" w:hAnsi="Bookman Old Style"/>
          <w:i/>
          <w:sz w:val="24"/>
        </w:rPr>
        <w:t xml:space="preserve"> </w:t>
      </w:r>
      <w:r>
        <w:rPr>
          <w:rFonts w:ascii="Bookman Old Style" w:hAnsi="Bookman Old Style"/>
          <w:i/>
          <w:sz w:val="24"/>
          <w:u w:val="single"/>
        </w:rPr>
        <w:t>worship</w:t>
      </w:r>
      <w:r>
        <w:rPr>
          <w:rFonts w:ascii="Bookman Old Style" w:hAnsi="Bookman Old Style"/>
          <w:i/>
          <w:sz w:val="24"/>
        </w:rPr>
        <w:t>…</w:t>
      </w:r>
      <w:r>
        <w:rPr>
          <w:rFonts w:ascii="Bookman Old Style" w:hAnsi="Bookman Old Style"/>
          <w:sz w:val="24"/>
        </w:rPr>
        <w:t>”</w:t>
      </w:r>
    </w:p>
    <w:p w:rsidR="003B2FC0" w:rsidRDefault="00052A49">
      <w:pPr>
        <w:spacing w:before="1"/>
        <w:ind w:right="834"/>
        <w:jc w:val="right"/>
        <w:rPr>
          <w:rFonts w:ascii="Bookman Old Style"/>
          <w:sz w:val="24"/>
        </w:rPr>
      </w:pPr>
      <w:r>
        <w:rPr>
          <w:rFonts w:ascii="Bookman Old Style"/>
          <w:sz w:val="24"/>
        </w:rPr>
        <w:t>(Emphasis supplied)</w:t>
      </w:r>
    </w:p>
    <w:p w:rsidR="003B2FC0" w:rsidRDefault="003B2FC0">
      <w:pPr>
        <w:jc w:val="right"/>
        <w:rPr>
          <w:rFonts w:ascii="Bookman Old Style"/>
          <w:sz w:val="24"/>
        </w:rPr>
        <w:sectPr w:rsidR="003B2FC0">
          <w:headerReference w:type="default" r:id="rId409"/>
          <w:footerReference w:type="default" r:id="rId410"/>
          <w:pgSz w:w="11910" w:h="16840"/>
          <w:pgMar w:top="1340" w:right="980" w:bottom="1220" w:left="1040" w:header="0" w:footer="1033" w:gutter="0"/>
          <w:pgNumType w:start="8"/>
          <w:cols w:space="720"/>
        </w:sectPr>
      </w:pPr>
    </w:p>
    <w:p w:rsidR="003B2FC0" w:rsidRDefault="00052A49">
      <w:pPr>
        <w:spacing w:before="83" w:line="480" w:lineRule="auto"/>
        <w:ind w:left="542" w:right="457" w:firstLine="424"/>
        <w:jc w:val="both"/>
        <w:rPr>
          <w:rFonts w:ascii="Bookman Old Style"/>
          <w:sz w:val="24"/>
        </w:rPr>
      </w:pPr>
      <w:r>
        <w:rPr>
          <w:rFonts w:ascii="Bookman Old Style"/>
          <w:sz w:val="24"/>
        </w:rPr>
        <w:t>In the subsequent Additional Affidavit dated February 4, 2016 filed by the State, it was submitted that the assertions made in the previous Affidavit dated November 13, 2007 erroneously sought to support the Petitioners. It was submitted that it was not op</w:t>
      </w:r>
      <w:r>
        <w:rPr>
          <w:rFonts w:ascii="Bookman Old Style"/>
          <w:sz w:val="24"/>
        </w:rPr>
        <w:t>en for the State Government to take a stand at variance with its position before the Kerala High Court in</w:t>
      </w:r>
    </w:p>
    <w:p w:rsidR="003B2FC0" w:rsidRDefault="00052A49">
      <w:pPr>
        <w:spacing w:before="1" w:line="480" w:lineRule="auto"/>
        <w:ind w:left="542" w:right="453"/>
        <w:jc w:val="both"/>
        <w:rPr>
          <w:rFonts w:ascii="Bookman Old Style"/>
          <w:sz w:val="24"/>
        </w:rPr>
      </w:pPr>
      <w:r>
        <w:rPr>
          <w:rFonts w:ascii="Bookman Old Style"/>
          <w:i/>
          <w:sz w:val="24"/>
        </w:rPr>
        <w:t xml:space="preserve">S. Mahendran </w:t>
      </w:r>
      <w:r>
        <w:rPr>
          <w:rFonts w:ascii="Bookman Old Style"/>
          <w:sz w:val="24"/>
        </w:rPr>
        <w:t xml:space="preserve">v. </w:t>
      </w:r>
      <w:r>
        <w:rPr>
          <w:rFonts w:ascii="Bookman Old Style"/>
          <w:i/>
          <w:sz w:val="24"/>
        </w:rPr>
        <w:t>The Secretary, Travancore Devaswom Board, Thiruvananthapuram &amp; Ors.</w:t>
      </w:r>
      <w:r>
        <w:rPr>
          <w:rFonts w:ascii="Bookman Old Style"/>
          <w:position w:val="6"/>
          <w:sz w:val="16"/>
        </w:rPr>
        <w:t xml:space="preserve">6 </w:t>
      </w:r>
      <w:r>
        <w:rPr>
          <w:rFonts w:ascii="Bookman Old Style"/>
          <w:sz w:val="24"/>
        </w:rPr>
        <w:t>and in contravention of the directions issued therein. It was ass</w:t>
      </w:r>
      <w:r>
        <w:rPr>
          <w:rFonts w:ascii="Bookman Old Style"/>
          <w:sz w:val="24"/>
        </w:rPr>
        <w:t>erted that the practise of restricting the entry of women between the ages of 10 to 50 years is an essential and integral part of the customs and usages of the Temple, which is protected under Articles 25 and 26 of the Constitution. Being a religious custo</w:t>
      </w:r>
      <w:r>
        <w:rPr>
          <w:rFonts w:ascii="Bookman Old Style"/>
          <w:sz w:val="24"/>
        </w:rPr>
        <w:t xml:space="preserve">m, it is also immune from challenge under other provisions of Part III of the Constitution in light of the ruling of this Court in </w:t>
      </w:r>
      <w:r>
        <w:rPr>
          <w:rFonts w:ascii="Bookman Old Style"/>
          <w:i/>
          <w:sz w:val="24"/>
        </w:rPr>
        <w:t xml:space="preserve">Riju Prasad Sharma &amp; Ors. </w:t>
      </w:r>
      <w:r>
        <w:rPr>
          <w:rFonts w:ascii="Bookman Old Style"/>
          <w:sz w:val="24"/>
        </w:rPr>
        <w:t xml:space="preserve">v. </w:t>
      </w:r>
      <w:r>
        <w:rPr>
          <w:rFonts w:ascii="Bookman Old Style"/>
          <w:i/>
          <w:sz w:val="24"/>
        </w:rPr>
        <w:t>State of Assam &amp; Ors.</w:t>
      </w:r>
      <w:r>
        <w:rPr>
          <w:rFonts w:ascii="Bookman Old Style"/>
          <w:position w:val="6"/>
          <w:sz w:val="16"/>
        </w:rPr>
        <w:t>7</w:t>
      </w:r>
      <w:r>
        <w:rPr>
          <w:rFonts w:ascii="Bookman Old Style"/>
          <w:sz w:val="24"/>
        </w:rPr>
        <w:t>.</w:t>
      </w:r>
    </w:p>
    <w:p w:rsidR="003B2FC0" w:rsidRDefault="00052A49">
      <w:pPr>
        <w:spacing w:line="480" w:lineRule="auto"/>
        <w:ind w:left="542" w:right="453" w:firstLine="424"/>
        <w:jc w:val="both"/>
        <w:rPr>
          <w:rFonts w:ascii="Bookman Old Style"/>
          <w:sz w:val="24"/>
        </w:rPr>
      </w:pPr>
      <w:r>
        <w:rPr>
          <w:rFonts w:ascii="Bookman Old Style"/>
          <w:sz w:val="24"/>
        </w:rPr>
        <w:t>However, during the course of hearing before the three-Judge Bench at th</w:t>
      </w:r>
      <w:r>
        <w:rPr>
          <w:rFonts w:ascii="Bookman Old Style"/>
          <w:sz w:val="24"/>
        </w:rPr>
        <w:t>e time of reference, it was submitted that the State would be taking the stand stated in the Affidavit dated November 13, 2007.</w:t>
      </w:r>
    </w:p>
    <w:p w:rsidR="003B2FC0" w:rsidRDefault="003B2FC0">
      <w:pPr>
        <w:pStyle w:val="BodyText"/>
      </w:pPr>
    </w:p>
    <w:p w:rsidR="003B2FC0" w:rsidRDefault="00052A49">
      <w:pPr>
        <w:pStyle w:val="ListParagraph"/>
        <w:numPr>
          <w:ilvl w:val="0"/>
          <w:numId w:val="13"/>
        </w:numPr>
        <w:tabs>
          <w:tab w:val="left" w:pos="543"/>
        </w:tabs>
        <w:spacing w:before="235" w:line="480" w:lineRule="auto"/>
        <w:ind w:right="455" w:hanging="426"/>
        <w:jc w:val="both"/>
        <w:rPr>
          <w:rFonts w:ascii="Bookman Old Style" w:hAnsi="Bookman Old Style"/>
          <w:sz w:val="24"/>
        </w:rPr>
      </w:pPr>
      <w:r>
        <w:rPr>
          <w:rFonts w:ascii="Bookman Old Style" w:hAnsi="Bookman Old Style"/>
          <w:sz w:val="24"/>
        </w:rPr>
        <w:t>The submissions made by the Respondent No.2 – Travancore Devaswom Board, Respondent No. 4 – the Thanthri of the Temple, Respond</w:t>
      </w:r>
      <w:r>
        <w:rPr>
          <w:rFonts w:ascii="Bookman Old Style" w:hAnsi="Bookman Old Style"/>
          <w:sz w:val="24"/>
        </w:rPr>
        <w:t>ent No. 6 – the Nair Service Society, Respondent Nos. 18 and 19 are summarised hereinbelow:</w:t>
      </w: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spacing w:before="8"/>
        <w:rPr>
          <w:sz w:val="19"/>
        </w:rPr>
      </w:pPr>
      <w:r w:rsidRPr="003B2FC0">
        <w:pict>
          <v:line id="_x0000_s1058" style="position:absolute;z-index:251657728;mso-wrap-distance-left:0;mso-wrap-distance-right:0;mso-position-horizontal-relative:page" from="1in,13.95pt" to="216.05pt,13.9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6 </w:t>
      </w:r>
      <w:r>
        <w:rPr>
          <w:rFonts w:ascii="Bookman Old Style"/>
          <w:sz w:val="20"/>
        </w:rPr>
        <w:t>AIR 1993 Ker 42</w:t>
      </w:r>
    </w:p>
    <w:p w:rsidR="003B2FC0" w:rsidRDefault="00052A49">
      <w:pPr>
        <w:ind w:left="400"/>
        <w:rPr>
          <w:rFonts w:ascii="Bookman Old Style"/>
          <w:sz w:val="20"/>
        </w:rPr>
      </w:pPr>
      <w:r>
        <w:rPr>
          <w:rFonts w:ascii="Bookman Old Style"/>
          <w:position w:val="5"/>
          <w:sz w:val="13"/>
        </w:rPr>
        <w:t xml:space="preserve">7 </w:t>
      </w:r>
      <w:r>
        <w:rPr>
          <w:rFonts w:ascii="Bookman Old Style"/>
          <w:sz w:val="20"/>
        </w:rPr>
        <w:t>(2015) 9 SCC 461</w:t>
      </w:r>
    </w:p>
    <w:p w:rsidR="003B2FC0" w:rsidRDefault="003B2FC0">
      <w:pPr>
        <w:rPr>
          <w:rFonts w:ascii="Bookman Old Style"/>
          <w:sz w:val="20"/>
        </w:rPr>
        <w:sectPr w:rsidR="003B2FC0">
          <w:headerReference w:type="default" r:id="rId411"/>
          <w:footerReference w:type="default" r:id="rId412"/>
          <w:pgSz w:w="11910" w:h="16840"/>
          <w:pgMar w:top="1340" w:right="980" w:bottom="1220" w:left="1040" w:header="0" w:footer="1033" w:gutter="0"/>
          <w:pgNumType w:start="9"/>
          <w:cols w:space="720"/>
        </w:sectPr>
      </w:pPr>
    </w:p>
    <w:p w:rsidR="003B2FC0" w:rsidRDefault="00052A49">
      <w:pPr>
        <w:pStyle w:val="ListParagraph"/>
        <w:numPr>
          <w:ilvl w:val="1"/>
          <w:numId w:val="13"/>
        </w:numPr>
        <w:tabs>
          <w:tab w:val="left" w:pos="1262"/>
        </w:tabs>
        <w:spacing w:before="83" w:line="480" w:lineRule="auto"/>
        <w:ind w:right="455"/>
        <w:jc w:val="both"/>
        <w:rPr>
          <w:rFonts w:ascii="Bookman Old Style" w:hAnsi="Bookman Old Style"/>
          <w:sz w:val="24"/>
        </w:rPr>
      </w:pPr>
      <w:r>
        <w:rPr>
          <w:rFonts w:ascii="Bookman Old Style" w:hAnsi="Bookman Old Style"/>
          <w:sz w:val="24"/>
        </w:rPr>
        <w:t>The Sabarimala Temple, dedicated to Lord Ayyappa, is a prominent temple in Kerala which is visited by over twenty million pilgrims and devotees every year. As per a centuries old tradition of this temple, and the ‘</w:t>
      </w:r>
      <w:r>
        <w:rPr>
          <w:rFonts w:ascii="Bookman Old Style" w:hAnsi="Bookman Old Style"/>
          <w:i/>
          <w:sz w:val="24"/>
        </w:rPr>
        <w:t>acharas’</w:t>
      </w:r>
      <w:r>
        <w:rPr>
          <w:rFonts w:ascii="Bookman Old Style" w:hAnsi="Bookman Old Style"/>
          <w:sz w:val="24"/>
        </w:rPr>
        <w:t xml:space="preserve">, beliefs and customs followed by </w:t>
      </w:r>
      <w:r>
        <w:rPr>
          <w:rFonts w:ascii="Bookman Old Style" w:hAnsi="Bookman Old Style"/>
          <w:sz w:val="24"/>
        </w:rPr>
        <w:t>this Temple, women in the age group of 10 to 50 years are not permitted to enter this</w:t>
      </w:r>
      <w:r>
        <w:rPr>
          <w:rFonts w:ascii="Bookman Old Style" w:hAnsi="Bookman Old Style"/>
          <w:spacing w:val="-1"/>
          <w:sz w:val="24"/>
        </w:rPr>
        <w:t xml:space="preserve"> </w:t>
      </w:r>
      <w:r>
        <w:rPr>
          <w:rFonts w:ascii="Bookman Old Style" w:hAnsi="Bookman Old Style"/>
          <w:sz w:val="24"/>
        </w:rPr>
        <w:t>Temple.</w:t>
      </w:r>
    </w:p>
    <w:p w:rsidR="003B2FC0" w:rsidRDefault="00052A49">
      <w:pPr>
        <w:spacing w:before="2" w:line="480" w:lineRule="auto"/>
        <w:ind w:left="1261" w:right="453" w:firstLine="415"/>
        <w:jc w:val="both"/>
        <w:rPr>
          <w:rFonts w:ascii="Bookman Old Style" w:hAnsi="Bookman Old Style"/>
          <w:sz w:val="24"/>
        </w:rPr>
      </w:pPr>
      <w:r>
        <w:rPr>
          <w:rFonts w:ascii="Bookman Old Style" w:hAnsi="Bookman Old Style"/>
          <w:sz w:val="24"/>
        </w:rPr>
        <w:t>This is attributable to the manifestation of the deity at the Sabarimala Temple which is in the form of a ‘</w:t>
      </w:r>
      <w:r>
        <w:rPr>
          <w:rFonts w:ascii="Bookman Old Style" w:hAnsi="Bookman Old Style"/>
          <w:i/>
          <w:sz w:val="24"/>
        </w:rPr>
        <w:t>Naishtik Bramhachari</w:t>
      </w:r>
      <w:r>
        <w:rPr>
          <w:rFonts w:ascii="Bookman Old Style" w:hAnsi="Bookman Old Style"/>
          <w:sz w:val="24"/>
        </w:rPr>
        <w:t>’, who practises strict penance, an</w:t>
      </w:r>
      <w:r>
        <w:rPr>
          <w:rFonts w:ascii="Bookman Old Style" w:hAnsi="Bookman Old Style"/>
          <w:sz w:val="24"/>
        </w:rPr>
        <w:t>d the severest form of celibacy.</w:t>
      </w:r>
    </w:p>
    <w:p w:rsidR="003B2FC0" w:rsidRDefault="00052A49">
      <w:pPr>
        <w:spacing w:line="480" w:lineRule="auto"/>
        <w:ind w:left="1261" w:right="454" w:firstLine="415"/>
        <w:jc w:val="both"/>
        <w:rPr>
          <w:rFonts w:ascii="Bookman Old Style" w:hAnsi="Bookman Old Style"/>
          <w:sz w:val="24"/>
        </w:rPr>
      </w:pPr>
      <w:r>
        <w:rPr>
          <w:rFonts w:ascii="Bookman Old Style" w:hAnsi="Bookman Old Style"/>
          <w:sz w:val="24"/>
        </w:rPr>
        <w:t xml:space="preserve">According to legend, it is believed that Lord Ayyappa, the presiding deity of Sabarimala had his human sojourn at </w:t>
      </w:r>
      <w:r>
        <w:rPr>
          <w:rFonts w:ascii="Bookman Old Style" w:hAnsi="Bookman Old Style"/>
          <w:i/>
          <w:sz w:val="24"/>
        </w:rPr>
        <w:t xml:space="preserve">Pandalam  </w:t>
      </w:r>
      <w:r>
        <w:rPr>
          <w:rFonts w:ascii="Bookman Old Style" w:hAnsi="Bookman Old Style"/>
          <w:sz w:val="24"/>
        </w:rPr>
        <w:t xml:space="preserve">as the son of the King of </w:t>
      </w:r>
      <w:r>
        <w:rPr>
          <w:rFonts w:ascii="Bookman Old Style" w:hAnsi="Bookman Old Style"/>
          <w:i/>
          <w:sz w:val="24"/>
        </w:rPr>
        <w:t>Pandalam</w:t>
      </w:r>
      <w:r>
        <w:rPr>
          <w:rFonts w:ascii="Bookman Old Style" w:hAnsi="Bookman Old Style"/>
          <w:sz w:val="24"/>
        </w:rPr>
        <w:t xml:space="preserve">, known by the name of </w:t>
      </w:r>
      <w:r>
        <w:rPr>
          <w:rFonts w:ascii="Bookman Old Style" w:hAnsi="Bookman Old Style"/>
          <w:i/>
          <w:sz w:val="24"/>
        </w:rPr>
        <w:t>Manikandan</w:t>
      </w:r>
      <w:r>
        <w:rPr>
          <w:rFonts w:ascii="Bookman Old Style" w:hAnsi="Bookman Old Style"/>
          <w:sz w:val="24"/>
        </w:rPr>
        <w:t>, who found him as a radiant fac</w:t>
      </w:r>
      <w:r>
        <w:rPr>
          <w:rFonts w:ascii="Bookman Old Style" w:hAnsi="Bookman Old Style"/>
          <w:sz w:val="24"/>
        </w:rPr>
        <w:t>ed infant on the banks of the river Pampa, wearing a bead (‘</w:t>
      </w:r>
      <w:r>
        <w:rPr>
          <w:rFonts w:ascii="Bookman Old Style" w:hAnsi="Bookman Old Style"/>
          <w:i/>
          <w:sz w:val="24"/>
        </w:rPr>
        <w:t>mani’</w:t>
      </w:r>
      <w:r>
        <w:rPr>
          <w:rFonts w:ascii="Bookman Old Style" w:hAnsi="Bookman Old Style"/>
          <w:sz w:val="24"/>
        </w:rPr>
        <w:t xml:space="preserve">) around his neck. </w:t>
      </w:r>
      <w:r>
        <w:rPr>
          <w:rFonts w:ascii="Bookman Old Style" w:hAnsi="Bookman Old Style"/>
          <w:i/>
          <w:sz w:val="24"/>
        </w:rPr>
        <w:t xml:space="preserve">Manikandan’s </w:t>
      </w:r>
      <w:r>
        <w:rPr>
          <w:rFonts w:ascii="Bookman Old Style" w:hAnsi="Bookman Old Style"/>
          <w:sz w:val="24"/>
        </w:rPr>
        <w:t>feats and achievements convinced the King and others of his divine</w:t>
      </w:r>
      <w:r>
        <w:rPr>
          <w:rFonts w:ascii="Bookman Old Style" w:hAnsi="Bookman Old Style"/>
          <w:spacing w:val="-3"/>
          <w:sz w:val="24"/>
        </w:rPr>
        <w:t xml:space="preserve"> </w:t>
      </w:r>
      <w:r>
        <w:rPr>
          <w:rFonts w:ascii="Bookman Old Style" w:hAnsi="Bookman Old Style"/>
          <w:sz w:val="24"/>
        </w:rPr>
        <w:t>origin.</w:t>
      </w:r>
    </w:p>
    <w:p w:rsidR="003B2FC0" w:rsidRDefault="00052A49">
      <w:pPr>
        <w:spacing w:line="480" w:lineRule="auto"/>
        <w:ind w:left="1261" w:right="456" w:firstLine="415"/>
        <w:jc w:val="both"/>
        <w:rPr>
          <w:rFonts w:ascii="Bookman Old Style" w:hAnsi="Bookman Old Style"/>
          <w:sz w:val="24"/>
        </w:rPr>
      </w:pPr>
      <w:r>
        <w:rPr>
          <w:rFonts w:ascii="Bookman Old Style" w:hAnsi="Bookman Old Style"/>
          <w:sz w:val="24"/>
        </w:rPr>
        <w:t xml:space="preserve">The Lord told the King that he could construct a temple at Sabarimala, north of the </w:t>
      </w:r>
      <w:r>
        <w:rPr>
          <w:rFonts w:ascii="Bookman Old Style" w:hAnsi="Bookman Old Style"/>
          <w:sz w:val="24"/>
        </w:rPr>
        <w:t>holy river Pampa, and install the deity there. The King duly constructed the temple at Sabarimala and dedicated it to Lord Ayyappa. The deity of Lord Ayyappa in Sabarimala Temple was installed in the form of a ‘</w:t>
      </w:r>
      <w:r>
        <w:rPr>
          <w:rFonts w:ascii="Bookman Old Style" w:hAnsi="Bookman Old Style"/>
          <w:i/>
          <w:sz w:val="24"/>
        </w:rPr>
        <w:t>Naishtik Brahmachari</w:t>
      </w:r>
      <w:r>
        <w:rPr>
          <w:rFonts w:ascii="Bookman Old Style" w:hAnsi="Bookman Old Style"/>
          <w:sz w:val="24"/>
        </w:rPr>
        <w:t>’ i.e. an eternal</w:t>
      </w:r>
      <w:r>
        <w:rPr>
          <w:rFonts w:ascii="Bookman Old Style" w:hAnsi="Bookman Old Style"/>
          <w:spacing w:val="1"/>
          <w:sz w:val="24"/>
        </w:rPr>
        <w:t xml:space="preserve"> </w:t>
      </w:r>
      <w:r>
        <w:rPr>
          <w:rFonts w:ascii="Bookman Old Style" w:hAnsi="Bookman Old Style"/>
          <w:sz w:val="24"/>
        </w:rPr>
        <w:t>celibat</w:t>
      </w:r>
      <w:r>
        <w:rPr>
          <w:rFonts w:ascii="Bookman Old Style" w:hAnsi="Bookman Old Style"/>
          <w:sz w:val="24"/>
        </w:rPr>
        <w:t>e.</w:t>
      </w:r>
    </w:p>
    <w:p w:rsidR="003B2FC0" w:rsidRDefault="00052A49">
      <w:pPr>
        <w:spacing w:before="1" w:line="480" w:lineRule="auto"/>
        <w:ind w:left="1261" w:right="456" w:firstLine="415"/>
        <w:jc w:val="both"/>
        <w:rPr>
          <w:rFonts w:ascii="Bookman Old Style" w:hAnsi="Bookman Old Style"/>
          <w:sz w:val="24"/>
        </w:rPr>
      </w:pPr>
      <w:r>
        <w:rPr>
          <w:rFonts w:ascii="Bookman Old Style" w:hAnsi="Bookman Old Style"/>
          <w:sz w:val="24"/>
        </w:rPr>
        <w:t>Lord Ayyappa is believed to have explained the manner in which the pilgrimage to the Sabarimala Temple is to be undertaken, after observing a 41-day ‘</w:t>
      </w:r>
      <w:r>
        <w:rPr>
          <w:rFonts w:ascii="Bookman Old Style" w:hAnsi="Bookman Old Style"/>
          <w:i/>
          <w:sz w:val="24"/>
        </w:rPr>
        <w:t>Vratham</w:t>
      </w:r>
      <w:r>
        <w:rPr>
          <w:rFonts w:ascii="Bookman Old Style" w:hAnsi="Bookman Old Style"/>
          <w:sz w:val="24"/>
        </w:rPr>
        <w:t>’.</w:t>
      </w:r>
    </w:p>
    <w:p w:rsidR="003B2FC0" w:rsidRDefault="003B2FC0">
      <w:pPr>
        <w:spacing w:line="480" w:lineRule="auto"/>
        <w:jc w:val="both"/>
        <w:rPr>
          <w:rFonts w:ascii="Bookman Old Style" w:hAnsi="Bookman Old Style"/>
          <w:sz w:val="24"/>
        </w:rPr>
        <w:sectPr w:rsidR="003B2FC0">
          <w:headerReference w:type="default" r:id="rId413"/>
          <w:footerReference w:type="default" r:id="rId414"/>
          <w:pgSz w:w="11910" w:h="16840"/>
          <w:pgMar w:top="1340" w:right="980" w:bottom="1220" w:left="1040" w:header="0" w:footer="1033" w:gutter="0"/>
          <w:pgNumType w:start="10"/>
          <w:cols w:space="720"/>
        </w:sectPr>
      </w:pPr>
    </w:p>
    <w:p w:rsidR="003B2FC0" w:rsidRDefault="00052A49">
      <w:pPr>
        <w:spacing w:before="83" w:line="480" w:lineRule="auto"/>
        <w:ind w:left="1261" w:right="455" w:firstLine="415"/>
        <w:jc w:val="both"/>
        <w:rPr>
          <w:rFonts w:ascii="Bookman Old Style" w:hAnsi="Bookman Old Style"/>
          <w:sz w:val="24"/>
        </w:rPr>
      </w:pPr>
      <w:r>
        <w:rPr>
          <w:rFonts w:ascii="Bookman Old Style" w:hAnsi="Bookman Old Style"/>
          <w:sz w:val="24"/>
        </w:rPr>
        <w:t>It is believed that Lord Ayyappa himself undertook the 41-day ‘</w:t>
      </w:r>
      <w:r>
        <w:rPr>
          <w:rFonts w:ascii="Bookman Old Style" w:hAnsi="Bookman Old Style"/>
          <w:i/>
          <w:sz w:val="24"/>
        </w:rPr>
        <w:t>Vratham</w:t>
      </w:r>
      <w:r>
        <w:rPr>
          <w:rFonts w:ascii="Bookman Old Style" w:hAnsi="Bookman Old Style"/>
          <w:sz w:val="24"/>
        </w:rPr>
        <w:t>’ before he went to Sabarimala Temple to merge with the deity.  The whole process of the pilgrimage undertaken by a pilgrim  is to replicate the journey of Lord Ayyappa. The mode and man</w:t>
      </w:r>
      <w:r>
        <w:rPr>
          <w:rFonts w:ascii="Bookman Old Style" w:hAnsi="Bookman Old Style"/>
          <w:sz w:val="24"/>
        </w:rPr>
        <w:t>ner of worship at this Temple as revealed by the Lord himself is chronicled in the ‘</w:t>
      </w:r>
      <w:r>
        <w:rPr>
          <w:rFonts w:ascii="Bookman Old Style" w:hAnsi="Bookman Old Style"/>
          <w:i/>
          <w:sz w:val="24"/>
        </w:rPr>
        <w:t>Sthal Purana</w:t>
      </w:r>
      <w:r>
        <w:rPr>
          <w:rFonts w:ascii="Bookman Old Style" w:hAnsi="Bookman Old Style"/>
          <w:sz w:val="24"/>
        </w:rPr>
        <w:t>’ i.e. the ‘</w:t>
      </w:r>
      <w:r>
        <w:rPr>
          <w:rFonts w:ascii="Bookman Old Style" w:hAnsi="Bookman Old Style"/>
          <w:i/>
          <w:sz w:val="24"/>
        </w:rPr>
        <w:t>Bhuthanatha</w:t>
      </w:r>
      <w:r>
        <w:rPr>
          <w:rFonts w:ascii="Bookman Old Style" w:hAnsi="Bookman Old Style"/>
          <w:i/>
          <w:spacing w:val="-6"/>
          <w:sz w:val="24"/>
        </w:rPr>
        <w:t xml:space="preserve"> </w:t>
      </w:r>
      <w:r>
        <w:rPr>
          <w:rFonts w:ascii="Bookman Old Style" w:hAnsi="Bookman Old Style"/>
          <w:i/>
          <w:sz w:val="24"/>
        </w:rPr>
        <w:t>Geetha</w:t>
      </w:r>
      <w:r>
        <w:rPr>
          <w:rFonts w:ascii="Bookman Old Style" w:hAnsi="Bookman Old Style"/>
          <w:sz w:val="24"/>
        </w:rPr>
        <w:t>’.</w:t>
      </w:r>
    </w:p>
    <w:p w:rsidR="003B2FC0" w:rsidRDefault="00052A49">
      <w:pPr>
        <w:spacing w:before="2" w:line="480" w:lineRule="auto"/>
        <w:ind w:left="1261" w:right="454" w:firstLine="415"/>
        <w:jc w:val="both"/>
        <w:rPr>
          <w:rFonts w:ascii="Bookman Old Style" w:hAnsi="Bookman Old Style"/>
          <w:sz w:val="24"/>
        </w:rPr>
      </w:pPr>
      <w:r>
        <w:rPr>
          <w:rFonts w:ascii="Bookman Old Style" w:hAnsi="Bookman Old Style"/>
          <w:sz w:val="24"/>
        </w:rPr>
        <w:t>The 41 day “</w:t>
      </w:r>
      <w:r>
        <w:rPr>
          <w:rFonts w:ascii="Bookman Old Style" w:hAnsi="Bookman Old Style"/>
          <w:i/>
          <w:sz w:val="24"/>
        </w:rPr>
        <w:t>Vratham</w:t>
      </w:r>
      <w:r>
        <w:rPr>
          <w:rFonts w:ascii="Bookman Old Style" w:hAnsi="Bookman Old Style"/>
          <w:sz w:val="24"/>
        </w:rPr>
        <w:t>” is a centuries old custom and practise undertaken by the pilgrims referred to as ‘</w:t>
      </w:r>
      <w:r>
        <w:rPr>
          <w:rFonts w:ascii="Bookman Old Style" w:hAnsi="Bookman Old Style"/>
          <w:i/>
          <w:sz w:val="24"/>
        </w:rPr>
        <w:t>Ayyappans</w:t>
      </w:r>
      <w:r>
        <w:rPr>
          <w:rFonts w:ascii="Bookman Old Style" w:hAnsi="Bookman Old Style"/>
          <w:sz w:val="24"/>
        </w:rPr>
        <w:t>’. The object o</w:t>
      </w:r>
      <w:r>
        <w:rPr>
          <w:rFonts w:ascii="Bookman Old Style" w:hAnsi="Bookman Old Style"/>
          <w:sz w:val="24"/>
        </w:rPr>
        <w:t xml:space="preserve">f this </w:t>
      </w:r>
      <w:r>
        <w:rPr>
          <w:rFonts w:ascii="Bookman Old Style" w:hAnsi="Bookman Old Style"/>
          <w:i/>
          <w:sz w:val="24"/>
        </w:rPr>
        <w:t xml:space="preserve">‘Vratham’ </w:t>
      </w:r>
      <w:r>
        <w:rPr>
          <w:rFonts w:ascii="Bookman Old Style" w:hAnsi="Bookman Old Style"/>
          <w:sz w:val="24"/>
        </w:rPr>
        <w:t>is to discipline and train the devotees for the evolution of spiritual consciousness leading to self-realization. Before embarking on the pilgrimage to this shrine, a key essential of the ‘</w:t>
      </w:r>
      <w:r>
        <w:rPr>
          <w:rFonts w:ascii="Bookman Old Style" w:hAnsi="Bookman Old Style"/>
          <w:i/>
          <w:sz w:val="24"/>
        </w:rPr>
        <w:t>Vratham</w:t>
      </w:r>
      <w:r>
        <w:rPr>
          <w:rFonts w:ascii="Bookman Old Style" w:hAnsi="Bookman Old Style"/>
          <w:sz w:val="24"/>
        </w:rPr>
        <w:t>’ is observance of a ‘</w:t>
      </w:r>
      <w:r>
        <w:rPr>
          <w:rFonts w:ascii="Bookman Old Style" w:hAnsi="Bookman Old Style"/>
          <w:i/>
          <w:sz w:val="24"/>
        </w:rPr>
        <w:t>Sathvic</w:t>
      </w:r>
      <w:r>
        <w:rPr>
          <w:rFonts w:ascii="Bookman Old Style" w:hAnsi="Bookman Old Style"/>
          <w:sz w:val="24"/>
        </w:rPr>
        <w:t>’ lifestyle an</w:t>
      </w:r>
      <w:r>
        <w:rPr>
          <w:rFonts w:ascii="Bookman Old Style" w:hAnsi="Bookman Old Style"/>
          <w:sz w:val="24"/>
        </w:rPr>
        <w:t>d ‘</w:t>
      </w:r>
      <w:r>
        <w:rPr>
          <w:rFonts w:ascii="Bookman Old Style" w:hAnsi="Bookman Old Style"/>
          <w:i/>
          <w:sz w:val="24"/>
        </w:rPr>
        <w:t>Brahmacharya</w:t>
      </w:r>
      <w:r>
        <w:rPr>
          <w:rFonts w:ascii="Bookman Old Style" w:hAnsi="Bookman Old Style"/>
          <w:sz w:val="24"/>
        </w:rPr>
        <w:t>’ so as to keep the body and mind pure. A basic requirement of the ‘</w:t>
      </w:r>
      <w:r>
        <w:rPr>
          <w:rFonts w:ascii="Bookman Old Style" w:hAnsi="Bookman Old Style"/>
          <w:i/>
          <w:sz w:val="24"/>
        </w:rPr>
        <w:t xml:space="preserve">Vratham’ </w:t>
      </w:r>
      <w:r>
        <w:rPr>
          <w:rFonts w:ascii="Bookman Old Style" w:hAnsi="Bookman Old Style"/>
          <w:sz w:val="24"/>
        </w:rPr>
        <w:t>is to withdraw from the materialistic world and step onto the spiritual path.</w:t>
      </w:r>
    </w:p>
    <w:p w:rsidR="003B2FC0" w:rsidRDefault="00052A49">
      <w:pPr>
        <w:spacing w:line="480" w:lineRule="auto"/>
        <w:ind w:left="1261" w:right="455" w:firstLine="415"/>
        <w:jc w:val="both"/>
        <w:rPr>
          <w:rFonts w:ascii="Bookman Old Style" w:hAnsi="Bookman Old Style"/>
          <w:sz w:val="24"/>
        </w:rPr>
      </w:pPr>
      <w:r>
        <w:rPr>
          <w:rFonts w:ascii="Bookman Old Style" w:hAnsi="Bookman Old Style"/>
          <w:sz w:val="24"/>
        </w:rPr>
        <w:t>When a pilgrim undertakes the ‘</w:t>
      </w:r>
      <w:r>
        <w:rPr>
          <w:rFonts w:ascii="Bookman Old Style" w:hAnsi="Bookman Old Style"/>
          <w:i/>
          <w:sz w:val="24"/>
        </w:rPr>
        <w:t>Vratham</w:t>
      </w:r>
      <w:r>
        <w:rPr>
          <w:rFonts w:ascii="Bookman Old Style" w:hAnsi="Bookman Old Style"/>
          <w:sz w:val="24"/>
        </w:rPr>
        <w:t>’, the pilgrim separates himself from the women-</w:t>
      </w:r>
      <w:r>
        <w:rPr>
          <w:rFonts w:ascii="Bookman Old Style" w:hAnsi="Bookman Old Style"/>
          <w:sz w:val="24"/>
        </w:rPr>
        <w:t>folk in the house, including his wife, daughter, or other female members in the family.</w:t>
      </w:r>
    </w:p>
    <w:p w:rsidR="003B2FC0" w:rsidRDefault="00052A49">
      <w:pPr>
        <w:spacing w:before="1"/>
        <w:ind w:left="1677"/>
        <w:rPr>
          <w:rFonts w:ascii="Bookman Old Style" w:hAnsi="Bookman Old Style"/>
          <w:sz w:val="24"/>
        </w:rPr>
      </w:pPr>
      <w:r>
        <w:rPr>
          <w:rFonts w:ascii="Bookman Old Style" w:hAnsi="Bookman Old Style"/>
          <w:sz w:val="24"/>
        </w:rPr>
        <w:t>The “</w:t>
      </w:r>
      <w:r>
        <w:rPr>
          <w:rFonts w:ascii="Bookman Old Style" w:hAnsi="Bookman Old Style"/>
          <w:i/>
          <w:sz w:val="24"/>
        </w:rPr>
        <w:t>Vratham</w:t>
      </w:r>
      <w:r>
        <w:rPr>
          <w:rFonts w:ascii="Bookman Old Style" w:hAnsi="Bookman Old Style"/>
          <w:sz w:val="24"/>
        </w:rPr>
        <w:t>” or penance consists of:</w:t>
      </w:r>
    </w:p>
    <w:p w:rsidR="003B2FC0" w:rsidRDefault="003B2FC0">
      <w:pPr>
        <w:pStyle w:val="BodyText"/>
        <w:spacing w:before="9"/>
        <w:rPr>
          <w:sz w:val="23"/>
        </w:rPr>
      </w:pPr>
    </w:p>
    <w:p w:rsidR="003B2FC0" w:rsidRDefault="00052A49">
      <w:pPr>
        <w:pStyle w:val="ListParagraph"/>
        <w:numPr>
          <w:ilvl w:val="2"/>
          <w:numId w:val="13"/>
        </w:numPr>
        <w:tabs>
          <w:tab w:val="left" w:pos="2244"/>
        </w:tabs>
        <w:ind w:left="2243" w:hanging="283"/>
        <w:jc w:val="left"/>
        <w:rPr>
          <w:rFonts w:ascii="Bookman Old Style" w:hAnsi="Bookman Old Style"/>
          <w:sz w:val="24"/>
        </w:rPr>
      </w:pPr>
      <w:r>
        <w:rPr>
          <w:rFonts w:ascii="Bookman Old Style" w:hAnsi="Bookman Old Style"/>
          <w:sz w:val="24"/>
        </w:rPr>
        <w:t>Forsaking all physical relations with one’s</w:t>
      </w:r>
      <w:r>
        <w:rPr>
          <w:rFonts w:ascii="Bookman Old Style" w:hAnsi="Bookman Old Style"/>
          <w:spacing w:val="-6"/>
          <w:sz w:val="24"/>
        </w:rPr>
        <w:t xml:space="preserve"> </w:t>
      </w:r>
      <w:r>
        <w:rPr>
          <w:rFonts w:ascii="Bookman Old Style" w:hAnsi="Bookman Old Style"/>
          <w:sz w:val="24"/>
        </w:rPr>
        <w:t>spouse;</w:t>
      </w:r>
    </w:p>
    <w:p w:rsidR="003B2FC0" w:rsidRDefault="003B2FC0">
      <w:pPr>
        <w:pStyle w:val="BodyText"/>
        <w:rPr>
          <w:sz w:val="24"/>
        </w:rPr>
      </w:pPr>
    </w:p>
    <w:p w:rsidR="003B2FC0" w:rsidRDefault="00052A49">
      <w:pPr>
        <w:pStyle w:val="ListParagraph"/>
        <w:numPr>
          <w:ilvl w:val="2"/>
          <w:numId w:val="13"/>
        </w:numPr>
        <w:tabs>
          <w:tab w:val="left" w:pos="2244"/>
        </w:tabs>
        <w:spacing w:line="468" w:lineRule="auto"/>
        <w:ind w:left="2243" w:right="458" w:hanging="283"/>
        <w:jc w:val="left"/>
        <w:rPr>
          <w:rFonts w:ascii="Bookman Old Style" w:hAnsi="Bookman Old Style"/>
          <w:sz w:val="24"/>
        </w:rPr>
      </w:pPr>
      <w:r>
        <w:rPr>
          <w:rFonts w:ascii="Bookman Old Style" w:hAnsi="Bookman Old Style"/>
          <w:sz w:val="24"/>
        </w:rPr>
        <w:t>Giving up anything that is intoxicating, including alcohol, cigarettes and ‘</w:t>
      </w:r>
      <w:r>
        <w:rPr>
          <w:rFonts w:ascii="Bookman Old Style" w:hAnsi="Bookman Old Style"/>
          <w:i/>
          <w:sz w:val="24"/>
        </w:rPr>
        <w:t>tamasic’</w:t>
      </w:r>
      <w:r>
        <w:rPr>
          <w:rFonts w:ascii="Bookman Old Style" w:hAnsi="Bookman Old Style"/>
          <w:i/>
          <w:spacing w:val="4"/>
          <w:sz w:val="24"/>
        </w:rPr>
        <w:t xml:space="preserve"> </w:t>
      </w:r>
      <w:r>
        <w:rPr>
          <w:rFonts w:ascii="Bookman Old Style" w:hAnsi="Bookman Old Style"/>
          <w:sz w:val="24"/>
        </w:rPr>
        <w:t>food;</w:t>
      </w:r>
    </w:p>
    <w:p w:rsidR="003B2FC0" w:rsidRDefault="00052A49">
      <w:pPr>
        <w:pStyle w:val="ListParagraph"/>
        <w:numPr>
          <w:ilvl w:val="2"/>
          <w:numId w:val="13"/>
        </w:numPr>
        <w:tabs>
          <w:tab w:val="left" w:pos="2244"/>
        </w:tabs>
        <w:spacing w:before="17" w:line="468" w:lineRule="auto"/>
        <w:ind w:left="2243" w:right="457" w:hanging="283"/>
        <w:jc w:val="left"/>
        <w:rPr>
          <w:rFonts w:ascii="Bookman Old Style" w:hAnsi="Bookman Old Style"/>
          <w:sz w:val="24"/>
        </w:rPr>
      </w:pPr>
      <w:r>
        <w:rPr>
          <w:rFonts w:ascii="Bookman Old Style" w:hAnsi="Bookman Old Style"/>
          <w:sz w:val="24"/>
        </w:rPr>
        <w:t>Living separately from the rest of the family in an isolated room or a separate</w:t>
      </w:r>
      <w:r>
        <w:rPr>
          <w:rFonts w:ascii="Bookman Old Style" w:hAnsi="Bookman Old Style"/>
          <w:spacing w:val="-1"/>
          <w:sz w:val="24"/>
        </w:rPr>
        <w:t xml:space="preserve"> </w:t>
      </w:r>
      <w:r>
        <w:rPr>
          <w:rFonts w:ascii="Bookman Old Style" w:hAnsi="Bookman Old Style"/>
          <w:sz w:val="24"/>
        </w:rPr>
        <w:t>building;</w:t>
      </w:r>
    </w:p>
    <w:p w:rsidR="003B2FC0" w:rsidRDefault="003B2FC0">
      <w:pPr>
        <w:spacing w:line="468" w:lineRule="auto"/>
        <w:rPr>
          <w:rFonts w:ascii="Bookman Old Style" w:hAnsi="Bookman Old Style"/>
          <w:sz w:val="24"/>
        </w:rPr>
        <w:sectPr w:rsidR="003B2FC0">
          <w:headerReference w:type="default" r:id="rId415"/>
          <w:footerReference w:type="default" r:id="rId416"/>
          <w:pgSz w:w="11910" w:h="16840"/>
          <w:pgMar w:top="1340" w:right="980" w:bottom="1220" w:left="1040" w:header="0" w:footer="1033" w:gutter="0"/>
          <w:pgNumType w:start="11"/>
          <w:cols w:space="720"/>
        </w:sectPr>
      </w:pPr>
    </w:p>
    <w:p w:rsidR="003B2FC0" w:rsidRDefault="00052A49">
      <w:pPr>
        <w:pStyle w:val="ListParagraph"/>
        <w:numPr>
          <w:ilvl w:val="2"/>
          <w:numId w:val="13"/>
        </w:numPr>
        <w:tabs>
          <w:tab w:val="left" w:pos="2244"/>
        </w:tabs>
        <w:spacing w:before="83" w:line="475" w:lineRule="auto"/>
        <w:ind w:left="2243" w:right="453" w:hanging="283"/>
        <w:rPr>
          <w:rFonts w:ascii="Bookman Old Style" w:hAnsi="Bookman Old Style"/>
          <w:sz w:val="24"/>
        </w:rPr>
      </w:pPr>
      <w:r>
        <w:rPr>
          <w:rFonts w:ascii="Bookman Old Style" w:hAnsi="Bookman Old Style"/>
          <w:sz w:val="24"/>
        </w:rPr>
        <w:t>Refraining from interacting with young women in daily life, including one’s daughter, sister, or other young women relatives;</w:t>
      </w:r>
    </w:p>
    <w:p w:rsidR="003B2FC0" w:rsidRDefault="00052A49">
      <w:pPr>
        <w:pStyle w:val="ListParagraph"/>
        <w:numPr>
          <w:ilvl w:val="2"/>
          <w:numId w:val="13"/>
        </w:numPr>
        <w:tabs>
          <w:tab w:val="left" w:pos="2244"/>
        </w:tabs>
        <w:spacing w:before="6"/>
        <w:ind w:left="2243" w:hanging="283"/>
        <w:jc w:val="left"/>
        <w:rPr>
          <w:rFonts w:ascii="Bookman Old Style" w:hAnsi="Bookman Old Style"/>
          <w:sz w:val="24"/>
        </w:rPr>
      </w:pPr>
      <w:r>
        <w:rPr>
          <w:rFonts w:ascii="Bookman Old Style" w:hAnsi="Bookman Old Style"/>
          <w:sz w:val="24"/>
        </w:rPr>
        <w:t>Cooking one’s own</w:t>
      </w:r>
      <w:r>
        <w:rPr>
          <w:rFonts w:ascii="Bookman Old Style" w:hAnsi="Bookman Old Style"/>
          <w:spacing w:val="-1"/>
          <w:sz w:val="24"/>
        </w:rPr>
        <w:t xml:space="preserve"> </w:t>
      </w:r>
      <w:r>
        <w:rPr>
          <w:rFonts w:ascii="Bookman Old Style" w:hAnsi="Bookman Old Style"/>
          <w:sz w:val="24"/>
        </w:rPr>
        <w:t>food;</w:t>
      </w:r>
    </w:p>
    <w:p w:rsidR="003B2FC0" w:rsidRDefault="003B2FC0">
      <w:pPr>
        <w:pStyle w:val="BodyText"/>
        <w:rPr>
          <w:sz w:val="24"/>
        </w:rPr>
      </w:pPr>
    </w:p>
    <w:p w:rsidR="003B2FC0" w:rsidRDefault="00052A49">
      <w:pPr>
        <w:pStyle w:val="ListParagraph"/>
        <w:numPr>
          <w:ilvl w:val="2"/>
          <w:numId w:val="13"/>
        </w:numPr>
        <w:tabs>
          <w:tab w:val="left" w:pos="2244"/>
        </w:tabs>
        <w:spacing w:line="468" w:lineRule="auto"/>
        <w:ind w:left="2243" w:right="460" w:hanging="283"/>
        <w:jc w:val="left"/>
        <w:rPr>
          <w:rFonts w:ascii="Bookman Old Style" w:hAnsi="Bookman Old Style"/>
          <w:sz w:val="24"/>
        </w:rPr>
      </w:pPr>
      <w:r>
        <w:rPr>
          <w:rFonts w:ascii="Bookman Old Style" w:hAnsi="Bookman Old Style"/>
          <w:sz w:val="24"/>
        </w:rPr>
        <w:t>Observing cleanliness, including bathing twice a day before prayers;</w:t>
      </w:r>
    </w:p>
    <w:p w:rsidR="003B2FC0" w:rsidRDefault="00052A49">
      <w:pPr>
        <w:pStyle w:val="ListParagraph"/>
        <w:numPr>
          <w:ilvl w:val="2"/>
          <w:numId w:val="13"/>
        </w:numPr>
        <w:tabs>
          <w:tab w:val="left" w:pos="2244"/>
        </w:tabs>
        <w:spacing w:before="15"/>
        <w:ind w:left="2243" w:hanging="283"/>
        <w:jc w:val="left"/>
        <w:rPr>
          <w:rFonts w:ascii="Bookman Old Style" w:hAnsi="Bookman Old Style"/>
          <w:sz w:val="24"/>
        </w:rPr>
      </w:pPr>
      <w:r>
        <w:rPr>
          <w:rFonts w:ascii="Bookman Old Style" w:hAnsi="Bookman Old Style"/>
          <w:sz w:val="24"/>
        </w:rPr>
        <w:t xml:space="preserve">Wearing a black </w:t>
      </w:r>
      <w:r>
        <w:rPr>
          <w:rFonts w:ascii="Bookman Old Style" w:hAnsi="Bookman Old Style"/>
          <w:i/>
          <w:sz w:val="24"/>
        </w:rPr>
        <w:t xml:space="preserve">mundu </w:t>
      </w:r>
      <w:r>
        <w:rPr>
          <w:rFonts w:ascii="Bookman Old Style" w:hAnsi="Bookman Old Style"/>
          <w:sz w:val="24"/>
        </w:rPr>
        <w:t>and upper</w:t>
      </w:r>
      <w:r>
        <w:rPr>
          <w:rFonts w:ascii="Bookman Old Style" w:hAnsi="Bookman Old Style"/>
          <w:spacing w:val="3"/>
          <w:sz w:val="24"/>
        </w:rPr>
        <w:t xml:space="preserve"> </w:t>
      </w:r>
      <w:r>
        <w:rPr>
          <w:rFonts w:ascii="Bookman Old Style" w:hAnsi="Bookman Old Style"/>
          <w:sz w:val="24"/>
        </w:rPr>
        <w:t>garm</w:t>
      </w:r>
      <w:r>
        <w:rPr>
          <w:rFonts w:ascii="Bookman Old Style" w:hAnsi="Bookman Old Style"/>
          <w:sz w:val="24"/>
        </w:rPr>
        <w:t>ents;</w:t>
      </w:r>
    </w:p>
    <w:p w:rsidR="003B2FC0" w:rsidRDefault="003B2FC0">
      <w:pPr>
        <w:pStyle w:val="BodyText"/>
        <w:spacing w:before="11"/>
        <w:rPr>
          <w:sz w:val="23"/>
        </w:rPr>
      </w:pPr>
    </w:p>
    <w:p w:rsidR="003B2FC0" w:rsidRDefault="00052A49">
      <w:pPr>
        <w:pStyle w:val="ListParagraph"/>
        <w:numPr>
          <w:ilvl w:val="2"/>
          <w:numId w:val="13"/>
        </w:numPr>
        <w:tabs>
          <w:tab w:val="left" w:pos="2244"/>
        </w:tabs>
        <w:ind w:left="2243" w:hanging="283"/>
        <w:jc w:val="left"/>
        <w:rPr>
          <w:rFonts w:ascii="Bookman Old Style" w:hAnsi="Bookman Old Style"/>
          <w:sz w:val="24"/>
        </w:rPr>
      </w:pPr>
      <w:r>
        <w:rPr>
          <w:rFonts w:ascii="Bookman Old Style" w:hAnsi="Bookman Old Style"/>
          <w:sz w:val="24"/>
        </w:rPr>
        <w:t>Having only one meal a</w:t>
      </w:r>
      <w:r>
        <w:rPr>
          <w:rFonts w:ascii="Bookman Old Style" w:hAnsi="Bookman Old Style"/>
          <w:spacing w:val="-1"/>
          <w:sz w:val="24"/>
        </w:rPr>
        <w:t xml:space="preserve"> </w:t>
      </w:r>
      <w:r>
        <w:rPr>
          <w:rFonts w:ascii="Bookman Old Style" w:hAnsi="Bookman Old Style"/>
          <w:sz w:val="24"/>
        </w:rPr>
        <w:t>day;</w:t>
      </w:r>
    </w:p>
    <w:p w:rsidR="003B2FC0" w:rsidRDefault="003B2FC0">
      <w:pPr>
        <w:pStyle w:val="BodyText"/>
        <w:rPr>
          <w:sz w:val="24"/>
        </w:rPr>
      </w:pPr>
    </w:p>
    <w:p w:rsidR="003B2FC0" w:rsidRDefault="00052A49">
      <w:pPr>
        <w:pStyle w:val="ListParagraph"/>
        <w:numPr>
          <w:ilvl w:val="2"/>
          <w:numId w:val="13"/>
        </w:numPr>
        <w:tabs>
          <w:tab w:val="left" w:pos="2244"/>
        </w:tabs>
        <w:ind w:left="2243" w:hanging="283"/>
        <w:jc w:val="left"/>
        <w:rPr>
          <w:rFonts w:ascii="Bookman Old Style" w:hAnsi="Bookman Old Style"/>
          <w:sz w:val="24"/>
        </w:rPr>
      </w:pPr>
      <w:r>
        <w:rPr>
          <w:rFonts w:ascii="Bookman Old Style" w:hAnsi="Bookman Old Style"/>
          <w:sz w:val="24"/>
        </w:rPr>
        <w:t>Walking</w:t>
      </w:r>
      <w:r>
        <w:rPr>
          <w:rFonts w:ascii="Bookman Old Style" w:hAnsi="Bookman Old Style"/>
          <w:spacing w:val="-1"/>
          <w:sz w:val="24"/>
        </w:rPr>
        <w:t xml:space="preserve"> </w:t>
      </w:r>
      <w:r>
        <w:rPr>
          <w:rFonts w:ascii="Bookman Old Style" w:hAnsi="Bookman Old Style"/>
          <w:sz w:val="24"/>
        </w:rPr>
        <w:t>barefoot.</w:t>
      </w:r>
    </w:p>
    <w:p w:rsidR="003B2FC0" w:rsidRDefault="003B2FC0">
      <w:pPr>
        <w:pStyle w:val="BodyText"/>
        <w:spacing w:before="1"/>
        <w:rPr>
          <w:sz w:val="24"/>
        </w:rPr>
      </w:pPr>
    </w:p>
    <w:p w:rsidR="003B2FC0" w:rsidRDefault="00052A49">
      <w:pPr>
        <w:spacing w:line="480" w:lineRule="auto"/>
        <w:ind w:left="1261" w:right="456" w:firstLine="415"/>
        <w:jc w:val="both"/>
        <w:rPr>
          <w:rFonts w:ascii="Bookman Old Style" w:hAnsi="Bookman Old Style"/>
          <w:sz w:val="24"/>
        </w:rPr>
      </w:pPr>
      <w:r>
        <w:rPr>
          <w:rFonts w:ascii="Bookman Old Style" w:hAnsi="Bookman Old Style"/>
          <w:sz w:val="24"/>
        </w:rPr>
        <w:t>On the 41</w:t>
      </w:r>
      <w:r>
        <w:rPr>
          <w:rFonts w:ascii="Bookman Old Style" w:hAnsi="Bookman Old Style"/>
          <w:position w:val="6"/>
          <w:sz w:val="16"/>
        </w:rPr>
        <w:t xml:space="preserve">st </w:t>
      </w:r>
      <w:r>
        <w:rPr>
          <w:rFonts w:ascii="Bookman Old Style" w:hAnsi="Bookman Old Style"/>
          <w:sz w:val="24"/>
        </w:rPr>
        <w:t xml:space="preserve">day, after puja, the pilgrim takes the </w:t>
      </w:r>
      <w:r>
        <w:rPr>
          <w:rFonts w:ascii="Bookman Old Style" w:hAnsi="Bookman Old Style"/>
          <w:i/>
          <w:sz w:val="24"/>
        </w:rPr>
        <w:t xml:space="preserve">irimudi </w:t>
      </w:r>
      <w:r>
        <w:rPr>
          <w:rFonts w:ascii="Bookman Old Style" w:hAnsi="Bookman Old Style"/>
          <w:sz w:val="24"/>
        </w:rPr>
        <w:t>(consisting of rice and other provisions for one’s own travel, alongwith a coconut filled with ghee and puja articles) and starts the pilgrimage to climb the 18 steps to reach the ‘</w:t>
      </w:r>
      <w:r>
        <w:rPr>
          <w:rFonts w:ascii="Bookman Old Style" w:hAnsi="Bookman Old Style"/>
          <w:i/>
          <w:sz w:val="24"/>
        </w:rPr>
        <w:t>Sannidhanam’</w:t>
      </w:r>
      <w:r>
        <w:rPr>
          <w:rFonts w:ascii="Bookman Old Style" w:hAnsi="Bookman Old Style"/>
          <w:sz w:val="24"/>
        </w:rPr>
        <w:t xml:space="preserve">, for </w:t>
      </w:r>
      <w:r>
        <w:rPr>
          <w:rFonts w:ascii="Bookman Old Style" w:hAnsi="Bookman Old Style"/>
          <w:i/>
          <w:sz w:val="24"/>
        </w:rPr>
        <w:t xml:space="preserve">darshan </w:t>
      </w:r>
      <w:r>
        <w:rPr>
          <w:rFonts w:ascii="Bookman Old Style" w:hAnsi="Bookman Old Style"/>
          <w:sz w:val="24"/>
        </w:rPr>
        <w:t>of the deity. This involves walking from River Pa</w:t>
      </w:r>
      <w:r>
        <w:rPr>
          <w:rFonts w:ascii="Bookman Old Style" w:hAnsi="Bookman Old Style"/>
          <w:sz w:val="24"/>
        </w:rPr>
        <w:t xml:space="preserve">mpa, climbing 3000 feet to the </w:t>
      </w:r>
      <w:r>
        <w:rPr>
          <w:rFonts w:ascii="Bookman Old Style" w:hAnsi="Bookman Old Style"/>
          <w:i/>
          <w:sz w:val="24"/>
        </w:rPr>
        <w:t>Sannidhanam</w:t>
      </w:r>
      <w:r>
        <w:rPr>
          <w:rFonts w:ascii="Bookman Old Style" w:hAnsi="Bookman Old Style"/>
          <w:sz w:val="24"/>
        </w:rPr>
        <w:t>, which is a climb of around 13 kilometres through dense</w:t>
      </w:r>
      <w:r>
        <w:rPr>
          <w:rFonts w:ascii="Bookman Old Style" w:hAnsi="Bookman Old Style"/>
          <w:spacing w:val="-5"/>
          <w:sz w:val="24"/>
        </w:rPr>
        <w:t xml:space="preserve"> </w:t>
      </w:r>
      <w:r>
        <w:rPr>
          <w:rFonts w:ascii="Bookman Old Style" w:hAnsi="Bookman Old Style"/>
          <w:sz w:val="24"/>
        </w:rPr>
        <w:t>forests.</w:t>
      </w:r>
    </w:p>
    <w:p w:rsidR="003B2FC0" w:rsidRDefault="00052A49">
      <w:pPr>
        <w:spacing w:before="1" w:line="480" w:lineRule="auto"/>
        <w:ind w:left="1261" w:right="461" w:firstLine="415"/>
        <w:jc w:val="both"/>
        <w:rPr>
          <w:rFonts w:ascii="Bookman Old Style"/>
          <w:sz w:val="24"/>
        </w:rPr>
      </w:pPr>
      <w:r>
        <w:rPr>
          <w:rFonts w:ascii="Bookman Old Style"/>
          <w:sz w:val="24"/>
        </w:rPr>
        <w:t>As a part of this system of spiritual discipline, it is expressly stipulated that women between the ages of 10 to 50 years should not undertake this</w:t>
      </w:r>
      <w:r>
        <w:rPr>
          <w:rFonts w:ascii="Bookman Old Style"/>
          <w:sz w:val="24"/>
        </w:rPr>
        <w:t xml:space="preserve"> pilgrimage.</w:t>
      </w:r>
    </w:p>
    <w:p w:rsidR="003B2FC0" w:rsidRDefault="00052A49">
      <w:pPr>
        <w:pStyle w:val="ListParagraph"/>
        <w:numPr>
          <w:ilvl w:val="1"/>
          <w:numId w:val="13"/>
        </w:numPr>
        <w:tabs>
          <w:tab w:val="left" w:pos="1262"/>
        </w:tabs>
        <w:spacing w:before="2" w:line="480" w:lineRule="auto"/>
        <w:ind w:right="457"/>
        <w:jc w:val="both"/>
        <w:rPr>
          <w:rFonts w:ascii="Bookman Old Style"/>
          <w:sz w:val="24"/>
        </w:rPr>
      </w:pPr>
      <w:r>
        <w:rPr>
          <w:rFonts w:ascii="Bookman Old Style"/>
          <w:sz w:val="24"/>
        </w:rPr>
        <w:t>This custom or usage is understood to have been prevalent since the inception of this Temple, which is since the past several centuries. Reliance was placed on a comprehensive thesis by Radhika Sekar</w:t>
      </w:r>
      <w:r>
        <w:rPr>
          <w:rFonts w:ascii="Bookman Old Style"/>
          <w:spacing w:val="62"/>
          <w:sz w:val="24"/>
        </w:rPr>
        <w:t xml:space="preserve"> </w:t>
      </w:r>
      <w:r>
        <w:rPr>
          <w:rFonts w:ascii="Bookman Old Style"/>
          <w:sz w:val="24"/>
        </w:rPr>
        <w:t>on</w:t>
      </w:r>
    </w:p>
    <w:p w:rsidR="003B2FC0" w:rsidRDefault="003B2FC0">
      <w:pPr>
        <w:spacing w:line="480" w:lineRule="auto"/>
        <w:jc w:val="both"/>
        <w:rPr>
          <w:rFonts w:ascii="Bookman Old Style"/>
          <w:sz w:val="24"/>
        </w:rPr>
        <w:sectPr w:rsidR="003B2FC0">
          <w:headerReference w:type="default" r:id="rId417"/>
          <w:footerReference w:type="default" r:id="rId418"/>
          <w:pgSz w:w="11910" w:h="16840"/>
          <w:pgMar w:top="1340" w:right="980" w:bottom="1220" w:left="1040" w:header="0" w:footer="1033" w:gutter="0"/>
          <w:pgNumType w:start="12"/>
          <w:cols w:space="720"/>
        </w:sectPr>
      </w:pPr>
    </w:p>
    <w:p w:rsidR="003B2FC0" w:rsidRDefault="00052A49">
      <w:pPr>
        <w:spacing w:before="83" w:line="480" w:lineRule="auto"/>
        <w:ind w:left="1261"/>
        <w:rPr>
          <w:rFonts w:ascii="Bookman Old Style"/>
          <w:sz w:val="24"/>
        </w:rPr>
      </w:pPr>
      <w:r>
        <w:rPr>
          <w:rFonts w:ascii="Bookman Old Style"/>
          <w:sz w:val="24"/>
        </w:rPr>
        <w:t>this Temple.</w:t>
      </w:r>
      <w:r>
        <w:rPr>
          <w:rFonts w:ascii="Bookman Old Style"/>
          <w:position w:val="6"/>
          <w:sz w:val="16"/>
        </w:rPr>
        <w:t xml:space="preserve">8 </w:t>
      </w:r>
      <w:r>
        <w:rPr>
          <w:rFonts w:ascii="Bookman Old Style"/>
          <w:sz w:val="24"/>
        </w:rPr>
        <w:t>Relevant extracts from the thesis are reproduced hereinbelow:</w:t>
      </w:r>
    </w:p>
    <w:p w:rsidR="003B2FC0" w:rsidRDefault="00052A49">
      <w:pPr>
        <w:ind w:left="1677" w:right="838"/>
        <w:jc w:val="both"/>
        <w:rPr>
          <w:rFonts w:ascii="Bookman Old Style" w:hAnsi="Bookman Old Style"/>
          <w:i/>
          <w:sz w:val="24"/>
        </w:rPr>
      </w:pPr>
      <w:r>
        <w:rPr>
          <w:rFonts w:ascii="Bookman Old Style" w:hAnsi="Bookman Old Style"/>
          <w:sz w:val="24"/>
        </w:rPr>
        <w:t>“</w:t>
      </w:r>
      <w:r>
        <w:rPr>
          <w:rFonts w:ascii="Bookman Old Style" w:hAnsi="Bookman Old Style"/>
          <w:i/>
          <w:sz w:val="24"/>
          <w:u w:val="single"/>
        </w:rPr>
        <w:t>The cultus members maintain the strictest celibacy before they</w:t>
      </w:r>
      <w:r>
        <w:rPr>
          <w:rFonts w:ascii="Bookman Old Style" w:hAnsi="Bookman Old Style"/>
          <w:i/>
          <w:sz w:val="24"/>
        </w:rPr>
        <w:t xml:space="preserve"> </w:t>
      </w:r>
      <w:r>
        <w:rPr>
          <w:rFonts w:ascii="Bookman Old Style" w:hAnsi="Bookman Old Style"/>
          <w:i/>
          <w:sz w:val="24"/>
          <w:u w:val="single"/>
        </w:rPr>
        <w:t>undertake their journey through the forests to the Sabarimala</w:t>
      </w:r>
      <w:r>
        <w:rPr>
          <w:rFonts w:ascii="Bookman Old Style" w:hAnsi="Bookman Old Style"/>
          <w:i/>
          <w:sz w:val="24"/>
        </w:rPr>
        <w:t xml:space="preserve"> </w:t>
      </w:r>
      <w:r>
        <w:rPr>
          <w:rFonts w:ascii="Bookman Old Style" w:hAnsi="Bookman Old Style"/>
          <w:i/>
          <w:sz w:val="24"/>
          <w:u w:val="single"/>
        </w:rPr>
        <w:t>shrine. This emphasis on cel</w:t>
      </w:r>
      <w:r>
        <w:rPr>
          <w:rFonts w:ascii="Bookman Old Style" w:hAnsi="Bookman Old Style"/>
          <w:i/>
          <w:sz w:val="24"/>
          <w:u w:val="single"/>
        </w:rPr>
        <w:t>ibacy could be in order to gain</w:t>
      </w:r>
      <w:r>
        <w:rPr>
          <w:rFonts w:ascii="Bookman Old Style" w:hAnsi="Bookman Old Style"/>
          <w:i/>
          <w:sz w:val="24"/>
        </w:rPr>
        <w:t xml:space="preserve"> </w:t>
      </w:r>
      <w:r>
        <w:rPr>
          <w:rFonts w:ascii="Bookman Old Style" w:hAnsi="Bookman Old Style"/>
          <w:i/>
          <w:sz w:val="24"/>
          <w:u w:val="single"/>
        </w:rPr>
        <w:t>protection from other forest spirits, for as mentioned earlier,</w:t>
      </w:r>
      <w:r>
        <w:rPr>
          <w:rFonts w:ascii="Bookman Old Style" w:hAnsi="Bookman Old Style"/>
          <w:i/>
          <w:sz w:val="24"/>
        </w:rPr>
        <w:t xml:space="preserve"> </w:t>
      </w:r>
      <w:r>
        <w:rPr>
          <w:rFonts w:ascii="Bookman Old Style" w:hAnsi="Bookman Old Style"/>
          <w:i/>
          <w:sz w:val="24"/>
          <w:u w:val="single"/>
        </w:rPr>
        <w:t>Yaksas are said to protect “sages and celibates</w:t>
      </w:r>
      <w:r>
        <w:rPr>
          <w:rFonts w:ascii="Bookman Old Style" w:hAnsi="Bookman Old Style"/>
          <w:i/>
          <w:sz w:val="24"/>
        </w:rPr>
        <w:t>…</w:t>
      </w:r>
    </w:p>
    <w:p w:rsidR="003B2FC0" w:rsidRDefault="00052A49">
      <w:pPr>
        <w:ind w:left="1677" w:right="832"/>
        <w:jc w:val="both"/>
        <w:rPr>
          <w:rFonts w:ascii="Bookman Old Style" w:hAnsi="Bookman Old Style"/>
          <w:i/>
          <w:sz w:val="24"/>
        </w:rPr>
      </w:pPr>
      <w:r>
        <w:rPr>
          <w:rFonts w:ascii="Bookman Old Style" w:hAnsi="Bookman Old Style"/>
          <w:i/>
          <w:sz w:val="24"/>
        </w:rPr>
        <w:t xml:space="preserve">…Though there is no formal declaration, </w:t>
      </w:r>
      <w:r>
        <w:rPr>
          <w:rFonts w:ascii="Bookman Old Style" w:hAnsi="Bookman Old Style"/>
          <w:i/>
          <w:sz w:val="24"/>
          <w:u w:val="single"/>
        </w:rPr>
        <w:t>it is understood that</w:t>
      </w:r>
      <w:r>
        <w:rPr>
          <w:rFonts w:ascii="Bookman Old Style" w:hAnsi="Bookman Old Style"/>
          <w:i/>
          <w:sz w:val="24"/>
        </w:rPr>
        <w:t xml:space="preserve"> </w:t>
      </w:r>
      <w:r>
        <w:rPr>
          <w:rFonts w:ascii="Bookman Old Style" w:hAnsi="Bookman Old Style"/>
          <w:i/>
          <w:sz w:val="24"/>
          <w:u w:val="single"/>
        </w:rPr>
        <w:t xml:space="preserve">the Ayyappa (as he </w:t>
      </w:r>
      <w:r>
        <w:rPr>
          <w:rFonts w:ascii="Bookman Old Style" w:hAnsi="Bookman Old Style"/>
          <w:i/>
          <w:spacing w:val="-3"/>
          <w:sz w:val="24"/>
          <w:u w:val="single"/>
        </w:rPr>
        <w:t xml:space="preserve">is </w:t>
      </w:r>
      <w:r>
        <w:rPr>
          <w:rFonts w:ascii="Bookman Old Style" w:hAnsi="Bookman Old Style"/>
          <w:i/>
          <w:sz w:val="24"/>
          <w:u w:val="single"/>
        </w:rPr>
        <w:t>now called) will follow the strictest</w:t>
      </w:r>
      <w:r>
        <w:rPr>
          <w:rFonts w:ascii="Bookman Old Style" w:hAnsi="Bookman Old Style"/>
          <w:i/>
          <w:sz w:val="24"/>
        </w:rPr>
        <w:t xml:space="preserve"> </w:t>
      </w:r>
      <w:r>
        <w:rPr>
          <w:rFonts w:ascii="Bookman Old Style" w:hAnsi="Bookman Old Style"/>
          <w:i/>
          <w:sz w:val="24"/>
          <w:u w:val="single"/>
        </w:rPr>
        <w:t>celibacy, abstain from intoxicants and meat, and participate</w:t>
      </w:r>
      <w:r>
        <w:rPr>
          <w:rFonts w:ascii="Bookman Old Style" w:hAnsi="Bookman Old Style"/>
          <w:i/>
          <w:sz w:val="24"/>
        </w:rPr>
        <w:t xml:space="preserve"> </w:t>
      </w:r>
      <w:r>
        <w:rPr>
          <w:rFonts w:ascii="Bookman Old Style" w:hAnsi="Bookman Old Style"/>
          <w:i/>
          <w:sz w:val="24"/>
          <w:u w:val="single"/>
        </w:rPr>
        <w:t>only in religious activities</w:t>
      </w:r>
      <w:r>
        <w:rPr>
          <w:rFonts w:ascii="Bookman Old Style" w:hAnsi="Bookman Old Style"/>
          <w:i/>
          <w:sz w:val="24"/>
        </w:rPr>
        <w:t xml:space="preserve">. </w:t>
      </w:r>
      <w:r>
        <w:rPr>
          <w:rFonts w:ascii="Bookman Old Style" w:hAnsi="Bookman Old Style"/>
          <w:i/>
          <w:sz w:val="24"/>
          <w:u w:val="single"/>
        </w:rPr>
        <w:t>He may continue to work at his</w:t>
      </w:r>
      <w:r>
        <w:rPr>
          <w:rFonts w:ascii="Bookman Old Style" w:hAnsi="Bookman Old Style"/>
          <w:i/>
          <w:sz w:val="24"/>
        </w:rPr>
        <w:t xml:space="preserve"> </w:t>
      </w:r>
      <w:r>
        <w:rPr>
          <w:rFonts w:ascii="Bookman Old Style" w:hAnsi="Bookman Old Style"/>
          <w:i/>
          <w:sz w:val="24"/>
          <w:u w:val="single"/>
        </w:rPr>
        <w:t xml:space="preserve">profession, but he may not indulge </w:t>
      </w:r>
      <w:r>
        <w:rPr>
          <w:rFonts w:ascii="Bookman Old Style" w:hAnsi="Bookman Old Style"/>
          <w:i/>
          <w:spacing w:val="-3"/>
          <w:sz w:val="24"/>
          <w:u w:val="single"/>
        </w:rPr>
        <w:t xml:space="preserve">in </w:t>
      </w:r>
      <w:r>
        <w:rPr>
          <w:rFonts w:ascii="Bookman Old Style" w:hAnsi="Bookman Old Style"/>
          <w:i/>
          <w:sz w:val="24"/>
          <w:u w:val="single"/>
        </w:rPr>
        <w:t>social enterprises.</w:t>
      </w:r>
      <w:r>
        <w:rPr>
          <w:rFonts w:ascii="Bookman Old Style" w:hAnsi="Bookman Old Style"/>
          <w:i/>
          <w:sz w:val="24"/>
        </w:rPr>
        <w:t xml:space="preserve"> </w:t>
      </w:r>
      <w:r>
        <w:rPr>
          <w:rFonts w:ascii="Bookman Old Style" w:hAnsi="Bookman Old Style"/>
          <w:i/>
          <w:sz w:val="24"/>
          <w:u w:val="single"/>
        </w:rPr>
        <w:t>Ayyappas are also required to eat only</w:t>
      </w:r>
      <w:r>
        <w:rPr>
          <w:rFonts w:ascii="Bookman Old Style" w:hAnsi="Bookman Old Style"/>
          <w:i/>
          <w:sz w:val="24"/>
          <w:u w:val="single"/>
        </w:rPr>
        <w:t xml:space="preserve"> once a day (at noon)</w:t>
      </w:r>
      <w:r>
        <w:rPr>
          <w:rFonts w:ascii="Bookman Old Style" w:hAnsi="Bookman Old Style"/>
          <w:i/>
          <w:sz w:val="24"/>
        </w:rPr>
        <w:t xml:space="preserve"> </w:t>
      </w:r>
      <w:r>
        <w:rPr>
          <w:rFonts w:ascii="Bookman Old Style" w:hAnsi="Bookman Old Style"/>
          <w:i/>
          <w:sz w:val="24"/>
          <w:u w:val="single"/>
        </w:rPr>
        <w:t>and to avoid garlic, onion and stale food. In the evening, they</w:t>
      </w:r>
      <w:r>
        <w:rPr>
          <w:rFonts w:ascii="Bookman Old Style" w:hAnsi="Bookman Old Style"/>
          <w:i/>
          <w:sz w:val="24"/>
        </w:rPr>
        <w:t xml:space="preserve"> </w:t>
      </w:r>
      <w:r>
        <w:rPr>
          <w:rFonts w:ascii="Bookman Old Style" w:hAnsi="Bookman Old Style"/>
          <w:i/>
          <w:sz w:val="24"/>
          <w:u w:val="single"/>
        </w:rPr>
        <w:t>may eat fruit or something very light.</w:t>
      </w:r>
      <w:r>
        <w:rPr>
          <w:rFonts w:ascii="Bookman Old Style" w:hAnsi="Bookman Old Style"/>
          <w:i/>
          <w:sz w:val="24"/>
        </w:rPr>
        <w:t xml:space="preserve"> As far </w:t>
      </w:r>
      <w:r>
        <w:rPr>
          <w:rFonts w:ascii="Bookman Old Style" w:hAnsi="Bookman Old Style"/>
          <w:i/>
          <w:spacing w:val="-3"/>
          <w:sz w:val="24"/>
        </w:rPr>
        <w:t xml:space="preserve">as </w:t>
      </w:r>
      <w:r>
        <w:rPr>
          <w:rFonts w:ascii="Bookman Old Style" w:hAnsi="Bookman Old Style"/>
          <w:i/>
          <w:sz w:val="24"/>
        </w:rPr>
        <w:t>the dress code  is concerned, a degree of flexibility is allowed during the vratam period. The nature of one’s profession</w:t>
      </w:r>
      <w:r>
        <w:rPr>
          <w:rFonts w:ascii="Bookman Old Style" w:hAnsi="Bookman Old Style"/>
          <w:i/>
          <w:sz w:val="24"/>
        </w:rPr>
        <w:t xml:space="preserve"> does not always permit this drastic change in dress code. For example, Ayyappas in  the army or police force </w:t>
      </w:r>
      <w:r>
        <w:rPr>
          <w:rFonts w:ascii="Bookman Old Style" w:hAnsi="Bookman Old Style"/>
          <w:i/>
          <w:spacing w:val="-3"/>
          <w:sz w:val="24"/>
        </w:rPr>
        <w:t xml:space="preserve">wear </w:t>
      </w:r>
      <w:r>
        <w:rPr>
          <w:rFonts w:ascii="Bookman Old Style" w:hAnsi="Bookman Old Style"/>
          <w:i/>
          <w:sz w:val="24"/>
        </w:rPr>
        <w:t>their regular uniforms and change into black only when off duty. Black or blue vestis and barefootedness are, however, insisted upon during t</w:t>
      </w:r>
      <w:r>
        <w:rPr>
          <w:rFonts w:ascii="Bookman Old Style" w:hAnsi="Bookman Old Style"/>
          <w:i/>
          <w:sz w:val="24"/>
        </w:rPr>
        <w:t>he actual pilgrimage…</w:t>
      </w:r>
    </w:p>
    <w:p w:rsidR="003B2FC0" w:rsidRDefault="00052A49">
      <w:pPr>
        <w:ind w:left="1677" w:right="836"/>
        <w:jc w:val="both"/>
        <w:rPr>
          <w:rFonts w:ascii="Bookman Old Style" w:hAnsi="Bookman Old Style"/>
          <w:i/>
          <w:sz w:val="24"/>
        </w:rPr>
      </w:pPr>
      <w:r>
        <w:rPr>
          <w:rFonts w:ascii="Bookman Old Style" w:hAnsi="Bookman Old Style"/>
          <w:i/>
          <w:sz w:val="24"/>
        </w:rPr>
        <w:t>…</w:t>
      </w:r>
      <w:r>
        <w:rPr>
          <w:rFonts w:ascii="Bookman Old Style" w:hAnsi="Bookman Old Style"/>
          <w:i/>
          <w:sz w:val="24"/>
          <w:u w:val="single"/>
        </w:rPr>
        <w:t>The rule of celibacy is taken very seriously and includes</w:t>
      </w:r>
      <w:r>
        <w:rPr>
          <w:rFonts w:ascii="Bookman Old Style" w:hAnsi="Bookman Old Style"/>
          <w:i/>
          <w:sz w:val="24"/>
        </w:rPr>
        <w:t xml:space="preserve"> </w:t>
      </w:r>
      <w:r>
        <w:rPr>
          <w:rFonts w:ascii="Bookman Old Style" w:hAnsi="Bookman Old Style"/>
          <w:i/>
          <w:sz w:val="24"/>
          <w:u w:val="single"/>
        </w:rPr>
        <w:t>celibacy in thought and action. Ayyappas are advised to look</w:t>
      </w:r>
      <w:r>
        <w:rPr>
          <w:rFonts w:ascii="Bookman Old Style" w:hAnsi="Bookman Old Style"/>
          <w:i/>
          <w:sz w:val="24"/>
        </w:rPr>
        <w:t xml:space="preserve"> </w:t>
      </w:r>
      <w:r>
        <w:rPr>
          <w:rFonts w:ascii="Bookman Old Style" w:hAnsi="Bookman Old Style"/>
          <w:i/>
          <w:sz w:val="24"/>
          <w:u w:val="single"/>
        </w:rPr>
        <w:t>upon all women older than them as mothers and those younger</w:t>
      </w:r>
      <w:r>
        <w:rPr>
          <w:rFonts w:ascii="Bookman Old Style" w:hAnsi="Bookman Old Style"/>
          <w:i/>
          <w:sz w:val="24"/>
        </w:rPr>
        <w:t xml:space="preserve"> </w:t>
      </w:r>
      <w:r>
        <w:rPr>
          <w:rFonts w:ascii="Bookman Old Style" w:hAnsi="Bookman Old Style"/>
          <w:i/>
          <w:sz w:val="24"/>
          <w:u w:val="single"/>
        </w:rPr>
        <w:t>as daughters or sisters. Menstrual taboos are now strictly</w:t>
      </w:r>
    </w:p>
    <w:p w:rsidR="003B2FC0" w:rsidRDefault="00052A49">
      <w:pPr>
        <w:ind w:left="1677" w:right="835"/>
        <w:jc w:val="both"/>
        <w:rPr>
          <w:rFonts w:ascii="Bookman Old Style" w:hAnsi="Bookman Old Style"/>
          <w:i/>
          <w:sz w:val="24"/>
        </w:rPr>
      </w:pPr>
      <w:r>
        <w:rPr>
          <w:rFonts w:ascii="Times New Roman" w:hAnsi="Times New Roman"/>
          <w:spacing w:val="-60"/>
          <w:sz w:val="24"/>
          <w:u w:val="single"/>
        </w:rPr>
        <w:t xml:space="preserve"> </w:t>
      </w:r>
      <w:r>
        <w:rPr>
          <w:rFonts w:ascii="Bookman Old Style" w:hAnsi="Bookman Old Style"/>
          <w:i/>
          <w:sz w:val="24"/>
          <w:u w:val="single"/>
        </w:rPr>
        <w:t>imposed….. Sexual cohabitation is also forbidden.</w:t>
      </w:r>
      <w:r>
        <w:rPr>
          <w:rFonts w:ascii="Bookman Old Style" w:hAnsi="Bookman Old Style"/>
          <w:i/>
          <w:sz w:val="24"/>
        </w:rPr>
        <w:t xml:space="preserve"> During the vratam, </w:t>
      </w:r>
      <w:r>
        <w:rPr>
          <w:rFonts w:ascii="Bookman Old Style" w:hAnsi="Bookman Old Style"/>
          <w:i/>
          <w:sz w:val="24"/>
          <w:u w:val="single"/>
        </w:rPr>
        <w:t>Ayyappas not only insist on these taboos being rigidly</w:t>
      </w:r>
      <w:r>
        <w:rPr>
          <w:rFonts w:ascii="Bookman Old Style" w:hAnsi="Bookman Old Style"/>
          <w:i/>
          <w:sz w:val="24"/>
        </w:rPr>
        <w:t xml:space="preserve"> </w:t>
      </w:r>
      <w:r>
        <w:rPr>
          <w:rFonts w:ascii="Bookman Old Style" w:hAnsi="Bookman Old Style"/>
          <w:i/>
          <w:sz w:val="24"/>
          <w:u w:val="single"/>
        </w:rPr>
        <w:t>followed but they go a step further and insist on physical</w:t>
      </w:r>
      <w:r>
        <w:rPr>
          <w:rFonts w:ascii="Bookman Old Style" w:hAnsi="Bookman Old Style"/>
          <w:i/>
          <w:sz w:val="24"/>
        </w:rPr>
        <w:t xml:space="preserve"> </w:t>
      </w:r>
      <w:r>
        <w:rPr>
          <w:rFonts w:ascii="Bookman Old Style" w:hAnsi="Bookman Old Style"/>
          <w:i/>
          <w:sz w:val="24"/>
          <w:u w:val="single"/>
        </w:rPr>
        <w:t>separation. I</w:t>
      </w:r>
      <w:r>
        <w:rPr>
          <w:rFonts w:ascii="Bookman Old Style" w:hAnsi="Bookman Old Style"/>
          <w:i/>
          <w:sz w:val="24"/>
          <w:u w:val="single"/>
        </w:rPr>
        <w:t>t is not uncommon for a wife, daughter or sister to</w:t>
      </w:r>
      <w:r>
        <w:rPr>
          <w:rFonts w:ascii="Bookman Old Style" w:hAnsi="Bookman Old Style"/>
          <w:i/>
          <w:sz w:val="24"/>
        </w:rPr>
        <w:t xml:space="preserve"> </w:t>
      </w:r>
      <w:r>
        <w:rPr>
          <w:rFonts w:ascii="Bookman Old Style" w:hAnsi="Bookman Old Style"/>
          <w:i/>
          <w:sz w:val="24"/>
          <w:u w:val="single"/>
        </w:rPr>
        <w:t xml:space="preserve">be sent away during her menses </w:t>
      </w:r>
      <w:r>
        <w:rPr>
          <w:rFonts w:ascii="Bookman Old Style" w:hAnsi="Bookman Old Style"/>
          <w:i/>
          <w:spacing w:val="-3"/>
          <w:sz w:val="24"/>
          <w:u w:val="single"/>
        </w:rPr>
        <w:t xml:space="preserve">if </w:t>
      </w:r>
      <w:r>
        <w:rPr>
          <w:rFonts w:ascii="Bookman Old Style" w:hAnsi="Bookman Old Style"/>
          <w:i/>
          <w:sz w:val="24"/>
          <w:u w:val="single"/>
        </w:rPr>
        <w:t>a male member of the</w:t>
      </w:r>
      <w:r>
        <w:rPr>
          <w:rFonts w:ascii="Bookman Old Style" w:hAnsi="Bookman Old Style"/>
          <w:i/>
          <w:sz w:val="24"/>
        </w:rPr>
        <w:t xml:space="preserve"> </w:t>
      </w:r>
      <w:r>
        <w:rPr>
          <w:rFonts w:ascii="Bookman Old Style" w:hAnsi="Bookman Old Style"/>
          <w:i/>
          <w:sz w:val="24"/>
          <w:u w:val="single"/>
        </w:rPr>
        <w:t>household has taken the vratam</w:t>
      </w:r>
      <w:r>
        <w:rPr>
          <w:rFonts w:ascii="Bookman Old Style" w:hAnsi="Bookman Old Style"/>
          <w:i/>
          <w:sz w:val="24"/>
        </w:rPr>
        <w:t>….”</w:t>
      </w:r>
    </w:p>
    <w:p w:rsidR="003B2FC0" w:rsidRDefault="00052A49">
      <w:pPr>
        <w:spacing w:line="281" w:lineRule="exact"/>
        <w:ind w:left="6658"/>
        <w:rPr>
          <w:rFonts w:ascii="Bookman Old Style"/>
          <w:sz w:val="24"/>
        </w:rPr>
      </w:pPr>
      <w:r>
        <w:rPr>
          <w:rFonts w:ascii="Bookman Old Style"/>
          <w:sz w:val="24"/>
        </w:rPr>
        <w:t>(Emphasis supplied)</w:t>
      </w:r>
    </w:p>
    <w:p w:rsidR="003B2FC0" w:rsidRDefault="003B2FC0">
      <w:pPr>
        <w:pStyle w:val="BodyText"/>
        <w:spacing w:before="3"/>
        <w:rPr>
          <w:sz w:val="24"/>
        </w:rPr>
      </w:pPr>
    </w:p>
    <w:p w:rsidR="003B2FC0" w:rsidRDefault="00052A49">
      <w:pPr>
        <w:spacing w:line="480" w:lineRule="auto"/>
        <w:ind w:left="1261" w:right="454" w:firstLine="415"/>
        <w:jc w:val="both"/>
        <w:rPr>
          <w:rFonts w:ascii="Bookman Old Style"/>
          <w:sz w:val="24"/>
        </w:rPr>
      </w:pPr>
      <w:r>
        <w:rPr>
          <w:rFonts w:ascii="Bookman Old Style"/>
          <w:sz w:val="24"/>
        </w:rPr>
        <w:t>In the Memoir of the Survey of the Travancore and Cochin States written by Lieutenants Ward an</w:t>
      </w:r>
      <w:r>
        <w:rPr>
          <w:rFonts w:ascii="Bookman Old Style"/>
          <w:sz w:val="24"/>
        </w:rPr>
        <w:t>d Conner, reference has been made regarding the custom and usage prevalent at Sabarimala Temple. The Memoir of the Survey was originally published in two parts in 1893 and 1901 giving details of the statistical and</w:t>
      </w:r>
      <w:r>
        <w:rPr>
          <w:rFonts w:ascii="Bookman Old Style"/>
          <w:spacing w:val="9"/>
          <w:sz w:val="24"/>
        </w:rPr>
        <w:t xml:space="preserve"> </w:t>
      </w:r>
      <w:r>
        <w:rPr>
          <w:rFonts w:ascii="Bookman Old Style"/>
          <w:sz w:val="24"/>
        </w:rPr>
        <w:t>geographical</w:t>
      </w:r>
    </w:p>
    <w:p w:rsidR="003B2FC0" w:rsidRDefault="003B2FC0">
      <w:pPr>
        <w:pStyle w:val="BodyText"/>
        <w:spacing w:before="7"/>
        <w:rPr>
          <w:sz w:val="11"/>
        </w:rPr>
      </w:pPr>
      <w:r w:rsidRPr="003B2FC0">
        <w:pict>
          <v:line id="_x0000_s1057" style="position:absolute;z-index:251658752;mso-wrap-distance-left:0;mso-wrap-distance-right:0;mso-position-horizontal-relative:page" from="1in,9.2pt" to="216.05pt,9.2pt" strokeweight=".72pt">
            <w10:wrap type="topAndBottom" anchorx="page"/>
          </v:line>
        </w:pict>
      </w:r>
    </w:p>
    <w:p w:rsidR="003B2FC0" w:rsidRDefault="00052A49">
      <w:pPr>
        <w:spacing w:before="72"/>
        <w:ind w:left="400" w:right="465"/>
        <w:jc w:val="both"/>
        <w:rPr>
          <w:rFonts w:ascii="Bookman Old Style"/>
          <w:sz w:val="20"/>
        </w:rPr>
      </w:pPr>
      <w:r>
        <w:rPr>
          <w:rFonts w:ascii="Bookman Old Style"/>
          <w:position w:val="5"/>
          <w:sz w:val="13"/>
        </w:rPr>
        <w:t xml:space="preserve">8 </w:t>
      </w:r>
      <w:r>
        <w:rPr>
          <w:rFonts w:ascii="Bookman Old Style"/>
          <w:sz w:val="20"/>
        </w:rPr>
        <w:t xml:space="preserve">Radhika Sekar, </w:t>
      </w:r>
      <w:r>
        <w:rPr>
          <w:rFonts w:ascii="Bookman Old Style"/>
          <w:i/>
          <w:sz w:val="20"/>
        </w:rPr>
        <w:t xml:space="preserve">The Process of Pilgrimage: The Ayyappa Cultus and Sabarimalai Yatra </w:t>
      </w:r>
      <w:r>
        <w:rPr>
          <w:rFonts w:ascii="Bookman Old Style"/>
          <w:sz w:val="20"/>
        </w:rPr>
        <w:t>(Faculty of Graduate Studies, Department of Sociology and Anthropology at Carleton University, Ottawa, Ontario; October 1987)</w:t>
      </w:r>
    </w:p>
    <w:p w:rsidR="003B2FC0" w:rsidRDefault="003B2FC0">
      <w:pPr>
        <w:jc w:val="both"/>
        <w:rPr>
          <w:rFonts w:ascii="Bookman Old Style"/>
          <w:sz w:val="20"/>
        </w:rPr>
        <w:sectPr w:rsidR="003B2FC0">
          <w:headerReference w:type="default" r:id="rId419"/>
          <w:footerReference w:type="default" r:id="rId420"/>
          <w:pgSz w:w="11910" w:h="16840"/>
          <w:pgMar w:top="1340" w:right="980" w:bottom="1220" w:left="1040" w:header="0" w:footer="1033" w:gutter="0"/>
          <w:pgNumType w:start="13"/>
          <w:cols w:space="720"/>
        </w:sectPr>
      </w:pPr>
    </w:p>
    <w:p w:rsidR="003B2FC0" w:rsidRDefault="00052A49">
      <w:pPr>
        <w:spacing w:before="83" w:line="480" w:lineRule="auto"/>
        <w:ind w:left="1261" w:right="554"/>
        <w:rPr>
          <w:rFonts w:ascii="Bookman Old Style"/>
          <w:sz w:val="24"/>
        </w:rPr>
      </w:pPr>
      <w:r>
        <w:rPr>
          <w:rFonts w:ascii="Bookman Old Style"/>
          <w:sz w:val="24"/>
        </w:rPr>
        <w:t>surveys of the Trav</w:t>
      </w:r>
      <w:r>
        <w:rPr>
          <w:rFonts w:ascii="Bookman Old Style"/>
          <w:sz w:val="24"/>
        </w:rPr>
        <w:t>ancore and Cochin States. Reference was sought to be made to the following excerpt from the survey:</w:t>
      </w:r>
    </w:p>
    <w:p w:rsidR="003B2FC0" w:rsidRDefault="00052A49">
      <w:pPr>
        <w:ind w:left="1677" w:right="835"/>
        <w:jc w:val="both"/>
        <w:rPr>
          <w:rFonts w:ascii="Bookman Old Style" w:hAnsi="Bookman Old Style"/>
          <w:sz w:val="16"/>
        </w:rPr>
      </w:pPr>
      <w:r>
        <w:rPr>
          <w:rFonts w:ascii="Bookman Old Style" w:hAnsi="Bookman Old Style"/>
          <w:i/>
          <w:sz w:val="24"/>
        </w:rPr>
        <w:t xml:space="preserve">“…old </w:t>
      </w:r>
      <w:r>
        <w:rPr>
          <w:rFonts w:ascii="Bookman Old Style" w:hAnsi="Bookman Old Style"/>
          <w:i/>
          <w:spacing w:val="-3"/>
          <w:sz w:val="24"/>
        </w:rPr>
        <w:t xml:space="preserve">women </w:t>
      </w:r>
      <w:r>
        <w:rPr>
          <w:rFonts w:ascii="Bookman Old Style" w:hAnsi="Bookman Old Style"/>
          <w:i/>
          <w:sz w:val="24"/>
        </w:rPr>
        <w:t xml:space="preserve">and young girls, may approach the temple, but those </w:t>
      </w:r>
      <w:r>
        <w:rPr>
          <w:rFonts w:ascii="Bookman Old Style" w:hAnsi="Bookman Old Style"/>
          <w:i/>
          <w:spacing w:val="-3"/>
          <w:sz w:val="24"/>
        </w:rPr>
        <w:t xml:space="preserve">who </w:t>
      </w:r>
      <w:r>
        <w:rPr>
          <w:rFonts w:ascii="Bookman Old Style" w:hAnsi="Bookman Old Style"/>
          <w:i/>
          <w:sz w:val="24"/>
        </w:rPr>
        <w:t xml:space="preserve">have attained puberty and to a certain time of life are forbid </w:t>
      </w:r>
      <w:r>
        <w:rPr>
          <w:rFonts w:ascii="Bookman Old Style" w:hAnsi="Bookman Old Style"/>
          <w:i/>
          <w:spacing w:val="-3"/>
          <w:sz w:val="24"/>
        </w:rPr>
        <w:t xml:space="preserve">to </w:t>
      </w:r>
      <w:r>
        <w:rPr>
          <w:rFonts w:ascii="Bookman Old Style" w:hAnsi="Bookman Old Style"/>
          <w:i/>
          <w:sz w:val="24"/>
        </w:rPr>
        <w:t xml:space="preserve">approach, </w:t>
      </w:r>
      <w:r>
        <w:rPr>
          <w:rFonts w:ascii="Bookman Old Style" w:hAnsi="Bookman Old Style"/>
          <w:i/>
          <w:spacing w:val="-3"/>
          <w:sz w:val="24"/>
        </w:rPr>
        <w:t xml:space="preserve">as </w:t>
      </w:r>
      <w:r>
        <w:rPr>
          <w:rFonts w:ascii="Bookman Old Style" w:hAnsi="Bookman Old Style"/>
          <w:i/>
          <w:sz w:val="24"/>
        </w:rPr>
        <w:t>all sexua</w:t>
      </w:r>
      <w:r>
        <w:rPr>
          <w:rFonts w:ascii="Bookman Old Style" w:hAnsi="Bookman Old Style"/>
          <w:i/>
          <w:sz w:val="24"/>
        </w:rPr>
        <w:t xml:space="preserve">l intercourse </w:t>
      </w:r>
      <w:r>
        <w:rPr>
          <w:rFonts w:ascii="Bookman Old Style" w:hAnsi="Bookman Old Style"/>
          <w:i/>
          <w:spacing w:val="-3"/>
          <w:sz w:val="24"/>
        </w:rPr>
        <w:t xml:space="preserve">in </w:t>
      </w:r>
      <w:r>
        <w:rPr>
          <w:rFonts w:ascii="Bookman Old Style" w:hAnsi="Bookman Old Style"/>
          <w:i/>
          <w:sz w:val="24"/>
        </w:rPr>
        <w:t>that vicinity is averse to this deity…”</w:t>
      </w:r>
      <w:r>
        <w:rPr>
          <w:rFonts w:ascii="Bookman Old Style" w:hAnsi="Bookman Old Style"/>
          <w:i/>
          <w:spacing w:val="6"/>
          <w:sz w:val="24"/>
        </w:rPr>
        <w:t xml:space="preserve"> </w:t>
      </w:r>
      <w:r>
        <w:rPr>
          <w:rFonts w:ascii="Bookman Old Style" w:hAnsi="Bookman Old Style"/>
          <w:position w:val="6"/>
          <w:sz w:val="16"/>
        </w:rPr>
        <w:t>9</w:t>
      </w:r>
    </w:p>
    <w:p w:rsidR="003B2FC0" w:rsidRDefault="003B2FC0">
      <w:pPr>
        <w:pStyle w:val="BodyText"/>
        <w:spacing w:before="2"/>
        <w:rPr>
          <w:sz w:val="24"/>
        </w:rPr>
      </w:pPr>
    </w:p>
    <w:p w:rsidR="003B2FC0" w:rsidRDefault="00052A49">
      <w:pPr>
        <w:pStyle w:val="ListParagraph"/>
        <w:numPr>
          <w:ilvl w:val="1"/>
          <w:numId w:val="13"/>
        </w:numPr>
        <w:tabs>
          <w:tab w:val="left" w:pos="1262"/>
        </w:tabs>
        <w:spacing w:line="480" w:lineRule="auto"/>
        <w:ind w:right="455"/>
        <w:jc w:val="both"/>
        <w:rPr>
          <w:rFonts w:ascii="Bookman Old Style"/>
          <w:sz w:val="24"/>
        </w:rPr>
      </w:pPr>
      <w:r>
        <w:rPr>
          <w:rFonts w:ascii="Bookman Old Style"/>
          <w:sz w:val="24"/>
        </w:rPr>
        <w:t xml:space="preserve">Dr. Singhvi submitted that a practise started in hoary antiquity, and continued since time immemorial without interruption, becomes a usage and custom. Reliance, in this regard, was placed on the judgments of </w:t>
      </w:r>
      <w:r>
        <w:rPr>
          <w:rFonts w:ascii="Bookman Old Style"/>
          <w:i/>
          <w:sz w:val="24"/>
        </w:rPr>
        <w:t xml:space="preserve">Ewanlangki-E-Rymbai </w:t>
      </w:r>
      <w:r>
        <w:rPr>
          <w:rFonts w:ascii="Bookman Old Style"/>
          <w:sz w:val="24"/>
        </w:rPr>
        <w:t xml:space="preserve">v. </w:t>
      </w:r>
      <w:r>
        <w:rPr>
          <w:rFonts w:ascii="Bookman Old Style"/>
          <w:i/>
          <w:sz w:val="24"/>
        </w:rPr>
        <w:t>Jaintia Hills District C</w:t>
      </w:r>
      <w:r>
        <w:rPr>
          <w:rFonts w:ascii="Bookman Old Style"/>
          <w:i/>
          <w:sz w:val="24"/>
        </w:rPr>
        <w:t>ouncil &amp; Ors.</w:t>
      </w:r>
      <w:r>
        <w:rPr>
          <w:rFonts w:ascii="Bookman Old Style"/>
          <w:position w:val="6"/>
          <w:sz w:val="16"/>
        </w:rPr>
        <w:t>10</w:t>
      </w:r>
      <w:r>
        <w:rPr>
          <w:rFonts w:ascii="Bookman Old Style"/>
          <w:sz w:val="24"/>
        </w:rPr>
        <w:t xml:space="preserve">, </w:t>
      </w:r>
      <w:r>
        <w:rPr>
          <w:rFonts w:ascii="Bookman Old Style"/>
          <w:i/>
          <w:sz w:val="24"/>
        </w:rPr>
        <w:t xml:space="preserve">Bhimashya &amp; Ors. </w:t>
      </w:r>
      <w:r>
        <w:rPr>
          <w:rFonts w:ascii="Bookman Old Style"/>
          <w:sz w:val="24"/>
        </w:rPr>
        <w:t xml:space="preserve">v. </w:t>
      </w:r>
      <w:r>
        <w:rPr>
          <w:rFonts w:ascii="Bookman Old Style"/>
          <w:i/>
          <w:sz w:val="24"/>
        </w:rPr>
        <w:t>Janabi (Smt) Alia Janawwa</w:t>
      </w:r>
      <w:r>
        <w:rPr>
          <w:rFonts w:ascii="Bookman Old Style"/>
          <w:position w:val="6"/>
          <w:sz w:val="16"/>
        </w:rPr>
        <w:t>11</w:t>
      </w:r>
      <w:r>
        <w:rPr>
          <w:rFonts w:ascii="Bookman Old Style"/>
          <w:sz w:val="24"/>
        </w:rPr>
        <w:t xml:space="preserve">, </w:t>
      </w:r>
      <w:r>
        <w:rPr>
          <w:rFonts w:ascii="Bookman Old Style"/>
          <w:spacing w:val="-3"/>
          <w:sz w:val="24"/>
        </w:rPr>
        <w:t xml:space="preserve">and  </w:t>
      </w:r>
      <w:r>
        <w:rPr>
          <w:rFonts w:ascii="Bookman Old Style"/>
          <w:i/>
          <w:sz w:val="24"/>
        </w:rPr>
        <w:t xml:space="preserve">Salekh Chand (Dead) by LRs </w:t>
      </w:r>
      <w:r>
        <w:rPr>
          <w:rFonts w:ascii="Bookman Old Style"/>
          <w:sz w:val="24"/>
        </w:rPr>
        <w:t xml:space="preserve">v. </w:t>
      </w:r>
      <w:r>
        <w:rPr>
          <w:rFonts w:ascii="Bookman Old Style"/>
          <w:i/>
          <w:sz w:val="24"/>
        </w:rPr>
        <w:t>Satya Gupta &amp;</w:t>
      </w:r>
      <w:r>
        <w:rPr>
          <w:rFonts w:ascii="Bookman Old Style"/>
          <w:i/>
          <w:spacing w:val="-13"/>
          <w:sz w:val="24"/>
        </w:rPr>
        <w:t xml:space="preserve"> </w:t>
      </w:r>
      <w:r>
        <w:rPr>
          <w:rFonts w:ascii="Bookman Old Style"/>
          <w:i/>
          <w:sz w:val="24"/>
        </w:rPr>
        <w:t>Ors.</w:t>
      </w:r>
      <w:r>
        <w:rPr>
          <w:rFonts w:ascii="Bookman Old Style"/>
          <w:position w:val="6"/>
          <w:sz w:val="16"/>
        </w:rPr>
        <w:t>12</w:t>
      </w:r>
      <w:r>
        <w:rPr>
          <w:rFonts w:ascii="Bookman Old Style"/>
          <w:sz w:val="24"/>
        </w:rPr>
        <w:t>.</w:t>
      </w:r>
    </w:p>
    <w:p w:rsidR="003B2FC0" w:rsidRDefault="00052A49">
      <w:pPr>
        <w:spacing w:line="480" w:lineRule="auto"/>
        <w:ind w:left="1261" w:right="453" w:firstLine="415"/>
        <w:jc w:val="both"/>
        <w:rPr>
          <w:rFonts w:ascii="Bookman Old Style" w:hAnsi="Bookman Old Style"/>
          <w:sz w:val="24"/>
        </w:rPr>
      </w:pPr>
      <w:r>
        <w:rPr>
          <w:rFonts w:ascii="Bookman Old Style" w:hAnsi="Bookman Old Style"/>
          <w:sz w:val="24"/>
        </w:rPr>
        <w:t>The custom and usage of restricting the entry of women in the age group of 10 to 50 years followed in the Sabarimala Temple is pre- c</w:t>
      </w:r>
      <w:r>
        <w:rPr>
          <w:rFonts w:ascii="Bookman Old Style" w:hAnsi="Bookman Old Style"/>
          <w:sz w:val="24"/>
        </w:rPr>
        <w:t>onstitutional. As per Article 13(3)(a) of the Constitution, “law” includes custom or usage, and would have the force of</w:t>
      </w:r>
      <w:r>
        <w:rPr>
          <w:rFonts w:ascii="Bookman Old Style" w:hAnsi="Bookman Old Style"/>
          <w:spacing w:val="-7"/>
          <w:sz w:val="24"/>
        </w:rPr>
        <w:t xml:space="preserve"> </w:t>
      </w:r>
      <w:r>
        <w:rPr>
          <w:rFonts w:ascii="Bookman Old Style" w:hAnsi="Bookman Old Style"/>
          <w:sz w:val="24"/>
        </w:rPr>
        <w:t>law.</w:t>
      </w:r>
    </w:p>
    <w:p w:rsidR="003B2FC0" w:rsidRDefault="00052A49">
      <w:pPr>
        <w:spacing w:line="480" w:lineRule="auto"/>
        <w:ind w:left="1261" w:right="453" w:firstLine="415"/>
        <w:jc w:val="both"/>
        <w:rPr>
          <w:rFonts w:ascii="Bookman Old Style"/>
          <w:sz w:val="24"/>
        </w:rPr>
      </w:pPr>
      <w:r>
        <w:rPr>
          <w:rFonts w:ascii="Bookman Old Style"/>
          <w:sz w:val="24"/>
        </w:rPr>
        <w:t xml:space="preserve">The characteristics and elements of a valid custom are that it must be of immemorial existence, it must be reasonable, certain and </w:t>
      </w:r>
      <w:r>
        <w:rPr>
          <w:rFonts w:ascii="Bookman Old Style"/>
          <w:sz w:val="24"/>
        </w:rPr>
        <w:t>continuous. The customs and usages, religious beliefs and practises as mentioned above are peculiar to the Sabarimala Temple, and have admittedly been followed since centuries.</w:t>
      </w:r>
    </w:p>
    <w:p w:rsidR="003B2FC0" w:rsidRDefault="00052A49">
      <w:pPr>
        <w:pStyle w:val="ListParagraph"/>
        <w:numPr>
          <w:ilvl w:val="1"/>
          <w:numId w:val="13"/>
        </w:numPr>
        <w:tabs>
          <w:tab w:val="left" w:pos="1261"/>
          <w:tab w:val="left" w:pos="1262"/>
        </w:tabs>
        <w:rPr>
          <w:rFonts w:ascii="Bookman Old Style"/>
          <w:sz w:val="24"/>
        </w:rPr>
      </w:pPr>
      <w:r>
        <w:rPr>
          <w:rFonts w:ascii="Bookman Old Style"/>
          <w:sz w:val="24"/>
        </w:rPr>
        <w:t>The</w:t>
      </w:r>
      <w:r>
        <w:rPr>
          <w:rFonts w:ascii="Bookman Old Style"/>
          <w:spacing w:val="19"/>
          <w:sz w:val="24"/>
        </w:rPr>
        <w:t xml:space="preserve"> </w:t>
      </w:r>
      <w:r>
        <w:rPr>
          <w:rFonts w:ascii="Bookman Old Style"/>
          <w:sz w:val="24"/>
        </w:rPr>
        <w:t>exclusion</w:t>
      </w:r>
      <w:r>
        <w:rPr>
          <w:rFonts w:ascii="Bookman Old Style"/>
          <w:spacing w:val="19"/>
          <w:sz w:val="24"/>
        </w:rPr>
        <w:t xml:space="preserve"> </w:t>
      </w:r>
      <w:r>
        <w:rPr>
          <w:rFonts w:ascii="Bookman Old Style"/>
          <w:sz w:val="24"/>
        </w:rPr>
        <w:t>of</w:t>
      </w:r>
      <w:r>
        <w:rPr>
          <w:rFonts w:ascii="Bookman Old Style"/>
          <w:spacing w:val="20"/>
          <w:sz w:val="24"/>
        </w:rPr>
        <w:t xml:space="preserve"> </w:t>
      </w:r>
      <w:r>
        <w:rPr>
          <w:rFonts w:ascii="Bookman Old Style"/>
          <w:sz w:val="24"/>
        </w:rPr>
        <w:t>women</w:t>
      </w:r>
      <w:r>
        <w:rPr>
          <w:rFonts w:ascii="Bookman Old Style"/>
          <w:spacing w:val="21"/>
          <w:sz w:val="24"/>
        </w:rPr>
        <w:t xml:space="preserve"> </w:t>
      </w:r>
      <w:r>
        <w:rPr>
          <w:rFonts w:ascii="Bookman Old Style"/>
          <w:sz w:val="24"/>
        </w:rPr>
        <w:t>in</w:t>
      </w:r>
      <w:r>
        <w:rPr>
          <w:rFonts w:ascii="Bookman Old Style"/>
          <w:spacing w:val="19"/>
          <w:sz w:val="24"/>
        </w:rPr>
        <w:t xml:space="preserve"> </w:t>
      </w:r>
      <w:r>
        <w:rPr>
          <w:rFonts w:ascii="Bookman Old Style"/>
          <w:sz w:val="24"/>
        </w:rPr>
        <w:t>this</w:t>
      </w:r>
      <w:r>
        <w:rPr>
          <w:rFonts w:ascii="Bookman Old Style"/>
          <w:spacing w:val="20"/>
          <w:sz w:val="24"/>
        </w:rPr>
        <w:t xml:space="preserve"> </w:t>
      </w:r>
      <w:r>
        <w:rPr>
          <w:rFonts w:ascii="Bookman Old Style"/>
          <w:sz w:val="24"/>
        </w:rPr>
        <w:t>Temple</w:t>
      </w:r>
      <w:r>
        <w:rPr>
          <w:rFonts w:ascii="Bookman Old Style"/>
          <w:spacing w:val="22"/>
          <w:sz w:val="24"/>
        </w:rPr>
        <w:t xml:space="preserve"> </w:t>
      </w:r>
      <w:r>
        <w:rPr>
          <w:rFonts w:ascii="Bookman Old Style"/>
          <w:sz w:val="24"/>
        </w:rPr>
        <w:t>is</w:t>
      </w:r>
      <w:r>
        <w:rPr>
          <w:rFonts w:ascii="Bookman Old Style"/>
          <w:spacing w:val="19"/>
          <w:sz w:val="24"/>
        </w:rPr>
        <w:t xml:space="preserve"> </w:t>
      </w:r>
      <w:r>
        <w:rPr>
          <w:rFonts w:ascii="Bookman Old Style"/>
          <w:sz w:val="24"/>
        </w:rPr>
        <w:t>not</w:t>
      </w:r>
      <w:r>
        <w:rPr>
          <w:rFonts w:ascii="Bookman Old Style"/>
          <w:spacing w:val="20"/>
          <w:sz w:val="24"/>
        </w:rPr>
        <w:t xml:space="preserve"> </w:t>
      </w:r>
      <w:r>
        <w:rPr>
          <w:rFonts w:ascii="Bookman Old Style"/>
          <w:sz w:val="24"/>
        </w:rPr>
        <w:t>absolute</w:t>
      </w:r>
      <w:r>
        <w:rPr>
          <w:rFonts w:ascii="Bookman Old Style"/>
          <w:spacing w:val="19"/>
          <w:sz w:val="24"/>
        </w:rPr>
        <w:t xml:space="preserve"> </w:t>
      </w:r>
      <w:r>
        <w:rPr>
          <w:rFonts w:ascii="Bookman Old Style"/>
          <w:sz w:val="24"/>
        </w:rPr>
        <w:t>or</w:t>
      </w:r>
      <w:r>
        <w:rPr>
          <w:rFonts w:ascii="Bookman Old Style"/>
          <w:spacing w:val="20"/>
          <w:sz w:val="24"/>
        </w:rPr>
        <w:t xml:space="preserve"> </w:t>
      </w:r>
      <w:r>
        <w:rPr>
          <w:rFonts w:ascii="Bookman Old Style"/>
          <w:sz w:val="24"/>
        </w:rPr>
        <w:t>universal.</w:t>
      </w:r>
    </w:p>
    <w:p w:rsidR="003B2FC0" w:rsidRDefault="003B2FC0">
      <w:pPr>
        <w:pStyle w:val="BodyText"/>
        <w:rPr>
          <w:sz w:val="24"/>
        </w:rPr>
      </w:pPr>
    </w:p>
    <w:p w:rsidR="003B2FC0" w:rsidRDefault="00052A49">
      <w:pPr>
        <w:spacing w:line="480" w:lineRule="auto"/>
        <w:ind w:left="1261" w:right="434"/>
        <w:rPr>
          <w:rFonts w:ascii="Bookman Old Style"/>
          <w:sz w:val="24"/>
        </w:rPr>
      </w:pPr>
      <w:r>
        <w:rPr>
          <w:rFonts w:ascii="Bookman Old Style"/>
          <w:sz w:val="24"/>
        </w:rPr>
        <w:t>It is limited to a particular age group in one particular temple, with the</w:t>
      </w:r>
      <w:r>
        <w:rPr>
          <w:rFonts w:ascii="Bookman Old Style"/>
          <w:spacing w:val="34"/>
          <w:sz w:val="24"/>
        </w:rPr>
        <w:t xml:space="preserve"> </w:t>
      </w:r>
      <w:r>
        <w:rPr>
          <w:rFonts w:ascii="Bookman Old Style"/>
          <w:sz w:val="24"/>
        </w:rPr>
        <w:t>view</w:t>
      </w:r>
      <w:r>
        <w:rPr>
          <w:rFonts w:ascii="Bookman Old Style"/>
          <w:spacing w:val="35"/>
          <w:sz w:val="24"/>
        </w:rPr>
        <w:t xml:space="preserve"> </w:t>
      </w:r>
      <w:r>
        <w:rPr>
          <w:rFonts w:ascii="Bookman Old Style"/>
          <w:sz w:val="24"/>
        </w:rPr>
        <w:t>to</w:t>
      </w:r>
      <w:r>
        <w:rPr>
          <w:rFonts w:ascii="Bookman Old Style"/>
          <w:spacing w:val="34"/>
          <w:sz w:val="24"/>
        </w:rPr>
        <w:t xml:space="preserve"> </w:t>
      </w:r>
      <w:r>
        <w:rPr>
          <w:rFonts w:ascii="Bookman Old Style"/>
          <w:sz w:val="24"/>
        </w:rPr>
        <w:t>preserve</w:t>
      </w:r>
      <w:r>
        <w:rPr>
          <w:rFonts w:ascii="Bookman Old Style"/>
          <w:spacing w:val="36"/>
          <w:sz w:val="24"/>
        </w:rPr>
        <w:t xml:space="preserve"> </w:t>
      </w:r>
      <w:r>
        <w:rPr>
          <w:rFonts w:ascii="Bookman Old Style"/>
          <w:sz w:val="24"/>
        </w:rPr>
        <w:t>the</w:t>
      </w:r>
      <w:r>
        <w:rPr>
          <w:rFonts w:ascii="Bookman Old Style"/>
          <w:spacing w:val="34"/>
          <w:sz w:val="24"/>
        </w:rPr>
        <w:t xml:space="preserve"> </w:t>
      </w:r>
      <w:r>
        <w:rPr>
          <w:rFonts w:ascii="Bookman Old Style"/>
          <w:sz w:val="24"/>
        </w:rPr>
        <w:t>character</w:t>
      </w:r>
      <w:r>
        <w:rPr>
          <w:rFonts w:ascii="Bookman Old Style"/>
          <w:spacing w:val="34"/>
          <w:sz w:val="24"/>
        </w:rPr>
        <w:t xml:space="preserve"> </w:t>
      </w:r>
      <w:r>
        <w:rPr>
          <w:rFonts w:ascii="Bookman Old Style"/>
          <w:sz w:val="24"/>
        </w:rPr>
        <w:t>of</w:t>
      </w:r>
      <w:r>
        <w:rPr>
          <w:rFonts w:ascii="Bookman Old Style"/>
          <w:spacing w:val="34"/>
          <w:sz w:val="24"/>
        </w:rPr>
        <w:t xml:space="preserve"> </w:t>
      </w:r>
      <w:r>
        <w:rPr>
          <w:rFonts w:ascii="Bookman Old Style"/>
          <w:sz w:val="24"/>
        </w:rPr>
        <w:t>the</w:t>
      </w:r>
      <w:r>
        <w:rPr>
          <w:rFonts w:ascii="Bookman Old Style"/>
          <w:spacing w:val="34"/>
          <w:sz w:val="24"/>
        </w:rPr>
        <w:t xml:space="preserve"> </w:t>
      </w:r>
      <w:r>
        <w:rPr>
          <w:rFonts w:ascii="Bookman Old Style"/>
          <w:sz w:val="24"/>
        </w:rPr>
        <w:t>deity.</w:t>
      </w:r>
      <w:r>
        <w:rPr>
          <w:rFonts w:ascii="Bookman Old Style"/>
          <w:spacing w:val="37"/>
          <w:sz w:val="24"/>
        </w:rPr>
        <w:t xml:space="preserve"> </w:t>
      </w:r>
      <w:r>
        <w:rPr>
          <w:rFonts w:ascii="Bookman Old Style"/>
          <w:sz w:val="24"/>
        </w:rPr>
        <w:t>Women</w:t>
      </w:r>
      <w:r>
        <w:rPr>
          <w:rFonts w:ascii="Bookman Old Style"/>
          <w:spacing w:val="35"/>
          <w:sz w:val="24"/>
        </w:rPr>
        <w:t xml:space="preserve"> </w:t>
      </w:r>
      <w:r>
        <w:rPr>
          <w:rFonts w:ascii="Bookman Old Style"/>
          <w:sz w:val="24"/>
        </w:rPr>
        <w:t>outside</w:t>
      </w:r>
      <w:r>
        <w:rPr>
          <w:rFonts w:ascii="Bookman Old Style"/>
          <w:spacing w:val="34"/>
          <w:sz w:val="24"/>
        </w:rPr>
        <w:t xml:space="preserve"> </w:t>
      </w:r>
      <w:r>
        <w:rPr>
          <w:rFonts w:ascii="Bookman Old Style"/>
          <w:sz w:val="24"/>
        </w:rPr>
        <w:t>the</w:t>
      </w:r>
    </w:p>
    <w:p w:rsidR="003B2FC0" w:rsidRDefault="003B2FC0">
      <w:pPr>
        <w:pStyle w:val="BodyText"/>
        <w:spacing w:line="20" w:lineRule="exact"/>
        <w:ind w:left="392"/>
        <w:rPr>
          <w:sz w:val="2"/>
        </w:rPr>
      </w:pPr>
      <w:r>
        <w:rPr>
          <w:sz w:val="2"/>
        </w:rPr>
      </w:r>
      <w:r>
        <w:rPr>
          <w:sz w:val="2"/>
        </w:rPr>
        <w:pict>
          <v:group id="_x0000_s1055" style="width:144.05pt;height:.75pt;mso-position-horizontal-relative:char;mso-position-vertical-relative:line" coordsize="2881,15">
            <v:line id="_x0000_s1056" style="position:absolute" from="0,7" to="2880,7" strokeweight=".72pt"/>
            <w10:anchorlock/>
          </v:group>
        </w:pict>
      </w:r>
    </w:p>
    <w:p w:rsidR="003B2FC0" w:rsidRDefault="00052A49">
      <w:pPr>
        <w:spacing w:before="86" w:line="234" w:lineRule="exact"/>
        <w:ind w:left="400"/>
        <w:rPr>
          <w:rFonts w:ascii="Bookman Old Style"/>
          <w:i/>
          <w:sz w:val="20"/>
        </w:rPr>
      </w:pPr>
      <w:r>
        <w:rPr>
          <w:rFonts w:ascii="Bookman Old Style"/>
          <w:position w:val="5"/>
          <w:sz w:val="13"/>
        </w:rPr>
        <w:t xml:space="preserve">9  </w:t>
      </w:r>
      <w:r>
        <w:rPr>
          <w:rFonts w:ascii="Bookman Old Style"/>
          <w:sz w:val="20"/>
        </w:rPr>
        <w:t xml:space="preserve">Lieutenants Ward and Conner, </w:t>
      </w:r>
      <w:r>
        <w:rPr>
          <w:rFonts w:ascii="Bookman Old Style"/>
          <w:i/>
          <w:sz w:val="20"/>
        </w:rPr>
        <w:t>Memoir of  the Survey of  the Travancore and Cochin</w:t>
      </w:r>
      <w:r>
        <w:rPr>
          <w:rFonts w:ascii="Bookman Old Style"/>
          <w:i/>
          <w:spacing w:val="58"/>
          <w:sz w:val="20"/>
        </w:rPr>
        <w:t xml:space="preserve"> </w:t>
      </w:r>
      <w:r>
        <w:rPr>
          <w:rFonts w:ascii="Bookman Old Style"/>
          <w:i/>
          <w:sz w:val="20"/>
        </w:rPr>
        <w:t>States</w:t>
      </w:r>
    </w:p>
    <w:p w:rsidR="003B2FC0" w:rsidRDefault="00052A49">
      <w:pPr>
        <w:spacing w:line="234" w:lineRule="exact"/>
        <w:ind w:left="580"/>
        <w:rPr>
          <w:rFonts w:ascii="Bookman Old Style"/>
          <w:sz w:val="20"/>
        </w:rPr>
      </w:pPr>
      <w:r>
        <w:rPr>
          <w:rFonts w:ascii="Bookman Old Style"/>
          <w:sz w:val="20"/>
        </w:rPr>
        <w:t>(First Reprint 1994, Government of Kerala) at p. 137</w:t>
      </w:r>
    </w:p>
    <w:p w:rsidR="003B2FC0" w:rsidRDefault="00052A49">
      <w:pPr>
        <w:spacing w:before="1"/>
        <w:ind w:left="400"/>
        <w:rPr>
          <w:rFonts w:ascii="Bookman Old Style"/>
          <w:sz w:val="20"/>
        </w:rPr>
      </w:pPr>
      <w:r>
        <w:rPr>
          <w:rFonts w:ascii="Bookman Old Style"/>
          <w:position w:val="5"/>
          <w:sz w:val="13"/>
        </w:rPr>
        <w:t xml:space="preserve">10 </w:t>
      </w:r>
      <w:r>
        <w:rPr>
          <w:rFonts w:ascii="Bookman Old Style"/>
          <w:sz w:val="20"/>
        </w:rPr>
        <w:t>(2006) 4 SCC 748</w:t>
      </w:r>
    </w:p>
    <w:p w:rsidR="003B2FC0" w:rsidRDefault="00052A49">
      <w:pPr>
        <w:ind w:left="400"/>
        <w:rPr>
          <w:rFonts w:ascii="Bookman Old Style"/>
          <w:sz w:val="20"/>
        </w:rPr>
      </w:pPr>
      <w:r>
        <w:rPr>
          <w:rFonts w:ascii="Bookman Old Style"/>
          <w:position w:val="5"/>
          <w:sz w:val="13"/>
        </w:rPr>
        <w:t xml:space="preserve">11  </w:t>
      </w:r>
      <w:r>
        <w:rPr>
          <w:rFonts w:ascii="Bookman Old Style"/>
          <w:sz w:val="20"/>
        </w:rPr>
        <w:t>(2006) 13 SCC</w:t>
      </w:r>
      <w:r>
        <w:rPr>
          <w:rFonts w:ascii="Bookman Old Style"/>
          <w:spacing w:val="-32"/>
          <w:sz w:val="20"/>
        </w:rPr>
        <w:t xml:space="preserve"> </w:t>
      </w:r>
      <w:r>
        <w:rPr>
          <w:rFonts w:ascii="Bookman Old Style"/>
          <w:sz w:val="20"/>
        </w:rPr>
        <w:t>627</w:t>
      </w:r>
    </w:p>
    <w:p w:rsidR="003B2FC0" w:rsidRDefault="00052A49">
      <w:pPr>
        <w:ind w:left="400"/>
        <w:rPr>
          <w:rFonts w:ascii="Bookman Old Style"/>
          <w:sz w:val="20"/>
        </w:rPr>
      </w:pPr>
      <w:r>
        <w:rPr>
          <w:rFonts w:ascii="Bookman Old Style"/>
          <w:position w:val="5"/>
          <w:sz w:val="13"/>
        </w:rPr>
        <w:t xml:space="preserve">12  </w:t>
      </w:r>
      <w:r>
        <w:rPr>
          <w:rFonts w:ascii="Bookman Old Style"/>
          <w:sz w:val="20"/>
        </w:rPr>
        <w:t>(2008) 13 SCC</w:t>
      </w:r>
      <w:r>
        <w:rPr>
          <w:rFonts w:ascii="Bookman Old Style"/>
          <w:spacing w:val="-32"/>
          <w:sz w:val="20"/>
        </w:rPr>
        <w:t xml:space="preserve"> </w:t>
      </w:r>
      <w:r>
        <w:rPr>
          <w:rFonts w:ascii="Bookman Old Style"/>
          <w:sz w:val="20"/>
        </w:rPr>
        <w:t>119</w:t>
      </w:r>
    </w:p>
    <w:p w:rsidR="003B2FC0" w:rsidRDefault="003B2FC0">
      <w:pPr>
        <w:rPr>
          <w:rFonts w:ascii="Bookman Old Style"/>
          <w:sz w:val="20"/>
        </w:rPr>
        <w:sectPr w:rsidR="003B2FC0">
          <w:headerReference w:type="default" r:id="rId421"/>
          <w:footerReference w:type="default" r:id="rId422"/>
          <w:pgSz w:w="11910" w:h="16840"/>
          <w:pgMar w:top="1340" w:right="980" w:bottom="1220" w:left="1040" w:header="0" w:footer="1033" w:gutter="0"/>
          <w:pgNumType w:start="14"/>
          <w:cols w:space="720"/>
        </w:sectPr>
      </w:pPr>
    </w:p>
    <w:p w:rsidR="003B2FC0" w:rsidRDefault="00052A49">
      <w:pPr>
        <w:spacing w:before="83" w:line="480" w:lineRule="auto"/>
        <w:ind w:left="1261" w:right="454"/>
        <w:jc w:val="both"/>
        <w:rPr>
          <w:rFonts w:ascii="Bookman Old Style"/>
          <w:sz w:val="24"/>
        </w:rPr>
      </w:pPr>
      <w:r>
        <w:rPr>
          <w:rFonts w:ascii="Bookman Old Style"/>
          <w:sz w:val="24"/>
        </w:rPr>
        <w:t>age group of 10 to 50 years are entitled to worship at the Sabarimala Temple. The usage and practise is primary to preserve the sacred form and character of the deity. It was further submitted that the objection to this custom is not being raised by the wo</w:t>
      </w:r>
      <w:r>
        <w:rPr>
          <w:rFonts w:ascii="Bookman Old Style"/>
          <w:sz w:val="24"/>
        </w:rPr>
        <w:t>rshippers of Lord Ayyappa, but by social activists.</w:t>
      </w:r>
    </w:p>
    <w:p w:rsidR="003B2FC0" w:rsidRDefault="00052A49">
      <w:pPr>
        <w:pStyle w:val="ListParagraph"/>
        <w:numPr>
          <w:ilvl w:val="1"/>
          <w:numId w:val="13"/>
        </w:numPr>
        <w:tabs>
          <w:tab w:val="left" w:pos="1262"/>
        </w:tabs>
        <w:spacing w:before="1" w:line="480" w:lineRule="auto"/>
        <w:ind w:right="457"/>
        <w:jc w:val="both"/>
        <w:rPr>
          <w:rFonts w:ascii="Bookman Old Style" w:hAnsi="Bookman Old Style"/>
          <w:sz w:val="24"/>
        </w:rPr>
      </w:pPr>
      <w:r>
        <w:rPr>
          <w:rFonts w:ascii="Bookman Old Style" w:hAnsi="Bookman Old Style"/>
          <w:sz w:val="24"/>
        </w:rPr>
        <w:t>It was further submitted that there are about 1000 temples  dedicated to the worship of Lord Ayyappa, where the deity is not in the form of a ‘</w:t>
      </w:r>
      <w:r>
        <w:rPr>
          <w:rFonts w:ascii="Bookman Old Style" w:hAnsi="Bookman Old Style"/>
          <w:i/>
          <w:sz w:val="24"/>
        </w:rPr>
        <w:t>Naishtik Brahmachari</w:t>
      </w:r>
      <w:r>
        <w:rPr>
          <w:rFonts w:ascii="Bookman Old Style" w:hAnsi="Bookman Old Style"/>
          <w:sz w:val="24"/>
        </w:rPr>
        <w:t>’</w:t>
      </w:r>
      <w:r>
        <w:rPr>
          <w:rFonts w:ascii="Bookman Old Style" w:hAnsi="Bookman Old Style"/>
          <w:i/>
          <w:sz w:val="24"/>
        </w:rPr>
        <w:t xml:space="preserve">. </w:t>
      </w:r>
      <w:r>
        <w:rPr>
          <w:rFonts w:ascii="Bookman Old Style" w:hAnsi="Bookman Old Style"/>
          <w:sz w:val="24"/>
        </w:rPr>
        <w:t xml:space="preserve">In those temples, the mode and manner </w:t>
      </w:r>
      <w:r>
        <w:rPr>
          <w:rFonts w:ascii="Bookman Old Style" w:hAnsi="Bookman Old Style"/>
          <w:sz w:val="24"/>
        </w:rPr>
        <w:t>of worship differs from Sabarimala Temple, since the deity has manifested himself in a different form. There is no similar restriction on the entry of women in the other Temples of Lord Ayyappa, where women of all ages can worship the</w:t>
      </w:r>
      <w:r>
        <w:rPr>
          <w:rFonts w:ascii="Bookman Old Style" w:hAnsi="Bookman Old Style"/>
          <w:spacing w:val="-7"/>
          <w:sz w:val="24"/>
        </w:rPr>
        <w:t xml:space="preserve"> </w:t>
      </w:r>
      <w:r>
        <w:rPr>
          <w:rFonts w:ascii="Bookman Old Style" w:hAnsi="Bookman Old Style"/>
          <w:sz w:val="24"/>
        </w:rPr>
        <w:t>deity.</w:t>
      </w:r>
    </w:p>
    <w:p w:rsidR="003B2FC0" w:rsidRDefault="00052A49">
      <w:pPr>
        <w:pStyle w:val="ListParagraph"/>
        <w:numPr>
          <w:ilvl w:val="1"/>
          <w:numId w:val="13"/>
        </w:numPr>
        <w:tabs>
          <w:tab w:val="left" w:pos="1262"/>
        </w:tabs>
        <w:spacing w:line="480" w:lineRule="auto"/>
        <w:ind w:right="454"/>
        <w:jc w:val="both"/>
        <w:rPr>
          <w:rFonts w:ascii="Bookman Old Style"/>
          <w:sz w:val="24"/>
        </w:rPr>
      </w:pPr>
      <w:r>
        <w:rPr>
          <w:rFonts w:ascii="Bookman Old Style"/>
          <w:sz w:val="24"/>
        </w:rPr>
        <w:t xml:space="preserve">Mr. Parasaran, Senior Advocate submitted that the restriction on entry of women is a part of the essential practise of this Temple, and the pilgrimage undertaken. It is clearly intended to keep the pilgrims away from any distraction related to sex, as the </w:t>
      </w:r>
      <w:r>
        <w:rPr>
          <w:rFonts w:ascii="Bookman Old Style"/>
          <w:sz w:val="24"/>
        </w:rPr>
        <w:t>dominant objective of the pilgrimage is the creation of circumstances in all respects for the successful practise of the spiritual</w:t>
      </w:r>
      <w:r>
        <w:rPr>
          <w:rFonts w:ascii="Bookman Old Style"/>
          <w:spacing w:val="-3"/>
          <w:sz w:val="24"/>
        </w:rPr>
        <w:t xml:space="preserve"> </w:t>
      </w:r>
      <w:r>
        <w:rPr>
          <w:rFonts w:ascii="Bookman Old Style"/>
          <w:sz w:val="24"/>
        </w:rPr>
        <w:t>self-discipline.</w:t>
      </w:r>
    </w:p>
    <w:p w:rsidR="003B2FC0" w:rsidRDefault="00052A49">
      <w:pPr>
        <w:spacing w:before="1" w:line="480" w:lineRule="auto"/>
        <w:ind w:left="1261" w:right="455" w:firstLine="415"/>
        <w:jc w:val="both"/>
        <w:rPr>
          <w:rFonts w:ascii="Bookman Old Style" w:hAnsi="Bookman Old Style"/>
          <w:sz w:val="24"/>
        </w:rPr>
      </w:pPr>
      <w:r>
        <w:rPr>
          <w:rFonts w:ascii="Bookman Old Style" w:hAnsi="Bookman Old Style"/>
          <w:sz w:val="24"/>
        </w:rPr>
        <w:t>The limited restriction on the entry of women from 10 to 50 years, in the Sabarimala Temple is a matter of ‘</w:t>
      </w:r>
      <w:r>
        <w:rPr>
          <w:rFonts w:ascii="Bookman Old Style" w:hAnsi="Bookman Old Style"/>
          <w:sz w:val="24"/>
        </w:rPr>
        <w:t>religion’ and ‘religious faith and practise’, and the fundamental principles underlying the ‘</w:t>
      </w:r>
      <w:r>
        <w:rPr>
          <w:rFonts w:ascii="Bookman Old Style" w:hAnsi="Bookman Old Style"/>
          <w:i/>
          <w:sz w:val="24"/>
        </w:rPr>
        <w:t>prathishtha</w:t>
      </w:r>
      <w:r>
        <w:rPr>
          <w:rFonts w:ascii="Bookman Old Style" w:hAnsi="Bookman Old Style"/>
          <w:sz w:val="24"/>
        </w:rPr>
        <w:t>’ (installation) of the Sabarimala Temple, as well as the custom and usage of worship of the deity - Lord Ayyappa.</w:t>
      </w:r>
    </w:p>
    <w:p w:rsidR="003B2FC0" w:rsidRDefault="00052A49">
      <w:pPr>
        <w:pStyle w:val="ListParagraph"/>
        <w:numPr>
          <w:ilvl w:val="1"/>
          <w:numId w:val="13"/>
        </w:numPr>
        <w:tabs>
          <w:tab w:val="left" w:pos="1261"/>
          <w:tab w:val="left" w:pos="1262"/>
        </w:tabs>
        <w:rPr>
          <w:rFonts w:ascii="Bookman Old Style"/>
          <w:sz w:val="24"/>
        </w:rPr>
      </w:pPr>
      <w:r>
        <w:rPr>
          <w:rFonts w:ascii="Bookman Old Style"/>
          <w:sz w:val="24"/>
        </w:rPr>
        <w:t>With</w:t>
      </w:r>
      <w:r>
        <w:rPr>
          <w:rFonts w:ascii="Bookman Old Style"/>
          <w:spacing w:val="30"/>
          <w:sz w:val="24"/>
        </w:rPr>
        <w:t xml:space="preserve"> </w:t>
      </w:r>
      <w:r>
        <w:rPr>
          <w:rFonts w:ascii="Bookman Old Style"/>
          <w:sz w:val="24"/>
        </w:rPr>
        <w:t>respect</w:t>
      </w:r>
      <w:r>
        <w:rPr>
          <w:rFonts w:ascii="Bookman Old Style"/>
          <w:spacing w:val="30"/>
          <w:sz w:val="24"/>
        </w:rPr>
        <w:t xml:space="preserve"> </w:t>
      </w:r>
      <w:r>
        <w:rPr>
          <w:rFonts w:ascii="Bookman Old Style"/>
          <w:sz w:val="24"/>
        </w:rPr>
        <w:t>to</w:t>
      </w:r>
      <w:r>
        <w:rPr>
          <w:rFonts w:ascii="Bookman Old Style"/>
          <w:spacing w:val="30"/>
          <w:sz w:val="24"/>
        </w:rPr>
        <w:t xml:space="preserve"> </w:t>
      </w:r>
      <w:r>
        <w:rPr>
          <w:rFonts w:ascii="Bookman Old Style"/>
          <w:sz w:val="24"/>
        </w:rPr>
        <w:t>the</w:t>
      </w:r>
      <w:r>
        <w:rPr>
          <w:rFonts w:ascii="Bookman Old Style"/>
          <w:spacing w:val="30"/>
          <w:sz w:val="24"/>
        </w:rPr>
        <w:t xml:space="preserve"> </w:t>
      </w:r>
      <w:r>
        <w:rPr>
          <w:rFonts w:ascii="Bookman Old Style"/>
          <w:sz w:val="24"/>
        </w:rPr>
        <w:t>contention</w:t>
      </w:r>
      <w:r>
        <w:rPr>
          <w:rFonts w:ascii="Bookman Old Style"/>
          <w:spacing w:val="30"/>
          <w:sz w:val="24"/>
        </w:rPr>
        <w:t xml:space="preserve"> </w:t>
      </w:r>
      <w:r>
        <w:rPr>
          <w:rFonts w:ascii="Bookman Old Style"/>
          <w:sz w:val="24"/>
        </w:rPr>
        <w:t>that</w:t>
      </w:r>
      <w:r>
        <w:rPr>
          <w:rFonts w:ascii="Bookman Old Style"/>
          <w:spacing w:val="27"/>
          <w:sz w:val="24"/>
        </w:rPr>
        <w:t xml:space="preserve"> </w:t>
      </w:r>
      <w:r>
        <w:rPr>
          <w:rFonts w:ascii="Bookman Old Style"/>
          <w:sz w:val="24"/>
        </w:rPr>
        <w:t>t</w:t>
      </w:r>
      <w:r>
        <w:rPr>
          <w:rFonts w:ascii="Bookman Old Style"/>
          <w:sz w:val="24"/>
        </w:rPr>
        <w:t>he</w:t>
      </w:r>
      <w:r>
        <w:rPr>
          <w:rFonts w:ascii="Bookman Old Style"/>
          <w:spacing w:val="30"/>
          <w:sz w:val="24"/>
        </w:rPr>
        <w:t xml:space="preserve"> </w:t>
      </w:r>
      <w:r>
        <w:rPr>
          <w:rFonts w:ascii="Bookman Old Style"/>
          <w:sz w:val="24"/>
        </w:rPr>
        <w:t>custom</w:t>
      </w:r>
      <w:r>
        <w:rPr>
          <w:rFonts w:ascii="Bookman Old Style"/>
          <w:spacing w:val="30"/>
          <w:sz w:val="24"/>
        </w:rPr>
        <w:t xml:space="preserve"> </w:t>
      </w:r>
      <w:r>
        <w:rPr>
          <w:rFonts w:ascii="Bookman Old Style"/>
          <w:sz w:val="24"/>
        </w:rPr>
        <w:t>is</w:t>
      </w:r>
      <w:r>
        <w:rPr>
          <w:rFonts w:ascii="Bookman Old Style"/>
          <w:spacing w:val="30"/>
          <w:sz w:val="24"/>
        </w:rPr>
        <w:t xml:space="preserve"> </w:t>
      </w:r>
      <w:r>
        <w:rPr>
          <w:rFonts w:ascii="Bookman Old Style"/>
          <w:sz w:val="24"/>
        </w:rPr>
        <w:t>violative</w:t>
      </w:r>
      <w:r>
        <w:rPr>
          <w:rFonts w:ascii="Bookman Old Style"/>
          <w:spacing w:val="30"/>
          <w:sz w:val="24"/>
        </w:rPr>
        <w:t xml:space="preserve"> </w:t>
      </w:r>
      <w:r>
        <w:rPr>
          <w:rFonts w:ascii="Bookman Old Style"/>
          <w:sz w:val="24"/>
        </w:rPr>
        <w:t>of</w:t>
      </w:r>
    </w:p>
    <w:p w:rsidR="003B2FC0" w:rsidRDefault="003B2FC0">
      <w:pPr>
        <w:pStyle w:val="BodyText"/>
        <w:spacing w:before="1"/>
        <w:rPr>
          <w:sz w:val="24"/>
        </w:rPr>
      </w:pPr>
    </w:p>
    <w:p w:rsidR="003B2FC0" w:rsidRDefault="00052A49">
      <w:pPr>
        <w:ind w:left="1261"/>
        <w:jc w:val="both"/>
        <w:rPr>
          <w:rFonts w:ascii="Bookman Old Style" w:hAnsi="Bookman Old Style"/>
          <w:i/>
          <w:sz w:val="24"/>
        </w:rPr>
      </w:pPr>
      <w:r>
        <w:rPr>
          <w:rFonts w:ascii="Bookman Old Style" w:hAnsi="Bookman Old Style"/>
          <w:sz w:val="24"/>
        </w:rPr>
        <w:t xml:space="preserve">women’s right to gender equality, Mr. V. Giri, Senior Advocate </w:t>
      </w:r>
      <w:r>
        <w:rPr>
          <w:rFonts w:ascii="Bookman Old Style" w:hAnsi="Bookman Old Style"/>
          <w:i/>
          <w:sz w:val="24"/>
        </w:rPr>
        <w:t>inter</w:t>
      </w:r>
    </w:p>
    <w:p w:rsidR="003B2FC0" w:rsidRDefault="003B2FC0">
      <w:pPr>
        <w:jc w:val="both"/>
        <w:rPr>
          <w:rFonts w:ascii="Bookman Old Style" w:hAnsi="Bookman Old Style"/>
          <w:sz w:val="24"/>
        </w:rPr>
        <w:sectPr w:rsidR="003B2FC0">
          <w:headerReference w:type="default" r:id="rId423"/>
          <w:footerReference w:type="default" r:id="rId424"/>
          <w:pgSz w:w="11910" w:h="16840"/>
          <w:pgMar w:top="1340" w:right="980" w:bottom="1220" w:left="1040" w:header="0" w:footer="1033" w:gutter="0"/>
          <w:pgNumType w:start="15"/>
          <w:cols w:space="720"/>
        </w:sectPr>
      </w:pPr>
    </w:p>
    <w:p w:rsidR="003B2FC0" w:rsidRDefault="00052A49">
      <w:pPr>
        <w:spacing w:before="83" w:line="480" w:lineRule="auto"/>
        <w:ind w:left="1261" w:right="456"/>
        <w:jc w:val="both"/>
        <w:rPr>
          <w:rFonts w:ascii="Bookman Old Style"/>
          <w:sz w:val="24"/>
        </w:rPr>
      </w:pPr>
      <w:r>
        <w:rPr>
          <w:rFonts w:ascii="Bookman Old Style"/>
          <w:i/>
          <w:sz w:val="24"/>
        </w:rPr>
        <w:t xml:space="preserve">alia </w:t>
      </w:r>
      <w:r>
        <w:rPr>
          <w:rFonts w:ascii="Bookman Old Style"/>
          <w:sz w:val="24"/>
        </w:rPr>
        <w:t>submitted that if women as a class were prohibited from participation, it would amount to social discrimination. However,  this is not so in the present case. Girls below 10 years, and women after 50 years can freely enter this Temple, and offer worship Fu</w:t>
      </w:r>
      <w:r>
        <w:rPr>
          <w:rFonts w:ascii="Bookman Old Style"/>
          <w:sz w:val="24"/>
        </w:rPr>
        <w:t>rther, there is no similar restriction on the entry of women at the other Temples of Lord</w:t>
      </w:r>
      <w:r>
        <w:rPr>
          <w:rFonts w:ascii="Bookman Old Style"/>
          <w:spacing w:val="-2"/>
          <w:sz w:val="24"/>
        </w:rPr>
        <w:t xml:space="preserve"> </w:t>
      </w:r>
      <w:r>
        <w:rPr>
          <w:rFonts w:ascii="Bookman Old Style"/>
          <w:sz w:val="24"/>
        </w:rPr>
        <w:t>Ayyappa.</w:t>
      </w:r>
    </w:p>
    <w:p w:rsidR="003B2FC0" w:rsidRDefault="00052A49">
      <w:pPr>
        <w:spacing w:before="2" w:line="480" w:lineRule="auto"/>
        <w:ind w:left="1261" w:right="456" w:firstLine="415"/>
        <w:jc w:val="both"/>
        <w:rPr>
          <w:rFonts w:ascii="Bookman Old Style" w:hAnsi="Bookman Old Style"/>
          <w:sz w:val="24"/>
        </w:rPr>
      </w:pPr>
      <w:r>
        <w:rPr>
          <w:rFonts w:ascii="Bookman Old Style" w:hAnsi="Bookman Old Style"/>
          <w:sz w:val="24"/>
        </w:rPr>
        <w:t xml:space="preserve">The classification of women between the ages of 10 to 50 years, and men of the same age group, has a reasonable nexus with the object sought to be achieved, </w:t>
      </w:r>
      <w:r>
        <w:rPr>
          <w:rFonts w:ascii="Bookman Old Style" w:hAnsi="Bookman Old Style"/>
          <w:sz w:val="24"/>
        </w:rPr>
        <w:t>which is to preserve the identity and manifestation of the Lord as a ‘</w:t>
      </w:r>
      <w:r>
        <w:rPr>
          <w:rFonts w:ascii="Bookman Old Style" w:hAnsi="Bookman Old Style"/>
          <w:i/>
          <w:sz w:val="24"/>
        </w:rPr>
        <w:t>Naishtik Brahmachari</w:t>
      </w:r>
      <w:r>
        <w:rPr>
          <w:rFonts w:ascii="Bookman Old Style" w:hAnsi="Bookman Old Style"/>
          <w:sz w:val="24"/>
        </w:rPr>
        <w:t>’.</w:t>
      </w:r>
    </w:p>
    <w:p w:rsidR="003B2FC0" w:rsidRDefault="00052A49">
      <w:pPr>
        <w:pStyle w:val="ListParagraph"/>
        <w:numPr>
          <w:ilvl w:val="1"/>
          <w:numId w:val="13"/>
        </w:numPr>
        <w:tabs>
          <w:tab w:val="left" w:pos="1262"/>
        </w:tabs>
        <w:spacing w:line="480" w:lineRule="auto"/>
        <w:ind w:right="455"/>
        <w:jc w:val="both"/>
        <w:rPr>
          <w:rFonts w:ascii="Bookman Old Style" w:hAnsi="Bookman Old Style"/>
          <w:sz w:val="24"/>
        </w:rPr>
      </w:pPr>
      <w:r>
        <w:rPr>
          <w:rFonts w:ascii="Bookman Old Style" w:hAnsi="Bookman Old Style"/>
          <w:sz w:val="24"/>
        </w:rPr>
        <w:t>It was submitted by the Respondents that in order to preserve the character of the deity, and the sanctity of the idol at the Sabarimala Temple, the limited restri</w:t>
      </w:r>
      <w:r>
        <w:rPr>
          <w:rFonts w:ascii="Bookman Old Style" w:hAnsi="Bookman Old Style"/>
          <w:sz w:val="24"/>
        </w:rPr>
        <w:t xml:space="preserve">ction is imposed on the entry of women only during the period notified by the Travancore Devaswom Board. There is no absolute restriction on women </w:t>
      </w:r>
      <w:r>
        <w:rPr>
          <w:rFonts w:ascii="Bookman Old Style" w:hAnsi="Bookman Old Style"/>
          <w:i/>
          <w:sz w:val="24"/>
        </w:rPr>
        <w:t xml:space="preserve">per se. </w:t>
      </w:r>
      <w:r>
        <w:rPr>
          <w:rFonts w:ascii="Bookman Old Style" w:hAnsi="Bookman Old Style"/>
          <w:sz w:val="24"/>
        </w:rPr>
        <w:t>Such practise is consistent with the ‘</w:t>
      </w:r>
      <w:r>
        <w:rPr>
          <w:rFonts w:ascii="Bookman Old Style" w:hAnsi="Bookman Old Style"/>
          <w:i/>
          <w:sz w:val="24"/>
        </w:rPr>
        <w:t>Nishta</w:t>
      </w:r>
      <w:r>
        <w:rPr>
          <w:rFonts w:ascii="Bookman Old Style" w:hAnsi="Bookman Old Style"/>
          <w:sz w:val="24"/>
        </w:rPr>
        <w:t>’ or ‘</w:t>
      </w:r>
      <w:r>
        <w:rPr>
          <w:rFonts w:ascii="Bookman Old Style" w:hAnsi="Bookman Old Style"/>
          <w:i/>
          <w:sz w:val="24"/>
        </w:rPr>
        <w:t>Naishtik Buddhi</w:t>
      </w:r>
      <w:r>
        <w:rPr>
          <w:rFonts w:ascii="Bookman Old Style" w:hAnsi="Bookman Old Style"/>
          <w:sz w:val="24"/>
        </w:rPr>
        <w:t>’ of the deity. This being the under</w:t>
      </w:r>
      <w:r>
        <w:rPr>
          <w:rFonts w:ascii="Bookman Old Style" w:hAnsi="Bookman Old Style"/>
          <w:sz w:val="24"/>
        </w:rPr>
        <w:t>lying reason behind the custom, there is no derogation of the dignity of women. It is only to protect the manifestation and form of the deity, which is sacred and divine, and preserve the penance undertaken by the</w:t>
      </w:r>
      <w:r>
        <w:rPr>
          <w:rFonts w:ascii="Bookman Old Style" w:hAnsi="Bookman Old Style"/>
          <w:spacing w:val="-8"/>
          <w:sz w:val="24"/>
        </w:rPr>
        <w:t xml:space="preserve"> </w:t>
      </w:r>
      <w:r>
        <w:rPr>
          <w:rFonts w:ascii="Bookman Old Style" w:hAnsi="Bookman Old Style"/>
          <w:sz w:val="24"/>
        </w:rPr>
        <w:t>devotees.</w:t>
      </w:r>
    </w:p>
    <w:p w:rsidR="003B2FC0" w:rsidRDefault="00052A49">
      <w:pPr>
        <w:pStyle w:val="ListParagraph"/>
        <w:numPr>
          <w:ilvl w:val="1"/>
          <w:numId w:val="13"/>
        </w:numPr>
        <w:tabs>
          <w:tab w:val="left" w:pos="1262"/>
        </w:tabs>
        <w:spacing w:before="1" w:line="480" w:lineRule="auto"/>
        <w:ind w:right="456"/>
        <w:jc w:val="both"/>
        <w:rPr>
          <w:rFonts w:ascii="Bookman Old Style"/>
          <w:sz w:val="24"/>
        </w:rPr>
      </w:pPr>
      <w:r>
        <w:rPr>
          <w:rFonts w:ascii="Bookman Old Style"/>
          <w:sz w:val="24"/>
        </w:rPr>
        <w:t>It was further submitted that it</w:t>
      </w:r>
      <w:r>
        <w:rPr>
          <w:rFonts w:ascii="Bookman Old Style"/>
          <w:sz w:val="24"/>
        </w:rPr>
        <w:t xml:space="preserve"> is the duty of the Travancore Devaswom Board under Section 31 of the Travancore - Cochin Hindu Religious Institutions Act, 1950 to administer the temple in accordance with the custom and usage of the</w:t>
      </w:r>
      <w:r>
        <w:rPr>
          <w:rFonts w:ascii="Bookman Old Style"/>
          <w:spacing w:val="-5"/>
          <w:sz w:val="24"/>
        </w:rPr>
        <w:t xml:space="preserve"> </w:t>
      </w:r>
      <w:r>
        <w:rPr>
          <w:rFonts w:ascii="Bookman Old Style"/>
          <w:sz w:val="24"/>
        </w:rPr>
        <w:t>Temple.</w:t>
      </w:r>
    </w:p>
    <w:p w:rsidR="003B2FC0" w:rsidRDefault="003B2FC0">
      <w:pPr>
        <w:spacing w:line="480" w:lineRule="auto"/>
        <w:jc w:val="both"/>
        <w:rPr>
          <w:rFonts w:ascii="Bookman Old Style"/>
          <w:sz w:val="24"/>
        </w:rPr>
        <w:sectPr w:rsidR="003B2FC0">
          <w:headerReference w:type="default" r:id="rId425"/>
          <w:footerReference w:type="default" r:id="rId426"/>
          <w:pgSz w:w="11910" w:h="16840"/>
          <w:pgMar w:top="1340" w:right="980" w:bottom="1220" w:left="1040" w:header="0" w:footer="1033" w:gutter="0"/>
          <w:pgNumType w:start="16"/>
          <w:cols w:space="720"/>
        </w:sectPr>
      </w:pPr>
    </w:p>
    <w:p w:rsidR="003B2FC0" w:rsidRDefault="00052A49">
      <w:pPr>
        <w:pStyle w:val="ListParagraph"/>
        <w:numPr>
          <w:ilvl w:val="1"/>
          <w:numId w:val="13"/>
        </w:numPr>
        <w:tabs>
          <w:tab w:val="left" w:pos="1262"/>
        </w:tabs>
        <w:spacing w:before="83" w:line="480" w:lineRule="auto"/>
        <w:ind w:right="463"/>
        <w:jc w:val="both"/>
        <w:rPr>
          <w:rFonts w:ascii="Bookman Old Style"/>
          <w:sz w:val="24"/>
        </w:rPr>
      </w:pPr>
      <w:r>
        <w:rPr>
          <w:rFonts w:ascii="Bookman Old Style"/>
          <w:sz w:val="24"/>
        </w:rPr>
        <w:t>It w</w:t>
      </w:r>
      <w:r>
        <w:rPr>
          <w:rFonts w:ascii="Bookman Old Style"/>
          <w:sz w:val="24"/>
        </w:rPr>
        <w:t>as submitted that issues of law and fact should be decided by a competent civil court, after examination of documentary and other evidence.</w:t>
      </w:r>
    </w:p>
    <w:p w:rsidR="003B2FC0" w:rsidRDefault="00052A49">
      <w:pPr>
        <w:pStyle w:val="ListParagraph"/>
        <w:numPr>
          <w:ilvl w:val="1"/>
          <w:numId w:val="13"/>
        </w:numPr>
        <w:tabs>
          <w:tab w:val="left" w:pos="1262"/>
        </w:tabs>
        <w:spacing w:line="480" w:lineRule="auto"/>
        <w:ind w:right="456"/>
        <w:jc w:val="both"/>
        <w:rPr>
          <w:rFonts w:ascii="Bookman Old Style" w:hAnsi="Bookman Old Style"/>
          <w:sz w:val="24"/>
        </w:rPr>
      </w:pPr>
      <w:r>
        <w:rPr>
          <w:rFonts w:ascii="Bookman Old Style" w:hAnsi="Bookman Old Style"/>
          <w:sz w:val="24"/>
        </w:rPr>
        <w:t>Mr. Parasaran, Senior Advocate further submitted that religion is a matter of faith. Religious beliefs are held to b</w:t>
      </w:r>
      <w:r>
        <w:rPr>
          <w:rFonts w:ascii="Bookman Old Style" w:hAnsi="Bookman Old Style"/>
          <w:sz w:val="24"/>
        </w:rPr>
        <w:t xml:space="preserve">e sacred by those who have faith. Reliance was placed on the judgment of this Court in </w:t>
      </w:r>
      <w:r>
        <w:rPr>
          <w:rFonts w:ascii="Bookman Old Style" w:hAnsi="Bookman Old Style"/>
          <w:i/>
          <w:sz w:val="24"/>
        </w:rPr>
        <w:t xml:space="preserve">Commissioner, Hindu Religious Endowments, Madras </w:t>
      </w:r>
      <w:r>
        <w:rPr>
          <w:rFonts w:ascii="Bookman Old Style" w:hAnsi="Bookman Old Style"/>
          <w:sz w:val="24"/>
        </w:rPr>
        <w:t xml:space="preserve">v. </w:t>
      </w:r>
      <w:r>
        <w:rPr>
          <w:rFonts w:ascii="Bookman Old Style" w:hAnsi="Bookman Old Style"/>
          <w:i/>
          <w:sz w:val="24"/>
        </w:rPr>
        <w:t xml:space="preserve">Sri Lakshmindra Swamiar Thirtha Swamiar of Shirur Mutt </w:t>
      </w:r>
      <w:r>
        <w:rPr>
          <w:rFonts w:ascii="Bookman Old Style" w:hAnsi="Bookman Old Style"/>
          <w:sz w:val="24"/>
        </w:rPr>
        <w:t>(supra) wherein the definition of religion from an American ca</w:t>
      </w:r>
      <w:r>
        <w:rPr>
          <w:rFonts w:ascii="Bookman Old Style" w:hAnsi="Bookman Old Style"/>
          <w:sz w:val="24"/>
        </w:rPr>
        <w:t>se was extracted i.e. “</w:t>
      </w:r>
      <w:r>
        <w:rPr>
          <w:rFonts w:ascii="Bookman Old Style" w:hAnsi="Bookman Old Style"/>
          <w:i/>
          <w:sz w:val="24"/>
        </w:rPr>
        <w:t xml:space="preserve">the term ‘religion’ has reference </w:t>
      </w:r>
      <w:r>
        <w:rPr>
          <w:rFonts w:ascii="Bookman Old Style" w:hAnsi="Bookman Old Style"/>
          <w:i/>
          <w:spacing w:val="-3"/>
          <w:sz w:val="24"/>
        </w:rPr>
        <w:t xml:space="preserve">to </w:t>
      </w:r>
      <w:r>
        <w:rPr>
          <w:rFonts w:ascii="Bookman Old Style" w:hAnsi="Bookman Old Style"/>
          <w:i/>
          <w:sz w:val="24"/>
        </w:rPr>
        <w:t xml:space="preserve">one’s views of his relation to his Creator and to the obligations they impose of reverence for His Being and character and of obedience </w:t>
      </w:r>
      <w:r>
        <w:rPr>
          <w:rFonts w:ascii="Bookman Old Style" w:hAnsi="Bookman Old Style"/>
          <w:i/>
          <w:spacing w:val="-3"/>
          <w:sz w:val="24"/>
        </w:rPr>
        <w:t xml:space="preserve">to </w:t>
      </w:r>
      <w:r>
        <w:rPr>
          <w:rFonts w:ascii="Bookman Old Style" w:hAnsi="Bookman Old Style"/>
          <w:i/>
          <w:sz w:val="24"/>
        </w:rPr>
        <w:t>His</w:t>
      </w:r>
      <w:r>
        <w:rPr>
          <w:rFonts w:ascii="Bookman Old Style" w:hAnsi="Bookman Old Style"/>
          <w:i/>
          <w:spacing w:val="8"/>
          <w:sz w:val="24"/>
        </w:rPr>
        <w:t xml:space="preserve"> </w:t>
      </w:r>
      <w:r>
        <w:rPr>
          <w:rFonts w:ascii="Bookman Old Style" w:hAnsi="Bookman Old Style"/>
          <w:i/>
          <w:sz w:val="24"/>
        </w:rPr>
        <w:t>Will</w:t>
      </w:r>
      <w:r>
        <w:rPr>
          <w:rFonts w:ascii="Bookman Old Style" w:hAnsi="Bookman Old Style"/>
          <w:sz w:val="24"/>
        </w:rPr>
        <w:t>”.</w:t>
      </w:r>
    </w:p>
    <w:p w:rsidR="003B2FC0" w:rsidRDefault="00052A49">
      <w:pPr>
        <w:spacing w:before="2" w:line="480" w:lineRule="auto"/>
        <w:ind w:left="1261" w:right="451" w:firstLine="415"/>
        <w:jc w:val="both"/>
        <w:rPr>
          <w:rFonts w:ascii="Bookman Old Style"/>
          <w:sz w:val="24"/>
        </w:rPr>
      </w:pPr>
      <w:r>
        <w:rPr>
          <w:rFonts w:ascii="Bookman Old Style"/>
          <w:sz w:val="24"/>
        </w:rPr>
        <w:t xml:space="preserve">Learned Senior Counsel also relied upon the case of </w:t>
      </w:r>
      <w:r>
        <w:rPr>
          <w:rFonts w:ascii="Bookman Old Style"/>
          <w:i/>
          <w:sz w:val="24"/>
        </w:rPr>
        <w:t xml:space="preserve">Sri Venkataramana Devaru &amp; Ors. </w:t>
      </w:r>
      <w:r>
        <w:rPr>
          <w:rFonts w:ascii="Bookman Old Style"/>
          <w:sz w:val="24"/>
        </w:rPr>
        <w:t>v</w:t>
      </w:r>
      <w:r>
        <w:rPr>
          <w:rFonts w:ascii="Bookman Old Style"/>
          <w:i/>
          <w:sz w:val="24"/>
        </w:rPr>
        <w:t xml:space="preserve">. State of Mysore &amp; Ors. </w:t>
      </w:r>
      <w:r>
        <w:rPr>
          <w:rFonts w:ascii="Bookman Old Style"/>
          <w:sz w:val="24"/>
        </w:rPr>
        <w:t>(supra) wherein it was observed as follows:</w:t>
      </w:r>
    </w:p>
    <w:p w:rsidR="003B2FC0" w:rsidRDefault="00052A49">
      <w:pPr>
        <w:ind w:left="1533" w:right="843"/>
        <w:jc w:val="both"/>
        <w:rPr>
          <w:rFonts w:ascii="Bookman Old Style" w:hAnsi="Bookman Old Style"/>
          <w:i/>
          <w:sz w:val="24"/>
        </w:rPr>
      </w:pPr>
      <w:r>
        <w:rPr>
          <w:rFonts w:ascii="Bookman Old Style" w:hAnsi="Bookman Old Style"/>
          <w:i/>
          <w:sz w:val="24"/>
        </w:rPr>
        <w:t xml:space="preserve">“The Gods have distinct forms ascribed </w:t>
      </w:r>
      <w:r>
        <w:rPr>
          <w:rFonts w:ascii="Bookman Old Style" w:hAnsi="Bookman Old Style"/>
          <w:i/>
          <w:spacing w:val="-3"/>
          <w:sz w:val="24"/>
        </w:rPr>
        <w:t xml:space="preserve">to </w:t>
      </w:r>
      <w:r>
        <w:rPr>
          <w:rFonts w:ascii="Bookman Old Style" w:hAnsi="Bookman Old Style"/>
          <w:i/>
          <w:sz w:val="24"/>
        </w:rPr>
        <w:t xml:space="preserve">them and their worship at home and </w:t>
      </w:r>
      <w:r>
        <w:rPr>
          <w:rFonts w:ascii="Bookman Old Style" w:hAnsi="Bookman Old Style"/>
          <w:i/>
          <w:spacing w:val="-3"/>
          <w:sz w:val="24"/>
        </w:rPr>
        <w:t xml:space="preserve">in </w:t>
      </w:r>
      <w:r>
        <w:rPr>
          <w:rFonts w:ascii="Bookman Old Style" w:hAnsi="Bookman Old Style"/>
          <w:i/>
          <w:sz w:val="24"/>
        </w:rPr>
        <w:t xml:space="preserve">temples is ordained </w:t>
      </w:r>
      <w:r>
        <w:rPr>
          <w:rFonts w:ascii="Bookman Old Style" w:hAnsi="Bookman Old Style"/>
          <w:i/>
          <w:spacing w:val="-3"/>
          <w:sz w:val="24"/>
        </w:rPr>
        <w:t>as</w:t>
      </w:r>
      <w:r>
        <w:rPr>
          <w:rFonts w:ascii="Bookman Old Style" w:hAnsi="Bookman Old Style"/>
          <w:i/>
          <w:spacing w:val="-3"/>
          <w:sz w:val="24"/>
        </w:rPr>
        <w:t xml:space="preserve"> </w:t>
      </w:r>
      <w:r>
        <w:rPr>
          <w:rFonts w:ascii="Bookman Old Style" w:hAnsi="Bookman Old Style"/>
          <w:i/>
          <w:sz w:val="24"/>
        </w:rPr>
        <w:t>certain means of attaining</w:t>
      </w:r>
      <w:r>
        <w:rPr>
          <w:rFonts w:ascii="Bookman Old Style" w:hAnsi="Bookman Old Style"/>
          <w:i/>
          <w:spacing w:val="-1"/>
          <w:sz w:val="24"/>
        </w:rPr>
        <w:t xml:space="preserve"> </w:t>
      </w:r>
      <w:r>
        <w:rPr>
          <w:rFonts w:ascii="Bookman Old Style" w:hAnsi="Bookman Old Style"/>
          <w:i/>
          <w:sz w:val="24"/>
        </w:rPr>
        <w:t>salvation.”</w:t>
      </w:r>
    </w:p>
    <w:p w:rsidR="003B2FC0" w:rsidRDefault="003B2FC0">
      <w:pPr>
        <w:pStyle w:val="BodyText"/>
        <w:spacing w:before="9"/>
        <w:rPr>
          <w:i/>
          <w:sz w:val="22"/>
        </w:rPr>
      </w:pPr>
    </w:p>
    <w:p w:rsidR="003B2FC0" w:rsidRDefault="00052A49">
      <w:pPr>
        <w:spacing w:line="480" w:lineRule="auto"/>
        <w:ind w:left="1261" w:right="455" w:firstLine="415"/>
        <w:jc w:val="both"/>
        <w:rPr>
          <w:rFonts w:ascii="Bookman Old Style"/>
          <w:sz w:val="24"/>
        </w:rPr>
      </w:pPr>
      <w:r>
        <w:rPr>
          <w:rFonts w:ascii="Bookman Old Style"/>
          <w:sz w:val="24"/>
        </w:rPr>
        <w:t xml:space="preserve">In </w:t>
      </w:r>
      <w:r>
        <w:rPr>
          <w:rFonts w:ascii="Bookman Old Style"/>
          <w:i/>
          <w:sz w:val="24"/>
        </w:rPr>
        <w:t xml:space="preserve">Tilkayat Shri Govindlalji Maharaj etc. </w:t>
      </w:r>
      <w:r>
        <w:rPr>
          <w:rFonts w:ascii="Bookman Old Style"/>
          <w:sz w:val="24"/>
        </w:rPr>
        <w:t xml:space="preserve">v. </w:t>
      </w:r>
      <w:r>
        <w:rPr>
          <w:rFonts w:ascii="Bookman Old Style"/>
          <w:i/>
          <w:sz w:val="24"/>
        </w:rPr>
        <w:t>State of Rajasthan &amp; Ors.</w:t>
      </w:r>
      <w:r>
        <w:rPr>
          <w:rFonts w:ascii="Bookman Old Style"/>
          <w:position w:val="6"/>
          <w:sz w:val="16"/>
        </w:rPr>
        <w:t>13</w:t>
      </w:r>
      <w:r>
        <w:rPr>
          <w:rFonts w:ascii="Bookman Old Style"/>
          <w:sz w:val="24"/>
        </w:rPr>
        <w:t>, emphasis was laid on the mode of worship adopted when  Lord Krishna was worshipped in the form of a</w:t>
      </w:r>
      <w:r>
        <w:rPr>
          <w:rFonts w:ascii="Bookman Old Style"/>
          <w:spacing w:val="-4"/>
          <w:sz w:val="24"/>
        </w:rPr>
        <w:t xml:space="preserve"> </w:t>
      </w:r>
      <w:r>
        <w:rPr>
          <w:rFonts w:ascii="Bookman Old Style"/>
          <w:sz w:val="24"/>
        </w:rPr>
        <w:t>child.</w:t>
      </w:r>
    </w:p>
    <w:p w:rsidR="003B2FC0" w:rsidRDefault="003B2FC0">
      <w:pPr>
        <w:spacing w:before="2" w:line="480" w:lineRule="auto"/>
        <w:ind w:left="1261" w:right="456" w:firstLine="415"/>
        <w:jc w:val="both"/>
        <w:rPr>
          <w:rFonts w:ascii="Bookman Old Style"/>
          <w:sz w:val="24"/>
        </w:rPr>
      </w:pPr>
      <w:r w:rsidRPr="003B2FC0">
        <w:pict>
          <v:line id="_x0000_s1054" style="position:absolute;left:0;text-align:left;z-index:251659776;mso-wrap-distance-left:0;mso-wrap-distance-right:0;mso-position-horizontal-relative:page" from="1in,117.85pt" to="216.05pt,117.85pt" strokeweight=".72pt">
            <w10:wrap type="topAndBottom" anchorx="page"/>
          </v:line>
        </w:pict>
      </w:r>
      <w:r w:rsidR="00052A49">
        <w:rPr>
          <w:rFonts w:ascii="Bookman Old Style"/>
          <w:sz w:val="24"/>
        </w:rPr>
        <w:t>Religion does not merely lay down</w:t>
      </w:r>
      <w:r w:rsidR="00052A49">
        <w:rPr>
          <w:rFonts w:ascii="Bookman Old Style"/>
          <w:sz w:val="24"/>
        </w:rPr>
        <w:t xml:space="preserve"> a code of ethical rules for its followers to accept, but also includes rituals and observances, ceremonies and modes of worship which are regarded as integral parts of the religion.</w:t>
      </w:r>
    </w:p>
    <w:p w:rsidR="003B2FC0" w:rsidRDefault="00052A49">
      <w:pPr>
        <w:spacing w:before="72"/>
        <w:ind w:left="400"/>
        <w:rPr>
          <w:rFonts w:ascii="Bookman Old Style"/>
          <w:sz w:val="20"/>
        </w:rPr>
      </w:pPr>
      <w:r>
        <w:rPr>
          <w:rFonts w:ascii="Bookman Old Style"/>
          <w:position w:val="5"/>
          <w:sz w:val="13"/>
        </w:rPr>
        <w:t xml:space="preserve">13 </w:t>
      </w:r>
      <w:r>
        <w:rPr>
          <w:rFonts w:ascii="Bookman Old Style"/>
          <w:sz w:val="20"/>
        </w:rPr>
        <w:t>(1964) 1 SCR 561 at 582 : AIR 1963 SC 1638</w:t>
      </w:r>
    </w:p>
    <w:p w:rsidR="003B2FC0" w:rsidRDefault="003B2FC0">
      <w:pPr>
        <w:rPr>
          <w:rFonts w:ascii="Bookman Old Style"/>
          <w:sz w:val="20"/>
        </w:rPr>
        <w:sectPr w:rsidR="003B2FC0">
          <w:headerReference w:type="default" r:id="rId427"/>
          <w:footerReference w:type="default" r:id="rId428"/>
          <w:pgSz w:w="11910" w:h="16840"/>
          <w:pgMar w:top="1340" w:right="980" w:bottom="1220" w:left="1040" w:header="0" w:footer="1033" w:gutter="0"/>
          <w:pgNumType w:start="17"/>
          <w:cols w:space="720"/>
        </w:sectPr>
      </w:pPr>
    </w:p>
    <w:p w:rsidR="003B2FC0" w:rsidRDefault="00052A49">
      <w:pPr>
        <w:pStyle w:val="ListParagraph"/>
        <w:numPr>
          <w:ilvl w:val="1"/>
          <w:numId w:val="13"/>
        </w:numPr>
        <w:tabs>
          <w:tab w:val="left" w:pos="1262"/>
        </w:tabs>
        <w:spacing w:before="83" w:line="480" w:lineRule="auto"/>
        <w:ind w:right="456"/>
        <w:jc w:val="both"/>
        <w:rPr>
          <w:rFonts w:ascii="Bookman Old Style" w:hAnsi="Bookman Old Style"/>
          <w:sz w:val="24"/>
        </w:rPr>
      </w:pPr>
      <w:r>
        <w:rPr>
          <w:rFonts w:ascii="Bookman Old Style" w:hAnsi="Bookman Old Style"/>
          <w:sz w:val="24"/>
        </w:rPr>
        <w:t xml:space="preserve">The words ‘religious denomination’ in Article 26 of the Constitution must take their colour from the word “religion”; and if this be so, the expression ‘religious denomination’ must satisfy three conditions as laid down in </w:t>
      </w:r>
      <w:r>
        <w:rPr>
          <w:rFonts w:ascii="Bookman Old Style" w:hAnsi="Bookman Old Style"/>
          <w:i/>
          <w:sz w:val="24"/>
        </w:rPr>
        <w:t>S.P. Mi</w:t>
      </w:r>
      <w:r>
        <w:rPr>
          <w:rFonts w:ascii="Bookman Old Style" w:hAnsi="Bookman Old Style"/>
          <w:i/>
          <w:sz w:val="24"/>
        </w:rPr>
        <w:t xml:space="preserve">ttal </w:t>
      </w:r>
      <w:r>
        <w:rPr>
          <w:rFonts w:ascii="Bookman Old Style" w:hAnsi="Bookman Old Style"/>
          <w:sz w:val="24"/>
        </w:rPr>
        <w:t xml:space="preserve">v. </w:t>
      </w:r>
      <w:r>
        <w:rPr>
          <w:rFonts w:ascii="Bookman Old Style" w:hAnsi="Bookman Old Style"/>
          <w:i/>
          <w:sz w:val="24"/>
        </w:rPr>
        <w:t>Union of India &amp; Ors.</w:t>
      </w:r>
      <w:r>
        <w:rPr>
          <w:rFonts w:ascii="Bookman Old Style" w:hAnsi="Bookman Old Style"/>
          <w:i/>
          <w:spacing w:val="3"/>
          <w:sz w:val="24"/>
        </w:rPr>
        <w:t xml:space="preserve"> </w:t>
      </w:r>
      <w:r>
        <w:rPr>
          <w:rFonts w:ascii="Bookman Old Style" w:hAnsi="Bookman Old Style"/>
          <w:sz w:val="24"/>
        </w:rPr>
        <w:t>(supra):</w:t>
      </w:r>
    </w:p>
    <w:p w:rsidR="003B2FC0" w:rsidRDefault="00052A49">
      <w:pPr>
        <w:ind w:left="1677" w:right="835"/>
        <w:jc w:val="both"/>
        <w:rPr>
          <w:rFonts w:ascii="Bookman Old Style" w:hAnsi="Bookman Old Style"/>
          <w:i/>
          <w:sz w:val="24"/>
        </w:rPr>
      </w:pPr>
      <w:r>
        <w:rPr>
          <w:rFonts w:ascii="Bookman Old Style" w:hAnsi="Bookman Old Style"/>
          <w:sz w:val="24"/>
        </w:rPr>
        <w:t>“</w:t>
      </w:r>
      <w:r>
        <w:rPr>
          <w:rFonts w:ascii="Bookman Old Style" w:hAnsi="Bookman Old Style"/>
          <w:i/>
          <w:sz w:val="24"/>
        </w:rPr>
        <w:t>80. (1) It must be a collection of individuals who have a system of beliefs or doctrines which they regard as conducive to their spiritual well-being, that is, a common faith;</w:t>
      </w:r>
    </w:p>
    <w:p w:rsidR="003B2FC0" w:rsidRDefault="00052A49">
      <w:pPr>
        <w:pStyle w:val="ListParagraph"/>
        <w:numPr>
          <w:ilvl w:val="1"/>
          <w:numId w:val="15"/>
        </w:numPr>
        <w:tabs>
          <w:tab w:val="left" w:pos="2033"/>
        </w:tabs>
        <w:spacing w:line="281" w:lineRule="exact"/>
        <w:ind w:hanging="355"/>
        <w:rPr>
          <w:rFonts w:ascii="Bookman Old Style"/>
          <w:i/>
          <w:sz w:val="24"/>
        </w:rPr>
      </w:pPr>
      <w:r>
        <w:rPr>
          <w:rFonts w:ascii="Bookman Old Style"/>
          <w:i/>
          <w:sz w:val="24"/>
        </w:rPr>
        <w:t>common organisation;</w:t>
      </w:r>
      <w:r>
        <w:rPr>
          <w:rFonts w:ascii="Bookman Old Style"/>
          <w:i/>
          <w:spacing w:val="1"/>
          <w:sz w:val="24"/>
        </w:rPr>
        <w:t xml:space="preserve"> </w:t>
      </w:r>
      <w:r>
        <w:rPr>
          <w:rFonts w:ascii="Bookman Old Style"/>
          <w:i/>
          <w:sz w:val="24"/>
        </w:rPr>
        <w:t>and</w:t>
      </w:r>
    </w:p>
    <w:p w:rsidR="003B2FC0" w:rsidRDefault="00052A49">
      <w:pPr>
        <w:pStyle w:val="ListParagraph"/>
        <w:numPr>
          <w:ilvl w:val="1"/>
          <w:numId w:val="15"/>
        </w:numPr>
        <w:tabs>
          <w:tab w:val="left" w:pos="2033"/>
        </w:tabs>
        <w:ind w:hanging="355"/>
        <w:rPr>
          <w:rFonts w:ascii="Bookman Old Style" w:hAnsi="Bookman Old Style"/>
          <w:sz w:val="24"/>
        </w:rPr>
      </w:pPr>
      <w:r>
        <w:rPr>
          <w:rFonts w:ascii="Bookman Old Style" w:hAnsi="Bookman Old Style"/>
          <w:i/>
          <w:sz w:val="24"/>
        </w:rPr>
        <w:t>designation by a distinctive</w:t>
      </w:r>
      <w:r>
        <w:rPr>
          <w:rFonts w:ascii="Bookman Old Style" w:hAnsi="Bookman Old Style"/>
          <w:i/>
          <w:spacing w:val="-3"/>
          <w:sz w:val="24"/>
        </w:rPr>
        <w:t xml:space="preserve"> </w:t>
      </w:r>
      <w:r>
        <w:rPr>
          <w:rFonts w:ascii="Bookman Old Style" w:hAnsi="Bookman Old Style"/>
          <w:i/>
          <w:sz w:val="24"/>
        </w:rPr>
        <w:t>name.</w:t>
      </w:r>
      <w:r>
        <w:rPr>
          <w:rFonts w:ascii="Bookman Old Style" w:hAnsi="Bookman Old Style"/>
          <w:sz w:val="24"/>
        </w:rPr>
        <w:t>”</w:t>
      </w:r>
    </w:p>
    <w:p w:rsidR="003B2FC0" w:rsidRDefault="003B2FC0">
      <w:pPr>
        <w:pStyle w:val="BodyText"/>
        <w:spacing w:before="2"/>
        <w:rPr>
          <w:sz w:val="24"/>
        </w:rPr>
      </w:pPr>
    </w:p>
    <w:p w:rsidR="003B2FC0" w:rsidRDefault="00052A49">
      <w:pPr>
        <w:spacing w:line="480" w:lineRule="auto"/>
        <w:ind w:left="1261" w:right="453" w:firstLine="415"/>
        <w:jc w:val="both"/>
        <w:rPr>
          <w:rFonts w:ascii="Bookman Old Style"/>
          <w:sz w:val="24"/>
        </w:rPr>
      </w:pPr>
      <w:r>
        <w:rPr>
          <w:rFonts w:ascii="Bookman Old Style"/>
          <w:sz w:val="24"/>
        </w:rPr>
        <w:t xml:space="preserve">Religious </w:t>
      </w:r>
      <w:r>
        <w:rPr>
          <w:rFonts w:ascii="Bookman Old Style"/>
          <w:i/>
          <w:sz w:val="24"/>
        </w:rPr>
        <w:t>maths</w:t>
      </w:r>
      <w:r>
        <w:rPr>
          <w:rFonts w:ascii="Bookman Old Style"/>
          <w:sz w:val="24"/>
        </w:rPr>
        <w:t xml:space="preserve">, religious sects, religious bodies, sub-sects or  any section thereof have been held to be religious denominations. Reliance was placed on the judgments in </w:t>
      </w:r>
      <w:r>
        <w:rPr>
          <w:rFonts w:ascii="Bookman Old Style"/>
          <w:i/>
          <w:sz w:val="24"/>
        </w:rPr>
        <w:t xml:space="preserve">Commissioner., Hindu </w:t>
      </w:r>
      <w:r>
        <w:rPr>
          <w:rFonts w:ascii="Bookman Old Style"/>
          <w:i/>
          <w:sz w:val="24"/>
        </w:rPr>
        <w:t xml:space="preserve">Religious Endowments, Madras </w:t>
      </w:r>
      <w:r>
        <w:rPr>
          <w:rFonts w:ascii="Bookman Old Style"/>
          <w:sz w:val="24"/>
        </w:rPr>
        <w:t xml:space="preserve">v. </w:t>
      </w:r>
      <w:r>
        <w:rPr>
          <w:rFonts w:ascii="Bookman Old Style"/>
          <w:i/>
          <w:sz w:val="24"/>
        </w:rPr>
        <w:t xml:space="preserve">Sri Lakshmindra Thirtha Swamiar of Sri Shirur Mutt </w:t>
      </w:r>
      <w:r>
        <w:rPr>
          <w:rFonts w:ascii="Bookman Old Style"/>
          <w:sz w:val="24"/>
        </w:rPr>
        <w:t xml:space="preserve">(supra); </w:t>
      </w:r>
      <w:r>
        <w:rPr>
          <w:rFonts w:ascii="Bookman Old Style"/>
          <w:i/>
          <w:sz w:val="24"/>
        </w:rPr>
        <w:t xml:space="preserve">Durgah Committee, Ajmer &amp; Anr. </w:t>
      </w:r>
      <w:r>
        <w:rPr>
          <w:rFonts w:ascii="Bookman Old Style"/>
          <w:sz w:val="24"/>
        </w:rPr>
        <w:t xml:space="preserve">v. </w:t>
      </w:r>
      <w:r>
        <w:rPr>
          <w:rFonts w:ascii="Bookman Old Style"/>
          <w:i/>
          <w:sz w:val="24"/>
        </w:rPr>
        <w:t>Syed Hussain Ali &amp; Ors.</w:t>
      </w:r>
      <w:r>
        <w:rPr>
          <w:rFonts w:ascii="Bookman Old Style"/>
          <w:sz w:val="24"/>
        </w:rPr>
        <w:t>,</w:t>
      </w:r>
      <w:r>
        <w:rPr>
          <w:rFonts w:ascii="Bookman Old Style"/>
          <w:position w:val="6"/>
          <w:sz w:val="16"/>
        </w:rPr>
        <w:t xml:space="preserve">14 </w:t>
      </w:r>
      <w:r>
        <w:rPr>
          <w:rFonts w:ascii="Bookman Old Style"/>
          <w:sz w:val="24"/>
        </w:rPr>
        <w:t xml:space="preserve">and </w:t>
      </w:r>
      <w:r>
        <w:rPr>
          <w:rFonts w:ascii="Bookman Old Style"/>
          <w:i/>
          <w:sz w:val="24"/>
        </w:rPr>
        <w:t xml:space="preserve">Dr. Subramanian Swamy </w:t>
      </w:r>
      <w:r>
        <w:rPr>
          <w:rFonts w:ascii="Bookman Old Style"/>
          <w:sz w:val="24"/>
        </w:rPr>
        <w:t xml:space="preserve">v. </w:t>
      </w:r>
      <w:r>
        <w:rPr>
          <w:rFonts w:ascii="Bookman Old Style"/>
          <w:i/>
          <w:sz w:val="24"/>
        </w:rPr>
        <w:t>State of T.N. &amp; Ors.</w:t>
      </w:r>
      <w:r>
        <w:rPr>
          <w:rFonts w:ascii="Bookman Old Style"/>
          <w:position w:val="6"/>
          <w:sz w:val="16"/>
        </w:rPr>
        <w:t>15</w:t>
      </w:r>
      <w:r>
        <w:rPr>
          <w:rFonts w:ascii="Bookman Old Style"/>
          <w:sz w:val="24"/>
        </w:rPr>
        <w:t>.</w:t>
      </w:r>
    </w:p>
    <w:p w:rsidR="003B2FC0" w:rsidRDefault="00052A49">
      <w:pPr>
        <w:spacing w:before="1" w:line="480" w:lineRule="auto"/>
        <w:ind w:left="1261" w:right="456" w:firstLine="415"/>
        <w:jc w:val="both"/>
        <w:rPr>
          <w:rFonts w:ascii="Bookman Old Style"/>
          <w:sz w:val="24"/>
        </w:rPr>
      </w:pPr>
      <w:r>
        <w:rPr>
          <w:rFonts w:ascii="Bookman Old Style"/>
          <w:sz w:val="24"/>
        </w:rPr>
        <w:t xml:space="preserve">Relying on the judgment in </w:t>
      </w:r>
      <w:r>
        <w:rPr>
          <w:rFonts w:ascii="Bookman Old Style"/>
          <w:i/>
          <w:sz w:val="24"/>
        </w:rPr>
        <w:t>Sri Venkataramana Devar</w:t>
      </w:r>
      <w:r>
        <w:rPr>
          <w:rFonts w:ascii="Bookman Old Style"/>
          <w:i/>
          <w:sz w:val="24"/>
        </w:rPr>
        <w:t xml:space="preserve">u &amp; Ors. </w:t>
      </w:r>
      <w:r>
        <w:rPr>
          <w:rFonts w:ascii="Bookman Old Style"/>
          <w:sz w:val="24"/>
        </w:rPr>
        <w:t>v</w:t>
      </w:r>
      <w:r>
        <w:rPr>
          <w:rFonts w:ascii="Bookman Old Style"/>
          <w:i/>
          <w:sz w:val="24"/>
        </w:rPr>
        <w:t xml:space="preserve">. State of Mysore &amp; Ors. case </w:t>
      </w:r>
      <w:r>
        <w:rPr>
          <w:rFonts w:ascii="Bookman Old Style"/>
          <w:sz w:val="24"/>
        </w:rPr>
        <w:t>(supra), Dr. Singhvi submitted that religion, in this formulation, is a much wider concept, and includes:</w:t>
      </w:r>
    </w:p>
    <w:p w:rsidR="003B2FC0" w:rsidRDefault="00052A49">
      <w:pPr>
        <w:pStyle w:val="ListParagraph"/>
        <w:numPr>
          <w:ilvl w:val="2"/>
          <w:numId w:val="13"/>
        </w:numPr>
        <w:tabs>
          <w:tab w:val="left" w:pos="1961"/>
        </w:tabs>
        <w:spacing w:line="295" w:lineRule="exact"/>
        <w:ind w:left="1960" w:hanging="283"/>
        <w:rPr>
          <w:rFonts w:ascii="Bookman Old Style" w:hAnsi="Bookman Old Style"/>
          <w:sz w:val="24"/>
        </w:rPr>
      </w:pPr>
      <w:r>
        <w:rPr>
          <w:rFonts w:ascii="Bookman Old Style" w:hAnsi="Bookman Old Style"/>
          <w:sz w:val="24"/>
        </w:rPr>
        <w:t>Ceremonial law relating to the construction of</w:t>
      </w:r>
      <w:r>
        <w:rPr>
          <w:rFonts w:ascii="Bookman Old Style" w:hAnsi="Bookman Old Style"/>
          <w:spacing w:val="-2"/>
          <w:sz w:val="24"/>
        </w:rPr>
        <w:t xml:space="preserve"> </w:t>
      </w:r>
      <w:r>
        <w:rPr>
          <w:rFonts w:ascii="Bookman Old Style" w:hAnsi="Bookman Old Style"/>
          <w:sz w:val="24"/>
        </w:rPr>
        <w:t>Temples;</w:t>
      </w:r>
    </w:p>
    <w:p w:rsidR="003B2FC0" w:rsidRDefault="003B2FC0">
      <w:pPr>
        <w:pStyle w:val="BodyText"/>
        <w:rPr>
          <w:sz w:val="24"/>
        </w:rPr>
      </w:pPr>
    </w:p>
    <w:p w:rsidR="003B2FC0" w:rsidRDefault="00052A49">
      <w:pPr>
        <w:pStyle w:val="ListParagraph"/>
        <w:numPr>
          <w:ilvl w:val="2"/>
          <w:numId w:val="13"/>
        </w:numPr>
        <w:tabs>
          <w:tab w:val="left" w:pos="1961"/>
        </w:tabs>
        <w:ind w:left="1960" w:hanging="283"/>
        <w:rPr>
          <w:rFonts w:ascii="Bookman Old Style" w:hAnsi="Bookman Old Style"/>
          <w:sz w:val="24"/>
        </w:rPr>
      </w:pPr>
      <w:r>
        <w:rPr>
          <w:rFonts w:ascii="Bookman Old Style" w:hAnsi="Bookman Old Style"/>
          <w:sz w:val="24"/>
        </w:rPr>
        <w:t>Installation of Idols</w:t>
      </w:r>
      <w:r>
        <w:rPr>
          <w:rFonts w:ascii="Bookman Old Style" w:hAnsi="Bookman Old Style"/>
          <w:spacing w:val="-6"/>
          <w:sz w:val="24"/>
        </w:rPr>
        <w:t xml:space="preserve"> </w:t>
      </w:r>
      <w:r>
        <w:rPr>
          <w:rFonts w:ascii="Bookman Old Style" w:hAnsi="Bookman Old Style"/>
          <w:sz w:val="24"/>
        </w:rPr>
        <w:t>therein;</w:t>
      </w:r>
    </w:p>
    <w:p w:rsidR="003B2FC0" w:rsidRDefault="003B2FC0">
      <w:pPr>
        <w:pStyle w:val="BodyText"/>
        <w:rPr>
          <w:sz w:val="24"/>
        </w:rPr>
      </w:pPr>
    </w:p>
    <w:p w:rsidR="003B2FC0" w:rsidRDefault="00052A49">
      <w:pPr>
        <w:pStyle w:val="ListParagraph"/>
        <w:numPr>
          <w:ilvl w:val="2"/>
          <w:numId w:val="13"/>
        </w:numPr>
        <w:tabs>
          <w:tab w:val="left" w:pos="1961"/>
        </w:tabs>
        <w:ind w:left="1960" w:hanging="283"/>
        <w:rPr>
          <w:rFonts w:ascii="Bookman Old Style" w:hAnsi="Bookman Old Style"/>
          <w:sz w:val="24"/>
        </w:rPr>
      </w:pPr>
      <w:r>
        <w:rPr>
          <w:rFonts w:ascii="Bookman Old Style" w:hAnsi="Bookman Old Style"/>
          <w:sz w:val="24"/>
        </w:rPr>
        <w:t>Place of consecration</w:t>
      </w:r>
      <w:r>
        <w:rPr>
          <w:rFonts w:ascii="Bookman Old Style" w:hAnsi="Bookman Old Style"/>
          <w:sz w:val="24"/>
        </w:rPr>
        <w:t xml:space="preserve"> of the principle</w:t>
      </w:r>
      <w:r>
        <w:rPr>
          <w:rFonts w:ascii="Bookman Old Style" w:hAnsi="Bookman Old Style"/>
          <w:spacing w:val="-5"/>
          <w:sz w:val="24"/>
        </w:rPr>
        <w:t xml:space="preserve"> </w:t>
      </w:r>
      <w:r>
        <w:rPr>
          <w:rFonts w:ascii="Bookman Old Style" w:hAnsi="Bookman Old Style"/>
          <w:sz w:val="24"/>
        </w:rPr>
        <w:t>deity;</w:t>
      </w:r>
    </w:p>
    <w:p w:rsidR="003B2FC0" w:rsidRDefault="003B2FC0">
      <w:pPr>
        <w:pStyle w:val="BodyText"/>
        <w:rPr>
          <w:sz w:val="24"/>
        </w:rPr>
      </w:pPr>
    </w:p>
    <w:p w:rsidR="003B2FC0" w:rsidRDefault="00052A49">
      <w:pPr>
        <w:pStyle w:val="ListParagraph"/>
        <w:numPr>
          <w:ilvl w:val="2"/>
          <w:numId w:val="13"/>
        </w:numPr>
        <w:tabs>
          <w:tab w:val="left" w:pos="1961"/>
        </w:tabs>
        <w:ind w:left="1960" w:hanging="283"/>
        <w:rPr>
          <w:rFonts w:ascii="Bookman Old Style" w:hAnsi="Bookman Old Style"/>
          <w:sz w:val="24"/>
        </w:rPr>
      </w:pPr>
      <w:r>
        <w:rPr>
          <w:rFonts w:ascii="Bookman Old Style" w:hAnsi="Bookman Old Style"/>
          <w:sz w:val="24"/>
        </w:rPr>
        <w:t>Where the other Devatas are to be</w:t>
      </w:r>
      <w:r>
        <w:rPr>
          <w:rFonts w:ascii="Bookman Old Style" w:hAnsi="Bookman Old Style"/>
          <w:spacing w:val="-3"/>
          <w:sz w:val="24"/>
        </w:rPr>
        <w:t xml:space="preserve"> </w:t>
      </w:r>
      <w:r>
        <w:rPr>
          <w:rFonts w:ascii="Bookman Old Style" w:hAnsi="Bookman Old Style"/>
          <w:sz w:val="24"/>
        </w:rPr>
        <w:t>installed;</w:t>
      </w:r>
    </w:p>
    <w:p w:rsidR="003B2FC0" w:rsidRDefault="003B2FC0">
      <w:pPr>
        <w:pStyle w:val="BodyText"/>
        <w:rPr>
          <w:sz w:val="24"/>
        </w:rPr>
      </w:pPr>
    </w:p>
    <w:p w:rsidR="003B2FC0" w:rsidRDefault="00052A49">
      <w:pPr>
        <w:pStyle w:val="ListParagraph"/>
        <w:numPr>
          <w:ilvl w:val="2"/>
          <w:numId w:val="13"/>
        </w:numPr>
        <w:tabs>
          <w:tab w:val="left" w:pos="1961"/>
        </w:tabs>
        <w:ind w:left="1960" w:hanging="283"/>
        <w:rPr>
          <w:rFonts w:ascii="Bookman Old Style" w:hAnsi="Bookman Old Style"/>
          <w:sz w:val="24"/>
        </w:rPr>
      </w:pPr>
      <w:r>
        <w:rPr>
          <w:rFonts w:ascii="Bookman Old Style" w:hAnsi="Bookman Old Style"/>
          <w:sz w:val="24"/>
        </w:rPr>
        <w:t>Conduct of worship of the</w:t>
      </w:r>
      <w:r>
        <w:rPr>
          <w:rFonts w:ascii="Bookman Old Style" w:hAnsi="Bookman Old Style"/>
          <w:spacing w:val="-1"/>
          <w:sz w:val="24"/>
        </w:rPr>
        <w:t xml:space="preserve"> </w:t>
      </w:r>
      <w:r>
        <w:rPr>
          <w:rFonts w:ascii="Bookman Old Style" w:hAnsi="Bookman Old Style"/>
          <w:sz w:val="24"/>
        </w:rPr>
        <w:t>deities;</w:t>
      </w:r>
    </w:p>
    <w:p w:rsidR="003B2FC0" w:rsidRDefault="003B2FC0">
      <w:pPr>
        <w:pStyle w:val="BodyText"/>
        <w:rPr>
          <w:sz w:val="24"/>
        </w:rPr>
      </w:pPr>
    </w:p>
    <w:p w:rsidR="003B2FC0" w:rsidRDefault="00052A49">
      <w:pPr>
        <w:pStyle w:val="ListParagraph"/>
        <w:numPr>
          <w:ilvl w:val="2"/>
          <w:numId w:val="13"/>
        </w:numPr>
        <w:tabs>
          <w:tab w:val="left" w:pos="1961"/>
        </w:tabs>
        <w:ind w:left="1960" w:hanging="283"/>
        <w:rPr>
          <w:rFonts w:ascii="Bookman Old Style" w:hAnsi="Bookman Old Style"/>
          <w:sz w:val="24"/>
        </w:rPr>
      </w:pPr>
      <w:r>
        <w:rPr>
          <w:rFonts w:ascii="Bookman Old Style" w:hAnsi="Bookman Old Style"/>
          <w:sz w:val="24"/>
        </w:rPr>
        <w:t>Where the worshippers are to stand for</w:t>
      </w:r>
      <w:r>
        <w:rPr>
          <w:rFonts w:ascii="Bookman Old Style" w:hAnsi="Bookman Old Style"/>
          <w:spacing w:val="-1"/>
          <w:sz w:val="24"/>
        </w:rPr>
        <w:t xml:space="preserve"> </w:t>
      </w:r>
      <w:r>
        <w:rPr>
          <w:rFonts w:ascii="Bookman Old Style" w:hAnsi="Bookman Old Style"/>
          <w:sz w:val="24"/>
        </w:rPr>
        <w:t>worship;</w:t>
      </w:r>
    </w:p>
    <w:p w:rsidR="003B2FC0" w:rsidRDefault="003B2FC0">
      <w:pPr>
        <w:pStyle w:val="BodyText"/>
        <w:rPr>
          <w:sz w:val="20"/>
        </w:rPr>
      </w:pPr>
    </w:p>
    <w:p w:rsidR="003B2FC0" w:rsidRDefault="003B2FC0">
      <w:pPr>
        <w:pStyle w:val="BodyText"/>
        <w:spacing w:before="11"/>
        <w:rPr>
          <w:sz w:val="27"/>
        </w:rPr>
      </w:pPr>
      <w:r w:rsidRPr="003B2FC0">
        <w:pict>
          <v:line id="_x0000_s1053" style="position:absolute;z-index:251660800;mso-wrap-distance-left:0;mso-wrap-distance-right:0;mso-position-horizontal-relative:page" from="1in,18.75pt" to="216.05pt,18.7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14 </w:t>
      </w:r>
      <w:r>
        <w:rPr>
          <w:rFonts w:ascii="Bookman Old Style"/>
          <w:sz w:val="20"/>
        </w:rPr>
        <w:t>(1962) 1 SCR 383 : AIR 1961 SC 1402</w:t>
      </w:r>
    </w:p>
    <w:p w:rsidR="003B2FC0" w:rsidRDefault="00052A49">
      <w:pPr>
        <w:ind w:left="400"/>
        <w:rPr>
          <w:rFonts w:ascii="Bookman Old Style"/>
          <w:sz w:val="20"/>
        </w:rPr>
      </w:pPr>
      <w:r>
        <w:rPr>
          <w:rFonts w:ascii="Bookman Old Style"/>
          <w:position w:val="5"/>
          <w:sz w:val="13"/>
        </w:rPr>
        <w:t xml:space="preserve">15 </w:t>
      </w:r>
      <w:r>
        <w:rPr>
          <w:rFonts w:ascii="Bookman Old Style"/>
          <w:sz w:val="20"/>
        </w:rPr>
        <w:t>(2014) 5 SCC 75</w:t>
      </w:r>
    </w:p>
    <w:p w:rsidR="003B2FC0" w:rsidRDefault="003B2FC0">
      <w:pPr>
        <w:rPr>
          <w:rFonts w:ascii="Bookman Old Style"/>
          <w:sz w:val="20"/>
        </w:rPr>
        <w:sectPr w:rsidR="003B2FC0">
          <w:headerReference w:type="default" r:id="rId429"/>
          <w:footerReference w:type="default" r:id="rId430"/>
          <w:pgSz w:w="11910" w:h="16840"/>
          <w:pgMar w:top="1340" w:right="980" w:bottom="1220" w:left="1040" w:header="0" w:footer="1033" w:gutter="0"/>
          <w:pgNumType w:start="18"/>
          <w:cols w:space="720"/>
        </w:sectPr>
      </w:pPr>
    </w:p>
    <w:p w:rsidR="003B2FC0" w:rsidRDefault="00052A49">
      <w:pPr>
        <w:pStyle w:val="ListParagraph"/>
        <w:numPr>
          <w:ilvl w:val="2"/>
          <w:numId w:val="13"/>
        </w:numPr>
        <w:tabs>
          <w:tab w:val="left" w:pos="2038"/>
        </w:tabs>
        <w:spacing w:before="83" w:line="468" w:lineRule="auto"/>
        <w:ind w:left="1960" w:right="457" w:hanging="283"/>
        <w:rPr>
          <w:rFonts w:ascii="Bookman Old Style" w:hAnsi="Bookman Old Style"/>
          <w:sz w:val="24"/>
        </w:rPr>
      </w:pPr>
      <w:r>
        <w:tab/>
      </w:r>
      <w:r>
        <w:rPr>
          <w:rFonts w:ascii="Bookman Old Style" w:hAnsi="Bookman Old Style"/>
          <w:sz w:val="24"/>
        </w:rPr>
        <w:t>Purificatory ceremonies and their mode and manner of performance;</w:t>
      </w:r>
    </w:p>
    <w:p w:rsidR="003B2FC0" w:rsidRDefault="00052A49">
      <w:pPr>
        <w:pStyle w:val="ListParagraph"/>
        <w:numPr>
          <w:ilvl w:val="2"/>
          <w:numId w:val="13"/>
        </w:numPr>
        <w:tabs>
          <w:tab w:val="left" w:pos="2038"/>
        </w:tabs>
        <w:spacing w:before="17" w:line="475" w:lineRule="auto"/>
        <w:ind w:left="1960" w:right="456" w:hanging="283"/>
        <w:rPr>
          <w:rFonts w:ascii="Bookman Old Style" w:hAnsi="Bookman Old Style"/>
          <w:sz w:val="24"/>
        </w:rPr>
      </w:pPr>
      <w:r>
        <w:tab/>
      </w:r>
      <w:r>
        <w:rPr>
          <w:rFonts w:ascii="Bookman Old Style" w:hAnsi="Bookman Old Style"/>
          <w:sz w:val="24"/>
        </w:rPr>
        <w:t>Who are entitled to enter for worship; where they are entitled to stand and worship; and, how the worship is to be conducted.</w:t>
      </w:r>
    </w:p>
    <w:p w:rsidR="003B2FC0" w:rsidRDefault="00052A49">
      <w:pPr>
        <w:pStyle w:val="ListParagraph"/>
        <w:numPr>
          <w:ilvl w:val="1"/>
          <w:numId w:val="13"/>
        </w:numPr>
        <w:tabs>
          <w:tab w:val="left" w:pos="1262"/>
        </w:tabs>
        <w:spacing w:before="4" w:line="480" w:lineRule="auto"/>
        <w:ind w:right="455"/>
        <w:jc w:val="both"/>
        <w:rPr>
          <w:rFonts w:ascii="Bookman Old Style" w:hAnsi="Bookman Old Style"/>
          <w:sz w:val="24"/>
        </w:rPr>
      </w:pPr>
      <w:r>
        <w:rPr>
          <w:rFonts w:ascii="Bookman Old Style" w:hAnsi="Bookman Old Style"/>
          <w:sz w:val="24"/>
        </w:rPr>
        <w:t>It was categorically asserted by the Respondents that the devotees of Lord Ayyappa constitute a religious denomination, who follow the ‘</w:t>
      </w:r>
      <w:r>
        <w:rPr>
          <w:rFonts w:ascii="Bookman Old Style" w:hAnsi="Bookman Old Style"/>
          <w:i/>
          <w:sz w:val="24"/>
        </w:rPr>
        <w:t>Ayyappan Dharma</w:t>
      </w:r>
      <w:r>
        <w:rPr>
          <w:rFonts w:ascii="Bookman Old Style" w:hAnsi="Bookman Old Style"/>
          <w:sz w:val="24"/>
        </w:rPr>
        <w:t>’, where all male devotees are called ‘</w:t>
      </w:r>
      <w:r>
        <w:rPr>
          <w:rFonts w:ascii="Bookman Old Style" w:hAnsi="Bookman Old Style"/>
          <w:i/>
          <w:sz w:val="24"/>
        </w:rPr>
        <w:t>Ayyappans</w:t>
      </w:r>
      <w:r>
        <w:rPr>
          <w:rFonts w:ascii="Bookman Old Style" w:hAnsi="Bookman Old Style"/>
          <w:sz w:val="24"/>
        </w:rPr>
        <w:t>’ and all female devotees below 10 years and above 50 yea</w:t>
      </w:r>
      <w:r>
        <w:rPr>
          <w:rFonts w:ascii="Bookman Old Style" w:hAnsi="Bookman Old Style"/>
          <w:sz w:val="24"/>
        </w:rPr>
        <w:t>rs of age are called ‘</w:t>
      </w:r>
      <w:r>
        <w:rPr>
          <w:rFonts w:ascii="Bookman Old Style" w:hAnsi="Bookman Old Style"/>
          <w:i/>
          <w:sz w:val="24"/>
        </w:rPr>
        <w:t>Malikapurams</w:t>
      </w:r>
      <w:r>
        <w:rPr>
          <w:rFonts w:ascii="Bookman Old Style" w:hAnsi="Bookman Old Style"/>
          <w:sz w:val="24"/>
        </w:rPr>
        <w:t>’. A devotee has to abide by the customs and usages of this Temple, if he is to mount the ‘</w:t>
      </w:r>
      <w:r>
        <w:rPr>
          <w:rFonts w:ascii="Bookman Old Style" w:hAnsi="Bookman Old Style"/>
          <w:i/>
          <w:sz w:val="24"/>
        </w:rPr>
        <w:t>pathinettu padikal</w:t>
      </w:r>
      <w:r>
        <w:rPr>
          <w:rFonts w:ascii="Bookman Old Style" w:hAnsi="Bookman Old Style"/>
          <w:sz w:val="24"/>
        </w:rPr>
        <w:t>’ and enter the Sabarimala</w:t>
      </w:r>
      <w:r>
        <w:rPr>
          <w:rFonts w:ascii="Bookman Old Style" w:hAnsi="Bookman Old Style"/>
          <w:spacing w:val="-1"/>
          <w:sz w:val="24"/>
        </w:rPr>
        <w:t xml:space="preserve"> </w:t>
      </w:r>
      <w:r>
        <w:rPr>
          <w:rFonts w:ascii="Bookman Old Style" w:hAnsi="Bookman Old Style"/>
          <w:sz w:val="24"/>
        </w:rPr>
        <w:t>Temple.</w:t>
      </w:r>
    </w:p>
    <w:p w:rsidR="003B2FC0" w:rsidRDefault="00052A49">
      <w:pPr>
        <w:spacing w:before="2" w:line="480" w:lineRule="auto"/>
        <w:ind w:left="1261" w:right="455" w:firstLine="415"/>
        <w:jc w:val="both"/>
        <w:rPr>
          <w:rFonts w:ascii="Bookman Old Style" w:hAnsi="Bookman Old Style"/>
          <w:sz w:val="24"/>
        </w:rPr>
      </w:pPr>
      <w:r>
        <w:rPr>
          <w:rFonts w:ascii="Bookman Old Style" w:hAnsi="Bookman Old Style"/>
          <w:sz w:val="24"/>
        </w:rPr>
        <w:t>This set of beliefs and faiths of the ‘</w:t>
      </w:r>
      <w:r>
        <w:rPr>
          <w:rFonts w:ascii="Bookman Old Style" w:hAnsi="Bookman Old Style"/>
          <w:i/>
          <w:sz w:val="24"/>
        </w:rPr>
        <w:t>Ayyappaswamis</w:t>
      </w:r>
      <w:r>
        <w:rPr>
          <w:rFonts w:ascii="Bookman Old Style" w:hAnsi="Bookman Old Style"/>
          <w:sz w:val="24"/>
        </w:rPr>
        <w:t>’</w:t>
      </w:r>
      <w:r>
        <w:rPr>
          <w:rFonts w:ascii="Bookman Old Style" w:hAnsi="Bookman Old Style"/>
          <w:i/>
          <w:sz w:val="24"/>
        </w:rPr>
        <w:t xml:space="preserve">, </w:t>
      </w:r>
      <w:r>
        <w:rPr>
          <w:rFonts w:ascii="Bookman Old Style" w:hAnsi="Bookman Old Style"/>
          <w:sz w:val="24"/>
        </w:rPr>
        <w:t>and the organization of the worshippers of Lord Ayyappa constitute a distinct religious denomination, having distinct practises.</w:t>
      </w:r>
    </w:p>
    <w:p w:rsidR="003B2FC0" w:rsidRDefault="00052A49">
      <w:pPr>
        <w:pStyle w:val="ListParagraph"/>
        <w:numPr>
          <w:ilvl w:val="1"/>
          <w:numId w:val="13"/>
        </w:numPr>
        <w:tabs>
          <w:tab w:val="left" w:pos="1262"/>
        </w:tabs>
        <w:spacing w:line="480" w:lineRule="auto"/>
        <w:ind w:right="454"/>
        <w:jc w:val="both"/>
        <w:rPr>
          <w:rFonts w:ascii="Bookman Old Style" w:hAnsi="Bookman Old Style"/>
          <w:sz w:val="24"/>
        </w:rPr>
      </w:pPr>
      <w:r>
        <w:rPr>
          <w:rFonts w:ascii="Bookman Old Style" w:hAnsi="Bookman Old Style"/>
          <w:sz w:val="24"/>
        </w:rPr>
        <w:t>It was further submitted that the status of this temple as a religious denomination, was settled by the judgment of the Divisio</w:t>
      </w:r>
      <w:r>
        <w:rPr>
          <w:rFonts w:ascii="Bookman Old Style" w:hAnsi="Bookman Old Style"/>
          <w:sz w:val="24"/>
        </w:rPr>
        <w:t xml:space="preserve">n Bench of the Kerala High Court in </w:t>
      </w:r>
      <w:r>
        <w:rPr>
          <w:rFonts w:ascii="Bookman Old Style" w:hAnsi="Bookman Old Style"/>
          <w:i/>
          <w:sz w:val="24"/>
        </w:rPr>
        <w:t xml:space="preserve">S. Mahendran </w:t>
      </w:r>
      <w:r>
        <w:rPr>
          <w:rFonts w:ascii="Bookman Old Style" w:hAnsi="Bookman Old Style"/>
          <w:sz w:val="24"/>
        </w:rPr>
        <w:t xml:space="preserve">v. </w:t>
      </w:r>
      <w:r>
        <w:rPr>
          <w:rFonts w:ascii="Bookman Old Style" w:hAnsi="Bookman Old Style"/>
          <w:i/>
          <w:sz w:val="24"/>
        </w:rPr>
        <w:t xml:space="preserve">The Secretary, Travancore Devaswom Board &amp; Ors. </w:t>
      </w:r>
      <w:r>
        <w:rPr>
          <w:rFonts w:ascii="Bookman Old Style" w:hAnsi="Bookman Old Style"/>
          <w:sz w:val="24"/>
        </w:rPr>
        <w:t>(supra). The High Court decided the case after recording both documentary and oral evidence. The then Thanthri – Sri Neelakandaru, who had installed the dei</w:t>
      </w:r>
      <w:r>
        <w:rPr>
          <w:rFonts w:ascii="Bookman Old Style" w:hAnsi="Bookman Old Style"/>
          <w:sz w:val="24"/>
        </w:rPr>
        <w:t>ty was examined by the High Court as C.W.6, who stated that women during the age group of 10 to 50 years were prohibited from entering the temple much before the</w:t>
      </w:r>
      <w:r>
        <w:rPr>
          <w:rFonts w:ascii="Bookman Old Style" w:hAnsi="Bookman Old Style"/>
          <w:spacing w:val="-2"/>
          <w:sz w:val="24"/>
        </w:rPr>
        <w:t xml:space="preserve"> </w:t>
      </w:r>
      <w:r>
        <w:rPr>
          <w:rFonts w:ascii="Bookman Old Style" w:hAnsi="Bookman Old Style"/>
          <w:sz w:val="24"/>
        </w:rPr>
        <w:t>1950s.</w:t>
      </w:r>
    </w:p>
    <w:p w:rsidR="003B2FC0" w:rsidRDefault="003B2FC0">
      <w:pPr>
        <w:spacing w:line="480" w:lineRule="auto"/>
        <w:jc w:val="both"/>
        <w:rPr>
          <w:rFonts w:ascii="Bookman Old Style" w:hAnsi="Bookman Old Style"/>
          <w:sz w:val="24"/>
        </w:rPr>
        <w:sectPr w:rsidR="003B2FC0">
          <w:headerReference w:type="default" r:id="rId431"/>
          <w:footerReference w:type="default" r:id="rId432"/>
          <w:pgSz w:w="11910" w:h="16840"/>
          <w:pgMar w:top="1340" w:right="980" w:bottom="1220" w:left="1040" w:header="0" w:footer="1033" w:gutter="0"/>
          <w:pgNumType w:start="19"/>
          <w:cols w:space="720"/>
        </w:sectPr>
      </w:pPr>
    </w:p>
    <w:p w:rsidR="003B2FC0" w:rsidRDefault="00052A49">
      <w:pPr>
        <w:spacing w:before="83" w:line="480" w:lineRule="auto"/>
        <w:ind w:left="1261" w:right="457" w:firstLine="415"/>
        <w:jc w:val="both"/>
        <w:rPr>
          <w:rFonts w:ascii="Bookman Old Style"/>
          <w:sz w:val="24"/>
        </w:rPr>
      </w:pPr>
      <w:r>
        <w:rPr>
          <w:rFonts w:ascii="Bookman Old Style"/>
          <w:sz w:val="24"/>
        </w:rPr>
        <w:t>This judgment being a declaration of the sta</w:t>
      </w:r>
      <w:r>
        <w:rPr>
          <w:rFonts w:ascii="Bookman Old Style"/>
          <w:sz w:val="24"/>
        </w:rPr>
        <w:t xml:space="preserve">tus of this temple as a religious denomination, is a judgment </w:t>
      </w:r>
      <w:r>
        <w:rPr>
          <w:rFonts w:ascii="Bookman Old Style"/>
          <w:i/>
          <w:spacing w:val="-3"/>
          <w:sz w:val="24"/>
        </w:rPr>
        <w:t xml:space="preserve">in </w:t>
      </w:r>
      <w:r>
        <w:rPr>
          <w:rFonts w:ascii="Bookman Old Style"/>
          <w:i/>
          <w:sz w:val="24"/>
        </w:rPr>
        <w:t xml:space="preserve">rem. </w:t>
      </w:r>
      <w:r>
        <w:rPr>
          <w:rFonts w:ascii="Bookman Old Style"/>
          <w:sz w:val="24"/>
        </w:rPr>
        <w:t>The said judgment has not been challenged by any party. Hence, it would be binding on all parties, including the Petitioners</w:t>
      </w:r>
      <w:r>
        <w:rPr>
          <w:rFonts w:ascii="Bookman Old Style"/>
          <w:spacing w:val="-5"/>
          <w:sz w:val="24"/>
        </w:rPr>
        <w:t xml:space="preserve"> </w:t>
      </w:r>
      <w:r>
        <w:rPr>
          <w:rFonts w:ascii="Bookman Old Style"/>
          <w:sz w:val="24"/>
        </w:rPr>
        <w:t>herein.</w:t>
      </w:r>
    </w:p>
    <w:p w:rsidR="003B2FC0" w:rsidRDefault="00052A49">
      <w:pPr>
        <w:spacing w:line="480" w:lineRule="auto"/>
        <w:ind w:left="1261" w:right="455" w:firstLine="415"/>
        <w:jc w:val="both"/>
        <w:rPr>
          <w:rFonts w:ascii="Bookman Old Style"/>
          <w:sz w:val="24"/>
        </w:rPr>
      </w:pPr>
      <w:r>
        <w:rPr>
          <w:rFonts w:ascii="Bookman Old Style"/>
          <w:sz w:val="24"/>
        </w:rPr>
        <w:t>The following observation from the judgment of this C</w:t>
      </w:r>
      <w:r>
        <w:rPr>
          <w:rFonts w:ascii="Bookman Old Style"/>
          <w:sz w:val="24"/>
        </w:rPr>
        <w:t xml:space="preserve">ourt in </w:t>
      </w:r>
      <w:r>
        <w:rPr>
          <w:rFonts w:ascii="Bookman Old Style"/>
          <w:i/>
          <w:sz w:val="24"/>
        </w:rPr>
        <w:t xml:space="preserve">Dr. Subramanian Swamy </w:t>
      </w:r>
      <w:r>
        <w:rPr>
          <w:rFonts w:ascii="Bookman Old Style"/>
          <w:sz w:val="24"/>
        </w:rPr>
        <w:t xml:space="preserve">v. </w:t>
      </w:r>
      <w:r>
        <w:rPr>
          <w:rFonts w:ascii="Bookman Old Style"/>
          <w:i/>
          <w:sz w:val="24"/>
        </w:rPr>
        <w:t xml:space="preserve">State of Tamil Nadu &amp; Ors. </w:t>
      </w:r>
      <w:r>
        <w:rPr>
          <w:rFonts w:ascii="Bookman Old Style"/>
          <w:sz w:val="24"/>
        </w:rPr>
        <w:t>(supra) was relied upon:</w:t>
      </w:r>
    </w:p>
    <w:p w:rsidR="003B2FC0" w:rsidRDefault="00052A49">
      <w:pPr>
        <w:ind w:left="1533" w:right="841"/>
        <w:jc w:val="both"/>
        <w:rPr>
          <w:rFonts w:ascii="Bookman Old Style" w:hAnsi="Bookman Old Style"/>
          <w:sz w:val="24"/>
        </w:rPr>
      </w:pPr>
      <w:r>
        <w:rPr>
          <w:rFonts w:ascii="Bookman Old Style" w:hAnsi="Bookman Old Style"/>
          <w:sz w:val="24"/>
        </w:rPr>
        <w:t>“</w:t>
      </w:r>
      <w:r>
        <w:rPr>
          <w:rFonts w:ascii="Bookman Old Style" w:hAnsi="Bookman Old Style"/>
          <w:i/>
          <w:sz w:val="24"/>
        </w:rPr>
        <w:t>The declaration that Dikshitars are religious denomination or section thereof is in fact a declaration of their status and making such declaration is in fact a judgment i</w:t>
      </w:r>
      <w:r>
        <w:rPr>
          <w:rFonts w:ascii="Bookman Old Style" w:hAnsi="Bookman Old Style"/>
          <w:i/>
          <w:sz w:val="24"/>
        </w:rPr>
        <w:t>n rem.</w:t>
      </w:r>
      <w:r>
        <w:rPr>
          <w:rFonts w:ascii="Bookman Old Style" w:hAnsi="Bookman Old Style"/>
          <w:sz w:val="24"/>
        </w:rPr>
        <w:t>”</w:t>
      </w:r>
    </w:p>
    <w:p w:rsidR="003B2FC0" w:rsidRDefault="00052A49">
      <w:pPr>
        <w:spacing w:line="281" w:lineRule="exact"/>
        <w:ind w:left="5683"/>
        <w:rPr>
          <w:rFonts w:ascii="Bookman Old Style"/>
          <w:sz w:val="24"/>
        </w:rPr>
      </w:pPr>
      <w:r>
        <w:rPr>
          <w:rFonts w:ascii="Bookman Old Style"/>
          <w:sz w:val="24"/>
        </w:rPr>
        <w:t>(Internal quotations omitted)</w:t>
      </w:r>
    </w:p>
    <w:p w:rsidR="003B2FC0" w:rsidRDefault="003B2FC0">
      <w:pPr>
        <w:pStyle w:val="BodyText"/>
        <w:rPr>
          <w:sz w:val="23"/>
        </w:rPr>
      </w:pPr>
    </w:p>
    <w:p w:rsidR="003B2FC0" w:rsidRDefault="00052A49">
      <w:pPr>
        <w:pStyle w:val="ListParagraph"/>
        <w:numPr>
          <w:ilvl w:val="1"/>
          <w:numId w:val="13"/>
        </w:numPr>
        <w:tabs>
          <w:tab w:val="left" w:pos="1262"/>
        </w:tabs>
        <w:spacing w:line="480" w:lineRule="auto"/>
        <w:ind w:right="456"/>
        <w:jc w:val="both"/>
        <w:rPr>
          <w:rFonts w:ascii="Bookman Old Style"/>
          <w:sz w:val="24"/>
        </w:rPr>
      </w:pPr>
      <w:r>
        <w:rPr>
          <w:rFonts w:ascii="Bookman Old Style"/>
          <w:sz w:val="24"/>
        </w:rPr>
        <w:t>Unlike Article 25, which is subject to the other provisions of Pat III of the Constitution, Article 26 is subject only to public order, morality, and health, and not to the other provisions of the Constitution. As a result, the Fundamental Rights of the de</w:t>
      </w:r>
      <w:r>
        <w:rPr>
          <w:rFonts w:ascii="Bookman Old Style"/>
          <w:sz w:val="24"/>
        </w:rPr>
        <w:t>nomination is not subject to Articles 14 or 15 of the</w:t>
      </w:r>
      <w:r>
        <w:rPr>
          <w:rFonts w:ascii="Bookman Old Style"/>
          <w:spacing w:val="-5"/>
          <w:sz w:val="24"/>
        </w:rPr>
        <w:t xml:space="preserve"> </w:t>
      </w:r>
      <w:r>
        <w:rPr>
          <w:rFonts w:ascii="Bookman Old Style"/>
          <w:sz w:val="24"/>
        </w:rPr>
        <w:t>Constitution.</w:t>
      </w:r>
    </w:p>
    <w:p w:rsidR="003B2FC0" w:rsidRDefault="00052A49">
      <w:pPr>
        <w:spacing w:before="1" w:line="480" w:lineRule="auto"/>
        <w:ind w:left="1261" w:right="455" w:firstLine="415"/>
        <w:jc w:val="both"/>
        <w:rPr>
          <w:rFonts w:ascii="Bookman Old Style" w:hAnsi="Bookman Old Style"/>
          <w:sz w:val="24"/>
        </w:rPr>
      </w:pPr>
      <w:r>
        <w:rPr>
          <w:rFonts w:ascii="Bookman Old Style" w:hAnsi="Bookman Old Style"/>
          <w:sz w:val="24"/>
        </w:rPr>
        <w:t>With respect to Article 25(1), it was submitted that the worshippers of Lord Ayyappa are entitled to the freedom of conscience, and the right to profess, practise and propagate their relig</w:t>
      </w:r>
      <w:r>
        <w:rPr>
          <w:rFonts w:ascii="Bookman Old Style" w:hAnsi="Bookman Old Style"/>
          <w:sz w:val="24"/>
        </w:rPr>
        <w:t>ion. The right to profess their faith by worshipping at the Sabarimala Temple, can be guaranteed only if the character of the deity as a ‘</w:t>
      </w:r>
      <w:r>
        <w:rPr>
          <w:rFonts w:ascii="Bookman Old Style" w:hAnsi="Bookman Old Style"/>
          <w:i/>
          <w:sz w:val="24"/>
        </w:rPr>
        <w:t>Naishtik Brahmachari</w:t>
      </w:r>
      <w:r>
        <w:rPr>
          <w:rFonts w:ascii="Bookman Old Style" w:hAnsi="Bookman Old Style"/>
          <w:sz w:val="24"/>
        </w:rPr>
        <w:t>’ is preserved. If women between the age of 10 to 50 years are permitted entry, it would result in</w:t>
      </w:r>
      <w:r>
        <w:rPr>
          <w:rFonts w:ascii="Bookman Old Style" w:hAnsi="Bookman Old Style"/>
          <w:sz w:val="24"/>
        </w:rPr>
        <w:t xml:space="preserve"> changing the very character/nature of the deity, which would directly impinge on the right of the devotees to practise their religion guaranteed by Article 25(1) of the Constitution.</w:t>
      </w:r>
    </w:p>
    <w:p w:rsidR="003B2FC0" w:rsidRDefault="003B2FC0">
      <w:pPr>
        <w:spacing w:line="480" w:lineRule="auto"/>
        <w:jc w:val="both"/>
        <w:rPr>
          <w:rFonts w:ascii="Bookman Old Style" w:hAnsi="Bookman Old Style"/>
          <w:sz w:val="24"/>
        </w:rPr>
        <w:sectPr w:rsidR="003B2FC0">
          <w:headerReference w:type="default" r:id="rId433"/>
          <w:footerReference w:type="default" r:id="rId434"/>
          <w:pgSz w:w="11910" w:h="16840"/>
          <w:pgMar w:top="1340" w:right="980" w:bottom="1220" w:left="1040" w:header="0" w:footer="1033" w:gutter="0"/>
          <w:pgNumType w:start="20"/>
          <w:cols w:space="720"/>
        </w:sectPr>
      </w:pPr>
    </w:p>
    <w:p w:rsidR="003B2FC0" w:rsidRDefault="00052A49">
      <w:pPr>
        <w:spacing w:before="83" w:line="480" w:lineRule="auto"/>
        <w:ind w:left="1261" w:right="454" w:firstLine="415"/>
        <w:jc w:val="both"/>
        <w:rPr>
          <w:rFonts w:ascii="Bookman Old Style"/>
          <w:sz w:val="24"/>
        </w:rPr>
      </w:pPr>
      <w:r>
        <w:rPr>
          <w:rFonts w:ascii="Bookman Old Style"/>
          <w:sz w:val="24"/>
        </w:rPr>
        <w:t>The right of the devotees und</w:t>
      </w:r>
      <w:r>
        <w:rPr>
          <w:rFonts w:ascii="Bookman Old Style"/>
          <w:sz w:val="24"/>
        </w:rPr>
        <w:t>er Article 25(1) cannot be made subject to the claim of the Petitioners to enter the temple under Articles 14 and 15 of the Constitution, since they do not profess faith in the deity of this Temple, but claim merely to be social activists.</w:t>
      </w:r>
    </w:p>
    <w:p w:rsidR="003B2FC0" w:rsidRDefault="00052A49">
      <w:pPr>
        <w:pStyle w:val="ListParagraph"/>
        <w:numPr>
          <w:ilvl w:val="1"/>
          <w:numId w:val="13"/>
        </w:numPr>
        <w:tabs>
          <w:tab w:val="left" w:pos="1262"/>
        </w:tabs>
        <w:spacing w:line="480" w:lineRule="auto"/>
        <w:ind w:right="458"/>
        <w:jc w:val="both"/>
        <w:rPr>
          <w:rFonts w:ascii="Bookman Old Style" w:hAnsi="Bookman Old Style"/>
          <w:sz w:val="24"/>
        </w:rPr>
      </w:pPr>
      <w:r>
        <w:rPr>
          <w:rFonts w:ascii="Bookman Old Style" w:hAnsi="Bookman Old Style"/>
          <w:sz w:val="24"/>
        </w:rPr>
        <w:t>Article 25(2)(b)</w:t>
      </w:r>
      <w:r>
        <w:rPr>
          <w:rFonts w:ascii="Bookman Old Style" w:hAnsi="Bookman Old Style"/>
          <w:sz w:val="24"/>
        </w:rPr>
        <w:t xml:space="preserve"> declares that nothing in Article 25(1) shall prevent the State from making any law providing for social welfare and reform or the throwing open of Hindu religious institutions of a public character to all classes and sections of Hindus. The ‘throwing open</w:t>
      </w:r>
      <w:r>
        <w:rPr>
          <w:rFonts w:ascii="Bookman Old Style" w:hAnsi="Bookman Old Style"/>
          <w:sz w:val="24"/>
        </w:rPr>
        <w:t>’ to ‘all classes and sections of Hindus’ was intended to redress caste- based prejudices and injustices in</w:t>
      </w:r>
      <w:r>
        <w:rPr>
          <w:rFonts w:ascii="Bookman Old Style" w:hAnsi="Bookman Old Style"/>
          <w:spacing w:val="-4"/>
          <w:sz w:val="24"/>
        </w:rPr>
        <w:t xml:space="preserve"> </w:t>
      </w:r>
      <w:r>
        <w:rPr>
          <w:rFonts w:ascii="Bookman Old Style" w:hAnsi="Bookman Old Style"/>
          <w:sz w:val="24"/>
        </w:rPr>
        <w:t>society.</w:t>
      </w:r>
    </w:p>
    <w:p w:rsidR="003B2FC0" w:rsidRDefault="00052A49">
      <w:pPr>
        <w:spacing w:before="2" w:line="477" w:lineRule="auto"/>
        <w:ind w:left="1261" w:right="457" w:firstLine="415"/>
        <w:jc w:val="both"/>
        <w:rPr>
          <w:rFonts w:ascii="Bookman Old Style"/>
          <w:sz w:val="24"/>
        </w:rPr>
      </w:pPr>
      <w:r>
        <w:rPr>
          <w:rFonts w:ascii="Bookman Old Style"/>
          <w:sz w:val="24"/>
        </w:rPr>
        <w:t>Article 25(2)(b) cannot be interpreted to mean that customs and usages forming an essential part of the religion, are to be overridden.</w:t>
      </w:r>
    </w:p>
    <w:p w:rsidR="003B2FC0" w:rsidRDefault="00052A49">
      <w:pPr>
        <w:spacing w:before="5" w:line="480" w:lineRule="auto"/>
        <w:ind w:left="1261" w:right="454" w:firstLine="415"/>
        <w:jc w:val="both"/>
        <w:rPr>
          <w:rFonts w:ascii="Bookman Old Style"/>
          <w:sz w:val="24"/>
        </w:rPr>
      </w:pPr>
      <w:r>
        <w:rPr>
          <w:rFonts w:ascii="Bookman Old Style"/>
          <w:sz w:val="24"/>
        </w:rPr>
        <w:t>Article 25(2)(b) would have no application since there is no ban, but only a limited restriction during the notified period, based on faith, custom and belief, which has been observed since time immemorial.</w:t>
      </w:r>
    </w:p>
    <w:p w:rsidR="003B2FC0" w:rsidRDefault="00052A49">
      <w:pPr>
        <w:pStyle w:val="ListParagraph"/>
        <w:numPr>
          <w:ilvl w:val="1"/>
          <w:numId w:val="13"/>
        </w:numPr>
        <w:tabs>
          <w:tab w:val="left" w:pos="1262"/>
        </w:tabs>
        <w:spacing w:line="480" w:lineRule="auto"/>
        <w:ind w:right="458"/>
        <w:jc w:val="both"/>
        <w:rPr>
          <w:rFonts w:ascii="Bookman Old Style" w:hAnsi="Bookman Old Style"/>
          <w:sz w:val="24"/>
        </w:rPr>
      </w:pPr>
      <w:r>
        <w:rPr>
          <w:rFonts w:ascii="Bookman Old Style" w:hAnsi="Bookman Old Style"/>
          <w:sz w:val="24"/>
        </w:rPr>
        <w:t>The Respondents submitted that the plea of the Pe</w:t>
      </w:r>
      <w:r>
        <w:rPr>
          <w:rFonts w:ascii="Bookman Old Style" w:hAnsi="Bookman Old Style"/>
          <w:sz w:val="24"/>
        </w:rPr>
        <w:t>titioners with reference to Article 17, was wholly misconceived. The object and core of Article 17 was to prohibit untouchability based on ‘caste’ in the Hindu religion. No such caste-based or religion-based untouchability is practised at the Sabarimala</w:t>
      </w:r>
      <w:r>
        <w:rPr>
          <w:rFonts w:ascii="Bookman Old Style" w:hAnsi="Bookman Old Style"/>
          <w:spacing w:val="-4"/>
          <w:sz w:val="24"/>
        </w:rPr>
        <w:t xml:space="preserve"> </w:t>
      </w:r>
      <w:r>
        <w:rPr>
          <w:rFonts w:ascii="Bookman Old Style" w:hAnsi="Bookman Old Style"/>
          <w:sz w:val="24"/>
        </w:rPr>
        <w:t>Te</w:t>
      </w:r>
      <w:r>
        <w:rPr>
          <w:rFonts w:ascii="Bookman Old Style" w:hAnsi="Bookman Old Style"/>
          <w:sz w:val="24"/>
        </w:rPr>
        <w:t>mple.</w:t>
      </w:r>
    </w:p>
    <w:p w:rsidR="003B2FC0" w:rsidRDefault="00052A49">
      <w:pPr>
        <w:spacing w:line="480" w:lineRule="auto"/>
        <w:ind w:left="1261" w:right="456" w:firstLine="415"/>
        <w:jc w:val="both"/>
        <w:rPr>
          <w:rFonts w:ascii="Bookman Old Style"/>
          <w:sz w:val="24"/>
        </w:rPr>
      </w:pPr>
      <w:r>
        <w:rPr>
          <w:rFonts w:ascii="Bookman Old Style"/>
          <w:sz w:val="24"/>
        </w:rPr>
        <w:t>The customs practised by the devotees at the Sabarimala Temple do not flow from any practise associated with untouchability under Article 17. The custom is not based on any alleged impurity or disability. Hence, the contention was liable to be reject</w:t>
      </w:r>
      <w:r>
        <w:rPr>
          <w:rFonts w:ascii="Bookman Old Style"/>
          <w:sz w:val="24"/>
        </w:rPr>
        <w:t>ed.</w:t>
      </w:r>
    </w:p>
    <w:p w:rsidR="003B2FC0" w:rsidRDefault="003B2FC0">
      <w:pPr>
        <w:spacing w:line="480" w:lineRule="auto"/>
        <w:jc w:val="both"/>
        <w:rPr>
          <w:rFonts w:ascii="Bookman Old Style"/>
          <w:sz w:val="24"/>
        </w:rPr>
        <w:sectPr w:rsidR="003B2FC0">
          <w:headerReference w:type="default" r:id="rId435"/>
          <w:footerReference w:type="default" r:id="rId436"/>
          <w:pgSz w:w="11910" w:h="16840"/>
          <w:pgMar w:top="1340" w:right="980" w:bottom="1220" w:left="1040" w:header="0" w:footer="1033" w:gutter="0"/>
          <w:pgNumType w:start="21"/>
          <w:cols w:space="720"/>
        </w:sectPr>
      </w:pPr>
    </w:p>
    <w:p w:rsidR="003B2FC0" w:rsidRDefault="003B2FC0">
      <w:pPr>
        <w:pStyle w:val="BodyText"/>
        <w:rPr>
          <w:sz w:val="26"/>
        </w:rPr>
      </w:pPr>
    </w:p>
    <w:p w:rsidR="003B2FC0" w:rsidRDefault="00052A49">
      <w:pPr>
        <w:pStyle w:val="ListParagraph"/>
        <w:numPr>
          <w:ilvl w:val="0"/>
          <w:numId w:val="13"/>
        </w:numPr>
        <w:tabs>
          <w:tab w:val="left" w:pos="543"/>
        </w:tabs>
        <w:spacing w:before="100"/>
        <w:jc w:val="left"/>
        <w:rPr>
          <w:rFonts w:ascii="Bookman Old Style"/>
          <w:sz w:val="19"/>
        </w:rPr>
      </w:pPr>
      <w:r>
        <w:rPr>
          <w:rFonts w:ascii="Bookman Old Style"/>
          <w:sz w:val="24"/>
          <w:u w:val="single"/>
        </w:rPr>
        <w:t>D</w:t>
      </w:r>
      <w:r>
        <w:rPr>
          <w:rFonts w:ascii="Bookman Old Style"/>
          <w:sz w:val="19"/>
          <w:u w:val="single"/>
        </w:rPr>
        <w:t>ISCUSSION AND</w:t>
      </w:r>
      <w:r>
        <w:rPr>
          <w:rFonts w:ascii="Bookman Old Style"/>
          <w:spacing w:val="-5"/>
          <w:sz w:val="19"/>
          <w:u w:val="single"/>
        </w:rPr>
        <w:t xml:space="preserve"> </w:t>
      </w:r>
      <w:r>
        <w:rPr>
          <w:rFonts w:ascii="Bookman Old Style"/>
          <w:sz w:val="24"/>
          <w:u w:val="single"/>
        </w:rPr>
        <w:t>A</w:t>
      </w:r>
      <w:r>
        <w:rPr>
          <w:rFonts w:ascii="Bookman Old Style"/>
          <w:sz w:val="19"/>
          <w:u w:val="single"/>
        </w:rPr>
        <w:t>NALYSIS</w:t>
      </w:r>
    </w:p>
    <w:p w:rsidR="003B2FC0" w:rsidRDefault="003B2FC0">
      <w:pPr>
        <w:pStyle w:val="BodyText"/>
        <w:spacing w:before="3"/>
        <w:rPr>
          <w:sz w:val="29"/>
        </w:rPr>
      </w:pPr>
    </w:p>
    <w:p w:rsidR="003B2FC0" w:rsidRDefault="00052A49">
      <w:pPr>
        <w:spacing w:before="99" w:line="477" w:lineRule="auto"/>
        <w:ind w:left="542" w:right="434" w:firstLine="424"/>
        <w:rPr>
          <w:rFonts w:ascii="Bookman Old Style"/>
          <w:sz w:val="24"/>
        </w:rPr>
      </w:pPr>
      <w:r>
        <w:rPr>
          <w:rFonts w:ascii="Bookman Old Style"/>
          <w:sz w:val="24"/>
        </w:rPr>
        <w:t>We have heard the arguments of the Counsel representing various parties, and perused the pleadings and written submissions filed by them.</w:t>
      </w:r>
    </w:p>
    <w:p w:rsidR="003B2FC0" w:rsidRDefault="00052A49">
      <w:pPr>
        <w:pStyle w:val="ListParagraph"/>
        <w:numPr>
          <w:ilvl w:val="1"/>
          <w:numId w:val="12"/>
        </w:numPr>
        <w:tabs>
          <w:tab w:val="left" w:pos="1253"/>
        </w:tabs>
        <w:spacing w:before="166" w:line="480" w:lineRule="auto"/>
        <w:ind w:right="453"/>
        <w:rPr>
          <w:rFonts w:ascii="Bookman Old Style"/>
          <w:sz w:val="24"/>
        </w:rPr>
      </w:pPr>
      <w:r>
        <w:rPr>
          <w:rFonts w:ascii="Bookman Old Style"/>
          <w:sz w:val="24"/>
        </w:rPr>
        <w:t>The issues raised in the present Writ Petition have far-reaching ramifications and implications, not only for the Sabarimala Temple in Kerala, but for all places of worship of various religions in this country, which have their own beliefs, practises, cust</w:t>
      </w:r>
      <w:r>
        <w:rPr>
          <w:rFonts w:ascii="Bookman Old Style"/>
          <w:sz w:val="24"/>
        </w:rPr>
        <w:t>oms and usages, which may be considered to be exclusionary in nature. In a secular polity, issues which are matters of deep religious faith and sentiment, must not ordinarily be interfered with by</w:t>
      </w:r>
      <w:r>
        <w:rPr>
          <w:rFonts w:ascii="Bookman Old Style"/>
          <w:spacing w:val="-10"/>
          <w:sz w:val="24"/>
        </w:rPr>
        <w:t xml:space="preserve"> </w:t>
      </w:r>
      <w:r>
        <w:rPr>
          <w:rFonts w:ascii="Bookman Old Style"/>
          <w:sz w:val="24"/>
        </w:rPr>
        <w:t>Courts.</w:t>
      </w:r>
    </w:p>
    <w:p w:rsidR="003B2FC0" w:rsidRDefault="00052A49">
      <w:pPr>
        <w:pStyle w:val="ListParagraph"/>
        <w:numPr>
          <w:ilvl w:val="1"/>
          <w:numId w:val="12"/>
        </w:numPr>
        <w:tabs>
          <w:tab w:val="left" w:pos="1253"/>
        </w:tabs>
        <w:spacing w:before="2" w:line="480" w:lineRule="auto"/>
        <w:ind w:right="453"/>
        <w:rPr>
          <w:rFonts w:ascii="Bookman Old Style"/>
          <w:sz w:val="24"/>
        </w:rPr>
      </w:pPr>
      <w:r>
        <w:rPr>
          <w:rFonts w:ascii="Bookman Old Style"/>
          <w:sz w:val="24"/>
        </w:rPr>
        <w:t>In the past, the Courts, in the context of Hindu te</w:t>
      </w:r>
      <w:r>
        <w:rPr>
          <w:rFonts w:ascii="Bookman Old Style"/>
          <w:sz w:val="24"/>
        </w:rPr>
        <w:t xml:space="preserve">mples, have been asked to identify the limits of State action under Articles 25 and 26 on the administration, control and management of the affairs of temples, including the appointment of </w:t>
      </w:r>
      <w:r>
        <w:rPr>
          <w:rFonts w:ascii="Bookman Old Style"/>
          <w:i/>
          <w:sz w:val="24"/>
        </w:rPr>
        <w:t>archakas</w:t>
      </w:r>
      <w:r>
        <w:rPr>
          <w:rFonts w:ascii="Bookman Old Style"/>
          <w:sz w:val="24"/>
        </w:rPr>
        <w:t xml:space="preserve">. For instance, in the case of </w:t>
      </w:r>
      <w:r>
        <w:rPr>
          <w:rFonts w:ascii="Bookman Old Style"/>
          <w:i/>
          <w:sz w:val="24"/>
        </w:rPr>
        <w:t>Adi Saiva Sivachariyargal Na</w:t>
      </w:r>
      <w:r>
        <w:rPr>
          <w:rFonts w:ascii="Bookman Old Style"/>
          <w:i/>
          <w:sz w:val="24"/>
        </w:rPr>
        <w:t xml:space="preserve">la Sangam &amp; Ors. </w:t>
      </w:r>
      <w:r>
        <w:rPr>
          <w:rFonts w:ascii="Bookman Old Style"/>
          <w:sz w:val="24"/>
        </w:rPr>
        <w:t xml:space="preserve">v. </w:t>
      </w:r>
      <w:r>
        <w:rPr>
          <w:rFonts w:ascii="Bookman Old Style"/>
          <w:i/>
          <w:sz w:val="24"/>
        </w:rPr>
        <w:t>Government of Tamil Nadu &amp; Anr.</w:t>
      </w:r>
      <w:r>
        <w:rPr>
          <w:rFonts w:ascii="Bookman Old Style"/>
          <w:position w:val="6"/>
          <w:sz w:val="16"/>
        </w:rPr>
        <w:t>16</w:t>
      </w:r>
      <w:r>
        <w:rPr>
          <w:rFonts w:ascii="Bookman Old Style"/>
          <w:sz w:val="24"/>
        </w:rPr>
        <w:t xml:space="preserve">, this Court was asked to consider the issue of appointment of </w:t>
      </w:r>
      <w:r>
        <w:rPr>
          <w:rFonts w:ascii="Bookman Old Style"/>
          <w:i/>
          <w:sz w:val="24"/>
        </w:rPr>
        <w:t xml:space="preserve">archakas </w:t>
      </w:r>
      <w:r>
        <w:rPr>
          <w:rFonts w:ascii="Bookman Old Style"/>
          <w:sz w:val="24"/>
        </w:rPr>
        <w:t xml:space="preserve">in Writ Petitions filed by an association of </w:t>
      </w:r>
      <w:r>
        <w:rPr>
          <w:rFonts w:ascii="Bookman Old Style"/>
          <w:i/>
          <w:sz w:val="24"/>
        </w:rPr>
        <w:t xml:space="preserve">archakas </w:t>
      </w:r>
      <w:r>
        <w:rPr>
          <w:rFonts w:ascii="Bookman Old Style"/>
          <w:sz w:val="24"/>
        </w:rPr>
        <w:t xml:space="preserve">and individual </w:t>
      </w:r>
      <w:r>
        <w:rPr>
          <w:rFonts w:ascii="Bookman Old Style"/>
          <w:i/>
          <w:sz w:val="24"/>
        </w:rPr>
        <w:t xml:space="preserve">archakas </w:t>
      </w:r>
      <w:r>
        <w:rPr>
          <w:rFonts w:ascii="Bookman Old Style"/>
          <w:sz w:val="24"/>
        </w:rPr>
        <w:t>of Sri Meenakshi Amman Temple of</w:t>
      </w:r>
      <w:r>
        <w:rPr>
          <w:rFonts w:ascii="Bookman Old Style"/>
          <w:spacing w:val="-1"/>
          <w:sz w:val="24"/>
        </w:rPr>
        <w:t xml:space="preserve"> </w:t>
      </w:r>
      <w:r>
        <w:rPr>
          <w:rFonts w:ascii="Bookman Old Style"/>
          <w:sz w:val="24"/>
        </w:rPr>
        <w:t>Madurai.</w:t>
      </w:r>
    </w:p>
    <w:p w:rsidR="003B2FC0" w:rsidRDefault="00052A49">
      <w:pPr>
        <w:spacing w:line="480" w:lineRule="auto"/>
        <w:ind w:left="1252" w:right="453" w:firstLine="424"/>
        <w:jc w:val="both"/>
        <w:rPr>
          <w:rFonts w:ascii="Bookman Old Style"/>
          <w:sz w:val="24"/>
        </w:rPr>
      </w:pPr>
      <w:r>
        <w:rPr>
          <w:rFonts w:ascii="Bookman Old Style"/>
          <w:sz w:val="24"/>
        </w:rPr>
        <w:t>The present</w:t>
      </w:r>
      <w:r>
        <w:rPr>
          <w:rFonts w:ascii="Bookman Old Style"/>
          <w:sz w:val="24"/>
        </w:rPr>
        <w:t xml:space="preserve"> case is a PIL filed by an association of lawyers, who have invoked the writ jurisdiction of this Court to review certain practises being followed by the Sabarimala Temple on the grounds</w:t>
      </w:r>
      <w:r>
        <w:rPr>
          <w:rFonts w:ascii="Bookman Old Style"/>
          <w:spacing w:val="55"/>
          <w:sz w:val="24"/>
        </w:rPr>
        <w:t xml:space="preserve"> </w:t>
      </w:r>
      <w:r>
        <w:rPr>
          <w:rFonts w:ascii="Bookman Old Style"/>
          <w:sz w:val="24"/>
        </w:rPr>
        <w:t>of</w:t>
      </w:r>
    </w:p>
    <w:p w:rsidR="003B2FC0" w:rsidRDefault="003B2FC0">
      <w:pPr>
        <w:pStyle w:val="BodyText"/>
        <w:spacing w:before="5"/>
        <w:rPr>
          <w:sz w:val="24"/>
        </w:rPr>
      </w:pPr>
      <w:r w:rsidRPr="003B2FC0">
        <w:pict>
          <v:line id="_x0000_s1052" style="position:absolute;z-index:251661824;mso-wrap-distance-left:0;mso-wrap-distance-right:0;mso-position-horizontal-relative:page" from="1in,16.7pt" to="216.05pt,16.7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16 </w:t>
      </w:r>
      <w:r>
        <w:rPr>
          <w:rFonts w:ascii="Bookman Old Style"/>
          <w:sz w:val="20"/>
        </w:rPr>
        <w:t>(2016) 2 SCC 725</w:t>
      </w:r>
    </w:p>
    <w:p w:rsidR="003B2FC0" w:rsidRDefault="003B2FC0">
      <w:pPr>
        <w:rPr>
          <w:rFonts w:ascii="Bookman Old Style"/>
          <w:sz w:val="20"/>
        </w:rPr>
        <w:sectPr w:rsidR="003B2FC0">
          <w:headerReference w:type="default" r:id="rId437"/>
          <w:footerReference w:type="default" r:id="rId438"/>
          <w:pgSz w:w="11910" w:h="16840"/>
          <w:pgMar w:top="1580" w:right="980" w:bottom="1220" w:left="1040" w:header="0" w:footer="1033" w:gutter="0"/>
          <w:pgNumType w:start="22"/>
          <w:cols w:space="720"/>
        </w:sectPr>
      </w:pPr>
    </w:p>
    <w:p w:rsidR="003B2FC0" w:rsidRDefault="00052A49">
      <w:pPr>
        <w:spacing w:before="83" w:line="480" w:lineRule="auto"/>
        <w:ind w:left="1252" w:right="554"/>
        <w:rPr>
          <w:rFonts w:ascii="Bookman Old Style"/>
          <w:sz w:val="24"/>
        </w:rPr>
      </w:pPr>
      <w:r>
        <w:rPr>
          <w:rFonts w:ascii="Bookman Old Style"/>
          <w:sz w:val="24"/>
        </w:rPr>
        <w:t>gender discrimination against women during the age-band of 10 to 50</w:t>
      </w:r>
      <w:r>
        <w:rPr>
          <w:rFonts w:ascii="Bookman Old Style"/>
          <w:spacing w:val="-2"/>
          <w:sz w:val="24"/>
        </w:rPr>
        <w:t xml:space="preserve"> </w:t>
      </w:r>
      <w:r>
        <w:rPr>
          <w:rFonts w:ascii="Bookman Old Style"/>
          <w:sz w:val="24"/>
        </w:rPr>
        <w:t>years.</w:t>
      </w:r>
    </w:p>
    <w:p w:rsidR="003B2FC0" w:rsidRDefault="003B2FC0">
      <w:pPr>
        <w:pStyle w:val="BodyText"/>
      </w:pPr>
    </w:p>
    <w:p w:rsidR="003B2FC0" w:rsidRDefault="00052A49">
      <w:pPr>
        <w:pStyle w:val="ListParagraph"/>
        <w:numPr>
          <w:ilvl w:val="0"/>
          <w:numId w:val="13"/>
        </w:numPr>
        <w:tabs>
          <w:tab w:val="left" w:pos="543"/>
        </w:tabs>
        <w:spacing w:before="234"/>
        <w:jc w:val="left"/>
        <w:rPr>
          <w:rFonts w:ascii="Bookman Old Style"/>
          <w:sz w:val="19"/>
        </w:rPr>
      </w:pPr>
      <w:r>
        <w:rPr>
          <w:rFonts w:ascii="Bookman Old Style"/>
          <w:sz w:val="24"/>
          <w:u w:val="single"/>
        </w:rPr>
        <w:t>M</w:t>
      </w:r>
      <w:r>
        <w:rPr>
          <w:rFonts w:ascii="Bookman Old Style"/>
          <w:sz w:val="19"/>
          <w:u w:val="single"/>
        </w:rPr>
        <w:t xml:space="preserve">AINTAINABILITY </w:t>
      </w:r>
      <w:r>
        <w:rPr>
          <w:rFonts w:ascii="Bookman Old Style"/>
          <w:sz w:val="24"/>
          <w:u w:val="single"/>
        </w:rPr>
        <w:t>&amp;</w:t>
      </w:r>
      <w:r>
        <w:rPr>
          <w:rFonts w:ascii="Bookman Old Style"/>
          <w:spacing w:val="-17"/>
          <w:sz w:val="24"/>
          <w:u w:val="single"/>
        </w:rPr>
        <w:t xml:space="preserve"> </w:t>
      </w:r>
      <w:r>
        <w:rPr>
          <w:rFonts w:ascii="Bookman Old Style"/>
          <w:sz w:val="24"/>
          <w:u w:val="single"/>
        </w:rPr>
        <w:t>J</w:t>
      </w:r>
      <w:r>
        <w:rPr>
          <w:rFonts w:ascii="Bookman Old Style"/>
          <w:sz w:val="19"/>
          <w:u w:val="single"/>
        </w:rPr>
        <w:t>USTICIABILITY</w:t>
      </w:r>
    </w:p>
    <w:p w:rsidR="003B2FC0" w:rsidRDefault="003B2FC0">
      <w:pPr>
        <w:pStyle w:val="BodyText"/>
        <w:spacing w:before="7"/>
        <w:rPr>
          <w:sz w:val="15"/>
        </w:rPr>
      </w:pPr>
    </w:p>
    <w:p w:rsidR="003B2FC0" w:rsidRDefault="00052A49">
      <w:pPr>
        <w:pStyle w:val="ListParagraph"/>
        <w:numPr>
          <w:ilvl w:val="1"/>
          <w:numId w:val="11"/>
        </w:numPr>
        <w:tabs>
          <w:tab w:val="left" w:pos="1253"/>
        </w:tabs>
        <w:spacing w:before="100" w:line="480" w:lineRule="auto"/>
        <w:ind w:right="453"/>
        <w:rPr>
          <w:rFonts w:ascii="Bookman Old Style"/>
          <w:sz w:val="24"/>
        </w:rPr>
      </w:pPr>
      <w:r>
        <w:rPr>
          <w:rFonts w:ascii="Bookman Old Style"/>
          <w:sz w:val="24"/>
        </w:rPr>
        <w:t>Article 25 of the Constitution guarantees to all persons the freedom of conscience, and the right freely to profess, practise and propagate religion. This is however subject to public order, morality and health, and to the other provisions of Part III of t</w:t>
      </w:r>
      <w:r>
        <w:rPr>
          <w:rFonts w:ascii="Bookman Old Style"/>
          <w:sz w:val="24"/>
        </w:rPr>
        <w:t>he</w:t>
      </w:r>
      <w:r>
        <w:rPr>
          <w:rFonts w:ascii="Bookman Old Style"/>
          <w:spacing w:val="-10"/>
          <w:sz w:val="24"/>
        </w:rPr>
        <w:t xml:space="preserve"> </w:t>
      </w:r>
      <w:r>
        <w:rPr>
          <w:rFonts w:ascii="Bookman Old Style"/>
          <w:sz w:val="24"/>
        </w:rPr>
        <w:t>Constitution.</w:t>
      </w:r>
    </w:p>
    <w:p w:rsidR="003B2FC0" w:rsidRDefault="00052A49">
      <w:pPr>
        <w:pStyle w:val="ListParagraph"/>
        <w:numPr>
          <w:ilvl w:val="1"/>
          <w:numId w:val="11"/>
        </w:numPr>
        <w:tabs>
          <w:tab w:val="left" w:pos="1253"/>
        </w:tabs>
        <w:spacing w:line="480" w:lineRule="auto"/>
        <w:ind w:right="453"/>
        <w:rPr>
          <w:rFonts w:ascii="Bookman Old Style" w:hAnsi="Bookman Old Style"/>
          <w:sz w:val="24"/>
        </w:rPr>
      </w:pPr>
      <w:r>
        <w:rPr>
          <w:rFonts w:ascii="Bookman Old Style" w:hAnsi="Bookman Old Style"/>
          <w:sz w:val="24"/>
        </w:rPr>
        <w:t>The right to move the Supreme Court under Article 32 for violation of Fundamental Rights, must be based on a pleading that the Petitioners’ personal rights to worship in this Temple have been violated. The Petitioners do not claim to be de</w:t>
      </w:r>
      <w:r>
        <w:rPr>
          <w:rFonts w:ascii="Bookman Old Style" w:hAnsi="Bookman Old Style"/>
          <w:sz w:val="24"/>
        </w:rPr>
        <w:t>votees of the Sabarimala Temple where Lord Ayyappa is believed to have manifested himself as a ‘</w:t>
      </w:r>
      <w:r>
        <w:rPr>
          <w:rFonts w:ascii="Bookman Old Style" w:hAnsi="Bookman Old Style"/>
          <w:i/>
          <w:sz w:val="24"/>
        </w:rPr>
        <w:t>Naishtik Brahmachari</w:t>
      </w:r>
      <w:r>
        <w:rPr>
          <w:rFonts w:ascii="Bookman Old Style" w:hAnsi="Bookman Old Style"/>
          <w:sz w:val="24"/>
        </w:rPr>
        <w:t>’</w:t>
      </w:r>
      <w:r>
        <w:rPr>
          <w:rFonts w:ascii="Bookman Old Style" w:hAnsi="Bookman Old Style"/>
          <w:i/>
          <w:sz w:val="24"/>
        </w:rPr>
        <w:t xml:space="preserve">. </w:t>
      </w:r>
      <w:r>
        <w:rPr>
          <w:rFonts w:ascii="Bookman Old Style" w:hAnsi="Bookman Old Style"/>
          <w:sz w:val="24"/>
        </w:rPr>
        <w:t xml:space="preserve">To determine the validity of long-standing religious customs and usages of a sect, at the instance of an association/Intervenors who are </w:t>
      </w:r>
      <w:r>
        <w:rPr>
          <w:rFonts w:ascii="Bookman Old Style" w:hAnsi="Bookman Old Style"/>
          <w:sz w:val="24"/>
        </w:rPr>
        <w:t>“</w:t>
      </w:r>
      <w:r>
        <w:rPr>
          <w:rFonts w:ascii="Bookman Old Style" w:hAnsi="Bookman Old Style"/>
          <w:i/>
          <w:sz w:val="24"/>
        </w:rPr>
        <w:t xml:space="preserve">involved in social developmental activities especially activities related to upliftment </w:t>
      </w:r>
      <w:r>
        <w:rPr>
          <w:rFonts w:ascii="Bookman Old Style" w:hAnsi="Bookman Old Style"/>
          <w:i/>
          <w:spacing w:val="-3"/>
          <w:sz w:val="24"/>
        </w:rPr>
        <w:t xml:space="preserve">of </w:t>
      </w:r>
      <w:r>
        <w:rPr>
          <w:rFonts w:ascii="Bookman Old Style" w:hAnsi="Bookman Old Style"/>
          <w:i/>
          <w:sz w:val="24"/>
        </w:rPr>
        <w:t>women and helping them become aware of their rights</w:t>
      </w:r>
      <w:r>
        <w:rPr>
          <w:rFonts w:ascii="Bookman Old Style" w:hAnsi="Bookman Old Style"/>
          <w:sz w:val="24"/>
        </w:rPr>
        <w:t>”</w:t>
      </w:r>
      <w:r>
        <w:rPr>
          <w:rFonts w:ascii="Bookman Old Style" w:hAnsi="Bookman Old Style"/>
          <w:position w:val="6"/>
          <w:sz w:val="16"/>
        </w:rPr>
        <w:t>17</w:t>
      </w:r>
      <w:r>
        <w:rPr>
          <w:rFonts w:ascii="Bookman Old Style" w:hAnsi="Bookman Old Style"/>
          <w:sz w:val="24"/>
        </w:rPr>
        <w:t>, would require this Court to decide religious questions at the behest of persons who do not subscribe to this</w:t>
      </w:r>
      <w:r>
        <w:rPr>
          <w:rFonts w:ascii="Bookman Old Style" w:hAnsi="Bookman Old Style"/>
          <w:spacing w:val="-4"/>
          <w:sz w:val="24"/>
        </w:rPr>
        <w:t xml:space="preserve"> </w:t>
      </w:r>
      <w:r>
        <w:rPr>
          <w:rFonts w:ascii="Bookman Old Style" w:hAnsi="Bookman Old Style"/>
          <w:sz w:val="24"/>
        </w:rPr>
        <w:t>faith.</w:t>
      </w:r>
    </w:p>
    <w:p w:rsidR="003B2FC0" w:rsidRDefault="00052A49">
      <w:pPr>
        <w:spacing w:before="2" w:line="480" w:lineRule="auto"/>
        <w:ind w:left="1252" w:right="457" w:firstLine="424"/>
        <w:jc w:val="both"/>
        <w:rPr>
          <w:rFonts w:ascii="Bookman Old Style"/>
          <w:sz w:val="24"/>
        </w:rPr>
      </w:pPr>
      <w:r>
        <w:rPr>
          <w:rFonts w:ascii="Bookman Old Style"/>
          <w:sz w:val="24"/>
        </w:rPr>
        <w:t>The right to worship, claimed by the Petitioners has to be predicated on the basis of affirmation of a belief in the particular manifestation of the deity in this Temple.</w:t>
      </w:r>
    </w:p>
    <w:p w:rsidR="003B2FC0" w:rsidRDefault="003B2FC0">
      <w:pPr>
        <w:pStyle w:val="BodyText"/>
        <w:rPr>
          <w:sz w:val="20"/>
        </w:rPr>
      </w:pPr>
    </w:p>
    <w:p w:rsidR="003B2FC0" w:rsidRDefault="003B2FC0">
      <w:pPr>
        <w:pStyle w:val="BodyText"/>
        <w:rPr>
          <w:sz w:val="20"/>
        </w:rPr>
      </w:pPr>
    </w:p>
    <w:p w:rsidR="003B2FC0" w:rsidRDefault="003B2FC0">
      <w:pPr>
        <w:pStyle w:val="BodyText"/>
        <w:spacing w:before="8"/>
        <w:rPr>
          <w:sz w:val="11"/>
        </w:rPr>
      </w:pPr>
      <w:r w:rsidRPr="003B2FC0">
        <w:pict>
          <v:line id="_x0000_s1051" style="position:absolute;z-index:251662848;mso-wrap-distance-left:0;mso-wrap-distance-right:0;mso-position-horizontal-relative:page" from="1in,9.2pt" to="216.05pt,9.2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17 </w:t>
      </w:r>
      <w:r>
        <w:rPr>
          <w:rFonts w:ascii="Bookman Old Style"/>
          <w:sz w:val="20"/>
        </w:rPr>
        <w:t>Paragraph 2 of the Writ Petition.</w:t>
      </w:r>
    </w:p>
    <w:p w:rsidR="003B2FC0" w:rsidRDefault="003B2FC0">
      <w:pPr>
        <w:rPr>
          <w:rFonts w:ascii="Bookman Old Style"/>
          <w:sz w:val="20"/>
        </w:rPr>
        <w:sectPr w:rsidR="003B2FC0">
          <w:headerReference w:type="default" r:id="rId439"/>
          <w:footerReference w:type="default" r:id="rId440"/>
          <w:pgSz w:w="11910" w:h="16840"/>
          <w:pgMar w:top="1340" w:right="980" w:bottom="1220" w:left="1040" w:header="0" w:footer="1033" w:gutter="0"/>
          <w:pgNumType w:start="23"/>
          <w:cols w:space="720"/>
        </w:sectPr>
      </w:pPr>
    </w:p>
    <w:p w:rsidR="003B2FC0" w:rsidRDefault="00052A49">
      <w:pPr>
        <w:pStyle w:val="ListParagraph"/>
        <w:numPr>
          <w:ilvl w:val="1"/>
          <w:numId w:val="11"/>
        </w:numPr>
        <w:tabs>
          <w:tab w:val="left" w:pos="1253"/>
        </w:tabs>
        <w:spacing w:before="83" w:line="480" w:lineRule="auto"/>
        <w:ind w:right="453"/>
        <w:rPr>
          <w:rFonts w:ascii="Bookman Old Style"/>
          <w:sz w:val="24"/>
        </w:rPr>
      </w:pPr>
      <w:r>
        <w:rPr>
          <w:rFonts w:ascii="Bookman Old Style"/>
          <w:sz w:val="24"/>
        </w:rPr>
        <w:t>The absence of this bare minimum requirement must not be viewed as a mere technicality, but an essential requirement to maintain a challenge for impugning practises of any religious sect, or denomination. Permitting PILs in religi</w:t>
      </w:r>
      <w:r>
        <w:rPr>
          <w:rFonts w:ascii="Bookman Old Style"/>
          <w:sz w:val="24"/>
        </w:rPr>
        <w:t>ous matters would open the floodgates to interlopers to question religious beliefs and practises, even if the petitioner is not a believer of a particular religion, or a worshipper of a particular shrine. The perils are even graver</w:t>
      </w:r>
      <w:r>
        <w:rPr>
          <w:rFonts w:ascii="Bookman Old Style"/>
          <w:spacing w:val="25"/>
          <w:sz w:val="24"/>
        </w:rPr>
        <w:t xml:space="preserve"> </w:t>
      </w:r>
      <w:r>
        <w:rPr>
          <w:rFonts w:ascii="Bookman Old Style"/>
          <w:sz w:val="24"/>
        </w:rPr>
        <w:t>for religious minorities if such petitions are</w:t>
      </w:r>
      <w:r>
        <w:rPr>
          <w:rFonts w:ascii="Bookman Old Style"/>
          <w:spacing w:val="-4"/>
          <w:sz w:val="24"/>
        </w:rPr>
        <w:t xml:space="preserve"> </w:t>
      </w:r>
      <w:r>
        <w:rPr>
          <w:rFonts w:ascii="Bookman Old Style"/>
          <w:sz w:val="24"/>
        </w:rPr>
        <w:t>entertained.</w:t>
      </w:r>
    </w:p>
    <w:p w:rsidR="003B2FC0" w:rsidRDefault="00052A49">
      <w:pPr>
        <w:spacing w:before="1" w:line="480" w:lineRule="auto"/>
        <w:ind w:left="1252" w:right="456" w:firstLine="424"/>
        <w:jc w:val="both"/>
        <w:rPr>
          <w:rFonts w:ascii="Bookman Old Style"/>
          <w:sz w:val="16"/>
        </w:rPr>
      </w:pPr>
      <w:r>
        <w:rPr>
          <w:rFonts w:ascii="Bookman Old Style"/>
          <w:sz w:val="24"/>
        </w:rPr>
        <w:t>Dr. A.M. Singhvi, Senior Advocate appeared on behalf of the Travancore Devaswom Board, and submitted an illustrative list of various religious institutions where restrictions on the entry of both men and women exist on the basis of religious beliefs and pr</w:t>
      </w:r>
      <w:r>
        <w:rPr>
          <w:rFonts w:ascii="Bookman Old Style"/>
          <w:sz w:val="24"/>
        </w:rPr>
        <w:t>actises being followed since time immemorial.</w:t>
      </w:r>
      <w:r>
        <w:rPr>
          <w:rFonts w:ascii="Bookman Old Style"/>
          <w:position w:val="6"/>
          <w:sz w:val="16"/>
        </w:rPr>
        <w:t>18</w:t>
      </w:r>
    </w:p>
    <w:p w:rsidR="003B2FC0" w:rsidRDefault="00052A49">
      <w:pPr>
        <w:pStyle w:val="ListParagraph"/>
        <w:numPr>
          <w:ilvl w:val="1"/>
          <w:numId w:val="11"/>
        </w:numPr>
        <w:tabs>
          <w:tab w:val="left" w:pos="1253"/>
        </w:tabs>
        <w:spacing w:before="1" w:line="480" w:lineRule="auto"/>
        <w:ind w:right="454"/>
        <w:rPr>
          <w:rFonts w:ascii="Bookman Old Style"/>
          <w:sz w:val="24"/>
        </w:rPr>
      </w:pPr>
      <w:r>
        <w:rPr>
          <w:rFonts w:ascii="Bookman Old Style"/>
          <w:sz w:val="24"/>
        </w:rPr>
        <w:t>In matters of religion and religious practises, Article 14 can be invoked only by persons who are similarly situated, that is, persons belonging to the same faith, creed, or sect. The Petitioners do not state</w:t>
      </w:r>
      <w:r>
        <w:rPr>
          <w:rFonts w:ascii="Bookman Old Style"/>
          <w:sz w:val="24"/>
        </w:rPr>
        <w:t xml:space="preserve"> that they are devotees of Lord Ayyappa, who are aggrieved by the practises followed in the Sabarimala Temple. The right to equality under Article 14 in matters of religion and religious beliefs has to be viewed</w:t>
      </w:r>
      <w:r>
        <w:rPr>
          <w:rFonts w:ascii="Bookman Old Style"/>
          <w:spacing w:val="13"/>
          <w:sz w:val="24"/>
        </w:rPr>
        <w:t xml:space="preserve"> </w:t>
      </w:r>
      <w:r>
        <w:rPr>
          <w:rFonts w:ascii="Bookman Old Style"/>
          <w:sz w:val="24"/>
        </w:rPr>
        <w:t>differently.</w:t>
      </w:r>
      <w:r>
        <w:rPr>
          <w:rFonts w:ascii="Bookman Old Style"/>
          <w:spacing w:val="13"/>
          <w:sz w:val="24"/>
        </w:rPr>
        <w:t xml:space="preserve"> </w:t>
      </w:r>
      <w:r>
        <w:rPr>
          <w:rFonts w:ascii="Bookman Old Style"/>
          <w:sz w:val="24"/>
        </w:rPr>
        <w:t>It</w:t>
      </w:r>
      <w:r>
        <w:rPr>
          <w:rFonts w:ascii="Bookman Old Style"/>
          <w:spacing w:val="11"/>
          <w:sz w:val="24"/>
        </w:rPr>
        <w:t xml:space="preserve"> </w:t>
      </w:r>
      <w:r>
        <w:rPr>
          <w:rFonts w:ascii="Bookman Old Style"/>
          <w:sz w:val="24"/>
        </w:rPr>
        <w:t>has</w:t>
      </w:r>
      <w:r>
        <w:rPr>
          <w:rFonts w:ascii="Bookman Old Style"/>
          <w:spacing w:val="14"/>
          <w:sz w:val="24"/>
        </w:rPr>
        <w:t xml:space="preserve"> </w:t>
      </w:r>
      <w:r>
        <w:rPr>
          <w:rFonts w:ascii="Bookman Old Style"/>
          <w:sz w:val="24"/>
        </w:rPr>
        <w:t>to</w:t>
      </w:r>
      <w:r>
        <w:rPr>
          <w:rFonts w:ascii="Bookman Old Style"/>
          <w:spacing w:val="13"/>
          <w:sz w:val="24"/>
        </w:rPr>
        <w:t xml:space="preserve"> </w:t>
      </w:r>
      <w:r>
        <w:rPr>
          <w:rFonts w:ascii="Bookman Old Style"/>
          <w:sz w:val="24"/>
        </w:rPr>
        <w:t>be</w:t>
      </w:r>
      <w:r>
        <w:rPr>
          <w:rFonts w:ascii="Bookman Old Style"/>
          <w:spacing w:val="13"/>
          <w:sz w:val="24"/>
        </w:rPr>
        <w:t xml:space="preserve"> </w:t>
      </w:r>
      <w:r>
        <w:rPr>
          <w:rFonts w:ascii="Bookman Old Style"/>
          <w:sz w:val="24"/>
        </w:rPr>
        <w:t>adjudged</w:t>
      </w:r>
      <w:r>
        <w:rPr>
          <w:rFonts w:ascii="Bookman Old Style"/>
          <w:spacing w:val="15"/>
          <w:sz w:val="24"/>
        </w:rPr>
        <w:t xml:space="preserve"> </w:t>
      </w:r>
      <w:r>
        <w:rPr>
          <w:rFonts w:ascii="Bookman Old Style"/>
          <w:sz w:val="24"/>
        </w:rPr>
        <w:t>amongst</w:t>
      </w:r>
      <w:r>
        <w:rPr>
          <w:rFonts w:ascii="Bookman Old Style"/>
          <w:spacing w:val="14"/>
          <w:sz w:val="24"/>
        </w:rPr>
        <w:t xml:space="preserve"> </w:t>
      </w:r>
      <w:r>
        <w:rPr>
          <w:rFonts w:ascii="Bookman Old Style"/>
          <w:sz w:val="24"/>
        </w:rPr>
        <w:t>t</w:t>
      </w:r>
      <w:r>
        <w:rPr>
          <w:rFonts w:ascii="Bookman Old Style"/>
          <w:sz w:val="24"/>
        </w:rPr>
        <w:t>he</w:t>
      </w:r>
      <w:r>
        <w:rPr>
          <w:rFonts w:ascii="Bookman Old Style"/>
          <w:spacing w:val="13"/>
          <w:sz w:val="24"/>
        </w:rPr>
        <w:t xml:space="preserve"> </w:t>
      </w:r>
      <w:r>
        <w:rPr>
          <w:rFonts w:ascii="Bookman Old Style"/>
          <w:sz w:val="24"/>
        </w:rPr>
        <w:t>worshippers</w:t>
      </w:r>
      <w:r>
        <w:rPr>
          <w:rFonts w:ascii="Bookman Old Style"/>
          <w:spacing w:val="13"/>
          <w:sz w:val="24"/>
        </w:rPr>
        <w:t xml:space="preserve"> </w:t>
      </w:r>
      <w:r>
        <w:rPr>
          <w:rFonts w:ascii="Bookman Old Style"/>
          <w:sz w:val="24"/>
        </w:rPr>
        <w:t>of</w:t>
      </w:r>
    </w:p>
    <w:p w:rsidR="003B2FC0" w:rsidRDefault="003B2FC0">
      <w:pPr>
        <w:pStyle w:val="BodyText"/>
        <w:spacing w:before="9"/>
        <w:rPr>
          <w:sz w:val="15"/>
        </w:rPr>
      </w:pPr>
      <w:r w:rsidRPr="003B2FC0">
        <w:pict>
          <v:line id="_x0000_s1050" style="position:absolute;z-index:251663872;mso-wrap-distance-left:0;mso-wrap-distance-right:0;mso-position-horizontal-relative:page" from="1in,11.65pt" to="216.05pt,11.65pt" strokeweight=".72pt">
            <w10:wrap type="topAndBottom" anchorx="page"/>
          </v:line>
        </w:pict>
      </w:r>
    </w:p>
    <w:p w:rsidR="003B2FC0" w:rsidRDefault="00052A49">
      <w:pPr>
        <w:spacing w:before="69"/>
        <w:ind w:left="400" w:right="458"/>
        <w:jc w:val="both"/>
        <w:rPr>
          <w:rFonts w:ascii="Bookman Old Style"/>
          <w:sz w:val="20"/>
        </w:rPr>
      </w:pPr>
      <w:r>
        <w:rPr>
          <w:rFonts w:ascii="Bookman Old Style"/>
          <w:position w:val="5"/>
          <w:sz w:val="13"/>
        </w:rPr>
        <w:t xml:space="preserve">18 </w:t>
      </w:r>
      <w:r>
        <w:rPr>
          <w:rFonts w:ascii="Bookman Old Style"/>
          <w:sz w:val="20"/>
        </w:rPr>
        <w:t>Annexure C-8 in the Non-Case Law Convenience Compilation submitted by Dr. A.M. Singhvi, Senior Advocate enlists places of worship where women are not allowed. This list includes the Nizamuddin Dargah in New Delhi, Lord Kartikeya Temp</w:t>
      </w:r>
      <w:r>
        <w:rPr>
          <w:rFonts w:ascii="Bookman Old Style"/>
          <w:sz w:val="20"/>
        </w:rPr>
        <w:t>le in Pehowa, Haryana and Pushkar, Rajasthan; Bhavani Deeksha Mandapam in Vijaywada; Patbausi Satra in Assam; Mangala Chandi Temple in Bokaro, Jharkhand.</w:t>
      </w:r>
    </w:p>
    <w:p w:rsidR="003B2FC0" w:rsidRDefault="00052A49">
      <w:pPr>
        <w:spacing w:before="2"/>
        <w:ind w:left="400" w:right="462"/>
        <w:jc w:val="both"/>
        <w:rPr>
          <w:rFonts w:ascii="Bookman Old Style"/>
          <w:sz w:val="20"/>
        </w:rPr>
      </w:pPr>
      <w:r>
        <w:rPr>
          <w:rFonts w:ascii="Bookman Old Style"/>
          <w:sz w:val="20"/>
        </w:rPr>
        <w:t>Annexure C-7 in the Non-Case Law Convenience Compilation submitted by Dr. A.M. Singhvi, Senior Advocat</w:t>
      </w:r>
      <w:r>
        <w:rPr>
          <w:rFonts w:ascii="Bookman Old Style"/>
          <w:sz w:val="20"/>
        </w:rPr>
        <w:t xml:space="preserve">e enlists places of worship where women are not allowed. This list includes the Temple of Lord Brahma in Pushkar, Rajasthan; the Bhagati Maa Temple in Kanya Kumari, Kerala; the Attukal Bhagavathy Temple in Kerala; the Chakkulathukavu Temple in Kerala; and </w:t>
      </w:r>
      <w:r>
        <w:rPr>
          <w:rFonts w:ascii="Bookman Old Style"/>
          <w:sz w:val="20"/>
        </w:rPr>
        <w:t>the Mata Temple in Muzaffarpur, Bihar.</w:t>
      </w:r>
    </w:p>
    <w:p w:rsidR="003B2FC0" w:rsidRDefault="003B2FC0">
      <w:pPr>
        <w:jc w:val="both"/>
        <w:rPr>
          <w:rFonts w:ascii="Bookman Old Style"/>
          <w:sz w:val="20"/>
        </w:rPr>
        <w:sectPr w:rsidR="003B2FC0">
          <w:headerReference w:type="default" r:id="rId441"/>
          <w:footerReference w:type="default" r:id="rId442"/>
          <w:pgSz w:w="11910" w:h="16840"/>
          <w:pgMar w:top="1340" w:right="980" w:bottom="1220" w:left="1040" w:header="0" w:footer="1033" w:gutter="0"/>
          <w:pgNumType w:start="24"/>
          <w:cols w:space="720"/>
        </w:sectPr>
      </w:pPr>
    </w:p>
    <w:p w:rsidR="003B2FC0" w:rsidRDefault="00052A49">
      <w:pPr>
        <w:spacing w:before="83" w:line="480" w:lineRule="auto"/>
        <w:ind w:left="1252"/>
        <w:rPr>
          <w:rFonts w:ascii="Bookman Old Style"/>
          <w:sz w:val="24"/>
        </w:rPr>
      </w:pPr>
      <w:r>
        <w:rPr>
          <w:rFonts w:ascii="Bookman Old Style"/>
          <w:sz w:val="24"/>
        </w:rPr>
        <w:t>a particular religion or shrine, who are aggrieved by certain practises which are found to be oppressive or pernicious.</w:t>
      </w:r>
    </w:p>
    <w:p w:rsidR="003B2FC0" w:rsidRDefault="00052A49">
      <w:pPr>
        <w:pStyle w:val="ListParagraph"/>
        <w:numPr>
          <w:ilvl w:val="1"/>
          <w:numId w:val="11"/>
        </w:numPr>
        <w:tabs>
          <w:tab w:val="left" w:pos="1253"/>
        </w:tabs>
        <w:spacing w:before="2" w:line="480" w:lineRule="auto"/>
        <w:ind w:right="455"/>
        <w:rPr>
          <w:rFonts w:ascii="Bookman Old Style"/>
          <w:sz w:val="24"/>
        </w:rPr>
      </w:pPr>
      <w:r>
        <w:rPr>
          <w:rFonts w:ascii="Bookman Old Style"/>
          <w:sz w:val="24"/>
        </w:rPr>
        <w:t>Article 25(1) confers on every individual the right to freely profess, practise and propagate his or her religion.</w:t>
      </w:r>
      <w:r>
        <w:rPr>
          <w:rFonts w:ascii="Bookman Old Style"/>
          <w:position w:val="6"/>
          <w:sz w:val="16"/>
        </w:rPr>
        <w:t xml:space="preserve">19 </w:t>
      </w:r>
      <w:r>
        <w:rPr>
          <w:rFonts w:ascii="Bookman Old Style"/>
          <w:sz w:val="24"/>
        </w:rPr>
        <w:t>The right of an  individual to worship a specific manifestation of the deity, in accordance with the tenets of that faith or shrine, is pro</w:t>
      </w:r>
      <w:r>
        <w:rPr>
          <w:rFonts w:ascii="Bookman Old Style"/>
          <w:sz w:val="24"/>
        </w:rPr>
        <w:t>tected by Article 25(1) of the Constitution. If a person claims to have faith in a certain deity, the same has to be articulated in accordance with the tenets of that</w:t>
      </w:r>
      <w:r>
        <w:rPr>
          <w:rFonts w:ascii="Bookman Old Style"/>
          <w:spacing w:val="-1"/>
          <w:sz w:val="24"/>
        </w:rPr>
        <w:t xml:space="preserve"> </w:t>
      </w:r>
      <w:r>
        <w:rPr>
          <w:rFonts w:ascii="Bookman Old Style"/>
          <w:sz w:val="24"/>
        </w:rPr>
        <w:t>faith.</w:t>
      </w:r>
    </w:p>
    <w:p w:rsidR="003B2FC0" w:rsidRDefault="00052A49">
      <w:pPr>
        <w:spacing w:line="480" w:lineRule="auto"/>
        <w:ind w:left="1252" w:right="453" w:firstLine="424"/>
        <w:jc w:val="both"/>
        <w:rPr>
          <w:rFonts w:ascii="Bookman Old Style" w:hAnsi="Bookman Old Style"/>
          <w:sz w:val="24"/>
        </w:rPr>
      </w:pPr>
      <w:r>
        <w:rPr>
          <w:rFonts w:ascii="Bookman Old Style" w:hAnsi="Bookman Old Style"/>
          <w:sz w:val="24"/>
        </w:rPr>
        <w:t>In the present case, the worshippers of this Temple believe in the manifestation of the deity as a ‘</w:t>
      </w:r>
      <w:r>
        <w:rPr>
          <w:rFonts w:ascii="Bookman Old Style" w:hAnsi="Bookman Old Style"/>
          <w:i/>
          <w:sz w:val="24"/>
        </w:rPr>
        <w:t>Naishtik Brahmachari</w:t>
      </w:r>
      <w:r>
        <w:rPr>
          <w:rFonts w:ascii="Bookman Old Style" w:hAnsi="Bookman Old Style"/>
          <w:sz w:val="24"/>
        </w:rPr>
        <w:t>’. The devotees of this Temple have not challenged the practises followed by this Temple, based on the essential characteristics of the</w:t>
      </w:r>
      <w:r>
        <w:rPr>
          <w:rFonts w:ascii="Bookman Old Style" w:hAnsi="Bookman Old Style"/>
          <w:spacing w:val="-6"/>
          <w:sz w:val="24"/>
        </w:rPr>
        <w:t xml:space="preserve"> </w:t>
      </w:r>
      <w:r>
        <w:rPr>
          <w:rFonts w:ascii="Bookman Old Style" w:hAnsi="Bookman Old Style"/>
          <w:sz w:val="24"/>
        </w:rPr>
        <w:t>deity.</w:t>
      </w:r>
    </w:p>
    <w:p w:rsidR="003B2FC0" w:rsidRDefault="00052A49">
      <w:pPr>
        <w:pStyle w:val="ListParagraph"/>
        <w:numPr>
          <w:ilvl w:val="1"/>
          <w:numId w:val="11"/>
        </w:numPr>
        <w:tabs>
          <w:tab w:val="left" w:pos="1253"/>
        </w:tabs>
        <w:spacing w:line="480" w:lineRule="auto"/>
        <w:ind w:right="453"/>
        <w:rPr>
          <w:rFonts w:ascii="Bookman Old Style" w:hAnsi="Bookman Old Style"/>
          <w:sz w:val="24"/>
        </w:rPr>
      </w:pPr>
      <w:r>
        <w:rPr>
          <w:rFonts w:ascii="Bookman Old Style" w:hAnsi="Bookman Old Style"/>
          <w:sz w:val="24"/>
        </w:rPr>
        <w:t>The right to practise one’s religion is a Fundamental Right guaranteed by Part III of the Constitution, without reference to whether religion or the religious practises are rational or not. Religious practises are Constitutionally protected under Ar</w:t>
      </w:r>
      <w:r>
        <w:rPr>
          <w:rFonts w:ascii="Bookman Old Style" w:hAnsi="Bookman Old Style"/>
          <w:sz w:val="24"/>
        </w:rPr>
        <w:t>ticles 25 and 26(b). Courts normally do not delve into issues of religious practises, especially in the absence of an aggrieved person from that particular religious faith, or</w:t>
      </w:r>
      <w:r>
        <w:rPr>
          <w:rFonts w:ascii="Bookman Old Style" w:hAnsi="Bookman Old Style"/>
          <w:spacing w:val="-2"/>
          <w:sz w:val="24"/>
        </w:rPr>
        <w:t xml:space="preserve"> </w:t>
      </w:r>
      <w:r>
        <w:rPr>
          <w:rFonts w:ascii="Bookman Old Style" w:hAnsi="Bookman Old Style"/>
          <w:sz w:val="24"/>
        </w:rPr>
        <w:t>sect.</w:t>
      </w:r>
    </w:p>
    <w:p w:rsidR="003B2FC0" w:rsidRDefault="00052A49">
      <w:pPr>
        <w:spacing w:line="480" w:lineRule="auto"/>
        <w:ind w:left="1252" w:right="456" w:firstLine="424"/>
        <w:jc w:val="both"/>
        <w:rPr>
          <w:rFonts w:ascii="Bookman Old Style"/>
          <w:sz w:val="24"/>
        </w:rPr>
      </w:pPr>
      <w:r>
        <w:rPr>
          <w:rFonts w:ascii="Bookman Old Style"/>
          <w:sz w:val="24"/>
        </w:rPr>
        <w:t xml:space="preserve">In </w:t>
      </w:r>
      <w:r>
        <w:rPr>
          <w:rFonts w:ascii="Bookman Old Style"/>
          <w:i/>
          <w:sz w:val="24"/>
        </w:rPr>
        <w:t xml:space="preserve">Hans Muller of Nurenburg </w:t>
      </w:r>
      <w:r>
        <w:rPr>
          <w:rFonts w:ascii="Bookman Old Style"/>
          <w:sz w:val="24"/>
        </w:rPr>
        <w:t xml:space="preserve">v. </w:t>
      </w:r>
      <w:r>
        <w:rPr>
          <w:rFonts w:ascii="Bookman Old Style"/>
          <w:i/>
          <w:sz w:val="24"/>
        </w:rPr>
        <w:t>Superintendent, Presidency Jail, Calcutta &amp;</w:t>
      </w:r>
      <w:r>
        <w:rPr>
          <w:rFonts w:ascii="Bookman Old Style"/>
          <w:i/>
          <w:sz w:val="24"/>
        </w:rPr>
        <w:t xml:space="preserve"> Ors.</w:t>
      </w:r>
      <w:r>
        <w:rPr>
          <w:rFonts w:ascii="Bookman Old Style"/>
          <w:position w:val="6"/>
          <w:sz w:val="16"/>
        </w:rPr>
        <w:t>20</w:t>
      </w:r>
      <w:r>
        <w:rPr>
          <w:rFonts w:ascii="Bookman Old Style"/>
          <w:i/>
          <w:sz w:val="24"/>
        </w:rPr>
        <w:t xml:space="preserve">, </w:t>
      </w:r>
      <w:r>
        <w:rPr>
          <w:rFonts w:ascii="Bookman Old Style"/>
          <w:sz w:val="24"/>
        </w:rPr>
        <w:t>this Court held that a person can impugn a particular law under Article 32 only if he is aggrieved by it.</w:t>
      </w:r>
    </w:p>
    <w:p w:rsidR="003B2FC0" w:rsidRDefault="003B2FC0">
      <w:pPr>
        <w:pStyle w:val="BodyText"/>
        <w:spacing w:before="7"/>
        <w:rPr>
          <w:sz w:val="11"/>
        </w:rPr>
      </w:pPr>
      <w:r w:rsidRPr="003B2FC0">
        <w:pict>
          <v:line id="_x0000_s1049" style="position:absolute;z-index:251664896;mso-wrap-distance-left:0;mso-wrap-distance-right:0;mso-position-horizontal-relative:page" from="1in,9.2pt" to="216.05pt,9.2pt" strokeweight=".72pt">
            <w10:wrap type="topAndBottom" anchorx="page"/>
          </v:line>
        </w:pict>
      </w:r>
    </w:p>
    <w:p w:rsidR="003B2FC0" w:rsidRDefault="00052A49">
      <w:pPr>
        <w:spacing w:before="72"/>
        <w:ind w:left="400" w:right="434"/>
        <w:rPr>
          <w:rFonts w:ascii="Bookman Old Style"/>
          <w:sz w:val="20"/>
        </w:rPr>
      </w:pPr>
      <w:r>
        <w:rPr>
          <w:rFonts w:ascii="Bookman Old Style"/>
          <w:position w:val="5"/>
          <w:sz w:val="13"/>
        </w:rPr>
        <w:t xml:space="preserve">19 </w:t>
      </w:r>
      <w:r>
        <w:rPr>
          <w:rFonts w:ascii="Bookman Old Style"/>
          <w:sz w:val="20"/>
        </w:rPr>
        <w:t xml:space="preserve">H.M. Seervai, </w:t>
      </w:r>
      <w:r>
        <w:rPr>
          <w:rFonts w:ascii="Bookman Old Style"/>
          <w:i/>
          <w:sz w:val="20"/>
        </w:rPr>
        <w:t xml:space="preserve">Constitutional Law of India : A Critical Commentary, </w:t>
      </w:r>
      <w:r>
        <w:rPr>
          <w:rFonts w:ascii="Bookman Old Style"/>
          <w:sz w:val="20"/>
        </w:rPr>
        <w:t>Vol. II (4</w:t>
      </w:r>
      <w:r>
        <w:rPr>
          <w:rFonts w:ascii="Bookman Old Style"/>
          <w:position w:val="5"/>
          <w:sz w:val="13"/>
        </w:rPr>
        <w:t xml:space="preserve">th </w:t>
      </w:r>
      <w:r>
        <w:rPr>
          <w:rFonts w:ascii="Bookman Old Style"/>
          <w:sz w:val="20"/>
        </w:rPr>
        <w:t>Ed., Reprint 1999), at Pg. 1274, para 12.35.</w:t>
      </w:r>
    </w:p>
    <w:p w:rsidR="003B2FC0" w:rsidRDefault="00052A49">
      <w:pPr>
        <w:spacing w:before="1"/>
        <w:ind w:left="400"/>
        <w:rPr>
          <w:rFonts w:ascii="Bookman Old Style"/>
          <w:sz w:val="20"/>
        </w:rPr>
      </w:pPr>
      <w:r>
        <w:rPr>
          <w:rFonts w:ascii="Bookman Old Style"/>
          <w:position w:val="5"/>
          <w:sz w:val="13"/>
        </w:rPr>
        <w:t xml:space="preserve">20 </w:t>
      </w:r>
      <w:r>
        <w:rPr>
          <w:rFonts w:ascii="Bookman Old Style"/>
          <w:sz w:val="20"/>
        </w:rPr>
        <w:t>(1955) 1 SCR 1284 : AIR 1955 SC 367.</w:t>
      </w:r>
    </w:p>
    <w:p w:rsidR="003B2FC0" w:rsidRDefault="003B2FC0">
      <w:pPr>
        <w:rPr>
          <w:rFonts w:ascii="Bookman Old Style"/>
          <w:sz w:val="20"/>
        </w:rPr>
        <w:sectPr w:rsidR="003B2FC0">
          <w:headerReference w:type="default" r:id="rId443"/>
          <w:footerReference w:type="default" r:id="rId444"/>
          <w:pgSz w:w="11910" w:h="16840"/>
          <w:pgMar w:top="1340" w:right="980" w:bottom="1220" w:left="1040" w:header="0" w:footer="1033" w:gutter="0"/>
          <w:pgNumType w:start="25"/>
          <w:cols w:space="720"/>
        </w:sectPr>
      </w:pPr>
    </w:p>
    <w:p w:rsidR="003B2FC0" w:rsidRDefault="00052A49">
      <w:pPr>
        <w:pStyle w:val="ListParagraph"/>
        <w:numPr>
          <w:ilvl w:val="1"/>
          <w:numId w:val="11"/>
        </w:numPr>
        <w:tabs>
          <w:tab w:val="left" w:pos="1253"/>
        </w:tabs>
        <w:spacing w:before="83" w:line="480" w:lineRule="auto"/>
        <w:ind w:right="457"/>
        <w:rPr>
          <w:rFonts w:ascii="Bookman Old Style"/>
          <w:sz w:val="24"/>
        </w:rPr>
      </w:pPr>
      <w:r>
        <w:rPr>
          <w:rFonts w:ascii="Bookman Old Style"/>
          <w:sz w:val="24"/>
        </w:rPr>
        <w:t>Precedents under Article 25 have arisen against State action, and not been rendered in a</w:t>
      </w:r>
      <w:r>
        <w:rPr>
          <w:rFonts w:ascii="Bookman Old Style"/>
          <w:spacing w:val="-2"/>
          <w:sz w:val="24"/>
        </w:rPr>
        <w:t xml:space="preserve"> </w:t>
      </w:r>
      <w:r>
        <w:rPr>
          <w:rFonts w:ascii="Bookman Old Style"/>
          <w:sz w:val="24"/>
        </w:rPr>
        <w:t>PIL.</w:t>
      </w:r>
    </w:p>
    <w:p w:rsidR="003B2FC0" w:rsidRDefault="00052A49">
      <w:pPr>
        <w:spacing w:before="2"/>
        <w:ind w:left="1677"/>
        <w:rPr>
          <w:rFonts w:ascii="Bookman Old Style"/>
          <w:sz w:val="24"/>
        </w:rPr>
      </w:pPr>
      <w:r>
        <w:rPr>
          <w:rFonts w:ascii="Bookman Old Style"/>
          <w:sz w:val="24"/>
        </w:rPr>
        <w:t>An illustrative list of such precedents is provided hereinbelow:</w:t>
      </w:r>
    </w:p>
    <w:p w:rsidR="003B2FC0" w:rsidRDefault="003B2FC0">
      <w:pPr>
        <w:pStyle w:val="BodyText"/>
        <w:spacing w:before="9"/>
        <w:rPr>
          <w:sz w:val="23"/>
        </w:rPr>
      </w:pPr>
    </w:p>
    <w:p w:rsidR="003B2FC0" w:rsidRDefault="00052A49">
      <w:pPr>
        <w:pStyle w:val="ListParagraph"/>
        <w:numPr>
          <w:ilvl w:val="2"/>
          <w:numId w:val="11"/>
        </w:numPr>
        <w:tabs>
          <w:tab w:val="left" w:pos="1819"/>
        </w:tabs>
        <w:spacing w:line="480" w:lineRule="auto"/>
        <w:ind w:right="451" w:hanging="424"/>
        <w:jc w:val="both"/>
        <w:rPr>
          <w:rFonts w:ascii="Bookman Old Style"/>
          <w:sz w:val="24"/>
        </w:rPr>
      </w:pPr>
      <w:r>
        <w:rPr>
          <w:rFonts w:ascii="Bookman Old Style"/>
          <w:sz w:val="24"/>
        </w:rPr>
        <w:t xml:space="preserve">In </w:t>
      </w:r>
      <w:r>
        <w:rPr>
          <w:rFonts w:ascii="Bookman Old Style"/>
          <w:i/>
          <w:sz w:val="24"/>
        </w:rPr>
        <w:t xml:space="preserve">Commissioner, Hindu Religious Endowments, Madras </w:t>
      </w:r>
      <w:r>
        <w:rPr>
          <w:rFonts w:ascii="Bookman Old Style"/>
          <w:sz w:val="24"/>
        </w:rPr>
        <w:t xml:space="preserve">v. </w:t>
      </w:r>
      <w:r>
        <w:rPr>
          <w:rFonts w:ascii="Bookman Old Style"/>
          <w:i/>
          <w:sz w:val="24"/>
        </w:rPr>
        <w:t xml:space="preserve">Shri Lakshimdra Thirtha Swamiar of Sri Shirur Mutt </w:t>
      </w:r>
      <w:r>
        <w:rPr>
          <w:rFonts w:ascii="Bookman Old Style"/>
          <w:sz w:val="24"/>
        </w:rPr>
        <w:t xml:space="preserve">(supra), this Court had interpreted Articles 25 and 26 at the instance of the </w:t>
      </w:r>
      <w:r>
        <w:rPr>
          <w:rFonts w:ascii="Bookman Old Style"/>
          <w:i/>
          <w:sz w:val="24"/>
        </w:rPr>
        <w:t xml:space="preserve">Mathadhipati </w:t>
      </w:r>
      <w:r>
        <w:rPr>
          <w:rFonts w:ascii="Bookman Old Style"/>
          <w:sz w:val="24"/>
        </w:rPr>
        <w:t>or superior of the Shirur Mutt who was in-charge of managing i</w:t>
      </w:r>
      <w:r>
        <w:rPr>
          <w:rFonts w:ascii="Bookman Old Style"/>
          <w:sz w:val="24"/>
        </w:rPr>
        <w:t xml:space="preserve">ts affairs. The </w:t>
      </w:r>
      <w:r>
        <w:rPr>
          <w:rFonts w:ascii="Bookman Old Style"/>
          <w:i/>
          <w:sz w:val="24"/>
        </w:rPr>
        <w:t xml:space="preserve">Mathadhipati </w:t>
      </w:r>
      <w:r>
        <w:rPr>
          <w:rFonts w:ascii="Bookman Old Style"/>
          <w:sz w:val="24"/>
        </w:rPr>
        <w:t>was aggrieved by actions taken by the Hindu Religious Endowments Board, which he claimed were violative of Articles 25 and</w:t>
      </w:r>
      <w:r>
        <w:rPr>
          <w:rFonts w:ascii="Bookman Old Style"/>
          <w:spacing w:val="-7"/>
          <w:sz w:val="24"/>
        </w:rPr>
        <w:t xml:space="preserve"> </w:t>
      </w:r>
      <w:r>
        <w:rPr>
          <w:rFonts w:ascii="Bookman Old Style"/>
          <w:sz w:val="24"/>
        </w:rPr>
        <w:t>26.</w:t>
      </w:r>
    </w:p>
    <w:p w:rsidR="003B2FC0" w:rsidRDefault="00052A49">
      <w:pPr>
        <w:pStyle w:val="ListParagraph"/>
        <w:numPr>
          <w:ilvl w:val="2"/>
          <w:numId w:val="11"/>
        </w:numPr>
        <w:tabs>
          <w:tab w:val="left" w:pos="1819"/>
        </w:tabs>
        <w:spacing w:before="2" w:line="480" w:lineRule="auto"/>
        <w:ind w:right="453" w:hanging="424"/>
        <w:jc w:val="both"/>
        <w:rPr>
          <w:rFonts w:ascii="Bookman Old Style"/>
          <w:sz w:val="24"/>
        </w:rPr>
      </w:pPr>
      <w:r>
        <w:rPr>
          <w:rFonts w:ascii="Bookman Old Style"/>
          <w:sz w:val="24"/>
        </w:rPr>
        <w:t xml:space="preserve">In </w:t>
      </w:r>
      <w:r>
        <w:rPr>
          <w:rFonts w:ascii="Bookman Old Style"/>
          <w:i/>
          <w:sz w:val="24"/>
        </w:rPr>
        <w:t xml:space="preserve">Sri Venkataramana Devaru &amp; Ors. </w:t>
      </w:r>
      <w:r>
        <w:rPr>
          <w:rFonts w:ascii="Bookman Old Style"/>
          <w:sz w:val="24"/>
        </w:rPr>
        <w:t xml:space="preserve">v. </w:t>
      </w:r>
      <w:r>
        <w:rPr>
          <w:rFonts w:ascii="Bookman Old Style"/>
          <w:i/>
          <w:sz w:val="24"/>
        </w:rPr>
        <w:t>State of Mysore &amp; Ors.</w:t>
      </w:r>
      <w:r>
        <w:rPr>
          <w:rFonts w:ascii="Bookman Old Style"/>
          <w:sz w:val="24"/>
        </w:rPr>
        <w:t>(supra), this Court dealt with the quest</w:t>
      </w:r>
      <w:r>
        <w:rPr>
          <w:rFonts w:ascii="Bookman Old Style"/>
          <w:sz w:val="24"/>
        </w:rPr>
        <w:t xml:space="preserve">ion whether the rights under Article 26(b) are subject to Article 25(2)(b), at the instance of the Temple of </w:t>
      </w:r>
      <w:r>
        <w:rPr>
          <w:rFonts w:ascii="Bookman Old Style"/>
          <w:i/>
          <w:sz w:val="24"/>
        </w:rPr>
        <w:t xml:space="preserve">Sri Venkataramana </w:t>
      </w:r>
      <w:r>
        <w:rPr>
          <w:rFonts w:ascii="Bookman Old Style"/>
          <w:sz w:val="24"/>
        </w:rPr>
        <w:t xml:space="preserve">and its trustees who belonged to the sect known as </w:t>
      </w:r>
      <w:r>
        <w:rPr>
          <w:rFonts w:ascii="Bookman Old Style"/>
          <w:i/>
          <w:sz w:val="24"/>
        </w:rPr>
        <w:t>Gowda  Saraswath Brahmins</w:t>
      </w:r>
      <w:r>
        <w:rPr>
          <w:rFonts w:ascii="Bookman Old Style"/>
          <w:sz w:val="24"/>
        </w:rPr>
        <w:t>.</w:t>
      </w:r>
    </w:p>
    <w:p w:rsidR="003B2FC0" w:rsidRDefault="00052A49">
      <w:pPr>
        <w:pStyle w:val="ListParagraph"/>
        <w:numPr>
          <w:ilvl w:val="2"/>
          <w:numId w:val="11"/>
        </w:numPr>
        <w:tabs>
          <w:tab w:val="left" w:pos="1819"/>
        </w:tabs>
        <w:spacing w:line="480" w:lineRule="auto"/>
        <w:ind w:right="453" w:hanging="424"/>
        <w:jc w:val="both"/>
        <w:rPr>
          <w:rFonts w:ascii="Bookman Old Style"/>
          <w:sz w:val="24"/>
        </w:rPr>
      </w:pPr>
      <w:r>
        <w:rPr>
          <w:rFonts w:ascii="Bookman Old Style"/>
          <w:sz w:val="24"/>
        </w:rPr>
        <w:t xml:space="preserve">In </w:t>
      </w:r>
      <w:r>
        <w:rPr>
          <w:rFonts w:ascii="Bookman Old Style"/>
          <w:i/>
          <w:sz w:val="24"/>
        </w:rPr>
        <w:t xml:space="preserve">Mahant Moti Das </w:t>
      </w:r>
      <w:r>
        <w:rPr>
          <w:rFonts w:ascii="Bookman Old Style"/>
          <w:sz w:val="24"/>
        </w:rPr>
        <w:t xml:space="preserve">v. </w:t>
      </w:r>
      <w:r>
        <w:rPr>
          <w:rFonts w:ascii="Bookman Old Style"/>
          <w:i/>
          <w:sz w:val="24"/>
        </w:rPr>
        <w:t xml:space="preserve">S.P. Sahi, The Special Officer </w:t>
      </w:r>
      <w:r>
        <w:rPr>
          <w:rFonts w:ascii="Bookman Old Style"/>
          <w:i/>
          <w:spacing w:val="-3"/>
          <w:sz w:val="24"/>
        </w:rPr>
        <w:t xml:space="preserve">In </w:t>
      </w:r>
      <w:r>
        <w:rPr>
          <w:rFonts w:ascii="Bookman Old Style"/>
          <w:i/>
          <w:sz w:val="24"/>
        </w:rPr>
        <w:t>Charge of Hindu Religious trust &amp; Ors.</w:t>
      </w:r>
      <w:r>
        <w:rPr>
          <w:rFonts w:ascii="Bookman Old Style"/>
          <w:position w:val="6"/>
          <w:sz w:val="16"/>
        </w:rPr>
        <w:t>21</w:t>
      </w:r>
      <w:r>
        <w:rPr>
          <w:rFonts w:ascii="Bookman Old Style"/>
          <w:sz w:val="24"/>
        </w:rPr>
        <w:t xml:space="preserve">, this Court considered the Constitutional validity of actions taken by the Bihar State Board of Religious Trusts under the Bihar Hindu Religious Trusts Act, 1950 as being violative </w:t>
      </w:r>
      <w:r>
        <w:rPr>
          <w:rFonts w:ascii="Bookman Old Style"/>
          <w:sz w:val="24"/>
        </w:rPr>
        <w:t xml:space="preserve">of the Fundamental Rights of </w:t>
      </w:r>
      <w:r>
        <w:rPr>
          <w:rFonts w:ascii="Bookman Old Style"/>
          <w:i/>
          <w:sz w:val="24"/>
        </w:rPr>
        <w:t xml:space="preserve">Mahants </w:t>
      </w:r>
      <w:r>
        <w:rPr>
          <w:rFonts w:ascii="Bookman Old Style"/>
          <w:sz w:val="24"/>
        </w:rPr>
        <w:t xml:space="preserve">of certain </w:t>
      </w:r>
      <w:r>
        <w:rPr>
          <w:rFonts w:ascii="Bookman Old Style"/>
          <w:i/>
          <w:sz w:val="24"/>
        </w:rPr>
        <w:t xml:space="preserve">Maths </w:t>
      </w:r>
      <w:r>
        <w:rPr>
          <w:rFonts w:ascii="Bookman Old Style"/>
          <w:sz w:val="24"/>
        </w:rPr>
        <w:t xml:space="preserve">or </w:t>
      </w:r>
      <w:r>
        <w:rPr>
          <w:rFonts w:ascii="Bookman Old Style"/>
          <w:i/>
          <w:sz w:val="24"/>
        </w:rPr>
        <w:t xml:space="preserve">Asthals </w:t>
      </w:r>
      <w:r>
        <w:rPr>
          <w:rFonts w:ascii="Bookman Old Style"/>
          <w:sz w:val="24"/>
        </w:rPr>
        <w:t xml:space="preserve">guaranteed, </w:t>
      </w:r>
      <w:r>
        <w:rPr>
          <w:rFonts w:ascii="Bookman Old Style"/>
          <w:i/>
          <w:sz w:val="24"/>
        </w:rPr>
        <w:t>inter alia</w:t>
      </w:r>
      <w:r>
        <w:rPr>
          <w:rFonts w:ascii="Bookman Old Style"/>
          <w:sz w:val="24"/>
        </w:rPr>
        <w:t>, under Articles 25 and</w:t>
      </w:r>
      <w:r>
        <w:rPr>
          <w:rFonts w:ascii="Bookman Old Style"/>
          <w:spacing w:val="-2"/>
          <w:sz w:val="24"/>
        </w:rPr>
        <w:t xml:space="preserve"> </w:t>
      </w:r>
      <w:r>
        <w:rPr>
          <w:rFonts w:ascii="Bookman Old Style"/>
          <w:sz w:val="24"/>
        </w:rPr>
        <w:t>26.</w:t>
      </w:r>
    </w:p>
    <w:p w:rsidR="003B2FC0" w:rsidRDefault="003B2FC0">
      <w:pPr>
        <w:pStyle w:val="BodyText"/>
        <w:rPr>
          <w:sz w:val="20"/>
        </w:rPr>
      </w:pPr>
    </w:p>
    <w:p w:rsidR="003B2FC0" w:rsidRDefault="003B2FC0">
      <w:pPr>
        <w:pStyle w:val="BodyText"/>
        <w:rPr>
          <w:sz w:val="20"/>
        </w:rPr>
      </w:pPr>
    </w:p>
    <w:p w:rsidR="003B2FC0" w:rsidRDefault="003B2FC0">
      <w:pPr>
        <w:pStyle w:val="BodyText"/>
        <w:spacing w:before="7"/>
        <w:rPr>
          <w:sz w:val="11"/>
        </w:rPr>
      </w:pPr>
      <w:r w:rsidRPr="003B2FC0">
        <w:pict>
          <v:line id="_x0000_s1048" style="position:absolute;z-index:251665920;mso-wrap-distance-left:0;mso-wrap-distance-right:0;mso-position-horizontal-relative:page" from="1in,9.15pt" to="216.05pt,9.1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21 </w:t>
      </w:r>
      <w:r>
        <w:rPr>
          <w:rFonts w:ascii="Bookman Old Style"/>
          <w:sz w:val="20"/>
        </w:rPr>
        <w:t>1959 Supp (2) SCR 563 : AIR 1959 SC 942</w:t>
      </w:r>
    </w:p>
    <w:p w:rsidR="003B2FC0" w:rsidRDefault="003B2FC0">
      <w:pPr>
        <w:rPr>
          <w:rFonts w:ascii="Bookman Old Style"/>
          <w:sz w:val="20"/>
        </w:rPr>
        <w:sectPr w:rsidR="003B2FC0">
          <w:headerReference w:type="default" r:id="rId445"/>
          <w:footerReference w:type="default" r:id="rId446"/>
          <w:pgSz w:w="11910" w:h="16840"/>
          <w:pgMar w:top="1340" w:right="980" w:bottom="1220" w:left="1040" w:header="0" w:footer="1033" w:gutter="0"/>
          <w:pgNumType w:start="26"/>
          <w:cols w:space="720"/>
        </w:sectPr>
      </w:pPr>
    </w:p>
    <w:p w:rsidR="003B2FC0" w:rsidRDefault="00052A49">
      <w:pPr>
        <w:pStyle w:val="ListParagraph"/>
        <w:numPr>
          <w:ilvl w:val="2"/>
          <w:numId w:val="11"/>
        </w:numPr>
        <w:tabs>
          <w:tab w:val="left" w:pos="1819"/>
        </w:tabs>
        <w:spacing w:before="83" w:line="480" w:lineRule="auto"/>
        <w:ind w:right="456" w:hanging="424"/>
        <w:jc w:val="both"/>
        <w:rPr>
          <w:rFonts w:ascii="Bookman Old Style"/>
          <w:sz w:val="24"/>
        </w:rPr>
      </w:pPr>
      <w:r>
        <w:rPr>
          <w:rFonts w:ascii="Bookman Old Style"/>
          <w:sz w:val="24"/>
        </w:rPr>
        <w:t xml:space="preserve">In </w:t>
      </w:r>
      <w:r>
        <w:rPr>
          <w:rFonts w:ascii="Bookman Old Style"/>
          <w:i/>
          <w:sz w:val="24"/>
        </w:rPr>
        <w:t xml:space="preserve">Durgah Committee, Ajmer &amp; Anr. </w:t>
      </w:r>
      <w:r>
        <w:rPr>
          <w:rFonts w:ascii="Bookman Old Style"/>
          <w:sz w:val="24"/>
        </w:rPr>
        <w:t xml:space="preserve">v. </w:t>
      </w:r>
      <w:r>
        <w:rPr>
          <w:rFonts w:ascii="Bookman Old Style"/>
          <w:i/>
          <w:sz w:val="24"/>
        </w:rPr>
        <w:t xml:space="preserve">Syed Hussain Ali &amp; Ors. </w:t>
      </w:r>
      <w:r>
        <w:rPr>
          <w:rFonts w:ascii="Bookman Old Style"/>
          <w:sz w:val="24"/>
        </w:rPr>
        <w:t xml:space="preserve">(supra), this Court was called upon to decide the Constitutionality of the Durgah Khwaja Saheb Act, 1955 in view of Articles 25 and 26, </w:t>
      </w:r>
      <w:r>
        <w:rPr>
          <w:rFonts w:ascii="Bookman Old Style"/>
          <w:i/>
          <w:sz w:val="24"/>
        </w:rPr>
        <w:t>inter alia</w:t>
      </w:r>
      <w:r>
        <w:rPr>
          <w:rFonts w:ascii="Bookman Old Style"/>
          <w:sz w:val="24"/>
        </w:rPr>
        <w:t xml:space="preserve">, at the instance of </w:t>
      </w:r>
      <w:r>
        <w:rPr>
          <w:rFonts w:ascii="Bookman Old Style"/>
          <w:i/>
          <w:sz w:val="24"/>
        </w:rPr>
        <w:t xml:space="preserve">Khadims </w:t>
      </w:r>
      <w:r>
        <w:rPr>
          <w:rFonts w:ascii="Bookman Old Style"/>
          <w:sz w:val="24"/>
        </w:rPr>
        <w:t xml:space="preserve">of the Tomb of </w:t>
      </w:r>
      <w:r>
        <w:rPr>
          <w:rFonts w:ascii="Bookman Old Style"/>
          <w:i/>
          <w:sz w:val="24"/>
        </w:rPr>
        <w:t xml:space="preserve">Khwaja Moin-ud-din Chisti </w:t>
      </w:r>
      <w:r>
        <w:rPr>
          <w:rFonts w:ascii="Bookman Old Style"/>
          <w:sz w:val="24"/>
        </w:rPr>
        <w:t xml:space="preserve">of Ajmer. The </w:t>
      </w:r>
      <w:r>
        <w:rPr>
          <w:rFonts w:ascii="Bookman Old Style"/>
          <w:i/>
          <w:sz w:val="24"/>
        </w:rPr>
        <w:t>Kh</w:t>
      </w:r>
      <w:r>
        <w:rPr>
          <w:rFonts w:ascii="Bookman Old Style"/>
          <w:i/>
          <w:sz w:val="24"/>
        </w:rPr>
        <w:t xml:space="preserve">adims </w:t>
      </w:r>
      <w:r>
        <w:rPr>
          <w:rFonts w:ascii="Bookman Old Style"/>
          <w:sz w:val="24"/>
        </w:rPr>
        <w:t xml:space="preserve">claimed to be a part of a religious denomination by the name of </w:t>
      </w:r>
      <w:r>
        <w:rPr>
          <w:rFonts w:ascii="Bookman Old Style"/>
          <w:i/>
          <w:sz w:val="24"/>
        </w:rPr>
        <w:t>Chishtia</w:t>
      </w:r>
      <w:r>
        <w:rPr>
          <w:rFonts w:ascii="Bookman Old Style"/>
          <w:i/>
          <w:spacing w:val="2"/>
          <w:sz w:val="24"/>
        </w:rPr>
        <w:t xml:space="preserve"> </w:t>
      </w:r>
      <w:r>
        <w:rPr>
          <w:rFonts w:ascii="Bookman Old Style"/>
          <w:i/>
          <w:sz w:val="24"/>
        </w:rPr>
        <w:t>Soofies</w:t>
      </w:r>
      <w:r>
        <w:rPr>
          <w:rFonts w:ascii="Bookman Old Style"/>
          <w:sz w:val="24"/>
        </w:rPr>
        <w:t>.</w:t>
      </w:r>
    </w:p>
    <w:p w:rsidR="003B2FC0" w:rsidRDefault="00052A49">
      <w:pPr>
        <w:pStyle w:val="ListParagraph"/>
        <w:numPr>
          <w:ilvl w:val="2"/>
          <w:numId w:val="11"/>
        </w:numPr>
        <w:tabs>
          <w:tab w:val="left" w:pos="1819"/>
        </w:tabs>
        <w:spacing w:before="2" w:line="480" w:lineRule="auto"/>
        <w:ind w:right="456" w:hanging="424"/>
        <w:jc w:val="both"/>
        <w:rPr>
          <w:rFonts w:ascii="Bookman Old Style"/>
          <w:sz w:val="24"/>
        </w:rPr>
      </w:pPr>
      <w:r>
        <w:rPr>
          <w:rFonts w:ascii="Bookman Old Style"/>
          <w:sz w:val="24"/>
        </w:rPr>
        <w:t xml:space="preserve">In </w:t>
      </w:r>
      <w:r>
        <w:rPr>
          <w:rFonts w:ascii="Bookman Old Style"/>
          <w:i/>
          <w:sz w:val="24"/>
        </w:rPr>
        <w:t xml:space="preserve">Sardar Syedna Taher Saifuddin Saheb </w:t>
      </w:r>
      <w:r>
        <w:rPr>
          <w:rFonts w:ascii="Bookman Old Style"/>
          <w:sz w:val="24"/>
        </w:rPr>
        <w:t xml:space="preserve">v. </w:t>
      </w:r>
      <w:r>
        <w:rPr>
          <w:rFonts w:ascii="Bookman Old Style"/>
          <w:i/>
          <w:sz w:val="24"/>
        </w:rPr>
        <w:t xml:space="preserve">State of Bombay </w:t>
      </w:r>
      <w:r>
        <w:rPr>
          <w:rFonts w:ascii="Bookman Old Style"/>
          <w:sz w:val="24"/>
        </w:rPr>
        <w:t xml:space="preserve">(supra), this Court was called upon to test the Constitutionality of the Bombay Prevention of Excommunication </w:t>
      </w:r>
      <w:r>
        <w:rPr>
          <w:rFonts w:ascii="Bookman Old Style"/>
          <w:sz w:val="24"/>
        </w:rPr>
        <w:t xml:space="preserve">Act, 1949 on the ground that it violated Fundamental Rights guaranteed under Articles 25 and 26 to the petitioner who was the </w:t>
      </w:r>
      <w:r>
        <w:rPr>
          <w:rFonts w:ascii="Bookman Old Style"/>
          <w:i/>
          <w:sz w:val="24"/>
        </w:rPr>
        <w:t xml:space="preserve">Dai-ul-Mutlaq </w:t>
      </w:r>
      <w:r>
        <w:rPr>
          <w:rFonts w:ascii="Bookman Old Style"/>
          <w:sz w:val="24"/>
        </w:rPr>
        <w:t xml:space="preserve">or Head Priest of the </w:t>
      </w:r>
      <w:r>
        <w:rPr>
          <w:rFonts w:ascii="Bookman Old Style"/>
          <w:i/>
          <w:sz w:val="24"/>
        </w:rPr>
        <w:t>Dawoodi Bohra</w:t>
      </w:r>
      <w:r>
        <w:rPr>
          <w:rFonts w:ascii="Bookman Old Style"/>
          <w:i/>
          <w:spacing w:val="-8"/>
          <w:sz w:val="24"/>
        </w:rPr>
        <w:t xml:space="preserve"> </w:t>
      </w:r>
      <w:r>
        <w:rPr>
          <w:rFonts w:ascii="Bookman Old Style"/>
          <w:sz w:val="24"/>
        </w:rPr>
        <w:t>Community.</w:t>
      </w:r>
    </w:p>
    <w:p w:rsidR="003B2FC0" w:rsidRDefault="003B2FC0">
      <w:pPr>
        <w:pStyle w:val="ListParagraph"/>
        <w:numPr>
          <w:ilvl w:val="2"/>
          <w:numId w:val="11"/>
        </w:numPr>
        <w:tabs>
          <w:tab w:val="left" w:pos="1819"/>
        </w:tabs>
        <w:spacing w:line="480" w:lineRule="auto"/>
        <w:ind w:right="453" w:hanging="424"/>
        <w:jc w:val="both"/>
        <w:rPr>
          <w:rFonts w:ascii="Bookman Old Style" w:hAnsi="Bookman Old Style"/>
          <w:sz w:val="24"/>
        </w:rPr>
      </w:pPr>
      <w:r w:rsidRPr="003B2FC0">
        <w:pict>
          <v:line id="_x0000_s1047" style="position:absolute;left:0;text-align:left;z-index:251666944;mso-wrap-distance-left:0;mso-wrap-distance-right:0;mso-position-horizontal-relative:page" from="1in,314.35pt" to="216.05pt,314.35pt" strokeweight=".72pt">
            <w10:wrap type="topAndBottom" anchorx="page"/>
          </v:line>
        </w:pict>
      </w:r>
      <w:r w:rsidR="00052A49">
        <w:rPr>
          <w:rFonts w:ascii="Bookman Old Style" w:hAnsi="Bookman Old Style"/>
          <w:sz w:val="24"/>
        </w:rPr>
        <w:t xml:space="preserve">In </w:t>
      </w:r>
      <w:r w:rsidR="00052A49">
        <w:rPr>
          <w:rFonts w:ascii="Bookman Old Style" w:hAnsi="Bookman Old Style"/>
          <w:i/>
          <w:sz w:val="24"/>
        </w:rPr>
        <w:t xml:space="preserve">Bijoe Emmanuel &amp; Ors. </w:t>
      </w:r>
      <w:r w:rsidR="00052A49">
        <w:rPr>
          <w:rFonts w:ascii="Bookman Old Style" w:hAnsi="Bookman Old Style"/>
          <w:sz w:val="24"/>
        </w:rPr>
        <w:t xml:space="preserve">v. </w:t>
      </w:r>
      <w:r w:rsidR="00052A49">
        <w:rPr>
          <w:rFonts w:ascii="Bookman Old Style" w:hAnsi="Bookman Old Style"/>
          <w:i/>
          <w:sz w:val="24"/>
        </w:rPr>
        <w:t>State of Kerala &amp; Ors.</w:t>
      </w:r>
      <w:r w:rsidR="00052A49">
        <w:rPr>
          <w:rFonts w:ascii="Bookman Old Style" w:hAnsi="Bookman Old Style"/>
          <w:position w:val="6"/>
          <w:sz w:val="16"/>
        </w:rPr>
        <w:t>22</w:t>
      </w:r>
      <w:r w:rsidR="00052A49">
        <w:rPr>
          <w:rFonts w:ascii="Bookman Old Style" w:hAnsi="Bookman Old Style"/>
          <w:sz w:val="24"/>
        </w:rPr>
        <w:t>, three children</w:t>
      </w:r>
      <w:r w:rsidR="00052A49">
        <w:rPr>
          <w:rFonts w:ascii="Bookman Old Style" w:hAnsi="Bookman Old Style"/>
          <w:sz w:val="24"/>
        </w:rPr>
        <w:t xml:space="preserve"> belonging to a sect of Christianity called Jehovah’s Witnesses had approached the Kerala High Court by way of Writ Petitions to challenge the action of the Headmistress of their school, who had expelled them for not singing the National Anthem during the </w:t>
      </w:r>
      <w:r w:rsidR="00052A49">
        <w:rPr>
          <w:rFonts w:ascii="Bookman Old Style" w:hAnsi="Bookman Old Style"/>
          <w:sz w:val="24"/>
        </w:rPr>
        <w:t>morning assembly. The children challenged the action of the authorities as being violative of their rights under Articles 19(1)(a) and Article 25. This Court held that the refusal to sing the National Anthem emanated from the genuine and conscientious reli</w:t>
      </w:r>
      <w:r w:rsidR="00052A49">
        <w:rPr>
          <w:rFonts w:ascii="Bookman Old Style" w:hAnsi="Bookman Old Style"/>
          <w:sz w:val="24"/>
        </w:rPr>
        <w:t>gious belief of the children, which was protected under Article</w:t>
      </w:r>
      <w:r w:rsidR="00052A49">
        <w:rPr>
          <w:rFonts w:ascii="Bookman Old Style" w:hAnsi="Bookman Old Style"/>
          <w:spacing w:val="-5"/>
          <w:sz w:val="24"/>
        </w:rPr>
        <w:t xml:space="preserve"> </w:t>
      </w:r>
      <w:r w:rsidR="00052A49">
        <w:rPr>
          <w:rFonts w:ascii="Bookman Old Style" w:hAnsi="Bookman Old Style"/>
          <w:sz w:val="24"/>
        </w:rPr>
        <w:t>25(1).</w:t>
      </w:r>
    </w:p>
    <w:p w:rsidR="003B2FC0" w:rsidRDefault="00052A49">
      <w:pPr>
        <w:spacing w:before="72"/>
        <w:ind w:left="400"/>
        <w:rPr>
          <w:rFonts w:ascii="Bookman Old Style"/>
          <w:sz w:val="20"/>
        </w:rPr>
      </w:pPr>
      <w:r>
        <w:rPr>
          <w:rFonts w:ascii="Bookman Old Style"/>
          <w:position w:val="5"/>
          <w:sz w:val="13"/>
        </w:rPr>
        <w:t xml:space="preserve">22 </w:t>
      </w:r>
      <w:r>
        <w:rPr>
          <w:rFonts w:ascii="Bookman Old Style"/>
          <w:sz w:val="20"/>
        </w:rPr>
        <w:t>(1986) 3 SCC 615</w:t>
      </w:r>
    </w:p>
    <w:p w:rsidR="003B2FC0" w:rsidRDefault="003B2FC0">
      <w:pPr>
        <w:rPr>
          <w:rFonts w:ascii="Bookman Old Style"/>
          <w:sz w:val="20"/>
        </w:rPr>
        <w:sectPr w:rsidR="003B2FC0">
          <w:headerReference w:type="default" r:id="rId447"/>
          <w:footerReference w:type="default" r:id="rId448"/>
          <w:pgSz w:w="11910" w:h="16840"/>
          <w:pgMar w:top="1340" w:right="980" w:bottom="1220" w:left="1040" w:header="0" w:footer="1033" w:gutter="0"/>
          <w:pgNumType w:start="27"/>
          <w:cols w:space="720"/>
        </w:sectPr>
      </w:pPr>
    </w:p>
    <w:p w:rsidR="003B2FC0" w:rsidRDefault="00052A49">
      <w:pPr>
        <w:spacing w:before="83" w:line="480" w:lineRule="auto"/>
        <w:ind w:left="1252" w:right="455" w:firstLine="424"/>
        <w:jc w:val="both"/>
        <w:rPr>
          <w:rFonts w:ascii="Bookman Old Style"/>
          <w:sz w:val="24"/>
        </w:rPr>
      </w:pPr>
      <w:r>
        <w:rPr>
          <w:rFonts w:ascii="Bookman Old Style"/>
          <w:sz w:val="24"/>
        </w:rPr>
        <w:t>In a pluralistic society comprising of people with diverse faiths, beliefs and traditions, to entertain PILs challenging religious practises followed by any group, sect or denomination, could cause serious damage to the Constitutional and secular fabric of</w:t>
      </w:r>
      <w:r>
        <w:rPr>
          <w:rFonts w:ascii="Bookman Old Style"/>
          <w:sz w:val="24"/>
        </w:rPr>
        <w:t xml:space="preserve"> this country.</w:t>
      </w:r>
    </w:p>
    <w:p w:rsidR="003B2FC0" w:rsidRDefault="003B2FC0">
      <w:pPr>
        <w:pStyle w:val="BodyText"/>
      </w:pPr>
    </w:p>
    <w:p w:rsidR="003B2FC0" w:rsidRDefault="00052A49">
      <w:pPr>
        <w:pStyle w:val="ListParagraph"/>
        <w:numPr>
          <w:ilvl w:val="0"/>
          <w:numId w:val="13"/>
        </w:numPr>
        <w:tabs>
          <w:tab w:val="left" w:pos="543"/>
        </w:tabs>
        <w:spacing w:before="237"/>
        <w:jc w:val="left"/>
        <w:rPr>
          <w:rFonts w:ascii="Bookman Old Style"/>
          <w:sz w:val="19"/>
        </w:rPr>
      </w:pPr>
      <w:r>
        <w:rPr>
          <w:rFonts w:ascii="Bookman Old Style"/>
          <w:sz w:val="24"/>
          <w:u w:val="single"/>
        </w:rPr>
        <w:t>A</w:t>
      </w:r>
      <w:r>
        <w:rPr>
          <w:rFonts w:ascii="Bookman Old Style"/>
          <w:sz w:val="19"/>
          <w:u w:val="single"/>
        </w:rPr>
        <w:t xml:space="preserve">PPLICABILITY OF </w:t>
      </w:r>
      <w:r>
        <w:rPr>
          <w:rFonts w:ascii="Bookman Old Style"/>
          <w:sz w:val="24"/>
          <w:u w:val="single"/>
        </w:rPr>
        <w:t>A</w:t>
      </w:r>
      <w:r>
        <w:rPr>
          <w:rFonts w:ascii="Bookman Old Style"/>
          <w:sz w:val="19"/>
          <w:u w:val="single"/>
        </w:rPr>
        <w:t xml:space="preserve">RTICLE </w:t>
      </w:r>
      <w:r>
        <w:rPr>
          <w:rFonts w:ascii="Bookman Old Style"/>
          <w:sz w:val="24"/>
          <w:u w:val="single"/>
        </w:rPr>
        <w:t xml:space="preserve">14 </w:t>
      </w:r>
      <w:r>
        <w:rPr>
          <w:rFonts w:ascii="Bookman Old Style"/>
          <w:sz w:val="19"/>
          <w:u w:val="single"/>
        </w:rPr>
        <w:t xml:space="preserve">IN </w:t>
      </w:r>
      <w:r>
        <w:rPr>
          <w:rFonts w:ascii="Bookman Old Style"/>
          <w:sz w:val="24"/>
          <w:u w:val="single"/>
        </w:rPr>
        <w:t>M</w:t>
      </w:r>
      <w:r>
        <w:rPr>
          <w:rFonts w:ascii="Bookman Old Style"/>
          <w:sz w:val="19"/>
          <w:u w:val="single"/>
        </w:rPr>
        <w:t xml:space="preserve">ATTERS OF </w:t>
      </w:r>
      <w:r>
        <w:rPr>
          <w:rFonts w:ascii="Bookman Old Style"/>
          <w:sz w:val="24"/>
          <w:u w:val="single"/>
        </w:rPr>
        <w:t>R</w:t>
      </w:r>
      <w:r>
        <w:rPr>
          <w:rFonts w:ascii="Bookman Old Style"/>
          <w:sz w:val="19"/>
          <w:u w:val="single"/>
        </w:rPr>
        <w:t xml:space="preserve">ELIGION AND </w:t>
      </w:r>
      <w:r>
        <w:rPr>
          <w:rFonts w:ascii="Bookman Old Style"/>
          <w:sz w:val="24"/>
          <w:u w:val="single"/>
        </w:rPr>
        <w:t>R</w:t>
      </w:r>
      <w:r>
        <w:rPr>
          <w:rFonts w:ascii="Bookman Old Style"/>
          <w:sz w:val="19"/>
          <w:u w:val="single"/>
        </w:rPr>
        <w:t>ELIGIOUS</w:t>
      </w:r>
      <w:r>
        <w:rPr>
          <w:rFonts w:ascii="Bookman Old Style"/>
          <w:spacing w:val="-36"/>
          <w:sz w:val="19"/>
          <w:u w:val="single"/>
        </w:rPr>
        <w:t xml:space="preserve"> </w:t>
      </w:r>
      <w:r>
        <w:rPr>
          <w:rFonts w:ascii="Bookman Old Style"/>
          <w:sz w:val="24"/>
          <w:u w:val="single"/>
        </w:rPr>
        <w:t>P</w:t>
      </w:r>
      <w:r>
        <w:rPr>
          <w:rFonts w:ascii="Bookman Old Style"/>
          <w:sz w:val="19"/>
          <w:u w:val="single"/>
        </w:rPr>
        <w:t>RACTISES</w:t>
      </w:r>
    </w:p>
    <w:p w:rsidR="003B2FC0" w:rsidRDefault="003B2FC0">
      <w:pPr>
        <w:pStyle w:val="BodyText"/>
        <w:spacing w:before="9"/>
        <w:rPr>
          <w:sz w:val="23"/>
        </w:rPr>
      </w:pPr>
    </w:p>
    <w:p w:rsidR="003B2FC0" w:rsidRDefault="00052A49">
      <w:pPr>
        <w:pStyle w:val="ListParagraph"/>
        <w:numPr>
          <w:ilvl w:val="1"/>
          <w:numId w:val="10"/>
        </w:numPr>
        <w:tabs>
          <w:tab w:val="left" w:pos="1253"/>
        </w:tabs>
        <w:spacing w:before="1" w:line="480" w:lineRule="auto"/>
        <w:ind w:right="453"/>
        <w:rPr>
          <w:rFonts w:ascii="Bookman Old Style"/>
          <w:sz w:val="24"/>
        </w:rPr>
      </w:pPr>
      <w:r>
        <w:rPr>
          <w:rFonts w:ascii="Bookman Old Style"/>
          <w:sz w:val="24"/>
        </w:rPr>
        <w:t xml:space="preserve">Religious customs and practises cannot be solely tested on the touchstone of Article 14 and the principles of rationality embedded therein. Article 25 specifically provides the equal entitlement of every individual to freely practise their religion. Equal </w:t>
      </w:r>
      <w:r>
        <w:rPr>
          <w:rFonts w:ascii="Bookman Old Style"/>
          <w:sz w:val="24"/>
        </w:rPr>
        <w:t>treatment under Article 25 is conditioned by the essential beliefs and practises of any religion. Equality in matters of religion must be viewed in the context of the worshippers of the same</w:t>
      </w:r>
      <w:r>
        <w:rPr>
          <w:rFonts w:ascii="Bookman Old Style"/>
          <w:spacing w:val="-1"/>
          <w:sz w:val="24"/>
        </w:rPr>
        <w:t xml:space="preserve"> </w:t>
      </w:r>
      <w:r>
        <w:rPr>
          <w:rFonts w:ascii="Bookman Old Style"/>
          <w:sz w:val="24"/>
        </w:rPr>
        <w:t>faith.</w:t>
      </w:r>
    </w:p>
    <w:p w:rsidR="003B2FC0" w:rsidRDefault="00052A49">
      <w:pPr>
        <w:pStyle w:val="ListParagraph"/>
        <w:numPr>
          <w:ilvl w:val="1"/>
          <w:numId w:val="10"/>
        </w:numPr>
        <w:tabs>
          <w:tab w:val="left" w:pos="1253"/>
        </w:tabs>
        <w:spacing w:before="2" w:line="477" w:lineRule="auto"/>
        <w:ind w:right="457"/>
        <w:rPr>
          <w:rFonts w:ascii="Bookman Old Style"/>
          <w:sz w:val="24"/>
        </w:rPr>
      </w:pPr>
      <w:r>
        <w:rPr>
          <w:rFonts w:ascii="Bookman Old Style"/>
          <w:sz w:val="24"/>
        </w:rPr>
        <w:t>The twin-test for determining the validity of a classifica</w:t>
      </w:r>
      <w:r>
        <w:rPr>
          <w:rFonts w:ascii="Bookman Old Style"/>
          <w:sz w:val="24"/>
        </w:rPr>
        <w:t>tion under Article 14</w:t>
      </w:r>
      <w:r>
        <w:rPr>
          <w:rFonts w:ascii="Bookman Old Style"/>
          <w:spacing w:val="-3"/>
          <w:sz w:val="24"/>
        </w:rPr>
        <w:t xml:space="preserve"> </w:t>
      </w:r>
      <w:r>
        <w:rPr>
          <w:rFonts w:ascii="Bookman Old Style"/>
          <w:sz w:val="24"/>
        </w:rPr>
        <w:t>is:</w:t>
      </w:r>
    </w:p>
    <w:p w:rsidR="003B2FC0" w:rsidRDefault="00052A49">
      <w:pPr>
        <w:pStyle w:val="ListParagraph"/>
        <w:numPr>
          <w:ilvl w:val="2"/>
          <w:numId w:val="10"/>
        </w:numPr>
        <w:tabs>
          <w:tab w:val="left" w:pos="1534"/>
        </w:tabs>
        <w:spacing w:before="3" w:line="468" w:lineRule="auto"/>
        <w:ind w:right="459" w:hanging="283"/>
        <w:jc w:val="left"/>
        <w:rPr>
          <w:rFonts w:ascii="Bookman Old Style" w:hAnsi="Bookman Old Style"/>
          <w:sz w:val="24"/>
        </w:rPr>
      </w:pPr>
      <w:r>
        <w:rPr>
          <w:rFonts w:ascii="Bookman Old Style" w:hAnsi="Bookman Old Style"/>
          <w:sz w:val="24"/>
        </w:rPr>
        <w:t>The classification must be founded on an intelligible differentia; and</w:t>
      </w:r>
    </w:p>
    <w:p w:rsidR="003B2FC0" w:rsidRDefault="00052A49">
      <w:pPr>
        <w:pStyle w:val="ListParagraph"/>
        <w:numPr>
          <w:ilvl w:val="2"/>
          <w:numId w:val="10"/>
        </w:numPr>
        <w:tabs>
          <w:tab w:val="left" w:pos="1534"/>
        </w:tabs>
        <w:spacing w:before="18" w:line="468" w:lineRule="auto"/>
        <w:ind w:right="459" w:hanging="283"/>
        <w:jc w:val="left"/>
        <w:rPr>
          <w:rFonts w:ascii="Bookman Old Style" w:hAnsi="Bookman Old Style"/>
          <w:sz w:val="24"/>
        </w:rPr>
      </w:pPr>
      <w:r>
        <w:rPr>
          <w:rFonts w:ascii="Bookman Old Style" w:hAnsi="Bookman Old Style"/>
          <w:sz w:val="24"/>
        </w:rPr>
        <w:t>It must have a rational nexus with the object sought to be achieved by the impugned</w:t>
      </w:r>
      <w:r>
        <w:rPr>
          <w:rFonts w:ascii="Bookman Old Style" w:hAnsi="Bookman Old Style"/>
          <w:spacing w:val="-2"/>
          <w:sz w:val="24"/>
        </w:rPr>
        <w:t xml:space="preserve"> </w:t>
      </w:r>
      <w:r>
        <w:rPr>
          <w:rFonts w:ascii="Bookman Old Style" w:hAnsi="Bookman Old Style"/>
          <w:sz w:val="24"/>
        </w:rPr>
        <w:t>law.</w:t>
      </w:r>
    </w:p>
    <w:p w:rsidR="003B2FC0" w:rsidRDefault="00052A49">
      <w:pPr>
        <w:spacing w:before="18" w:line="480" w:lineRule="auto"/>
        <w:ind w:left="1252" w:right="454" w:firstLine="424"/>
        <w:jc w:val="both"/>
        <w:rPr>
          <w:rFonts w:ascii="Bookman Old Style"/>
          <w:sz w:val="24"/>
        </w:rPr>
      </w:pPr>
      <w:r>
        <w:rPr>
          <w:rFonts w:ascii="Bookman Old Style"/>
          <w:sz w:val="24"/>
        </w:rPr>
        <w:t>The difficulty lies in applying the tests under Article 14 to religious practises which are also protected as Fundamental Rights under our Constitution. The right to equality claimed by the Petitioners under Article 14 conflicts with the rights of the wors</w:t>
      </w:r>
      <w:r>
        <w:rPr>
          <w:rFonts w:ascii="Bookman Old Style"/>
          <w:sz w:val="24"/>
        </w:rPr>
        <w:t>hippers</w:t>
      </w:r>
      <w:r>
        <w:rPr>
          <w:rFonts w:ascii="Bookman Old Style"/>
          <w:spacing w:val="25"/>
          <w:sz w:val="24"/>
        </w:rPr>
        <w:t xml:space="preserve"> </w:t>
      </w:r>
      <w:r>
        <w:rPr>
          <w:rFonts w:ascii="Bookman Old Style"/>
          <w:sz w:val="24"/>
        </w:rPr>
        <w:t>of</w:t>
      </w:r>
      <w:r>
        <w:rPr>
          <w:rFonts w:ascii="Bookman Old Style"/>
          <w:spacing w:val="26"/>
          <w:sz w:val="24"/>
        </w:rPr>
        <w:t xml:space="preserve"> </w:t>
      </w:r>
      <w:r>
        <w:rPr>
          <w:rFonts w:ascii="Bookman Old Style"/>
          <w:sz w:val="24"/>
        </w:rPr>
        <w:t>this</w:t>
      </w:r>
      <w:r>
        <w:rPr>
          <w:rFonts w:ascii="Bookman Old Style"/>
          <w:spacing w:val="24"/>
          <w:sz w:val="24"/>
        </w:rPr>
        <w:t xml:space="preserve"> </w:t>
      </w:r>
      <w:r>
        <w:rPr>
          <w:rFonts w:ascii="Bookman Old Style"/>
          <w:sz w:val="24"/>
        </w:rPr>
        <w:t>shrine</w:t>
      </w:r>
      <w:r>
        <w:rPr>
          <w:rFonts w:ascii="Bookman Old Style"/>
          <w:spacing w:val="26"/>
          <w:sz w:val="24"/>
        </w:rPr>
        <w:t xml:space="preserve"> </w:t>
      </w:r>
      <w:r>
        <w:rPr>
          <w:rFonts w:ascii="Bookman Old Style"/>
          <w:sz w:val="24"/>
        </w:rPr>
        <w:t>which</w:t>
      </w:r>
      <w:r>
        <w:rPr>
          <w:rFonts w:ascii="Bookman Old Style"/>
          <w:spacing w:val="26"/>
          <w:sz w:val="24"/>
        </w:rPr>
        <w:t xml:space="preserve"> </w:t>
      </w:r>
      <w:r>
        <w:rPr>
          <w:rFonts w:ascii="Bookman Old Style"/>
          <w:sz w:val="24"/>
        </w:rPr>
        <w:t>is</w:t>
      </w:r>
      <w:r>
        <w:rPr>
          <w:rFonts w:ascii="Bookman Old Style"/>
          <w:spacing w:val="21"/>
          <w:sz w:val="24"/>
        </w:rPr>
        <w:t xml:space="preserve"> </w:t>
      </w:r>
      <w:r>
        <w:rPr>
          <w:rFonts w:ascii="Bookman Old Style"/>
          <w:sz w:val="24"/>
        </w:rPr>
        <w:t>also</w:t>
      </w:r>
      <w:r>
        <w:rPr>
          <w:rFonts w:ascii="Bookman Old Style"/>
          <w:spacing w:val="26"/>
          <w:sz w:val="24"/>
        </w:rPr>
        <w:t xml:space="preserve"> </w:t>
      </w:r>
      <w:r>
        <w:rPr>
          <w:rFonts w:ascii="Bookman Old Style"/>
          <w:sz w:val="24"/>
        </w:rPr>
        <w:t>a</w:t>
      </w:r>
      <w:r>
        <w:rPr>
          <w:rFonts w:ascii="Bookman Old Style"/>
          <w:spacing w:val="25"/>
          <w:sz w:val="24"/>
        </w:rPr>
        <w:t xml:space="preserve"> </w:t>
      </w:r>
      <w:r>
        <w:rPr>
          <w:rFonts w:ascii="Bookman Old Style"/>
          <w:sz w:val="24"/>
        </w:rPr>
        <w:t>Fundamental</w:t>
      </w:r>
      <w:r>
        <w:rPr>
          <w:rFonts w:ascii="Bookman Old Style"/>
          <w:spacing w:val="26"/>
          <w:sz w:val="24"/>
        </w:rPr>
        <w:t xml:space="preserve"> </w:t>
      </w:r>
      <w:r>
        <w:rPr>
          <w:rFonts w:ascii="Bookman Old Style"/>
          <w:sz w:val="24"/>
        </w:rPr>
        <w:t>Right</w:t>
      </w:r>
    </w:p>
    <w:p w:rsidR="003B2FC0" w:rsidRDefault="003B2FC0">
      <w:pPr>
        <w:spacing w:line="480" w:lineRule="auto"/>
        <w:jc w:val="both"/>
        <w:rPr>
          <w:rFonts w:ascii="Bookman Old Style"/>
          <w:sz w:val="24"/>
        </w:rPr>
        <w:sectPr w:rsidR="003B2FC0">
          <w:headerReference w:type="default" r:id="rId449"/>
          <w:footerReference w:type="default" r:id="rId450"/>
          <w:pgSz w:w="11910" w:h="16840"/>
          <w:pgMar w:top="1340" w:right="980" w:bottom="1220" w:left="1040" w:header="0" w:footer="1033" w:gutter="0"/>
          <w:pgNumType w:start="28"/>
          <w:cols w:space="720"/>
        </w:sectPr>
      </w:pPr>
    </w:p>
    <w:p w:rsidR="003B2FC0" w:rsidRDefault="00052A49">
      <w:pPr>
        <w:spacing w:before="83" w:line="480" w:lineRule="auto"/>
        <w:ind w:left="1252" w:right="454"/>
        <w:jc w:val="both"/>
        <w:rPr>
          <w:rFonts w:ascii="Bookman Old Style"/>
          <w:sz w:val="24"/>
        </w:rPr>
      </w:pPr>
      <w:r>
        <w:rPr>
          <w:rFonts w:ascii="Bookman Old Style"/>
          <w:sz w:val="24"/>
        </w:rPr>
        <w:t>guaranteed by Articles 25, and 26 of the Constitution. It would compel the Court to undertake judicial review under Article 14 to delineate the rationality of the religious beliefs or practises, which would be outside the ken of the Courts. It is not for t</w:t>
      </w:r>
      <w:r>
        <w:rPr>
          <w:rFonts w:ascii="Bookman Old Style"/>
          <w:sz w:val="24"/>
        </w:rPr>
        <w:t xml:space="preserve">he courts to determine which of these practises of a faith are to be struck down, except if they are pernicious, oppressive, or a social evil, like </w:t>
      </w:r>
      <w:r>
        <w:rPr>
          <w:rFonts w:ascii="Bookman Old Style"/>
          <w:i/>
          <w:sz w:val="24"/>
        </w:rPr>
        <w:t>Sati</w:t>
      </w:r>
      <w:r>
        <w:rPr>
          <w:rFonts w:ascii="Bookman Old Style"/>
          <w:sz w:val="24"/>
        </w:rPr>
        <w:t>.</w:t>
      </w:r>
    </w:p>
    <w:p w:rsidR="003B2FC0" w:rsidRDefault="00052A49">
      <w:pPr>
        <w:pStyle w:val="ListParagraph"/>
        <w:numPr>
          <w:ilvl w:val="1"/>
          <w:numId w:val="10"/>
        </w:numPr>
        <w:tabs>
          <w:tab w:val="left" w:pos="1253"/>
        </w:tabs>
        <w:spacing w:before="2" w:line="480" w:lineRule="auto"/>
        <w:ind w:right="455"/>
        <w:rPr>
          <w:rFonts w:ascii="Bookman Old Style" w:hAnsi="Bookman Old Style"/>
          <w:sz w:val="24"/>
        </w:rPr>
      </w:pPr>
      <w:r>
        <w:rPr>
          <w:rFonts w:ascii="Bookman Old Style" w:hAnsi="Bookman Old Style"/>
          <w:sz w:val="24"/>
        </w:rPr>
        <w:t>The submissions made by the Counsel for the Petitioners is premised on the view that this practise con</w:t>
      </w:r>
      <w:r>
        <w:rPr>
          <w:rFonts w:ascii="Bookman Old Style" w:hAnsi="Bookman Old Style"/>
          <w:sz w:val="24"/>
        </w:rPr>
        <w:t>stitutes gender discrimination against women. On the other hand, the Respondents submit that the present case deals with the right of the devotees of this denomination or sect, as the case may be, to practise their religion in accordance with the tenets an</w:t>
      </w:r>
      <w:r>
        <w:rPr>
          <w:rFonts w:ascii="Bookman Old Style" w:hAnsi="Bookman Old Style"/>
          <w:sz w:val="24"/>
        </w:rPr>
        <w:t>d beliefs, which are considered to be “essential” religious practises of this</w:t>
      </w:r>
      <w:r>
        <w:rPr>
          <w:rFonts w:ascii="Bookman Old Style" w:hAnsi="Bookman Old Style"/>
          <w:spacing w:val="-2"/>
          <w:sz w:val="24"/>
        </w:rPr>
        <w:t xml:space="preserve"> </w:t>
      </w:r>
      <w:r>
        <w:rPr>
          <w:rFonts w:ascii="Bookman Old Style" w:hAnsi="Bookman Old Style"/>
          <w:sz w:val="24"/>
        </w:rPr>
        <w:t>shrine.</w:t>
      </w:r>
    </w:p>
    <w:p w:rsidR="003B2FC0" w:rsidRDefault="00052A49">
      <w:pPr>
        <w:pStyle w:val="ListParagraph"/>
        <w:numPr>
          <w:ilvl w:val="1"/>
          <w:numId w:val="10"/>
        </w:numPr>
        <w:tabs>
          <w:tab w:val="left" w:pos="1253"/>
        </w:tabs>
        <w:spacing w:line="480" w:lineRule="auto"/>
        <w:ind w:right="454"/>
        <w:rPr>
          <w:rFonts w:ascii="Bookman Old Style"/>
          <w:sz w:val="24"/>
        </w:rPr>
      </w:pPr>
      <w:r>
        <w:rPr>
          <w:rFonts w:ascii="Bookman Old Style"/>
          <w:sz w:val="24"/>
        </w:rPr>
        <w:t>The Petitioners and Intervenors have contended that the age group of 10</w:t>
      </w:r>
      <w:r>
        <w:rPr>
          <w:rFonts w:ascii="Bookman Old Style"/>
          <w:spacing w:val="31"/>
          <w:sz w:val="24"/>
        </w:rPr>
        <w:t xml:space="preserve"> </w:t>
      </w:r>
      <w:r>
        <w:rPr>
          <w:rFonts w:ascii="Bookman Old Style"/>
          <w:sz w:val="24"/>
        </w:rPr>
        <w:t>to</w:t>
      </w:r>
      <w:r>
        <w:rPr>
          <w:rFonts w:ascii="Bookman Old Style"/>
          <w:spacing w:val="31"/>
          <w:sz w:val="24"/>
        </w:rPr>
        <w:t xml:space="preserve"> </w:t>
      </w:r>
      <w:r>
        <w:rPr>
          <w:rFonts w:ascii="Bookman Old Style"/>
          <w:sz w:val="24"/>
        </w:rPr>
        <w:t>50</w:t>
      </w:r>
      <w:r>
        <w:rPr>
          <w:rFonts w:ascii="Bookman Old Style"/>
          <w:spacing w:val="31"/>
          <w:sz w:val="24"/>
        </w:rPr>
        <w:t xml:space="preserve"> </w:t>
      </w:r>
      <w:r>
        <w:rPr>
          <w:rFonts w:ascii="Bookman Old Style"/>
          <w:sz w:val="24"/>
        </w:rPr>
        <w:t>years</w:t>
      </w:r>
      <w:r>
        <w:rPr>
          <w:rFonts w:ascii="Bookman Old Style"/>
          <w:spacing w:val="31"/>
          <w:sz w:val="24"/>
        </w:rPr>
        <w:t xml:space="preserve"> </w:t>
      </w:r>
      <w:r>
        <w:rPr>
          <w:rFonts w:ascii="Bookman Old Style"/>
          <w:sz w:val="24"/>
        </w:rPr>
        <w:t>is</w:t>
      </w:r>
      <w:r>
        <w:rPr>
          <w:rFonts w:ascii="Bookman Old Style"/>
          <w:spacing w:val="32"/>
          <w:sz w:val="24"/>
        </w:rPr>
        <w:t xml:space="preserve"> </w:t>
      </w:r>
      <w:r>
        <w:rPr>
          <w:rFonts w:ascii="Bookman Old Style"/>
          <w:sz w:val="24"/>
        </w:rPr>
        <w:t>arbitrary,</w:t>
      </w:r>
      <w:r>
        <w:rPr>
          <w:rFonts w:ascii="Bookman Old Style"/>
          <w:spacing w:val="31"/>
          <w:sz w:val="24"/>
        </w:rPr>
        <w:t xml:space="preserve"> </w:t>
      </w:r>
      <w:r>
        <w:rPr>
          <w:rFonts w:ascii="Bookman Old Style"/>
          <w:sz w:val="24"/>
        </w:rPr>
        <w:t>and</w:t>
      </w:r>
      <w:r>
        <w:rPr>
          <w:rFonts w:ascii="Bookman Old Style"/>
          <w:spacing w:val="31"/>
          <w:sz w:val="24"/>
        </w:rPr>
        <w:t xml:space="preserve"> </w:t>
      </w:r>
      <w:r>
        <w:rPr>
          <w:rFonts w:ascii="Bookman Old Style"/>
          <w:sz w:val="24"/>
        </w:rPr>
        <w:t>cannot</w:t>
      </w:r>
      <w:r>
        <w:rPr>
          <w:rFonts w:ascii="Bookman Old Style"/>
          <w:spacing w:val="33"/>
          <w:sz w:val="24"/>
        </w:rPr>
        <w:t xml:space="preserve"> </w:t>
      </w:r>
      <w:r>
        <w:rPr>
          <w:rFonts w:ascii="Bookman Old Style"/>
          <w:sz w:val="24"/>
        </w:rPr>
        <w:t>stand</w:t>
      </w:r>
      <w:r>
        <w:rPr>
          <w:rFonts w:ascii="Bookman Old Style"/>
          <w:spacing w:val="32"/>
          <w:sz w:val="24"/>
        </w:rPr>
        <w:t xml:space="preserve"> </w:t>
      </w:r>
      <w:r>
        <w:rPr>
          <w:rFonts w:ascii="Bookman Old Style"/>
          <w:sz w:val="24"/>
        </w:rPr>
        <w:t>the</w:t>
      </w:r>
      <w:r>
        <w:rPr>
          <w:rFonts w:ascii="Bookman Old Style"/>
          <w:spacing w:val="31"/>
          <w:sz w:val="24"/>
        </w:rPr>
        <w:t xml:space="preserve"> </w:t>
      </w:r>
      <w:r>
        <w:rPr>
          <w:rFonts w:ascii="Bookman Old Style"/>
          <w:sz w:val="24"/>
        </w:rPr>
        <w:t>rigours</w:t>
      </w:r>
      <w:r>
        <w:rPr>
          <w:rFonts w:ascii="Bookman Old Style"/>
          <w:spacing w:val="31"/>
          <w:sz w:val="24"/>
        </w:rPr>
        <w:t xml:space="preserve"> </w:t>
      </w:r>
      <w:r>
        <w:rPr>
          <w:rFonts w:ascii="Bookman Old Style"/>
          <w:sz w:val="24"/>
        </w:rPr>
        <w:t>of</w:t>
      </w:r>
      <w:r>
        <w:rPr>
          <w:rFonts w:ascii="Bookman Old Style"/>
          <w:spacing w:val="33"/>
          <w:sz w:val="24"/>
        </w:rPr>
        <w:t xml:space="preserve"> </w:t>
      </w:r>
      <w:r>
        <w:rPr>
          <w:rFonts w:ascii="Bookman Old Style"/>
          <w:sz w:val="24"/>
        </w:rPr>
        <w:t>Article</w:t>
      </w:r>
    </w:p>
    <w:p w:rsidR="003B2FC0" w:rsidRDefault="00052A49">
      <w:pPr>
        <w:spacing w:line="480" w:lineRule="auto"/>
        <w:ind w:left="1252" w:right="454"/>
        <w:jc w:val="both"/>
        <w:rPr>
          <w:rFonts w:ascii="Bookman Old Style"/>
          <w:sz w:val="24"/>
        </w:rPr>
      </w:pPr>
      <w:r>
        <w:rPr>
          <w:rFonts w:ascii="Bookman Old Style"/>
          <w:sz w:val="24"/>
        </w:rPr>
        <w:t>14. This submission cannot be accepted, since the prescription of this age-band is the only practical way of ensuring that the limited restriction on the entry of women is adhered</w:t>
      </w:r>
      <w:r>
        <w:rPr>
          <w:rFonts w:ascii="Bookman Old Style"/>
          <w:spacing w:val="-3"/>
          <w:sz w:val="24"/>
        </w:rPr>
        <w:t xml:space="preserve"> </w:t>
      </w:r>
      <w:r>
        <w:rPr>
          <w:rFonts w:ascii="Bookman Old Style"/>
          <w:sz w:val="24"/>
        </w:rPr>
        <w:t>to.</w:t>
      </w:r>
    </w:p>
    <w:p w:rsidR="003B2FC0" w:rsidRDefault="00052A49">
      <w:pPr>
        <w:pStyle w:val="ListParagraph"/>
        <w:numPr>
          <w:ilvl w:val="1"/>
          <w:numId w:val="10"/>
        </w:numPr>
        <w:tabs>
          <w:tab w:val="left" w:pos="1253"/>
        </w:tabs>
        <w:spacing w:line="480" w:lineRule="auto"/>
        <w:ind w:right="453"/>
        <w:rPr>
          <w:rFonts w:ascii="Bookman Old Style" w:hAnsi="Bookman Old Style"/>
          <w:sz w:val="24"/>
        </w:rPr>
      </w:pPr>
      <w:r>
        <w:rPr>
          <w:rFonts w:ascii="Bookman Old Style" w:hAnsi="Bookman Old Style"/>
          <w:sz w:val="24"/>
        </w:rPr>
        <w:t>The right to gender equality to offer worship to Lord Ayyappa is protect</w:t>
      </w:r>
      <w:r>
        <w:rPr>
          <w:rFonts w:ascii="Bookman Old Style" w:hAnsi="Bookman Old Style"/>
          <w:sz w:val="24"/>
        </w:rPr>
        <w:t>ed by permitting women of all ages, to visit temples where he has not manifested himself in the form of a ‘</w:t>
      </w:r>
      <w:r>
        <w:rPr>
          <w:rFonts w:ascii="Bookman Old Style" w:hAnsi="Bookman Old Style"/>
          <w:i/>
          <w:sz w:val="24"/>
        </w:rPr>
        <w:t>Naishtik Brahamachari</w:t>
      </w:r>
      <w:r>
        <w:rPr>
          <w:rFonts w:ascii="Bookman Old Style" w:hAnsi="Bookman Old Style"/>
          <w:sz w:val="24"/>
        </w:rPr>
        <w:t xml:space="preserve">’, and there is no similar restriction in those temples. It is pertinent to mention that the Respondents, in this context, have </w:t>
      </w:r>
      <w:r>
        <w:rPr>
          <w:rFonts w:ascii="Bookman Old Style" w:hAnsi="Bookman Old Style"/>
          <w:sz w:val="24"/>
        </w:rPr>
        <w:t>submitted that there are over 1000 temples of Lord Ayyappa, where he has manifested in other forms, and this restriction does not</w:t>
      </w:r>
      <w:r>
        <w:rPr>
          <w:rFonts w:ascii="Bookman Old Style" w:hAnsi="Bookman Old Style"/>
          <w:spacing w:val="-9"/>
          <w:sz w:val="24"/>
        </w:rPr>
        <w:t xml:space="preserve"> </w:t>
      </w:r>
      <w:r>
        <w:rPr>
          <w:rFonts w:ascii="Bookman Old Style" w:hAnsi="Bookman Old Style"/>
          <w:sz w:val="24"/>
        </w:rPr>
        <w:t>apply.</w:t>
      </w:r>
    </w:p>
    <w:p w:rsidR="003B2FC0" w:rsidRDefault="003B2FC0">
      <w:pPr>
        <w:spacing w:line="480" w:lineRule="auto"/>
        <w:jc w:val="both"/>
        <w:rPr>
          <w:rFonts w:ascii="Bookman Old Style" w:hAnsi="Bookman Old Style"/>
          <w:sz w:val="24"/>
        </w:rPr>
        <w:sectPr w:rsidR="003B2FC0">
          <w:headerReference w:type="default" r:id="rId451"/>
          <w:footerReference w:type="default" r:id="rId452"/>
          <w:pgSz w:w="11910" w:h="16840"/>
          <w:pgMar w:top="1340" w:right="980" w:bottom="1220" w:left="1040" w:header="0" w:footer="1033" w:gutter="0"/>
          <w:pgNumType w:start="29"/>
          <w:cols w:space="720"/>
        </w:sectPr>
      </w:pPr>
    </w:p>
    <w:p w:rsidR="003B2FC0" w:rsidRDefault="00052A49">
      <w:pPr>
        <w:pStyle w:val="ListParagraph"/>
        <w:numPr>
          <w:ilvl w:val="1"/>
          <w:numId w:val="10"/>
        </w:numPr>
        <w:tabs>
          <w:tab w:val="left" w:pos="1253"/>
        </w:tabs>
        <w:spacing w:before="83" w:line="480" w:lineRule="auto"/>
        <w:ind w:right="453"/>
        <w:rPr>
          <w:rFonts w:ascii="Bookman Old Style"/>
          <w:sz w:val="24"/>
        </w:rPr>
      </w:pPr>
      <w:r>
        <w:rPr>
          <w:rFonts w:ascii="Bookman Old Style"/>
          <w:sz w:val="24"/>
        </w:rPr>
        <w:t>The prayers of the Petitioners if acceded to, in its true effect, amounts to exercising powers of judicial review in determining the validity of religious beliefs and practises, which would be outside the ken of the courts. The issue of what constitutes an</w:t>
      </w:r>
      <w:r>
        <w:rPr>
          <w:rFonts w:ascii="Bookman Old Style"/>
          <w:sz w:val="24"/>
        </w:rPr>
        <w:t xml:space="preserve"> essential religious practise is for the religious community to</w:t>
      </w:r>
      <w:r>
        <w:rPr>
          <w:rFonts w:ascii="Bookman Old Style"/>
          <w:spacing w:val="-3"/>
          <w:sz w:val="24"/>
        </w:rPr>
        <w:t xml:space="preserve"> </w:t>
      </w:r>
      <w:r>
        <w:rPr>
          <w:rFonts w:ascii="Bookman Old Style"/>
          <w:sz w:val="24"/>
        </w:rPr>
        <w:t>decide.</w:t>
      </w:r>
    </w:p>
    <w:p w:rsidR="003B2FC0" w:rsidRDefault="003B2FC0">
      <w:pPr>
        <w:pStyle w:val="BodyText"/>
      </w:pPr>
    </w:p>
    <w:p w:rsidR="003B2FC0" w:rsidRDefault="00052A49">
      <w:pPr>
        <w:pStyle w:val="ListParagraph"/>
        <w:numPr>
          <w:ilvl w:val="0"/>
          <w:numId w:val="13"/>
        </w:numPr>
        <w:tabs>
          <w:tab w:val="left" w:pos="543"/>
        </w:tabs>
        <w:spacing w:before="237"/>
        <w:jc w:val="left"/>
        <w:rPr>
          <w:rFonts w:ascii="Bookman Old Style"/>
          <w:sz w:val="24"/>
        </w:rPr>
      </w:pPr>
      <w:r>
        <w:rPr>
          <w:rFonts w:ascii="Bookman Old Style"/>
          <w:sz w:val="24"/>
          <w:u w:val="single"/>
        </w:rPr>
        <w:t>A</w:t>
      </w:r>
      <w:r>
        <w:rPr>
          <w:rFonts w:ascii="Bookman Old Style"/>
          <w:sz w:val="19"/>
          <w:u w:val="single"/>
        </w:rPr>
        <w:t xml:space="preserve">PPLICABILITY OF </w:t>
      </w:r>
      <w:r>
        <w:rPr>
          <w:rFonts w:ascii="Bookman Old Style"/>
          <w:sz w:val="24"/>
          <w:u w:val="single"/>
        </w:rPr>
        <w:t>A</w:t>
      </w:r>
      <w:r>
        <w:rPr>
          <w:rFonts w:ascii="Bookman Old Style"/>
          <w:sz w:val="19"/>
          <w:u w:val="single"/>
        </w:rPr>
        <w:t>RTICLE</w:t>
      </w:r>
      <w:r>
        <w:rPr>
          <w:rFonts w:ascii="Bookman Old Style"/>
          <w:spacing w:val="-1"/>
          <w:sz w:val="19"/>
          <w:u w:val="single"/>
        </w:rPr>
        <w:t xml:space="preserve"> </w:t>
      </w:r>
      <w:r>
        <w:rPr>
          <w:rFonts w:ascii="Bookman Old Style"/>
          <w:sz w:val="24"/>
          <w:u w:val="single"/>
        </w:rPr>
        <w:t>15</w:t>
      </w:r>
    </w:p>
    <w:p w:rsidR="003B2FC0" w:rsidRDefault="003B2FC0">
      <w:pPr>
        <w:pStyle w:val="BodyText"/>
        <w:spacing w:before="9"/>
        <w:rPr>
          <w:sz w:val="23"/>
        </w:rPr>
      </w:pPr>
    </w:p>
    <w:p w:rsidR="003B2FC0" w:rsidRDefault="00052A49">
      <w:pPr>
        <w:pStyle w:val="ListParagraph"/>
        <w:numPr>
          <w:ilvl w:val="1"/>
          <w:numId w:val="9"/>
        </w:numPr>
        <w:tabs>
          <w:tab w:val="left" w:pos="1253"/>
        </w:tabs>
        <w:spacing w:before="1" w:line="480" w:lineRule="auto"/>
        <w:ind w:right="456"/>
        <w:rPr>
          <w:rFonts w:ascii="Bookman Old Style" w:hAnsi="Bookman Old Style"/>
          <w:sz w:val="24"/>
        </w:rPr>
      </w:pPr>
      <w:r>
        <w:rPr>
          <w:rFonts w:ascii="Bookman Old Style" w:hAnsi="Bookman Old Style"/>
          <w:sz w:val="24"/>
        </w:rPr>
        <w:t>Article 15 of the Constitution prohibits differential treatment of persons on the ground of ‘sex’</w:t>
      </w:r>
      <w:r>
        <w:rPr>
          <w:rFonts w:ascii="Bookman Old Style" w:hAnsi="Bookman Old Style"/>
          <w:spacing w:val="-3"/>
          <w:sz w:val="24"/>
        </w:rPr>
        <w:t xml:space="preserve"> </w:t>
      </w:r>
      <w:r>
        <w:rPr>
          <w:rFonts w:ascii="Bookman Old Style" w:hAnsi="Bookman Old Style"/>
          <w:sz w:val="24"/>
        </w:rPr>
        <w:t>alone.</w:t>
      </w:r>
    </w:p>
    <w:p w:rsidR="003B2FC0" w:rsidRDefault="00052A49">
      <w:pPr>
        <w:spacing w:before="1" w:line="480" w:lineRule="auto"/>
        <w:ind w:left="1252" w:right="454" w:firstLine="424"/>
        <w:jc w:val="both"/>
        <w:rPr>
          <w:rFonts w:ascii="Bookman Old Style" w:hAnsi="Bookman Old Style"/>
          <w:sz w:val="24"/>
        </w:rPr>
      </w:pPr>
      <w:r>
        <w:rPr>
          <w:rFonts w:ascii="Bookman Old Style" w:hAnsi="Bookman Old Style"/>
          <w:sz w:val="24"/>
        </w:rPr>
        <w:t>The limited restriction on the entry of women during the notified age-group but in the deep-rooted belief of the worshippers that the deity in the Sabarimala Temple has manifested in the form of a ‘</w:t>
      </w:r>
      <w:r>
        <w:rPr>
          <w:rFonts w:ascii="Bookman Old Style" w:hAnsi="Bookman Old Style"/>
          <w:i/>
          <w:sz w:val="24"/>
        </w:rPr>
        <w:t>Naishtik Brahmachari</w:t>
      </w:r>
      <w:r>
        <w:rPr>
          <w:rFonts w:ascii="Bookman Old Style" w:hAnsi="Bookman Old Style"/>
          <w:sz w:val="24"/>
        </w:rPr>
        <w:t>’.</w:t>
      </w:r>
    </w:p>
    <w:p w:rsidR="003B2FC0" w:rsidRDefault="00052A49">
      <w:pPr>
        <w:pStyle w:val="ListParagraph"/>
        <w:numPr>
          <w:ilvl w:val="1"/>
          <w:numId w:val="9"/>
        </w:numPr>
        <w:tabs>
          <w:tab w:val="left" w:pos="1253"/>
        </w:tabs>
        <w:spacing w:line="480" w:lineRule="auto"/>
        <w:ind w:right="458"/>
        <w:rPr>
          <w:rFonts w:ascii="Bookman Old Style" w:hAnsi="Bookman Old Style"/>
          <w:sz w:val="24"/>
        </w:rPr>
      </w:pPr>
      <w:r>
        <w:rPr>
          <w:rFonts w:ascii="Bookman Old Style" w:hAnsi="Bookman Old Style"/>
          <w:sz w:val="24"/>
        </w:rPr>
        <w:t>With respect to the right under Art</w:t>
      </w:r>
      <w:r>
        <w:rPr>
          <w:rFonts w:ascii="Bookman Old Style" w:hAnsi="Bookman Old Style"/>
          <w:sz w:val="24"/>
        </w:rPr>
        <w:t xml:space="preserve">icle 15, Mr. Raju Ramachandran, </w:t>
      </w:r>
      <w:r>
        <w:rPr>
          <w:rFonts w:ascii="Bookman Old Style" w:hAnsi="Bookman Old Style"/>
          <w:i/>
          <w:sz w:val="24"/>
        </w:rPr>
        <w:t xml:space="preserve">Amicus Curiae </w:t>
      </w:r>
      <w:r>
        <w:rPr>
          <w:rFonts w:ascii="Bookman Old Style" w:hAnsi="Bookman Old Style"/>
          <w:sz w:val="24"/>
        </w:rPr>
        <w:t>had submitted that the Sabarimala Temple would be included in the phrase “</w:t>
      </w:r>
      <w:r>
        <w:rPr>
          <w:rFonts w:ascii="Bookman Old Style" w:hAnsi="Bookman Old Style"/>
          <w:i/>
          <w:sz w:val="24"/>
        </w:rPr>
        <w:t>places of public resort</w:t>
      </w:r>
      <w:r>
        <w:rPr>
          <w:rFonts w:ascii="Bookman Old Style" w:hAnsi="Bookman Old Style"/>
          <w:sz w:val="24"/>
        </w:rPr>
        <w:t>”, as it occurs in Article 15(2)(b).</w:t>
      </w:r>
    </w:p>
    <w:p w:rsidR="003B2FC0" w:rsidRDefault="00052A49">
      <w:pPr>
        <w:spacing w:line="480" w:lineRule="auto"/>
        <w:ind w:left="1252" w:right="455" w:firstLine="424"/>
        <w:jc w:val="both"/>
        <w:rPr>
          <w:rFonts w:ascii="Bookman Old Style"/>
          <w:sz w:val="24"/>
        </w:rPr>
      </w:pPr>
      <w:r>
        <w:rPr>
          <w:rFonts w:ascii="Bookman Old Style"/>
          <w:sz w:val="24"/>
        </w:rPr>
        <w:t>In this regard, reference may be made to the debates of the Constituent Asse</w:t>
      </w:r>
      <w:r>
        <w:rPr>
          <w:rFonts w:ascii="Bookman Old Style"/>
          <w:sz w:val="24"/>
        </w:rPr>
        <w:t>mbly on this issue. Draft Article 9 which corresponds to Article 15 of the Constitution, is extracted for ready reference:</w:t>
      </w:r>
    </w:p>
    <w:p w:rsidR="003B2FC0" w:rsidRDefault="00052A49">
      <w:pPr>
        <w:ind w:left="2102" w:right="837" w:hanging="425"/>
        <w:jc w:val="both"/>
        <w:rPr>
          <w:rFonts w:ascii="Bookman Old Style" w:hAnsi="Bookman Old Style"/>
          <w:i/>
          <w:sz w:val="24"/>
        </w:rPr>
      </w:pPr>
      <w:r>
        <w:rPr>
          <w:rFonts w:ascii="Bookman Old Style" w:hAnsi="Bookman Old Style"/>
          <w:sz w:val="24"/>
        </w:rPr>
        <w:t>“</w:t>
      </w:r>
      <w:r>
        <w:rPr>
          <w:rFonts w:ascii="Bookman Old Style" w:hAnsi="Bookman Old Style"/>
          <w:i/>
          <w:sz w:val="24"/>
        </w:rPr>
        <w:t>9. Prohibition of discrimination on grounds of religion, race, caste or sex – The State shall not discriminate against any citizen o</w:t>
      </w:r>
      <w:r>
        <w:rPr>
          <w:rFonts w:ascii="Bookman Old Style" w:hAnsi="Bookman Old Style"/>
          <w:i/>
          <w:sz w:val="24"/>
        </w:rPr>
        <w:t>n grounds only of religion, race, caste, sex or any of them</w:t>
      </w:r>
    </w:p>
    <w:p w:rsidR="003B2FC0" w:rsidRDefault="00052A49">
      <w:pPr>
        <w:pStyle w:val="ListParagraph"/>
        <w:numPr>
          <w:ilvl w:val="2"/>
          <w:numId w:val="9"/>
        </w:numPr>
        <w:tabs>
          <w:tab w:val="left" w:pos="2602"/>
        </w:tabs>
        <w:ind w:right="842" w:hanging="283"/>
        <w:rPr>
          <w:rFonts w:ascii="Bookman Old Style"/>
          <w:i/>
          <w:sz w:val="24"/>
        </w:rPr>
      </w:pPr>
      <w:r>
        <w:rPr>
          <w:rFonts w:ascii="Bookman Old Style"/>
          <w:i/>
          <w:spacing w:val="-3"/>
          <w:sz w:val="24"/>
        </w:rPr>
        <w:t xml:space="preserve">In </w:t>
      </w:r>
      <w:r>
        <w:rPr>
          <w:rFonts w:ascii="Bookman Old Style"/>
          <w:i/>
          <w:sz w:val="24"/>
        </w:rPr>
        <w:t>particular, no citizen shall, on grounds only of religion, race, caste, sex or any of them, be subject</w:t>
      </w:r>
      <w:r>
        <w:rPr>
          <w:rFonts w:ascii="Bookman Old Style"/>
          <w:i/>
          <w:spacing w:val="56"/>
          <w:sz w:val="24"/>
        </w:rPr>
        <w:t xml:space="preserve"> </w:t>
      </w:r>
      <w:r>
        <w:rPr>
          <w:rFonts w:ascii="Bookman Old Style"/>
          <w:i/>
          <w:sz w:val="24"/>
        </w:rPr>
        <w:t>to</w:t>
      </w:r>
    </w:p>
    <w:p w:rsidR="003B2FC0" w:rsidRDefault="003B2FC0">
      <w:pPr>
        <w:rPr>
          <w:rFonts w:ascii="Bookman Old Style"/>
          <w:sz w:val="24"/>
        </w:rPr>
        <w:sectPr w:rsidR="003B2FC0">
          <w:headerReference w:type="default" r:id="rId453"/>
          <w:footerReference w:type="default" r:id="rId454"/>
          <w:pgSz w:w="11910" w:h="16840"/>
          <w:pgMar w:top="1340" w:right="980" w:bottom="1220" w:left="1040" w:header="0" w:footer="1033" w:gutter="0"/>
          <w:pgNumType w:start="30"/>
          <w:cols w:space="720"/>
        </w:sectPr>
      </w:pPr>
    </w:p>
    <w:p w:rsidR="003B2FC0" w:rsidRDefault="00052A49">
      <w:pPr>
        <w:spacing w:before="81"/>
        <w:ind w:left="2526" w:right="801"/>
        <w:rPr>
          <w:rFonts w:ascii="Bookman Old Style" w:hAnsi="Bookman Old Style"/>
          <w:i/>
          <w:sz w:val="24"/>
        </w:rPr>
      </w:pPr>
      <w:r>
        <w:rPr>
          <w:rFonts w:ascii="Bookman Old Style" w:hAnsi="Bookman Old Style"/>
          <w:i/>
          <w:sz w:val="24"/>
        </w:rPr>
        <w:t>any disability, liability, restriction or condition with regard to—</w:t>
      </w:r>
    </w:p>
    <w:p w:rsidR="003B2FC0" w:rsidRDefault="00052A49">
      <w:pPr>
        <w:pStyle w:val="ListParagraph"/>
        <w:numPr>
          <w:ilvl w:val="3"/>
          <w:numId w:val="9"/>
        </w:numPr>
        <w:tabs>
          <w:tab w:val="left" w:pos="2811"/>
        </w:tabs>
        <w:spacing w:before="1"/>
        <w:ind w:right="839"/>
        <w:jc w:val="both"/>
        <w:rPr>
          <w:rFonts w:ascii="Bookman Old Style"/>
          <w:i/>
          <w:sz w:val="24"/>
        </w:rPr>
      </w:pPr>
      <w:r>
        <w:rPr>
          <w:rFonts w:ascii="Bookman Old Style"/>
          <w:i/>
          <w:sz w:val="24"/>
        </w:rPr>
        <w:t>access to shops, public restaurants, hotels and places of public entertainments,</w:t>
      </w:r>
      <w:r>
        <w:rPr>
          <w:rFonts w:ascii="Bookman Old Style"/>
          <w:i/>
          <w:spacing w:val="2"/>
          <w:sz w:val="24"/>
        </w:rPr>
        <w:t xml:space="preserve"> </w:t>
      </w:r>
      <w:r>
        <w:rPr>
          <w:rFonts w:ascii="Bookman Old Style"/>
          <w:i/>
          <w:sz w:val="24"/>
        </w:rPr>
        <w:t>or</w:t>
      </w:r>
    </w:p>
    <w:p w:rsidR="003B2FC0" w:rsidRDefault="00052A49">
      <w:pPr>
        <w:pStyle w:val="ListParagraph"/>
        <w:numPr>
          <w:ilvl w:val="3"/>
          <w:numId w:val="9"/>
        </w:numPr>
        <w:tabs>
          <w:tab w:val="left" w:pos="2811"/>
        </w:tabs>
        <w:ind w:right="837"/>
        <w:jc w:val="both"/>
        <w:rPr>
          <w:rFonts w:ascii="Bookman Old Style"/>
          <w:i/>
          <w:sz w:val="24"/>
        </w:rPr>
      </w:pPr>
      <w:r>
        <w:rPr>
          <w:rFonts w:ascii="Bookman Old Style"/>
          <w:i/>
          <w:sz w:val="24"/>
        </w:rPr>
        <w:t xml:space="preserve">the use of </w:t>
      </w:r>
      <w:r>
        <w:rPr>
          <w:rFonts w:ascii="Bookman Old Style"/>
          <w:i/>
          <w:spacing w:val="-3"/>
          <w:sz w:val="24"/>
        </w:rPr>
        <w:t xml:space="preserve">wells, </w:t>
      </w:r>
      <w:r>
        <w:rPr>
          <w:rFonts w:ascii="Bookman Old Style"/>
          <w:i/>
          <w:sz w:val="24"/>
        </w:rPr>
        <w:t>tanks, roads and places of public resort maintained wholly or partly out of the revenu</w:t>
      </w:r>
      <w:r>
        <w:rPr>
          <w:rFonts w:ascii="Bookman Old Style"/>
          <w:i/>
          <w:sz w:val="24"/>
        </w:rPr>
        <w:t>es of the State or dedicated to the use of the general public.</w:t>
      </w:r>
    </w:p>
    <w:p w:rsidR="003B2FC0" w:rsidRDefault="00052A49">
      <w:pPr>
        <w:pStyle w:val="ListParagraph"/>
        <w:numPr>
          <w:ilvl w:val="2"/>
          <w:numId w:val="9"/>
        </w:numPr>
        <w:tabs>
          <w:tab w:val="left" w:pos="2599"/>
        </w:tabs>
        <w:ind w:right="833" w:hanging="283"/>
        <w:jc w:val="both"/>
        <w:rPr>
          <w:rFonts w:ascii="Bookman Old Style" w:hAnsi="Bookman Old Style"/>
          <w:sz w:val="16"/>
        </w:rPr>
      </w:pPr>
      <w:r>
        <w:rPr>
          <w:rFonts w:ascii="Bookman Old Style" w:hAnsi="Bookman Old Style"/>
          <w:i/>
          <w:sz w:val="24"/>
        </w:rPr>
        <w:t xml:space="preserve">Nothing in this article shall prevent the State </w:t>
      </w:r>
      <w:r>
        <w:rPr>
          <w:rFonts w:ascii="Bookman Old Style" w:hAnsi="Bookman Old Style"/>
          <w:i/>
          <w:spacing w:val="2"/>
          <w:sz w:val="24"/>
        </w:rPr>
        <w:t xml:space="preserve">from </w:t>
      </w:r>
      <w:r>
        <w:rPr>
          <w:rFonts w:ascii="Bookman Old Style" w:hAnsi="Bookman Old Style"/>
          <w:i/>
          <w:sz w:val="24"/>
        </w:rPr>
        <w:t xml:space="preserve">making any special provision </w:t>
      </w:r>
      <w:r>
        <w:rPr>
          <w:rFonts w:ascii="Bookman Old Style" w:hAnsi="Bookman Old Style"/>
          <w:i/>
          <w:spacing w:val="2"/>
          <w:sz w:val="24"/>
        </w:rPr>
        <w:t xml:space="preserve">for </w:t>
      </w:r>
      <w:r>
        <w:rPr>
          <w:rFonts w:ascii="Bookman Old Style" w:hAnsi="Bookman Old Style"/>
          <w:i/>
          <w:sz w:val="24"/>
        </w:rPr>
        <w:t>women and children.</w:t>
      </w:r>
      <w:r>
        <w:rPr>
          <w:rFonts w:ascii="Bookman Old Style" w:hAnsi="Bookman Old Style"/>
          <w:sz w:val="24"/>
        </w:rPr>
        <w:t>”</w:t>
      </w:r>
      <w:r>
        <w:rPr>
          <w:rFonts w:ascii="Bookman Old Style" w:hAnsi="Bookman Old Style"/>
          <w:position w:val="6"/>
          <w:sz w:val="16"/>
        </w:rPr>
        <w:t>23</w:t>
      </w:r>
    </w:p>
    <w:p w:rsidR="003B2FC0" w:rsidRDefault="003B2FC0">
      <w:pPr>
        <w:pStyle w:val="BodyText"/>
        <w:spacing w:before="3"/>
        <w:rPr>
          <w:sz w:val="24"/>
        </w:rPr>
      </w:pPr>
    </w:p>
    <w:p w:rsidR="003B2FC0" w:rsidRDefault="00052A49">
      <w:pPr>
        <w:tabs>
          <w:tab w:val="left" w:pos="3032"/>
          <w:tab w:val="left" w:pos="3782"/>
          <w:tab w:val="left" w:pos="4675"/>
          <w:tab w:val="left" w:pos="6021"/>
          <w:tab w:val="left" w:pos="7719"/>
          <w:tab w:val="left" w:pos="8384"/>
          <w:tab w:val="left" w:pos="9108"/>
        </w:tabs>
        <w:spacing w:line="477" w:lineRule="auto"/>
        <w:ind w:left="1252" w:right="458" w:firstLine="424"/>
        <w:rPr>
          <w:rFonts w:ascii="Bookman Old Style"/>
          <w:sz w:val="24"/>
        </w:rPr>
      </w:pPr>
      <w:r>
        <w:rPr>
          <w:rFonts w:ascii="Bookman Old Style"/>
          <w:sz w:val="24"/>
        </w:rPr>
        <w:t>Professor</w:t>
      </w:r>
      <w:r>
        <w:rPr>
          <w:rFonts w:ascii="Bookman Old Style"/>
          <w:sz w:val="24"/>
        </w:rPr>
        <w:tab/>
        <w:t>K.T.</w:t>
      </w:r>
      <w:r>
        <w:rPr>
          <w:rFonts w:ascii="Bookman Old Style"/>
          <w:sz w:val="24"/>
        </w:rPr>
        <w:tab/>
        <w:t>Shah</w:t>
      </w:r>
      <w:r>
        <w:rPr>
          <w:rFonts w:ascii="Bookman Old Style"/>
          <w:sz w:val="24"/>
        </w:rPr>
        <w:tab/>
        <w:t>proposed</w:t>
      </w:r>
      <w:r>
        <w:rPr>
          <w:rFonts w:ascii="Bookman Old Style"/>
          <w:sz w:val="24"/>
        </w:rPr>
        <w:tab/>
        <w:t>Amendment</w:t>
      </w:r>
      <w:r>
        <w:rPr>
          <w:rFonts w:ascii="Bookman Old Style"/>
          <w:sz w:val="24"/>
        </w:rPr>
        <w:tab/>
        <w:t>No.</w:t>
      </w:r>
      <w:r>
        <w:rPr>
          <w:rFonts w:ascii="Bookman Old Style"/>
          <w:sz w:val="24"/>
        </w:rPr>
        <w:tab/>
        <w:t>293</w:t>
      </w:r>
      <w:r>
        <w:rPr>
          <w:rFonts w:ascii="Bookman Old Style"/>
          <w:sz w:val="24"/>
        </w:rPr>
        <w:tab/>
      </w:r>
      <w:r>
        <w:rPr>
          <w:rFonts w:ascii="Bookman Old Style"/>
          <w:spacing w:val="-6"/>
          <w:sz w:val="24"/>
        </w:rPr>
        <w:t xml:space="preserve">for </w:t>
      </w:r>
      <w:r>
        <w:rPr>
          <w:rFonts w:ascii="Bookman Old Style"/>
          <w:sz w:val="24"/>
        </w:rPr>
        <w:t xml:space="preserve">substitution of sub-clauses (a) </w:t>
      </w:r>
      <w:r>
        <w:rPr>
          <w:rFonts w:ascii="Bookman Old Style"/>
          <w:sz w:val="24"/>
        </w:rPr>
        <w:t>&amp; (b) as</w:t>
      </w:r>
      <w:r>
        <w:rPr>
          <w:rFonts w:ascii="Bookman Old Style"/>
          <w:spacing w:val="-1"/>
          <w:sz w:val="24"/>
        </w:rPr>
        <w:t xml:space="preserve"> </w:t>
      </w:r>
      <w:r>
        <w:rPr>
          <w:rFonts w:ascii="Bookman Old Style"/>
          <w:sz w:val="24"/>
        </w:rPr>
        <w:t>follows:</w:t>
      </w:r>
    </w:p>
    <w:p w:rsidR="003B2FC0" w:rsidRDefault="00052A49">
      <w:pPr>
        <w:spacing w:before="2"/>
        <w:ind w:left="1677" w:right="833"/>
        <w:jc w:val="both"/>
        <w:rPr>
          <w:rFonts w:ascii="Bookman Old Style" w:hAnsi="Bookman Old Style"/>
          <w:sz w:val="16"/>
        </w:rPr>
      </w:pPr>
      <w:r>
        <w:rPr>
          <w:rFonts w:ascii="Bookman Old Style" w:hAnsi="Bookman Old Style"/>
          <w:sz w:val="24"/>
        </w:rPr>
        <w:t>“</w:t>
      </w:r>
      <w:r>
        <w:rPr>
          <w:rFonts w:ascii="Bookman Old Style" w:hAnsi="Bookman Old Style"/>
          <w:i/>
          <w:sz w:val="24"/>
        </w:rPr>
        <w:t xml:space="preserve">any place of public use or resort, maintained wholly or partly out of the revenues of the State, or </w:t>
      </w:r>
      <w:r>
        <w:rPr>
          <w:rFonts w:ascii="Bookman Old Style" w:hAnsi="Bookman Old Style"/>
          <w:i/>
          <w:spacing w:val="-3"/>
          <w:sz w:val="24"/>
        </w:rPr>
        <w:t xml:space="preserve">in </w:t>
      </w:r>
      <w:r>
        <w:rPr>
          <w:rFonts w:ascii="Bookman Old Style" w:hAnsi="Bookman Old Style"/>
          <w:i/>
          <w:sz w:val="24"/>
        </w:rPr>
        <w:t xml:space="preserve">any </w:t>
      </w:r>
      <w:r>
        <w:rPr>
          <w:rFonts w:ascii="Bookman Old Style" w:hAnsi="Bookman Old Style"/>
          <w:i/>
          <w:spacing w:val="-3"/>
          <w:sz w:val="24"/>
        </w:rPr>
        <w:t xml:space="preserve">way </w:t>
      </w:r>
      <w:r>
        <w:rPr>
          <w:rFonts w:ascii="Bookman Old Style" w:hAnsi="Bookman Old Style"/>
          <w:i/>
          <w:sz w:val="24"/>
        </w:rPr>
        <w:t xml:space="preserve">aided, recognised, encouraged or protected by the State, </w:t>
      </w:r>
      <w:r>
        <w:rPr>
          <w:rFonts w:ascii="Bookman Old Style" w:hAnsi="Bookman Old Style"/>
          <w:i/>
          <w:sz w:val="24"/>
          <w:u w:val="single"/>
        </w:rPr>
        <w:t>or place</w:t>
      </w:r>
      <w:r>
        <w:rPr>
          <w:rFonts w:ascii="Bookman Old Style" w:hAnsi="Bookman Old Style"/>
          <w:i/>
          <w:sz w:val="24"/>
        </w:rPr>
        <w:t xml:space="preserve"> </w:t>
      </w:r>
      <w:r>
        <w:rPr>
          <w:rFonts w:ascii="Bookman Old Style" w:hAnsi="Bookman Old Style"/>
          <w:i/>
          <w:sz w:val="24"/>
          <w:u w:val="single"/>
        </w:rPr>
        <w:t>dedicated</w:t>
      </w:r>
      <w:r>
        <w:rPr>
          <w:rFonts w:ascii="Bookman Old Style" w:hAnsi="Bookman Old Style"/>
          <w:i/>
          <w:sz w:val="24"/>
        </w:rPr>
        <w:t xml:space="preserve"> to the use of general public like schools, college</w:t>
      </w:r>
      <w:r>
        <w:rPr>
          <w:rFonts w:ascii="Bookman Old Style" w:hAnsi="Bookman Old Style"/>
          <w:i/>
          <w:sz w:val="24"/>
        </w:rPr>
        <w:t xml:space="preserve">s, libraries, </w:t>
      </w:r>
      <w:r>
        <w:rPr>
          <w:rFonts w:ascii="Bookman Old Style" w:hAnsi="Bookman Old Style"/>
          <w:i/>
          <w:sz w:val="24"/>
          <w:u w:val="single"/>
        </w:rPr>
        <w:t>temples</w:t>
      </w:r>
      <w:r>
        <w:rPr>
          <w:rFonts w:ascii="Bookman Old Style" w:hAnsi="Bookman Old Style"/>
          <w:i/>
          <w:sz w:val="24"/>
        </w:rPr>
        <w:t>, hospitals, hotels and restaurants, places of public entertainment, recreation or amusement, like theatres and cinema-houses or concert-halls; public parks, gardens or museums; roads, wells, tanks or canals; bridges, posts and telegra</w:t>
      </w:r>
      <w:r>
        <w:rPr>
          <w:rFonts w:ascii="Bookman Old Style" w:hAnsi="Bookman Old Style"/>
          <w:i/>
          <w:sz w:val="24"/>
        </w:rPr>
        <w:t>phs, railways, tramways and bus services; and the like.</w:t>
      </w:r>
      <w:r>
        <w:rPr>
          <w:rFonts w:ascii="Bookman Old Style" w:hAnsi="Bookman Old Style"/>
          <w:sz w:val="24"/>
        </w:rPr>
        <w:t>”</w:t>
      </w:r>
      <w:r>
        <w:rPr>
          <w:rFonts w:ascii="Bookman Old Style" w:hAnsi="Bookman Old Style"/>
          <w:position w:val="6"/>
          <w:sz w:val="16"/>
        </w:rPr>
        <w:t>24</w:t>
      </w:r>
    </w:p>
    <w:p w:rsidR="003B2FC0" w:rsidRDefault="00052A49">
      <w:pPr>
        <w:spacing w:before="161"/>
        <w:ind w:left="6658"/>
        <w:rPr>
          <w:rFonts w:ascii="Bookman Old Style"/>
          <w:sz w:val="24"/>
        </w:rPr>
      </w:pPr>
      <w:r>
        <w:rPr>
          <w:rFonts w:ascii="Bookman Old Style"/>
          <w:sz w:val="24"/>
        </w:rPr>
        <w:t>(Emphasis supplied)</w:t>
      </w:r>
    </w:p>
    <w:p w:rsidR="003B2FC0" w:rsidRDefault="003B2FC0">
      <w:pPr>
        <w:pStyle w:val="BodyText"/>
        <w:spacing w:before="8"/>
        <w:rPr>
          <w:sz w:val="37"/>
        </w:rPr>
      </w:pPr>
    </w:p>
    <w:p w:rsidR="003B2FC0" w:rsidRDefault="00052A49">
      <w:pPr>
        <w:spacing w:before="1" w:line="480" w:lineRule="auto"/>
        <w:ind w:left="1252" w:right="457" w:firstLine="424"/>
        <w:jc w:val="both"/>
        <w:rPr>
          <w:rFonts w:ascii="Bookman Old Style"/>
          <w:sz w:val="24"/>
        </w:rPr>
      </w:pPr>
      <w:r>
        <w:rPr>
          <w:rFonts w:ascii="Bookman Old Style"/>
          <w:sz w:val="24"/>
        </w:rPr>
        <w:t>The Vice-President took up Amendment No. 296 for vote, which was moved for addition to sub-clause (a). The Amendment was proposed as under:</w:t>
      </w:r>
    </w:p>
    <w:p w:rsidR="003B2FC0" w:rsidRDefault="00052A49">
      <w:pPr>
        <w:ind w:left="1677" w:right="434"/>
        <w:rPr>
          <w:rFonts w:ascii="Bookman Old Style" w:hAnsi="Bookman Old Style"/>
          <w:sz w:val="16"/>
        </w:rPr>
      </w:pPr>
      <w:r>
        <w:rPr>
          <w:rFonts w:ascii="Bookman Old Style" w:hAnsi="Bookman Old Style"/>
          <w:sz w:val="24"/>
        </w:rPr>
        <w:t>“</w:t>
      </w:r>
      <w:r>
        <w:rPr>
          <w:rFonts w:ascii="Bookman Old Style" w:hAnsi="Bookman Old Style"/>
          <w:i/>
          <w:sz w:val="24"/>
        </w:rPr>
        <w:t xml:space="preserve">After the words of Public entertainment the words or </w:t>
      </w:r>
      <w:r>
        <w:rPr>
          <w:rFonts w:ascii="Bookman Old Style" w:hAnsi="Bookman Old Style"/>
          <w:i/>
          <w:sz w:val="24"/>
          <w:u w:val="single"/>
        </w:rPr>
        <w:t>places of</w:t>
      </w:r>
      <w:r>
        <w:rPr>
          <w:rFonts w:ascii="Bookman Old Style" w:hAnsi="Bookman Old Style"/>
          <w:i/>
          <w:sz w:val="24"/>
        </w:rPr>
        <w:t xml:space="preserve"> </w:t>
      </w:r>
      <w:r>
        <w:rPr>
          <w:rFonts w:ascii="Bookman Old Style" w:hAnsi="Bookman Old Style"/>
          <w:i/>
          <w:sz w:val="24"/>
          <w:u w:val="single"/>
        </w:rPr>
        <w:t>worship</w:t>
      </w:r>
      <w:r>
        <w:rPr>
          <w:rFonts w:ascii="Bookman Old Style" w:hAnsi="Bookman Old Style"/>
          <w:i/>
          <w:sz w:val="24"/>
        </w:rPr>
        <w:t xml:space="preserve"> be inserted.</w:t>
      </w:r>
      <w:r>
        <w:rPr>
          <w:rFonts w:ascii="Bookman Old Style" w:hAnsi="Bookman Old Style"/>
          <w:sz w:val="24"/>
        </w:rPr>
        <w:t>”</w:t>
      </w:r>
      <w:r>
        <w:rPr>
          <w:rFonts w:ascii="Bookman Old Style" w:hAnsi="Bookman Old Style"/>
          <w:position w:val="6"/>
          <w:sz w:val="16"/>
        </w:rPr>
        <w:t>25</w:t>
      </w:r>
    </w:p>
    <w:p w:rsidR="003B2FC0" w:rsidRDefault="00052A49">
      <w:pPr>
        <w:spacing w:before="158"/>
        <w:ind w:right="835"/>
        <w:jc w:val="right"/>
        <w:rPr>
          <w:rFonts w:ascii="Bookman Old Style"/>
          <w:sz w:val="24"/>
        </w:rPr>
      </w:pPr>
      <w:r>
        <w:rPr>
          <w:rFonts w:ascii="Bookman Old Style"/>
          <w:sz w:val="24"/>
        </w:rPr>
        <w:t>(Emphasis supplied and internal quotations omitted)</w:t>
      </w: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7"/>
        </w:rPr>
      </w:pPr>
      <w:r w:rsidRPr="003B2FC0">
        <w:pict>
          <v:line id="_x0000_s1046" style="position:absolute;z-index:251667968;mso-wrap-distance-left:0;mso-wrap-distance-right:0;mso-position-horizontal-relative:page" from="1in,18.25pt" to="216.05pt,18.25pt" strokeweight=".72pt">
            <w10:wrap type="topAndBottom" anchorx="page"/>
          </v:line>
        </w:pict>
      </w:r>
    </w:p>
    <w:p w:rsidR="003B2FC0" w:rsidRDefault="00052A49">
      <w:pPr>
        <w:spacing w:before="72"/>
        <w:ind w:left="400" w:right="464"/>
        <w:jc w:val="both"/>
        <w:rPr>
          <w:rFonts w:ascii="Bookman Old Style"/>
          <w:sz w:val="20"/>
        </w:rPr>
      </w:pPr>
      <w:r>
        <w:rPr>
          <w:rFonts w:ascii="Bookman Old Style"/>
          <w:position w:val="5"/>
          <w:sz w:val="13"/>
        </w:rPr>
        <w:t xml:space="preserve">23 </w:t>
      </w:r>
      <w:r>
        <w:rPr>
          <w:rFonts w:ascii="Bookman Old Style"/>
          <w:i/>
          <w:sz w:val="20"/>
        </w:rPr>
        <w:t>Draft Constitution of India</w:t>
      </w:r>
      <w:r>
        <w:rPr>
          <w:rFonts w:ascii="Bookman Old Style"/>
          <w:sz w:val="20"/>
        </w:rPr>
        <w:t xml:space="preserve">, Drafting Committee of the Constituent Assembly of India (Manager Government of India Press, New Delhi, 1948) available at </w:t>
      </w:r>
      <w:r>
        <w:rPr>
          <w:rFonts w:ascii="Bookman Old Style"/>
          <w:w w:val="95"/>
          <w:sz w:val="20"/>
        </w:rPr>
        <w:t xml:space="preserve">http://14.139.60.114:8080/jspui/bitstream/123456789/966/7/Fundamental%20Rights% </w:t>
      </w:r>
      <w:r>
        <w:rPr>
          <w:rFonts w:ascii="Bookman Old Style"/>
          <w:sz w:val="20"/>
        </w:rPr>
        <w:t>20%285-12%29.pdf</w:t>
      </w:r>
    </w:p>
    <w:p w:rsidR="003B2FC0" w:rsidRDefault="00052A49">
      <w:pPr>
        <w:spacing w:line="234" w:lineRule="exact"/>
        <w:ind w:left="400"/>
        <w:jc w:val="both"/>
        <w:rPr>
          <w:rFonts w:ascii="Bookman Old Style"/>
          <w:sz w:val="20"/>
        </w:rPr>
      </w:pPr>
      <w:r>
        <w:rPr>
          <w:rFonts w:ascii="Bookman Old Style"/>
          <w:position w:val="5"/>
          <w:sz w:val="13"/>
        </w:rPr>
        <w:t xml:space="preserve">24 </w:t>
      </w:r>
      <w:r>
        <w:rPr>
          <w:rFonts w:ascii="Bookman Old Style"/>
          <w:sz w:val="20"/>
        </w:rPr>
        <w:t>Statement of Professor K.T. Shah</w:t>
      </w:r>
      <w:r>
        <w:rPr>
          <w:rFonts w:ascii="Bookman Old Style"/>
          <w:sz w:val="20"/>
        </w:rPr>
        <w:t>, Constituent Assembly Debates (November 29, 1948)</w:t>
      </w:r>
    </w:p>
    <w:p w:rsidR="003B2FC0" w:rsidRDefault="00052A49">
      <w:pPr>
        <w:ind w:left="400"/>
        <w:jc w:val="both"/>
        <w:rPr>
          <w:rFonts w:ascii="Bookman Old Style"/>
          <w:sz w:val="20"/>
        </w:rPr>
      </w:pPr>
      <w:r>
        <w:rPr>
          <w:rFonts w:ascii="Bookman Old Style"/>
          <w:position w:val="5"/>
          <w:sz w:val="13"/>
        </w:rPr>
        <w:t xml:space="preserve">25 </w:t>
      </w:r>
      <w:r>
        <w:rPr>
          <w:rFonts w:ascii="Bookman Old Style"/>
          <w:sz w:val="20"/>
        </w:rPr>
        <w:t>Statement of Vice-President, Constituent Assembly Debates (November 29, 1948)</w:t>
      </w:r>
    </w:p>
    <w:p w:rsidR="003B2FC0" w:rsidRDefault="003B2FC0">
      <w:pPr>
        <w:jc w:val="both"/>
        <w:rPr>
          <w:rFonts w:ascii="Bookman Old Style"/>
          <w:sz w:val="20"/>
        </w:rPr>
        <w:sectPr w:rsidR="003B2FC0">
          <w:headerReference w:type="default" r:id="rId455"/>
          <w:footerReference w:type="default" r:id="rId456"/>
          <w:pgSz w:w="11910" w:h="16840"/>
          <w:pgMar w:top="1340" w:right="980" w:bottom="1220" w:left="1040" w:header="0" w:footer="1033" w:gutter="0"/>
          <w:pgNumType w:start="31"/>
          <w:cols w:space="720"/>
        </w:sectPr>
      </w:pPr>
    </w:p>
    <w:p w:rsidR="003B2FC0" w:rsidRDefault="00052A49">
      <w:pPr>
        <w:spacing w:before="83" w:line="480" w:lineRule="auto"/>
        <w:ind w:left="1252" w:right="457" w:firstLine="424"/>
        <w:jc w:val="both"/>
        <w:rPr>
          <w:rFonts w:ascii="Bookman Old Style" w:hAnsi="Bookman Old Style"/>
          <w:sz w:val="16"/>
        </w:rPr>
      </w:pPr>
      <w:r>
        <w:rPr>
          <w:rFonts w:ascii="Bookman Old Style" w:hAnsi="Bookman Old Style"/>
          <w:sz w:val="24"/>
        </w:rPr>
        <w:t>Amendment No. 301 was also proposed by Mr. Tajamul Hussain for inclusion of: “</w:t>
      </w:r>
      <w:r>
        <w:rPr>
          <w:rFonts w:ascii="Bookman Old Style" w:hAnsi="Bookman Old Style"/>
          <w:i/>
          <w:sz w:val="24"/>
        </w:rPr>
        <w:t>places of worship</w:t>
      </w:r>
      <w:r>
        <w:rPr>
          <w:rFonts w:ascii="Bookman Old Style" w:hAnsi="Bookman Old Style"/>
          <w:sz w:val="24"/>
        </w:rPr>
        <w:t>”, “</w:t>
      </w:r>
      <w:r>
        <w:rPr>
          <w:rFonts w:ascii="Bookman Old Style" w:hAnsi="Bookman Old Style"/>
          <w:i/>
          <w:sz w:val="24"/>
        </w:rPr>
        <w:t>Dharamshalas, and Musafirkhanas</w:t>
      </w:r>
      <w:r>
        <w:rPr>
          <w:rFonts w:ascii="Bookman Old Style" w:hAnsi="Bookman Old Style"/>
          <w:sz w:val="24"/>
        </w:rPr>
        <w:t>” at the end of sub-clause (a).</w:t>
      </w:r>
      <w:r>
        <w:rPr>
          <w:rFonts w:ascii="Bookman Old Style" w:hAnsi="Bookman Old Style"/>
          <w:position w:val="6"/>
          <w:sz w:val="16"/>
        </w:rPr>
        <w:t>26</w:t>
      </w:r>
    </w:p>
    <w:p w:rsidR="003B2FC0" w:rsidRDefault="00052A49">
      <w:pPr>
        <w:spacing w:line="480" w:lineRule="auto"/>
        <w:ind w:left="1252" w:right="455" w:firstLine="424"/>
        <w:jc w:val="both"/>
        <w:rPr>
          <w:rFonts w:ascii="Bookman Old Style" w:hAnsi="Bookman Old Style"/>
          <w:sz w:val="24"/>
        </w:rPr>
      </w:pPr>
      <w:r>
        <w:rPr>
          <w:rFonts w:ascii="Bookman Old Style" w:hAnsi="Bookman Old Style"/>
          <w:sz w:val="24"/>
        </w:rPr>
        <w:t>All these proposals were voted upon, and rejected by the Constituent Assembly.</w:t>
      </w:r>
      <w:r>
        <w:rPr>
          <w:rFonts w:ascii="Bookman Old Style" w:hAnsi="Bookman Old Style"/>
          <w:position w:val="6"/>
          <w:sz w:val="16"/>
        </w:rPr>
        <w:t xml:space="preserve">27 </w:t>
      </w:r>
      <w:r>
        <w:rPr>
          <w:rFonts w:ascii="Bookman Old Style" w:hAnsi="Bookman Old Style"/>
          <w:sz w:val="24"/>
        </w:rPr>
        <w:t>The Assembly considered it fit not to include ‘places of worship’ or ‘temples’ within the</w:t>
      </w:r>
      <w:r>
        <w:rPr>
          <w:rFonts w:ascii="Bookman Old Style" w:hAnsi="Bookman Old Style"/>
          <w:sz w:val="24"/>
        </w:rPr>
        <w:t xml:space="preserve"> ambit of Draft Article 9 of the Constitution.</w:t>
      </w:r>
    </w:p>
    <w:p w:rsidR="003B2FC0" w:rsidRDefault="00052A49">
      <w:pPr>
        <w:spacing w:before="2" w:line="480" w:lineRule="auto"/>
        <w:ind w:left="1252" w:right="456" w:firstLine="424"/>
        <w:jc w:val="both"/>
        <w:rPr>
          <w:rFonts w:ascii="Bookman Old Style" w:hAnsi="Bookman Old Style"/>
          <w:sz w:val="24"/>
        </w:rPr>
      </w:pPr>
      <w:r>
        <w:rPr>
          <w:rFonts w:ascii="Bookman Old Style" w:hAnsi="Bookman Old Style"/>
          <w:sz w:val="24"/>
        </w:rPr>
        <w:t xml:space="preserve">The conscious deletion of “temples” and “places of worship” from the Draft Article 9(1) has to be given due consideration. The contention of the learned </w:t>
      </w:r>
      <w:r>
        <w:rPr>
          <w:rFonts w:ascii="Bookman Old Style" w:hAnsi="Bookman Old Style"/>
          <w:i/>
          <w:sz w:val="24"/>
        </w:rPr>
        <w:t xml:space="preserve">Amicus Curiae </w:t>
      </w:r>
      <w:r>
        <w:rPr>
          <w:rFonts w:ascii="Bookman Old Style" w:hAnsi="Bookman Old Style"/>
          <w:sz w:val="24"/>
        </w:rPr>
        <w:t>that the Sabarimala Temple would be includ</w:t>
      </w:r>
      <w:r>
        <w:rPr>
          <w:rFonts w:ascii="Bookman Old Style" w:hAnsi="Bookman Old Style"/>
          <w:sz w:val="24"/>
        </w:rPr>
        <w:t>ed within the ambit of ‘places of public resort’ under Article 15(2) cannot be accepted.</w:t>
      </w:r>
    </w:p>
    <w:p w:rsidR="003B2FC0" w:rsidRDefault="003B2FC0">
      <w:pPr>
        <w:pStyle w:val="BodyText"/>
      </w:pPr>
    </w:p>
    <w:p w:rsidR="003B2FC0" w:rsidRDefault="00052A49">
      <w:pPr>
        <w:pStyle w:val="ListParagraph"/>
        <w:numPr>
          <w:ilvl w:val="0"/>
          <w:numId w:val="13"/>
        </w:numPr>
        <w:tabs>
          <w:tab w:val="left" w:pos="1120"/>
          <w:tab w:val="left" w:pos="1121"/>
        </w:tabs>
        <w:spacing w:before="234"/>
        <w:ind w:left="1120" w:hanging="862"/>
        <w:jc w:val="left"/>
        <w:rPr>
          <w:rFonts w:ascii="Bookman Old Style"/>
          <w:sz w:val="19"/>
        </w:rPr>
      </w:pPr>
      <w:r>
        <w:rPr>
          <w:rFonts w:ascii="Bookman Old Style"/>
          <w:sz w:val="24"/>
          <w:u w:val="single"/>
        </w:rPr>
        <w:t>R</w:t>
      </w:r>
      <w:r>
        <w:rPr>
          <w:rFonts w:ascii="Bookman Old Style"/>
          <w:sz w:val="19"/>
          <w:u w:val="single"/>
        </w:rPr>
        <w:t xml:space="preserve">OLE OF </w:t>
      </w:r>
      <w:r>
        <w:rPr>
          <w:rFonts w:ascii="Bookman Old Style"/>
          <w:sz w:val="24"/>
          <w:u w:val="single"/>
        </w:rPr>
        <w:t>C</w:t>
      </w:r>
      <w:r>
        <w:rPr>
          <w:rFonts w:ascii="Bookman Old Style"/>
          <w:sz w:val="19"/>
          <w:u w:val="single"/>
        </w:rPr>
        <w:t xml:space="preserve">OURTS IN </w:t>
      </w:r>
      <w:r>
        <w:rPr>
          <w:rFonts w:ascii="Bookman Old Style"/>
          <w:sz w:val="24"/>
          <w:u w:val="single"/>
        </w:rPr>
        <w:t>M</w:t>
      </w:r>
      <w:r>
        <w:rPr>
          <w:rFonts w:ascii="Bookman Old Style"/>
          <w:sz w:val="19"/>
          <w:u w:val="single"/>
        </w:rPr>
        <w:t xml:space="preserve">ATTERS </w:t>
      </w:r>
      <w:r>
        <w:rPr>
          <w:rFonts w:ascii="Bookman Old Style"/>
          <w:sz w:val="24"/>
          <w:u w:val="single"/>
        </w:rPr>
        <w:t>C</w:t>
      </w:r>
      <w:r>
        <w:rPr>
          <w:rFonts w:ascii="Bookman Old Style"/>
          <w:sz w:val="19"/>
          <w:u w:val="single"/>
        </w:rPr>
        <w:t>ONCERNING</w:t>
      </w:r>
      <w:r>
        <w:rPr>
          <w:rFonts w:ascii="Bookman Old Style"/>
          <w:spacing w:val="-5"/>
          <w:sz w:val="19"/>
          <w:u w:val="single"/>
        </w:rPr>
        <w:t xml:space="preserve"> </w:t>
      </w:r>
      <w:r>
        <w:rPr>
          <w:rFonts w:ascii="Bookman Old Style"/>
          <w:sz w:val="24"/>
          <w:u w:val="single"/>
        </w:rPr>
        <w:t>R</w:t>
      </w:r>
      <w:r>
        <w:rPr>
          <w:rFonts w:ascii="Bookman Old Style"/>
          <w:sz w:val="19"/>
          <w:u w:val="single"/>
        </w:rPr>
        <w:t>ELIGION</w:t>
      </w:r>
    </w:p>
    <w:p w:rsidR="003B2FC0" w:rsidRDefault="003B2FC0">
      <w:pPr>
        <w:pStyle w:val="BodyText"/>
        <w:spacing w:before="6"/>
        <w:rPr>
          <w:sz w:val="15"/>
        </w:rPr>
      </w:pPr>
    </w:p>
    <w:p w:rsidR="003B2FC0" w:rsidRDefault="00052A49">
      <w:pPr>
        <w:pStyle w:val="ListParagraph"/>
        <w:numPr>
          <w:ilvl w:val="1"/>
          <w:numId w:val="8"/>
        </w:numPr>
        <w:tabs>
          <w:tab w:val="left" w:pos="1253"/>
        </w:tabs>
        <w:spacing w:before="100" w:line="480" w:lineRule="auto"/>
        <w:ind w:right="456" w:hanging="710"/>
        <w:rPr>
          <w:rFonts w:ascii="Bookman Old Style" w:hAnsi="Bookman Old Style"/>
          <w:sz w:val="24"/>
        </w:rPr>
      </w:pPr>
      <w:r>
        <w:rPr>
          <w:rFonts w:ascii="Bookman Old Style" w:hAnsi="Bookman Old Style"/>
          <w:sz w:val="24"/>
        </w:rPr>
        <w:t>The role of Courts in matters concerning religion and religious practises under our secular Constitutional set up is to afford protection under Article 25(1) to those practises which are regarded as “essential” or “integral” by the devotees, or the religio</w:t>
      </w:r>
      <w:r>
        <w:rPr>
          <w:rFonts w:ascii="Bookman Old Style" w:hAnsi="Bookman Old Style"/>
          <w:sz w:val="24"/>
        </w:rPr>
        <w:t>us community itself.</w:t>
      </w:r>
    </w:p>
    <w:p w:rsidR="003B2FC0" w:rsidRDefault="00052A49">
      <w:pPr>
        <w:spacing w:before="1" w:line="480" w:lineRule="auto"/>
        <w:ind w:left="1252" w:right="456" w:firstLine="424"/>
        <w:jc w:val="both"/>
        <w:rPr>
          <w:rFonts w:ascii="Bookman Old Style"/>
          <w:sz w:val="24"/>
        </w:rPr>
      </w:pPr>
      <w:r>
        <w:rPr>
          <w:rFonts w:ascii="Bookman Old Style"/>
          <w:sz w:val="24"/>
        </w:rPr>
        <w:t xml:space="preserve">In </w:t>
      </w:r>
      <w:r>
        <w:rPr>
          <w:rFonts w:ascii="Bookman Old Style"/>
          <w:i/>
          <w:sz w:val="24"/>
        </w:rPr>
        <w:t xml:space="preserve">Bijoe Emmanuel &amp; Ors. </w:t>
      </w:r>
      <w:r>
        <w:rPr>
          <w:rFonts w:ascii="Bookman Old Style"/>
          <w:sz w:val="24"/>
        </w:rPr>
        <w:t xml:space="preserve">v. </w:t>
      </w:r>
      <w:r>
        <w:rPr>
          <w:rFonts w:ascii="Bookman Old Style"/>
          <w:i/>
          <w:sz w:val="24"/>
        </w:rPr>
        <w:t xml:space="preserve">State of Kerala &amp; Ors. </w:t>
      </w:r>
      <w:r>
        <w:rPr>
          <w:rFonts w:ascii="Bookman Old Style"/>
          <w:sz w:val="24"/>
        </w:rPr>
        <w:t>(supra), this Court noted that the personal views of judges are irrelevant in ascertaining whether a particular religious belief or practise must receive the protection guaranteed unde</w:t>
      </w:r>
      <w:r>
        <w:rPr>
          <w:rFonts w:ascii="Bookman Old Style"/>
          <w:sz w:val="24"/>
        </w:rPr>
        <w:t>r Article 25(1). The following</w:t>
      </w:r>
    </w:p>
    <w:p w:rsidR="003B2FC0" w:rsidRDefault="003B2FC0">
      <w:pPr>
        <w:pStyle w:val="BodyText"/>
        <w:rPr>
          <w:sz w:val="20"/>
        </w:rPr>
      </w:pPr>
    </w:p>
    <w:p w:rsidR="003B2FC0" w:rsidRDefault="003B2FC0">
      <w:pPr>
        <w:pStyle w:val="BodyText"/>
        <w:spacing w:before="7"/>
        <w:rPr>
          <w:sz w:val="11"/>
        </w:rPr>
      </w:pPr>
      <w:r w:rsidRPr="003B2FC0">
        <w:pict>
          <v:line id="_x0000_s1045" style="position:absolute;z-index:251668992;mso-wrap-distance-left:0;mso-wrap-distance-right:0;mso-position-horizontal-relative:page" from="1in,9.2pt" to="216.05pt,9.2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26 </w:t>
      </w:r>
      <w:r>
        <w:rPr>
          <w:rFonts w:ascii="Bookman Old Style"/>
          <w:sz w:val="20"/>
        </w:rPr>
        <w:t>Statement of Mr. Mohd. Tahir, Constituent Assembly Debates (November 29, 1948)</w:t>
      </w:r>
    </w:p>
    <w:p w:rsidR="003B2FC0" w:rsidRDefault="00052A49">
      <w:pPr>
        <w:ind w:left="400"/>
        <w:rPr>
          <w:rFonts w:ascii="Bookman Old Style"/>
          <w:sz w:val="20"/>
        </w:rPr>
      </w:pPr>
      <w:r>
        <w:rPr>
          <w:rFonts w:ascii="Bookman Old Style"/>
          <w:position w:val="5"/>
          <w:sz w:val="13"/>
        </w:rPr>
        <w:t xml:space="preserve">27 </w:t>
      </w:r>
      <w:r>
        <w:rPr>
          <w:rFonts w:ascii="Bookman Old Style"/>
          <w:sz w:val="20"/>
        </w:rPr>
        <w:t>Constituent Assembly Debates (November 29, 1948)</w:t>
      </w:r>
    </w:p>
    <w:p w:rsidR="003B2FC0" w:rsidRDefault="003B2FC0">
      <w:pPr>
        <w:rPr>
          <w:rFonts w:ascii="Bookman Old Style"/>
          <w:sz w:val="20"/>
        </w:rPr>
        <w:sectPr w:rsidR="003B2FC0">
          <w:headerReference w:type="default" r:id="rId457"/>
          <w:footerReference w:type="default" r:id="rId458"/>
          <w:pgSz w:w="11910" w:h="16840"/>
          <w:pgMar w:top="1340" w:right="980" w:bottom="1220" w:left="1040" w:header="0" w:footer="1033" w:gutter="0"/>
          <w:pgNumType w:start="32"/>
          <w:cols w:space="720"/>
        </w:sectPr>
      </w:pPr>
    </w:p>
    <w:p w:rsidR="003B2FC0" w:rsidRDefault="00052A49">
      <w:pPr>
        <w:tabs>
          <w:tab w:val="left" w:pos="3063"/>
          <w:tab w:val="left" w:pos="3603"/>
          <w:tab w:val="left" w:pos="5234"/>
          <w:tab w:val="left" w:pos="6363"/>
          <w:tab w:val="left" w:pos="6912"/>
          <w:tab w:val="left" w:pos="7610"/>
          <w:tab w:val="left" w:pos="9194"/>
        </w:tabs>
        <w:spacing w:before="83" w:line="480" w:lineRule="auto"/>
        <w:ind w:left="1252" w:right="458"/>
        <w:rPr>
          <w:rFonts w:ascii="Bookman Old Style"/>
          <w:sz w:val="24"/>
        </w:rPr>
      </w:pPr>
      <w:r>
        <w:rPr>
          <w:rFonts w:ascii="Bookman Old Style"/>
          <w:sz w:val="24"/>
        </w:rPr>
        <w:t>observations</w:t>
      </w:r>
      <w:r>
        <w:rPr>
          <w:rFonts w:ascii="Bookman Old Style"/>
          <w:sz w:val="24"/>
        </w:rPr>
        <w:tab/>
        <w:t>of</w:t>
      </w:r>
      <w:r>
        <w:rPr>
          <w:rFonts w:ascii="Bookman Old Style"/>
          <w:sz w:val="24"/>
        </w:rPr>
        <w:tab/>
        <w:t>Chinnappa</w:t>
      </w:r>
      <w:r>
        <w:rPr>
          <w:rFonts w:ascii="Bookman Old Style"/>
          <w:sz w:val="24"/>
        </w:rPr>
        <w:tab/>
        <w:t>Reddy,</w:t>
      </w:r>
      <w:r>
        <w:rPr>
          <w:rFonts w:ascii="Bookman Old Style"/>
          <w:sz w:val="24"/>
        </w:rPr>
        <w:tab/>
        <w:t>J.</w:t>
      </w:r>
      <w:r>
        <w:rPr>
          <w:rFonts w:ascii="Bookman Old Style"/>
          <w:sz w:val="24"/>
        </w:rPr>
        <w:tab/>
        <w:t>are</w:t>
      </w:r>
      <w:r>
        <w:rPr>
          <w:rFonts w:ascii="Bookman Old Style"/>
          <w:sz w:val="24"/>
        </w:rPr>
        <w:tab/>
      </w:r>
      <w:r>
        <w:rPr>
          <w:rFonts w:ascii="Bookman Old Style"/>
          <w:sz w:val="24"/>
        </w:rPr>
        <w:t>instructive</w:t>
      </w:r>
      <w:r>
        <w:rPr>
          <w:rFonts w:ascii="Bookman Old Style"/>
          <w:sz w:val="24"/>
        </w:rPr>
        <w:tab/>
      </w:r>
      <w:r>
        <w:rPr>
          <w:rFonts w:ascii="Bookman Old Style"/>
          <w:spacing w:val="-8"/>
          <w:sz w:val="24"/>
        </w:rPr>
        <w:t xml:space="preserve">in </w:t>
      </w:r>
      <w:r>
        <w:rPr>
          <w:rFonts w:ascii="Bookman Old Style"/>
          <w:sz w:val="24"/>
        </w:rPr>
        <w:t>understanding the true role of this Court in matters of</w:t>
      </w:r>
      <w:r>
        <w:rPr>
          <w:rFonts w:ascii="Bookman Old Style"/>
          <w:spacing w:val="-8"/>
          <w:sz w:val="24"/>
        </w:rPr>
        <w:t xml:space="preserve"> </w:t>
      </w:r>
      <w:r>
        <w:rPr>
          <w:rFonts w:ascii="Bookman Old Style"/>
          <w:sz w:val="24"/>
        </w:rPr>
        <w:t>religion:</w:t>
      </w:r>
    </w:p>
    <w:p w:rsidR="003B2FC0" w:rsidRDefault="00052A49">
      <w:pPr>
        <w:ind w:left="1677" w:right="833"/>
        <w:jc w:val="both"/>
        <w:rPr>
          <w:rFonts w:ascii="Bookman Old Style" w:hAnsi="Bookman Old Style"/>
          <w:i/>
          <w:sz w:val="24"/>
        </w:rPr>
      </w:pPr>
      <w:r>
        <w:rPr>
          <w:rFonts w:ascii="Bookman Old Style" w:hAnsi="Bookman Old Style"/>
          <w:sz w:val="24"/>
        </w:rPr>
        <w:t>“19</w:t>
      </w:r>
      <w:r>
        <w:rPr>
          <w:rFonts w:ascii="Bookman Old Style" w:hAnsi="Bookman Old Style"/>
          <w:i/>
          <w:sz w:val="24"/>
        </w:rPr>
        <w:t xml:space="preserve">…We </w:t>
      </w:r>
      <w:r>
        <w:rPr>
          <w:rFonts w:ascii="Bookman Old Style" w:hAnsi="Bookman Old Style"/>
          <w:i/>
          <w:spacing w:val="-3"/>
          <w:sz w:val="24"/>
        </w:rPr>
        <w:t xml:space="preserve">may </w:t>
      </w:r>
      <w:r>
        <w:rPr>
          <w:rFonts w:ascii="Bookman Old Style" w:hAnsi="Bookman Old Style"/>
          <w:i/>
          <w:sz w:val="24"/>
        </w:rPr>
        <w:t xml:space="preserve">refer here </w:t>
      </w:r>
      <w:r>
        <w:rPr>
          <w:rFonts w:ascii="Bookman Old Style" w:hAnsi="Bookman Old Style"/>
          <w:i/>
          <w:spacing w:val="-3"/>
          <w:sz w:val="24"/>
        </w:rPr>
        <w:t xml:space="preserve">to </w:t>
      </w:r>
      <w:r>
        <w:rPr>
          <w:rFonts w:ascii="Bookman Old Style" w:hAnsi="Bookman Old Style"/>
          <w:i/>
          <w:sz w:val="24"/>
        </w:rPr>
        <w:t xml:space="preserve">the observations of Latham, C.J. in Adelaide Company of Jehovah’s Witnesses </w:t>
      </w:r>
      <w:r>
        <w:rPr>
          <w:rFonts w:ascii="Bookman Old Style" w:hAnsi="Bookman Old Style"/>
          <w:sz w:val="24"/>
        </w:rPr>
        <w:t xml:space="preserve">v. </w:t>
      </w:r>
      <w:r>
        <w:rPr>
          <w:rFonts w:ascii="Bookman Old Style" w:hAnsi="Bookman Old Style"/>
          <w:i/>
          <w:sz w:val="24"/>
        </w:rPr>
        <w:t>The Commonwealth, a decision of the Australian High Court quoted by Muk</w:t>
      </w:r>
      <w:r>
        <w:rPr>
          <w:rFonts w:ascii="Bookman Old Style" w:hAnsi="Bookman Old Style"/>
          <w:i/>
          <w:sz w:val="24"/>
        </w:rPr>
        <w:t xml:space="preserve">herjea, J. </w:t>
      </w:r>
      <w:r>
        <w:rPr>
          <w:rFonts w:ascii="Bookman Old Style" w:hAnsi="Bookman Old Style"/>
          <w:i/>
          <w:spacing w:val="-3"/>
          <w:sz w:val="24"/>
        </w:rPr>
        <w:t xml:space="preserve">in </w:t>
      </w:r>
      <w:r>
        <w:rPr>
          <w:rFonts w:ascii="Bookman Old Style" w:hAnsi="Bookman Old Style"/>
          <w:i/>
          <w:sz w:val="24"/>
        </w:rPr>
        <w:t>the Shirur Mutt case. Latham, C.J. had said:</w:t>
      </w:r>
    </w:p>
    <w:p w:rsidR="003B2FC0" w:rsidRDefault="00052A49">
      <w:pPr>
        <w:ind w:left="1960" w:right="1117"/>
        <w:jc w:val="both"/>
        <w:rPr>
          <w:rFonts w:ascii="Bookman Old Style" w:hAnsi="Bookman Old Style"/>
          <w:i/>
          <w:sz w:val="24"/>
        </w:rPr>
      </w:pPr>
      <w:r>
        <w:rPr>
          <w:rFonts w:ascii="Bookman Old Style" w:hAnsi="Bookman Old Style"/>
          <w:sz w:val="24"/>
          <w:u w:val="single"/>
        </w:rPr>
        <w:t xml:space="preserve">The </w:t>
      </w:r>
      <w:r>
        <w:rPr>
          <w:rFonts w:ascii="Bookman Old Style" w:hAnsi="Bookman Old Style"/>
          <w:i/>
          <w:sz w:val="24"/>
          <w:u w:val="single"/>
        </w:rPr>
        <w:t>Constitution protects religion within a community</w:t>
      </w:r>
      <w:r>
        <w:rPr>
          <w:rFonts w:ascii="Bookman Old Style" w:hAnsi="Bookman Old Style"/>
          <w:i/>
          <w:sz w:val="24"/>
        </w:rPr>
        <w:t xml:space="preserve"> </w:t>
      </w:r>
      <w:r>
        <w:rPr>
          <w:rFonts w:ascii="Bookman Old Style" w:hAnsi="Bookman Old Style"/>
          <w:i/>
          <w:sz w:val="24"/>
          <w:u w:val="single"/>
        </w:rPr>
        <w:t xml:space="preserve">organised under a Constitution, so that the continuance </w:t>
      </w:r>
      <w:r>
        <w:rPr>
          <w:rFonts w:ascii="Bookman Old Style" w:hAnsi="Bookman Old Style"/>
          <w:i/>
          <w:spacing w:val="-3"/>
          <w:sz w:val="24"/>
          <w:u w:val="single"/>
        </w:rPr>
        <w:t>of</w:t>
      </w:r>
      <w:r>
        <w:rPr>
          <w:rFonts w:ascii="Bookman Old Style" w:hAnsi="Bookman Old Style"/>
          <w:i/>
          <w:spacing w:val="-3"/>
          <w:sz w:val="24"/>
        </w:rPr>
        <w:t xml:space="preserve"> </w:t>
      </w:r>
      <w:r>
        <w:rPr>
          <w:rFonts w:ascii="Bookman Old Style" w:hAnsi="Bookman Old Style"/>
          <w:i/>
          <w:sz w:val="24"/>
          <w:u w:val="single"/>
        </w:rPr>
        <w:t>such protection necessarily assumes the continuance of</w:t>
      </w:r>
      <w:r>
        <w:rPr>
          <w:rFonts w:ascii="Bookman Old Style" w:hAnsi="Bookman Old Style"/>
          <w:i/>
          <w:sz w:val="24"/>
        </w:rPr>
        <w:t xml:space="preserve"> </w:t>
      </w:r>
      <w:r>
        <w:rPr>
          <w:rFonts w:ascii="Bookman Old Style" w:hAnsi="Bookman Old Style"/>
          <w:i/>
          <w:sz w:val="24"/>
          <w:u w:val="single"/>
        </w:rPr>
        <w:t>the community so organised. T</w:t>
      </w:r>
      <w:r>
        <w:rPr>
          <w:rFonts w:ascii="Bookman Old Style" w:hAnsi="Bookman Old Style"/>
          <w:i/>
          <w:sz w:val="24"/>
          <w:u w:val="single"/>
        </w:rPr>
        <w:t>his view makes it possible</w:t>
      </w:r>
      <w:r>
        <w:rPr>
          <w:rFonts w:ascii="Bookman Old Style" w:hAnsi="Bookman Old Style"/>
          <w:i/>
          <w:sz w:val="24"/>
        </w:rPr>
        <w:t xml:space="preserve"> </w:t>
      </w:r>
      <w:r>
        <w:rPr>
          <w:rFonts w:ascii="Bookman Old Style" w:hAnsi="Bookman Old Style"/>
          <w:i/>
          <w:sz w:val="24"/>
          <w:u w:val="single"/>
        </w:rPr>
        <w:t xml:space="preserve">to reconcile religious freedom </w:t>
      </w:r>
      <w:r>
        <w:rPr>
          <w:rFonts w:ascii="Bookman Old Style" w:hAnsi="Bookman Old Style"/>
          <w:i/>
          <w:spacing w:val="-3"/>
          <w:sz w:val="24"/>
          <w:u w:val="single"/>
        </w:rPr>
        <w:t xml:space="preserve">with </w:t>
      </w:r>
      <w:r>
        <w:rPr>
          <w:rFonts w:ascii="Bookman Old Style" w:hAnsi="Bookman Old Style"/>
          <w:i/>
          <w:sz w:val="24"/>
          <w:u w:val="single"/>
        </w:rPr>
        <w:t>ordered government.</w:t>
      </w:r>
      <w:r>
        <w:rPr>
          <w:rFonts w:ascii="Bookman Old Style" w:hAnsi="Bookman Old Style"/>
          <w:i/>
          <w:sz w:val="24"/>
        </w:rPr>
        <w:t xml:space="preserve"> It does not mean that the mere fact that the Commonwealth Parliament passes a law in the belief that it </w:t>
      </w:r>
      <w:r>
        <w:rPr>
          <w:rFonts w:ascii="Bookman Old Style" w:hAnsi="Bookman Old Style"/>
          <w:i/>
          <w:spacing w:val="-3"/>
          <w:sz w:val="24"/>
        </w:rPr>
        <w:t xml:space="preserve">will </w:t>
      </w:r>
      <w:r>
        <w:rPr>
          <w:rFonts w:ascii="Bookman Old Style" w:hAnsi="Bookman Old Style"/>
          <w:i/>
          <w:sz w:val="24"/>
        </w:rPr>
        <w:t xml:space="preserve">promote peace, order and good government of Australia precludes </w:t>
      </w:r>
      <w:r>
        <w:rPr>
          <w:rFonts w:ascii="Bookman Old Style" w:hAnsi="Bookman Old Style"/>
          <w:i/>
          <w:sz w:val="24"/>
        </w:rPr>
        <w:t xml:space="preserve">any consideration by a court of the question whether that question by Parliament would remove all reality </w:t>
      </w:r>
      <w:r>
        <w:rPr>
          <w:rFonts w:ascii="Bookman Old Style" w:hAnsi="Bookman Old Style"/>
          <w:i/>
          <w:spacing w:val="2"/>
          <w:sz w:val="24"/>
        </w:rPr>
        <w:t xml:space="preserve">from </w:t>
      </w:r>
      <w:r>
        <w:rPr>
          <w:rFonts w:ascii="Bookman Old Style" w:hAnsi="Bookman Old Style"/>
          <w:i/>
          <w:sz w:val="24"/>
        </w:rPr>
        <w:t xml:space="preserve">the constitutional guarantee. That guarantee </w:t>
      </w:r>
      <w:r>
        <w:rPr>
          <w:rFonts w:ascii="Bookman Old Style" w:hAnsi="Bookman Old Style"/>
          <w:i/>
          <w:spacing w:val="-3"/>
          <w:sz w:val="24"/>
        </w:rPr>
        <w:t xml:space="preserve">is </w:t>
      </w:r>
      <w:r>
        <w:rPr>
          <w:rFonts w:ascii="Bookman Old Style" w:hAnsi="Bookman Old Style"/>
          <w:i/>
          <w:sz w:val="24"/>
        </w:rPr>
        <w:t xml:space="preserve">intended to limit the sphere of action of the legislature. </w:t>
      </w:r>
      <w:r>
        <w:rPr>
          <w:rFonts w:ascii="Bookman Old Style" w:hAnsi="Bookman Old Style"/>
          <w:i/>
          <w:sz w:val="24"/>
          <w:u w:val="single"/>
        </w:rPr>
        <w:t>The</w:t>
      </w:r>
      <w:r>
        <w:rPr>
          <w:rFonts w:ascii="Bookman Old Style" w:hAnsi="Bookman Old Style"/>
          <w:i/>
          <w:sz w:val="24"/>
        </w:rPr>
        <w:t xml:space="preserve"> </w:t>
      </w:r>
      <w:r>
        <w:rPr>
          <w:rFonts w:ascii="Bookman Old Style" w:hAnsi="Bookman Old Style"/>
          <w:i/>
          <w:sz w:val="24"/>
          <w:u w:val="single"/>
        </w:rPr>
        <w:t>interpretation and application of the guarantee cannot,</w:t>
      </w:r>
      <w:r>
        <w:rPr>
          <w:rFonts w:ascii="Bookman Old Style" w:hAnsi="Bookman Old Style"/>
          <w:i/>
          <w:sz w:val="24"/>
        </w:rPr>
        <w:t xml:space="preserve"> </w:t>
      </w:r>
      <w:r>
        <w:rPr>
          <w:rFonts w:ascii="Bookman Old Style" w:hAnsi="Bookman Old Style"/>
          <w:i/>
          <w:sz w:val="24"/>
          <w:u w:val="single"/>
        </w:rPr>
        <w:t xml:space="preserve">under our Constitution, be left to Parliament. </w:t>
      </w:r>
      <w:r>
        <w:rPr>
          <w:rFonts w:ascii="Bookman Old Style" w:hAnsi="Bookman Old Style"/>
          <w:i/>
          <w:spacing w:val="-3"/>
          <w:sz w:val="24"/>
          <w:u w:val="single"/>
        </w:rPr>
        <w:t>If the</w:t>
      </w:r>
      <w:r>
        <w:rPr>
          <w:rFonts w:ascii="Bookman Old Style" w:hAnsi="Bookman Old Style"/>
          <w:i/>
          <w:spacing w:val="-3"/>
          <w:sz w:val="24"/>
        </w:rPr>
        <w:t xml:space="preserve"> </w:t>
      </w:r>
      <w:r>
        <w:rPr>
          <w:rFonts w:ascii="Bookman Old Style" w:hAnsi="Bookman Old Style"/>
          <w:i/>
          <w:sz w:val="24"/>
          <w:u w:val="single"/>
        </w:rPr>
        <w:t>guarantee is to have any real significance it must be left to</w:t>
      </w:r>
      <w:r>
        <w:rPr>
          <w:rFonts w:ascii="Bookman Old Style" w:hAnsi="Bookman Old Style"/>
          <w:i/>
          <w:sz w:val="24"/>
        </w:rPr>
        <w:t xml:space="preserve"> </w:t>
      </w:r>
      <w:r>
        <w:rPr>
          <w:rFonts w:ascii="Bookman Old Style" w:hAnsi="Bookman Old Style"/>
          <w:i/>
          <w:sz w:val="24"/>
          <w:u w:val="single"/>
        </w:rPr>
        <w:t xml:space="preserve">the courts of justice to determine its meaning and </w:t>
      </w:r>
      <w:r>
        <w:rPr>
          <w:rFonts w:ascii="Bookman Old Style" w:hAnsi="Bookman Old Style"/>
          <w:i/>
          <w:spacing w:val="-3"/>
          <w:sz w:val="24"/>
          <w:u w:val="single"/>
        </w:rPr>
        <w:t xml:space="preserve">to </w:t>
      </w:r>
      <w:r>
        <w:rPr>
          <w:rFonts w:ascii="Bookman Old Style" w:hAnsi="Bookman Old Style"/>
          <w:i/>
          <w:sz w:val="24"/>
          <w:u w:val="single"/>
        </w:rPr>
        <w:t>give</w:t>
      </w:r>
      <w:r>
        <w:rPr>
          <w:rFonts w:ascii="Bookman Old Style" w:hAnsi="Bookman Old Style"/>
          <w:i/>
          <w:sz w:val="24"/>
        </w:rPr>
        <w:t xml:space="preserve"> </w:t>
      </w:r>
      <w:r>
        <w:rPr>
          <w:rFonts w:ascii="Bookman Old Style" w:hAnsi="Bookman Old Style"/>
          <w:i/>
          <w:sz w:val="24"/>
          <w:u w:val="single"/>
        </w:rPr>
        <w:t>effect to it by declaring</w:t>
      </w:r>
      <w:r>
        <w:rPr>
          <w:rFonts w:ascii="Bookman Old Style" w:hAnsi="Bookman Old Style"/>
          <w:i/>
          <w:sz w:val="24"/>
          <w:u w:val="single"/>
        </w:rPr>
        <w:t xml:space="preserve"> the invalidity of laws which</w:t>
      </w:r>
      <w:r>
        <w:rPr>
          <w:rFonts w:ascii="Bookman Old Style" w:hAnsi="Bookman Old Style"/>
          <w:i/>
          <w:sz w:val="24"/>
        </w:rPr>
        <w:t xml:space="preserve"> </w:t>
      </w:r>
      <w:r>
        <w:rPr>
          <w:rFonts w:ascii="Bookman Old Style" w:hAnsi="Bookman Old Style"/>
          <w:i/>
          <w:sz w:val="24"/>
          <w:u w:val="single"/>
        </w:rPr>
        <w:t>infringes it and by declining to enforce them. The courts</w:t>
      </w:r>
      <w:r>
        <w:rPr>
          <w:rFonts w:ascii="Bookman Old Style" w:hAnsi="Bookman Old Style"/>
          <w:i/>
          <w:sz w:val="24"/>
        </w:rPr>
        <w:t xml:space="preserve"> </w:t>
      </w:r>
      <w:r>
        <w:rPr>
          <w:rFonts w:ascii="Bookman Old Style" w:hAnsi="Bookman Old Style"/>
          <w:i/>
          <w:sz w:val="24"/>
          <w:u w:val="single"/>
        </w:rPr>
        <w:t>will therefore have the responsibility of determining</w:t>
      </w:r>
      <w:r>
        <w:rPr>
          <w:rFonts w:ascii="Bookman Old Style" w:hAnsi="Bookman Old Style"/>
          <w:i/>
          <w:sz w:val="24"/>
        </w:rPr>
        <w:t xml:space="preserve"> </w:t>
      </w:r>
      <w:r>
        <w:rPr>
          <w:rFonts w:ascii="Bookman Old Style" w:hAnsi="Bookman Old Style"/>
          <w:i/>
          <w:sz w:val="24"/>
          <w:u w:val="single"/>
        </w:rPr>
        <w:t>whether a particular law can fairly be regarded, as a law</w:t>
      </w:r>
      <w:r>
        <w:rPr>
          <w:rFonts w:ascii="Bookman Old Style" w:hAnsi="Bookman Old Style"/>
          <w:i/>
          <w:sz w:val="24"/>
        </w:rPr>
        <w:t xml:space="preserve"> </w:t>
      </w:r>
      <w:r>
        <w:rPr>
          <w:rFonts w:ascii="Bookman Old Style" w:hAnsi="Bookman Old Style"/>
          <w:i/>
          <w:sz w:val="24"/>
          <w:u w:val="single"/>
        </w:rPr>
        <w:t>to protect the existence of the community, or whether, o</w:t>
      </w:r>
      <w:r>
        <w:rPr>
          <w:rFonts w:ascii="Bookman Old Style" w:hAnsi="Bookman Old Style"/>
          <w:i/>
          <w:sz w:val="24"/>
          <w:u w:val="single"/>
        </w:rPr>
        <w:t>n</w:t>
      </w:r>
      <w:r>
        <w:rPr>
          <w:rFonts w:ascii="Bookman Old Style" w:hAnsi="Bookman Old Style"/>
          <w:i/>
          <w:sz w:val="24"/>
        </w:rPr>
        <w:t xml:space="preserve"> </w:t>
      </w:r>
      <w:r>
        <w:rPr>
          <w:rFonts w:ascii="Bookman Old Style" w:hAnsi="Bookman Old Style"/>
          <w:i/>
          <w:sz w:val="24"/>
          <w:u w:val="single"/>
        </w:rPr>
        <w:t>the other hand, it is a law for prohibiting the free exercise</w:t>
      </w:r>
      <w:r>
        <w:rPr>
          <w:rFonts w:ascii="Bookman Old Style" w:hAnsi="Bookman Old Style"/>
          <w:i/>
          <w:sz w:val="24"/>
        </w:rPr>
        <w:t xml:space="preserve"> </w:t>
      </w:r>
      <w:r>
        <w:rPr>
          <w:rFonts w:ascii="Bookman Old Style" w:hAnsi="Bookman Old Style"/>
          <w:i/>
          <w:sz w:val="24"/>
          <w:u w:val="single"/>
        </w:rPr>
        <w:t>of any religion</w:t>
      </w:r>
      <w:r>
        <w:rPr>
          <w:rFonts w:ascii="Bookman Old Style" w:hAnsi="Bookman Old Style"/>
          <w:i/>
          <w:sz w:val="24"/>
        </w:rPr>
        <w:t>…</w:t>
      </w:r>
    </w:p>
    <w:p w:rsidR="003B2FC0" w:rsidRDefault="00052A49">
      <w:pPr>
        <w:ind w:left="1677" w:right="833"/>
        <w:jc w:val="both"/>
        <w:rPr>
          <w:rFonts w:ascii="Bookman Old Style" w:hAnsi="Bookman Old Style"/>
          <w:i/>
          <w:sz w:val="24"/>
        </w:rPr>
      </w:pPr>
      <w:r>
        <w:rPr>
          <w:rFonts w:ascii="Bookman Old Style" w:hAnsi="Bookman Old Style"/>
          <w:i/>
          <w:sz w:val="24"/>
          <w:u w:val="single"/>
        </w:rPr>
        <w:t>What Latham, C.J. has said about the responsibility of the court</w:t>
      </w:r>
      <w:r>
        <w:rPr>
          <w:rFonts w:ascii="Bookman Old Style" w:hAnsi="Bookman Old Style"/>
          <w:i/>
          <w:sz w:val="24"/>
        </w:rPr>
        <w:t xml:space="preserve"> </w:t>
      </w:r>
      <w:r>
        <w:rPr>
          <w:rFonts w:ascii="Bookman Old Style" w:hAnsi="Bookman Old Style"/>
          <w:i/>
          <w:sz w:val="24"/>
          <w:u w:val="single"/>
        </w:rPr>
        <w:t>accords with what we have said about the function of the court</w:t>
      </w:r>
      <w:r>
        <w:rPr>
          <w:rFonts w:ascii="Bookman Old Style" w:hAnsi="Bookman Old Style"/>
          <w:i/>
          <w:sz w:val="24"/>
        </w:rPr>
        <w:t xml:space="preserve"> </w:t>
      </w:r>
      <w:r>
        <w:rPr>
          <w:rFonts w:ascii="Bookman Old Style" w:hAnsi="Bookman Old Style"/>
          <w:i/>
          <w:sz w:val="24"/>
          <w:u w:val="single"/>
        </w:rPr>
        <w:t>when a claim to the Fundamental Rights guarante</w:t>
      </w:r>
      <w:r>
        <w:rPr>
          <w:rFonts w:ascii="Bookman Old Style" w:hAnsi="Bookman Old Style"/>
          <w:i/>
          <w:sz w:val="24"/>
          <w:u w:val="single"/>
        </w:rPr>
        <w:t>ed by Article</w:t>
      </w:r>
      <w:r>
        <w:rPr>
          <w:rFonts w:ascii="Bookman Old Style" w:hAnsi="Bookman Old Style"/>
          <w:i/>
          <w:sz w:val="24"/>
        </w:rPr>
        <w:t xml:space="preserve"> </w:t>
      </w:r>
      <w:r>
        <w:rPr>
          <w:rFonts w:ascii="Bookman Old Style" w:hAnsi="Bookman Old Style"/>
          <w:i/>
          <w:sz w:val="24"/>
          <w:u w:val="single"/>
        </w:rPr>
        <w:t>25 is put forward</w:t>
      </w:r>
      <w:r>
        <w:rPr>
          <w:rFonts w:ascii="Bookman Old Style" w:hAnsi="Bookman Old Style"/>
          <w:i/>
          <w:sz w:val="24"/>
        </w:rPr>
        <w:t>…</w:t>
      </w:r>
    </w:p>
    <w:p w:rsidR="003B2FC0" w:rsidRDefault="00052A49">
      <w:pPr>
        <w:ind w:left="1677" w:right="837"/>
        <w:jc w:val="both"/>
        <w:rPr>
          <w:rFonts w:ascii="Bookman Old Style" w:hAnsi="Bookman Old Style"/>
          <w:i/>
          <w:sz w:val="24"/>
        </w:rPr>
      </w:pPr>
      <w:r>
        <w:rPr>
          <w:rFonts w:ascii="Bookman Old Style" w:hAnsi="Bookman Old Style"/>
          <w:i/>
          <w:sz w:val="24"/>
        </w:rPr>
        <w:t>…20…In Ratilal’s case we also notice that Mukherjea, J. quoted as appropriate Davar, J.’s following observations in Jamshed Ji</w:t>
      </w:r>
    </w:p>
    <w:p w:rsidR="003B2FC0" w:rsidRDefault="00052A49">
      <w:pPr>
        <w:spacing w:line="281" w:lineRule="exact"/>
        <w:ind w:left="1677"/>
        <w:jc w:val="both"/>
        <w:rPr>
          <w:rFonts w:ascii="Bookman Old Style"/>
          <w:i/>
          <w:sz w:val="24"/>
        </w:rPr>
      </w:pPr>
      <w:r>
        <w:rPr>
          <w:rFonts w:ascii="Bookman Old Style"/>
          <w:sz w:val="24"/>
        </w:rPr>
        <w:t xml:space="preserve">v. </w:t>
      </w:r>
      <w:r>
        <w:rPr>
          <w:rFonts w:ascii="Bookman Old Style"/>
          <w:i/>
          <w:sz w:val="24"/>
        </w:rPr>
        <w:t>Soonabai:</w:t>
      </w:r>
    </w:p>
    <w:p w:rsidR="003B2FC0" w:rsidRDefault="00052A49">
      <w:pPr>
        <w:ind w:left="1960" w:right="1115"/>
        <w:jc w:val="both"/>
        <w:rPr>
          <w:rFonts w:ascii="Bookman Old Style" w:hAnsi="Bookman Old Style"/>
          <w:i/>
          <w:sz w:val="24"/>
        </w:rPr>
      </w:pPr>
      <w:r>
        <w:rPr>
          <w:rFonts w:ascii="Bookman Old Style" w:hAnsi="Bookman Old Style"/>
          <w:i/>
          <w:sz w:val="24"/>
        </w:rPr>
        <w:t>If</w:t>
      </w:r>
      <w:r>
        <w:rPr>
          <w:rFonts w:ascii="Bookman Old Style" w:hAnsi="Bookman Old Style"/>
          <w:i/>
          <w:sz w:val="24"/>
          <w:u w:val="single"/>
        </w:rPr>
        <w:t xml:space="preserve"> this </w:t>
      </w:r>
      <w:r>
        <w:rPr>
          <w:rFonts w:ascii="Bookman Old Style" w:hAnsi="Bookman Old Style"/>
          <w:i/>
          <w:spacing w:val="-3"/>
          <w:sz w:val="24"/>
          <w:u w:val="single"/>
        </w:rPr>
        <w:t xml:space="preserve">is </w:t>
      </w:r>
      <w:r>
        <w:rPr>
          <w:rFonts w:ascii="Bookman Old Style" w:hAnsi="Bookman Old Style"/>
          <w:i/>
          <w:sz w:val="24"/>
          <w:u w:val="single"/>
        </w:rPr>
        <w:t>the belief of the Zoroastrian community, - a</w:t>
      </w:r>
      <w:r>
        <w:rPr>
          <w:rFonts w:ascii="Bookman Old Style" w:hAnsi="Bookman Old Style"/>
          <w:i/>
          <w:sz w:val="24"/>
        </w:rPr>
        <w:t xml:space="preserve"> </w:t>
      </w:r>
      <w:r>
        <w:rPr>
          <w:rFonts w:ascii="Bookman Old Style" w:hAnsi="Bookman Old Style"/>
          <w:i/>
          <w:sz w:val="24"/>
          <w:u w:val="single"/>
        </w:rPr>
        <w:t xml:space="preserve">secular Judge is bound </w:t>
      </w:r>
      <w:r>
        <w:rPr>
          <w:rFonts w:ascii="Bookman Old Style" w:hAnsi="Bookman Old Style"/>
          <w:i/>
          <w:spacing w:val="-3"/>
          <w:sz w:val="24"/>
          <w:u w:val="single"/>
        </w:rPr>
        <w:t xml:space="preserve">to </w:t>
      </w:r>
      <w:r>
        <w:rPr>
          <w:rFonts w:ascii="Bookman Old Style" w:hAnsi="Bookman Old Style"/>
          <w:i/>
          <w:sz w:val="24"/>
          <w:u w:val="single"/>
        </w:rPr>
        <w:t>a</w:t>
      </w:r>
      <w:r>
        <w:rPr>
          <w:rFonts w:ascii="Bookman Old Style" w:hAnsi="Bookman Old Style"/>
          <w:i/>
          <w:sz w:val="24"/>
          <w:u w:val="single"/>
        </w:rPr>
        <w:t xml:space="preserve">ccept that belief – it is not </w:t>
      </w:r>
      <w:r>
        <w:rPr>
          <w:rFonts w:ascii="Bookman Old Style" w:hAnsi="Bookman Old Style"/>
          <w:i/>
          <w:spacing w:val="2"/>
          <w:sz w:val="24"/>
          <w:u w:val="single"/>
        </w:rPr>
        <w:t>for</w:t>
      </w:r>
      <w:r>
        <w:rPr>
          <w:rFonts w:ascii="Bookman Old Style" w:hAnsi="Bookman Old Style"/>
          <w:i/>
          <w:spacing w:val="2"/>
          <w:sz w:val="24"/>
        </w:rPr>
        <w:t xml:space="preserve"> </w:t>
      </w:r>
      <w:r>
        <w:rPr>
          <w:rFonts w:ascii="Bookman Old Style" w:hAnsi="Bookman Old Style"/>
          <w:i/>
          <w:sz w:val="24"/>
          <w:u w:val="single"/>
        </w:rPr>
        <w:t>him to sit in judgment on that belief, he has no right to</w:t>
      </w:r>
      <w:r>
        <w:rPr>
          <w:rFonts w:ascii="Bookman Old Style" w:hAnsi="Bookman Old Style"/>
          <w:i/>
          <w:sz w:val="24"/>
        </w:rPr>
        <w:t xml:space="preserve"> </w:t>
      </w:r>
      <w:r>
        <w:rPr>
          <w:rFonts w:ascii="Bookman Old Style" w:hAnsi="Bookman Old Style"/>
          <w:i/>
          <w:sz w:val="24"/>
          <w:u w:val="single"/>
        </w:rPr>
        <w:t xml:space="preserve">interfere </w:t>
      </w:r>
      <w:r>
        <w:rPr>
          <w:rFonts w:ascii="Bookman Old Style" w:hAnsi="Bookman Old Style"/>
          <w:i/>
          <w:spacing w:val="-3"/>
          <w:sz w:val="24"/>
          <w:u w:val="single"/>
        </w:rPr>
        <w:t xml:space="preserve">with </w:t>
      </w:r>
      <w:r>
        <w:rPr>
          <w:rFonts w:ascii="Bookman Old Style" w:hAnsi="Bookman Old Style"/>
          <w:i/>
          <w:sz w:val="24"/>
          <w:u w:val="single"/>
        </w:rPr>
        <w:t xml:space="preserve">the conscience of a donor </w:t>
      </w:r>
      <w:r>
        <w:rPr>
          <w:rFonts w:ascii="Bookman Old Style" w:hAnsi="Bookman Old Style"/>
          <w:i/>
          <w:spacing w:val="-2"/>
          <w:sz w:val="24"/>
          <w:u w:val="single"/>
        </w:rPr>
        <w:t xml:space="preserve">who </w:t>
      </w:r>
      <w:r>
        <w:rPr>
          <w:rFonts w:ascii="Bookman Old Style" w:hAnsi="Bookman Old Style"/>
          <w:i/>
          <w:sz w:val="24"/>
          <w:u w:val="single"/>
        </w:rPr>
        <w:t>makes a gift</w:t>
      </w:r>
      <w:r>
        <w:rPr>
          <w:rFonts w:ascii="Bookman Old Style" w:hAnsi="Bookman Old Style"/>
          <w:i/>
          <w:sz w:val="24"/>
        </w:rPr>
        <w:t xml:space="preserve"> </w:t>
      </w:r>
      <w:r>
        <w:rPr>
          <w:rFonts w:ascii="Bookman Old Style" w:hAnsi="Bookman Old Style"/>
          <w:i/>
          <w:sz w:val="24"/>
          <w:u w:val="single"/>
        </w:rPr>
        <w:t xml:space="preserve">in favour of </w:t>
      </w:r>
      <w:r>
        <w:rPr>
          <w:rFonts w:ascii="Bookman Old Style" w:hAnsi="Bookman Old Style"/>
          <w:i/>
          <w:spacing w:val="-3"/>
          <w:sz w:val="24"/>
          <w:u w:val="single"/>
        </w:rPr>
        <w:t xml:space="preserve">what </w:t>
      </w:r>
      <w:r>
        <w:rPr>
          <w:rFonts w:ascii="Bookman Old Style" w:hAnsi="Bookman Old Style"/>
          <w:i/>
          <w:sz w:val="24"/>
          <w:u w:val="single"/>
        </w:rPr>
        <w:t>he believes to be the advancement of his</w:t>
      </w:r>
      <w:r>
        <w:rPr>
          <w:rFonts w:ascii="Bookman Old Style" w:hAnsi="Bookman Old Style"/>
          <w:i/>
          <w:sz w:val="24"/>
        </w:rPr>
        <w:t xml:space="preserve"> </w:t>
      </w:r>
      <w:r>
        <w:rPr>
          <w:rFonts w:ascii="Bookman Old Style" w:hAnsi="Bookman Old Style"/>
          <w:i/>
          <w:sz w:val="24"/>
          <w:u w:val="single"/>
        </w:rPr>
        <w:t>religion and the welfare of his community or</w:t>
      </w:r>
      <w:r>
        <w:rPr>
          <w:rFonts w:ascii="Bookman Old Style" w:hAnsi="Bookman Old Style"/>
          <w:i/>
          <w:spacing w:val="-3"/>
          <w:sz w:val="24"/>
          <w:u w:val="single"/>
        </w:rPr>
        <w:t xml:space="preserve"> </w:t>
      </w:r>
      <w:r>
        <w:rPr>
          <w:rFonts w:ascii="Bookman Old Style" w:hAnsi="Bookman Old Style"/>
          <w:i/>
          <w:sz w:val="24"/>
          <w:u w:val="single"/>
        </w:rPr>
        <w:t>mankind.</w:t>
      </w:r>
    </w:p>
    <w:p w:rsidR="003B2FC0" w:rsidRDefault="00052A49">
      <w:pPr>
        <w:spacing w:before="1"/>
        <w:ind w:left="1677" w:right="836"/>
        <w:jc w:val="both"/>
        <w:rPr>
          <w:rFonts w:ascii="Bookman Old Style" w:hAnsi="Bookman Old Style"/>
          <w:i/>
          <w:sz w:val="24"/>
        </w:rPr>
      </w:pPr>
      <w:r>
        <w:rPr>
          <w:rFonts w:ascii="Bookman Old Style" w:hAnsi="Bookman Old Style"/>
          <w:i/>
          <w:sz w:val="24"/>
        </w:rPr>
        <w:t xml:space="preserve">We do endorse the view suggested by Davar, J.’s observation that the question is not whether a particular religious belief is genuinely and conscientiously held as a part of the profession or practise of religion. </w:t>
      </w:r>
      <w:r>
        <w:rPr>
          <w:rFonts w:ascii="Bookman Old Style" w:hAnsi="Bookman Old Style"/>
          <w:i/>
          <w:sz w:val="24"/>
          <w:u w:val="single"/>
        </w:rPr>
        <w:t>Our personal views and reactions</w:t>
      </w:r>
      <w:r>
        <w:rPr>
          <w:rFonts w:ascii="Bookman Old Style" w:hAnsi="Bookman Old Style"/>
          <w:i/>
          <w:spacing w:val="47"/>
          <w:sz w:val="24"/>
          <w:u w:val="single"/>
        </w:rPr>
        <w:t xml:space="preserve"> </w:t>
      </w:r>
      <w:r>
        <w:rPr>
          <w:rFonts w:ascii="Bookman Old Style" w:hAnsi="Bookman Old Style"/>
          <w:i/>
          <w:sz w:val="24"/>
          <w:u w:val="single"/>
        </w:rPr>
        <w:t>are</w:t>
      </w:r>
    </w:p>
    <w:p w:rsidR="003B2FC0" w:rsidRDefault="003B2FC0">
      <w:pPr>
        <w:jc w:val="both"/>
        <w:rPr>
          <w:rFonts w:ascii="Bookman Old Style" w:hAnsi="Bookman Old Style"/>
          <w:sz w:val="24"/>
        </w:rPr>
        <w:sectPr w:rsidR="003B2FC0">
          <w:headerReference w:type="default" r:id="rId459"/>
          <w:footerReference w:type="default" r:id="rId460"/>
          <w:pgSz w:w="11910" w:h="16840"/>
          <w:pgMar w:top="1340" w:right="980" w:bottom="1220" w:left="1040" w:header="0" w:footer="1033" w:gutter="0"/>
          <w:pgNumType w:start="33"/>
          <w:cols w:space="720"/>
        </w:sectPr>
      </w:pPr>
    </w:p>
    <w:p w:rsidR="003B2FC0" w:rsidRDefault="00052A49">
      <w:pPr>
        <w:spacing w:before="81"/>
        <w:ind w:left="1677" w:right="840"/>
        <w:jc w:val="both"/>
        <w:rPr>
          <w:rFonts w:ascii="Bookman Old Style" w:hAnsi="Bookman Old Style"/>
          <w:sz w:val="24"/>
        </w:rPr>
      </w:pPr>
      <w:r>
        <w:rPr>
          <w:rFonts w:ascii="Bookman Old Style" w:hAnsi="Bookman Old Style"/>
          <w:i/>
          <w:sz w:val="24"/>
          <w:u w:val="single"/>
        </w:rPr>
        <w:t>irrelevant. If the belief is genuinely and conscientiously held it</w:t>
      </w:r>
      <w:r>
        <w:rPr>
          <w:rFonts w:ascii="Bookman Old Style" w:hAnsi="Bookman Old Style"/>
          <w:i/>
          <w:sz w:val="24"/>
        </w:rPr>
        <w:t xml:space="preserve"> </w:t>
      </w:r>
      <w:r>
        <w:rPr>
          <w:rFonts w:ascii="Bookman Old Style" w:hAnsi="Bookman Old Style"/>
          <w:i/>
          <w:sz w:val="24"/>
          <w:u w:val="single"/>
        </w:rPr>
        <w:t>attracts the protection of Article 25 but subject, of course, to the</w:t>
      </w:r>
      <w:r>
        <w:rPr>
          <w:rFonts w:ascii="Bookman Old Style" w:hAnsi="Bookman Old Style"/>
          <w:i/>
          <w:sz w:val="24"/>
        </w:rPr>
        <w:t xml:space="preserve"> </w:t>
      </w:r>
      <w:r>
        <w:rPr>
          <w:rFonts w:ascii="Bookman Old Style" w:hAnsi="Bookman Old Style"/>
          <w:i/>
          <w:sz w:val="24"/>
          <w:u w:val="single"/>
        </w:rPr>
        <w:t>inhibitions contained therein.</w:t>
      </w:r>
      <w:r>
        <w:rPr>
          <w:rFonts w:ascii="Bookman Old Style" w:hAnsi="Bookman Old Style"/>
          <w:sz w:val="24"/>
        </w:rPr>
        <w:t>”</w:t>
      </w:r>
    </w:p>
    <w:p w:rsidR="003B2FC0" w:rsidRDefault="00052A49">
      <w:pPr>
        <w:spacing w:line="281" w:lineRule="exact"/>
        <w:ind w:left="1622"/>
        <w:rPr>
          <w:rFonts w:ascii="Bookman Old Style"/>
          <w:sz w:val="24"/>
        </w:rPr>
      </w:pPr>
      <w:r>
        <w:rPr>
          <w:rFonts w:ascii="Bookman Old Style"/>
          <w:sz w:val="24"/>
        </w:rPr>
        <w:t>(Emphasis supplied; internal quotations a</w:t>
      </w:r>
      <w:r>
        <w:rPr>
          <w:rFonts w:ascii="Bookman Old Style"/>
          <w:sz w:val="24"/>
        </w:rPr>
        <w:t>nd footnotes omitted)</w:t>
      </w:r>
    </w:p>
    <w:p w:rsidR="003B2FC0" w:rsidRDefault="003B2FC0">
      <w:pPr>
        <w:pStyle w:val="BodyText"/>
        <w:spacing w:before="3"/>
        <w:rPr>
          <w:sz w:val="23"/>
        </w:rPr>
      </w:pPr>
    </w:p>
    <w:p w:rsidR="003B2FC0" w:rsidRDefault="00052A49">
      <w:pPr>
        <w:pStyle w:val="ListParagraph"/>
        <w:numPr>
          <w:ilvl w:val="1"/>
          <w:numId w:val="8"/>
        </w:numPr>
        <w:tabs>
          <w:tab w:val="left" w:pos="1253"/>
        </w:tabs>
        <w:spacing w:line="480" w:lineRule="auto"/>
        <w:ind w:right="454" w:hanging="710"/>
        <w:rPr>
          <w:rFonts w:ascii="Bookman Old Style"/>
          <w:sz w:val="24"/>
        </w:rPr>
      </w:pPr>
      <w:r>
        <w:rPr>
          <w:rFonts w:ascii="Bookman Old Style"/>
          <w:sz w:val="24"/>
        </w:rPr>
        <w:t xml:space="preserve">At this juncture, it would be apposite to deal with certain observations made by Gajendragadkar, J. in </w:t>
      </w:r>
      <w:r>
        <w:rPr>
          <w:rFonts w:ascii="Bookman Old Style"/>
          <w:i/>
          <w:sz w:val="24"/>
        </w:rPr>
        <w:t xml:space="preserve">Durgah Committee, Ajmer &amp; Anr. </w:t>
      </w:r>
      <w:r>
        <w:rPr>
          <w:rFonts w:ascii="Bookman Old Style"/>
          <w:sz w:val="24"/>
        </w:rPr>
        <w:t xml:space="preserve">v. </w:t>
      </w:r>
      <w:r>
        <w:rPr>
          <w:rFonts w:ascii="Bookman Old Style"/>
          <w:i/>
          <w:sz w:val="24"/>
        </w:rPr>
        <w:t xml:space="preserve">Syed Hussain Ali &amp; Ors. </w:t>
      </w:r>
      <w:r>
        <w:rPr>
          <w:rFonts w:ascii="Bookman Old Style"/>
          <w:sz w:val="24"/>
        </w:rPr>
        <w:t xml:space="preserve">(supra), and </w:t>
      </w:r>
      <w:r>
        <w:rPr>
          <w:rFonts w:ascii="Bookman Old Style"/>
          <w:i/>
          <w:sz w:val="24"/>
        </w:rPr>
        <w:t xml:space="preserve">Tilkayat Shri Govindlalji Maharaj etc. </w:t>
      </w:r>
      <w:r>
        <w:rPr>
          <w:rFonts w:ascii="Bookman Old Style"/>
          <w:sz w:val="24"/>
        </w:rPr>
        <w:t xml:space="preserve">v. </w:t>
      </w:r>
      <w:r>
        <w:rPr>
          <w:rFonts w:ascii="Bookman Old Style"/>
          <w:i/>
          <w:sz w:val="24"/>
        </w:rPr>
        <w:t>State of Rajasthan &amp; Ors.</w:t>
      </w:r>
      <w:r>
        <w:rPr>
          <w:rFonts w:ascii="Bookman Old Style"/>
          <w:i/>
          <w:spacing w:val="2"/>
          <w:sz w:val="24"/>
        </w:rPr>
        <w:t xml:space="preserve"> </w:t>
      </w:r>
      <w:r>
        <w:rPr>
          <w:rFonts w:ascii="Bookman Old Style"/>
          <w:sz w:val="24"/>
        </w:rPr>
        <w:t>(supra).</w:t>
      </w:r>
    </w:p>
    <w:p w:rsidR="003B2FC0" w:rsidRDefault="00052A49">
      <w:pPr>
        <w:spacing w:line="480" w:lineRule="auto"/>
        <w:ind w:left="1252" w:right="455" w:firstLine="424"/>
        <w:jc w:val="both"/>
        <w:rPr>
          <w:rFonts w:ascii="Bookman Old Style" w:hAnsi="Bookman Old Style"/>
          <w:sz w:val="16"/>
        </w:rPr>
      </w:pPr>
      <w:r>
        <w:rPr>
          <w:rFonts w:ascii="Bookman Old Style" w:hAnsi="Bookman Old Style"/>
          <w:sz w:val="24"/>
        </w:rPr>
        <w:t xml:space="preserve">In </w:t>
      </w:r>
      <w:r>
        <w:rPr>
          <w:rFonts w:ascii="Bookman Old Style" w:hAnsi="Bookman Old Style"/>
          <w:i/>
          <w:sz w:val="24"/>
        </w:rPr>
        <w:t xml:space="preserve">Durgah Committee, Ajmer &amp; Anr. </w:t>
      </w:r>
      <w:r>
        <w:rPr>
          <w:rFonts w:ascii="Bookman Old Style" w:hAnsi="Bookman Old Style"/>
          <w:sz w:val="24"/>
        </w:rPr>
        <w:t xml:space="preserve">v. </w:t>
      </w:r>
      <w:r>
        <w:rPr>
          <w:rFonts w:ascii="Bookman Old Style" w:hAnsi="Bookman Old Style"/>
          <w:i/>
          <w:sz w:val="24"/>
        </w:rPr>
        <w:t xml:space="preserve">Syed Hussain Ali &amp; Ors. </w:t>
      </w:r>
      <w:r>
        <w:rPr>
          <w:rFonts w:ascii="Bookman Old Style" w:hAnsi="Bookman Old Style"/>
          <w:sz w:val="24"/>
        </w:rPr>
        <w:t>(supra), a reference was made as to how practises emanating from superstition “</w:t>
      </w:r>
      <w:r>
        <w:rPr>
          <w:rFonts w:ascii="Bookman Old Style" w:hAnsi="Bookman Old Style"/>
          <w:i/>
          <w:sz w:val="24"/>
        </w:rPr>
        <w:t>…may in that sense be extraneous, and unessential accretions to religion itself…</w:t>
      </w:r>
      <w:r>
        <w:rPr>
          <w:rFonts w:ascii="Bookman Old Style" w:hAnsi="Bookman Old Style"/>
          <w:sz w:val="24"/>
        </w:rPr>
        <w:t>”</w:t>
      </w:r>
      <w:r>
        <w:rPr>
          <w:rFonts w:ascii="Bookman Old Style" w:hAnsi="Bookman Old Style"/>
          <w:sz w:val="24"/>
        </w:rPr>
        <w:t>.</w:t>
      </w:r>
      <w:r>
        <w:rPr>
          <w:rFonts w:ascii="Bookman Old Style" w:hAnsi="Bookman Old Style"/>
          <w:position w:val="6"/>
          <w:sz w:val="16"/>
        </w:rPr>
        <w:t>28</w:t>
      </w:r>
    </w:p>
    <w:p w:rsidR="003B2FC0" w:rsidRDefault="00052A49">
      <w:pPr>
        <w:spacing w:line="480" w:lineRule="auto"/>
        <w:ind w:left="1252" w:right="456" w:firstLine="424"/>
        <w:jc w:val="both"/>
        <w:rPr>
          <w:rFonts w:ascii="Bookman Old Style"/>
          <w:sz w:val="24"/>
        </w:rPr>
      </w:pPr>
      <w:r>
        <w:rPr>
          <w:rFonts w:ascii="Bookman Old Style"/>
          <w:sz w:val="24"/>
        </w:rPr>
        <w:t xml:space="preserve">Similarly, in </w:t>
      </w:r>
      <w:r>
        <w:rPr>
          <w:rFonts w:ascii="Bookman Old Style"/>
          <w:i/>
          <w:sz w:val="24"/>
        </w:rPr>
        <w:t xml:space="preserve">Tilkayat Shri Govindlalji Maharaj etc. </w:t>
      </w:r>
      <w:r>
        <w:rPr>
          <w:rFonts w:ascii="Bookman Old Style"/>
          <w:sz w:val="24"/>
        </w:rPr>
        <w:t xml:space="preserve">v. </w:t>
      </w:r>
      <w:r>
        <w:rPr>
          <w:rFonts w:ascii="Bookman Old Style"/>
          <w:i/>
          <w:sz w:val="24"/>
        </w:rPr>
        <w:t xml:space="preserve">State of Rajasthan &amp; Ors. </w:t>
      </w:r>
      <w:r>
        <w:rPr>
          <w:rFonts w:ascii="Bookman Old Style"/>
          <w:sz w:val="24"/>
        </w:rPr>
        <w:t>(supra), an argument was made by Senior Advocate</w:t>
      </w:r>
    </w:p>
    <w:p w:rsidR="003B2FC0" w:rsidRDefault="00052A49">
      <w:pPr>
        <w:spacing w:line="480" w:lineRule="auto"/>
        <w:ind w:left="1252" w:right="453"/>
        <w:jc w:val="both"/>
        <w:rPr>
          <w:rFonts w:ascii="Bookman Old Style" w:hAnsi="Bookman Old Style"/>
          <w:sz w:val="16"/>
        </w:rPr>
      </w:pPr>
      <w:r>
        <w:rPr>
          <w:rFonts w:ascii="Bookman Old Style" w:hAnsi="Bookman Old Style"/>
          <w:sz w:val="24"/>
        </w:rPr>
        <w:t xml:space="preserve">G.S. Pathak relying on the statement of Latham, C.J. in </w:t>
      </w:r>
      <w:r>
        <w:rPr>
          <w:rFonts w:ascii="Bookman Old Style" w:hAnsi="Bookman Old Style"/>
          <w:i/>
          <w:sz w:val="24"/>
        </w:rPr>
        <w:t xml:space="preserve">Adelaide Company of Jehovah’s Witnesses Incorporated </w:t>
      </w:r>
      <w:r>
        <w:rPr>
          <w:rFonts w:ascii="Bookman Old Style" w:hAnsi="Bookman Old Style"/>
          <w:sz w:val="24"/>
        </w:rPr>
        <w:t xml:space="preserve">v. </w:t>
      </w:r>
      <w:r>
        <w:rPr>
          <w:rFonts w:ascii="Bookman Old Style" w:hAnsi="Bookman Old Style"/>
          <w:i/>
          <w:sz w:val="24"/>
        </w:rPr>
        <w:t xml:space="preserve">The Commonwealth </w:t>
      </w:r>
      <w:r>
        <w:rPr>
          <w:rFonts w:ascii="Bookman Old Style" w:hAnsi="Bookman Old Style"/>
          <w:sz w:val="24"/>
        </w:rPr>
        <w:t>(supra) that “</w:t>
      </w:r>
      <w:r>
        <w:rPr>
          <w:rFonts w:ascii="Bookman Old Style" w:hAnsi="Bookman Old Style"/>
          <w:i/>
          <w:sz w:val="24"/>
        </w:rPr>
        <w:t>…what is religion to one is superstition to another…</w:t>
      </w:r>
      <w:r>
        <w:rPr>
          <w:rFonts w:ascii="Bookman Old Style" w:hAnsi="Bookman Old Style"/>
          <w:sz w:val="24"/>
        </w:rPr>
        <w:t>”</w:t>
      </w:r>
      <w:r>
        <w:rPr>
          <w:rFonts w:ascii="Bookman Old Style" w:hAnsi="Bookman Old Style"/>
          <w:position w:val="6"/>
          <w:sz w:val="16"/>
        </w:rPr>
        <w:t>29</w:t>
      </w:r>
      <w:r>
        <w:rPr>
          <w:rFonts w:ascii="Bookman Old Style" w:hAnsi="Bookman Old Style"/>
          <w:sz w:val="24"/>
        </w:rPr>
        <w:t>. The argument was rejected by Gajendragadkar, J. as being “</w:t>
      </w:r>
      <w:r>
        <w:rPr>
          <w:rFonts w:ascii="Bookman Old Style" w:hAnsi="Bookman Old Style"/>
          <w:i/>
          <w:sz w:val="24"/>
        </w:rPr>
        <w:t>…of no relevance…</w:t>
      </w:r>
      <w:r>
        <w:rPr>
          <w:rFonts w:ascii="Bookman Old Style" w:hAnsi="Bookman Old Style"/>
          <w:sz w:val="24"/>
        </w:rPr>
        <w:t>”.</w:t>
      </w:r>
      <w:r>
        <w:rPr>
          <w:rFonts w:ascii="Bookman Old Style" w:hAnsi="Bookman Old Style"/>
          <w:position w:val="6"/>
          <w:sz w:val="16"/>
        </w:rPr>
        <w:t>30</w:t>
      </w:r>
    </w:p>
    <w:p w:rsidR="003B2FC0" w:rsidRDefault="003B2FC0">
      <w:pPr>
        <w:spacing w:line="480" w:lineRule="auto"/>
        <w:ind w:left="1252" w:right="453" w:firstLine="424"/>
        <w:jc w:val="both"/>
        <w:rPr>
          <w:rFonts w:ascii="Bookman Old Style" w:hAnsi="Bookman Old Style"/>
          <w:sz w:val="24"/>
        </w:rPr>
      </w:pPr>
      <w:r w:rsidRPr="003B2FC0">
        <w:pict>
          <v:line id="_x0000_s1044" style="position:absolute;left:0;text-align:left;z-index:-251618816;mso-position-horizontal-relative:page" from="1in,164.65pt" to="216.05pt,164.65pt" strokeweight=".72pt">
            <w10:wrap anchorx="page"/>
          </v:line>
        </w:pict>
      </w:r>
      <w:r w:rsidR="00052A49">
        <w:rPr>
          <w:rFonts w:ascii="Bookman Old Style" w:hAnsi="Bookman Old Style"/>
          <w:sz w:val="24"/>
        </w:rPr>
        <w:t xml:space="preserve">Mr. H.M. Seervai, well-known Constitutional expert and jurist, in his seminal treatise </w:t>
      </w:r>
      <w:r w:rsidR="00052A49">
        <w:rPr>
          <w:rFonts w:ascii="Bookman Old Style" w:hAnsi="Bookman Old Style"/>
          <w:sz w:val="24"/>
        </w:rPr>
        <w:t>titled ‘</w:t>
      </w:r>
      <w:r w:rsidR="00052A49">
        <w:rPr>
          <w:rFonts w:ascii="Bookman Old Style" w:hAnsi="Bookman Old Style"/>
          <w:i/>
          <w:sz w:val="24"/>
        </w:rPr>
        <w:t>Constitutional Law of India: A Critical Commentary</w:t>
      </w:r>
      <w:r w:rsidR="00052A49">
        <w:rPr>
          <w:rFonts w:ascii="Bookman Old Style" w:hAnsi="Bookman Old Style"/>
          <w:sz w:val="24"/>
        </w:rPr>
        <w:t xml:space="preserve">’, has remarked that the observations of Gajendragadkar, J. in </w:t>
      </w:r>
      <w:r w:rsidR="00052A49">
        <w:rPr>
          <w:rFonts w:ascii="Bookman Old Style" w:hAnsi="Bookman Old Style"/>
          <w:i/>
          <w:sz w:val="24"/>
        </w:rPr>
        <w:t xml:space="preserve">Durgah Committee, Ajmer &amp; Anr. </w:t>
      </w:r>
      <w:r w:rsidR="00052A49">
        <w:rPr>
          <w:rFonts w:ascii="Bookman Old Style" w:hAnsi="Bookman Old Style"/>
          <w:sz w:val="24"/>
        </w:rPr>
        <w:t xml:space="preserve">v. </w:t>
      </w:r>
      <w:r w:rsidR="00052A49">
        <w:rPr>
          <w:rFonts w:ascii="Bookman Old Style" w:hAnsi="Bookman Old Style"/>
          <w:i/>
          <w:sz w:val="24"/>
        </w:rPr>
        <w:t xml:space="preserve">Syed Hussain Ali &amp; Ors. </w:t>
      </w:r>
      <w:r w:rsidR="00052A49">
        <w:rPr>
          <w:rFonts w:ascii="Bookman Old Style" w:hAnsi="Bookman Old Style"/>
          <w:sz w:val="24"/>
        </w:rPr>
        <w:t xml:space="preserve">(supra) are </w:t>
      </w:r>
      <w:r w:rsidR="00052A49">
        <w:rPr>
          <w:rFonts w:ascii="Bookman Old Style" w:hAnsi="Bookman Old Style"/>
          <w:i/>
          <w:sz w:val="24"/>
        </w:rPr>
        <w:t>obiter</w:t>
      </w:r>
      <w:r w:rsidR="00052A49">
        <w:rPr>
          <w:rFonts w:ascii="Bookman Old Style" w:hAnsi="Bookman Old Style"/>
          <w:sz w:val="24"/>
        </w:rPr>
        <w:t>. It is inconsistent with the observations of Mukherjea, J.</w:t>
      </w:r>
      <w:r w:rsidR="00052A49">
        <w:rPr>
          <w:rFonts w:ascii="Bookman Old Style" w:hAnsi="Bookman Old Style"/>
          <w:sz w:val="24"/>
        </w:rPr>
        <w:t xml:space="preserve"> in the previous decision of</w:t>
      </w:r>
      <w:r w:rsidR="00052A49">
        <w:rPr>
          <w:rFonts w:ascii="Bookman Old Style" w:hAnsi="Bookman Old Style"/>
          <w:spacing w:val="54"/>
          <w:sz w:val="24"/>
        </w:rPr>
        <w:t xml:space="preserve"> </w:t>
      </w:r>
      <w:r w:rsidR="00052A49">
        <w:rPr>
          <w:rFonts w:ascii="Bookman Old Style" w:hAnsi="Bookman Old Style"/>
          <w:sz w:val="24"/>
        </w:rPr>
        <w:t>a</w:t>
      </w:r>
    </w:p>
    <w:p w:rsidR="003B2FC0" w:rsidRDefault="00052A49">
      <w:pPr>
        <w:spacing w:before="21"/>
        <w:ind w:left="400"/>
        <w:rPr>
          <w:rFonts w:ascii="Bookman Old Style"/>
          <w:sz w:val="20"/>
        </w:rPr>
      </w:pPr>
      <w:r>
        <w:rPr>
          <w:rFonts w:ascii="Bookman Old Style"/>
          <w:position w:val="5"/>
          <w:sz w:val="13"/>
        </w:rPr>
        <w:t xml:space="preserve">28 </w:t>
      </w:r>
      <w:r>
        <w:rPr>
          <w:rFonts w:ascii="Bookman Old Style"/>
          <w:sz w:val="20"/>
        </w:rPr>
        <w:t>(1962) 1 SCR 383 : AIR 1961 SC 1402 : at paragraph 33</w:t>
      </w:r>
    </w:p>
    <w:p w:rsidR="003B2FC0" w:rsidRDefault="00052A49">
      <w:pPr>
        <w:spacing w:before="1"/>
        <w:ind w:left="400"/>
        <w:rPr>
          <w:rFonts w:ascii="Bookman Old Style"/>
          <w:sz w:val="20"/>
        </w:rPr>
      </w:pPr>
      <w:r>
        <w:rPr>
          <w:rFonts w:ascii="Bookman Old Style"/>
          <w:position w:val="5"/>
          <w:sz w:val="13"/>
        </w:rPr>
        <w:t xml:space="preserve">29 </w:t>
      </w:r>
      <w:r>
        <w:rPr>
          <w:rFonts w:ascii="Bookman Old Style"/>
          <w:sz w:val="20"/>
        </w:rPr>
        <w:t>(1964) 1 SCR 561 : AIR 1963 SC 1638, at paragraph</w:t>
      </w:r>
      <w:r>
        <w:rPr>
          <w:rFonts w:ascii="Bookman Old Style"/>
          <w:spacing w:val="-12"/>
          <w:sz w:val="20"/>
        </w:rPr>
        <w:t xml:space="preserve"> </w:t>
      </w:r>
      <w:r>
        <w:rPr>
          <w:rFonts w:ascii="Bookman Old Style"/>
          <w:sz w:val="20"/>
        </w:rPr>
        <w:t>59</w:t>
      </w:r>
    </w:p>
    <w:p w:rsidR="003B2FC0" w:rsidRDefault="00052A49">
      <w:pPr>
        <w:ind w:left="400"/>
        <w:rPr>
          <w:rFonts w:ascii="Bookman Old Style"/>
          <w:sz w:val="20"/>
        </w:rPr>
      </w:pPr>
      <w:r>
        <w:rPr>
          <w:rFonts w:ascii="Bookman Old Style"/>
          <w:position w:val="5"/>
          <w:sz w:val="13"/>
        </w:rPr>
        <w:t xml:space="preserve">30 </w:t>
      </w:r>
      <w:r>
        <w:rPr>
          <w:rFonts w:ascii="Bookman Old Style"/>
          <w:sz w:val="20"/>
        </w:rPr>
        <w:t>(1964) 1 SCR 561 : AIR 1963 SC 1638, at paragraph</w:t>
      </w:r>
      <w:r>
        <w:rPr>
          <w:rFonts w:ascii="Bookman Old Style"/>
          <w:spacing w:val="-9"/>
          <w:sz w:val="20"/>
        </w:rPr>
        <w:t xml:space="preserve"> </w:t>
      </w:r>
      <w:r>
        <w:rPr>
          <w:rFonts w:ascii="Bookman Old Style"/>
          <w:sz w:val="20"/>
        </w:rPr>
        <w:t>59</w:t>
      </w:r>
    </w:p>
    <w:p w:rsidR="003B2FC0" w:rsidRDefault="003B2FC0">
      <w:pPr>
        <w:rPr>
          <w:rFonts w:ascii="Bookman Old Style"/>
          <w:sz w:val="20"/>
        </w:rPr>
        <w:sectPr w:rsidR="003B2FC0">
          <w:headerReference w:type="default" r:id="rId461"/>
          <w:footerReference w:type="default" r:id="rId462"/>
          <w:pgSz w:w="11910" w:h="16840"/>
          <w:pgMar w:top="1340" w:right="980" w:bottom="1220" w:left="1040" w:header="0" w:footer="1033" w:gutter="0"/>
          <w:pgNumType w:start="34"/>
          <w:cols w:space="720"/>
        </w:sectPr>
      </w:pPr>
    </w:p>
    <w:p w:rsidR="003B2FC0" w:rsidRDefault="00052A49">
      <w:pPr>
        <w:spacing w:before="83" w:line="480" w:lineRule="auto"/>
        <w:ind w:left="1252" w:right="453"/>
        <w:jc w:val="both"/>
        <w:rPr>
          <w:rFonts w:ascii="Bookman Old Style"/>
          <w:sz w:val="24"/>
        </w:rPr>
      </w:pPr>
      <w:r>
        <w:rPr>
          <w:rFonts w:ascii="Bookman Old Style"/>
          <w:sz w:val="24"/>
        </w:rPr>
        <w:t xml:space="preserve">Constitution Bench of seven Judges in </w:t>
      </w:r>
      <w:r>
        <w:rPr>
          <w:rFonts w:ascii="Bookman Old Style"/>
          <w:i/>
          <w:sz w:val="24"/>
        </w:rPr>
        <w:t xml:space="preserve">Commissioner, Hindu Religious Endowments, Madras </w:t>
      </w:r>
      <w:r>
        <w:rPr>
          <w:rFonts w:ascii="Bookman Old Style"/>
          <w:sz w:val="24"/>
        </w:rPr>
        <w:t xml:space="preserve">v. </w:t>
      </w:r>
      <w:r>
        <w:rPr>
          <w:rFonts w:ascii="Bookman Old Style"/>
          <w:i/>
          <w:sz w:val="24"/>
        </w:rPr>
        <w:t xml:space="preserve">Shri Lakshmindra Thirtha Swamiar of Sri Shirur Mutt </w:t>
      </w:r>
      <w:r>
        <w:rPr>
          <w:rFonts w:ascii="Bookman Old Style"/>
          <w:sz w:val="24"/>
        </w:rPr>
        <w:t xml:space="preserve">(supra), and a Constitution Bench of five Judges in </w:t>
      </w:r>
      <w:r>
        <w:rPr>
          <w:rFonts w:ascii="Bookman Old Style"/>
          <w:i/>
          <w:sz w:val="24"/>
        </w:rPr>
        <w:t xml:space="preserve">Ratilal Panachand Gandhi </w:t>
      </w:r>
      <w:r>
        <w:rPr>
          <w:rFonts w:ascii="Bookman Old Style"/>
          <w:sz w:val="24"/>
        </w:rPr>
        <w:t xml:space="preserve">v. </w:t>
      </w:r>
      <w:r>
        <w:rPr>
          <w:rFonts w:ascii="Bookman Old Style"/>
          <w:i/>
          <w:sz w:val="24"/>
        </w:rPr>
        <w:t>The State of Bombay &amp; Ors.</w:t>
      </w:r>
      <w:r>
        <w:rPr>
          <w:rFonts w:ascii="Bookman Old Style"/>
          <w:position w:val="6"/>
          <w:sz w:val="16"/>
        </w:rPr>
        <w:t>31</w:t>
      </w:r>
      <w:r>
        <w:rPr>
          <w:rFonts w:ascii="Bookman Old Style"/>
          <w:sz w:val="24"/>
        </w:rPr>
        <w:t xml:space="preserve">. Mr. </w:t>
      </w:r>
      <w:r>
        <w:rPr>
          <w:rFonts w:ascii="Bookman Old Style"/>
          <w:sz w:val="24"/>
        </w:rPr>
        <w:t>Seervai comments as</w:t>
      </w:r>
      <w:r>
        <w:rPr>
          <w:rFonts w:ascii="Bookman Old Style"/>
          <w:spacing w:val="-2"/>
          <w:sz w:val="24"/>
        </w:rPr>
        <w:t xml:space="preserve"> </w:t>
      </w:r>
      <w:r>
        <w:rPr>
          <w:rFonts w:ascii="Bookman Old Style"/>
          <w:sz w:val="24"/>
        </w:rPr>
        <w:t>under:</w:t>
      </w:r>
    </w:p>
    <w:p w:rsidR="003B2FC0" w:rsidRDefault="00052A49">
      <w:pPr>
        <w:tabs>
          <w:tab w:val="left" w:pos="3941"/>
          <w:tab w:val="left" w:pos="4330"/>
          <w:tab w:val="left" w:pos="5052"/>
          <w:tab w:val="left" w:pos="6047"/>
          <w:tab w:val="left" w:pos="7753"/>
          <w:tab w:val="left" w:pos="8196"/>
          <w:tab w:val="left" w:pos="8715"/>
        </w:tabs>
        <w:spacing w:line="279" w:lineRule="exact"/>
        <w:ind w:left="1677"/>
        <w:rPr>
          <w:rFonts w:ascii="Bookman Old Style" w:hAnsi="Bookman Old Style"/>
          <w:i/>
          <w:sz w:val="24"/>
        </w:rPr>
      </w:pPr>
      <w:r>
        <w:rPr>
          <w:rFonts w:ascii="Bookman Old Style" w:hAnsi="Bookman Old Style"/>
          <w:sz w:val="24"/>
        </w:rPr>
        <w:t>“</w:t>
      </w:r>
      <w:r>
        <w:rPr>
          <w:rFonts w:ascii="Bookman Old Style" w:hAnsi="Bookman Old Style"/>
          <w:i/>
          <w:sz w:val="24"/>
        </w:rPr>
        <w:t>12.18…Although</w:t>
      </w:r>
      <w:r>
        <w:rPr>
          <w:rFonts w:ascii="Bookman Old Style" w:hAnsi="Bookman Old Style"/>
          <w:i/>
          <w:sz w:val="24"/>
        </w:rPr>
        <w:tab/>
        <w:t>it</w:t>
      </w:r>
      <w:r>
        <w:rPr>
          <w:rFonts w:ascii="Bookman Old Style" w:hAnsi="Bookman Old Style"/>
          <w:i/>
          <w:sz w:val="24"/>
        </w:rPr>
        <w:tab/>
      </w:r>
      <w:r>
        <w:rPr>
          <w:rFonts w:ascii="Bookman Old Style" w:hAnsi="Bookman Old Style"/>
          <w:i/>
          <w:spacing w:val="-4"/>
          <w:sz w:val="24"/>
        </w:rPr>
        <w:t>was</w:t>
      </w:r>
      <w:r>
        <w:rPr>
          <w:rFonts w:ascii="Bookman Old Style" w:hAnsi="Bookman Old Style"/>
          <w:i/>
          <w:spacing w:val="-4"/>
          <w:sz w:val="24"/>
        </w:rPr>
        <w:tab/>
      </w:r>
      <w:r>
        <w:rPr>
          <w:rFonts w:ascii="Bookman Old Style" w:hAnsi="Bookman Old Style"/>
          <w:i/>
          <w:sz w:val="24"/>
        </w:rPr>
        <w:t>wholly</w:t>
      </w:r>
      <w:r>
        <w:rPr>
          <w:rFonts w:ascii="Bookman Old Style" w:hAnsi="Bookman Old Style"/>
          <w:i/>
          <w:sz w:val="24"/>
        </w:rPr>
        <w:tab/>
        <w:t>unnecessary</w:t>
      </w:r>
      <w:r>
        <w:rPr>
          <w:rFonts w:ascii="Bookman Old Style" w:hAnsi="Bookman Old Style"/>
          <w:i/>
          <w:sz w:val="24"/>
        </w:rPr>
        <w:tab/>
        <w:t>to</w:t>
      </w:r>
      <w:r>
        <w:rPr>
          <w:rFonts w:ascii="Bookman Old Style" w:hAnsi="Bookman Old Style"/>
          <w:i/>
          <w:sz w:val="24"/>
        </w:rPr>
        <w:tab/>
        <w:t>do</w:t>
      </w:r>
      <w:r>
        <w:rPr>
          <w:rFonts w:ascii="Bookman Old Style" w:hAnsi="Bookman Old Style"/>
          <w:i/>
          <w:sz w:val="24"/>
        </w:rPr>
        <w:tab/>
        <w:t>so,</w:t>
      </w:r>
    </w:p>
    <w:p w:rsidR="003B2FC0" w:rsidRDefault="00052A49">
      <w:pPr>
        <w:spacing w:before="2" w:line="281" w:lineRule="exact"/>
        <w:ind w:left="1677"/>
        <w:rPr>
          <w:rFonts w:ascii="Bookman Old Style"/>
          <w:i/>
          <w:sz w:val="24"/>
        </w:rPr>
      </w:pPr>
      <w:r>
        <w:rPr>
          <w:rFonts w:ascii="Bookman Old Style"/>
          <w:i/>
          <w:sz w:val="24"/>
        </w:rPr>
        <w:t>Gajendragadkar, J. said:</w:t>
      </w:r>
    </w:p>
    <w:p w:rsidR="003B2FC0" w:rsidRDefault="00052A49">
      <w:pPr>
        <w:ind w:left="1960" w:right="1118"/>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it may not be out of place incidentally to strike a note of </w:t>
      </w:r>
      <w:r>
        <w:rPr>
          <w:rFonts w:ascii="Bookman Old Style" w:hAnsi="Bookman Old Style"/>
          <w:i/>
          <w:sz w:val="24"/>
        </w:rPr>
        <w:t xml:space="preserve">caution and observe that in order that the practises in question should be treated as a part of religion they must be regarded by the said religion as its essential </w:t>
      </w:r>
      <w:r>
        <w:rPr>
          <w:rFonts w:ascii="Bookman Old Style" w:hAnsi="Bookman Old Style"/>
          <w:i/>
          <w:spacing w:val="-3"/>
          <w:sz w:val="24"/>
        </w:rPr>
        <w:t xml:space="preserve">and </w:t>
      </w:r>
      <w:r>
        <w:rPr>
          <w:rFonts w:ascii="Bookman Old Style" w:hAnsi="Bookman Old Style"/>
          <w:i/>
          <w:sz w:val="24"/>
        </w:rPr>
        <w:t>integral part; otherwise even purely secular practises which are not an essential or an</w:t>
      </w:r>
      <w:r>
        <w:rPr>
          <w:rFonts w:ascii="Bookman Old Style" w:hAnsi="Bookman Old Style"/>
          <w:i/>
          <w:sz w:val="24"/>
        </w:rPr>
        <w:t xml:space="preserve"> integral part of religion are apt to be clothed </w:t>
      </w:r>
      <w:r>
        <w:rPr>
          <w:rFonts w:ascii="Bookman Old Style" w:hAnsi="Bookman Old Style"/>
          <w:i/>
          <w:spacing w:val="-3"/>
          <w:sz w:val="24"/>
        </w:rPr>
        <w:t xml:space="preserve">with </w:t>
      </w:r>
      <w:r>
        <w:rPr>
          <w:rFonts w:ascii="Bookman Old Style" w:hAnsi="Bookman Old Style"/>
          <w:i/>
          <w:sz w:val="24"/>
        </w:rPr>
        <w:t xml:space="preserve">a religious form and  may make a claim for being treated as religious practises within </w:t>
      </w:r>
      <w:r>
        <w:rPr>
          <w:rFonts w:ascii="Bookman Old Style" w:hAnsi="Bookman Old Style"/>
          <w:i/>
          <w:spacing w:val="-3"/>
          <w:sz w:val="24"/>
        </w:rPr>
        <w:t xml:space="preserve">the </w:t>
      </w:r>
      <w:r>
        <w:rPr>
          <w:rFonts w:ascii="Bookman Old Style" w:hAnsi="Bookman Old Style"/>
          <w:i/>
          <w:sz w:val="24"/>
        </w:rPr>
        <w:t>meaning of Article 26. Similarly, even practises though religious may have sprung from merely superstitious bel</w:t>
      </w:r>
      <w:r>
        <w:rPr>
          <w:rFonts w:ascii="Bookman Old Style" w:hAnsi="Bookman Old Style"/>
          <w:i/>
          <w:sz w:val="24"/>
        </w:rPr>
        <w:t xml:space="preserve">iefs and may in that sense be extraneous and unessential accretions </w:t>
      </w:r>
      <w:r>
        <w:rPr>
          <w:rFonts w:ascii="Bookman Old Style" w:hAnsi="Bookman Old Style"/>
          <w:i/>
          <w:spacing w:val="-3"/>
          <w:sz w:val="24"/>
        </w:rPr>
        <w:t xml:space="preserve">to </w:t>
      </w:r>
      <w:r>
        <w:rPr>
          <w:rFonts w:ascii="Bookman Old Style" w:hAnsi="Bookman Old Style"/>
          <w:i/>
          <w:sz w:val="24"/>
        </w:rPr>
        <w:t>religion itself. Unless such practises are found to constitute an essential and integral part of a religion their claim for the protection under Article 26 may have to be carefully scru</w:t>
      </w:r>
      <w:r>
        <w:rPr>
          <w:rFonts w:ascii="Bookman Old Style" w:hAnsi="Bookman Old Style"/>
          <w:i/>
          <w:sz w:val="24"/>
        </w:rPr>
        <w:t xml:space="preserve">tinised; </w:t>
      </w:r>
      <w:r>
        <w:rPr>
          <w:rFonts w:ascii="Bookman Old Style" w:hAnsi="Bookman Old Style"/>
          <w:i/>
          <w:spacing w:val="-3"/>
          <w:sz w:val="24"/>
        </w:rPr>
        <w:t xml:space="preserve">in </w:t>
      </w:r>
      <w:r>
        <w:rPr>
          <w:rFonts w:ascii="Bookman Old Style" w:hAnsi="Bookman Old Style"/>
          <w:i/>
          <w:sz w:val="24"/>
        </w:rPr>
        <w:t xml:space="preserve">other words, the protection must be confined to such religious practises as are an essential and </w:t>
      </w:r>
      <w:r>
        <w:rPr>
          <w:rFonts w:ascii="Bookman Old Style" w:hAnsi="Bookman Old Style"/>
          <w:i/>
          <w:spacing w:val="-3"/>
          <w:sz w:val="24"/>
        </w:rPr>
        <w:t xml:space="preserve">an </w:t>
      </w:r>
      <w:r>
        <w:rPr>
          <w:rFonts w:ascii="Bookman Old Style" w:hAnsi="Bookman Old Style"/>
          <w:i/>
          <w:sz w:val="24"/>
        </w:rPr>
        <w:t>integral part of it and no</w:t>
      </w:r>
      <w:r>
        <w:rPr>
          <w:rFonts w:ascii="Bookman Old Style" w:hAnsi="Bookman Old Style"/>
          <w:i/>
          <w:spacing w:val="-12"/>
          <w:sz w:val="24"/>
        </w:rPr>
        <w:t xml:space="preserve"> </w:t>
      </w:r>
      <w:r>
        <w:rPr>
          <w:rFonts w:ascii="Bookman Old Style" w:hAnsi="Bookman Old Style"/>
          <w:i/>
          <w:sz w:val="24"/>
        </w:rPr>
        <w:t>other.</w:t>
      </w:r>
    </w:p>
    <w:p w:rsidR="003B2FC0" w:rsidRDefault="00052A49">
      <w:pPr>
        <w:spacing w:before="1"/>
        <w:ind w:left="1677" w:right="833"/>
        <w:jc w:val="both"/>
        <w:rPr>
          <w:rFonts w:ascii="Bookman Old Style" w:hAnsi="Bookman Old Style"/>
          <w:i/>
          <w:sz w:val="24"/>
        </w:rPr>
      </w:pPr>
      <w:r>
        <w:rPr>
          <w:rFonts w:ascii="Bookman Old Style" w:hAnsi="Bookman Old Style"/>
          <w:i/>
          <w:sz w:val="24"/>
        </w:rPr>
        <w:t xml:space="preserve">It is submitted that </w:t>
      </w:r>
      <w:r>
        <w:rPr>
          <w:rFonts w:ascii="Bookman Old Style" w:hAnsi="Bookman Old Style"/>
          <w:i/>
          <w:sz w:val="24"/>
          <w:u w:val="single"/>
        </w:rPr>
        <w:t xml:space="preserve">the above obiter runs directly </w:t>
      </w:r>
      <w:r>
        <w:rPr>
          <w:rFonts w:ascii="Bookman Old Style" w:hAnsi="Bookman Old Style"/>
          <w:sz w:val="24"/>
          <w:u w:val="single"/>
        </w:rPr>
        <w:t xml:space="preserve">counter </w:t>
      </w:r>
      <w:r>
        <w:rPr>
          <w:rFonts w:ascii="Bookman Old Style" w:hAnsi="Bookman Old Style"/>
          <w:i/>
          <w:sz w:val="24"/>
          <w:u w:val="single"/>
        </w:rPr>
        <w:t>to the</w:t>
      </w:r>
      <w:r>
        <w:rPr>
          <w:rFonts w:ascii="Bookman Old Style" w:hAnsi="Bookman Old Style"/>
          <w:i/>
          <w:sz w:val="24"/>
        </w:rPr>
        <w:t xml:space="preserve"> </w:t>
      </w:r>
      <w:r>
        <w:rPr>
          <w:rFonts w:ascii="Bookman Old Style" w:hAnsi="Bookman Old Style"/>
          <w:i/>
          <w:sz w:val="24"/>
          <w:u w:val="single"/>
        </w:rPr>
        <w:t>judgment of Mukherjea, J. in the Shirur Mut</w:t>
      </w:r>
      <w:r>
        <w:rPr>
          <w:rFonts w:ascii="Bookman Old Style" w:hAnsi="Bookman Old Style"/>
          <w:i/>
          <w:sz w:val="24"/>
          <w:u w:val="single"/>
        </w:rPr>
        <w:t>t Case and</w:t>
      </w:r>
      <w:r>
        <w:rPr>
          <w:rFonts w:ascii="Bookman Old Style" w:hAnsi="Bookman Old Style"/>
          <w:i/>
          <w:sz w:val="24"/>
        </w:rPr>
        <w:t xml:space="preserve"> </w:t>
      </w:r>
      <w:r>
        <w:rPr>
          <w:rFonts w:ascii="Bookman Old Style" w:hAnsi="Bookman Old Style"/>
          <w:i/>
          <w:sz w:val="24"/>
          <w:u w:val="single"/>
        </w:rPr>
        <w:t>substitutes the view of the court for the view of the</w:t>
      </w:r>
      <w:r>
        <w:rPr>
          <w:rFonts w:ascii="Bookman Old Style" w:hAnsi="Bookman Old Style"/>
          <w:i/>
          <w:sz w:val="24"/>
        </w:rPr>
        <w:t xml:space="preserve"> </w:t>
      </w:r>
      <w:r>
        <w:rPr>
          <w:rFonts w:ascii="Bookman Old Style" w:hAnsi="Bookman Old Style"/>
          <w:i/>
          <w:sz w:val="24"/>
          <w:u w:val="single"/>
        </w:rPr>
        <w:t xml:space="preserve">denomination on what is essentially a matter of religion. </w:t>
      </w:r>
      <w:r>
        <w:rPr>
          <w:rFonts w:ascii="Bookman Old Style" w:hAnsi="Bookman Old Style"/>
          <w:i/>
          <w:sz w:val="24"/>
        </w:rPr>
        <w:t xml:space="preserve">The reference </w:t>
      </w:r>
      <w:r>
        <w:rPr>
          <w:rFonts w:ascii="Bookman Old Style" w:hAnsi="Bookman Old Style"/>
          <w:i/>
          <w:spacing w:val="-3"/>
          <w:sz w:val="24"/>
        </w:rPr>
        <w:t xml:space="preserve">to </w:t>
      </w:r>
      <w:r>
        <w:rPr>
          <w:rFonts w:ascii="Bookman Old Style" w:hAnsi="Bookman Old Style"/>
          <w:i/>
          <w:sz w:val="24"/>
        </w:rPr>
        <w:t xml:space="preserve">superstitious practises is singularly unfortunate, for </w:t>
      </w:r>
      <w:r>
        <w:rPr>
          <w:rFonts w:ascii="Bookman Old Style" w:hAnsi="Bookman Old Style"/>
          <w:i/>
          <w:sz w:val="24"/>
          <w:u w:val="single"/>
        </w:rPr>
        <w:t xml:space="preserve">what is ‘superstition’ </w:t>
      </w:r>
      <w:r>
        <w:rPr>
          <w:rFonts w:ascii="Bookman Old Style" w:hAnsi="Bookman Old Style"/>
          <w:i/>
          <w:spacing w:val="-3"/>
          <w:sz w:val="24"/>
          <w:u w:val="single"/>
        </w:rPr>
        <w:t xml:space="preserve">to </w:t>
      </w:r>
      <w:r>
        <w:rPr>
          <w:rFonts w:ascii="Bookman Old Style" w:hAnsi="Bookman Old Style"/>
          <w:i/>
          <w:sz w:val="24"/>
          <w:u w:val="single"/>
        </w:rPr>
        <w:t>one section of the public may be a</w:t>
      </w:r>
      <w:r>
        <w:rPr>
          <w:rFonts w:ascii="Bookman Old Style" w:hAnsi="Bookman Old Style"/>
          <w:i/>
          <w:sz w:val="24"/>
        </w:rPr>
        <w:t xml:space="preserve"> </w:t>
      </w:r>
      <w:r>
        <w:rPr>
          <w:rFonts w:ascii="Bookman Old Style" w:hAnsi="Bookman Old Style"/>
          <w:i/>
          <w:sz w:val="24"/>
          <w:u w:val="single"/>
        </w:rPr>
        <w:t>matter of fundamental religious belief to another.</w:t>
      </w:r>
      <w:r>
        <w:rPr>
          <w:rFonts w:ascii="Bookman Old Style" w:hAnsi="Bookman Old Style"/>
          <w:i/>
          <w:sz w:val="24"/>
        </w:rPr>
        <w:t xml:space="preserve"> Thus, for nearly 300 years bequests for masses for the soul of a testator were held void </w:t>
      </w:r>
      <w:r>
        <w:rPr>
          <w:rFonts w:ascii="Bookman Old Style" w:hAnsi="Bookman Old Style"/>
          <w:i/>
          <w:spacing w:val="-3"/>
          <w:sz w:val="24"/>
        </w:rPr>
        <w:t xml:space="preserve">as </w:t>
      </w:r>
      <w:r>
        <w:rPr>
          <w:rFonts w:ascii="Bookman Old Style" w:hAnsi="Bookman Old Style"/>
          <w:i/>
          <w:sz w:val="24"/>
        </w:rPr>
        <w:t xml:space="preserve">being for superstitious uses, till that view was overruled by the House of Lords </w:t>
      </w:r>
      <w:r>
        <w:rPr>
          <w:rFonts w:ascii="Bookman Old Style" w:hAnsi="Bookman Old Style"/>
          <w:i/>
          <w:spacing w:val="-3"/>
          <w:sz w:val="24"/>
        </w:rPr>
        <w:t xml:space="preserve">in </w:t>
      </w:r>
      <w:r>
        <w:rPr>
          <w:rFonts w:ascii="Bookman Old Style" w:hAnsi="Bookman Old Style"/>
          <w:i/>
          <w:sz w:val="24"/>
        </w:rPr>
        <w:t xml:space="preserve">Bourne </w:t>
      </w:r>
      <w:r>
        <w:rPr>
          <w:rFonts w:ascii="Bookman Old Style" w:hAnsi="Bookman Old Style"/>
          <w:sz w:val="24"/>
        </w:rPr>
        <w:t xml:space="preserve">v. </w:t>
      </w:r>
      <w:r>
        <w:rPr>
          <w:rFonts w:ascii="Bookman Old Style" w:hAnsi="Bookman Old Style"/>
          <w:i/>
          <w:sz w:val="24"/>
        </w:rPr>
        <w:t>Keane. It is submit</w:t>
      </w:r>
      <w:r>
        <w:rPr>
          <w:rFonts w:ascii="Bookman Old Style" w:hAnsi="Bookman Old Style"/>
          <w:i/>
          <w:sz w:val="24"/>
        </w:rPr>
        <w:t xml:space="preserve">ted </w:t>
      </w:r>
      <w:r>
        <w:rPr>
          <w:rFonts w:ascii="Bookman Old Style" w:hAnsi="Bookman Old Style"/>
          <w:i/>
          <w:sz w:val="24"/>
          <w:u w:val="single"/>
        </w:rPr>
        <w:t xml:space="preserve">that in dealing </w:t>
      </w:r>
      <w:r>
        <w:rPr>
          <w:rFonts w:ascii="Bookman Old Style" w:hAnsi="Bookman Old Style"/>
          <w:i/>
          <w:spacing w:val="-3"/>
          <w:sz w:val="24"/>
          <w:u w:val="single"/>
        </w:rPr>
        <w:t xml:space="preserve">with </w:t>
      </w:r>
      <w:r>
        <w:rPr>
          <w:rFonts w:ascii="Bookman Old Style" w:hAnsi="Bookman Old Style"/>
          <w:i/>
          <w:sz w:val="24"/>
          <w:u w:val="single"/>
        </w:rPr>
        <w:t>the practise of religion protected</w:t>
      </w:r>
      <w:r>
        <w:rPr>
          <w:rFonts w:ascii="Bookman Old Style" w:hAnsi="Bookman Old Style"/>
          <w:i/>
          <w:sz w:val="24"/>
        </w:rPr>
        <w:t xml:space="preserve"> </w:t>
      </w:r>
      <w:r>
        <w:rPr>
          <w:rFonts w:ascii="Bookman Old Style" w:hAnsi="Bookman Old Style"/>
          <w:i/>
          <w:sz w:val="24"/>
          <w:u w:val="single"/>
        </w:rPr>
        <w:t>by provisions</w:t>
      </w:r>
      <w:r>
        <w:rPr>
          <w:rFonts w:ascii="Bookman Old Style" w:hAnsi="Bookman Old Style"/>
          <w:i/>
          <w:sz w:val="24"/>
        </w:rPr>
        <w:t xml:space="preserve"> like those contained in s. 116, Commonwealth of Australia Act or </w:t>
      </w:r>
      <w:r>
        <w:rPr>
          <w:rFonts w:ascii="Bookman Old Style" w:hAnsi="Bookman Old Style"/>
          <w:i/>
          <w:spacing w:val="-3"/>
          <w:sz w:val="24"/>
        </w:rPr>
        <w:t xml:space="preserve">in </w:t>
      </w:r>
      <w:r>
        <w:rPr>
          <w:rFonts w:ascii="Bookman Old Style" w:hAnsi="Bookman Old Style"/>
          <w:i/>
          <w:sz w:val="24"/>
        </w:rPr>
        <w:t xml:space="preserve">Article 26(b) of our Constitution, </w:t>
      </w:r>
      <w:r>
        <w:rPr>
          <w:rFonts w:ascii="Bookman Old Style" w:hAnsi="Bookman Old Style"/>
          <w:i/>
          <w:sz w:val="24"/>
          <w:u w:val="single"/>
        </w:rPr>
        <w:t>it is</w:t>
      </w:r>
      <w:r>
        <w:rPr>
          <w:rFonts w:ascii="Bookman Old Style" w:hAnsi="Bookman Old Style"/>
          <w:i/>
          <w:sz w:val="24"/>
        </w:rPr>
        <w:t xml:space="preserve"> </w:t>
      </w:r>
      <w:r>
        <w:rPr>
          <w:rFonts w:ascii="Bookman Old Style" w:hAnsi="Bookman Old Style"/>
          <w:i/>
          <w:sz w:val="24"/>
          <w:u w:val="single"/>
        </w:rPr>
        <w:t>necessary to bear in mind the observations of Latham C.J.</w:t>
      </w:r>
      <w:r>
        <w:rPr>
          <w:rFonts w:ascii="Bookman Old Style" w:hAnsi="Bookman Old Style"/>
          <w:i/>
          <w:sz w:val="24"/>
        </w:rPr>
        <w:t xml:space="preserve"> </w:t>
      </w:r>
      <w:r>
        <w:rPr>
          <w:rFonts w:ascii="Bookman Old Style" w:hAnsi="Bookman Old Style"/>
          <w:i/>
          <w:sz w:val="24"/>
          <w:u w:val="single"/>
        </w:rPr>
        <w:t>quoted earlier, namely, that those provisions must be regarded</w:t>
      </w:r>
      <w:r>
        <w:rPr>
          <w:rFonts w:ascii="Bookman Old Style" w:hAnsi="Bookman Old Style"/>
          <w:i/>
          <w:sz w:val="24"/>
        </w:rPr>
        <w:t xml:space="preserve"> </w:t>
      </w:r>
      <w:r>
        <w:rPr>
          <w:rFonts w:ascii="Bookman Old Style" w:hAnsi="Bookman Old Style"/>
          <w:i/>
          <w:sz w:val="24"/>
          <w:u w:val="single"/>
        </w:rPr>
        <w:t xml:space="preserve">as operating in relation </w:t>
      </w:r>
      <w:r>
        <w:rPr>
          <w:rFonts w:ascii="Bookman Old Style" w:hAnsi="Bookman Old Style"/>
          <w:i/>
          <w:spacing w:val="-3"/>
          <w:sz w:val="24"/>
          <w:u w:val="single"/>
        </w:rPr>
        <w:t xml:space="preserve">to </w:t>
      </w:r>
      <w:r>
        <w:rPr>
          <w:rFonts w:ascii="Bookman Old Style" w:hAnsi="Bookman Old Style"/>
          <w:i/>
          <w:sz w:val="24"/>
          <w:u w:val="single"/>
        </w:rPr>
        <w:t>all aspects of religion, irrespective of</w:t>
      </w:r>
      <w:r>
        <w:rPr>
          <w:rFonts w:ascii="Bookman Old Style" w:hAnsi="Bookman Old Style"/>
          <w:i/>
          <w:sz w:val="24"/>
        </w:rPr>
        <w:t xml:space="preserve"> </w:t>
      </w:r>
      <w:r>
        <w:rPr>
          <w:rFonts w:ascii="Bookman Old Style" w:hAnsi="Bookman Old Style"/>
          <w:i/>
          <w:sz w:val="24"/>
          <w:u w:val="single"/>
        </w:rPr>
        <w:t xml:space="preserve">varying opinions </w:t>
      </w:r>
      <w:r>
        <w:rPr>
          <w:rFonts w:ascii="Bookman Old Style" w:hAnsi="Bookman Old Style"/>
          <w:i/>
          <w:spacing w:val="-3"/>
          <w:sz w:val="24"/>
          <w:u w:val="single"/>
        </w:rPr>
        <w:t xml:space="preserve">in </w:t>
      </w:r>
      <w:r>
        <w:rPr>
          <w:rFonts w:ascii="Bookman Old Style" w:hAnsi="Bookman Old Style"/>
          <w:i/>
          <w:sz w:val="24"/>
          <w:u w:val="single"/>
        </w:rPr>
        <w:t>the community as to the truth of a particular</w:t>
      </w:r>
      <w:r>
        <w:rPr>
          <w:rFonts w:ascii="Bookman Old Style" w:hAnsi="Bookman Old Style"/>
          <w:i/>
          <w:sz w:val="24"/>
        </w:rPr>
        <w:t xml:space="preserve"> </w:t>
      </w:r>
      <w:r>
        <w:rPr>
          <w:rFonts w:ascii="Bookman Old Style" w:hAnsi="Bookman Old Style"/>
          <w:i/>
          <w:sz w:val="24"/>
          <w:u w:val="single"/>
        </w:rPr>
        <w:t>religious doctrine or the goodness of conduct prescribed b</w:t>
      </w:r>
      <w:r>
        <w:rPr>
          <w:rFonts w:ascii="Bookman Old Style" w:hAnsi="Bookman Old Style"/>
          <w:i/>
          <w:sz w:val="24"/>
          <w:u w:val="single"/>
        </w:rPr>
        <w:t>y</w:t>
      </w:r>
      <w:r>
        <w:rPr>
          <w:rFonts w:ascii="Bookman Old Style" w:hAnsi="Bookman Old Style"/>
          <w:i/>
          <w:spacing w:val="24"/>
          <w:sz w:val="24"/>
          <w:u w:val="single"/>
        </w:rPr>
        <w:t xml:space="preserve"> </w:t>
      </w:r>
      <w:r>
        <w:rPr>
          <w:rFonts w:ascii="Bookman Old Style" w:hAnsi="Bookman Old Style"/>
          <w:i/>
          <w:sz w:val="24"/>
          <w:u w:val="single"/>
        </w:rPr>
        <w:t>a</w:t>
      </w:r>
    </w:p>
    <w:p w:rsidR="003B2FC0" w:rsidRDefault="003B2FC0">
      <w:pPr>
        <w:pStyle w:val="BodyText"/>
        <w:spacing w:before="9"/>
        <w:rPr>
          <w:i/>
          <w:sz w:val="27"/>
        </w:rPr>
      </w:pPr>
      <w:r w:rsidRPr="003B2FC0">
        <w:pict>
          <v:line id="_x0000_s1043" style="position:absolute;z-index:251670016;mso-wrap-distance-left:0;mso-wrap-distance-right:0;mso-position-horizontal-relative:page" from="1in,18.7pt" to="216.05pt,18.7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31 </w:t>
      </w:r>
      <w:r>
        <w:rPr>
          <w:rFonts w:ascii="Bookman Old Style"/>
          <w:sz w:val="20"/>
        </w:rPr>
        <w:t>1954 SCR 1055 : AIR 1954 SC 388</w:t>
      </w:r>
    </w:p>
    <w:p w:rsidR="003B2FC0" w:rsidRDefault="003B2FC0">
      <w:pPr>
        <w:rPr>
          <w:rFonts w:ascii="Bookman Old Style"/>
          <w:sz w:val="20"/>
        </w:rPr>
        <w:sectPr w:rsidR="003B2FC0">
          <w:headerReference w:type="default" r:id="rId463"/>
          <w:footerReference w:type="default" r:id="rId464"/>
          <w:pgSz w:w="11910" w:h="16840"/>
          <w:pgMar w:top="1340" w:right="980" w:bottom="1220" w:left="1040" w:header="0" w:footer="1033" w:gutter="0"/>
          <w:pgNumType w:start="35"/>
          <w:cols w:space="720"/>
        </w:sectPr>
      </w:pPr>
    </w:p>
    <w:p w:rsidR="003B2FC0" w:rsidRDefault="00052A49">
      <w:pPr>
        <w:spacing w:before="81"/>
        <w:ind w:left="1677" w:right="837"/>
        <w:jc w:val="both"/>
        <w:rPr>
          <w:rFonts w:ascii="Bookman Old Style" w:hAnsi="Bookman Old Style"/>
          <w:sz w:val="16"/>
        </w:rPr>
      </w:pPr>
      <w:r>
        <w:rPr>
          <w:rFonts w:ascii="Bookman Old Style" w:hAnsi="Bookman Old Style"/>
          <w:i/>
          <w:sz w:val="24"/>
          <w:u w:val="single"/>
        </w:rPr>
        <w:t>particular religion</w:t>
      </w:r>
      <w:r>
        <w:rPr>
          <w:rFonts w:ascii="Bookman Old Style" w:hAnsi="Bookman Old Style"/>
          <w:i/>
          <w:sz w:val="24"/>
        </w:rPr>
        <w:t xml:space="preserve"> or as to the propriety of any particular religious observance. </w:t>
      </w:r>
      <w:r>
        <w:rPr>
          <w:rFonts w:ascii="Bookman Old Style" w:hAnsi="Bookman Old Style"/>
          <w:i/>
          <w:sz w:val="24"/>
          <w:u w:val="single"/>
        </w:rPr>
        <w:t>The obiter of Gajendragadkar J. in the</w:t>
      </w:r>
      <w:r>
        <w:rPr>
          <w:rFonts w:ascii="Bookman Old Style" w:hAnsi="Bookman Old Style"/>
          <w:i/>
          <w:sz w:val="24"/>
        </w:rPr>
        <w:t xml:space="preserve"> </w:t>
      </w:r>
      <w:r>
        <w:rPr>
          <w:rFonts w:ascii="Bookman Old Style" w:hAnsi="Bookman Old Style"/>
          <w:i/>
          <w:sz w:val="24"/>
          <w:u w:val="single"/>
        </w:rPr>
        <w:t>Durgah Committee case is also inconsistent with the</w:t>
      </w:r>
      <w:r>
        <w:rPr>
          <w:rFonts w:ascii="Bookman Old Style" w:hAnsi="Bookman Old Style"/>
          <w:i/>
          <w:sz w:val="24"/>
        </w:rPr>
        <w:t xml:space="preserve"> </w:t>
      </w:r>
      <w:r>
        <w:rPr>
          <w:rFonts w:ascii="Bookman Old Style" w:hAnsi="Bookman Old Style"/>
          <w:i/>
          <w:sz w:val="24"/>
          <w:u w:val="single"/>
        </w:rPr>
        <w:t>observations of Mukherjea J. in Ratilal Gandhi Case, that the</w:t>
      </w:r>
      <w:r>
        <w:rPr>
          <w:rFonts w:ascii="Bookman Old Style" w:hAnsi="Bookman Old Style"/>
          <w:i/>
          <w:sz w:val="24"/>
        </w:rPr>
        <w:t xml:space="preserve"> </w:t>
      </w:r>
      <w:r>
        <w:rPr>
          <w:rFonts w:ascii="Bookman Old Style" w:hAnsi="Bookman Old Style"/>
          <w:i/>
          <w:sz w:val="24"/>
          <w:u w:val="single"/>
        </w:rPr>
        <w:t xml:space="preserve">decision in Jamshedji </w:t>
      </w:r>
      <w:r>
        <w:rPr>
          <w:rFonts w:ascii="Bookman Old Style" w:hAnsi="Bookman Old Style"/>
          <w:sz w:val="24"/>
          <w:u w:val="single"/>
        </w:rPr>
        <w:t xml:space="preserve">v. </w:t>
      </w:r>
      <w:r>
        <w:rPr>
          <w:rFonts w:ascii="Bookman Old Style" w:hAnsi="Bookman Old Style"/>
          <w:i/>
          <w:sz w:val="24"/>
          <w:u w:val="single"/>
        </w:rPr>
        <w:t>Soonabai afforded an indication of the</w:t>
      </w:r>
      <w:r>
        <w:rPr>
          <w:rFonts w:ascii="Bookman Old Style" w:hAnsi="Bookman Old Style"/>
          <w:i/>
          <w:sz w:val="24"/>
        </w:rPr>
        <w:t xml:space="preserve"> </w:t>
      </w:r>
      <w:r>
        <w:rPr>
          <w:rFonts w:ascii="Bookman Old Style" w:hAnsi="Bookman Old Style"/>
          <w:i/>
          <w:sz w:val="24"/>
          <w:u w:val="single"/>
        </w:rPr>
        <w:t>measure of protection given by Article 26(b).</w:t>
      </w:r>
      <w:r>
        <w:rPr>
          <w:rFonts w:ascii="Bookman Old Style" w:hAnsi="Bookman Old Style"/>
          <w:sz w:val="24"/>
        </w:rPr>
        <w:t>”</w:t>
      </w:r>
      <w:r>
        <w:rPr>
          <w:rFonts w:ascii="Bookman Old Style" w:hAnsi="Bookman Old Style"/>
          <w:position w:val="6"/>
          <w:sz w:val="16"/>
        </w:rPr>
        <w:t>32</w:t>
      </w:r>
    </w:p>
    <w:p w:rsidR="003B2FC0" w:rsidRDefault="00052A49">
      <w:pPr>
        <w:spacing w:line="482" w:lineRule="auto"/>
        <w:ind w:left="1677" w:right="457" w:firstLine="4981"/>
        <w:rPr>
          <w:rFonts w:ascii="Bookman Old Style"/>
          <w:sz w:val="24"/>
        </w:rPr>
      </w:pPr>
      <w:r>
        <w:rPr>
          <w:rFonts w:ascii="Bookman Old Style"/>
          <w:sz w:val="24"/>
        </w:rPr>
        <w:t xml:space="preserve">(Emphasis supplied) Mr. </w:t>
      </w:r>
      <w:r>
        <w:rPr>
          <w:rFonts w:ascii="Bookman Old Style"/>
          <w:spacing w:val="15"/>
          <w:sz w:val="24"/>
        </w:rPr>
        <w:t xml:space="preserve"> </w:t>
      </w:r>
      <w:r>
        <w:rPr>
          <w:rFonts w:ascii="Bookman Old Style"/>
          <w:sz w:val="24"/>
        </w:rPr>
        <w:t>Seer</w:t>
      </w:r>
      <w:r>
        <w:rPr>
          <w:rFonts w:ascii="Bookman Old Style"/>
          <w:sz w:val="24"/>
        </w:rPr>
        <w:t xml:space="preserve">vai </w:t>
      </w:r>
      <w:r>
        <w:rPr>
          <w:rFonts w:ascii="Bookman Old Style"/>
          <w:spacing w:val="17"/>
          <w:sz w:val="24"/>
        </w:rPr>
        <w:t xml:space="preserve"> </w:t>
      </w:r>
      <w:r>
        <w:rPr>
          <w:rFonts w:ascii="Bookman Old Style"/>
          <w:sz w:val="24"/>
        </w:rPr>
        <w:t xml:space="preserve">also </w:t>
      </w:r>
      <w:r>
        <w:rPr>
          <w:rFonts w:ascii="Bookman Old Style"/>
          <w:spacing w:val="16"/>
          <w:sz w:val="24"/>
        </w:rPr>
        <w:t xml:space="preserve"> </w:t>
      </w:r>
      <w:r>
        <w:rPr>
          <w:rFonts w:ascii="Bookman Old Style"/>
          <w:sz w:val="24"/>
        </w:rPr>
        <w:t xml:space="preserve">criticised </w:t>
      </w:r>
      <w:r>
        <w:rPr>
          <w:rFonts w:ascii="Bookman Old Style"/>
          <w:spacing w:val="16"/>
          <w:sz w:val="24"/>
        </w:rPr>
        <w:t xml:space="preserve"> </w:t>
      </w:r>
      <w:r>
        <w:rPr>
          <w:rFonts w:ascii="Bookman Old Style"/>
          <w:sz w:val="24"/>
        </w:rPr>
        <w:t xml:space="preserve">the </w:t>
      </w:r>
      <w:r>
        <w:rPr>
          <w:rFonts w:ascii="Bookman Old Style"/>
          <w:spacing w:val="15"/>
          <w:sz w:val="24"/>
        </w:rPr>
        <w:t xml:space="preserve"> </w:t>
      </w:r>
      <w:r>
        <w:rPr>
          <w:rFonts w:ascii="Bookman Old Style"/>
          <w:sz w:val="24"/>
        </w:rPr>
        <w:t xml:space="preserve">observations </w:t>
      </w:r>
      <w:r>
        <w:rPr>
          <w:rFonts w:ascii="Bookman Old Style"/>
          <w:spacing w:val="16"/>
          <w:sz w:val="24"/>
        </w:rPr>
        <w:t xml:space="preserve"> </w:t>
      </w:r>
      <w:r>
        <w:rPr>
          <w:rFonts w:ascii="Bookman Old Style"/>
          <w:sz w:val="24"/>
        </w:rPr>
        <w:t xml:space="preserve">of </w:t>
      </w:r>
      <w:r>
        <w:rPr>
          <w:rFonts w:ascii="Bookman Old Style"/>
          <w:spacing w:val="16"/>
          <w:sz w:val="24"/>
        </w:rPr>
        <w:t xml:space="preserve"> </w:t>
      </w:r>
      <w:r>
        <w:rPr>
          <w:rFonts w:ascii="Bookman Old Style"/>
          <w:sz w:val="24"/>
        </w:rPr>
        <w:t xml:space="preserve">this </w:t>
      </w:r>
      <w:r>
        <w:rPr>
          <w:rFonts w:ascii="Bookman Old Style"/>
          <w:spacing w:val="16"/>
          <w:sz w:val="24"/>
        </w:rPr>
        <w:t xml:space="preserve"> </w:t>
      </w:r>
      <w:r>
        <w:rPr>
          <w:rFonts w:ascii="Bookman Old Style"/>
          <w:sz w:val="24"/>
        </w:rPr>
        <w:t xml:space="preserve">Court </w:t>
      </w:r>
      <w:r>
        <w:rPr>
          <w:rFonts w:ascii="Bookman Old Style"/>
          <w:spacing w:val="16"/>
          <w:sz w:val="24"/>
        </w:rPr>
        <w:t xml:space="preserve"> </w:t>
      </w:r>
      <w:r>
        <w:rPr>
          <w:rFonts w:ascii="Bookman Old Style"/>
          <w:sz w:val="24"/>
        </w:rPr>
        <w:t>in</w:t>
      </w:r>
    </w:p>
    <w:p w:rsidR="003B2FC0" w:rsidRDefault="00052A49">
      <w:pPr>
        <w:spacing w:line="280" w:lineRule="exact"/>
        <w:ind w:left="1252"/>
        <w:rPr>
          <w:rFonts w:ascii="Bookman Old Style"/>
          <w:i/>
          <w:sz w:val="24"/>
        </w:rPr>
      </w:pPr>
      <w:r>
        <w:rPr>
          <w:rFonts w:ascii="Bookman Old Style"/>
          <w:i/>
          <w:sz w:val="24"/>
        </w:rPr>
        <w:t>Tilkayat</w:t>
      </w:r>
      <w:r>
        <w:rPr>
          <w:rFonts w:ascii="Bookman Old Style"/>
          <w:i/>
          <w:spacing w:val="52"/>
          <w:sz w:val="24"/>
        </w:rPr>
        <w:t xml:space="preserve"> </w:t>
      </w:r>
      <w:r>
        <w:rPr>
          <w:rFonts w:ascii="Bookman Old Style"/>
          <w:i/>
          <w:sz w:val="24"/>
        </w:rPr>
        <w:t>Shri</w:t>
      </w:r>
      <w:r>
        <w:rPr>
          <w:rFonts w:ascii="Bookman Old Style"/>
          <w:i/>
          <w:spacing w:val="53"/>
          <w:sz w:val="24"/>
        </w:rPr>
        <w:t xml:space="preserve"> </w:t>
      </w:r>
      <w:r>
        <w:rPr>
          <w:rFonts w:ascii="Bookman Old Style"/>
          <w:i/>
          <w:sz w:val="24"/>
        </w:rPr>
        <w:t>Govindlalji</w:t>
      </w:r>
      <w:r>
        <w:rPr>
          <w:rFonts w:ascii="Bookman Old Style"/>
          <w:i/>
          <w:spacing w:val="53"/>
          <w:sz w:val="24"/>
        </w:rPr>
        <w:t xml:space="preserve"> </w:t>
      </w:r>
      <w:r>
        <w:rPr>
          <w:rFonts w:ascii="Bookman Old Style"/>
          <w:i/>
          <w:sz w:val="24"/>
        </w:rPr>
        <w:t>Maharaj</w:t>
      </w:r>
      <w:r>
        <w:rPr>
          <w:rFonts w:ascii="Bookman Old Style"/>
          <w:i/>
          <w:spacing w:val="52"/>
          <w:sz w:val="24"/>
        </w:rPr>
        <w:t xml:space="preserve"> </w:t>
      </w:r>
      <w:r>
        <w:rPr>
          <w:rFonts w:ascii="Bookman Old Style"/>
          <w:i/>
          <w:sz w:val="24"/>
        </w:rPr>
        <w:t>etc.</w:t>
      </w:r>
      <w:r>
        <w:rPr>
          <w:rFonts w:ascii="Bookman Old Style"/>
          <w:i/>
          <w:spacing w:val="59"/>
          <w:sz w:val="24"/>
        </w:rPr>
        <w:t xml:space="preserve"> </w:t>
      </w:r>
      <w:r>
        <w:rPr>
          <w:rFonts w:ascii="Bookman Old Style"/>
          <w:sz w:val="24"/>
        </w:rPr>
        <w:t>v.</w:t>
      </w:r>
      <w:r>
        <w:rPr>
          <w:rFonts w:ascii="Bookman Old Style"/>
          <w:spacing w:val="55"/>
          <w:sz w:val="24"/>
        </w:rPr>
        <w:t xml:space="preserve"> </w:t>
      </w:r>
      <w:r>
        <w:rPr>
          <w:rFonts w:ascii="Bookman Old Style"/>
          <w:i/>
          <w:sz w:val="24"/>
        </w:rPr>
        <w:t>State</w:t>
      </w:r>
      <w:r>
        <w:rPr>
          <w:rFonts w:ascii="Bookman Old Style"/>
          <w:i/>
          <w:spacing w:val="55"/>
          <w:sz w:val="24"/>
        </w:rPr>
        <w:t xml:space="preserve"> </w:t>
      </w:r>
      <w:r>
        <w:rPr>
          <w:rFonts w:ascii="Bookman Old Style"/>
          <w:i/>
          <w:sz w:val="24"/>
        </w:rPr>
        <w:t>of</w:t>
      </w:r>
      <w:r>
        <w:rPr>
          <w:rFonts w:ascii="Bookman Old Style"/>
          <w:i/>
          <w:spacing w:val="62"/>
          <w:sz w:val="24"/>
        </w:rPr>
        <w:t xml:space="preserve"> </w:t>
      </w:r>
      <w:r>
        <w:rPr>
          <w:rFonts w:ascii="Bookman Old Style"/>
          <w:i/>
          <w:sz w:val="24"/>
        </w:rPr>
        <w:t>Rajasthan</w:t>
      </w:r>
      <w:r>
        <w:rPr>
          <w:rFonts w:ascii="Bookman Old Style"/>
          <w:i/>
          <w:spacing w:val="54"/>
          <w:sz w:val="24"/>
        </w:rPr>
        <w:t xml:space="preserve"> </w:t>
      </w:r>
      <w:r>
        <w:rPr>
          <w:rFonts w:ascii="Bookman Old Style"/>
          <w:i/>
          <w:sz w:val="24"/>
        </w:rPr>
        <w:t>&amp;</w:t>
      </w:r>
      <w:r>
        <w:rPr>
          <w:rFonts w:ascii="Bookman Old Style"/>
          <w:i/>
          <w:spacing w:val="55"/>
          <w:sz w:val="24"/>
        </w:rPr>
        <w:t xml:space="preserve"> </w:t>
      </w:r>
      <w:r>
        <w:rPr>
          <w:rFonts w:ascii="Bookman Old Style"/>
          <w:i/>
          <w:sz w:val="24"/>
        </w:rPr>
        <w:t>Ors.</w:t>
      </w:r>
    </w:p>
    <w:p w:rsidR="003B2FC0" w:rsidRDefault="003B2FC0">
      <w:pPr>
        <w:pStyle w:val="BodyText"/>
        <w:rPr>
          <w:i/>
          <w:sz w:val="24"/>
        </w:rPr>
      </w:pPr>
    </w:p>
    <w:p w:rsidR="003B2FC0" w:rsidRDefault="00052A49">
      <w:pPr>
        <w:ind w:left="1252"/>
        <w:rPr>
          <w:rFonts w:ascii="Bookman Old Style"/>
          <w:sz w:val="24"/>
        </w:rPr>
      </w:pPr>
      <w:r>
        <w:rPr>
          <w:rFonts w:ascii="Bookman Old Style"/>
          <w:sz w:val="24"/>
        </w:rPr>
        <w:t>(supra) as follows:</w:t>
      </w:r>
    </w:p>
    <w:p w:rsidR="003B2FC0" w:rsidRDefault="003B2FC0">
      <w:pPr>
        <w:pStyle w:val="BodyText"/>
        <w:spacing w:before="9"/>
        <w:rPr>
          <w:sz w:val="23"/>
        </w:rPr>
      </w:pPr>
    </w:p>
    <w:p w:rsidR="003B2FC0" w:rsidRDefault="00052A49">
      <w:pPr>
        <w:spacing w:before="1"/>
        <w:ind w:left="1677" w:right="835"/>
        <w:jc w:val="both"/>
        <w:rPr>
          <w:rFonts w:ascii="Bookman Old Style" w:hAnsi="Bookman Old Style"/>
          <w:i/>
          <w:sz w:val="24"/>
        </w:rPr>
      </w:pPr>
      <w:r>
        <w:rPr>
          <w:rFonts w:ascii="Bookman Old Style" w:hAnsi="Bookman Old Style"/>
          <w:i/>
          <w:sz w:val="24"/>
        </w:rPr>
        <w:t xml:space="preserve">“12.66 </w:t>
      </w:r>
      <w:r>
        <w:rPr>
          <w:rFonts w:ascii="Bookman Old Style" w:hAnsi="Bookman Old Style"/>
          <w:i/>
          <w:spacing w:val="-3"/>
          <w:sz w:val="24"/>
        </w:rPr>
        <w:t xml:space="preserve">In </w:t>
      </w:r>
      <w:r>
        <w:rPr>
          <w:rFonts w:ascii="Bookman Old Style" w:hAnsi="Bookman Old Style"/>
          <w:i/>
          <w:sz w:val="24"/>
        </w:rPr>
        <w:t xml:space="preserve">Tilkayat Shri Govindlalji </w:t>
      </w:r>
      <w:r>
        <w:rPr>
          <w:rFonts w:ascii="Bookman Old Style" w:hAnsi="Bookman Old Style"/>
          <w:sz w:val="24"/>
        </w:rPr>
        <w:t xml:space="preserve">v. </w:t>
      </w:r>
      <w:r>
        <w:rPr>
          <w:rFonts w:ascii="Bookman Old Style" w:hAnsi="Bookman Old Style"/>
          <w:i/>
          <w:sz w:val="24"/>
        </w:rPr>
        <w:t xml:space="preserve">Rajasthan </w:t>
      </w:r>
      <w:r>
        <w:rPr>
          <w:rFonts w:ascii="Bookman Old Style" w:hAnsi="Bookman Old Style"/>
          <w:i/>
          <w:sz w:val="24"/>
        </w:rPr>
        <w:t xml:space="preserve">Gajendragadkar J. again adverted to the rights under Arts. 25(1) and 26(b) and stated that </w:t>
      </w:r>
      <w:r>
        <w:rPr>
          <w:rFonts w:ascii="Bookman Old Style" w:hAnsi="Bookman Old Style"/>
          <w:i/>
          <w:spacing w:val="-3"/>
          <w:sz w:val="24"/>
        </w:rPr>
        <w:t xml:space="preserve">if </w:t>
      </w:r>
      <w:r>
        <w:rPr>
          <w:rFonts w:ascii="Bookman Old Style" w:hAnsi="Bookman Old Style"/>
          <w:i/>
          <w:sz w:val="24"/>
        </w:rPr>
        <w:t xml:space="preserve">a matter </w:t>
      </w:r>
      <w:r>
        <w:rPr>
          <w:rFonts w:ascii="Bookman Old Style" w:hAnsi="Bookman Old Style"/>
          <w:i/>
          <w:spacing w:val="-4"/>
          <w:sz w:val="24"/>
        </w:rPr>
        <w:t xml:space="preserve">was </w:t>
      </w:r>
      <w:r>
        <w:rPr>
          <w:rFonts w:ascii="Bookman Old Style" w:hAnsi="Bookman Old Style"/>
          <w:i/>
          <w:sz w:val="24"/>
        </w:rPr>
        <w:t xml:space="preserve">obviously secular and not religious, a Court would be justified </w:t>
      </w:r>
      <w:r>
        <w:rPr>
          <w:rFonts w:ascii="Bookman Old Style" w:hAnsi="Bookman Old Style"/>
          <w:i/>
          <w:spacing w:val="-3"/>
          <w:sz w:val="24"/>
        </w:rPr>
        <w:t xml:space="preserve">in </w:t>
      </w:r>
      <w:r>
        <w:rPr>
          <w:rFonts w:ascii="Bookman Old Style" w:hAnsi="Bookman Old Style"/>
          <w:i/>
          <w:sz w:val="24"/>
        </w:rPr>
        <w:t>rejecting its claim to be a religious practise, as based on irrational considerati</w:t>
      </w:r>
      <w:r>
        <w:rPr>
          <w:rFonts w:ascii="Bookman Old Style" w:hAnsi="Bookman Old Style"/>
          <w:i/>
          <w:sz w:val="24"/>
        </w:rPr>
        <w:t xml:space="preserve">ons. It is submitted that </w:t>
      </w:r>
      <w:r>
        <w:rPr>
          <w:rFonts w:ascii="Bookman Old Style" w:hAnsi="Bookman Old Style"/>
          <w:i/>
          <w:sz w:val="24"/>
          <w:u w:val="single"/>
        </w:rPr>
        <w:t xml:space="preserve">the real question </w:t>
      </w:r>
      <w:r>
        <w:rPr>
          <w:rFonts w:ascii="Bookman Old Style" w:hAnsi="Bookman Old Style"/>
          <w:i/>
          <w:spacing w:val="-3"/>
          <w:sz w:val="24"/>
          <w:u w:val="single"/>
        </w:rPr>
        <w:t xml:space="preserve">is </w:t>
      </w:r>
      <w:r>
        <w:rPr>
          <w:rFonts w:ascii="Bookman Old Style" w:hAnsi="Bookman Old Style"/>
          <w:i/>
          <w:sz w:val="24"/>
          <w:u w:val="single"/>
        </w:rPr>
        <w:t>whether</w:t>
      </w:r>
      <w:r>
        <w:rPr>
          <w:rFonts w:ascii="Bookman Old Style" w:hAnsi="Bookman Old Style"/>
          <w:i/>
          <w:sz w:val="24"/>
        </w:rPr>
        <w:t xml:space="preserve"> </w:t>
      </w:r>
      <w:r>
        <w:rPr>
          <w:rFonts w:ascii="Bookman Old Style" w:hAnsi="Bookman Old Style"/>
          <w:i/>
          <w:sz w:val="24"/>
          <w:u w:val="single"/>
        </w:rPr>
        <w:t xml:space="preserve">the religious denomination looks upon it as an essential part </w:t>
      </w:r>
      <w:r>
        <w:rPr>
          <w:rFonts w:ascii="Bookman Old Style" w:hAnsi="Bookman Old Style"/>
          <w:i/>
          <w:spacing w:val="-3"/>
          <w:sz w:val="24"/>
          <w:u w:val="single"/>
        </w:rPr>
        <w:t>of</w:t>
      </w:r>
      <w:r>
        <w:rPr>
          <w:rFonts w:ascii="Bookman Old Style" w:hAnsi="Bookman Old Style"/>
          <w:i/>
          <w:spacing w:val="-3"/>
          <w:sz w:val="24"/>
        </w:rPr>
        <w:t xml:space="preserve"> </w:t>
      </w:r>
      <w:r>
        <w:rPr>
          <w:rFonts w:ascii="Bookman Old Style" w:hAnsi="Bookman Old Style"/>
          <w:i/>
          <w:sz w:val="24"/>
          <w:u w:val="single"/>
        </w:rPr>
        <w:t>its religion, and however irrational it may appear to persons</w:t>
      </w:r>
      <w:r>
        <w:rPr>
          <w:rFonts w:ascii="Bookman Old Style" w:hAnsi="Bookman Old Style"/>
          <w:i/>
          <w:sz w:val="24"/>
        </w:rPr>
        <w:t xml:space="preserve"> </w:t>
      </w:r>
      <w:r>
        <w:rPr>
          <w:rFonts w:ascii="Bookman Old Style" w:hAnsi="Bookman Old Style"/>
          <w:i/>
          <w:spacing w:val="-2"/>
          <w:sz w:val="24"/>
          <w:u w:val="single"/>
        </w:rPr>
        <w:t xml:space="preserve">who </w:t>
      </w:r>
      <w:r>
        <w:rPr>
          <w:rFonts w:ascii="Bookman Old Style" w:hAnsi="Bookman Old Style"/>
          <w:i/>
          <w:sz w:val="24"/>
          <w:u w:val="single"/>
        </w:rPr>
        <w:t>do not share that religious belief, the view of the</w:t>
      </w:r>
      <w:r>
        <w:rPr>
          <w:rFonts w:ascii="Bookman Old Style" w:hAnsi="Bookman Old Style"/>
          <w:i/>
          <w:sz w:val="24"/>
        </w:rPr>
        <w:t xml:space="preserve"> </w:t>
      </w:r>
      <w:r>
        <w:rPr>
          <w:rFonts w:ascii="Bookman Old Style" w:hAnsi="Bookman Old Style"/>
          <w:i/>
          <w:sz w:val="24"/>
          <w:u w:val="single"/>
        </w:rPr>
        <w:t xml:space="preserve">denomination must prevail, for, it is not open </w:t>
      </w:r>
      <w:r>
        <w:rPr>
          <w:rFonts w:ascii="Bookman Old Style" w:hAnsi="Bookman Old Style"/>
          <w:i/>
          <w:spacing w:val="-3"/>
          <w:sz w:val="24"/>
          <w:u w:val="single"/>
        </w:rPr>
        <w:t xml:space="preserve">to </w:t>
      </w:r>
      <w:r>
        <w:rPr>
          <w:rFonts w:ascii="Bookman Old Style" w:hAnsi="Bookman Old Style"/>
          <w:i/>
          <w:sz w:val="24"/>
          <w:u w:val="single"/>
        </w:rPr>
        <w:t>a court</w:t>
      </w:r>
      <w:r>
        <w:rPr>
          <w:rFonts w:ascii="Bookman Old Style" w:hAnsi="Bookman Old Style"/>
          <w:i/>
          <w:spacing w:val="71"/>
          <w:sz w:val="24"/>
          <w:u w:val="single"/>
        </w:rPr>
        <w:t xml:space="preserve"> </w:t>
      </w:r>
      <w:r>
        <w:rPr>
          <w:rFonts w:ascii="Bookman Old Style" w:hAnsi="Bookman Old Style"/>
          <w:i/>
          <w:sz w:val="24"/>
          <w:u w:val="single"/>
        </w:rPr>
        <w:t>to</w:t>
      </w:r>
    </w:p>
    <w:p w:rsidR="003B2FC0" w:rsidRDefault="00052A49">
      <w:pPr>
        <w:ind w:left="1677" w:right="832"/>
        <w:jc w:val="both"/>
        <w:rPr>
          <w:rFonts w:ascii="Bookman Old Style" w:hAnsi="Bookman Old Style"/>
          <w:sz w:val="16"/>
        </w:rPr>
      </w:pPr>
      <w:r>
        <w:rPr>
          <w:rFonts w:ascii="Times New Roman" w:hAnsi="Times New Roman"/>
          <w:spacing w:val="-60"/>
          <w:sz w:val="24"/>
          <w:u w:val="single"/>
        </w:rPr>
        <w:t xml:space="preserve"> </w:t>
      </w:r>
      <w:r>
        <w:rPr>
          <w:rFonts w:ascii="Bookman Old Style" w:hAnsi="Bookman Old Style"/>
          <w:i/>
          <w:sz w:val="24"/>
          <w:u w:val="single"/>
        </w:rPr>
        <w:t>describe as irrational that which is a part of a denomination’s</w:t>
      </w:r>
      <w:r>
        <w:rPr>
          <w:rFonts w:ascii="Bookman Old Style" w:hAnsi="Bookman Old Style"/>
          <w:i/>
          <w:sz w:val="24"/>
        </w:rPr>
        <w:t xml:space="preserve"> </w:t>
      </w:r>
      <w:r>
        <w:rPr>
          <w:rFonts w:ascii="Bookman Old Style" w:hAnsi="Bookman Old Style"/>
          <w:i/>
          <w:sz w:val="24"/>
          <w:u w:val="single"/>
        </w:rPr>
        <w:t>religion.</w:t>
      </w:r>
      <w:r>
        <w:rPr>
          <w:rFonts w:ascii="Bookman Old Style" w:hAnsi="Bookman Old Style"/>
          <w:i/>
          <w:sz w:val="24"/>
        </w:rPr>
        <w:t xml:space="preserve"> The actual decision </w:t>
      </w:r>
      <w:r>
        <w:rPr>
          <w:rFonts w:ascii="Bookman Old Style" w:hAnsi="Bookman Old Style"/>
          <w:i/>
          <w:spacing w:val="-3"/>
          <w:sz w:val="24"/>
        </w:rPr>
        <w:t xml:space="preserve">in </w:t>
      </w:r>
      <w:r>
        <w:rPr>
          <w:rFonts w:ascii="Bookman Old Style" w:hAnsi="Bookman Old Style"/>
          <w:i/>
          <w:sz w:val="24"/>
        </w:rPr>
        <w:t xml:space="preserve">the case, that the right to manage the property </w:t>
      </w:r>
      <w:r>
        <w:rPr>
          <w:rFonts w:ascii="Bookman Old Style" w:hAnsi="Bookman Old Style"/>
          <w:i/>
          <w:spacing w:val="-4"/>
          <w:sz w:val="24"/>
        </w:rPr>
        <w:t xml:space="preserve">was </w:t>
      </w:r>
      <w:r>
        <w:rPr>
          <w:rFonts w:ascii="Bookman Old Style" w:hAnsi="Bookman Old Style"/>
          <w:i/>
          <w:sz w:val="24"/>
        </w:rPr>
        <w:t xml:space="preserve">a secular  matter, </w:t>
      </w:r>
      <w:r>
        <w:rPr>
          <w:rFonts w:ascii="Bookman Old Style" w:hAnsi="Bookman Old Style"/>
          <w:i/>
          <w:spacing w:val="-3"/>
          <w:sz w:val="24"/>
        </w:rPr>
        <w:t xml:space="preserve">is </w:t>
      </w:r>
      <w:r>
        <w:rPr>
          <w:rFonts w:ascii="Bookman Old Style" w:hAnsi="Bookman Old Style"/>
          <w:i/>
          <w:sz w:val="24"/>
        </w:rPr>
        <w:t>correct, but that is be</w:t>
      </w:r>
      <w:r>
        <w:rPr>
          <w:rFonts w:ascii="Bookman Old Style" w:hAnsi="Bookman Old Style"/>
          <w:i/>
          <w:sz w:val="24"/>
        </w:rPr>
        <w:t xml:space="preserve">cause, as pointed out by Mukherjea J., Art. 26(b) when constrasted </w:t>
      </w:r>
      <w:r>
        <w:rPr>
          <w:rFonts w:ascii="Bookman Old Style" w:hAnsi="Bookman Old Style"/>
          <w:i/>
          <w:spacing w:val="-3"/>
          <w:sz w:val="24"/>
        </w:rPr>
        <w:t xml:space="preserve">with </w:t>
      </w:r>
      <w:r>
        <w:rPr>
          <w:rFonts w:ascii="Bookman Old Style" w:hAnsi="Bookman Old Style"/>
          <w:i/>
          <w:sz w:val="24"/>
        </w:rPr>
        <w:t xml:space="preserve">Art. 26(c) and (d) shows that matters of religious belief and practises are distinct and separate </w:t>
      </w:r>
      <w:r>
        <w:rPr>
          <w:rFonts w:ascii="Bookman Old Style" w:hAnsi="Bookman Old Style"/>
          <w:i/>
          <w:spacing w:val="2"/>
          <w:sz w:val="24"/>
        </w:rPr>
        <w:t xml:space="preserve">from </w:t>
      </w:r>
      <w:r>
        <w:rPr>
          <w:rFonts w:ascii="Bookman Old Style" w:hAnsi="Bookman Old Style"/>
          <w:i/>
          <w:sz w:val="24"/>
        </w:rPr>
        <w:t xml:space="preserve">the management of property of a religious denomination. </w:t>
      </w:r>
      <w:r>
        <w:rPr>
          <w:rFonts w:ascii="Bookman Old Style" w:hAnsi="Bookman Old Style"/>
          <w:i/>
          <w:sz w:val="24"/>
          <w:u w:val="single"/>
        </w:rPr>
        <w:t>The</w:t>
      </w:r>
      <w:r>
        <w:rPr>
          <w:rFonts w:ascii="Bookman Old Style" w:hAnsi="Bookman Old Style"/>
          <w:i/>
          <w:sz w:val="24"/>
        </w:rPr>
        <w:t xml:space="preserve"> </w:t>
      </w:r>
      <w:r>
        <w:rPr>
          <w:rFonts w:ascii="Bookman Old Style" w:hAnsi="Bookman Old Style"/>
          <w:i/>
          <w:sz w:val="24"/>
          <w:u w:val="single"/>
        </w:rPr>
        <w:t>distinction between r</w:t>
      </w:r>
      <w:r>
        <w:rPr>
          <w:rFonts w:ascii="Bookman Old Style" w:hAnsi="Bookman Old Style"/>
          <w:i/>
          <w:sz w:val="24"/>
          <w:u w:val="single"/>
        </w:rPr>
        <w:t>eligious belief and practises which cannot</w:t>
      </w:r>
      <w:r>
        <w:rPr>
          <w:rFonts w:ascii="Bookman Old Style" w:hAnsi="Bookman Old Style"/>
          <w:i/>
          <w:sz w:val="24"/>
        </w:rPr>
        <w:t xml:space="preserve"> </w:t>
      </w:r>
      <w:r>
        <w:rPr>
          <w:rFonts w:ascii="Bookman Old Style" w:hAnsi="Bookman Old Style"/>
          <w:i/>
          <w:sz w:val="24"/>
          <w:u w:val="single"/>
        </w:rPr>
        <w:t>be controlled, and the management of the property of a religious</w:t>
      </w:r>
      <w:r>
        <w:rPr>
          <w:rFonts w:ascii="Bookman Old Style" w:hAnsi="Bookman Old Style"/>
          <w:i/>
          <w:sz w:val="24"/>
        </w:rPr>
        <w:t xml:space="preserve"> </w:t>
      </w:r>
      <w:r>
        <w:rPr>
          <w:rFonts w:ascii="Bookman Old Style" w:hAnsi="Bookman Old Style"/>
          <w:i/>
          <w:sz w:val="24"/>
          <w:u w:val="single"/>
        </w:rPr>
        <w:t>denomination which can be controlled to a limited extent, is</w:t>
      </w:r>
      <w:r>
        <w:rPr>
          <w:rFonts w:ascii="Bookman Old Style" w:hAnsi="Bookman Old Style"/>
          <w:i/>
          <w:sz w:val="24"/>
        </w:rPr>
        <w:t xml:space="preserve"> </w:t>
      </w:r>
      <w:r>
        <w:rPr>
          <w:rFonts w:ascii="Bookman Old Style" w:hAnsi="Bookman Old Style"/>
          <w:i/>
          <w:sz w:val="24"/>
          <w:u w:val="single"/>
        </w:rPr>
        <w:t>recognised by the Article itself and must be enforced.</w:t>
      </w:r>
      <w:r>
        <w:rPr>
          <w:rFonts w:ascii="Bookman Old Style" w:hAnsi="Bookman Old Style"/>
          <w:i/>
          <w:sz w:val="24"/>
        </w:rPr>
        <w:t xml:space="preserve"> But this distinction is not rele</w:t>
      </w:r>
      <w:r>
        <w:rPr>
          <w:rFonts w:ascii="Bookman Old Style" w:hAnsi="Bookman Old Style"/>
          <w:i/>
          <w:sz w:val="24"/>
        </w:rPr>
        <w:t>vant to the question whether a religious practise is itself irrational or</w:t>
      </w:r>
      <w:r>
        <w:rPr>
          <w:rFonts w:ascii="Bookman Old Style" w:hAnsi="Bookman Old Style"/>
          <w:i/>
          <w:spacing w:val="8"/>
          <w:sz w:val="24"/>
        </w:rPr>
        <w:t xml:space="preserve"> </w:t>
      </w:r>
      <w:r>
        <w:rPr>
          <w:rFonts w:ascii="Bookman Old Style" w:hAnsi="Bookman Old Style"/>
          <w:i/>
          <w:sz w:val="24"/>
        </w:rPr>
        <w:t>secular.</w:t>
      </w:r>
      <w:r>
        <w:rPr>
          <w:rFonts w:ascii="Bookman Old Style" w:hAnsi="Bookman Old Style"/>
          <w:sz w:val="24"/>
        </w:rPr>
        <w:t>”</w:t>
      </w:r>
      <w:r>
        <w:rPr>
          <w:rFonts w:ascii="Bookman Old Style" w:hAnsi="Bookman Old Style"/>
          <w:position w:val="6"/>
          <w:sz w:val="16"/>
        </w:rPr>
        <w:t>33</w:t>
      </w:r>
    </w:p>
    <w:p w:rsidR="003B2FC0" w:rsidRDefault="00052A49">
      <w:pPr>
        <w:spacing w:before="1"/>
        <w:ind w:left="6658"/>
        <w:rPr>
          <w:rFonts w:ascii="Bookman Old Style"/>
          <w:sz w:val="24"/>
        </w:rPr>
      </w:pPr>
      <w:r>
        <w:rPr>
          <w:rFonts w:ascii="Bookman Old Style"/>
          <w:sz w:val="24"/>
        </w:rPr>
        <w:t>(Emphasis</w:t>
      </w:r>
      <w:r>
        <w:rPr>
          <w:rFonts w:ascii="Bookman Old Style"/>
          <w:spacing w:val="-1"/>
          <w:sz w:val="24"/>
        </w:rPr>
        <w:t xml:space="preserve"> </w:t>
      </w:r>
      <w:r>
        <w:rPr>
          <w:rFonts w:ascii="Bookman Old Style"/>
          <w:sz w:val="24"/>
        </w:rPr>
        <w:t>supplied)</w:t>
      </w:r>
    </w:p>
    <w:p w:rsidR="003B2FC0" w:rsidRDefault="003B2FC0">
      <w:pPr>
        <w:pStyle w:val="BodyText"/>
        <w:rPr>
          <w:sz w:val="24"/>
        </w:rPr>
      </w:pPr>
    </w:p>
    <w:p w:rsidR="003B2FC0" w:rsidRDefault="00052A49">
      <w:pPr>
        <w:spacing w:line="480" w:lineRule="auto"/>
        <w:ind w:left="1252" w:right="456" w:firstLine="424"/>
        <w:jc w:val="both"/>
        <w:rPr>
          <w:rFonts w:ascii="Bookman Old Style" w:hAnsi="Bookman Old Style"/>
          <w:sz w:val="24"/>
        </w:rPr>
      </w:pPr>
      <w:r>
        <w:rPr>
          <w:rFonts w:ascii="Bookman Old Style" w:hAnsi="Bookman Old Style"/>
          <w:sz w:val="24"/>
        </w:rPr>
        <w:t>J. Duncan M. Derrett, a well-known Professor of Oriental Laws, highlights the problems in applying the “essential practises test” in his book titled ‘</w:t>
      </w:r>
      <w:r>
        <w:rPr>
          <w:rFonts w:ascii="Bookman Old Style" w:hAnsi="Bookman Old Style"/>
          <w:i/>
          <w:sz w:val="24"/>
        </w:rPr>
        <w:t>Religion, Law and State in Modern India</w:t>
      </w:r>
      <w:r>
        <w:rPr>
          <w:rFonts w:ascii="Bookman Old Style" w:hAnsi="Bookman Old Style"/>
          <w:sz w:val="24"/>
        </w:rPr>
        <w:t>’ as</w:t>
      </w:r>
      <w:r>
        <w:rPr>
          <w:rFonts w:ascii="Bookman Old Style" w:hAnsi="Bookman Old Style"/>
          <w:spacing w:val="-19"/>
          <w:sz w:val="24"/>
        </w:rPr>
        <w:t xml:space="preserve"> </w:t>
      </w:r>
      <w:r>
        <w:rPr>
          <w:rFonts w:ascii="Bookman Old Style" w:hAnsi="Bookman Old Style"/>
          <w:sz w:val="24"/>
        </w:rPr>
        <w:t>follows:</w:t>
      </w:r>
    </w:p>
    <w:p w:rsidR="003B2FC0" w:rsidRDefault="003B2FC0">
      <w:pPr>
        <w:pStyle w:val="BodyText"/>
        <w:rPr>
          <w:sz w:val="20"/>
        </w:rPr>
      </w:pPr>
    </w:p>
    <w:p w:rsidR="003B2FC0" w:rsidRDefault="003B2FC0">
      <w:pPr>
        <w:pStyle w:val="BodyText"/>
        <w:spacing w:before="8"/>
        <w:rPr>
          <w:sz w:val="15"/>
        </w:rPr>
      </w:pPr>
      <w:r w:rsidRPr="003B2FC0">
        <w:pict>
          <v:line id="_x0000_s1042" style="position:absolute;z-index:251671040;mso-wrap-distance-left:0;mso-wrap-distance-right:0;mso-position-horizontal-relative:page" from="1in,11.55pt" to="216.05pt,11.55pt" strokeweight=".72pt">
            <w10:wrap type="topAndBottom" anchorx="page"/>
          </v:line>
        </w:pict>
      </w:r>
    </w:p>
    <w:p w:rsidR="003B2FC0" w:rsidRDefault="00052A49">
      <w:pPr>
        <w:spacing w:before="72"/>
        <w:ind w:left="400" w:right="434"/>
        <w:rPr>
          <w:rFonts w:ascii="Bookman Old Style"/>
          <w:sz w:val="20"/>
        </w:rPr>
      </w:pPr>
      <w:r>
        <w:rPr>
          <w:rFonts w:ascii="Bookman Old Style"/>
          <w:position w:val="5"/>
          <w:sz w:val="13"/>
        </w:rPr>
        <w:t xml:space="preserve">32 </w:t>
      </w:r>
      <w:r>
        <w:rPr>
          <w:rFonts w:ascii="Bookman Old Style"/>
          <w:sz w:val="20"/>
        </w:rPr>
        <w:t xml:space="preserve">H.M. Seervai, </w:t>
      </w:r>
      <w:r>
        <w:rPr>
          <w:rFonts w:ascii="Bookman Old Style"/>
          <w:i/>
          <w:sz w:val="20"/>
        </w:rPr>
        <w:t>Constitutional Law of India : A C</w:t>
      </w:r>
      <w:r>
        <w:rPr>
          <w:rFonts w:ascii="Bookman Old Style"/>
          <w:i/>
          <w:sz w:val="20"/>
        </w:rPr>
        <w:t xml:space="preserve">ritical Commentary, </w:t>
      </w:r>
      <w:r>
        <w:rPr>
          <w:rFonts w:ascii="Bookman Old Style"/>
          <w:sz w:val="20"/>
        </w:rPr>
        <w:t>Vol. II (4</w:t>
      </w:r>
      <w:r>
        <w:rPr>
          <w:rFonts w:ascii="Bookman Old Style"/>
          <w:position w:val="5"/>
          <w:sz w:val="13"/>
        </w:rPr>
        <w:t xml:space="preserve">th </w:t>
      </w:r>
      <w:r>
        <w:rPr>
          <w:rFonts w:ascii="Bookman Old Style"/>
          <w:sz w:val="20"/>
        </w:rPr>
        <w:t>Ed., Reprint 1999), paragraph 12.18 at p. 1267-1268</w:t>
      </w:r>
    </w:p>
    <w:p w:rsidR="003B2FC0" w:rsidRDefault="00052A49">
      <w:pPr>
        <w:spacing w:before="1"/>
        <w:ind w:left="400"/>
        <w:rPr>
          <w:rFonts w:ascii="Bookman Old Style"/>
          <w:sz w:val="20"/>
        </w:rPr>
      </w:pPr>
      <w:r>
        <w:rPr>
          <w:rFonts w:ascii="Bookman Old Style"/>
          <w:position w:val="5"/>
          <w:sz w:val="13"/>
        </w:rPr>
        <w:t xml:space="preserve">33 </w:t>
      </w:r>
      <w:r>
        <w:rPr>
          <w:rFonts w:ascii="Bookman Old Style"/>
          <w:i/>
          <w:sz w:val="20"/>
        </w:rPr>
        <w:t xml:space="preserve">Id. </w:t>
      </w:r>
      <w:r>
        <w:rPr>
          <w:rFonts w:ascii="Bookman Old Style"/>
          <w:sz w:val="20"/>
        </w:rPr>
        <w:t>at paragraph 12.66 at p. 1283</w:t>
      </w:r>
    </w:p>
    <w:p w:rsidR="003B2FC0" w:rsidRDefault="003B2FC0">
      <w:pPr>
        <w:rPr>
          <w:rFonts w:ascii="Bookman Old Style"/>
          <w:sz w:val="20"/>
        </w:rPr>
        <w:sectPr w:rsidR="003B2FC0">
          <w:headerReference w:type="default" r:id="rId465"/>
          <w:footerReference w:type="default" r:id="rId466"/>
          <w:pgSz w:w="11910" w:h="16840"/>
          <w:pgMar w:top="1340" w:right="980" w:bottom="1220" w:left="1040" w:header="0" w:footer="1033" w:gutter="0"/>
          <w:pgNumType w:start="36"/>
          <w:cols w:space="720"/>
        </w:sectPr>
      </w:pPr>
    </w:p>
    <w:p w:rsidR="003B2FC0" w:rsidRDefault="00052A49">
      <w:pPr>
        <w:spacing w:before="81"/>
        <w:ind w:left="1677" w:right="839"/>
        <w:jc w:val="both"/>
        <w:rPr>
          <w:rFonts w:ascii="Bookman Old Style" w:hAnsi="Bookman Old Style"/>
          <w:i/>
          <w:sz w:val="24"/>
        </w:rPr>
      </w:pPr>
      <w:r>
        <w:rPr>
          <w:rFonts w:ascii="Bookman Old Style" w:hAnsi="Bookman Old Style"/>
          <w:i/>
          <w:sz w:val="24"/>
        </w:rPr>
        <w:t xml:space="preserve">“In other words the courts can determine what is an integral </w:t>
      </w:r>
      <w:r>
        <w:rPr>
          <w:rFonts w:ascii="Bookman Old Style" w:hAnsi="Bookman Old Style"/>
          <w:i/>
          <w:sz w:val="24"/>
        </w:rPr>
        <w:t xml:space="preserve">part of religion and what is not. The word essential is now in familiar use for this purpose. </w:t>
      </w:r>
      <w:r>
        <w:rPr>
          <w:rFonts w:ascii="Bookman Old Style" w:hAnsi="Bookman Old Style"/>
          <w:i/>
          <w:sz w:val="24"/>
          <w:u w:val="single"/>
        </w:rPr>
        <w:t xml:space="preserve">As </w:t>
      </w:r>
      <w:r>
        <w:rPr>
          <w:rFonts w:ascii="Bookman Old Style" w:hAnsi="Bookman Old Style"/>
          <w:i/>
          <w:spacing w:val="-5"/>
          <w:sz w:val="24"/>
          <w:u w:val="single"/>
        </w:rPr>
        <w:t xml:space="preserve">we </w:t>
      </w:r>
      <w:r>
        <w:rPr>
          <w:rFonts w:ascii="Bookman Old Style" w:hAnsi="Bookman Old Style"/>
          <w:i/>
          <w:sz w:val="24"/>
          <w:u w:val="single"/>
        </w:rPr>
        <w:t>shall there is a context in</w:t>
      </w:r>
      <w:r>
        <w:rPr>
          <w:rFonts w:ascii="Bookman Old Style" w:hAnsi="Bookman Old Style"/>
          <w:i/>
          <w:sz w:val="24"/>
        </w:rPr>
        <w:t xml:space="preserve"> </w:t>
      </w:r>
      <w:r>
        <w:rPr>
          <w:rFonts w:ascii="Bookman Old Style" w:hAnsi="Bookman Old Style"/>
          <w:i/>
          <w:sz w:val="24"/>
          <w:u w:val="single"/>
        </w:rPr>
        <w:t xml:space="preserve">which the religious community is </w:t>
      </w:r>
      <w:r>
        <w:rPr>
          <w:rFonts w:ascii="Bookman Old Style" w:hAnsi="Bookman Old Style"/>
          <w:i/>
          <w:spacing w:val="24"/>
          <w:sz w:val="24"/>
          <w:u w:val="single"/>
        </w:rPr>
        <w:t xml:space="preserve"> </w:t>
      </w:r>
      <w:r>
        <w:rPr>
          <w:rFonts w:ascii="Bookman Old Style" w:hAnsi="Bookman Old Style"/>
          <w:i/>
          <w:sz w:val="24"/>
          <w:u w:val="single"/>
        </w:rPr>
        <w:t>allowed freedom to determine</w:t>
      </w:r>
    </w:p>
    <w:p w:rsidR="003B2FC0" w:rsidRDefault="00052A49">
      <w:pPr>
        <w:spacing w:before="1"/>
        <w:ind w:left="1677" w:right="839"/>
        <w:jc w:val="both"/>
        <w:rPr>
          <w:rFonts w:ascii="Bookman Old Style" w:hAnsi="Bookman Old Style"/>
          <w:i/>
          <w:sz w:val="24"/>
        </w:rPr>
      </w:pPr>
      <w:r>
        <w:rPr>
          <w:rFonts w:ascii="Times New Roman" w:hAnsi="Times New Roman"/>
          <w:spacing w:val="-60"/>
          <w:sz w:val="24"/>
          <w:u w:val="single"/>
        </w:rPr>
        <w:t xml:space="preserve"> </w:t>
      </w:r>
      <w:r>
        <w:rPr>
          <w:rFonts w:ascii="Bookman Old Style" w:hAnsi="Bookman Old Style"/>
          <w:i/>
          <w:sz w:val="24"/>
          <w:u w:val="single"/>
        </w:rPr>
        <w:t>what is ‘essential’ to its belief and practise, but the individual</w:t>
      </w:r>
      <w:r>
        <w:rPr>
          <w:rFonts w:ascii="Bookman Old Style" w:hAnsi="Bookman Old Style"/>
          <w:i/>
          <w:sz w:val="24"/>
        </w:rPr>
        <w:t xml:space="preserve"> </w:t>
      </w:r>
      <w:r>
        <w:rPr>
          <w:rFonts w:ascii="Bookman Old Style" w:hAnsi="Bookman Old Style"/>
          <w:i/>
          <w:sz w:val="24"/>
          <w:u w:val="single"/>
        </w:rPr>
        <w:t>has no freedom to determine what is essential to his religion,</w:t>
      </w:r>
      <w:r>
        <w:rPr>
          <w:rFonts w:ascii="Bookman Old Style" w:hAnsi="Bookman Old Style"/>
          <w:i/>
          <w:sz w:val="24"/>
        </w:rPr>
        <w:t xml:space="preserve"> </w:t>
      </w:r>
      <w:r>
        <w:rPr>
          <w:rFonts w:ascii="Bookman Old Style" w:hAnsi="Bookman Old Style"/>
          <w:i/>
          <w:sz w:val="24"/>
          <w:u w:val="single"/>
        </w:rPr>
        <w:t xml:space="preserve">for </w:t>
      </w:r>
      <w:r>
        <w:rPr>
          <w:rFonts w:ascii="Bookman Old Style" w:hAnsi="Bookman Old Style"/>
          <w:i/>
          <w:spacing w:val="-4"/>
          <w:sz w:val="24"/>
          <w:u w:val="single"/>
        </w:rPr>
        <w:t xml:space="preserve">if  </w:t>
      </w:r>
      <w:r>
        <w:rPr>
          <w:rFonts w:ascii="Bookman Old Style" w:hAnsi="Bookman Old Style"/>
          <w:i/>
          <w:sz w:val="24"/>
          <w:u w:val="single"/>
        </w:rPr>
        <w:t xml:space="preserve">it  were otherwise  and  </w:t>
      </w:r>
      <w:r>
        <w:rPr>
          <w:rFonts w:ascii="Bookman Old Style" w:hAnsi="Bookman Old Style"/>
          <w:i/>
          <w:spacing w:val="-4"/>
          <w:sz w:val="24"/>
          <w:u w:val="single"/>
        </w:rPr>
        <w:t xml:space="preserve">if  </w:t>
      </w:r>
      <w:r>
        <w:rPr>
          <w:rFonts w:ascii="Bookman Old Style" w:hAnsi="Bookman Old Style"/>
          <w:i/>
          <w:sz w:val="24"/>
          <w:u w:val="single"/>
        </w:rPr>
        <w:t xml:space="preserve">the law gave  any protection </w:t>
      </w:r>
      <w:r>
        <w:rPr>
          <w:rFonts w:ascii="Bookman Old Style" w:hAnsi="Bookman Old Style"/>
          <w:i/>
          <w:spacing w:val="5"/>
          <w:sz w:val="24"/>
          <w:u w:val="single"/>
        </w:rPr>
        <w:t xml:space="preserve"> </w:t>
      </w:r>
      <w:r>
        <w:rPr>
          <w:rFonts w:ascii="Bookman Old Style" w:hAnsi="Bookman Old Style"/>
          <w:i/>
          <w:sz w:val="24"/>
          <w:u w:val="single"/>
        </w:rPr>
        <w:t>to</w:t>
      </w:r>
    </w:p>
    <w:p w:rsidR="003B2FC0" w:rsidRDefault="00052A49">
      <w:pPr>
        <w:ind w:left="1677" w:right="833"/>
        <w:jc w:val="both"/>
        <w:rPr>
          <w:rFonts w:ascii="Bookman Old Style" w:hAnsi="Bookman Old Style"/>
          <w:sz w:val="16"/>
        </w:rPr>
      </w:pPr>
      <w:r>
        <w:rPr>
          <w:rFonts w:ascii="Times New Roman" w:hAnsi="Times New Roman"/>
          <w:spacing w:val="-60"/>
          <w:sz w:val="24"/>
          <w:u w:val="single"/>
        </w:rPr>
        <w:t xml:space="preserve"> </w:t>
      </w:r>
      <w:r>
        <w:rPr>
          <w:rFonts w:ascii="Bookman Old Style" w:hAnsi="Bookman Old Style"/>
          <w:i/>
          <w:sz w:val="24"/>
          <w:u w:val="single"/>
        </w:rPr>
        <w:t xml:space="preserve">religion as determined on this basis the State’s power </w:t>
      </w:r>
      <w:r>
        <w:rPr>
          <w:rFonts w:ascii="Bookman Old Style" w:hAnsi="Bookman Old Style"/>
          <w:i/>
          <w:sz w:val="24"/>
          <w:u w:val="single"/>
        </w:rPr>
        <w:t>to protect</w:t>
      </w:r>
      <w:r>
        <w:rPr>
          <w:rFonts w:ascii="Bookman Old Style" w:hAnsi="Bookman Old Style"/>
          <w:i/>
          <w:sz w:val="24"/>
        </w:rPr>
        <w:t xml:space="preserve"> </w:t>
      </w:r>
      <w:r>
        <w:rPr>
          <w:rFonts w:ascii="Bookman Old Style" w:hAnsi="Bookman Old Style"/>
          <w:i/>
          <w:sz w:val="24"/>
          <w:u w:val="single"/>
        </w:rPr>
        <w:t>and direct would be at an end. Therefore, the courts can</w:t>
      </w:r>
      <w:r>
        <w:rPr>
          <w:rFonts w:ascii="Bookman Old Style" w:hAnsi="Bookman Old Style"/>
          <w:i/>
          <w:sz w:val="24"/>
        </w:rPr>
        <w:t xml:space="preserve"> </w:t>
      </w:r>
      <w:r>
        <w:rPr>
          <w:rFonts w:ascii="Bookman Old Style" w:hAnsi="Bookman Old Style"/>
          <w:i/>
          <w:sz w:val="24"/>
          <w:u w:val="single"/>
        </w:rPr>
        <w:t xml:space="preserve">discard as non-essentials anything which </w:t>
      </w:r>
      <w:r>
        <w:rPr>
          <w:rFonts w:ascii="Bookman Old Style" w:hAnsi="Bookman Old Style"/>
          <w:i/>
          <w:spacing w:val="-3"/>
          <w:sz w:val="24"/>
          <w:u w:val="single"/>
        </w:rPr>
        <w:t xml:space="preserve">is </w:t>
      </w:r>
      <w:r>
        <w:rPr>
          <w:rFonts w:ascii="Bookman Old Style" w:hAnsi="Bookman Old Style"/>
          <w:i/>
          <w:sz w:val="24"/>
          <w:u w:val="single"/>
        </w:rPr>
        <w:t>not proved to their</w:t>
      </w:r>
      <w:r>
        <w:rPr>
          <w:rFonts w:ascii="Bookman Old Style" w:hAnsi="Bookman Old Style"/>
          <w:i/>
          <w:sz w:val="24"/>
        </w:rPr>
        <w:t xml:space="preserve"> </w:t>
      </w:r>
      <w:r>
        <w:rPr>
          <w:rFonts w:ascii="Bookman Old Style" w:hAnsi="Bookman Old Style"/>
          <w:i/>
          <w:sz w:val="24"/>
          <w:u w:val="single"/>
        </w:rPr>
        <w:t xml:space="preserve">satisfaction – and they are not religious leaders or </w:t>
      </w:r>
      <w:r>
        <w:rPr>
          <w:rFonts w:ascii="Bookman Old Style" w:hAnsi="Bookman Old Style"/>
          <w:i/>
          <w:spacing w:val="-3"/>
          <w:sz w:val="24"/>
          <w:u w:val="single"/>
        </w:rPr>
        <w:t xml:space="preserve">in </w:t>
      </w:r>
      <w:r>
        <w:rPr>
          <w:rFonts w:ascii="Bookman Old Style" w:hAnsi="Bookman Old Style"/>
          <w:i/>
          <w:sz w:val="24"/>
          <w:u w:val="single"/>
        </w:rPr>
        <w:t>any</w:t>
      </w:r>
      <w:r>
        <w:rPr>
          <w:rFonts w:ascii="Bookman Old Style" w:hAnsi="Bookman Old Style"/>
          <w:i/>
          <w:sz w:val="24"/>
        </w:rPr>
        <w:t xml:space="preserve"> </w:t>
      </w:r>
      <w:r>
        <w:rPr>
          <w:rFonts w:ascii="Bookman Old Style" w:hAnsi="Bookman Old Style"/>
          <w:i/>
          <w:sz w:val="24"/>
          <w:u w:val="single"/>
        </w:rPr>
        <w:t>relevant fashion qualified in such matters—to be essential, with</w:t>
      </w:r>
      <w:r>
        <w:rPr>
          <w:rFonts w:ascii="Bookman Old Style" w:hAnsi="Bookman Old Style"/>
          <w:i/>
          <w:sz w:val="24"/>
        </w:rPr>
        <w:t xml:space="preserve"> </w:t>
      </w:r>
      <w:r>
        <w:rPr>
          <w:rFonts w:ascii="Bookman Old Style" w:hAnsi="Bookman Old Style"/>
          <w:i/>
          <w:sz w:val="24"/>
          <w:u w:val="single"/>
        </w:rPr>
        <w:t>the result that it would have no Constitutional protection. The</w:t>
      </w:r>
      <w:r>
        <w:rPr>
          <w:rFonts w:ascii="Bookman Old Style" w:hAnsi="Bookman Old Style"/>
          <w:i/>
          <w:sz w:val="24"/>
        </w:rPr>
        <w:t xml:space="preserve"> </w:t>
      </w:r>
      <w:r>
        <w:rPr>
          <w:rFonts w:ascii="Bookman Old Style" w:hAnsi="Bookman Old Style"/>
          <w:i/>
          <w:sz w:val="24"/>
          <w:u w:val="single"/>
        </w:rPr>
        <w:t xml:space="preserve">Constitution does not say freely </w:t>
      </w:r>
      <w:r>
        <w:rPr>
          <w:rFonts w:ascii="Bookman Old Style" w:hAnsi="Bookman Old Style"/>
          <w:i/>
          <w:spacing w:val="-3"/>
          <w:sz w:val="24"/>
          <w:u w:val="single"/>
        </w:rPr>
        <w:t xml:space="preserve">to </w:t>
      </w:r>
      <w:r>
        <w:rPr>
          <w:rFonts w:ascii="Bookman Old Style" w:hAnsi="Bookman Old Style"/>
          <w:i/>
          <w:sz w:val="24"/>
          <w:u w:val="single"/>
        </w:rPr>
        <w:t>profess, practise and</w:t>
      </w:r>
      <w:r>
        <w:rPr>
          <w:rFonts w:ascii="Bookman Old Style" w:hAnsi="Bookman Old Style"/>
          <w:i/>
          <w:sz w:val="24"/>
        </w:rPr>
        <w:t xml:space="preserve"> </w:t>
      </w:r>
      <w:r>
        <w:rPr>
          <w:rFonts w:ascii="Bookman Old Style" w:hAnsi="Bookman Old Style"/>
          <w:i/>
          <w:sz w:val="24"/>
          <w:u w:val="single"/>
        </w:rPr>
        <w:t>propagate the essentials of religion, but this is how it is</w:t>
      </w:r>
      <w:r>
        <w:rPr>
          <w:rFonts w:ascii="Bookman Old Style" w:hAnsi="Bookman Old Style"/>
          <w:i/>
          <w:sz w:val="24"/>
        </w:rPr>
        <w:t xml:space="preserve"> </w:t>
      </w:r>
      <w:r>
        <w:rPr>
          <w:rFonts w:ascii="Bookman Old Style" w:hAnsi="Bookman Old Style"/>
          <w:i/>
          <w:sz w:val="24"/>
          <w:u w:val="single"/>
        </w:rPr>
        <w:t>construed.</w:t>
      </w:r>
      <w:r>
        <w:rPr>
          <w:rFonts w:ascii="Bookman Old Style" w:hAnsi="Bookman Old Style"/>
          <w:sz w:val="24"/>
        </w:rPr>
        <w:t>”</w:t>
      </w:r>
      <w:r>
        <w:rPr>
          <w:rFonts w:ascii="Bookman Old Style" w:hAnsi="Bookman Old Style"/>
          <w:position w:val="6"/>
          <w:sz w:val="16"/>
        </w:rPr>
        <w:t>34</w:t>
      </w:r>
    </w:p>
    <w:p w:rsidR="003B2FC0" w:rsidRDefault="00052A49">
      <w:pPr>
        <w:spacing w:before="1"/>
        <w:ind w:left="2846"/>
        <w:rPr>
          <w:rFonts w:ascii="Bookman Old Style"/>
          <w:sz w:val="24"/>
        </w:rPr>
      </w:pPr>
      <w:r>
        <w:rPr>
          <w:rFonts w:ascii="Bookman Old Style"/>
          <w:sz w:val="24"/>
        </w:rPr>
        <w:t>(Emphasis supplied and internal quotations omitted)</w:t>
      </w:r>
    </w:p>
    <w:p w:rsidR="003B2FC0" w:rsidRDefault="003B2FC0">
      <w:pPr>
        <w:pStyle w:val="BodyText"/>
        <w:spacing w:before="1"/>
        <w:rPr>
          <w:sz w:val="24"/>
        </w:rPr>
      </w:pPr>
    </w:p>
    <w:p w:rsidR="003B2FC0" w:rsidRDefault="00052A49">
      <w:pPr>
        <w:pStyle w:val="ListParagraph"/>
        <w:numPr>
          <w:ilvl w:val="1"/>
          <w:numId w:val="8"/>
        </w:numPr>
        <w:tabs>
          <w:tab w:val="left" w:pos="1253"/>
        </w:tabs>
        <w:spacing w:line="480" w:lineRule="auto"/>
        <w:ind w:right="456" w:hanging="710"/>
        <w:rPr>
          <w:rFonts w:ascii="Bookman Old Style"/>
          <w:sz w:val="24"/>
        </w:rPr>
      </w:pPr>
      <w:r>
        <w:rPr>
          <w:rFonts w:ascii="Bookman Old Style"/>
          <w:sz w:val="24"/>
        </w:rPr>
        <w:t>The Ho</w:t>
      </w:r>
      <w:r>
        <w:rPr>
          <w:rFonts w:ascii="Bookman Old Style"/>
          <w:sz w:val="24"/>
        </w:rPr>
        <w:t xml:space="preserve">use of Lords in </w:t>
      </w:r>
      <w:r>
        <w:rPr>
          <w:rFonts w:ascii="Bookman Old Style"/>
          <w:i/>
          <w:sz w:val="24"/>
        </w:rPr>
        <w:t xml:space="preserve">Regina </w:t>
      </w:r>
      <w:r>
        <w:rPr>
          <w:rFonts w:ascii="Bookman Old Style"/>
          <w:sz w:val="24"/>
        </w:rPr>
        <w:t xml:space="preserve">v. </w:t>
      </w:r>
      <w:r>
        <w:rPr>
          <w:rFonts w:ascii="Bookman Old Style"/>
          <w:i/>
          <w:sz w:val="24"/>
        </w:rPr>
        <w:t>Secretary of State for Education and Employment &amp; Ors.</w:t>
      </w:r>
      <w:r>
        <w:rPr>
          <w:rFonts w:ascii="Bookman Old Style"/>
          <w:position w:val="6"/>
          <w:sz w:val="16"/>
        </w:rPr>
        <w:t>35</w:t>
      </w:r>
      <w:r>
        <w:rPr>
          <w:rFonts w:ascii="Bookman Old Style"/>
          <w:sz w:val="24"/>
        </w:rPr>
        <w:t>, held that the court ought not to embark upon an enquiry into the validity or legitimacy of asserted beliefs on the basis of objective standards or rationality. The relevant</w:t>
      </w:r>
      <w:r>
        <w:rPr>
          <w:rFonts w:ascii="Bookman Old Style"/>
          <w:sz w:val="24"/>
        </w:rPr>
        <w:t xml:space="preserve"> extract from the decision of the House of Lords is reproduced</w:t>
      </w:r>
      <w:r>
        <w:rPr>
          <w:rFonts w:ascii="Bookman Old Style"/>
          <w:spacing w:val="-14"/>
          <w:sz w:val="24"/>
        </w:rPr>
        <w:t xml:space="preserve"> </w:t>
      </w:r>
      <w:r>
        <w:rPr>
          <w:rFonts w:ascii="Bookman Old Style"/>
          <w:sz w:val="24"/>
        </w:rPr>
        <w:t>hereinbelow:</w:t>
      </w:r>
    </w:p>
    <w:p w:rsidR="003B2FC0" w:rsidRDefault="00052A49">
      <w:pPr>
        <w:spacing w:line="279" w:lineRule="exact"/>
        <w:ind w:left="1677"/>
        <w:jc w:val="both"/>
        <w:rPr>
          <w:rFonts w:ascii="Bookman Old Style" w:hAnsi="Bookman Old Style"/>
          <w:i/>
          <w:sz w:val="24"/>
        </w:rPr>
      </w:pPr>
      <w:r>
        <w:rPr>
          <w:rFonts w:ascii="Bookman Old Style" w:hAnsi="Bookman Old Style"/>
          <w:i/>
          <w:sz w:val="24"/>
        </w:rPr>
        <w:t>“It</w:t>
      </w:r>
      <w:r>
        <w:rPr>
          <w:rFonts w:ascii="Bookman Old Style" w:hAnsi="Bookman Old Style"/>
          <w:i/>
          <w:spacing w:val="36"/>
          <w:sz w:val="24"/>
        </w:rPr>
        <w:t xml:space="preserve"> </w:t>
      </w:r>
      <w:r>
        <w:rPr>
          <w:rFonts w:ascii="Bookman Old Style" w:hAnsi="Bookman Old Style"/>
          <w:i/>
          <w:sz w:val="24"/>
        </w:rPr>
        <w:t>is</w:t>
      </w:r>
      <w:r>
        <w:rPr>
          <w:rFonts w:ascii="Bookman Old Style" w:hAnsi="Bookman Old Style"/>
          <w:i/>
          <w:spacing w:val="37"/>
          <w:sz w:val="24"/>
        </w:rPr>
        <w:t xml:space="preserve"> </w:t>
      </w:r>
      <w:r>
        <w:rPr>
          <w:rFonts w:ascii="Bookman Old Style" w:hAnsi="Bookman Old Style"/>
          <w:i/>
          <w:sz w:val="24"/>
        </w:rPr>
        <w:t>necessary</w:t>
      </w:r>
      <w:r>
        <w:rPr>
          <w:rFonts w:ascii="Bookman Old Style" w:hAnsi="Bookman Old Style"/>
          <w:i/>
          <w:spacing w:val="34"/>
          <w:sz w:val="24"/>
        </w:rPr>
        <w:t xml:space="preserve"> </w:t>
      </w:r>
      <w:r>
        <w:rPr>
          <w:rFonts w:ascii="Bookman Old Style" w:hAnsi="Bookman Old Style"/>
          <w:i/>
          <w:sz w:val="24"/>
        </w:rPr>
        <w:t>first</w:t>
      </w:r>
      <w:r>
        <w:rPr>
          <w:rFonts w:ascii="Bookman Old Style" w:hAnsi="Bookman Old Style"/>
          <w:i/>
          <w:spacing w:val="40"/>
          <w:sz w:val="24"/>
        </w:rPr>
        <w:t xml:space="preserve"> </w:t>
      </w:r>
      <w:r>
        <w:rPr>
          <w:rFonts w:ascii="Bookman Old Style" w:hAnsi="Bookman Old Style"/>
          <w:i/>
          <w:spacing w:val="-3"/>
          <w:sz w:val="24"/>
        </w:rPr>
        <w:t>to</w:t>
      </w:r>
      <w:r>
        <w:rPr>
          <w:rFonts w:ascii="Bookman Old Style" w:hAnsi="Bookman Old Style"/>
          <w:i/>
          <w:spacing w:val="37"/>
          <w:sz w:val="24"/>
        </w:rPr>
        <w:t xml:space="preserve"> </w:t>
      </w:r>
      <w:r>
        <w:rPr>
          <w:rFonts w:ascii="Bookman Old Style" w:hAnsi="Bookman Old Style"/>
          <w:i/>
          <w:sz w:val="24"/>
        </w:rPr>
        <w:t>clarify</w:t>
      </w:r>
      <w:r>
        <w:rPr>
          <w:rFonts w:ascii="Bookman Old Style" w:hAnsi="Bookman Old Style"/>
          <w:i/>
          <w:spacing w:val="38"/>
          <w:sz w:val="24"/>
          <w:u w:val="single"/>
        </w:rPr>
        <w:t xml:space="preserve"> </w:t>
      </w:r>
      <w:r>
        <w:rPr>
          <w:rFonts w:ascii="Bookman Old Style" w:hAnsi="Bookman Old Style"/>
          <w:i/>
          <w:sz w:val="24"/>
          <w:u w:val="single"/>
        </w:rPr>
        <w:t>the</w:t>
      </w:r>
      <w:r>
        <w:rPr>
          <w:rFonts w:ascii="Bookman Old Style" w:hAnsi="Bookman Old Style"/>
          <w:i/>
          <w:spacing w:val="37"/>
          <w:sz w:val="24"/>
          <w:u w:val="single"/>
        </w:rPr>
        <w:t xml:space="preserve"> </w:t>
      </w:r>
      <w:r>
        <w:rPr>
          <w:rFonts w:ascii="Bookman Old Style" w:hAnsi="Bookman Old Style"/>
          <w:i/>
          <w:sz w:val="24"/>
          <w:u w:val="single"/>
        </w:rPr>
        <w:t>court’s</w:t>
      </w:r>
      <w:r>
        <w:rPr>
          <w:rFonts w:ascii="Bookman Old Style" w:hAnsi="Bookman Old Style"/>
          <w:i/>
          <w:spacing w:val="36"/>
          <w:sz w:val="24"/>
          <w:u w:val="single"/>
        </w:rPr>
        <w:t xml:space="preserve"> </w:t>
      </w:r>
      <w:r>
        <w:rPr>
          <w:rFonts w:ascii="Bookman Old Style" w:hAnsi="Bookman Old Style"/>
          <w:i/>
          <w:sz w:val="24"/>
          <w:u w:val="single"/>
        </w:rPr>
        <w:t>role</w:t>
      </w:r>
      <w:r>
        <w:rPr>
          <w:rFonts w:ascii="Bookman Old Style" w:hAnsi="Bookman Old Style"/>
          <w:i/>
          <w:spacing w:val="39"/>
          <w:sz w:val="24"/>
          <w:u w:val="single"/>
        </w:rPr>
        <w:t xml:space="preserve"> </w:t>
      </w:r>
      <w:r>
        <w:rPr>
          <w:rFonts w:ascii="Bookman Old Style" w:hAnsi="Bookman Old Style"/>
          <w:i/>
          <w:spacing w:val="-3"/>
          <w:sz w:val="24"/>
          <w:u w:val="single"/>
        </w:rPr>
        <w:t>in</w:t>
      </w:r>
      <w:r>
        <w:rPr>
          <w:rFonts w:ascii="Bookman Old Style" w:hAnsi="Bookman Old Style"/>
          <w:i/>
          <w:spacing w:val="39"/>
          <w:sz w:val="24"/>
          <w:u w:val="single"/>
        </w:rPr>
        <w:t xml:space="preserve"> </w:t>
      </w:r>
      <w:r>
        <w:rPr>
          <w:rFonts w:ascii="Bookman Old Style" w:hAnsi="Bookman Old Style"/>
          <w:i/>
          <w:sz w:val="24"/>
          <w:u w:val="single"/>
        </w:rPr>
        <w:t>identifying</w:t>
      </w:r>
      <w:r>
        <w:rPr>
          <w:rFonts w:ascii="Bookman Old Style" w:hAnsi="Bookman Old Style"/>
          <w:i/>
          <w:spacing w:val="39"/>
          <w:sz w:val="24"/>
          <w:u w:val="single"/>
        </w:rPr>
        <w:t xml:space="preserve"> </w:t>
      </w:r>
      <w:r>
        <w:rPr>
          <w:rFonts w:ascii="Bookman Old Style" w:hAnsi="Bookman Old Style"/>
          <w:i/>
          <w:sz w:val="24"/>
          <w:u w:val="single"/>
        </w:rPr>
        <w:t>a</w:t>
      </w:r>
    </w:p>
    <w:p w:rsidR="003B2FC0" w:rsidRDefault="00052A49">
      <w:pPr>
        <w:spacing w:line="281" w:lineRule="exact"/>
        <w:ind w:left="1677"/>
        <w:jc w:val="both"/>
        <w:rPr>
          <w:rFonts w:ascii="Bookman Old Style"/>
          <w:i/>
          <w:sz w:val="24"/>
        </w:rPr>
      </w:pPr>
      <w:r>
        <w:rPr>
          <w:rFonts w:ascii="Bookman Old Style"/>
          <w:i/>
          <w:sz w:val="24"/>
          <w:u w:val="single"/>
        </w:rPr>
        <w:t>religious</w:t>
      </w:r>
      <w:r>
        <w:rPr>
          <w:rFonts w:ascii="Bookman Old Style"/>
          <w:i/>
          <w:spacing w:val="34"/>
          <w:sz w:val="24"/>
          <w:u w:val="single"/>
        </w:rPr>
        <w:t xml:space="preserve"> </w:t>
      </w:r>
      <w:r>
        <w:rPr>
          <w:rFonts w:ascii="Bookman Old Style"/>
          <w:i/>
          <w:sz w:val="24"/>
          <w:u w:val="single"/>
        </w:rPr>
        <w:t>belief</w:t>
      </w:r>
      <w:r>
        <w:rPr>
          <w:rFonts w:ascii="Bookman Old Style"/>
          <w:i/>
          <w:spacing w:val="40"/>
          <w:sz w:val="24"/>
          <w:u w:val="single"/>
        </w:rPr>
        <w:t xml:space="preserve"> </w:t>
      </w:r>
      <w:r>
        <w:rPr>
          <w:rFonts w:ascii="Bookman Old Style"/>
          <w:i/>
          <w:sz w:val="24"/>
          <w:u w:val="single"/>
        </w:rPr>
        <w:t>calling</w:t>
      </w:r>
      <w:r>
        <w:rPr>
          <w:rFonts w:ascii="Bookman Old Style"/>
          <w:i/>
          <w:spacing w:val="30"/>
          <w:sz w:val="24"/>
          <w:u w:val="single"/>
        </w:rPr>
        <w:t xml:space="preserve"> </w:t>
      </w:r>
      <w:r>
        <w:rPr>
          <w:rFonts w:ascii="Bookman Old Style"/>
          <w:i/>
          <w:sz w:val="24"/>
          <w:u w:val="single"/>
        </w:rPr>
        <w:t>for</w:t>
      </w:r>
      <w:r>
        <w:rPr>
          <w:rFonts w:ascii="Bookman Old Style"/>
          <w:i/>
          <w:spacing w:val="34"/>
          <w:sz w:val="24"/>
          <w:u w:val="single"/>
        </w:rPr>
        <w:t xml:space="preserve"> </w:t>
      </w:r>
      <w:r>
        <w:rPr>
          <w:rFonts w:ascii="Bookman Old Style"/>
          <w:i/>
          <w:sz w:val="24"/>
          <w:u w:val="single"/>
        </w:rPr>
        <w:t>protection</w:t>
      </w:r>
      <w:r>
        <w:rPr>
          <w:rFonts w:ascii="Bookman Old Style"/>
          <w:i/>
          <w:spacing w:val="34"/>
          <w:sz w:val="24"/>
          <w:u w:val="single"/>
        </w:rPr>
        <w:t xml:space="preserve"> </w:t>
      </w:r>
      <w:r>
        <w:rPr>
          <w:rFonts w:ascii="Bookman Old Style"/>
          <w:i/>
          <w:sz w:val="24"/>
          <w:u w:val="single"/>
        </w:rPr>
        <w:t>under</w:t>
      </w:r>
      <w:r>
        <w:rPr>
          <w:rFonts w:ascii="Bookman Old Style"/>
          <w:i/>
          <w:spacing w:val="36"/>
          <w:sz w:val="24"/>
          <w:u w:val="single"/>
        </w:rPr>
        <w:t xml:space="preserve"> </w:t>
      </w:r>
      <w:r>
        <w:rPr>
          <w:rFonts w:ascii="Bookman Old Style"/>
          <w:i/>
          <w:sz w:val="24"/>
          <w:u w:val="single"/>
        </w:rPr>
        <w:t>article</w:t>
      </w:r>
      <w:r>
        <w:rPr>
          <w:rFonts w:ascii="Bookman Old Style"/>
          <w:i/>
          <w:spacing w:val="34"/>
          <w:sz w:val="24"/>
          <w:u w:val="single"/>
        </w:rPr>
        <w:t xml:space="preserve"> </w:t>
      </w:r>
      <w:r>
        <w:rPr>
          <w:rFonts w:ascii="Bookman Old Style"/>
          <w:i/>
          <w:sz w:val="24"/>
          <w:u w:val="single"/>
        </w:rPr>
        <w:t>9.</w:t>
      </w:r>
      <w:r>
        <w:rPr>
          <w:rFonts w:ascii="Bookman Old Style"/>
          <w:i/>
          <w:spacing w:val="34"/>
          <w:sz w:val="24"/>
          <w:u w:val="single"/>
        </w:rPr>
        <w:t xml:space="preserve"> </w:t>
      </w:r>
      <w:r>
        <w:rPr>
          <w:rFonts w:ascii="Bookman Old Style"/>
          <w:i/>
          <w:sz w:val="24"/>
          <w:u w:val="single"/>
        </w:rPr>
        <w:t>When</w:t>
      </w:r>
      <w:r>
        <w:rPr>
          <w:rFonts w:ascii="Bookman Old Style"/>
          <w:i/>
          <w:spacing w:val="36"/>
          <w:sz w:val="24"/>
          <w:u w:val="single"/>
        </w:rPr>
        <w:t xml:space="preserve"> </w:t>
      </w:r>
      <w:r>
        <w:rPr>
          <w:rFonts w:ascii="Bookman Old Style"/>
          <w:i/>
          <w:sz w:val="24"/>
          <w:u w:val="single"/>
        </w:rPr>
        <w:t>the</w:t>
      </w:r>
    </w:p>
    <w:p w:rsidR="003B2FC0" w:rsidRDefault="00052A49">
      <w:pPr>
        <w:spacing w:before="2"/>
        <w:ind w:left="1677" w:right="833"/>
        <w:jc w:val="both"/>
        <w:rPr>
          <w:rFonts w:ascii="Bookman Old Style" w:hAnsi="Bookman Old Style"/>
          <w:i/>
          <w:sz w:val="24"/>
        </w:rPr>
      </w:pPr>
      <w:r>
        <w:rPr>
          <w:rFonts w:ascii="Times New Roman" w:hAnsi="Times New Roman"/>
          <w:spacing w:val="-60"/>
          <w:sz w:val="24"/>
          <w:u w:val="single"/>
        </w:rPr>
        <w:t xml:space="preserve"> </w:t>
      </w:r>
      <w:r>
        <w:rPr>
          <w:rFonts w:ascii="Bookman Old Style" w:hAnsi="Bookman Old Style"/>
          <w:i/>
          <w:sz w:val="24"/>
          <w:u w:val="single"/>
        </w:rPr>
        <w:t xml:space="preserve">genuineness of a claimant’s professed belief </w:t>
      </w:r>
      <w:r>
        <w:rPr>
          <w:rFonts w:ascii="Bookman Old Style" w:hAnsi="Bookman Old Style"/>
          <w:i/>
          <w:spacing w:val="-3"/>
          <w:sz w:val="24"/>
          <w:u w:val="single"/>
        </w:rPr>
        <w:t xml:space="preserve">is </w:t>
      </w:r>
      <w:r>
        <w:rPr>
          <w:rFonts w:ascii="Bookman Old Style" w:hAnsi="Bookman Old Style"/>
          <w:i/>
          <w:sz w:val="24"/>
          <w:u w:val="single"/>
        </w:rPr>
        <w:t>an issue in the</w:t>
      </w:r>
      <w:r>
        <w:rPr>
          <w:rFonts w:ascii="Bookman Old Style" w:hAnsi="Bookman Old Style"/>
          <w:i/>
          <w:sz w:val="24"/>
        </w:rPr>
        <w:t xml:space="preserve"> </w:t>
      </w:r>
      <w:r>
        <w:rPr>
          <w:rFonts w:ascii="Bookman Old Style" w:hAnsi="Bookman Old Style"/>
          <w:i/>
          <w:sz w:val="24"/>
          <w:u w:val="single"/>
        </w:rPr>
        <w:t xml:space="preserve">proceedings the court </w:t>
      </w:r>
      <w:r>
        <w:rPr>
          <w:rFonts w:ascii="Bookman Old Style" w:hAnsi="Bookman Old Style"/>
          <w:i/>
          <w:spacing w:val="-3"/>
          <w:sz w:val="24"/>
          <w:u w:val="single"/>
        </w:rPr>
        <w:t xml:space="preserve">will </w:t>
      </w:r>
      <w:r>
        <w:rPr>
          <w:rFonts w:ascii="Bookman Old Style" w:hAnsi="Bookman Old Style"/>
          <w:i/>
          <w:sz w:val="24"/>
          <w:u w:val="single"/>
        </w:rPr>
        <w:t>enquire into and decide this issue as</w:t>
      </w:r>
      <w:r>
        <w:rPr>
          <w:rFonts w:ascii="Bookman Old Style" w:hAnsi="Bookman Old Style"/>
          <w:i/>
          <w:sz w:val="24"/>
        </w:rPr>
        <w:t xml:space="preserve"> </w:t>
      </w:r>
      <w:r>
        <w:rPr>
          <w:rFonts w:ascii="Bookman Old Style" w:hAnsi="Bookman Old Style"/>
          <w:i/>
          <w:sz w:val="24"/>
          <w:u w:val="single"/>
        </w:rPr>
        <w:t>a question of fact. This is a limited inquiry. The Court is</w:t>
      </w:r>
      <w:r>
        <w:rPr>
          <w:rFonts w:ascii="Bookman Old Style" w:hAnsi="Bookman Old Style"/>
          <w:i/>
          <w:sz w:val="24"/>
        </w:rPr>
        <w:t xml:space="preserve"> </w:t>
      </w:r>
      <w:r>
        <w:rPr>
          <w:rFonts w:ascii="Bookman Old Style" w:hAnsi="Bookman Old Style"/>
          <w:i/>
          <w:sz w:val="24"/>
          <w:u w:val="single"/>
        </w:rPr>
        <w:t xml:space="preserve">concerned </w:t>
      </w:r>
      <w:r>
        <w:rPr>
          <w:rFonts w:ascii="Bookman Old Style" w:hAnsi="Bookman Old Style"/>
          <w:i/>
          <w:spacing w:val="-3"/>
          <w:sz w:val="24"/>
          <w:u w:val="single"/>
        </w:rPr>
        <w:t xml:space="preserve">to </w:t>
      </w:r>
      <w:r>
        <w:rPr>
          <w:rFonts w:ascii="Bookman Old Style" w:hAnsi="Bookman Old Style"/>
          <w:i/>
          <w:sz w:val="24"/>
          <w:u w:val="single"/>
        </w:rPr>
        <w:t xml:space="preserve">ensure </w:t>
      </w:r>
      <w:r>
        <w:rPr>
          <w:rFonts w:ascii="Bookman Old Style" w:hAnsi="Bookman Old Style"/>
          <w:i/>
          <w:spacing w:val="-3"/>
          <w:sz w:val="24"/>
          <w:u w:val="single"/>
        </w:rPr>
        <w:t xml:space="preserve">an </w:t>
      </w:r>
      <w:r>
        <w:rPr>
          <w:rFonts w:ascii="Bookman Old Style" w:hAnsi="Bookman Old Style"/>
          <w:i/>
          <w:sz w:val="24"/>
          <w:u w:val="single"/>
        </w:rPr>
        <w:t xml:space="preserve">assertion of religious belief </w:t>
      </w:r>
      <w:r>
        <w:rPr>
          <w:rFonts w:ascii="Bookman Old Style" w:hAnsi="Bookman Old Style"/>
          <w:i/>
          <w:spacing w:val="-3"/>
          <w:sz w:val="24"/>
          <w:u w:val="single"/>
        </w:rPr>
        <w:t xml:space="preserve">is </w:t>
      </w:r>
      <w:r>
        <w:rPr>
          <w:rFonts w:ascii="Bookman Old Style" w:hAnsi="Bookman Old Style"/>
          <w:i/>
          <w:sz w:val="24"/>
          <w:u w:val="single"/>
        </w:rPr>
        <w:t xml:space="preserve">made </w:t>
      </w:r>
      <w:r>
        <w:rPr>
          <w:rFonts w:ascii="Bookman Old Style" w:hAnsi="Bookman Old Style"/>
          <w:i/>
          <w:spacing w:val="-3"/>
          <w:sz w:val="24"/>
          <w:u w:val="single"/>
        </w:rPr>
        <w:t>in</w:t>
      </w:r>
      <w:r>
        <w:rPr>
          <w:rFonts w:ascii="Bookman Old Style" w:hAnsi="Bookman Old Style"/>
          <w:i/>
          <w:spacing w:val="-3"/>
          <w:sz w:val="24"/>
        </w:rPr>
        <w:t xml:space="preserve"> </w:t>
      </w:r>
      <w:r>
        <w:rPr>
          <w:rFonts w:ascii="Bookman Old Style" w:hAnsi="Bookman Old Style"/>
          <w:i/>
          <w:sz w:val="24"/>
          <w:u w:val="single"/>
        </w:rPr>
        <w:t xml:space="preserve">good faith: neither fictitious, nor capricious, </w:t>
      </w:r>
      <w:r>
        <w:rPr>
          <w:rFonts w:ascii="Bookman Old Style" w:hAnsi="Bookman Old Style"/>
          <w:i/>
          <w:sz w:val="24"/>
          <w:u w:val="single"/>
        </w:rPr>
        <w:t>and that it is not an</w:t>
      </w:r>
      <w:r>
        <w:rPr>
          <w:rFonts w:ascii="Bookman Old Style" w:hAnsi="Bookman Old Style"/>
          <w:i/>
          <w:sz w:val="24"/>
        </w:rPr>
        <w:t xml:space="preserve"> </w:t>
      </w:r>
      <w:r>
        <w:rPr>
          <w:rFonts w:ascii="Bookman Old Style" w:hAnsi="Bookman Old Style"/>
          <w:i/>
          <w:sz w:val="24"/>
          <w:u w:val="single"/>
        </w:rPr>
        <w:t>artifice</w:t>
      </w:r>
      <w:r>
        <w:rPr>
          <w:rFonts w:ascii="Bookman Old Style" w:hAnsi="Bookman Old Style"/>
          <w:i/>
          <w:sz w:val="24"/>
        </w:rPr>
        <w:t>, to adopt the felicitous phrase of Iacobucci J in the decision of the Supreme Court of Canada in Syndicat</w:t>
      </w:r>
      <w:r>
        <w:rPr>
          <w:rFonts w:ascii="Bookman Old Style" w:hAnsi="Bookman Old Style"/>
          <w:i/>
          <w:spacing w:val="-3"/>
          <w:sz w:val="24"/>
        </w:rPr>
        <w:t xml:space="preserve"> </w:t>
      </w:r>
      <w:r>
        <w:rPr>
          <w:rFonts w:ascii="Bookman Old Style" w:hAnsi="Bookman Old Style"/>
          <w:i/>
          <w:sz w:val="24"/>
        </w:rPr>
        <w:t>Northcrest</w:t>
      </w:r>
    </w:p>
    <w:p w:rsidR="003B2FC0" w:rsidRDefault="00052A49">
      <w:pPr>
        <w:ind w:left="1677" w:right="836"/>
        <w:jc w:val="both"/>
        <w:rPr>
          <w:rFonts w:ascii="Bookman Old Style"/>
          <w:i/>
          <w:sz w:val="24"/>
        </w:rPr>
      </w:pPr>
      <w:r>
        <w:rPr>
          <w:rFonts w:ascii="Bookman Old Style"/>
          <w:sz w:val="24"/>
        </w:rPr>
        <w:t xml:space="preserve">v. </w:t>
      </w:r>
      <w:r>
        <w:rPr>
          <w:rFonts w:ascii="Bookman Old Style"/>
          <w:i/>
          <w:sz w:val="24"/>
        </w:rPr>
        <w:t>Amselem (2004) 241 DLR (4</w:t>
      </w:r>
      <w:r>
        <w:rPr>
          <w:rFonts w:ascii="Bookman Old Style"/>
          <w:i/>
          <w:position w:val="6"/>
          <w:sz w:val="16"/>
        </w:rPr>
        <w:t>th</w:t>
      </w:r>
      <w:r>
        <w:rPr>
          <w:rFonts w:ascii="Bookman Old Style"/>
          <w:i/>
          <w:sz w:val="24"/>
        </w:rPr>
        <w:t xml:space="preserve">) 1, 27, para 52. </w:t>
      </w:r>
      <w:r>
        <w:rPr>
          <w:rFonts w:ascii="Bookman Old Style"/>
          <w:i/>
          <w:sz w:val="24"/>
          <w:u w:val="single"/>
        </w:rPr>
        <w:t>But, emphatically, it is not for the Court to embark on an i</w:t>
      </w:r>
      <w:r>
        <w:rPr>
          <w:rFonts w:ascii="Bookman Old Style"/>
          <w:i/>
          <w:sz w:val="24"/>
          <w:u w:val="single"/>
        </w:rPr>
        <w:t>nquiry into the asserted belief and judge its validity by some objective standard such as the source material upon which the claimant founds  his  belief  or  the  orthodox  teaching  of  the  religion</w:t>
      </w:r>
      <w:r>
        <w:rPr>
          <w:rFonts w:ascii="Bookman Old Style"/>
          <w:i/>
          <w:spacing w:val="29"/>
          <w:sz w:val="24"/>
          <w:u w:val="single"/>
        </w:rPr>
        <w:t xml:space="preserve"> </w:t>
      </w:r>
      <w:r>
        <w:rPr>
          <w:rFonts w:ascii="Bookman Old Style"/>
          <w:i/>
          <w:sz w:val="24"/>
          <w:u w:val="single"/>
        </w:rPr>
        <w:t>in</w:t>
      </w:r>
    </w:p>
    <w:p w:rsidR="003B2FC0" w:rsidRDefault="00052A49">
      <w:pPr>
        <w:ind w:left="1677" w:right="832"/>
        <w:jc w:val="both"/>
        <w:rPr>
          <w:rFonts w:ascii="Bookman Old Style" w:hAnsi="Bookman Old Style"/>
          <w:i/>
          <w:sz w:val="24"/>
        </w:rPr>
      </w:pPr>
      <w:r>
        <w:rPr>
          <w:rFonts w:ascii="Times New Roman" w:hAnsi="Times New Roman"/>
          <w:spacing w:val="-60"/>
          <w:sz w:val="24"/>
          <w:u w:val="single"/>
        </w:rPr>
        <w:t xml:space="preserve"> </w:t>
      </w:r>
      <w:r>
        <w:rPr>
          <w:rFonts w:ascii="Bookman Old Style" w:hAnsi="Bookman Old Style"/>
          <w:i/>
          <w:sz w:val="24"/>
          <w:u w:val="single"/>
        </w:rPr>
        <w:t>question or the extent to which the claimant’s bel</w:t>
      </w:r>
      <w:r>
        <w:rPr>
          <w:rFonts w:ascii="Bookman Old Style" w:hAnsi="Bookman Old Style"/>
          <w:i/>
          <w:sz w:val="24"/>
          <w:u w:val="single"/>
        </w:rPr>
        <w:t>ief conforms to</w:t>
      </w:r>
      <w:r>
        <w:rPr>
          <w:rFonts w:ascii="Bookman Old Style" w:hAnsi="Bookman Old Style"/>
          <w:i/>
          <w:sz w:val="24"/>
        </w:rPr>
        <w:t xml:space="preserve"> </w:t>
      </w:r>
      <w:r>
        <w:rPr>
          <w:rFonts w:ascii="Bookman Old Style" w:hAnsi="Bookman Old Style"/>
          <w:i/>
          <w:sz w:val="24"/>
          <w:u w:val="single"/>
        </w:rPr>
        <w:t>or differs from the views of others professing the same religion</w:t>
      </w:r>
      <w:r>
        <w:rPr>
          <w:rFonts w:ascii="Bookman Old Style" w:hAnsi="Bookman Old Style"/>
          <w:i/>
          <w:sz w:val="24"/>
        </w:rPr>
        <w:t xml:space="preserve">. Freedom of religion protects the subjected belief </w:t>
      </w:r>
      <w:r>
        <w:rPr>
          <w:rFonts w:ascii="Bookman Old Style" w:hAnsi="Bookman Old Style"/>
          <w:i/>
          <w:spacing w:val="-3"/>
          <w:sz w:val="24"/>
        </w:rPr>
        <w:t xml:space="preserve">of </w:t>
      </w:r>
      <w:r>
        <w:rPr>
          <w:rFonts w:ascii="Bookman Old Style" w:hAnsi="Bookman Old Style"/>
          <w:i/>
          <w:sz w:val="24"/>
        </w:rPr>
        <w:t>an individual.  As  Iacobucci  J  also  noted,  at  page  28,  para</w:t>
      </w:r>
      <w:r>
        <w:rPr>
          <w:rFonts w:ascii="Bookman Old Style" w:hAnsi="Bookman Old Style"/>
          <w:i/>
          <w:spacing w:val="1"/>
          <w:sz w:val="24"/>
        </w:rPr>
        <w:t xml:space="preserve"> </w:t>
      </w:r>
      <w:r>
        <w:rPr>
          <w:rFonts w:ascii="Bookman Old Style" w:hAnsi="Bookman Old Style"/>
          <w:i/>
          <w:sz w:val="24"/>
        </w:rPr>
        <w:t>54,</w:t>
      </w:r>
    </w:p>
    <w:p w:rsidR="003B2FC0" w:rsidRDefault="003B2FC0">
      <w:pPr>
        <w:pStyle w:val="BodyText"/>
        <w:rPr>
          <w:i/>
          <w:sz w:val="20"/>
        </w:rPr>
      </w:pPr>
    </w:p>
    <w:p w:rsidR="003B2FC0" w:rsidRDefault="003B2FC0">
      <w:pPr>
        <w:pStyle w:val="BodyText"/>
        <w:spacing w:before="9"/>
        <w:rPr>
          <w:i/>
          <w:sz w:val="11"/>
        </w:rPr>
      </w:pPr>
      <w:r w:rsidRPr="003B2FC0">
        <w:pict>
          <v:line id="_x0000_s1041" style="position:absolute;z-index:251672064;mso-wrap-distance-left:0;mso-wrap-distance-right:0;mso-position-horizontal-relative:page" from="1in,9.3pt" to="216.05pt,9.3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34 </w:t>
      </w:r>
      <w:r>
        <w:rPr>
          <w:rFonts w:ascii="Bookman Old Style"/>
          <w:sz w:val="20"/>
        </w:rPr>
        <w:t xml:space="preserve">J. Duncan M. Derett, </w:t>
      </w:r>
      <w:r>
        <w:rPr>
          <w:rFonts w:ascii="Bookman Old Style"/>
          <w:i/>
          <w:sz w:val="20"/>
        </w:rPr>
        <w:t xml:space="preserve">Religion, Law and the State in India </w:t>
      </w:r>
      <w:r>
        <w:rPr>
          <w:rFonts w:ascii="Bookman Old Style"/>
          <w:sz w:val="20"/>
        </w:rPr>
        <w:t>(1968), at p. 447</w:t>
      </w:r>
    </w:p>
    <w:p w:rsidR="003B2FC0" w:rsidRDefault="00052A49">
      <w:pPr>
        <w:ind w:left="400"/>
        <w:rPr>
          <w:rFonts w:ascii="Bookman Old Style"/>
          <w:sz w:val="20"/>
        </w:rPr>
      </w:pPr>
      <w:r>
        <w:rPr>
          <w:rFonts w:ascii="Bookman Old Style"/>
          <w:position w:val="5"/>
          <w:sz w:val="13"/>
        </w:rPr>
        <w:t xml:space="preserve">35 </w:t>
      </w:r>
      <w:r>
        <w:rPr>
          <w:rFonts w:ascii="Bookman Old Style"/>
          <w:sz w:val="20"/>
        </w:rPr>
        <w:t>[2005] UKHL 15</w:t>
      </w:r>
    </w:p>
    <w:p w:rsidR="003B2FC0" w:rsidRDefault="003B2FC0">
      <w:pPr>
        <w:rPr>
          <w:rFonts w:ascii="Bookman Old Style"/>
          <w:sz w:val="20"/>
        </w:rPr>
        <w:sectPr w:rsidR="003B2FC0">
          <w:headerReference w:type="default" r:id="rId467"/>
          <w:footerReference w:type="default" r:id="rId468"/>
          <w:pgSz w:w="11910" w:h="16840"/>
          <w:pgMar w:top="1340" w:right="980" w:bottom="1220" w:left="1040" w:header="0" w:footer="1033" w:gutter="0"/>
          <w:pgNumType w:start="37"/>
          <w:cols w:space="720"/>
        </w:sectPr>
      </w:pPr>
    </w:p>
    <w:p w:rsidR="003B2FC0" w:rsidRDefault="00052A49">
      <w:pPr>
        <w:spacing w:before="81"/>
        <w:ind w:left="1677" w:right="832"/>
        <w:jc w:val="both"/>
        <w:rPr>
          <w:rFonts w:ascii="Bookman Old Style" w:hAnsi="Bookman Old Style"/>
          <w:i/>
          <w:sz w:val="24"/>
        </w:rPr>
      </w:pPr>
      <w:r>
        <w:rPr>
          <w:rFonts w:ascii="Bookman Old Style" w:hAnsi="Bookman Old Style"/>
          <w:i/>
          <w:sz w:val="24"/>
          <w:u w:val="single"/>
        </w:rPr>
        <w:t>religious belief is intensely personal and can easily vary from</w:t>
      </w:r>
      <w:r>
        <w:rPr>
          <w:rFonts w:ascii="Bookman Old Style" w:hAnsi="Bookman Old Style"/>
          <w:i/>
          <w:sz w:val="24"/>
        </w:rPr>
        <w:t xml:space="preserve"> </w:t>
      </w:r>
      <w:r>
        <w:rPr>
          <w:rFonts w:ascii="Bookman Old Style" w:hAnsi="Bookman Old Style"/>
          <w:i/>
          <w:sz w:val="24"/>
          <w:u w:val="single"/>
        </w:rPr>
        <w:t>one individual to another. Each individual is at liberty to hold</w:t>
      </w:r>
      <w:r>
        <w:rPr>
          <w:rFonts w:ascii="Bookman Old Style" w:hAnsi="Bookman Old Style"/>
          <w:i/>
          <w:sz w:val="24"/>
        </w:rPr>
        <w:t xml:space="preserve"> </w:t>
      </w:r>
      <w:r>
        <w:rPr>
          <w:rFonts w:ascii="Bookman Old Style" w:hAnsi="Bookman Old Style"/>
          <w:i/>
          <w:sz w:val="24"/>
          <w:u w:val="single"/>
        </w:rPr>
        <w:t>his own religious beliefs, however irrational or inconsistent they</w:t>
      </w:r>
      <w:r>
        <w:rPr>
          <w:rFonts w:ascii="Bookman Old Style" w:hAnsi="Bookman Old Style"/>
          <w:i/>
          <w:sz w:val="24"/>
        </w:rPr>
        <w:t xml:space="preserve"> </w:t>
      </w:r>
      <w:r>
        <w:rPr>
          <w:rFonts w:ascii="Bookman Old Style" w:hAnsi="Bookman Old Style"/>
          <w:i/>
          <w:sz w:val="24"/>
          <w:u w:val="single"/>
        </w:rPr>
        <w:t>may seem to some, however surprising. The European Court of</w:t>
      </w:r>
      <w:r>
        <w:rPr>
          <w:rFonts w:ascii="Bookman Old Style" w:hAnsi="Bookman Old Style"/>
          <w:i/>
          <w:sz w:val="24"/>
        </w:rPr>
        <w:t xml:space="preserve"> </w:t>
      </w:r>
      <w:r>
        <w:rPr>
          <w:rFonts w:ascii="Bookman Old Style" w:hAnsi="Bookman Old Style"/>
          <w:i/>
          <w:sz w:val="24"/>
          <w:u w:val="single"/>
        </w:rPr>
        <w:t>Human Rights has rightly noted that in principle, the right to</w:t>
      </w:r>
      <w:r>
        <w:rPr>
          <w:rFonts w:ascii="Bookman Old Style" w:hAnsi="Bookman Old Style"/>
          <w:i/>
          <w:sz w:val="24"/>
        </w:rPr>
        <w:t xml:space="preserve"> </w:t>
      </w:r>
      <w:r>
        <w:rPr>
          <w:rFonts w:ascii="Bookman Old Style" w:hAnsi="Bookman Old Style"/>
          <w:i/>
          <w:sz w:val="24"/>
          <w:u w:val="single"/>
        </w:rPr>
        <w:t>freedom of religion as understood in the Convention rules out</w:t>
      </w:r>
      <w:r>
        <w:rPr>
          <w:rFonts w:ascii="Bookman Old Style" w:hAnsi="Bookman Old Style"/>
          <w:i/>
          <w:sz w:val="24"/>
        </w:rPr>
        <w:t xml:space="preserve"> </w:t>
      </w:r>
      <w:r>
        <w:rPr>
          <w:rFonts w:ascii="Bookman Old Style" w:hAnsi="Bookman Old Style"/>
          <w:i/>
          <w:sz w:val="24"/>
          <w:u w:val="single"/>
        </w:rPr>
        <w:t>any appreciation by the State of the legitimacy of religious</w:t>
      </w:r>
      <w:r>
        <w:rPr>
          <w:rFonts w:ascii="Bookman Old Style" w:hAnsi="Bookman Old Style"/>
          <w:i/>
          <w:sz w:val="24"/>
        </w:rPr>
        <w:t xml:space="preserve"> </w:t>
      </w:r>
      <w:r>
        <w:rPr>
          <w:rFonts w:ascii="Bookman Old Style" w:hAnsi="Bookman Old Style"/>
          <w:i/>
          <w:sz w:val="24"/>
          <w:u w:val="single"/>
        </w:rPr>
        <w:t>beliefs or of the manner in which these are expressed</w:t>
      </w:r>
      <w:r>
        <w:rPr>
          <w:rFonts w:ascii="Bookman Old Style" w:hAnsi="Bookman Old Style"/>
          <w:i/>
          <w:sz w:val="24"/>
        </w:rPr>
        <w:t>: Metropolitan Church of Bessarabia v Moldova (2002) 35 EHRR 306, 335, para 117. The relevance of objective factors such as source material is</w:t>
      </w:r>
      <w:r>
        <w:rPr>
          <w:rFonts w:ascii="Bookman Old Style" w:hAnsi="Bookman Old Style"/>
          <w:i/>
          <w:sz w:val="24"/>
        </w:rPr>
        <w:t>, at most, that they may throw light on whether the professed belief is genuinely held.”</w:t>
      </w:r>
    </w:p>
    <w:p w:rsidR="003B2FC0" w:rsidRDefault="00052A49">
      <w:pPr>
        <w:spacing w:before="2"/>
        <w:ind w:left="2846"/>
        <w:rPr>
          <w:rFonts w:ascii="Bookman Old Style"/>
          <w:sz w:val="24"/>
        </w:rPr>
      </w:pPr>
      <w:r>
        <w:rPr>
          <w:rFonts w:ascii="Bookman Old Style"/>
          <w:sz w:val="24"/>
        </w:rPr>
        <w:t>(Emphasis supplied and internal quotations omitted)</w:t>
      </w:r>
    </w:p>
    <w:p w:rsidR="003B2FC0" w:rsidRDefault="003B2FC0">
      <w:pPr>
        <w:pStyle w:val="BodyText"/>
        <w:rPr>
          <w:sz w:val="23"/>
        </w:rPr>
      </w:pPr>
    </w:p>
    <w:p w:rsidR="003B2FC0" w:rsidRDefault="00052A49">
      <w:pPr>
        <w:pStyle w:val="ListParagraph"/>
        <w:numPr>
          <w:ilvl w:val="1"/>
          <w:numId w:val="8"/>
        </w:numPr>
        <w:tabs>
          <w:tab w:val="left" w:pos="1253"/>
        </w:tabs>
        <w:spacing w:line="480" w:lineRule="auto"/>
        <w:ind w:right="456" w:hanging="710"/>
        <w:rPr>
          <w:rFonts w:ascii="Bookman Old Style" w:hAnsi="Bookman Old Style"/>
          <w:sz w:val="24"/>
        </w:rPr>
      </w:pPr>
      <w:r>
        <w:rPr>
          <w:rFonts w:ascii="Bookman Old Style" w:hAnsi="Bookman Old Style"/>
          <w:sz w:val="24"/>
        </w:rPr>
        <w:t xml:space="preserve">In </w:t>
      </w:r>
      <w:r>
        <w:rPr>
          <w:rFonts w:ascii="Bookman Old Style" w:hAnsi="Bookman Old Style"/>
          <w:i/>
          <w:sz w:val="24"/>
        </w:rPr>
        <w:t xml:space="preserve">Eddie C. Thomas </w:t>
      </w:r>
      <w:r>
        <w:rPr>
          <w:rFonts w:ascii="Bookman Old Style" w:hAnsi="Bookman Old Style"/>
          <w:sz w:val="24"/>
        </w:rPr>
        <w:t xml:space="preserve">v. </w:t>
      </w:r>
      <w:r>
        <w:rPr>
          <w:rFonts w:ascii="Bookman Old Style" w:hAnsi="Bookman Old Style"/>
          <w:i/>
          <w:sz w:val="24"/>
        </w:rPr>
        <w:t>Review Board of the Indiana Employment Security Division</w:t>
      </w:r>
      <w:r>
        <w:rPr>
          <w:rFonts w:ascii="Bookman Old Style" w:hAnsi="Bookman Old Style"/>
          <w:position w:val="6"/>
          <w:sz w:val="16"/>
        </w:rPr>
        <w:t>36</w:t>
      </w:r>
      <w:r>
        <w:rPr>
          <w:rFonts w:ascii="Bookman Old Style" w:hAnsi="Bookman Old Style"/>
          <w:sz w:val="24"/>
        </w:rPr>
        <w:t>, the U.S. Supreme Court was deali</w:t>
      </w:r>
      <w:r>
        <w:rPr>
          <w:rFonts w:ascii="Bookman Old Style" w:hAnsi="Bookman Old Style"/>
          <w:sz w:val="24"/>
        </w:rPr>
        <w:t>ng with a case where the Petitioner, who had terminated his job on account of his religious beliefs which forbade him from partaking in the production of armaments, was denied unemployment compensation benefits by the State. The Court noted that the determ</w:t>
      </w:r>
      <w:r>
        <w:rPr>
          <w:rFonts w:ascii="Bookman Old Style" w:hAnsi="Bookman Old Style"/>
          <w:sz w:val="24"/>
        </w:rPr>
        <w:t>ination of what constitutes a religious belief or practise is a very “</w:t>
      </w:r>
      <w:r>
        <w:rPr>
          <w:rFonts w:ascii="Bookman Old Style" w:hAnsi="Bookman Old Style"/>
          <w:i/>
          <w:sz w:val="24"/>
        </w:rPr>
        <w:t>difficult and delicate task</w:t>
      </w:r>
      <w:r>
        <w:rPr>
          <w:rFonts w:ascii="Bookman Old Style" w:hAnsi="Bookman Old Style"/>
          <w:sz w:val="24"/>
        </w:rPr>
        <w:t>”, and noted as follows about the role of a Constitutional</w:t>
      </w:r>
      <w:r>
        <w:rPr>
          <w:rFonts w:ascii="Bookman Old Style" w:hAnsi="Bookman Old Style"/>
          <w:spacing w:val="-5"/>
          <w:sz w:val="24"/>
        </w:rPr>
        <w:t xml:space="preserve"> </w:t>
      </w:r>
      <w:r>
        <w:rPr>
          <w:rFonts w:ascii="Bookman Old Style" w:hAnsi="Bookman Old Style"/>
          <w:sz w:val="24"/>
        </w:rPr>
        <w:t>Court:</w:t>
      </w:r>
    </w:p>
    <w:p w:rsidR="003B2FC0" w:rsidRDefault="00052A49">
      <w:pPr>
        <w:ind w:left="1677" w:right="835"/>
        <w:jc w:val="both"/>
        <w:rPr>
          <w:rFonts w:ascii="Bookman Old Style" w:hAnsi="Bookman Old Style"/>
          <w:i/>
          <w:sz w:val="24"/>
        </w:rPr>
      </w:pPr>
      <w:r>
        <w:rPr>
          <w:rFonts w:ascii="Bookman Old Style" w:hAnsi="Bookman Old Style"/>
          <w:sz w:val="24"/>
        </w:rPr>
        <w:t>“</w:t>
      </w:r>
      <w:r>
        <w:rPr>
          <w:rFonts w:ascii="Bookman Old Style" w:hAnsi="Bookman Old Style"/>
          <w:i/>
          <w:sz w:val="24"/>
        </w:rPr>
        <w:t>…The determination of what is a religious belief or practise is more often than not a diffic</w:t>
      </w:r>
      <w:r>
        <w:rPr>
          <w:rFonts w:ascii="Bookman Old Style" w:hAnsi="Bookman Old Style"/>
          <w:i/>
          <w:sz w:val="24"/>
        </w:rPr>
        <w:t xml:space="preserve">ult and delicate task…However, </w:t>
      </w:r>
      <w:r>
        <w:rPr>
          <w:rFonts w:ascii="Bookman Old Style" w:hAnsi="Bookman Old Style"/>
          <w:i/>
          <w:sz w:val="24"/>
          <w:u w:val="single"/>
        </w:rPr>
        <w:t>the</w:t>
      </w:r>
      <w:r>
        <w:rPr>
          <w:rFonts w:ascii="Bookman Old Style" w:hAnsi="Bookman Old Style"/>
          <w:i/>
          <w:sz w:val="24"/>
        </w:rPr>
        <w:t xml:space="preserve"> </w:t>
      </w:r>
      <w:r>
        <w:rPr>
          <w:rFonts w:ascii="Bookman Old Style" w:hAnsi="Bookman Old Style"/>
          <w:i/>
          <w:sz w:val="24"/>
          <w:u w:val="single"/>
        </w:rPr>
        <w:t>resolution of that question is not to turn upon a judicial</w:t>
      </w:r>
      <w:r>
        <w:rPr>
          <w:rFonts w:ascii="Bookman Old Style" w:hAnsi="Bookman Old Style"/>
          <w:i/>
          <w:sz w:val="24"/>
        </w:rPr>
        <w:t xml:space="preserve"> </w:t>
      </w:r>
      <w:r>
        <w:rPr>
          <w:rFonts w:ascii="Bookman Old Style" w:hAnsi="Bookman Old Style"/>
          <w:i/>
          <w:sz w:val="24"/>
          <w:u w:val="single"/>
        </w:rPr>
        <w:t>perception of the particular belief or practise in question;</w:t>
      </w:r>
      <w:r>
        <w:rPr>
          <w:rFonts w:ascii="Bookman Old Style" w:hAnsi="Bookman Old Style"/>
          <w:i/>
          <w:sz w:val="24"/>
        </w:rPr>
        <w:t xml:space="preserve"> </w:t>
      </w:r>
      <w:r>
        <w:rPr>
          <w:rFonts w:ascii="Bookman Old Style" w:hAnsi="Bookman Old Style"/>
          <w:i/>
          <w:sz w:val="24"/>
          <w:u w:val="single"/>
        </w:rPr>
        <w:t>religious beliefs need not be acceptable, logical, consistent, or</w:t>
      </w:r>
      <w:r>
        <w:rPr>
          <w:rFonts w:ascii="Bookman Old Style" w:hAnsi="Bookman Old Style"/>
          <w:i/>
          <w:sz w:val="24"/>
        </w:rPr>
        <w:t xml:space="preserve"> </w:t>
      </w:r>
      <w:r>
        <w:rPr>
          <w:rFonts w:ascii="Bookman Old Style" w:hAnsi="Bookman Old Style"/>
          <w:i/>
          <w:sz w:val="24"/>
          <w:u w:val="single"/>
        </w:rPr>
        <w:t>comprehensible to others in order t</w:t>
      </w:r>
      <w:r>
        <w:rPr>
          <w:rFonts w:ascii="Bookman Old Style" w:hAnsi="Bookman Old Style"/>
          <w:i/>
          <w:sz w:val="24"/>
          <w:u w:val="single"/>
        </w:rPr>
        <w:t>o merit First Amendment</w:t>
      </w:r>
      <w:r>
        <w:rPr>
          <w:rFonts w:ascii="Bookman Old Style" w:hAnsi="Bookman Old Style"/>
          <w:i/>
          <w:sz w:val="24"/>
        </w:rPr>
        <w:t xml:space="preserve"> </w:t>
      </w:r>
      <w:r>
        <w:rPr>
          <w:rFonts w:ascii="Bookman Old Style" w:hAnsi="Bookman Old Style"/>
          <w:i/>
          <w:sz w:val="24"/>
          <w:u w:val="single"/>
        </w:rPr>
        <w:t>protection</w:t>
      </w:r>
      <w:r>
        <w:rPr>
          <w:rFonts w:ascii="Bookman Old Style" w:hAnsi="Bookman Old Style"/>
          <w:i/>
          <w:sz w:val="24"/>
        </w:rPr>
        <w:t>…</w:t>
      </w:r>
    </w:p>
    <w:p w:rsidR="003B2FC0" w:rsidRDefault="00052A49">
      <w:pPr>
        <w:ind w:left="1677" w:right="834"/>
        <w:jc w:val="both"/>
        <w:rPr>
          <w:rFonts w:ascii="Bookman Old Style" w:hAnsi="Bookman Old Style"/>
          <w:i/>
          <w:sz w:val="24"/>
        </w:rPr>
      </w:pPr>
      <w:r>
        <w:rPr>
          <w:rFonts w:ascii="Bookman Old Style" w:hAnsi="Bookman Old Style"/>
          <w:i/>
          <w:sz w:val="24"/>
        </w:rPr>
        <w:t xml:space="preserve">…The Indiana court also appears to have given significant weight to the fact that another Jehovah’s Witness had no scruples about working on tank turrets; for that other Witness, at least, such work </w:t>
      </w:r>
      <w:r>
        <w:rPr>
          <w:rFonts w:ascii="Bookman Old Style" w:hAnsi="Bookman Old Style"/>
          <w:i/>
          <w:spacing w:val="-4"/>
          <w:sz w:val="24"/>
        </w:rPr>
        <w:t>was</w:t>
      </w:r>
      <w:r>
        <w:rPr>
          <w:rFonts w:ascii="Bookman Old Style" w:hAnsi="Bookman Old Style"/>
          <w:i/>
          <w:spacing w:val="63"/>
          <w:sz w:val="24"/>
        </w:rPr>
        <w:t xml:space="preserve"> </w:t>
      </w:r>
      <w:r>
        <w:rPr>
          <w:rFonts w:ascii="Bookman Old Style" w:hAnsi="Bookman Old Style"/>
          <w:i/>
          <w:sz w:val="24"/>
        </w:rPr>
        <w:t>scripturally acce</w:t>
      </w:r>
      <w:r>
        <w:rPr>
          <w:rFonts w:ascii="Bookman Old Style" w:hAnsi="Bookman Old Style"/>
          <w:i/>
          <w:sz w:val="24"/>
        </w:rPr>
        <w:t xml:space="preserve">ptable. Intrafaith differences </w:t>
      </w:r>
      <w:r>
        <w:rPr>
          <w:rFonts w:ascii="Bookman Old Style" w:hAnsi="Bookman Old Style"/>
          <w:i/>
          <w:spacing w:val="-3"/>
          <w:sz w:val="24"/>
        </w:rPr>
        <w:t xml:space="preserve">of </w:t>
      </w:r>
      <w:r>
        <w:rPr>
          <w:rFonts w:ascii="Bookman Old Style" w:hAnsi="Bookman Old Style"/>
          <w:i/>
          <w:sz w:val="24"/>
        </w:rPr>
        <w:t xml:space="preserve">that kind are not uncommon among followers of a particular creed, and the judicial process </w:t>
      </w:r>
      <w:r>
        <w:rPr>
          <w:rFonts w:ascii="Bookman Old Style" w:hAnsi="Bookman Old Style"/>
          <w:i/>
          <w:spacing w:val="-3"/>
          <w:sz w:val="24"/>
        </w:rPr>
        <w:t xml:space="preserve">is </w:t>
      </w:r>
      <w:r>
        <w:rPr>
          <w:rFonts w:ascii="Bookman Old Style" w:hAnsi="Bookman Old Style"/>
          <w:i/>
          <w:sz w:val="24"/>
        </w:rPr>
        <w:t xml:space="preserve">singularly ill equipped to resolve such differences </w:t>
      </w:r>
      <w:r>
        <w:rPr>
          <w:rFonts w:ascii="Bookman Old Style" w:hAnsi="Bookman Old Style"/>
          <w:i/>
          <w:spacing w:val="-3"/>
          <w:sz w:val="24"/>
        </w:rPr>
        <w:t xml:space="preserve">in </w:t>
      </w:r>
      <w:r>
        <w:rPr>
          <w:rFonts w:ascii="Bookman Old Style" w:hAnsi="Bookman Old Style"/>
          <w:i/>
          <w:sz w:val="24"/>
        </w:rPr>
        <w:t xml:space="preserve">relation to the Religious Clauses…Particularly </w:t>
      </w:r>
      <w:r>
        <w:rPr>
          <w:rFonts w:ascii="Bookman Old Style" w:hAnsi="Bookman Old Style"/>
          <w:i/>
          <w:sz w:val="24"/>
          <w:u w:val="single"/>
        </w:rPr>
        <w:t>in this sensitive area, it</w:t>
      </w:r>
      <w:r>
        <w:rPr>
          <w:rFonts w:ascii="Bookman Old Style" w:hAnsi="Bookman Old Style"/>
          <w:i/>
          <w:sz w:val="24"/>
          <w:u w:val="single"/>
        </w:rPr>
        <w:t xml:space="preserve"> is not within the</w:t>
      </w:r>
      <w:r>
        <w:rPr>
          <w:rFonts w:ascii="Bookman Old Style" w:hAnsi="Bookman Old Style"/>
          <w:i/>
          <w:sz w:val="24"/>
        </w:rPr>
        <w:t xml:space="preserve"> </w:t>
      </w:r>
      <w:r>
        <w:rPr>
          <w:rFonts w:ascii="Bookman Old Style" w:hAnsi="Bookman Old Style"/>
          <w:i/>
          <w:sz w:val="24"/>
          <w:u w:val="single"/>
        </w:rPr>
        <w:t>judicial function and judicial competence to inquire whether the</w:t>
      </w:r>
      <w:r>
        <w:rPr>
          <w:rFonts w:ascii="Bookman Old Style" w:hAnsi="Bookman Old Style"/>
          <w:i/>
          <w:sz w:val="24"/>
        </w:rPr>
        <w:t xml:space="preserve"> </w:t>
      </w:r>
      <w:r>
        <w:rPr>
          <w:rFonts w:ascii="Bookman Old Style" w:hAnsi="Bookman Old Style"/>
          <w:i/>
          <w:sz w:val="24"/>
          <w:u w:val="single"/>
        </w:rPr>
        <w:t>petitioner or his fellow worker more correctly perceived</w:t>
      </w:r>
      <w:r>
        <w:rPr>
          <w:rFonts w:ascii="Bookman Old Style" w:hAnsi="Bookman Old Style"/>
          <w:i/>
          <w:spacing w:val="67"/>
          <w:sz w:val="24"/>
          <w:u w:val="single"/>
        </w:rPr>
        <w:t xml:space="preserve"> </w:t>
      </w:r>
      <w:r>
        <w:rPr>
          <w:rFonts w:ascii="Bookman Old Style" w:hAnsi="Bookman Old Style"/>
          <w:i/>
          <w:sz w:val="24"/>
          <w:u w:val="single"/>
        </w:rPr>
        <w:t>the</w:t>
      </w:r>
    </w:p>
    <w:p w:rsidR="003B2FC0" w:rsidRDefault="003B2FC0">
      <w:pPr>
        <w:pStyle w:val="BodyText"/>
        <w:spacing w:before="10"/>
        <w:rPr>
          <w:i/>
        </w:rPr>
      </w:pPr>
      <w:r w:rsidRPr="003B2FC0">
        <w:pict>
          <v:line id="_x0000_s1040" style="position:absolute;z-index:251673088;mso-wrap-distance-left:0;mso-wrap-distance-right:0;mso-position-horizontal-relative:page" from="1in,19.3pt" to="216.05pt,19.3pt" strokeweight=".72pt">
            <w10:wrap type="topAndBottom" anchorx="page"/>
          </v:line>
        </w:pict>
      </w:r>
    </w:p>
    <w:p w:rsidR="003B2FC0" w:rsidRDefault="003B2FC0">
      <w:pPr>
        <w:sectPr w:rsidR="003B2FC0">
          <w:headerReference w:type="default" r:id="rId469"/>
          <w:footerReference w:type="default" r:id="rId470"/>
          <w:pgSz w:w="11910" w:h="16840"/>
          <w:pgMar w:top="1340" w:right="980" w:bottom="1660" w:left="1040" w:header="0" w:footer="1471" w:gutter="0"/>
          <w:pgNumType w:start="198"/>
          <w:cols w:space="720"/>
        </w:sectPr>
      </w:pPr>
    </w:p>
    <w:p w:rsidR="003B2FC0" w:rsidRDefault="00052A49">
      <w:pPr>
        <w:spacing w:before="81"/>
        <w:ind w:left="1677" w:right="434"/>
        <w:rPr>
          <w:rFonts w:ascii="Bookman Old Style" w:hAnsi="Bookman Old Style"/>
          <w:sz w:val="24"/>
        </w:rPr>
      </w:pPr>
      <w:r>
        <w:rPr>
          <w:rFonts w:ascii="Bookman Old Style" w:hAnsi="Bookman Old Style"/>
          <w:i/>
          <w:sz w:val="24"/>
          <w:u w:val="single"/>
        </w:rPr>
        <w:t>commands of their common faith. Courts are not arbiters of</w:t>
      </w:r>
      <w:r>
        <w:rPr>
          <w:rFonts w:ascii="Bookman Old Style" w:hAnsi="Bookman Old Style"/>
          <w:i/>
          <w:sz w:val="24"/>
        </w:rPr>
        <w:t xml:space="preserve"> </w:t>
      </w:r>
      <w:r>
        <w:rPr>
          <w:rFonts w:ascii="Bookman Old Style" w:hAnsi="Bookman Old Style"/>
          <w:i/>
          <w:sz w:val="24"/>
          <w:u w:val="single"/>
        </w:rPr>
        <w:t>scriptural interpretation.</w:t>
      </w:r>
      <w:r>
        <w:rPr>
          <w:rFonts w:ascii="Bookman Old Style" w:hAnsi="Bookman Old Style"/>
          <w:sz w:val="24"/>
        </w:rPr>
        <w:t>”</w:t>
      </w:r>
    </w:p>
    <w:p w:rsidR="003B2FC0" w:rsidRDefault="00052A49">
      <w:pPr>
        <w:spacing w:before="161"/>
        <w:ind w:left="1545"/>
        <w:rPr>
          <w:rFonts w:ascii="Bookman Old Style"/>
          <w:sz w:val="24"/>
        </w:rPr>
      </w:pPr>
      <w:r>
        <w:rPr>
          <w:rFonts w:ascii="Bookman Old Style"/>
          <w:sz w:val="24"/>
        </w:rPr>
        <w:t>(Emphasis supplied; internal quotations, and footnotes omitted)</w:t>
      </w:r>
    </w:p>
    <w:p w:rsidR="003B2FC0" w:rsidRDefault="003B2FC0">
      <w:pPr>
        <w:pStyle w:val="BodyText"/>
      </w:pPr>
    </w:p>
    <w:p w:rsidR="003B2FC0" w:rsidRDefault="003B2FC0">
      <w:pPr>
        <w:pStyle w:val="BodyText"/>
        <w:spacing w:before="9"/>
        <w:rPr>
          <w:sz w:val="21"/>
        </w:rPr>
      </w:pPr>
    </w:p>
    <w:p w:rsidR="003B2FC0" w:rsidRDefault="00052A49">
      <w:pPr>
        <w:spacing w:before="1" w:line="477" w:lineRule="auto"/>
        <w:ind w:left="1252" w:right="434" w:firstLine="424"/>
        <w:rPr>
          <w:rFonts w:ascii="Bookman Old Style"/>
          <w:sz w:val="24"/>
        </w:rPr>
      </w:pPr>
      <w:r>
        <w:rPr>
          <w:rFonts w:ascii="Bookman Old Style"/>
          <w:sz w:val="24"/>
        </w:rPr>
        <w:t>This view was re-iterated by the U.S. Supreme Court in the following decisions:</w:t>
      </w:r>
    </w:p>
    <w:p w:rsidR="003B2FC0" w:rsidRDefault="00052A49">
      <w:pPr>
        <w:pStyle w:val="ListParagraph"/>
        <w:numPr>
          <w:ilvl w:val="2"/>
          <w:numId w:val="8"/>
        </w:numPr>
        <w:tabs>
          <w:tab w:val="left" w:pos="1677"/>
          <w:tab w:val="left" w:pos="1678"/>
        </w:tabs>
        <w:spacing w:before="3"/>
        <w:jc w:val="left"/>
        <w:rPr>
          <w:rFonts w:ascii="Bookman Old Style" w:hAnsi="Bookman Old Style"/>
          <w:sz w:val="24"/>
        </w:rPr>
      </w:pPr>
      <w:r>
        <w:rPr>
          <w:rFonts w:ascii="Bookman Old Style" w:hAnsi="Bookman Old Style"/>
          <w:i/>
          <w:sz w:val="24"/>
        </w:rPr>
        <w:t xml:space="preserve">United </w:t>
      </w:r>
      <w:r>
        <w:rPr>
          <w:rFonts w:ascii="Bookman Old Style" w:hAnsi="Bookman Old Style"/>
          <w:sz w:val="24"/>
        </w:rPr>
        <w:t xml:space="preserve">States v. </w:t>
      </w:r>
      <w:r>
        <w:rPr>
          <w:rFonts w:ascii="Bookman Old Style" w:hAnsi="Bookman Old Style"/>
          <w:i/>
          <w:sz w:val="24"/>
        </w:rPr>
        <w:t>Edwin D. Lee</w:t>
      </w:r>
      <w:r>
        <w:rPr>
          <w:rFonts w:ascii="Bookman Old Style" w:hAnsi="Bookman Old Style"/>
          <w:position w:val="6"/>
          <w:sz w:val="16"/>
        </w:rPr>
        <w:t>37</w:t>
      </w:r>
      <w:r>
        <w:rPr>
          <w:rFonts w:ascii="Bookman Old Style" w:hAnsi="Bookman Old Style"/>
          <w:sz w:val="24"/>
        </w:rPr>
        <w:t>, wherein it was held as</w:t>
      </w:r>
      <w:r>
        <w:rPr>
          <w:rFonts w:ascii="Bookman Old Style" w:hAnsi="Bookman Old Style"/>
          <w:spacing w:val="-13"/>
          <w:sz w:val="24"/>
        </w:rPr>
        <w:t xml:space="preserve"> </w:t>
      </w:r>
      <w:r>
        <w:rPr>
          <w:rFonts w:ascii="Bookman Old Style" w:hAnsi="Bookman Old Style"/>
          <w:sz w:val="24"/>
        </w:rPr>
        <w:t>follows:</w:t>
      </w:r>
    </w:p>
    <w:p w:rsidR="003B2FC0" w:rsidRDefault="003B2FC0">
      <w:pPr>
        <w:pStyle w:val="BodyText"/>
        <w:spacing w:before="10"/>
        <w:rPr>
          <w:sz w:val="23"/>
        </w:rPr>
      </w:pPr>
    </w:p>
    <w:p w:rsidR="003B2FC0" w:rsidRDefault="00052A49">
      <w:pPr>
        <w:spacing w:before="1"/>
        <w:ind w:left="2102" w:right="1118"/>
        <w:jc w:val="both"/>
        <w:rPr>
          <w:rFonts w:ascii="Bookman Old Style" w:hAnsi="Bookman Old Style"/>
          <w:sz w:val="24"/>
        </w:rPr>
      </w:pPr>
      <w:r>
        <w:rPr>
          <w:rFonts w:ascii="Bookman Old Style" w:hAnsi="Bookman Old Style"/>
          <w:sz w:val="24"/>
        </w:rPr>
        <w:t>“</w:t>
      </w:r>
      <w:r>
        <w:rPr>
          <w:rFonts w:ascii="Bookman Old Style" w:hAnsi="Bookman Old Style"/>
          <w:i/>
          <w:sz w:val="24"/>
        </w:rPr>
        <w:t>…</w:t>
      </w:r>
      <w:r>
        <w:rPr>
          <w:rFonts w:ascii="Bookman Old Style" w:hAnsi="Bookman Old Style"/>
          <w:i/>
          <w:sz w:val="24"/>
          <w:u w:val="single"/>
        </w:rPr>
        <w:t>It is not within the judicial function and judicial</w:t>
      </w:r>
      <w:r>
        <w:rPr>
          <w:rFonts w:ascii="Bookman Old Style" w:hAnsi="Bookman Old Style"/>
          <w:i/>
          <w:sz w:val="24"/>
        </w:rPr>
        <w:t xml:space="preserve"> </w:t>
      </w:r>
      <w:r>
        <w:rPr>
          <w:rFonts w:ascii="Bookman Old Style" w:hAnsi="Bookman Old Style"/>
          <w:i/>
          <w:sz w:val="24"/>
          <w:u w:val="single"/>
        </w:rPr>
        <w:t xml:space="preserve">competence, however, </w:t>
      </w:r>
      <w:r>
        <w:rPr>
          <w:rFonts w:ascii="Bookman Old Style" w:hAnsi="Bookman Old Style"/>
          <w:i/>
          <w:spacing w:val="-3"/>
          <w:sz w:val="24"/>
          <w:u w:val="single"/>
        </w:rPr>
        <w:t xml:space="preserve">to </w:t>
      </w:r>
      <w:r>
        <w:rPr>
          <w:rFonts w:ascii="Bookman Old Style" w:hAnsi="Bookman Old Style"/>
          <w:i/>
          <w:sz w:val="24"/>
          <w:u w:val="single"/>
        </w:rPr>
        <w:t>determine whether appellee or</w:t>
      </w:r>
      <w:r>
        <w:rPr>
          <w:rFonts w:ascii="Bookman Old Style" w:hAnsi="Bookman Old Style"/>
          <w:i/>
          <w:sz w:val="24"/>
        </w:rPr>
        <w:t xml:space="preserve"> </w:t>
      </w:r>
      <w:r>
        <w:rPr>
          <w:rFonts w:ascii="Bookman Old Style" w:hAnsi="Bookman Old Style"/>
          <w:i/>
          <w:sz w:val="24"/>
          <w:u w:val="single"/>
        </w:rPr>
        <w:t xml:space="preserve">the Government has the proper interpretation of </w:t>
      </w:r>
      <w:r>
        <w:rPr>
          <w:rFonts w:ascii="Bookman Old Style" w:hAnsi="Bookman Old Style"/>
          <w:i/>
          <w:spacing w:val="-3"/>
          <w:sz w:val="24"/>
          <w:u w:val="single"/>
        </w:rPr>
        <w:t>the</w:t>
      </w:r>
      <w:r>
        <w:rPr>
          <w:rFonts w:ascii="Bookman Old Style" w:hAnsi="Bookman Old Style"/>
          <w:i/>
          <w:spacing w:val="-3"/>
          <w:sz w:val="24"/>
        </w:rPr>
        <w:t xml:space="preserve"> </w:t>
      </w:r>
      <w:r>
        <w:rPr>
          <w:rFonts w:ascii="Bookman Old Style" w:hAnsi="Bookman Old Style"/>
          <w:i/>
          <w:sz w:val="24"/>
          <w:u w:val="single"/>
        </w:rPr>
        <w:t xml:space="preserve">Amish faith; courts are not arbiters </w:t>
      </w:r>
      <w:r>
        <w:rPr>
          <w:rFonts w:ascii="Bookman Old Style" w:hAnsi="Bookman Old Style"/>
          <w:i/>
          <w:spacing w:val="-3"/>
          <w:sz w:val="24"/>
          <w:u w:val="single"/>
        </w:rPr>
        <w:t xml:space="preserve">of </w:t>
      </w:r>
      <w:r>
        <w:rPr>
          <w:rFonts w:ascii="Bookman Old Style" w:hAnsi="Bookman Old Style"/>
          <w:i/>
          <w:sz w:val="24"/>
          <w:u w:val="single"/>
        </w:rPr>
        <w:t>scriptu</w:t>
      </w:r>
      <w:r>
        <w:rPr>
          <w:rFonts w:ascii="Bookman Old Style" w:hAnsi="Bookman Old Style"/>
          <w:i/>
          <w:sz w:val="24"/>
          <w:u w:val="single"/>
        </w:rPr>
        <w:t>ral</w:t>
      </w:r>
      <w:r>
        <w:rPr>
          <w:rFonts w:ascii="Bookman Old Style" w:hAnsi="Bookman Old Style"/>
          <w:i/>
          <w:sz w:val="24"/>
        </w:rPr>
        <w:t xml:space="preserve"> </w:t>
      </w:r>
      <w:r>
        <w:rPr>
          <w:rFonts w:ascii="Bookman Old Style" w:hAnsi="Bookman Old Style"/>
          <w:i/>
          <w:sz w:val="24"/>
          <w:u w:val="single"/>
        </w:rPr>
        <w:t>interpretation</w:t>
      </w:r>
      <w:r>
        <w:rPr>
          <w:rFonts w:ascii="Bookman Old Style" w:hAnsi="Bookman Old Style"/>
          <w:i/>
          <w:sz w:val="24"/>
        </w:rPr>
        <w:t>…</w:t>
      </w:r>
      <w:r>
        <w:rPr>
          <w:rFonts w:ascii="Bookman Old Style" w:hAnsi="Bookman Old Style"/>
          <w:sz w:val="24"/>
        </w:rPr>
        <w:t>”</w:t>
      </w:r>
    </w:p>
    <w:p w:rsidR="003B2FC0" w:rsidRDefault="00052A49">
      <w:pPr>
        <w:spacing w:before="160"/>
        <w:ind w:left="2868"/>
        <w:rPr>
          <w:rFonts w:ascii="Bookman Old Style"/>
          <w:sz w:val="24"/>
        </w:rPr>
      </w:pPr>
      <w:r>
        <w:rPr>
          <w:rFonts w:ascii="Bookman Old Style"/>
          <w:sz w:val="24"/>
        </w:rPr>
        <w:t>(Emphasis supplied; internal quotations omitted)</w:t>
      </w:r>
    </w:p>
    <w:p w:rsidR="003B2FC0" w:rsidRDefault="003B2FC0">
      <w:pPr>
        <w:pStyle w:val="BodyText"/>
        <w:spacing w:before="11"/>
        <w:rPr>
          <w:sz w:val="37"/>
        </w:rPr>
      </w:pPr>
    </w:p>
    <w:p w:rsidR="003B2FC0" w:rsidRDefault="00052A49">
      <w:pPr>
        <w:pStyle w:val="ListParagraph"/>
        <w:numPr>
          <w:ilvl w:val="2"/>
          <w:numId w:val="8"/>
        </w:numPr>
        <w:tabs>
          <w:tab w:val="left" w:pos="1677"/>
          <w:tab w:val="left" w:pos="1678"/>
        </w:tabs>
        <w:spacing w:line="468" w:lineRule="auto"/>
        <w:ind w:right="453"/>
        <w:jc w:val="left"/>
        <w:rPr>
          <w:rFonts w:ascii="Bookman Old Style" w:hAnsi="Bookman Old Style"/>
          <w:sz w:val="24"/>
        </w:rPr>
      </w:pPr>
      <w:r>
        <w:rPr>
          <w:rFonts w:ascii="Bookman Old Style" w:hAnsi="Bookman Old Style"/>
          <w:i/>
          <w:sz w:val="24"/>
        </w:rPr>
        <w:t xml:space="preserve">Robert L. Hernandez </w:t>
      </w:r>
      <w:r>
        <w:rPr>
          <w:rFonts w:ascii="Bookman Old Style" w:hAnsi="Bookman Old Style"/>
          <w:sz w:val="24"/>
        </w:rPr>
        <w:t xml:space="preserve">v. </w:t>
      </w:r>
      <w:r>
        <w:rPr>
          <w:rFonts w:ascii="Bookman Old Style" w:hAnsi="Bookman Old Style"/>
          <w:i/>
          <w:sz w:val="24"/>
        </w:rPr>
        <w:t>Commissioner of Internal Revenue</w:t>
      </w:r>
      <w:r>
        <w:rPr>
          <w:rFonts w:ascii="Bookman Old Style" w:hAnsi="Bookman Old Style"/>
          <w:position w:val="6"/>
          <w:sz w:val="16"/>
        </w:rPr>
        <w:t>38</w:t>
      </w:r>
      <w:r>
        <w:rPr>
          <w:rFonts w:ascii="Bookman Old Style" w:hAnsi="Bookman Old Style"/>
          <w:sz w:val="24"/>
        </w:rPr>
        <w:t>, wherein the Court</w:t>
      </w:r>
      <w:r>
        <w:rPr>
          <w:rFonts w:ascii="Bookman Old Style" w:hAnsi="Bookman Old Style"/>
          <w:spacing w:val="-2"/>
          <w:sz w:val="24"/>
        </w:rPr>
        <w:t xml:space="preserve"> </w:t>
      </w:r>
      <w:r>
        <w:rPr>
          <w:rFonts w:ascii="Bookman Old Style" w:hAnsi="Bookman Old Style"/>
          <w:sz w:val="24"/>
        </w:rPr>
        <w:t>noted:</w:t>
      </w:r>
    </w:p>
    <w:p w:rsidR="003B2FC0" w:rsidRDefault="00052A49">
      <w:pPr>
        <w:spacing w:before="13"/>
        <w:ind w:left="2102" w:right="1122"/>
        <w:jc w:val="both"/>
        <w:rPr>
          <w:rFonts w:ascii="Bookman Old Style" w:hAnsi="Bookman Old Style"/>
          <w:sz w:val="24"/>
        </w:rPr>
      </w:pPr>
      <w:r>
        <w:rPr>
          <w:rFonts w:ascii="Bookman Old Style" w:hAnsi="Bookman Old Style"/>
          <w:sz w:val="24"/>
        </w:rPr>
        <w:t>“</w:t>
      </w:r>
      <w:r>
        <w:rPr>
          <w:rFonts w:ascii="Bookman Old Style" w:hAnsi="Bookman Old Style"/>
          <w:i/>
          <w:sz w:val="24"/>
        </w:rPr>
        <w:t>…</w:t>
      </w:r>
      <w:r>
        <w:rPr>
          <w:rFonts w:ascii="Bookman Old Style" w:hAnsi="Bookman Old Style"/>
          <w:i/>
          <w:sz w:val="24"/>
          <w:u w:val="single"/>
        </w:rPr>
        <w:t>It is not within the judicial ken to question the</w:t>
      </w:r>
      <w:r>
        <w:rPr>
          <w:rFonts w:ascii="Bookman Old Style" w:hAnsi="Bookman Old Style"/>
          <w:i/>
          <w:sz w:val="24"/>
        </w:rPr>
        <w:t xml:space="preserve"> </w:t>
      </w:r>
      <w:r>
        <w:rPr>
          <w:rFonts w:ascii="Bookman Old Style" w:hAnsi="Bookman Old Style"/>
          <w:i/>
          <w:sz w:val="24"/>
          <w:u w:val="single"/>
        </w:rPr>
        <w:t xml:space="preserve">centrality of particular beliefs or practises </w:t>
      </w:r>
      <w:r>
        <w:rPr>
          <w:rFonts w:ascii="Bookman Old Style" w:hAnsi="Bookman Old Style"/>
          <w:i/>
          <w:spacing w:val="-3"/>
          <w:sz w:val="24"/>
          <w:u w:val="single"/>
        </w:rPr>
        <w:t xml:space="preserve">to </w:t>
      </w:r>
      <w:r>
        <w:rPr>
          <w:rFonts w:ascii="Bookman Old Style" w:hAnsi="Bookman Old Style"/>
          <w:i/>
          <w:sz w:val="24"/>
          <w:u w:val="single"/>
        </w:rPr>
        <w:t>a faith or the</w:t>
      </w:r>
      <w:r>
        <w:rPr>
          <w:rFonts w:ascii="Bookman Old Style" w:hAnsi="Bookman Old Style"/>
          <w:i/>
          <w:sz w:val="24"/>
        </w:rPr>
        <w:t xml:space="preserve"> </w:t>
      </w:r>
      <w:r>
        <w:rPr>
          <w:rFonts w:ascii="Bookman Old Style" w:hAnsi="Bookman Old Style"/>
          <w:i/>
          <w:sz w:val="24"/>
          <w:u w:val="single"/>
        </w:rPr>
        <w:t>validity of particular litigants interpretations of those</w:t>
      </w:r>
      <w:r>
        <w:rPr>
          <w:rFonts w:ascii="Bookman Old Style" w:hAnsi="Bookman Old Style"/>
          <w:i/>
          <w:sz w:val="24"/>
        </w:rPr>
        <w:t xml:space="preserve"> </w:t>
      </w:r>
      <w:r>
        <w:rPr>
          <w:rFonts w:ascii="Bookman Old Style" w:hAnsi="Bookman Old Style"/>
          <w:i/>
          <w:sz w:val="24"/>
          <w:u w:val="single"/>
        </w:rPr>
        <w:t>creeds</w:t>
      </w:r>
      <w:r>
        <w:rPr>
          <w:rFonts w:ascii="Bookman Old Style" w:hAnsi="Bookman Old Style"/>
          <w:i/>
          <w:sz w:val="24"/>
        </w:rPr>
        <w:t>...</w:t>
      </w:r>
      <w:r>
        <w:rPr>
          <w:rFonts w:ascii="Bookman Old Style" w:hAnsi="Bookman Old Style"/>
          <w:sz w:val="24"/>
        </w:rPr>
        <w:t>”</w:t>
      </w:r>
    </w:p>
    <w:p w:rsidR="003B2FC0" w:rsidRDefault="00052A49">
      <w:pPr>
        <w:spacing w:before="161"/>
        <w:ind w:left="3672"/>
        <w:rPr>
          <w:rFonts w:ascii="Bookman Old Style"/>
          <w:sz w:val="24"/>
        </w:rPr>
      </w:pPr>
      <w:r>
        <w:rPr>
          <w:rFonts w:ascii="Bookman Old Style"/>
          <w:sz w:val="24"/>
        </w:rPr>
        <w:t>(Emphasis supplied; internal quotations omitted)</w:t>
      </w:r>
    </w:p>
    <w:p w:rsidR="003B2FC0" w:rsidRDefault="00052A49">
      <w:pPr>
        <w:pStyle w:val="ListParagraph"/>
        <w:numPr>
          <w:ilvl w:val="2"/>
          <w:numId w:val="8"/>
        </w:numPr>
        <w:tabs>
          <w:tab w:val="left" w:pos="1677"/>
          <w:tab w:val="left" w:pos="1678"/>
        </w:tabs>
        <w:spacing w:before="162"/>
        <w:jc w:val="left"/>
        <w:rPr>
          <w:rFonts w:ascii="Bookman Old Style" w:hAnsi="Bookman Old Style"/>
          <w:i/>
          <w:sz w:val="24"/>
        </w:rPr>
      </w:pPr>
      <w:r>
        <w:rPr>
          <w:rFonts w:ascii="Bookman Old Style" w:hAnsi="Bookman Old Style"/>
          <w:i/>
          <w:sz w:val="24"/>
        </w:rPr>
        <w:t>Employment Division, Department of Human Resources of</w:t>
      </w:r>
      <w:r>
        <w:rPr>
          <w:rFonts w:ascii="Bookman Old Style" w:hAnsi="Bookman Old Style"/>
          <w:i/>
          <w:spacing w:val="49"/>
          <w:sz w:val="24"/>
        </w:rPr>
        <w:t xml:space="preserve"> </w:t>
      </w:r>
      <w:r>
        <w:rPr>
          <w:rFonts w:ascii="Bookman Old Style" w:hAnsi="Bookman Old Style"/>
          <w:i/>
          <w:sz w:val="24"/>
        </w:rPr>
        <w:t>Oregon</w:t>
      </w:r>
    </w:p>
    <w:p w:rsidR="003B2FC0" w:rsidRDefault="003B2FC0">
      <w:pPr>
        <w:pStyle w:val="BodyText"/>
        <w:rPr>
          <w:i/>
          <w:sz w:val="24"/>
        </w:rPr>
      </w:pPr>
    </w:p>
    <w:p w:rsidR="003B2FC0" w:rsidRDefault="00052A49">
      <w:pPr>
        <w:ind w:left="1677"/>
        <w:rPr>
          <w:rFonts w:ascii="Bookman Old Style"/>
          <w:sz w:val="24"/>
        </w:rPr>
      </w:pPr>
      <w:r>
        <w:rPr>
          <w:rFonts w:ascii="Bookman Old Style"/>
          <w:sz w:val="24"/>
        </w:rPr>
        <w:t xml:space="preserve">v. </w:t>
      </w:r>
      <w:r>
        <w:rPr>
          <w:rFonts w:ascii="Bookman Old Style"/>
          <w:i/>
          <w:sz w:val="24"/>
        </w:rPr>
        <w:t>Alfred L. Smith</w:t>
      </w:r>
      <w:r>
        <w:rPr>
          <w:rFonts w:ascii="Bookman Old Style"/>
          <w:position w:val="6"/>
          <w:sz w:val="16"/>
        </w:rPr>
        <w:t>39</w:t>
      </w:r>
      <w:r>
        <w:rPr>
          <w:rFonts w:ascii="Bookman Old Style"/>
          <w:sz w:val="24"/>
        </w:rPr>
        <w:t>, wherein Scalia, J. noted as follows:</w:t>
      </w:r>
    </w:p>
    <w:p w:rsidR="003B2FC0" w:rsidRDefault="003B2FC0">
      <w:pPr>
        <w:pStyle w:val="BodyText"/>
        <w:spacing w:before="10"/>
        <w:rPr>
          <w:sz w:val="23"/>
        </w:rPr>
      </w:pPr>
    </w:p>
    <w:p w:rsidR="003B2FC0" w:rsidRDefault="00052A49">
      <w:pPr>
        <w:ind w:left="2102" w:right="1118"/>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…It is no more appropriate </w:t>
      </w:r>
      <w:r>
        <w:rPr>
          <w:rFonts w:ascii="Bookman Old Style" w:hAnsi="Bookman Old Style"/>
          <w:i/>
          <w:spacing w:val="2"/>
          <w:sz w:val="24"/>
        </w:rPr>
        <w:t xml:space="preserve">for </w:t>
      </w:r>
      <w:r>
        <w:rPr>
          <w:rFonts w:ascii="Bookman Old Style" w:hAnsi="Bookman Old Style"/>
          <w:i/>
          <w:sz w:val="24"/>
        </w:rPr>
        <w:t xml:space="preserve">judges to determine </w:t>
      </w:r>
      <w:r>
        <w:rPr>
          <w:rFonts w:ascii="Bookman Old Style" w:hAnsi="Bookman Old Style"/>
          <w:i/>
          <w:spacing w:val="-3"/>
          <w:sz w:val="24"/>
        </w:rPr>
        <w:t xml:space="preserve">the </w:t>
      </w:r>
      <w:r>
        <w:rPr>
          <w:rFonts w:ascii="Bookman Old Style" w:hAnsi="Bookman Old Style"/>
          <w:i/>
          <w:sz w:val="24"/>
        </w:rPr>
        <w:t xml:space="preserve">centrality of religious beliefs before applying a compelling interest test in the free exercise field, than it would be </w:t>
      </w:r>
      <w:r>
        <w:rPr>
          <w:rFonts w:ascii="Bookman Old Style" w:hAnsi="Bookman Old Style"/>
          <w:i/>
          <w:spacing w:val="2"/>
          <w:sz w:val="24"/>
        </w:rPr>
        <w:t xml:space="preserve">for </w:t>
      </w:r>
      <w:r>
        <w:rPr>
          <w:rFonts w:ascii="Bookman Old Style" w:hAnsi="Bookman Old Style"/>
          <w:i/>
          <w:sz w:val="24"/>
        </w:rPr>
        <w:t>them to determine the importance of ideas before applying the compelling inte</w:t>
      </w:r>
      <w:r>
        <w:rPr>
          <w:rFonts w:ascii="Bookman Old Style" w:hAnsi="Bookman Old Style"/>
          <w:i/>
          <w:sz w:val="24"/>
        </w:rPr>
        <w:t xml:space="preserve">rest test in the free speech field. </w:t>
      </w:r>
      <w:r>
        <w:rPr>
          <w:rFonts w:ascii="Bookman Old Style" w:hAnsi="Bookman Old Style"/>
          <w:i/>
          <w:sz w:val="24"/>
          <w:u w:val="single"/>
        </w:rPr>
        <w:t>What principle of law or logic can be brought to</w:t>
      </w:r>
      <w:r>
        <w:rPr>
          <w:rFonts w:ascii="Bookman Old Style" w:hAnsi="Bookman Old Style"/>
          <w:i/>
          <w:spacing w:val="4"/>
          <w:sz w:val="24"/>
          <w:u w:val="single"/>
        </w:rPr>
        <w:t xml:space="preserve"> </w:t>
      </w:r>
      <w:r>
        <w:rPr>
          <w:rFonts w:ascii="Bookman Old Style" w:hAnsi="Bookman Old Style"/>
          <w:i/>
          <w:sz w:val="24"/>
          <w:u w:val="single"/>
        </w:rPr>
        <w:t>bear</w:t>
      </w:r>
    </w:p>
    <w:p w:rsidR="003B2FC0" w:rsidRDefault="00052A49">
      <w:pPr>
        <w:ind w:left="2102" w:right="1118"/>
        <w:jc w:val="both"/>
        <w:rPr>
          <w:rFonts w:ascii="Bookman Old Style" w:hAnsi="Bookman Old Style"/>
          <w:i/>
          <w:sz w:val="24"/>
        </w:rPr>
      </w:pPr>
      <w:r>
        <w:rPr>
          <w:rFonts w:ascii="Times New Roman" w:hAnsi="Times New Roman"/>
          <w:spacing w:val="-60"/>
          <w:sz w:val="24"/>
          <w:u w:val="single"/>
        </w:rPr>
        <w:t xml:space="preserve"> </w:t>
      </w:r>
      <w:r>
        <w:rPr>
          <w:rFonts w:ascii="Bookman Old Style" w:hAnsi="Bookman Old Style"/>
          <w:i/>
          <w:sz w:val="24"/>
          <w:u w:val="single"/>
        </w:rPr>
        <w:t xml:space="preserve">to contradict a believer’s assertion that a particular act </w:t>
      </w:r>
      <w:r>
        <w:rPr>
          <w:rFonts w:ascii="Bookman Old Style" w:hAnsi="Bookman Old Style"/>
          <w:i/>
          <w:spacing w:val="3"/>
          <w:sz w:val="24"/>
          <w:u w:val="single"/>
        </w:rPr>
        <w:t>is</w:t>
      </w:r>
      <w:r>
        <w:rPr>
          <w:rFonts w:ascii="Bookman Old Style" w:hAnsi="Bookman Old Style"/>
          <w:i/>
          <w:spacing w:val="3"/>
          <w:sz w:val="24"/>
        </w:rPr>
        <w:t xml:space="preserve"> </w:t>
      </w:r>
      <w:r>
        <w:rPr>
          <w:rFonts w:ascii="Bookman Old Style" w:hAnsi="Bookman Old Style"/>
          <w:i/>
          <w:sz w:val="24"/>
          <w:u w:val="single"/>
        </w:rPr>
        <w:t>central to his personal faith? Judging the centrality of</w:t>
      </w:r>
      <w:r>
        <w:rPr>
          <w:rFonts w:ascii="Bookman Old Style" w:hAnsi="Bookman Old Style"/>
          <w:i/>
          <w:sz w:val="24"/>
        </w:rPr>
        <w:t xml:space="preserve"> </w:t>
      </w:r>
      <w:r>
        <w:rPr>
          <w:rFonts w:ascii="Bookman Old Style" w:hAnsi="Bookman Old Style"/>
          <w:i/>
          <w:sz w:val="24"/>
          <w:u w:val="single"/>
        </w:rPr>
        <w:t>different religious practises is akin to the unacceptable</w:t>
      </w:r>
      <w:r>
        <w:rPr>
          <w:rFonts w:ascii="Bookman Old Style" w:hAnsi="Bookman Old Style"/>
          <w:i/>
          <w:sz w:val="24"/>
        </w:rPr>
        <w:t xml:space="preserve"> </w:t>
      </w:r>
      <w:r>
        <w:rPr>
          <w:rFonts w:ascii="Bookman Old Style" w:hAnsi="Bookman Old Style"/>
          <w:i/>
          <w:sz w:val="24"/>
          <w:u w:val="single"/>
        </w:rPr>
        <w:t>business of evaluating the relative merits of differing</w:t>
      </w:r>
      <w:r>
        <w:rPr>
          <w:rFonts w:ascii="Bookman Old Style" w:hAnsi="Bookman Old Style"/>
          <w:i/>
          <w:sz w:val="24"/>
        </w:rPr>
        <w:t xml:space="preserve"> </w:t>
      </w:r>
      <w:r>
        <w:rPr>
          <w:rFonts w:ascii="Bookman Old Style" w:hAnsi="Bookman Old Style"/>
          <w:i/>
          <w:sz w:val="24"/>
          <w:u w:val="single"/>
        </w:rPr>
        <w:t>religious claims</w:t>
      </w:r>
      <w:r>
        <w:rPr>
          <w:rFonts w:ascii="Bookman Old Style" w:hAnsi="Bookman Old Style"/>
          <w:i/>
          <w:sz w:val="24"/>
        </w:rPr>
        <w:t xml:space="preserve">…As </w:t>
      </w:r>
      <w:r>
        <w:rPr>
          <w:rFonts w:ascii="Bookman Old Style" w:hAnsi="Bookman Old Style"/>
          <w:i/>
          <w:spacing w:val="-5"/>
          <w:sz w:val="24"/>
        </w:rPr>
        <w:t xml:space="preserve">we </w:t>
      </w:r>
      <w:r>
        <w:rPr>
          <w:rFonts w:ascii="Bookman Old Style" w:hAnsi="Bookman Old Style"/>
          <w:i/>
          <w:sz w:val="24"/>
        </w:rPr>
        <w:t>reaffirmed only last Term, it is not</w:t>
      </w:r>
      <w:r>
        <w:rPr>
          <w:rFonts w:ascii="Bookman Old Style" w:hAnsi="Bookman Old Style"/>
          <w:i/>
          <w:spacing w:val="51"/>
          <w:sz w:val="24"/>
        </w:rPr>
        <w:t xml:space="preserve"> </w:t>
      </w:r>
      <w:r>
        <w:rPr>
          <w:rFonts w:ascii="Bookman Old Style" w:hAnsi="Bookman Old Style"/>
          <w:i/>
          <w:sz w:val="24"/>
        </w:rPr>
        <w:t>within</w:t>
      </w:r>
      <w:r>
        <w:rPr>
          <w:rFonts w:ascii="Bookman Old Style" w:hAnsi="Bookman Old Style"/>
          <w:i/>
          <w:spacing w:val="53"/>
          <w:sz w:val="24"/>
        </w:rPr>
        <w:t xml:space="preserve"> </w:t>
      </w:r>
      <w:r>
        <w:rPr>
          <w:rFonts w:ascii="Bookman Old Style" w:hAnsi="Bookman Old Style"/>
          <w:i/>
          <w:sz w:val="24"/>
        </w:rPr>
        <w:t>the</w:t>
      </w:r>
      <w:r>
        <w:rPr>
          <w:rFonts w:ascii="Bookman Old Style" w:hAnsi="Bookman Old Style"/>
          <w:i/>
          <w:spacing w:val="51"/>
          <w:sz w:val="24"/>
        </w:rPr>
        <w:t xml:space="preserve"> </w:t>
      </w:r>
      <w:r>
        <w:rPr>
          <w:rFonts w:ascii="Bookman Old Style" w:hAnsi="Bookman Old Style"/>
          <w:i/>
          <w:sz w:val="24"/>
        </w:rPr>
        <w:t>judicial</w:t>
      </w:r>
      <w:r>
        <w:rPr>
          <w:rFonts w:ascii="Bookman Old Style" w:hAnsi="Bookman Old Style"/>
          <w:i/>
          <w:spacing w:val="49"/>
          <w:sz w:val="24"/>
        </w:rPr>
        <w:t xml:space="preserve"> </w:t>
      </w:r>
      <w:r>
        <w:rPr>
          <w:rFonts w:ascii="Bookman Old Style" w:hAnsi="Bookman Old Style"/>
          <w:i/>
          <w:sz w:val="24"/>
        </w:rPr>
        <w:t>ken</w:t>
      </w:r>
      <w:r>
        <w:rPr>
          <w:rFonts w:ascii="Bookman Old Style" w:hAnsi="Bookman Old Style"/>
          <w:i/>
          <w:spacing w:val="53"/>
          <w:sz w:val="24"/>
        </w:rPr>
        <w:t xml:space="preserve"> </w:t>
      </w:r>
      <w:r>
        <w:rPr>
          <w:rFonts w:ascii="Bookman Old Style" w:hAnsi="Bookman Old Style"/>
          <w:i/>
          <w:sz w:val="24"/>
        </w:rPr>
        <w:t>to</w:t>
      </w:r>
      <w:r>
        <w:rPr>
          <w:rFonts w:ascii="Bookman Old Style" w:hAnsi="Bookman Old Style"/>
          <w:i/>
          <w:spacing w:val="48"/>
          <w:sz w:val="24"/>
        </w:rPr>
        <w:t xml:space="preserve"> </w:t>
      </w:r>
      <w:r>
        <w:rPr>
          <w:rFonts w:ascii="Bookman Old Style" w:hAnsi="Bookman Old Style"/>
          <w:i/>
          <w:sz w:val="24"/>
        </w:rPr>
        <w:t>question</w:t>
      </w:r>
      <w:r>
        <w:rPr>
          <w:rFonts w:ascii="Bookman Old Style" w:hAnsi="Bookman Old Style"/>
          <w:i/>
          <w:spacing w:val="51"/>
          <w:sz w:val="24"/>
        </w:rPr>
        <w:t xml:space="preserve"> </w:t>
      </w:r>
      <w:r>
        <w:rPr>
          <w:rFonts w:ascii="Bookman Old Style" w:hAnsi="Bookman Old Style"/>
          <w:i/>
          <w:sz w:val="24"/>
        </w:rPr>
        <w:t>the</w:t>
      </w:r>
      <w:r>
        <w:rPr>
          <w:rFonts w:ascii="Bookman Old Style" w:hAnsi="Bookman Old Style"/>
          <w:i/>
          <w:spacing w:val="49"/>
          <w:sz w:val="24"/>
        </w:rPr>
        <w:t xml:space="preserve"> </w:t>
      </w:r>
      <w:r>
        <w:rPr>
          <w:rFonts w:ascii="Bookman Old Style" w:hAnsi="Bookman Old Style"/>
          <w:i/>
          <w:sz w:val="24"/>
        </w:rPr>
        <w:t>centrality</w:t>
      </w:r>
      <w:r>
        <w:rPr>
          <w:rFonts w:ascii="Bookman Old Style" w:hAnsi="Bookman Old Style"/>
          <w:i/>
          <w:spacing w:val="51"/>
          <w:sz w:val="24"/>
        </w:rPr>
        <w:t xml:space="preserve"> </w:t>
      </w:r>
      <w:r>
        <w:rPr>
          <w:rFonts w:ascii="Bookman Old Style" w:hAnsi="Bookman Old Style"/>
          <w:i/>
          <w:spacing w:val="-3"/>
          <w:sz w:val="24"/>
        </w:rPr>
        <w:t>of</w:t>
      </w:r>
    </w:p>
    <w:p w:rsidR="003B2FC0" w:rsidRDefault="003B2FC0">
      <w:pPr>
        <w:pStyle w:val="BodyText"/>
        <w:spacing w:before="1"/>
        <w:rPr>
          <w:i/>
          <w:sz w:val="10"/>
        </w:rPr>
      </w:pPr>
      <w:r w:rsidRPr="003B2FC0">
        <w:pict>
          <v:line id="_x0000_s1039" style="position:absolute;z-index:251674112;mso-wrap-distance-left:0;mso-wrap-distance-right:0;mso-position-horizontal-relative:page" from="1in,8.25pt" to="216.05pt,8.2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37  </w:t>
      </w:r>
      <w:r>
        <w:rPr>
          <w:rFonts w:ascii="Bookman Old Style"/>
          <w:sz w:val="20"/>
        </w:rPr>
        <w:t>455 U.S. 252</w:t>
      </w:r>
      <w:r>
        <w:rPr>
          <w:rFonts w:ascii="Bookman Old Style"/>
          <w:spacing w:val="-37"/>
          <w:sz w:val="20"/>
        </w:rPr>
        <w:t xml:space="preserve"> </w:t>
      </w:r>
      <w:r>
        <w:rPr>
          <w:rFonts w:ascii="Bookman Old Style"/>
          <w:sz w:val="20"/>
        </w:rPr>
        <w:t>(1982)</w:t>
      </w:r>
    </w:p>
    <w:p w:rsidR="003B2FC0" w:rsidRDefault="00052A49">
      <w:pPr>
        <w:spacing w:before="1"/>
        <w:ind w:left="400"/>
        <w:rPr>
          <w:rFonts w:ascii="Bookman Old Style"/>
          <w:sz w:val="20"/>
        </w:rPr>
      </w:pPr>
      <w:r>
        <w:rPr>
          <w:rFonts w:ascii="Bookman Old Style"/>
          <w:position w:val="5"/>
          <w:sz w:val="13"/>
        </w:rPr>
        <w:t xml:space="preserve">38  </w:t>
      </w:r>
      <w:r>
        <w:rPr>
          <w:rFonts w:ascii="Bookman Old Style"/>
          <w:sz w:val="20"/>
        </w:rPr>
        <w:t>490 U.S. 680</w:t>
      </w:r>
      <w:r>
        <w:rPr>
          <w:rFonts w:ascii="Bookman Old Style"/>
          <w:spacing w:val="-37"/>
          <w:sz w:val="20"/>
        </w:rPr>
        <w:t xml:space="preserve"> </w:t>
      </w:r>
      <w:r>
        <w:rPr>
          <w:rFonts w:ascii="Bookman Old Style"/>
          <w:sz w:val="20"/>
        </w:rPr>
        <w:t>(1989)</w:t>
      </w:r>
    </w:p>
    <w:p w:rsidR="003B2FC0" w:rsidRDefault="003B2FC0">
      <w:pPr>
        <w:rPr>
          <w:rFonts w:ascii="Bookman Old Style"/>
          <w:sz w:val="20"/>
        </w:rPr>
        <w:sectPr w:rsidR="003B2FC0">
          <w:headerReference w:type="default" r:id="rId471"/>
          <w:footerReference w:type="default" r:id="rId472"/>
          <w:pgSz w:w="11910" w:h="16840"/>
          <w:pgMar w:top="1340" w:right="980" w:bottom="1580" w:left="1040" w:header="0" w:footer="1392" w:gutter="0"/>
          <w:pgNumType w:start="199"/>
          <w:cols w:space="720"/>
        </w:sectPr>
      </w:pPr>
    </w:p>
    <w:p w:rsidR="003B2FC0" w:rsidRDefault="00052A49">
      <w:pPr>
        <w:spacing w:before="81"/>
        <w:ind w:left="2102" w:right="1122"/>
        <w:jc w:val="both"/>
        <w:rPr>
          <w:rFonts w:ascii="Bookman Old Style" w:hAnsi="Bookman Old Style"/>
          <w:sz w:val="24"/>
        </w:rPr>
      </w:pPr>
      <w:r>
        <w:rPr>
          <w:rFonts w:ascii="Bookman Old Style" w:hAnsi="Bookman Old Style"/>
          <w:i/>
          <w:sz w:val="24"/>
        </w:rPr>
        <w:t xml:space="preserve">particular beliefs or practises to a faith, or the validity of </w:t>
      </w:r>
      <w:r>
        <w:rPr>
          <w:rFonts w:ascii="Bookman Old Style" w:hAnsi="Bookman Old Style"/>
          <w:i/>
          <w:sz w:val="24"/>
        </w:rPr>
        <w:t xml:space="preserve">particular litigants interpretations of those creeds…Repeatedly and in many different contexts we have warned that </w:t>
      </w:r>
      <w:r>
        <w:rPr>
          <w:rFonts w:ascii="Bookman Old Style" w:hAnsi="Bookman Old Style"/>
          <w:i/>
          <w:sz w:val="24"/>
          <w:u w:val="single"/>
        </w:rPr>
        <w:t>courts must not presume to determine</w:t>
      </w:r>
      <w:r>
        <w:rPr>
          <w:rFonts w:ascii="Bookman Old Style" w:hAnsi="Bookman Old Style"/>
          <w:i/>
          <w:sz w:val="24"/>
        </w:rPr>
        <w:t xml:space="preserve"> </w:t>
      </w:r>
      <w:r>
        <w:rPr>
          <w:rFonts w:ascii="Bookman Old Style" w:hAnsi="Bookman Old Style"/>
          <w:i/>
          <w:sz w:val="24"/>
          <w:u w:val="single"/>
        </w:rPr>
        <w:t>the place of a particular belief in a religion or the</w:t>
      </w:r>
      <w:r>
        <w:rPr>
          <w:rFonts w:ascii="Bookman Old Style" w:hAnsi="Bookman Old Style"/>
          <w:i/>
          <w:sz w:val="24"/>
        </w:rPr>
        <w:t xml:space="preserve"> </w:t>
      </w:r>
      <w:r>
        <w:rPr>
          <w:rFonts w:ascii="Bookman Old Style" w:hAnsi="Bookman Old Style"/>
          <w:i/>
          <w:sz w:val="24"/>
          <w:u w:val="single"/>
        </w:rPr>
        <w:t>plausibility of a religious claim</w:t>
      </w:r>
      <w:r>
        <w:rPr>
          <w:rFonts w:ascii="Bookman Old Style" w:hAnsi="Bookman Old Style"/>
          <w:sz w:val="24"/>
        </w:rPr>
        <w:t>…”</w:t>
      </w:r>
    </w:p>
    <w:p w:rsidR="003B2FC0" w:rsidRDefault="00052A49">
      <w:pPr>
        <w:spacing w:line="281" w:lineRule="exact"/>
        <w:ind w:left="3293"/>
        <w:rPr>
          <w:rFonts w:ascii="Bookman Old Style"/>
          <w:sz w:val="24"/>
        </w:rPr>
      </w:pPr>
      <w:r>
        <w:rPr>
          <w:rFonts w:ascii="Bookman Old Style"/>
          <w:sz w:val="24"/>
        </w:rPr>
        <w:t>(Emphasis supp</w:t>
      </w:r>
      <w:r>
        <w:rPr>
          <w:rFonts w:ascii="Bookman Old Style"/>
          <w:sz w:val="24"/>
        </w:rPr>
        <w:t>lied; internal quotations omitted)</w:t>
      </w:r>
    </w:p>
    <w:p w:rsidR="003B2FC0" w:rsidRDefault="003B2FC0">
      <w:pPr>
        <w:pStyle w:val="BodyText"/>
        <w:spacing w:before="3"/>
        <w:rPr>
          <w:sz w:val="24"/>
        </w:rPr>
      </w:pPr>
    </w:p>
    <w:p w:rsidR="003B2FC0" w:rsidRDefault="00052A49">
      <w:pPr>
        <w:pStyle w:val="ListParagraph"/>
        <w:numPr>
          <w:ilvl w:val="1"/>
          <w:numId w:val="8"/>
        </w:numPr>
        <w:tabs>
          <w:tab w:val="left" w:pos="1253"/>
        </w:tabs>
        <w:ind w:hanging="710"/>
        <w:jc w:val="left"/>
        <w:rPr>
          <w:rFonts w:ascii="Bookman Old Style"/>
          <w:i/>
          <w:sz w:val="24"/>
        </w:rPr>
      </w:pPr>
      <w:r>
        <w:rPr>
          <w:rFonts w:ascii="Bookman Old Style"/>
          <w:sz w:val="24"/>
        </w:rPr>
        <w:t>The</w:t>
      </w:r>
      <w:r>
        <w:rPr>
          <w:rFonts w:ascii="Bookman Old Style"/>
          <w:spacing w:val="24"/>
          <w:sz w:val="24"/>
        </w:rPr>
        <w:t xml:space="preserve"> </w:t>
      </w:r>
      <w:r>
        <w:rPr>
          <w:rFonts w:ascii="Bookman Old Style"/>
          <w:sz w:val="24"/>
        </w:rPr>
        <w:t>observations</w:t>
      </w:r>
      <w:r>
        <w:rPr>
          <w:rFonts w:ascii="Bookman Old Style"/>
          <w:spacing w:val="26"/>
          <w:sz w:val="24"/>
        </w:rPr>
        <w:t xml:space="preserve"> </w:t>
      </w:r>
      <w:r>
        <w:rPr>
          <w:rFonts w:ascii="Bookman Old Style"/>
          <w:sz w:val="24"/>
        </w:rPr>
        <w:t>of</w:t>
      </w:r>
      <w:r>
        <w:rPr>
          <w:rFonts w:ascii="Bookman Old Style"/>
          <w:spacing w:val="26"/>
          <w:sz w:val="24"/>
        </w:rPr>
        <w:t xml:space="preserve"> </w:t>
      </w:r>
      <w:r>
        <w:rPr>
          <w:rFonts w:ascii="Bookman Old Style"/>
          <w:sz w:val="24"/>
        </w:rPr>
        <w:t>Chinnappa</w:t>
      </w:r>
      <w:r>
        <w:rPr>
          <w:rFonts w:ascii="Bookman Old Style"/>
          <w:spacing w:val="24"/>
          <w:sz w:val="24"/>
        </w:rPr>
        <w:t xml:space="preserve"> </w:t>
      </w:r>
      <w:r>
        <w:rPr>
          <w:rFonts w:ascii="Bookman Old Style"/>
          <w:sz w:val="24"/>
        </w:rPr>
        <w:t>Reddy,</w:t>
      </w:r>
      <w:r>
        <w:rPr>
          <w:rFonts w:ascii="Bookman Old Style"/>
          <w:spacing w:val="24"/>
          <w:sz w:val="24"/>
        </w:rPr>
        <w:t xml:space="preserve"> </w:t>
      </w:r>
      <w:r>
        <w:rPr>
          <w:rFonts w:ascii="Bookman Old Style"/>
          <w:sz w:val="24"/>
        </w:rPr>
        <w:t>J.</w:t>
      </w:r>
      <w:r>
        <w:rPr>
          <w:rFonts w:ascii="Bookman Old Style"/>
          <w:spacing w:val="24"/>
          <w:sz w:val="24"/>
        </w:rPr>
        <w:t xml:space="preserve"> </w:t>
      </w:r>
      <w:r>
        <w:rPr>
          <w:rFonts w:ascii="Bookman Old Style"/>
          <w:sz w:val="24"/>
        </w:rPr>
        <w:t>in</w:t>
      </w:r>
      <w:r>
        <w:rPr>
          <w:rFonts w:ascii="Bookman Old Style"/>
          <w:spacing w:val="26"/>
          <w:sz w:val="24"/>
        </w:rPr>
        <w:t xml:space="preserve"> </w:t>
      </w:r>
      <w:r>
        <w:rPr>
          <w:rFonts w:ascii="Bookman Old Style"/>
          <w:i/>
          <w:sz w:val="24"/>
        </w:rPr>
        <w:t>Bijoe</w:t>
      </w:r>
      <w:r>
        <w:rPr>
          <w:rFonts w:ascii="Bookman Old Style"/>
          <w:i/>
          <w:spacing w:val="26"/>
          <w:sz w:val="24"/>
        </w:rPr>
        <w:t xml:space="preserve"> </w:t>
      </w:r>
      <w:r>
        <w:rPr>
          <w:rFonts w:ascii="Bookman Old Style"/>
          <w:i/>
          <w:sz w:val="24"/>
        </w:rPr>
        <w:t>Emmanuel</w:t>
      </w:r>
      <w:r>
        <w:rPr>
          <w:rFonts w:ascii="Bookman Old Style"/>
          <w:i/>
          <w:spacing w:val="26"/>
          <w:sz w:val="24"/>
        </w:rPr>
        <w:t xml:space="preserve"> </w:t>
      </w:r>
      <w:r>
        <w:rPr>
          <w:rFonts w:ascii="Bookman Old Style"/>
          <w:i/>
          <w:sz w:val="24"/>
        </w:rPr>
        <w:t>&amp;</w:t>
      </w:r>
      <w:r>
        <w:rPr>
          <w:rFonts w:ascii="Bookman Old Style"/>
          <w:i/>
          <w:spacing w:val="25"/>
          <w:sz w:val="24"/>
        </w:rPr>
        <w:t xml:space="preserve"> </w:t>
      </w:r>
      <w:r>
        <w:rPr>
          <w:rFonts w:ascii="Bookman Old Style"/>
          <w:i/>
          <w:sz w:val="24"/>
        </w:rPr>
        <w:t>Ors.</w:t>
      </w:r>
    </w:p>
    <w:p w:rsidR="003B2FC0" w:rsidRDefault="003B2FC0">
      <w:pPr>
        <w:pStyle w:val="BodyText"/>
        <w:rPr>
          <w:i/>
          <w:sz w:val="24"/>
        </w:rPr>
      </w:pPr>
    </w:p>
    <w:p w:rsidR="003B2FC0" w:rsidRDefault="00052A49">
      <w:pPr>
        <w:spacing w:before="1" w:line="480" w:lineRule="auto"/>
        <w:ind w:left="1252" w:right="454"/>
        <w:jc w:val="both"/>
        <w:rPr>
          <w:rFonts w:ascii="Bookman Old Style"/>
          <w:sz w:val="24"/>
        </w:rPr>
      </w:pPr>
      <w:r>
        <w:rPr>
          <w:rFonts w:ascii="Bookman Old Style"/>
          <w:sz w:val="24"/>
        </w:rPr>
        <w:t xml:space="preserve">v. </w:t>
      </w:r>
      <w:r>
        <w:rPr>
          <w:rFonts w:ascii="Bookman Old Style"/>
          <w:i/>
          <w:sz w:val="24"/>
        </w:rPr>
        <w:t xml:space="preserve">State of Kerala &amp; Ors. </w:t>
      </w:r>
      <w:r>
        <w:rPr>
          <w:rFonts w:ascii="Bookman Old Style"/>
          <w:sz w:val="24"/>
        </w:rPr>
        <w:t>(supra) are instructive in understanding the nature of the protection afforded under Article 25, and the role of the Court in interpreting the same. The relevant extract from the opinion of Chinnappa Reddy, J. is extracted hereinbelow:</w:t>
      </w:r>
    </w:p>
    <w:p w:rsidR="003B2FC0" w:rsidRDefault="00052A49">
      <w:pPr>
        <w:ind w:left="1677" w:right="841"/>
        <w:jc w:val="both"/>
        <w:rPr>
          <w:rFonts w:ascii="Bookman Old Style" w:hAnsi="Bookman Old Style"/>
          <w:sz w:val="24"/>
        </w:rPr>
      </w:pPr>
      <w:r>
        <w:rPr>
          <w:rFonts w:ascii="Bookman Old Style" w:hAnsi="Bookman Old Style"/>
          <w:i/>
          <w:sz w:val="24"/>
        </w:rPr>
        <w:t>“18. Article 25 is a</w:t>
      </w:r>
      <w:r>
        <w:rPr>
          <w:rFonts w:ascii="Bookman Old Style" w:hAnsi="Bookman Old Style"/>
          <w:i/>
          <w:sz w:val="24"/>
        </w:rPr>
        <w:t>n article of faith in the Constitution, incorporated in recognition of the principle that the real test of a true democracy is the ability of even an insignificant minority to find its identity under the country’s Constitution. This has to borne in mind in</w:t>
      </w:r>
      <w:r>
        <w:rPr>
          <w:rFonts w:ascii="Bookman Old Style" w:hAnsi="Bookman Old Style"/>
          <w:i/>
          <w:sz w:val="24"/>
        </w:rPr>
        <w:t xml:space="preserve"> interpreting Article 25…</w:t>
      </w:r>
      <w:r>
        <w:rPr>
          <w:rFonts w:ascii="Bookman Old Style" w:hAnsi="Bookman Old Style"/>
          <w:sz w:val="24"/>
        </w:rPr>
        <w:t>”</w:t>
      </w:r>
    </w:p>
    <w:p w:rsidR="003B2FC0" w:rsidRDefault="003B2FC0">
      <w:pPr>
        <w:pStyle w:val="BodyText"/>
        <w:spacing w:before="1"/>
        <w:rPr>
          <w:sz w:val="24"/>
        </w:rPr>
      </w:pPr>
    </w:p>
    <w:p w:rsidR="003B2FC0" w:rsidRDefault="00052A49">
      <w:pPr>
        <w:pStyle w:val="ListParagraph"/>
        <w:numPr>
          <w:ilvl w:val="1"/>
          <w:numId w:val="8"/>
        </w:numPr>
        <w:tabs>
          <w:tab w:val="left" w:pos="1253"/>
        </w:tabs>
        <w:spacing w:before="1"/>
        <w:ind w:hanging="710"/>
        <w:jc w:val="left"/>
        <w:rPr>
          <w:rFonts w:ascii="Bookman Old Style"/>
          <w:sz w:val="24"/>
        </w:rPr>
      </w:pPr>
      <w:r>
        <w:rPr>
          <w:rFonts w:ascii="Bookman Old Style"/>
          <w:sz w:val="24"/>
        </w:rPr>
        <w:t>A</w:t>
      </w:r>
      <w:r>
        <w:rPr>
          <w:rFonts w:ascii="Bookman Old Style"/>
          <w:spacing w:val="41"/>
          <w:sz w:val="24"/>
        </w:rPr>
        <w:t xml:space="preserve"> </w:t>
      </w:r>
      <w:r>
        <w:rPr>
          <w:rFonts w:ascii="Bookman Old Style"/>
          <w:sz w:val="24"/>
        </w:rPr>
        <w:t>reference</w:t>
      </w:r>
      <w:r>
        <w:rPr>
          <w:rFonts w:ascii="Bookman Old Style"/>
          <w:spacing w:val="41"/>
          <w:sz w:val="24"/>
        </w:rPr>
        <w:t xml:space="preserve"> </w:t>
      </w:r>
      <w:r>
        <w:rPr>
          <w:rFonts w:ascii="Bookman Old Style"/>
          <w:sz w:val="24"/>
        </w:rPr>
        <w:t>to</w:t>
      </w:r>
      <w:r>
        <w:rPr>
          <w:rFonts w:ascii="Bookman Old Style"/>
          <w:spacing w:val="41"/>
          <w:sz w:val="24"/>
        </w:rPr>
        <w:t xml:space="preserve"> </w:t>
      </w:r>
      <w:r>
        <w:rPr>
          <w:rFonts w:ascii="Bookman Old Style"/>
          <w:sz w:val="24"/>
        </w:rPr>
        <w:t>the</w:t>
      </w:r>
      <w:r>
        <w:rPr>
          <w:rFonts w:ascii="Bookman Old Style"/>
          <w:spacing w:val="42"/>
          <w:sz w:val="24"/>
        </w:rPr>
        <w:t xml:space="preserve"> </w:t>
      </w:r>
      <w:r>
        <w:rPr>
          <w:rFonts w:ascii="Bookman Old Style"/>
          <w:sz w:val="24"/>
        </w:rPr>
        <w:t>following</w:t>
      </w:r>
      <w:r>
        <w:rPr>
          <w:rFonts w:ascii="Bookman Old Style"/>
          <w:spacing w:val="41"/>
          <w:sz w:val="24"/>
        </w:rPr>
        <w:t xml:space="preserve"> </w:t>
      </w:r>
      <w:r>
        <w:rPr>
          <w:rFonts w:ascii="Bookman Old Style"/>
          <w:sz w:val="24"/>
        </w:rPr>
        <w:t>extracts</w:t>
      </w:r>
      <w:r>
        <w:rPr>
          <w:rFonts w:ascii="Bookman Old Style"/>
          <w:spacing w:val="41"/>
          <w:sz w:val="24"/>
        </w:rPr>
        <w:t xml:space="preserve"> </w:t>
      </w:r>
      <w:r>
        <w:rPr>
          <w:rFonts w:ascii="Bookman Old Style"/>
          <w:sz w:val="24"/>
        </w:rPr>
        <w:t>from</w:t>
      </w:r>
      <w:r>
        <w:rPr>
          <w:rFonts w:ascii="Bookman Old Style"/>
          <w:spacing w:val="41"/>
          <w:sz w:val="24"/>
        </w:rPr>
        <w:t xml:space="preserve"> </w:t>
      </w:r>
      <w:r>
        <w:rPr>
          <w:rFonts w:ascii="Bookman Old Style"/>
          <w:sz w:val="24"/>
        </w:rPr>
        <w:t>the</w:t>
      </w:r>
      <w:r>
        <w:rPr>
          <w:rFonts w:ascii="Bookman Old Style"/>
          <w:spacing w:val="44"/>
          <w:sz w:val="24"/>
        </w:rPr>
        <w:t xml:space="preserve"> </w:t>
      </w:r>
      <w:r>
        <w:rPr>
          <w:rFonts w:ascii="Bookman Old Style"/>
          <w:sz w:val="24"/>
        </w:rPr>
        <w:t>judgment</w:t>
      </w:r>
      <w:r>
        <w:rPr>
          <w:rFonts w:ascii="Bookman Old Style"/>
          <w:spacing w:val="41"/>
          <w:sz w:val="24"/>
        </w:rPr>
        <w:t xml:space="preserve"> </w:t>
      </w:r>
      <w:r>
        <w:rPr>
          <w:rFonts w:ascii="Bookman Old Style"/>
          <w:sz w:val="24"/>
        </w:rPr>
        <w:t>of</w:t>
      </w:r>
      <w:r>
        <w:rPr>
          <w:rFonts w:ascii="Bookman Old Style"/>
          <w:spacing w:val="39"/>
          <w:sz w:val="24"/>
        </w:rPr>
        <w:t xml:space="preserve"> </w:t>
      </w:r>
      <w:r>
        <w:rPr>
          <w:rFonts w:ascii="Bookman Old Style"/>
          <w:sz w:val="24"/>
        </w:rPr>
        <w:t>Khehar,</w:t>
      </w:r>
    </w:p>
    <w:p w:rsidR="003B2FC0" w:rsidRDefault="003B2FC0">
      <w:pPr>
        <w:pStyle w:val="BodyText"/>
        <w:spacing w:before="9"/>
        <w:rPr>
          <w:sz w:val="23"/>
        </w:rPr>
      </w:pPr>
    </w:p>
    <w:p w:rsidR="003B2FC0" w:rsidRDefault="00052A49">
      <w:pPr>
        <w:spacing w:before="1" w:line="480" w:lineRule="auto"/>
        <w:ind w:left="1252" w:right="454"/>
        <w:jc w:val="both"/>
        <w:rPr>
          <w:rFonts w:ascii="Bookman Old Style"/>
          <w:sz w:val="24"/>
        </w:rPr>
      </w:pPr>
      <w:r>
        <w:rPr>
          <w:rFonts w:ascii="Bookman Old Style"/>
          <w:sz w:val="24"/>
        </w:rPr>
        <w:t xml:space="preserve">C.J.I. in </w:t>
      </w:r>
      <w:r>
        <w:rPr>
          <w:rFonts w:ascii="Bookman Old Style"/>
          <w:i/>
          <w:sz w:val="24"/>
        </w:rPr>
        <w:t xml:space="preserve">Shayara Bano </w:t>
      </w:r>
      <w:r>
        <w:rPr>
          <w:rFonts w:ascii="Bookman Old Style"/>
          <w:sz w:val="24"/>
        </w:rPr>
        <w:t xml:space="preserve">v. </w:t>
      </w:r>
      <w:r>
        <w:rPr>
          <w:rFonts w:ascii="Bookman Old Style"/>
          <w:i/>
          <w:sz w:val="24"/>
        </w:rPr>
        <w:t>Union of India &amp; Ors.</w:t>
      </w:r>
      <w:r>
        <w:rPr>
          <w:rFonts w:ascii="Bookman Old Style"/>
          <w:position w:val="6"/>
          <w:sz w:val="16"/>
        </w:rPr>
        <w:t xml:space="preserve">40 </w:t>
      </w:r>
      <w:r>
        <w:rPr>
          <w:rFonts w:ascii="Bookman Old Style"/>
          <w:sz w:val="24"/>
        </w:rPr>
        <w:t>is also instructive with respect to the role of Courts in matters concerning religious faiths and beliefs:</w:t>
      </w:r>
    </w:p>
    <w:p w:rsidR="003B2FC0" w:rsidRDefault="00052A49">
      <w:pPr>
        <w:ind w:left="1677" w:right="830"/>
        <w:jc w:val="both"/>
        <w:rPr>
          <w:rFonts w:ascii="Bookman Old Style" w:hAnsi="Bookman Old Style"/>
          <w:sz w:val="24"/>
        </w:rPr>
      </w:pPr>
      <w:r>
        <w:rPr>
          <w:rFonts w:ascii="Bookman Old Style" w:hAnsi="Bookman Old Style"/>
          <w:sz w:val="24"/>
        </w:rPr>
        <w:t>“</w:t>
      </w:r>
      <w:r>
        <w:rPr>
          <w:rFonts w:ascii="Bookman Old Style" w:hAnsi="Bookman Old Style"/>
          <w:i/>
          <w:sz w:val="24"/>
        </w:rPr>
        <w:t xml:space="preserve">389. It is not difficult to comprehend what kind of challenges would be raised by rationalist assailing practises of different faiths on diverse grounds, based on all kinds of enlightened sensibilities. We have </w:t>
      </w:r>
      <w:r>
        <w:rPr>
          <w:rFonts w:ascii="Bookman Old Style" w:hAnsi="Bookman Old Style"/>
          <w:i/>
          <w:spacing w:val="-3"/>
          <w:sz w:val="24"/>
        </w:rPr>
        <w:t xml:space="preserve">to </w:t>
      </w:r>
      <w:r>
        <w:rPr>
          <w:rFonts w:ascii="Bookman Old Style" w:hAnsi="Bookman Old Style"/>
          <w:i/>
          <w:sz w:val="24"/>
        </w:rPr>
        <w:t xml:space="preserve">be guarded lest </w:t>
      </w:r>
      <w:r>
        <w:rPr>
          <w:rFonts w:ascii="Bookman Old Style" w:hAnsi="Bookman Old Style"/>
          <w:i/>
          <w:spacing w:val="-4"/>
          <w:sz w:val="24"/>
        </w:rPr>
        <w:t xml:space="preserve">we </w:t>
      </w:r>
      <w:r>
        <w:rPr>
          <w:rFonts w:ascii="Bookman Old Style" w:hAnsi="Bookman Old Style"/>
          <w:i/>
          <w:sz w:val="24"/>
        </w:rPr>
        <w:t>find our conscience tra</w:t>
      </w:r>
      <w:r>
        <w:rPr>
          <w:rFonts w:ascii="Bookman Old Style" w:hAnsi="Bookman Old Style"/>
          <w:i/>
          <w:sz w:val="24"/>
        </w:rPr>
        <w:t>versing into every nook and corner of religious practises, and Personal Law. Can a court, based on a righteous endeavour, declare that a matter of faith be replaced, or be completely done away with?...This wisdom emerging from judgments rendered by this Co</w:t>
      </w:r>
      <w:r>
        <w:rPr>
          <w:rFonts w:ascii="Bookman Old Style" w:hAnsi="Bookman Old Style"/>
          <w:i/>
          <w:sz w:val="24"/>
        </w:rPr>
        <w:t xml:space="preserve">urt is unambiguous namely, that </w:t>
      </w:r>
      <w:r>
        <w:rPr>
          <w:rFonts w:ascii="Bookman Old Style" w:hAnsi="Bookman Old Style"/>
          <w:i/>
          <w:sz w:val="24"/>
          <w:u w:val="single"/>
        </w:rPr>
        <w:t>while examining the</w:t>
      </w:r>
      <w:r>
        <w:rPr>
          <w:rFonts w:ascii="Bookman Old Style" w:hAnsi="Bookman Old Style"/>
          <w:i/>
          <w:sz w:val="24"/>
        </w:rPr>
        <w:t xml:space="preserve"> </w:t>
      </w:r>
      <w:r>
        <w:rPr>
          <w:rFonts w:ascii="Bookman Old Style" w:hAnsi="Bookman Old Style"/>
          <w:i/>
          <w:sz w:val="24"/>
          <w:u w:val="single"/>
        </w:rPr>
        <w:t>issues falling in the realm of religious practises or Personal</w:t>
      </w:r>
      <w:r>
        <w:rPr>
          <w:rFonts w:ascii="Bookman Old Style" w:hAnsi="Bookman Old Style"/>
          <w:i/>
          <w:sz w:val="24"/>
        </w:rPr>
        <w:t xml:space="preserve"> </w:t>
      </w:r>
      <w:r>
        <w:rPr>
          <w:rFonts w:ascii="Bookman Old Style" w:hAnsi="Bookman Old Style"/>
          <w:i/>
          <w:sz w:val="24"/>
          <w:u w:val="single"/>
        </w:rPr>
        <w:t>Law, it is not for a court to make a choice of something which it</w:t>
      </w:r>
      <w:r>
        <w:rPr>
          <w:rFonts w:ascii="Bookman Old Style" w:hAnsi="Bookman Old Style"/>
          <w:i/>
          <w:sz w:val="24"/>
        </w:rPr>
        <w:t xml:space="preserve"> </w:t>
      </w:r>
      <w:r>
        <w:rPr>
          <w:rFonts w:ascii="Bookman Old Style" w:hAnsi="Bookman Old Style"/>
          <w:i/>
          <w:sz w:val="24"/>
          <w:u w:val="single"/>
        </w:rPr>
        <w:t>considers as forward-looking or non-fundamentalist. It is not for</w:t>
      </w:r>
      <w:r>
        <w:rPr>
          <w:rFonts w:ascii="Bookman Old Style" w:hAnsi="Bookman Old Style"/>
          <w:i/>
          <w:sz w:val="24"/>
        </w:rPr>
        <w:t xml:space="preserve"> </w:t>
      </w:r>
      <w:r>
        <w:rPr>
          <w:rFonts w:ascii="Bookman Old Style" w:hAnsi="Bookman Old Style"/>
          <w:i/>
          <w:sz w:val="24"/>
          <w:u w:val="single"/>
        </w:rPr>
        <w:t>a court t</w:t>
      </w:r>
      <w:r>
        <w:rPr>
          <w:rFonts w:ascii="Bookman Old Style" w:hAnsi="Bookman Old Style"/>
          <w:i/>
          <w:sz w:val="24"/>
          <w:u w:val="single"/>
        </w:rPr>
        <w:t>o determine whether religious practises  were prudent</w:t>
      </w:r>
      <w:r>
        <w:rPr>
          <w:rFonts w:ascii="Bookman Old Style" w:hAnsi="Bookman Old Style"/>
          <w:i/>
          <w:sz w:val="24"/>
        </w:rPr>
        <w:t xml:space="preserve"> </w:t>
      </w:r>
      <w:r>
        <w:rPr>
          <w:rFonts w:ascii="Bookman Old Style" w:hAnsi="Bookman Old Style"/>
          <w:i/>
          <w:sz w:val="24"/>
          <w:u w:val="single"/>
        </w:rPr>
        <w:t>or progressive or regressive. Religion and Personal Law, must</w:t>
      </w:r>
      <w:r>
        <w:rPr>
          <w:rFonts w:ascii="Bookman Old Style" w:hAnsi="Bookman Old Style"/>
          <w:i/>
          <w:sz w:val="24"/>
        </w:rPr>
        <w:t xml:space="preserve"> </w:t>
      </w:r>
      <w:r>
        <w:rPr>
          <w:rFonts w:ascii="Bookman Old Style" w:hAnsi="Bookman Old Style"/>
          <w:i/>
          <w:sz w:val="24"/>
          <w:u w:val="single"/>
        </w:rPr>
        <w:t>be perceived, as it is accepted by the followers of the</w:t>
      </w:r>
      <w:r>
        <w:rPr>
          <w:rFonts w:ascii="Bookman Old Style" w:hAnsi="Bookman Old Style"/>
          <w:i/>
          <w:spacing w:val="-12"/>
          <w:sz w:val="24"/>
          <w:u w:val="single"/>
        </w:rPr>
        <w:t xml:space="preserve"> </w:t>
      </w:r>
      <w:r>
        <w:rPr>
          <w:rFonts w:ascii="Bookman Old Style" w:hAnsi="Bookman Old Style"/>
          <w:i/>
          <w:sz w:val="24"/>
          <w:u w:val="single"/>
        </w:rPr>
        <w:t>faith</w:t>
      </w:r>
      <w:r>
        <w:rPr>
          <w:rFonts w:ascii="Bookman Old Style" w:hAnsi="Bookman Old Style"/>
          <w:i/>
          <w:sz w:val="24"/>
        </w:rPr>
        <w:t>…</w:t>
      </w:r>
      <w:r>
        <w:rPr>
          <w:rFonts w:ascii="Bookman Old Style" w:hAnsi="Bookman Old Style"/>
          <w:sz w:val="24"/>
        </w:rPr>
        <w:t>”</w:t>
      </w:r>
    </w:p>
    <w:p w:rsidR="003B2FC0" w:rsidRDefault="003B2FC0">
      <w:pPr>
        <w:pStyle w:val="BodyText"/>
        <w:spacing w:before="8"/>
        <w:rPr>
          <w:sz w:val="27"/>
        </w:rPr>
      </w:pPr>
      <w:r w:rsidRPr="003B2FC0">
        <w:pict>
          <v:line id="_x0000_s1038" style="position:absolute;z-index:251675136;mso-wrap-distance-left:0;mso-wrap-distance-right:0;mso-position-horizontal-relative:page" from="1in,18.65pt" to="216.05pt,18.6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40 </w:t>
      </w:r>
      <w:r>
        <w:rPr>
          <w:rFonts w:ascii="Bookman Old Style"/>
          <w:sz w:val="20"/>
        </w:rPr>
        <w:t>(2017) 9 SCC 1</w:t>
      </w:r>
    </w:p>
    <w:p w:rsidR="003B2FC0" w:rsidRDefault="003B2FC0">
      <w:pPr>
        <w:rPr>
          <w:rFonts w:ascii="Bookman Old Style"/>
          <w:sz w:val="20"/>
        </w:rPr>
        <w:sectPr w:rsidR="003B2FC0">
          <w:headerReference w:type="default" r:id="rId473"/>
          <w:footerReference w:type="default" r:id="rId474"/>
          <w:pgSz w:w="11910" w:h="16840"/>
          <w:pgMar w:top="1340" w:right="980" w:bottom="1220" w:left="1040" w:header="0" w:footer="1033" w:gutter="0"/>
          <w:pgNumType w:start="40"/>
          <w:cols w:space="720"/>
        </w:sectPr>
      </w:pPr>
    </w:p>
    <w:p w:rsidR="003B2FC0" w:rsidRDefault="00052A49">
      <w:pPr>
        <w:spacing w:before="83"/>
        <w:ind w:left="3225"/>
        <w:rPr>
          <w:rFonts w:ascii="Bookman Old Style"/>
          <w:sz w:val="24"/>
        </w:rPr>
      </w:pPr>
      <w:r>
        <w:rPr>
          <w:rFonts w:ascii="Bookman Old Style"/>
          <w:sz w:val="24"/>
        </w:rPr>
        <w:t>(Emphasis supplied and internal quotations omitted)</w:t>
      </w:r>
    </w:p>
    <w:p w:rsidR="003B2FC0" w:rsidRDefault="003B2FC0">
      <w:pPr>
        <w:pStyle w:val="BodyText"/>
        <w:spacing w:before="1"/>
        <w:rPr>
          <w:sz w:val="24"/>
        </w:rPr>
      </w:pPr>
    </w:p>
    <w:p w:rsidR="003B2FC0" w:rsidRDefault="00052A49">
      <w:pPr>
        <w:pStyle w:val="ListParagraph"/>
        <w:numPr>
          <w:ilvl w:val="1"/>
          <w:numId w:val="8"/>
        </w:numPr>
        <w:tabs>
          <w:tab w:val="left" w:pos="1253"/>
        </w:tabs>
        <w:spacing w:line="480" w:lineRule="auto"/>
        <w:ind w:right="455" w:hanging="710"/>
        <w:rPr>
          <w:rFonts w:ascii="Bookman Old Style"/>
          <w:sz w:val="24"/>
        </w:rPr>
      </w:pPr>
      <w:r>
        <w:rPr>
          <w:rFonts w:ascii="Bookman Old Style"/>
          <w:sz w:val="24"/>
        </w:rPr>
        <w:t xml:space="preserve">The following extract from the concurring judgment of Chinnappa Reddy, J. in </w:t>
      </w:r>
      <w:r>
        <w:rPr>
          <w:rFonts w:ascii="Bookman Old Style"/>
          <w:i/>
          <w:sz w:val="24"/>
        </w:rPr>
        <w:t xml:space="preserve">S.P. Mittal </w:t>
      </w:r>
      <w:r>
        <w:rPr>
          <w:rFonts w:ascii="Bookman Old Style"/>
          <w:sz w:val="24"/>
        </w:rPr>
        <w:t xml:space="preserve">v. </w:t>
      </w:r>
      <w:r>
        <w:rPr>
          <w:rFonts w:ascii="Bookman Old Style"/>
          <w:i/>
          <w:sz w:val="24"/>
        </w:rPr>
        <w:t xml:space="preserve">Union of India &amp; Ors. </w:t>
      </w:r>
      <w:r>
        <w:rPr>
          <w:rFonts w:ascii="Bookman Old Style"/>
          <w:sz w:val="24"/>
        </w:rPr>
        <w:t xml:space="preserve">(supra) is pertinent with respect to the approach to be adopted by Courts whilst dealing </w:t>
      </w:r>
      <w:r>
        <w:rPr>
          <w:rFonts w:ascii="Bookman Old Style"/>
          <w:sz w:val="24"/>
        </w:rPr>
        <w:t>with matters concerning religion:</w:t>
      </w:r>
    </w:p>
    <w:p w:rsidR="003B2FC0" w:rsidRDefault="00052A49">
      <w:pPr>
        <w:ind w:left="1677" w:right="833"/>
        <w:jc w:val="both"/>
        <w:rPr>
          <w:rFonts w:ascii="Bookman Old Style" w:hAnsi="Bookman Old Style"/>
          <w:sz w:val="24"/>
        </w:rPr>
      </w:pPr>
      <w:r>
        <w:rPr>
          <w:rFonts w:ascii="Bookman Old Style" w:hAnsi="Bookman Old Style"/>
          <w:sz w:val="24"/>
        </w:rPr>
        <w:t>“</w:t>
      </w:r>
      <w:r>
        <w:rPr>
          <w:rFonts w:ascii="Bookman Old Style" w:hAnsi="Bookman Old Style"/>
          <w:i/>
          <w:sz w:val="24"/>
        </w:rPr>
        <w:t>2…</w:t>
      </w:r>
      <w:r>
        <w:rPr>
          <w:rFonts w:ascii="Bookman Old Style" w:hAnsi="Bookman Old Style"/>
          <w:i/>
          <w:sz w:val="24"/>
          <w:u w:val="single"/>
        </w:rPr>
        <w:t xml:space="preserve">What is religion to some </w:t>
      </w:r>
      <w:r>
        <w:rPr>
          <w:rFonts w:ascii="Bookman Old Style" w:hAnsi="Bookman Old Style"/>
          <w:i/>
          <w:spacing w:val="-3"/>
          <w:sz w:val="24"/>
          <w:u w:val="single"/>
        </w:rPr>
        <w:t xml:space="preserve">is </w:t>
      </w:r>
      <w:r>
        <w:rPr>
          <w:rFonts w:ascii="Bookman Old Style" w:hAnsi="Bookman Old Style"/>
          <w:i/>
          <w:sz w:val="24"/>
          <w:u w:val="single"/>
        </w:rPr>
        <w:t>pure dogma to others and what</w:t>
      </w:r>
      <w:r>
        <w:rPr>
          <w:rFonts w:ascii="Bookman Old Style" w:hAnsi="Bookman Old Style"/>
          <w:i/>
          <w:sz w:val="24"/>
        </w:rPr>
        <w:t xml:space="preserve"> </w:t>
      </w:r>
      <w:r>
        <w:rPr>
          <w:rFonts w:ascii="Bookman Old Style" w:hAnsi="Bookman Old Style"/>
          <w:i/>
          <w:sz w:val="24"/>
          <w:u w:val="single"/>
        </w:rPr>
        <w:t>is religion to others is pure superstition to some others</w:t>
      </w:r>
      <w:r>
        <w:rPr>
          <w:rFonts w:ascii="Bookman Old Style" w:hAnsi="Bookman Old Style"/>
          <w:i/>
          <w:sz w:val="24"/>
        </w:rPr>
        <w:t>…</w:t>
      </w:r>
      <w:r>
        <w:rPr>
          <w:rFonts w:ascii="Bookman Old Style" w:hAnsi="Bookman Old Style"/>
          <w:i/>
          <w:sz w:val="24"/>
          <w:u w:val="single"/>
        </w:rPr>
        <w:t>But my</w:t>
      </w:r>
      <w:r>
        <w:rPr>
          <w:rFonts w:ascii="Bookman Old Style" w:hAnsi="Bookman Old Style"/>
          <w:i/>
          <w:sz w:val="24"/>
        </w:rPr>
        <w:t xml:space="preserve"> </w:t>
      </w:r>
      <w:r>
        <w:rPr>
          <w:rFonts w:ascii="Bookman Old Style" w:hAnsi="Bookman Old Style"/>
          <w:i/>
          <w:sz w:val="24"/>
          <w:u w:val="single"/>
        </w:rPr>
        <w:t xml:space="preserve">views about religion, </w:t>
      </w:r>
      <w:r>
        <w:rPr>
          <w:rFonts w:ascii="Bookman Old Style" w:hAnsi="Bookman Old Style"/>
          <w:i/>
          <w:spacing w:val="-3"/>
          <w:sz w:val="24"/>
          <w:u w:val="single"/>
        </w:rPr>
        <w:t xml:space="preserve">my </w:t>
      </w:r>
      <w:r>
        <w:rPr>
          <w:rFonts w:ascii="Bookman Old Style" w:hAnsi="Bookman Old Style"/>
          <w:i/>
          <w:sz w:val="24"/>
          <w:u w:val="single"/>
        </w:rPr>
        <w:t xml:space="preserve">prejudices and </w:t>
      </w:r>
      <w:r>
        <w:rPr>
          <w:rFonts w:ascii="Bookman Old Style" w:hAnsi="Bookman Old Style"/>
          <w:i/>
          <w:spacing w:val="-3"/>
          <w:sz w:val="24"/>
          <w:u w:val="single"/>
        </w:rPr>
        <w:t xml:space="preserve">my </w:t>
      </w:r>
      <w:r>
        <w:rPr>
          <w:rFonts w:ascii="Bookman Old Style" w:hAnsi="Bookman Old Style"/>
          <w:i/>
          <w:sz w:val="24"/>
          <w:u w:val="single"/>
        </w:rPr>
        <w:t xml:space="preserve">predilections,  </w:t>
      </w:r>
      <w:r>
        <w:rPr>
          <w:rFonts w:ascii="Bookman Old Style" w:hAnsi="Bookman Old Style"/>
          <w:i/>
          <w:spacing w:val="-4"/>
          <w:sz w:val="24"/>
          <w:u w:val="single"/>
        </w:rPr>
        <w:t>if</w:t>
      </w:r>
      <w:r>
        <w:rPr>
          <w:rFonts w:ascii="Bookman Old Style" w:hAnsi="Bookman Old Style"/>
          <w:i/>
          <w:spacing w:val="-4"/>
          <w:sz w:val="24"/>
        </w:rPr>
        <w:t xml:space="preserve"> </w:t>
      </w:r>
      <w:r>
        <w:rPr>
          <w:rFonts w:ascii="Bookman Old Style" w:hAnsi="Bookman Old Style"/>
          <w:i/>
          <w:sz w:val="24"/>
          <w:u w:val="single"/>
        </w:rPr>
        <w:t>they be such, are entirely irrelevant. So are the views of the</w:t>
      </w:r>
      <w:r>
        <w:rPr>
          <w:rFonts w:ascii="Bookman Old Style" w:hAnsi="Bookman Old Style"/>
          <w:i/>
          <w:sz w:val="24"/>
        </w:rPr>
        <w:t xml:space="preserve"> </w:t>
      </w:r>
      <w:r>
        <w:rPr>
          <w:rFonts w:ascii="Bookman Old Style" w:hAnsi="Bookman Old Style"/>
          <w:i/>
          <w:sz w:val="24"/>
          <w:u w:val="single"/>
        </w:rPr>
        <w:t>credulous, the fanatic, the bigot and the zealot. So also the</w:t>
      </w:r>
      <w:r>
        <w:rPr>
          <w:rFonts w:ascii="Bookman Old Style" w:hAnsi="Bookman Old Style"/>
          <w:i/>
          <w:sz w:val="24"/>
        </w:rPr>
        <w:t xml:space="preserve"> </w:t>
      </w:r>
      <w:r>
        <w:rPr>
          <w:rFonts w:ascii="Bookman Old Style" w:hAnsi="Bookman Old Style"/>
          <w:i/>
          <w:sz w:val="24"/>
          <w:u w:val="single"/>
        </w:rPr>
        <w:t>views of the faithful, the devout, the acharya, the moulvi, the</w:t>
      </w:r>
      <w:r>
        <w:rPr>
          <w:rFonts w:ascii="Bookman Old Style" w:hAnsi="Bookman Old Style"/>
          <w:i/>
          <w:sz w:val="24"/>
        </w:rPr>
        <w:t xml:space="preserve"> </w:t>
      </w:r>
      <w:r>
        <w:rPr>
          <w:rFonts w:ascii="Bookman Old Style" w:hAnsi="Bookman Old Style"/>
          <w:i/>
          <w:sz w:val="24"/>
          <w:u w:val="single"/>
        </w:rPr>
        <w:t xml:space="preserve">padre and the bhikhshu each of whom may claim his </w:t>
      </w:r>
      <w:r>
        <w:rPr>
          <w:rFonts w:ascii="Bookman Old Style" w:hAnsi="Bookman Old Style"/>
          <w:i/>
          <w:spacing w:val="-3"/>
          <w:sz w:val="24"/>
          <w:u w:val="single"/>
        </w:rPr>
        <w:t xml:space="preserve">as </w:t>
      </w:r>
      <w:r>
        <w:rPr>
          <w:rFonts w:ascii="Bookman Old Style" w:hAnsi="Bookman Old Style"/>
          <w:i/>
          <w:sz w:val="24"/>
          <w:u w:val="single"/>
        </w:rPr>
        <w:t>the</w:t>
      </w:r>
      <w:r>
        <w:rPr>
          <w:rFonts w:ascii="Bookman Old Style" w:hAnsi="Bookman Old Style"/>
          <w:i/>
          <w:sz w:val="24"/>
        </w:rPr>
        <w:t xml:space="preserve"> </w:t>
      </w:r>
      <w:r>
        <w:rPr>
          <w:rFonts w:ascii="Bookman Old Style" w:hAnsi="Bookman Old Style"/>
          <w:i/>
          <w:sz w:val="24"/>
          <w:u w:val="single"/>
        </w:rPr>
        <w:t xml:space="preserve">only true </w:t>
      </w:r>
      <w:r>
        <w:rPr>
          <w:rFonts w:ascii="Bookman Old Style" w:hAnsi="Bookman Old Style"/>
          <w:i/>
          <w:sz w:val="24"/>
          <w:u w:val="single"/>
        </w:rPr>
        <w:t xml:space="preserve">or revealed religion. </w:t>
      </w:r>
      <w:r>
        <w:rPr>
          <w:rFonts w:ascii="Bookman Old Style" w:hAnsi="Bookman Old Style"/>
          <w:i/>
          <w:sz w:val="24"/>
        </w:rPr>
        <w:t xml:space="preserve">For our purpose, </w:t>
      </w:r>
      <w:r>
        <w:rPr>
          <w:rFonts w:ascii="Bookman Old Style" w:hAnsi="Bookman Old Style"/>
          <w:i/>
          <w:spacing w:val="-5"/>
          <w:sz w:val="24"/>
        </w:rPr>
        <w:t xml:space="preserve">we </w:t>
      </w:r>
      <w:r>
        <w:rPr>
          <w:rFonts w:ascii="Bookman Old Style" w:hAnsi="Bookman Old Style"/>
          <w:i/>
          <w:sz w:val="24"/>
        </w:rPr>
        <w:t xml:space="preserve">are concerned </w:t>
      </w:r>
      <w:r>
        <w:rPr>
          <w:rFonts w:ascii="Bookman Old Style" w:hAnsi="Bookman Old Style"/>
          <w:i/>
          <w:spacing w:val="-3"/>
          <w:sz w:val="24"/>
        </w:rPr>
        <w:t xml:space="preserve">with </w:t>
      </w:r>
      <w:r>
        <w:rPr>
          <w:rFonts w:ascii="Bookman Old Style" w:hAnsi="Bookman Old Style"/>
          <w:i/>
          <w:sz w:val="24"/>
        </w:rPr>
        <w:t xml:space="preserve">what the people of the Socialist, Secular, Democratic Republic of India, </w:t>
      </w:r>
      <w:r>
        <w:rPr>
          <w:rFonts w:ascii="Bookman Old Style" w:hAnsi="Bookman Old Style"/>
          <w:i/>
          <w:spacing w:val="-3"/>
          <w:sz w:val="24"/>
        </w:rPr>
        <w:t xml:space="preserve">who </w:t>
      </w:r>
      <w:r>
        <w:rPr>
          <w:rFonts w:ascii="Bookman Old Style" w:hAnsi="Bookman Old Style"/>
          <w:i/>
          <w:sz w:val="24"/>
        </w:rPr>
        <w:t>have given each of its citizens freedom of conscience and the right to freely profess, practise and propagate religion</w:t>
      </w:r>
      <w:r>
        <w:rPr>
          <w:rFonts w:ascii="Bookman Old Style" w:hAnsi="Bookman Old Style"/>
          <w:i/>
          <w:sz w:val="24"/>
        </w:rPr>
        <w:t xml:space="preserve"> and </w:t>
      </w:r>
      <w:r>
        <w:rPr>
          <w:rFonts w:ascii="Bookman Old Style" w:hAnsi="Bookman Old Style"/>
          <w:i/>
          <w:spacing w:val="-2"/>
          <w:sz w:val="24"/>
        </w:rPr>
        <w:t xml:space="preserve">who </w:t>
      </w:r>
      <w:r>
        <w:rPr>
          <w:rFonts w:ascii="Bookman Old Style" w:hAnsi="Bookman Old Style"/>
          <w:i/>
          <w:sz w:val="24"/>
        </w:rPr>
        <w:t xml:space="preserve">have given every religious denomination the right to freely manage its religious affairs, mean by the expressions religion and religious denomination. We are concerned </w:t>
      </w:r>
      <w:r>
        <w:rPr>
          <w:rFonts w:ascii="Bookman Old Style" w:hAnsi="Bookman Old Style"/>
          <w:i/>
          <w:spacing w:val="-3"/>
          <w:sz w:val="24"/>
        </w:rPr>
        <w:t xml:space="preserve">with </w:t>
      </w:r>
      <w:r>
        <w:rPr>
          <w:rFonts w:ascii="Bookman Old Style" w:hAnsi="Bookman Old Style"/>
          <w:i/>
          <w:sz w:val="24"/>
        </w:rPr>
        <w:t xml:space="preserve">what these expressions are designed to mean </w:t>
      </w:r>
      <w:r>
        <w:rPr>
          <w:rFonts w:ascii="Bookman Old Style" w:hAnsi="Bookman Old Style"/>
          <w:i/>
          <w:spacing w:val="-3"/>
          <w:sz w:val="24"/>
        </w:rPr>
        <w:t xml:space="preserve">in </w:t>
      </w:r>
      <w:r>
        <w:rPr>
          <w:rFonts w:ascii="Bookman Old Style" w:hAnsi="Bookman Old Style"/>
          <w:i/>
          <w:sz w:val="24"/>
        </w:rPr>
        <w:t>Articles 25 and 26 of the C</w:t>
      </w:r>
      <w:r>
        <w:rPr>
          <w:rFonts w:ascii="Bookman Old Style" w:hAnsi="Bookman Old Style"/>
          <w:i/>
          <w:sz w:val="24"/>
        </w:rPr>
        <w:t xml:space="preserve">onstitution. </w:t>
      </w:r>
      <w:r>
        <w:rPr>
          <w:rFonts w:ascii="Bookman Old Style" w:hAnsi="Bookman Old Style"/>
          <w:i/>
          <w:sz w:val="24"/>
          <w:u w:val="single"/>
        </w:rPr>
        <w:t>Any freedom or right involving the conscience must naturally</w:t>
      </w:r>
      <w:r>
        <w:rPr>
          <w:rFonts w:ascii="Bookman Old Style" w:hAnsi="Bookman Old Style"/>
          <w:i/>
          <w:sz w:val="24"/>
        </w:rPr>
        <w:t xml:space="preserve"> </w:t>
      </w:r>
      <w:r>
        <w:rPr>
          <w:rFonts w:ascii="Bookman Old Style" w:hAnsi="Bookman Old Style"/>
          <w:i/>
          <w:sz w:val="24"/>
          <w:u w:val="single"/>
        </w:rPr>
        <w:t xml:space="preserve">receive a </w:t>
      </w:r>
      <w:r>
        <w:rPr>
          <w:rFonts w:ascii="Bookman Old Style" w:hAnsi="Bookman Old Style"/>
          <w:i/>
          <w:spacing w:val="-3"/>
          <w:sz w:val="24"/>
          <w:u w:val="single"/>
        </w:rPr>
        <w:t xml:space="preserve">wide </w:t>
      </w:r>
      <w:r>
        <w:rPr>
          <w:rFonts w:ascii="Bookman Old Style" w:hAnsi="Bookman Old Style"/>
          <w:i/>
          <w:sz w:val="24"/>
          <w:u w:val="single"/>
        </w:rPr>
        <w:t>interpretation and the expression religion and</w:t>
      </w:r>
      <w:r>
        <w:rPr>
          <w:rFonts w:ascii="Bookman Old Style" w:hAnsi="Bookman Old Style"/>
          <w:i/>
          <w:sz w:val="24"/>
        </w:rPr>
        <w:t xml:space="preserve"> </w:t>
      </w:r>
      <w:r>
        <w:rPr>
          <w:rFonts w:ascii="Bookman Old Style" w:hAnsi="Bookman Old Style"/>
          <w:i/>
          <w:sz w:val="24"/>
          <w:u w:val="single"/>
        </w:rPr>
        <w:t>religious denomination must therefore, be interpreted in no</w:t>
      </w:r>
      <w:r>
        <w:rPr>
          <w:rFonts w:ascii="Bookman Old Style" w:hAnsi="Bookman Old Style"/>
          <w:i/>
          <w:sz w:val="24"/>
        </w:rPr>
        <w:t xml:space="preserve"> </w:t>
      </w:r>
      <w:r>
        <w:rPr>
          <w:rFonts w:ascii="Bookman Old Style" w:hAnsi="Bookman Old Style"/>
          <w:i/>
          <w:sz w:val="24"/>
          <w:u w:val="single"/>
        </w:rPr>
        <w:t>narrow, stifling sense but in a liberal, expansive</w:t>
      </w:r>
      <w:r>
        <w:rPr>
          <w:rFonts w:ascii="Bookman Old Style" w:hAnsi="Bookman Old Style"/>
          <w:i/>
          <w:spacing w:val="-4"/>
          <w:sz w:val="24"/>
          <w:u w:val="single"/>
        </w:rPr>
        <w:t xml:space="preserve"> </w:t>
      </w:r>
      <w:r>
        <w:rPr>
          <w:rFonts w:ascii="Bookman Old Style" w:hAnsi="Bookman Old Style"/>
          <w:i/>
          <w:sz w:val="24"/>
          <w:u w:val="single"/>
        </w:rPr>
        <w:t>way</w:t>
      </w:r>
      <w:r>
        <w:rPr>
          <w:rFonts w:ascii="Bookman Old Style" w:hAnsi="Bookman Old Style"/>
          <w:i/>
          <w:sz w:val="24"/>
        </w:rPr>
        <w:t>.</w:t>
      </w:r>
      <w:r>
        <w:rPr>
          <w:rFonts w:ascii="Bookman Old Style" w:hAnsi="Bookman Old Style"/>
          <w:sz w:val="24"/>
        </w:rPr>
        <w:t>”</w:t>
      </w:r>
    </w:p>
    <w:p w:rsidR="003B2FC0" w:rsidRDefault="00052A49">
      <w:pPr>
        <w:ind w:left="2846"/>
        <w:rPr>
          <w:rFonts w:ascii="Bookman Old Style"/>
          <w:sz w:val="24"/>
        </w:rPr>
      </w:pPr>
      <w:r>
        <w:rPr>
          <w:rFonts w:ascii="Bookman Old Style"/>
          <w:sz w:val="24"/>
        </w:rPr>
        <w:t>(Em</w:t>
      </w:r>
      <w:r>
        <w:rPr>
          <w:rFonts w:ascii="Bookman Old Style"/>
          <w:sz w:val="24"/>
        </w:rPr>
        <w:t>phasis supplied and internal quotations omitted)</w:t>
      </w:r>
    </w:p>
    <w:p w:rsidR="003B2FC0" w:rsidRDefault="003B2FC0">
      <w:pPr>
        <w:pStyle w:val="BodyText"/>
        <w:spacing w:before="1"/>
        <w:rPr>
          <w:sz w:val="24"/>
        </w:rPr>
      </w:pPr>
    </w:p>
    <w:p w:rsidR="003B2FC0" w:rsidRDefault="00052A49">
      <w:pPr>
        <w:pStyle w:val="ListParagraph"/>
        <w:numPr>
          <w:ilvl w:val="1"/>
          <w:numId w:val="8"/>
        </w:numPr>
        <w:tabs>
          <w:tab w:val="left" w:pos="1253"/>
        </w:tabs>
        <w:spacing w:before="1" w:line="480" w:lineRule="auto"/>
        <w:ind w:right="456" w:hanging="710"/>
        <w:rPr>
          <w:rFonts w:ascii="Bookman Old Style"/>
          <w:sz w:val="24"/>
        </w:rPr>
      </w:pPr>
      <w:r>
        <w:rPr>
          <w:rFonts w:ascii="Bookman Old Style"/>
          <w:sz w:val="24"/>
        </w:rPr>
        <w:t xml:space="preserve">The Constitution lays emphasis on social justice and equality. It has specifically provided for social welfare and reform, and throwing open of Hindu religious institutions of a public character to all classes and sections of Hindus through the process of </w:t>
      </w:r>
      <w:r>
        <w:rPr>
          <w:rFonts w:ascii="Bookman Old Style"/>
          <w:sz w:val="24"/>
        </w:rPr>
        <w:t>legislation in Article 25(2)(b) of the Constitution. Article 25(2)(b) is an enabling provision which permits the State to redress social inequalities and injustices by framing</w:t>
      </w:r>
      <w:r>
        <w:rPr>
          <w:rFonts w:ascii="Bookman Old Style"/>
          <w:spacing w:val="-2"/>
          <w:sz w:val="24"/>
        </w:rPr>
        <w:t xml:space="preserve"> </w:t>
      </w:r>
      <w:r>
        <w:rPr>
          <w:rFonts w:ascii="Bookman Old Style"/>
          <w:sz w:val="24"/>
        </w:rPr>
        <w:t>legislation.</w:t>
      </w:r>
    </w:p>
    <w:p w:rsidR="003B2FC0" w:rsidRDefault="00052A49">
      <w:pPr>
        <w:spacing w:line="480" w:lineRule="auto"/>
        <w:ind w:left="1252" w:right="554" w:firstLine="424"/>
        <w:rPr>
          <w:rFonts w:ascii="Bookman Old Style"/>
          <w:sz w:val="24"/>
        </w:rPr>
      </w:pPr>
      <w:r>
        <w:rPr>
          <w:rFonts w:ascii="Bookman Old Style"/>
          <w:sz w:val="24"/>
        </w:rPr>
        <w:t>It is therefore difficult to accept the contention that Article 25(2)(b) is capable of application without reference to an</w:t>
      </w:r>
      <w:r>
        <w:rPr>
          <w:rFonts w:ascii="Bookman Old Style"/>
          <w:spacing w:val="53"/>
          <w:sz w:val="24"/>
        </w:rPr>
        <w:t xml:space="preserve"> </w:t>
      </w:r>
      <w:r>
        <w:rPr>
          <w:rFonts w:ascii="Bookman Old Style"/>
          <w:sz w:val="24"/>
        </w:rPr>
        <w:t>actual</w:t>
      </w:r>
    </w:p>
    <w:p w:rsidR="003B2FC0" w:rsidRDefault="003B2FC0">
      <w:pPr>
        <w:spacing w:line="480" w:lineRule="auto"/>
        <w:rPr>
          <w:rFonts w:ascii="Bookman Old Style"/>
          <w:sz w:val="24"/>
        </w:rPr>
        <w:sectPr w:rsidR="003B2FC0">
          <w:headerReference w:type="default" r:id="rId475"/>
          <w:footerReference w:type="default" r:id="rId476"/>
          <w:pgSz w:w="11910" w:h="16840"/>
          <w:pgMar w:top="1340" w:right="980" w:bottom="1220" w:left="1040" w:header="0" w:footer="1033" w:gutter="0"/>
          <w:pgNumType w:start="41"/>
          <w:cols w:space="720"/>
        </w:sectPr>
      </w:pPr>
    </w:p>
    <w:p w:rsidR="003B2FC0" w:rsidRDefault="00052A49">
      <w:pPr>
        <w:spacing w:before="83" w:line="480" w:lineRule="auto"/>
        <w:ind w:left="1252" w:right="554"/>
        <w:rPr>
          <w:rFonts w:ascii="Bookman Old Style"/>
          <w:sz w:val="24"/>
        </w:rPr>
      </w:pPr>
      <w:r>
        <w:rPr>
          <w:rFonts w:ascii="Bookman Old Style"/>
          <w:sz w:val="24"/>
        </w:rPr>
        <w:t>legislation. What is permitted by Article 25(2) is State made law on the grounds sp</w:t>
      </w:r>
      <w:r>
        <w:rPr>
          <w:rFonts w:ascii="Bookman Old Style"/>
          <w:sz w:val="24"/>
        </w:rPr>
        <w:t>ecified therein, and not judicial intervention.</w:t>
      </w:r>
    </w:p>
    <w:p w:rsidR="003B2FC0" w:rsidRDefault="00052A49">
      <w:pPr>
        <w:pStyle w:val="ListParagraph"/>
        <w:numPr>
          <w:ilvl w:val="1"/>
          <w:numId w:val="8"/>
        </w:numPr>
        <w:tabs>
          <w:tab w:val="left" w:pos="1253"/>
        </w:tabs>
        <w:spacing w:before="2" w:line="480" w:lineRule="auto"/>
        <w:ind w:right="453" w:hanging="710"/>
        <w:rPr>
          <w:rFonts w:ascii="Bookman Old Style"/>
          <w:sz w:val="24"/>
        </w:rPr>
      </w:pPr>
      <w:r>
        <w:rPr>
          <w:rFonts w:ascii="Bookman Old Style"/>
          <w:sz w:val="24"/>
        </w:rPr>
        <w:t xml:space="preserve">In the present case, the 1965 Act is a legislation framed in  pursuance of Article 25(2)(b) which provides for the throwing open of Hindu places of public worship. The </w:t>
      </w:r>
      <w:r>
        <w:rPr>
          <w:rFonts w:ascii="Bookman Old Style"/>
          <w:i/>
          <w:sz w:val="24"/>
        </w:rPr>
        <w:t xml:space="preserve">proviso </w:t>
      </w:r>
      <w:r>
        <w:rPr>
          <w:rFonts w:ascii="Bookman Old Style"/>
          <w:sz w:val="24"/>
        </w:rPr>
        <w:t>to Section 3 of the 1965 Act car</w:t>
      </w:r>
      <w:r>
        <w:rPr>
          <w:rFonts w:ascii="Bookman Old Style"/>
          <w:sz w:val="24"/>
        </w:rPr>
        <w:t>ves out an exception to the applicability of the general rule contained in Section 3, with respect to religious denominations, or sect(s) thereof, so as to protect their right to manage their religious affairs without outside</w:t>
      </w:r>
      <w:r>
        <w:rPr>
          <w:rFonts w:ascii="Bookman Old Style"/>
          <w:spacing w:val="-1"/>
          <w:sz w:val="24"/>
        </w:rPr>
        <w:t xml:space="preserve"> </w:t>
      </w:r>
      <w:r>
        <w:rPr>
          <w:rFonts w:ascii="Bookman Old Style"/>
          <w:sz w:val="24"/>
        </w:rPr>
        <w:t>interference.</w:t>
      </w:r>
    </w:p>
    <w:p w:rsidR="003B2FC0" w:rsidRDefault="00052A49">
      <w:pPr>
        <w:spacing w:line="480" w:lineRule="auto"/>
        <w:ind w:left="1252" w:right="455" w:firstLine="424"/>
        <w:jc w:val="both"/>
        <w:rPr>
          <w:rFonts w:ascii="Bookman Old Style"/>
          <w:sz w:val="24"/>
        </w:rPr>
      </w:pPr>
      <w:r>
        <w:rPr>
          <w:rFonts w:ascii="Bookman Old Style"/>
          <w:sz w:val="24"/>
        </w:rPr>
        <w:t xml:space="preserve">Rule 3(b) gives </w:t>
      </w:r>
      <w:r>
        <w:rPr>
          <w:rFonts w:ascii="Bookman Old Style"/>
          <w:sz w:val="24"/>
        </w:rPr>
        <w:t xml:space="preserve">effect to the </w:t>
      </w:r>
      <w:r>
        <w:rPr>
          <w:rFonts w:ascii="Bookman Old Style"/>
          <w:i/>
          <w:sz w:val="24"/>
        </w:rPr>
        <w:t xml:space="preserve">proviso </w:t>
      </w:r>
      <w:r>
        <w:rPr>
          <w:rFonts w:ascii="Bookman Old Style"/>
          <w:sz w:val="24"/>
        </w:rPr>
        <w:t>of Section 3 insofar as it makes a provision for restricting the entry of women at such times when they are not by custom or usage allowed to enter of place of public</w:t>
      </w:r>
      <w:r>
        <w:rPr>
          <w:rFonts w:ascii="Bookman Old Style"/>
          <w:spacing w:val="-2"/>
          <w:sz w:val="24"/>
        </w:rPr>
        <w:t xml:space="preserve"> </w:t>
      </w:r>
      <w:r>
        <w:rPr>
          <w:rFonts w:ascii="Bookman Old Style"/>
          <w:sz w:val="24"/>
        </w:rPr>
        <w:t>worship.</w:t>
      </w:r>
    </w:p>
    <w:p w:rsidR="003B2FC0" w:rsidRDefault="00052A49">
      <w:pPr>
        <w:pStyle w:val="ListParagraph"/>
        <w:numPr>
          <w:ilvl w:val="1"/>
          <w:numId w:val="8"/>
        </w:numPr>
        <w:tabs>
          <w:tab w:val="left" w:pos="1253"/>
        </w:tabs>
        <w:spacing w:line="480" w:lineRule="auto"/>
        <w:ind w:right="455" w:hanging="852"/>
        <w:rPr>
          <w:rFonts w:ascii="Bookman Old Style" w:hAnsi="Bookman Old Style"/>
          <w:sz w:val="24"/>
        </w:rPr>
      </w:pPr>
      <w:r>
        <w:rPr>
          <w:rFonts w:ascii="Bookman Old Style" w:hAnsi="Bookman Old Style"/>
          <w:sz w:val="24"/>
        </w:rPr>
        <w:t>The Respondents claim the right to worship in the Sabarima</w:t>
      </w:r>
      <w:r>
        <w:rPr>
          <w:rFonts w:ascii="Bookman Old Style" w:hAnsi="Bookman Old Style"/>
          <w:sz w:val="24"/>
        </w:rPr>
        <w:t>la Temple under Article 25(1) in accordance with their beliefs and practises as per the tenets of their religion. These practises are considered to be essential or integral to that Temple. Any interference with the same would conflict with their right guar</w:t>
      </w:r>
      <w:r>
        <w:rPr>
          <w:rFonts w:ascii="Bookman Old Style" w:hAnsi="Bookman Old Style"/>
          <w:sz w:val="24"/>
        </w:rPr>
        <w:t>anteed by Article 25(1) to worship Lord Ayyappa in the form of a ‘</w:t>
      </w:r>
      <w:r>
        <w:rPr>
          <w:rFonts w:ascii="Bookman Old Style" w:hAnsi="Bookman Old Style"/>
          <w:i/>
          <w:sz w:val="24"/>
        </w:rPr>
        <w:t>Naishtik Brahmachari</w:t>
      </w:r>
      <w:r>
        <w:rPr>
          <w:rFonts w:ascii="Bookman Old Style" w:hAnsi="Bookman Old Style"/>
          <w:sz w:val="24"/>
        </w:rPr>
        <w:t>’.</w:t>
      </w:r>
    </w:p>
    <w:p w:rsidR="003B2FC0" w:rsidRDefault="00052A49">
      <w:pPr>
        <w:pStyle w:val="ListParagraph"/>
        <w:numPr>
          <w:ilvl w:val="1"/>
          <w:numId w:val="8"/>
        </w:numPr>
        <w:tabs>
          <w:tab w:val="left" w:pos="1253"/>
        </w:tabs>
        <w:spacing w:before="1" w:line="480" w:lineRule="auto"/>
        <w:ind w:right="457" w:hanging="852"/>
        <w:rPr>
          <w:rFonts w:ascii="Bookman Old Style"/>
          <w:sz w:val="24"/>
        </w:rPr>
      </w:pPr>
      <w:r>
        <w:rPr>
          <w:rFonts w:ascii="Bookman Old Style"/>
          <w:sz w:val="24"/>
        </w:rPr>
        <w:t>In other jurisdictions also, where State made laws were challenged on grounds of public morality, the Courts have refrained from striking down the same on the ground that it is beyond the ken of  the Courts.</w:t>
      </w:r>
    </w:p>
    <w:p w:rsidR="003B2FC0" w:rsidRDefault="003B2FC0">
      <w:pPr>
        <w:spacing w:line="480" w:lineRule="auto"/>
        <w:jc w:val="both"/>
        <w:rPr>
          <w:rFonts w:ascii="Bookman Old Style"/>
          <w:sz w:val="24"/>
        </w:rPr>
        <w:sectPr w:rsidR="003B2FC0">
          <w:headerReference w:type="default" r:id="rId477"/>
          <w:footerReference w:type="default" r:id="rId478"/>
          <w:pgSz w:w="11910" w:h="16840"/>
          <w:pgMar w:top="1340" w:right="980" w:bottom="1220" w:left="1040" w:header="0" w:footer="1033" w:gutter="0"/>
          <w:pgNumType w:start="42"/>
          <w:cols w:space="720"/>
        </w:sectPr>
      </w:pPr>
    </w:p>
    <w:p w:rsidR="003B2FC0" w:rsidRDefault="00052A49">
      <w:pPr>
        <w:pStyle w:val="ListParagraph"/>
        <w:numPr>
          <w:ilvl w:val="1"/>
          <w:numId w:val="8"/>
        </w:numPr>
        <w:tabs>
          <w:tab w:val="left" w:pos="1253"/>
        </w:tabs>
        <w:spacing w:before="83" w:line="480" w:lineRule="auto"/>
        <w:ind w:right="456" w:hanging="852"/>
        <w:rPr>
          <w:rFonts w:ascii="Bookman Old Style"/>
          <w:sz w:val="24"/>
        </w:rPr>
      </w:pPr>
      <w:r>
        <w:rPr>
          <w:rFonts w:ascii="Bookman Old Style"/>
          <w:sz w:val="24"/>
        </w:rPr>
        <w:t xml:space="preserve">For instance, the U.S. Supreme Court in </w:t>
      </w:r>
      <w:r>
        <w:rPr>
          <w:rFonts w:ascii="Bookman Old Style"/>
          <w:i/>
          <w:sz w:val="24"/>
        </w:rPr>
        <w:t xml:space="preserve">Church </w:t>
      </w:r>
      <w:r>
        <w:rPr>
          <w:rFonts w:ascii="Bookman Old Style"/>
          <w:i/>
          <w:spacing w:val="-3"/>
          <w:sz w:val="24"/>
        </w:rPr>
        <w:t xml:space="preserve">of </w:t>
      </w:r>
      <w:r>
        <w:rPr>
          <w:rFonts w:ascii="Bookman Old Style"/>
          <w:i/>
          <w:sz w:val="24"/>
        </w:rPr>
        <w:t xml:space="preserve">Lukumi Babalu Aye </w:t>
      </w:r>
      <w:r>
        <w:rPr>
          <w:rFonts w:ascii="Bookman Old Style"/>
          <w:sz w:val="24"/>
        </w:rPr>
        <w:t xml:space="preserve">v. </w:t>
      </w:r>
      <w:r>
        <w:rPr>
          <w:rFonts w:ascii="Bookman Old Style"/>
          <w:i/>
          <w:sz w:val="24"/>
        </w:rPr>
        <w:t>City of Hialeah</w:t>
      </w:r>
      <w:r>
        <w:rPr>
          <w:rFonts w:ascii="Bookman Old Style"/>
          <w:sz w:val="24"/>
        </w:rPr>
        <w:t>,</w:t>
      </w:r>
      <w:r>
        <w:rPr>
          <w:rFonts w:ascii="Bookman Old Style"/>
          <w:position w:val="6"/>
          <w:sz w:val="16"/>
        </w:rPr>
        <w:t xml:space="preserve">41 </w:t>
      </w:r>
      <w:r>
        <w:rPr>
          <w:rFonts w:ascii="Bookman Old Style"/>
          <w:sz w:val="24"/>
        </w:rPr>
        <w:t>an animal cruelty law made by the City Council was struck down as being violative of the Free Exercise clause. The Court</w:t>
      </w:r>
      <w:r>
        <w:rPr>
          <w:rFonts w:ascii="Bookman Old Style"/>
          <w:spacing w:val="-2"/>
          <w:sz w:val="24"/>
        </w:rPr>
        <w:t xml:space="preserve"> </w:t>
      </w:r>
      <w:r>
        <w:rPr>
          <w:rFonts w:ascii="Bookman Old Style"/>
          <w:sz w:val="24"/>
        </w:rPr>
        <w:t>held:</w:t>
      </w:r>
    </w:p>
    <w:p w:rsidR="003B2FC0" w:rsidRDefault="00052A49">
      <w:pPr>
        <w:ind w:left="1677" w:right="833"/>
        <w:jc w:val="both"/>
        <w:rPr>
          <w:rFonts w:ascii="Bookman Old Style" w:hAnsi="Bookman Old Style"/>
          <w:sz w:val="24"/>
        </w:rPr>
      </w:pPr>
      <w:r>
        <w:rPr>
          <w:rFonts w:ascii="Bookman Old Style" w:hAnsi="Bookman Old Style"/>
          <w:sz w:val="24"/>
        </w:rPr>
        <w:t>“</w:t>
      </w:r>
      <w:r>
        <w:rPr>
          <w:rFonts w:ascii="Bookman Old Style" w:hAnsi="Bookman Old Style"/>
          <w:i/>
          <w:sz w:val="24"/>
        </w:rPr>
        <w:t xml:space="preserve">The extent to which the Free Exercise </w:t>
      </w:r>
      <w:r>
        <w:rPr>
          <w:rFonts w:ascii="Bookman Old Style" w:hAnsi="Bookman Old Style"/>
          <w:i/>
          <w:sz w:val="24"/>
        </w:rPr>
        <w:t xml:space="preserve">clause requires </w:t>
      </w:r>
      <w:r>
        <w:rPr>
          <w:rFonts w:ascii="Bookman Old Style" w:hAnsi="Bookman Old Style"/>
          <w:i/>
          <w:sz w:val="24"/>
          <w:u w:val="single"/>
        </w:rPr>
        <w:t>Government to refrain from impeding religious exercise defines</w:t>
      </w:r>
      <w:r>
        <w:rPr>
          <w:rFonts w:ascii="Bookman Old Style" w:hAnsi="Bookman Old Style"/>
          <w:i/>
          <w:sz w:val="24"/>
        </w:rPr>
        <w:t xml:space="preserve"> </w:t>
      </w:r>
      <w:r>
        <w:rPr>
          <w:rFonts w:ascii="Bookman Old Style" w:hAnsi="Bookman Old Style"/>
          <w:i/>
          <w:sz w:val="24"/>
          <w:u w:val="single"/>
        </w:rPr>
        <w:t>nothing less than the respective relationships in our</w:t>
      </w:r>
      <w:r>
        <w:rPr>
          <w:rFonts w:ascii="Bookman Old Style" w:hAnsi="Bookman Old Style"/>
          <w:i/>
          <w:sz w:val="24"/>
        </w:rPr>
        <w:t xml:space="preserve"> </w:t>
      </w:r>
      <w:r>
        <w:rPr>
          <w:rFonts w:ascii="Bookman Old Style" w:hAnsi="Bookman Old Style"/>
          <w:i/>
          <w:sz w:val="24"/>
          <w:u w:val="single"/>
        </w:rPr>
        <w:t xml:space="preserve">Constitutional democracy of the individual </w:t>
      </w:r>
      <w:r>
        <w:rPr>
          <w:rFonts w:ascii="Bookman Old Style" w:hAnsi="Bookman Old Style"/>
          <w:i/>
          <w:spacing w:val="-3"/>
          <w:sz w:val="24"/>
          <w:u w:val="single"/>
        </w:rPr>
        <w:t xml:space="preserve">to </w:t>
      </w:r>
      <w:r>
        <w:rPr>
          <w:rFonts w:ascii="Bookman Old Style" w:hAnsi="Bookman Old Style"/>
          <w:i/>
          <w:sz w:val="24"/>
          <w:u w:val="single"/>
        </w:rPr>
        <w:t>Government, and</w:t>
      </w:r>
      <w:r>
        <w:rPr>
          <w:rFonts w:ascii="Bookman Old Style" w:hAnsi="Bookman Old Style"/>
          <w:i/>
          <w:sz w:val="24"/>
        </w:rPr>
        <w:t xml:space="preserve"> </w:t>
      </w:r>
      <w:r>
        <w:rPr>
          <w:rFonts w:ascii="Bookman Old Style" w:hAnsi="Bookman Old Style"/>
          <w:i/>
          <w:sz w:val="24"/>
          <w:u w:val="single"/>
        </w:rPr>
        <w:t>to God</w:t>
      </w:r>
      <w:r>
        <w:rPr>
          <w:rFonts w:ascii="Bookman Old Style" w:hAnsi="Bookman Old Style"/>
          <w:i/>
          <w:sz w:val="24"/>
        </w:rPr>
        <w:t>. ‘ Neutral, generally applicable ’ laws, drafted as th</w:t>
      </w:r>
      <w:r>
        <w:rPr>
          <w:rFonts w:ascii="Bookman Old Style" w:hAnsi="Bookman Old Style"/>
          <w:i/>
          <w:sz w:val="24"/>
        </w:rPr>
        <w:t xml:space="preserve">ey are </w:t>
      </w:r>
      <w:r>
        <w:rPr>
          <w:rFonts w:ascii="Bookman Old Style" w:hAnsi="Bookman Old Style"/>
          <w:i/>
          <w:spacing w:val="2"/>
          <w:sz w:val="24"/>
        </w:rPr>
        <w:t xml:space="preserve">from </w:t>
      </w:r>
      <w:r>
        <w:rPr>
          <w:rFonts w:ascii="Bookman Old Style" w:hAnsi="Bookman Old Style"/>
          <w:i/>
          <w:sz w:val="24"/>
        </w:rPr>
        <w:t>the perspective of the non-adherent, have the unavoidable potential of putting the believer to a choice  between God and Government. Our cases now present competing answers to the question when Government, while pursuing secular ends may compel</w:t>
      </w:r>
      <w:r>
        <w:rPr>
          <w:rFonts w:ascii="Bookman Old Style" w:hAnsi="Bookman Old Style"/>
          <w:i/>
          <w:sz w:val="24"/>
        </w:rPr>
        <w:t xml:space="preserve"> disobedience to what one believes religion</w:t>
      </w:r>
      <w:r>
        <w:rPr>
          <w:rFonts w:ascii="Bookman Old Style" w:hAnsi="Bookman Old Style"/>
          <w:i/>
          <w:spacing w:val="-1"/>
          <w:sz w:val="24"/>
        </w:rPr>
        <w:t xml:space="preserve"> </w:t>
      </w:r>
      <w:r>
        <w:rPr>
          <w:rFonts w:ascii="Bookman Old Style" w:hAnsi="Bookman Old Style"/>
          <w:i/>
          <w:sz w:val="24"/>
        </w:rPr>
        <w:t>commands.</w:t>
      </w:r>
      <w:r>
        <w:rPr>
          <w:rFonts w:ascii="Bookman Old Style" w:hAnsi="Bookman Old Style"/>
          <w:sz w:val="24"/>
        </w:rPr>
        <w:t>”</w:t>
      </w:r>
    </w:p>
    <w:p w:rsidR="003B2FC0" w:rsidRDefault="00052A49">
      <w:pPr>
        <w:spacing w:line="281" w:lineRule="exact"/>
        <w:ind w:left="6658"/>
        <w:rPr>
          <w:rFonts w:ascii="Bookman Old Style"/>
          <w:sz w:val="24"/>
        </w:rPr>
      </w:pPr>
      <w:r>
        <w:rPr>
          <w:rFonts w:ascii="Bookman Old Style"/>
          <w:sz w:val="24"/>
        </w:rPr>
        <w:t>(Emphasis supplied)</w:t>
      </w:r>
    </w:p>
    <w:p w:rsidR="003B2FC0" w:rsidRDefault="003B2FC0">
      <w:pPr>
        <w:pStyle w:val="BodyText"/>
        <w:rPr>
          <w:sz w:val="24"/>
        </w:rPr>
      </w:pPr>
    </w:p>
    <w:p w:rsidR="003B2FC0" w:rsidRDefault="00052A49">
      <w:pPr>
        <w:pStyle w:val="ListParagraph"/>
        <w:numPr>
          <w:ilvl w:val="1"/>
          <w:numId w:val="8"/>
        </w:numPr>
        <w:tabs>
          <w:tab w:val="left" w:pos="1253"/>
        </w:tabs>
        <w:spacing w:line="480" w:lineRule="auto"/>
        <w:ind w:right="455" w:hanging="852"/>
        <w:rPr>
          <w:rFonts w:ascii="Bookman Old Style" w:hAnsi="Bookman Old Style"/>
          <w:sz w:val="24"/>
        </w:rPr>
      </w:pPr>
      <w:r>
        <w:rPr>
          <w:rFonts w:ascii="Bookman Old Style" w:hAnsi="Bookman Old Style"/>
          <w:sz w:val="24"/>
        </w:rPr>
        <w:t>Judicial review of religious practises ought not to be undertaken, as the Court cannot impose its morality or rationality with respect to the form of worship of a deity. Doing so w</w:t>
      </w:r>
      <w:r>
        <w:rPr>
          <w:rFonts w:ascii="Bookman Old Style" w:hAnsi="Bookman Old Style"/>
          <w:sz w:val="24"/>
        </w:rPr>
        <w:t>ould negate the freedom to practise one’s religion according to one’s faith and beliefs. It would amount to rationalising religion, faith and beliefs, which is outside the ken of</w:t>
      </w:r>
      <w:r>
        <w:rPr>
          <w:rFonts w:ascii="Bookman Old Style" w:hAnsi="Bookman Old Style"/>
          <w:spacing w:val="-2"/>
          <w:sz w:val="24"/>
        </w:rPr>
        <w:t xml:space="preserve"> </w:t>
      </w:r>
      <w:r>
        <w:rPr>
          <w:rFonts w:ascii="Bookman Old Style" w:hAnsi="Bookman Old Style"/>
          <w:sz w:val="24"/>
        </w:rPr>
        <w:t>Courts.</w:t>
      </w:r>
    </w:p>
    <w:p w:rsidR="003B2FC0" w:rsidRDefault="003B2FC0">
      <w:pPr>
        <w:pStyle w:val="BodyText"/>
      </w:pPr>
    </w:p>
    <w:p w:rsidR="003B2FC0" w:rsidRDefault="00052A49">
      <w:pPr>
        <w:pStyle w:val="ListParagraph"/>
        <w:numPr>
          <w:ilvl w:val="0"/>
          <w:numId w:val="13"/>
        </w:numPr>
        <w:tabs>
          <w:tab w:val="left" w:pos="543"/>
        </w:tabs>
        <w:spacing w:before="238"/>
        <w:ind w:hanging="426"/>
        <w:jc w:val="left"/>
        <w:rPr>
          <w:rFonts w:ascii="Bookman Old Style"/>
          <w:sz w:val="19"/>
        </w:rPr>
      </w:pPr>
      <w:r>
        <w:rPr>
          <w:rFonts w:ascii="Bookman Old Style"/>
          <w:sz w:val="24"/>
          <w:u w:val="single"/>
        </w:rPr>
        <w:t>C</w:t>
      </w:r>
      <w:r>
        <w:rPr>
          <w:rFonts w:ascii="Bookman Old Style"/>
          <w:sz w:val="19"/>
          <w:u w:val="single"/>
        </w:rPr>
        <w:t xml:space="preserve">ONSTITUTIONAL </w:t>
      </w:r>
      <w:r>
        <w:rPr>
          <w:rFonts w:ascii="Bookman Old Style"/>
          <w:sz w:val="24"/>
          <w:u w:val="single"/>
        </w:rPr>
        <w:t>M</w:t>
      </w:r>
      <w:r>
        <w:rPr>
          <w:rFonts w:ascii="Bookman Old Style"/>
          <w:sz w:val="19"/>
          <w:u w:val="single"/>
        </w:rPr>
        <w:t xml:space="preserve">ORALITY IN </w:t>
      </w:r>
      <w:r>
        <w:rPr>
          <w:rFonts w:ascii="Bookman Old Style"/>
          <w:sz w:val="24"/>
          <w:u w:val="single"/>
        </w:rPr>
        <w:t>M</w:t>
      </w:r>
      <w:r>
        <w:rPr>
          <w:rFonts w:ascii="Bookman Old Style"/>
          <w:sz w:val="19"/>
          <w:u w:val="single"/>
        </w:rPr>
        <w:t xml:space="preserve">ATTERS OF </w:t>
      </w:r>
      <w:r>
        <w:rPr>
          <w:rFonts w:ascii="Bookman Old Style"/>
          <w:sz w:val="24"/>
          <w:u w:val="single"/>
        </w:rPr>
        <w:t>R</w:t>
      </w:r>
      <w:r>
        <w:rPr>
          <w:rFonts w:ascii="Bookman Old Style"/>
          <w:sz w:val="19"/>
          <w:u w:val="single"/>
        </w:rPr>
        <w:t xml:space="preserve">ELIGION IN A </w:t>
      </w:r>
      <w:r>
        <w:rPr>
          <w:rFonts w:ascii="Bookman Old Style"/>
          <w:sz w:val="24"/>
          <w:u w:val="single"/>
        </w:rPr>
        <w:t>S</w:t>
      </w:r>
      <w:r>
        <w:rPr>
          <w:rFonts w:ascii="Bookman Old Style"/>
          <w:sz w:val="19"/>
          <w:u w:val="single"/>
        </w:rPr>
        <w:t>ECULAR</w:t>
      </w:r>
      <w:r>
        <w:rPr>
          <w:rFonts w:ascii="Bookman Old Style"/>
          <w:spacing w:val="-10"/>
          <w:sz w:val="19"/>
          <w:u w:val="single"/>
        </w:rPr>
        <w:t xml:space="preserve"> </w:t>
      </w:r>
      <w:r>
        <w:rPr>
          <w:rFonts w:ascii="Bookman Old Style"/>
          <w:sz w:val="24"/>
          <w:u w:val="single"/>
        </w:rPr>
        <w:t>P</w:t>
      </w:r>
      <w:r>
        <w:rPr>
          <w:rFonts w:ascii="Bookman Old Style"/>
          <w:sz w:val="19"/>
          <w:u w:val="single"/>
        </w:rPr>
        <w:t>OLITY</w:t>
      </w:r>
    </w:p>
    <w:p w:rsidR="003B2FC0" w:rsidRDefault="003B2FC0">
      <w:pPr>
        <w:pStyle w:val="BodyText"/>
        <w:spacing w:before="6"/>
        <w:rPr>
          <w:sz w:val="15"/>
        </w:rPr>
      </w:pPr>
    </w:p>
    <w:p w:rsidR="003B2FC0" w:rsidRDefault="00052A49">
      <w:pPr>
        <w:pStyle w:val="ListParagraph"/>
        <w:numPr>
          <w:ilvl w:val="1"/>
          <w:numId w:val="7"/>
        </w:numPr>
        <w:tabs>
          <w:tab w:val="left" w:pos="1253"/>
        </w:tabs>
        <w:spacing w:before="100" w:line="480" w:lineRule="auto"/>
        <w:ind w:right="455"/>
        <w:rPr>
          <w:rFonts w:ascii="Bookman Old Style"/>
          <w:sz w:val="24"/>
        </w:rPr>
      </w:pPr>
      <w:r>
        <w:rPr>
          <w:rFonts w:ascii="Bookman Old Style"/>
          <w:sz w:val="24"/>
        </w:rPr>
        <w:t>The Petitioners have contended that the practise of restricting women of a particular age group runs counter to the underlying theme of equality and non-discrimination, which is contrary to Constitutional Morality. Rule 3(b) of the 1965 Rules has been chal</w:t>
      </w:r>
      <w:r>
        <w:rPr>
          <w:rFonts w:ascii="Bookman Old Style"/>
          <w:sz w:val="24"/>
        </w:rPr>
        <w:t>lenged as being violative of Constitutional</w:t>
      </w:r>
      <w:r>
        <w:rPr>
          <w:rFonts w:ascii="Bookman Old Style"/>
          <w:spacing w:val="-2"/>
          <w:sz w:val="24"/>
        </w:rPr>
        <w:t xml:space="preserve"> </w:t>
      </w:r>
      <w:r>
        <w:rPr>
          <w:rFonts w:ascii="Bookman Old Style"/>
          <w:sz w:val="24"/>
        </w:rPr>
        <w:t>Morality.</w:t>
      </w:r>
    </w:p>
    <w:p w:rsidR="003B2FC0" w:rsidRDefault="003B2FC0">
      <w:pPr>
        <w:pStyle w:val="BodyText"/>
        <w:spacing w:before="7"/>
        <w:rPr>
          <w:sz w:val="27"/>
        </w:rPr>
      </w:pPr>
      <w:r w:rsidRPr="003B2FC0">
        <w:pict>
          <v:line id="_x0000_s1037" style="position:absolute;z-index:251676160;mso-wrap-distance-left:0;mso-wrap-distance-right:0;mso-position-horizontal-relative:page" from="1in,18.55pt" to="216.05pt,18.5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41 </w:t>
      </w:r>
      <w:r>
        <w:rPr>
          <w:rFonts w:ascii="Bookman Old Style"/>
          <w:sz w:val="20"/>
        </w:rPr>
        <w:t>508 U.S. 520 (1993)</w:t>
      </w:r>
    </w:p>
    <w:p w:rsidR="003B2FC0" w:rsidRDefault="003B2FC0">
      <w:pPr>
        <w:rPr>
          <w:rFonts w:ascii="Bookman Old Style"/>
          <w:sz w:val="20"/>
        </w:rPr>
        <w:sectPr w:rsidR="003B2FC0">
          <w:headerReference w:type="default" r:id="rId479"/>
          <w:footerReference w:type="default" r:id="rId480"/>
          <w:pgSz w:w="11910" w:h="16840"/>
          <w:pgMar w:top="1340" w:right="980" w:bottom="1220" w:left="1040" w:header="0" w:footer="1033" w:gutter="0"/>
          <w:pgNumType w:start="43"/>
          <w:cols w:space="720"/>
        </w:sectPr>
      </w:pPr>
    </w:p>
    <w:p w:rsidR="003B2FC0" w:rsidRDefault="00052A49">
      <w:pPr>
        <w:pStyle w:val="ListParagraph"/>
        <w:numPr>
          <w:ilvl w:val="1"/>
          <w:numId w:val="7"/>
        </w:numPr>
        <w:tabs>
          <w:tab w:val="left" w:pos="1253"/>
        </w:tabs>
        <w:spacing w:before="83" w:line="480" w:lineRule="auto"/>
        <w:ind w:right="454"/>
        <w:rPr>
          <w:rFonts w:ascii="Bookman Old Style"/>
          <w:sz w:val="24"/>
        </w:rPr>
      </w:pPr>
      <w:r>
        <w:rPr>
          <w:rFonts w:ascii="Bookman Old Style"/>
          <w:sz w:val="24"/>
        </w:rPr>
        <w:t>India is a country comprising of diverse religions, creeds, sects each of which have their faiths, beliefs, and distinctive practises. Constitutional Morality in a secular polity would comprehend the freedom of every individual, group, sect, or denominatio</w:t>
      </w:r>
      <w:r>
        <w:rPr>
          <w:rFonts w:ascii="Bookman Old Style"/>
          <w:sz w:val="24"/>
        </w:rPr>
        <w:t>n to practise their religion in accordance with their beliefs, and</w:t>
      </w:r>
      <w:r>
        <w:rPr>
          <w:rFonts w:ascii="Bookman Old Style"/>
          <w:spacing w:val="-11"/>
          <w:sz w:val="24"/>
        </w:rPr>
        <w:t xml:space="preserve"> </w:t>
      </w:r>
      <w:r>
        <w:rPr>
          <w:rFonts w:ascii="Bookman Old Style"/>
          <w:sz w:val="24"/>
        </w:rPr>
        <w:t>practises.</w:t>
      </w:r>
    </w:p>
    <w:p w:rsidR="003B2FC0" w:rsidRDefault="00052A49">
      <w:pPr>
        <w:pStyle w:val="ListParagraph"/>
        <w:numPr>
          <w:ilvl w:val="1"/>
          <w:numId w:val="7"/>
        </w:numPr>
        <w:tabs>
          <w:tab w:val="left" w:pos="1252"/>
          <w:tab w:val="left" w:pos="1253"/>
          <w:tab w:val="left" w:pos="2326"/>
          <w:tab w:val="left" w:pos="2945"/>
          <w:tab w:val="left" w:pos="4567"/>
          <w:tab w:val="left" w:pos="5263"/>
          <w:tab w:val="left" w:pos="6526"/>
          <w:tab w:val="left" w:pos="7073"/>
          <w:tab w:val="left" w:pos="8004"/>
        </w:tabs>
        <w:spacing w:before="1" w:line="480" w:lineRule="auto"/>
        <w:ind w:right="454"/>
        <w:jc w:val="right"/>
        <w:rPr>
          <w:rFonts w:ascii="Bookman Old Style"/>
          <w:sz w:val="24"/>
        </w:rPr>
      </w:pPr>
      <w:r>
        <w:rPr>
          <w:rFonts w:ascii="Bookman Old Style"/>
          <w:sz w:val="24"/>
        </w:rPr>
        <w:t>The Preamble to the Constitution secures to all citizens</w:t>
      </w:r>
      <w:r>
        <w:rPr>
          <w:rFonts w:ascii="Bookman Old Style"/>
          <w:spacing w:val="3"/>
          <w:sz w:val="24"/>
        </w:rPr>
        <w:t xml:space="preserve"> </w:t>
      </w:r>
      <w:r>
        <w:rPr>
          <w:rFonts w:ascii="Bookman Old Style"/>
          <w:sz w:val="24"/>
        </w:rPr>
        <w:t>of</w:t>
      </w:r>
      <w:r>
        <w:rPr>
          <w:rFonts w:ascii="Bookman Old Style"/>
          <w:spacing w:val="9"/>
          <w:sz w:val="24"/>
        </w:rPr>
        <w:t xml:space="preserve"> </w:t>
      </w:r>
      <w:r>
        <w:rPr>
          <w:rFonts w:ascii="Bookman Old Style"/>
          <w:sz w:val="24"/>
        </w:rPr>
        <w:t>this country liberty of thought, expression, belief, faith</w:t>
      </w:r>
      <w:r>
        <w:rPr>
          <w:rFonts w:ascii="Bookman Old Style"/>
          <w:spacing w:val="35"/>
          <w:sz w:val="24"/>
        </w:rPr>
        <w:t xml:space="preserve"> </w:t>
      </w:r>
      <w:r>
        <w:rPr>
          <w:rFonts w:ascii="Bookman Old Style"/>
          <w:sz w:val="24"/>
        </w:rPr>
        <w:t>and</w:t>
      </w:r>
      <w:r>
        <w:rPr>
          <w:rFonts w:ascii="Bookman Old Style"/>
          <w:spacing w:val="8"/>
          <w:sz w:val="24"/>
        </w:rPr>
        <w:t xml:space="preserve"> </w:t>
      </w:r>
      <w:r>
        <w:rPr>
          <w:rFonts w:ascii="Bookman Old Style"/>
          <w:sz w:val="24"/>
        </w:rPr>
        <w:t>worship. Article</w:t>
      </w:r>
      <w:r>
        <w:rPr>
          <w:rFonts w:ascii="Bookman Old Style"/>
          <w:spacing w:val="16"/>
          <w:sz w:val="24"/>
        </w:rPr>
        <w:t xml:space="preserve"> </w:t>
      </w:r>
      <w:r>
        <w:rPr>
          <w:rFonts w:ascii="Bookman Old Style"/>
          <w:sz w:val="24"/>
        </w:rPr>
        <w:t>25</w:t>
      </w:r>
      <w:r>
        <w:rPr>
          <w:rFonts w:ascii="Bookman Old Style"/>
          <w:spacing w:val="17"/>
          <w:sz w:val="24"/>
        </w:rPr>
        <w:t xml:space="preserve"> </w:t>
      </w:r>
      <w:r>
        <w:rPr>
          <w:rFonts w:ascii="Bookman Old Style"/>
          <w:sz w:val="24"/>
        </w:rPr>
        <w:t>in</w:t>
      </w:r>
      <w:r>
        <w:rPr>
          <w:rFonts w:ascii="Bookman Old Style"/>
          <w:spacing w:val="17"/>
          <w:sz w:val="24"/>
        </w:rPr>
        <w:t xml:space="preserve"> </w:t>
      </w:r>
      <w:r>
        <w:rPr>
          <w:rFonts w:ascii="Bookman Old Style"/>
          <w:sz w:val="24"/>
        </w:rPr>
        <w:t>Part</w:t>
      </w:r>
      <w:r>
        <w:rPr>
          <w:rFonts w:ascii="Bookman Old Style"/>
          <w:spacing w:val="14"/>
          <w:sz w:val="24"/>
        </w:rPr>
        <w:t xml:space="preserve"> </w:t>
      </w:r>
      <w:r>
        <w:rPr>
          <w:rFonts w:ascii="Bookman Old Style"/>
          <w:sz w:val="24"/>
        </w:rPr>
        <w:t>III</w:t>
      </w:r>
      <w:r>
        <w:rPr>
          <w:rFonts w:ascii="Bookman Old Style"/>
          <w:spacing w:val="17"/>
          <w:sz w:val="24"/>
        </w:rPr>
        <w:t xml:space="preserve"> </w:t>
      </w:r>
      <w:r>
        <w:rPr>
          <w:rFonts w:ascii="Bookman Old Style"/>
          <w:sz w:val="24"/>
        </w:rPr>
        <w:t>of</w:t>
      </w:r>
      <w:r>
        <w:rPr>
          <w:rFonts w:ascii="Bookman Old Style"/>
          <w:spacing w:val="16"/>
          <w:sz w:val="24"/>
        </w:rPr>
        <w:t xml:space="preserve"> </w:t>
      </w:r>
      <w:r>
        <w:rPr>
          <w:rFonts w:ascii="Bookman Old Style"/>
          <w:sz w:val="24"/>
        </w:rPr>
        <w:t>the</w:t>
      </w:r>
      <w:r>
        <w:rPr>
          <w:rFonts w:ascii="Bookman Old Style"/>
          <w:spacing w:val="18"/>
          <w:sz w:val="24"/>
        </w:rPr>
        <w:t xml:space="preserve"> </w:t>
      </w:r>
      <w:r>
        <w:rPr>
          <w:rFonts w:ascii="Bookman Old Style"/>
          <w:sz w:val="24"/>
        </w:rPr>
        <w:t>Constitution</w:t>
      </w:r>
      <w:r>
        <w:rPr>
          <w:rFonts w:ascii="Bookman Old Style"/>
          <w:spacing w:val="14"/>
          <w:sz w:val="24"/>
        </w:rPr>
        <w:t xml:space="preserve"> </w:t>
      </w:r>
      <w:r>
        <w:rPr>
          <w:rFonts w:ascii="Bookman Old Style"/>
          <w:sz w:val="24"/>
        </w:rPr>
        <w:t>mak</w:t>
      </w:r>
      <w:r>
        <w:rPr>
          <w:rFonts w:ascii="Bookman Old Style"/>
          <w:sz w:val="24"/>
        </w:rPr>
        <w:t>e</w:t>
      </w:r>
      <w:r>
        <w:rPr>
          <w:rFonts w:ascii="Bookman Old Style"/>
          <w:spacing w:val="16"/>
          <w:sz w:val="24"/>
        </w:rPr>
        <w:t xml:space="preserve"> </w:t>
      </w:r>
      <w:r>
        <w:rPr>
          <w:rFonts w:ascii="Bookman Old Style"/>
          <w:sz w:val="24"/>
        </w:rPr>
        <w:t>freedom</w:t>
      </w:r>
      <w:r>
        <w:rPr>
          <w:rFonts w:ascii="Bookman Old Style"/>
          <w:spacing w:val="17"/>
          <w:sz w:val="24"/>
        </w:rPr>
        <w:t xml:space="preserve"> </w:t>
      </w:r>
      <w:r>
        <w:rPr>
          <w:rFonts w:ascii="Bookman Old Style"/>
          <w:sz w:val="24"/>
        </w:rPr>
        <w:t>of</w:t>
      </w:r>
      <w:r>
        <w:rPr>
          <w:rFonts w:ascii="Bookman Old Style"/>
          <w:spacing w:val="16"/>
          <w:sz w:val="24"/>
        </w:rPr>
        <w:t xml:space="preserve"> </w:t>
      </w:r>
      <w:r>
        <w:rPr>
          <w:rFonts w:ascii="Bookman Old Style"/>
          <w:sz w:val="24"/>
        </w:rPr>
        <w:t>conscience</w:t>
      </w:r>
      <w:r>
        <w:rPr>
          <w:rFonts w:ascii="Bookman Old Style"/>
          <w:spacing w:val="-1"/>
          <w:sz w:val="24"/>
        </w:rPr>
        <w:t xml:space="preserve"> </w:t>
      </w:r>
      <w:r>
        <w:rPr>
          <w:rFonts w:ascii="Bookman Old Style"/>
          <w:sz w:val="24"/>
        </w:rPr>
        <w:t>a Fundamental Right guaranteed to all persons who</w:t>
      </w:r>
      <w:r>
        <w:rPr>
          <w:rFonts w:ascii="Bookman Old Style"/>
          <w:spacing w:val="51"/>
          <w:sz w:val="24"/>
        </w:rPr>
        <w:t xml:space="preserve"> </w:t>
      </w:r>
      <w:r>
        <w:rPr>
          <w:rFonts w:ascii="Bookman Old Style"/>
          <w:sz w:val="24"/>
        </w:rPr>
        <w:t>are</w:t>
      </w:r>
      <w:r>
        <w:rPr>
          <w:rFonts w:ascii="Bookman Old Style"/>
          <w:spacing w:val="75"/>
          <w:sz w:val="24"/>
        </w:rPr>
        <w:t xml:space="preserve"> </w:t>
      </w:r>
      <w:r>
        <w:rPr>
          <w:rFonts w:ascii="Bookman Old Style"/>
          <w:sz w:val="24"/>
        </w:rPr>
        <w:t>equally entitled</w:t>
      </w:r>
      <w:r>
        <w:rPr>
          <w:rFonts w:ascii="Bookman Old Style"/>
          <w:spacing w:val="47"/>
          <w:sz w:val="24"/>
        </w:rPr>
        <w:t xml:space="preserve"> </w:t>
      </w:r>
      <w:r>
        <w:rPr>
          <w:rFonts w:ascii="Bookman Old Style"/>
          <w:sz w:val="24"/>
        </w:rPr>
        <w:t>to</w:t>
      </w:r>
      <w:r>
        <w:rPr>
          <w:rFonts w:ascii="Bookman Old Style"/>
          <w:spacing w:val="48"/>
          <w:sz w:val="24"/>
        </w:rPr>
        <w:t xml:space="preserve"> </w:t>
      </w:r>
      <w:r>
        <w:rPr>
          <w:rFonts w:ascii="Bookman Old Style"/>
          <w:sz w:val="24"/>
        </w:rPr>
        <w:t>the</w:t>
      </w:r>
      <w:r>
        <w:rPr>
          <w:rFonts w:ascii="Bookman Old Style"/>
          <w:spacing w:val="48"/>
          <w:sz w:val="24"/>
        </w:rPr>
        <w:t xml:space="preserve"> </w:t>
      </w:r>
      <w:r>
        <w:rPr>
          <w:rFonts w:ascii="Bookman Old Style"/>
          <w:sz w:val="24"/>
        </w:rPr>
        <w:t>right</w:t>
      </w:r>
      <w:r>
        <w:rPr>
          <w:rFonts w:ascii="Bookman Old Style"/>
          <w:spacing w:val="48"/>
          <w:sz w:val="24"/>
        </w:rPr>
        <w:t xml:space="preserve"> </w:t>
      </w:r>
      <w:r>
        <w:rPr>
          <w:rFonts w:ascii="Bookman Old Style"/>
          <w:sz w:val="24"/>
        </w:rPr>
        <w:t>to</w:t>
      </w:r>
      <w:r>
        <w:rPr>
          <w:rFonts w:ascii="Bookman Old Style"/>
          <w:spacing w:val="47"/>
          <w:sz w:val="24"/>
        </w:rPr>
        <w:t xml:space="preserve"> </w:t>
      </w:r>
      <w:r>
        <w:rPr>
          <w:rFonts w:ascii="Bookman Old Style"/>
          <w:sz w:val="24"/>
        </w:rPr>
        <w:t>freely</w:t>
      </w:r>
      <w:r>
        <w:rPr>
          <w:rFonts w:ascii="Bookman Old Style"/>
          <w:spacing w:val="48"/>
          <w:sz w:val="24"/>
        </w:rPr>
        <w:t xml:space="preserve"> </w:t>
      </w:r>
      <w:r>
        <w:rPr>
          <w:rFonts w:ascii="Bookman Old Style"/>
          <w:sz w:val="24"/>
        </w:rPr>
        <w:t>profess,</w:t>
      </w:r>
      <w:r>
        <w:rPr>
          <w:rFonts w:ascii="Bookman Old Style"/>
          <w:spacing w:val="48"/>
          <w:sz w:val="24"/>
        </w:rPr>
        <w:t xml:space="preserve"> </w:t>
      </w:r>
      <w:r>
        <w:rPr>
          <w:rFonts w:ascii="Bookman Old Style"/>
          <w:sz w:val="24"/>
        </w:rPr>
        <w:t>practise</w:t>
      </w:r>
      <w:r>
        <w:rPr>
          <w:rFonts w:ascii="Bookman Old Style"/>
          <w:spacing w:val="48"/>
          <w:sz w:val="24"/>
        </w:rPr>
        <w:t xml:space="preserve"> </w:t>
      </w:r>
      <w:r>
        <w:rPr>
          <w:rFonts w:ascii="Bookman Old Style"/>
          <w:sz w:val="24"/>
        </w:rPr>
        <w:t>and</w:t>
      </w:r>
      <w:r>
        <w:rPr>
          <w:rFonts w:ascii="Bookman Old Style"/>
          <w:spacing w:val="47"/>
          <w:sz w:val="24"/>
        </w:rPr>
        <w:t xml:space="preserve"> </w:t>
      </w:r>
      <w:r>
        <w:rPr>
          <w:rFonts w:ascii="Bookman Old Style"/>
          <w:sz w:val="24"/>
        </w:rPr>
        <w:t>propagate</w:t>
      </w:r>
      <w:r>
        <w:rPr>
          <w:rFonts w:ascii="Bookman Old Style"/>
          <w:spacing w:val="48"/>
          <w:sz w:val="24"/>
        </w:rPr>
        <w:t xml:space="preserve"> </w:t>
      </w:r>
      <w:r>
        <w:rPr>
          <w:rFonts w:ascii="Bookman Old Style"/>
          <w:sz w:val="24"/>
        </w:rPr>
        <w:t>their respective</w:t>
      </w:r>
      <w:r>
        <w:rPr>
          <w:rFonts w:ascii="Bookman Old Style"/>
          <w:spacing w:val="26"/>
          <w:sz w:val="24"/>
        </w:rPr>
        <w:t xml:space="preserve"> </w:t>
      </w:r>
      <w:r>
        <w:rPr>
          <w:rFonts w:ascii="Bookman Old Style"/>
          <w:sz w:val="24"/>
        </w:rPr>
        <w:t>religion.</w:t>
      </w:r>
      <w:r>
        <w:rPr>
          <w:rFonts w:ascii="Bookman Old Style"/>
          <w:spacing w:val="27"/>
          <w:sz w:val="24"/>
        </w:rPr>
        <w:t xml:space="preserve"> </w:t>
      </w:r>
      <w:r>
        <w:rPr>
          <w:rFonts w:ascii="Bookman Old Style"/>
          <w:sz w:val="24"/>
        </w:rPr>
        <w:t>This</w:t>
      </w:r>
      <w:r>
        <w:rPr>
          <w:rFonts w:ascii="Bookman Old Style"/>
          <w:spacing w:val="27"/>
          <w:sz w:val="24"/>
        </w:rPr>
        <w:t xml:space="preserve"> </w:t>
      </w:r>
      <w:r>
        <w:rPr>
          <w:rFonts w:ascii="Bookman Old Style"/>
          <w:sz w:val="24"/>
        </w:rPr>
        <w:t>freedom</w:t>
      </w:r>
      <w:r>
        <w:rPr>
          <w:rFonts w:ascii="Bookman Old Style"/>
          <w:spacing w:val="27"/>
          <w:sz w:val="24"/>
        </w:rPr>
        <w:t xml:space="preserve"> </w:t>
      </w:r>
      <w:r>
        <w:rPr>
          <w:rFonts w:ascii="Bookman Old Style"/>
          <w:sz w:val="24"/>
        </w:rPr>
        <w:t>is</w:t>
      </w:r>
      <w:r>
        <w:rPr>
          <w:rFonts w:ascii="Bookman Old Style"/>
          <w:spacing w:val="26"/>
          <w:sz w:val="24"/>
        </w:rPr>
        <w:t xml:space="preserve"> </w:t>
      </w:r>
      <w:r>
        <w:rPr>
          <w:rFonts w:ascii="Bookman Old Style"/>
          <w:sz w:val="24"/>
        </w:rPr>
        <w:t>subject</w:t>
      </w:r>
      <w:r>
        <w:rPr>
          <w:rFonts w:ascii="Bookman Old Style"/>
          <w:spacing w:val="27"/>
          <w:sz w:val="24"/>
        </w:rPr>
        <w:t xml:space="preserve"> </w:t>
      </w:r>
      <w:r>
        <w:rPr>
          <w:rFonts w:ascii="Bookman Old Style"/>
          <w:sz w:val="24"/>
        </w:rPr>
        <w:t>to</w:t>
      </w:r>
      <w:r>
        <w:rPr>
          <w:rFonts w:ascii="Bookman Old Style"/>
          <w:spacing w:val="26"/>
          <w:sz w:val="24"/>
        </w:rPr>
        <w:t xml:space="preserve"> </w:t>
      </w:r>
      <w:r>
        <w:rPr>
          <w:rFonts w:ascii="Bookman Old Style"/>
          <w:sz w:val="24"/>
        </w:rPr>
        <w:t>public</w:t>
      </w:r>
      <w:r>
        <w:rPr>
          <w:rFonts w:ascii="Bookman Old Style"/>
          <w:spacing w:val="27"/>
          <w:sz w:val="24"/>
        </w:rPr>
        <w:t xml:space="preserve"> </w:t>
      </w:r>
      <w:r>
        <w:rPr>
          <w:rFonts w:ascii="Bookman Old Style"/>
          <w:sz w:val="24"/>
        </w:rPr>
        <w:t>order,</w:t>
      </w:r>
      <w:r>
        <w:rPr>
          <w:rFonts w:ascii="Bookman Old Style"/>
          <w:spacing w:val="27"/>
          <w:sz w:val="24"/>
        </w:rPr>
        <w:t xml:space="preserve"> </w:t>
      </w:r>
      <w:r>
        <w:rPr>
          <w:rFonts w:ascii="Bookman Old Style"/>
          <w:sz w:val="24"/>
        </w:rPr>
        <w:t>morality and health, and to the other provisions of Part III of</w:t>
      </w:r>
      <w:r>
        <w:rPr>
          <w:rFonts w:ascii="Bookman Old Style"/>
          <w:spacing w:val="-29"/>
          <w:sz w:val="24"/>
        </w:rPr>
        <w:t xml:space="preserve"> </w:t>
      </w:r>
      <w:r>
        <w:rPr>
          <w:rFonts w:ascii="Bookman Old Style"/>
          <w:sz w:val="24"/>
        </w:rPr>
        <w:t>the</w:t>
      </w:r>
      <w:r>
        <w:rPr>
          <w:rFonts w:ascii="Bookman Old Style"/>
          <w:spacing w:val="-2"/>
          <w:sz w:val="24"/>
        </w:rPr>
        <w:t xml:space="preserve"> </w:t>
      </w:r>
      <w:r>
        <w:rPr>
          <w:rFonts w:ascii="Bookman Old Style"/>
          <w:sz w:val="24"/>
        </w:rPr>
        <w:t>Constitution. Article</w:t>
      </w:r>
      <w:r>
        <w:rPr>
          <w:rFonts w:ascii="Bookman Old Style"/>
          <w:sz w:val="24"/>
        </w:rPr>
        <w:tab/>
        <w:t>26</w:t>
      </w:r>
      <w:r>
        <w:rPr>
          <w:rFonts w:ascii="Bookman Old Style"/>
          <w:sz w:val="24"/>
        </w:rPr>
        <w:tab/>
        <w:t>guarantees</w:t>
      </w:r>
      <w:r>
        <w:rPr>
          <w:rFonts w:ascii="Bookman Old Style"/>
          <w:sz w:val="24"/>
        </w:rPr>
        <w:tab/>
        <w:t>the</w:t>
      </w:r>
      <w:r>
        <w:rPr>
          <w:rFonts w:ascii="Bookman Old Style"/>
          <w:sz w:val="24"/>
        </w:rPr>
        <w:tab/>
        <w:t>freedom</w:t>
      </w:r>
      <w:r>
        <w:rPr>
          <w:rFonts w:ascii="Bookman Old Style"/>
          <w:sz w:val="24"/>
        </w:rPr>
        <w:tab/>
        <w:t>to</w:t>
      </w:r>
      <w:r>
        <w:rPr>
          <w:rFonts w:ascii="Bookman Old Style"/>
          <w:sz w:val="24"/>
        </w:rPr>
        <w:tab/>
        <w:t>every</w:t>
      </w:r>
      <w:r>
        <w:rPr>
          <w:rFonts w:ascii="Bookman Old Style"/>
          <w:sz w:val="24"/>
        </w:rPr>
        <w:tab/>
        <w:t>religious denomination,</w:t>
      </w:r>
      <w:r>
        <w:rPr>
          <w:rFonts w:ascii="Bookman Old Style"/>
          <w:spacing w:val="42"/>
          <w:sz w:val="24"/>
        </w:rPr>
        <w:t xml:space="preserve"> </w:t>
      </w:r>
      <w:r>
        <w:rPr>
          <w:rFonts w:ascii="Bookman Old Style"/>
          <w:sz w:val="24"/>
        </w:rPr>
        <w:t>or</w:t>
      </w:r>
      <w:r>
        <w:rPr>
          <w:rFonts w:ascii="Bookman Old Style"/>
          <w:spacing w:val="43"/>
          <w:sz w:val="24"/>
        </w:rPr>
        <w:t xml:space="preserve"> </w:t>
      </w:r>
      <w:r>
        <w:rPr>
          <w:rFonts w:ascii="Bookman Old Style"/>
          <w:sz w:val="24"/>
        </w:rPr>
        <w:t>any</w:t>
      </w:r>
      <w:r>
        <w:rPr>
          <w:rFonts w:ascii="Bookman Old Style"/>
          <w:spacing w:val="43"/>
          <w:sz w:val="24"/>
        </w:rPr>
        <w:t xml:space="preserve"> </w:t>
      </w:r>
      <w:r>
        <w:rPr>
          <w:rFonts w:ascii="Bookman Old Style"/>
          <w:sz w:val="24"/>
        </w:rPr>
        <w:t>sect</w:t>
      </w:r>
      <w:r>
        <w:rPr>
          <w:rFonts w:ascii="Bookman Old Style"/>
          <w:spacing w:val="43"/>
          <w:sz w:val="24"/>
        </w:rPr>
        <w:t xml:space="preserve"> </w:t>
      </w:r>
      <w:r>
        <w:rPr>
          <w:rFonts w:ascii="Bookman Old Style"/>
          <w:sz w:val="24"/>
        </w:rPr>
        <w:t>thereof,</w:t>
      </w:r>
      <w:r>
        <w:rPr>
          <w:rFonts w:ascii="Bookman Old Style"/>
          <w:spacing w:val="42"/>
          <w:sz w:val="24"/>
        </w:rPr>
        <w:t xml:space="preserve"> </w:t>
      </w:r>
      <w:r>
        <w:rPr>
          <w:rFonts w:ascii="Bookman Old Style"/>
          <w:sz w:val="24"/>
        </w:rPr>
        <w:t>the</w:t>
      </w:r>
      <w:r>
        <w:rPr>
          <w:rFonts w:ascii="Bookman Old Style"/>
          <w:spacing w:val="43"/>
          <w:sz w:val="24"/>
        </w:rPr>
        <w:t xml:space="preserve"> </w:t>
      </w:r>
      <w:r>
        <w:rPr>
          <w:rFonts w:ascii="Bookman Old Style"/>
          <w:sz w:val="24"/>
        </w:rPr>
        <w:t>right</w:t>
      </w:r>
      <w:r>
        <w:rPr>
          <w:rFonts w:ascii="Bookman Old Style"/>
          <w:spacing w:val="43"/>
          <w:sz w:val="24"/>
        </w:rPr>
        <w:t xml:space="preserve"> </w:t>
      </w:r>
      <w:r>
        <w:rPr>
          <w:rFonts w:ascii="Bookman Old Style"/>
          <w:sz w:val="24"/>
        </w:rPr>
        <w:t>to</w:t>
      </w:r>
      <w:r>
        <w:rPr>
          <w:rFonts w:ascii="Bookman Old Style"/>
          <w:spacing w:val="43"/>
          <w:sz w:val="24"/>
        </w:rPr>
        <w:t xml:space="preserve"> </w:t>
      </w:r>
      <w:r>
        <w:rPr>
          <w:rFonts w:ascii="Bookman Old Style"/>
          <w:sz w:val="24"/>
        </w:rPr>
        <w:t>establish</w:t>
      </w:r>
      <w:r>
        <w:rPr>
          <w:rFonts w:ascii="Bookman Old Style"/>
          <w:spacing w:val="42"/>
          <w:sz w:val="24"/>
        </w:rPr>
        <w:t xml:space="preserve"> </w:t>
      </w:r>
      <w:r>
        <w:rPr>
          <w:rFonts w:ascii="Bookman Old Style"/>
          <w:sz w:val="24"/>
        </w:rPr>
        <w:t>and</w:t>
      </w:r>
      <w:r>
        <w:rPr>
          <w:rFonts w:ascii="Bookman Old Style"/>
          <w:spacing w:val="-1"/>
          <w:sz w:val="24"/>
        </w:rPr>
        <w:t xml:space="preserve"> </w:t>
      </w:r>
      <w:r>
        <w:rPr>
          <w:rFonts w:ascii="Bookman Old Style"/>
          <w:sz w:val="24"/>
        </w:rPr>
        <w:t>maintain</w:t>
      </w:r>
      <w:r>
        <w:rPr>
          <w:rFonts w:ascii="Bookman Old Style"/>
          <w:spacing w:val="30"/>
          <w:sz w:val="24"/>
        </w:rPr>
        <w:t xml:space="preserve"> </w:t>
      </w:r>
      <w:r>
        <w:rPr>
          <w:rFonts w:ascii="Bookman Old Style"/>
          <w:sz w:val="24"/>
        </w:rPr>
        <w:t>institutions</w:t>
      </w:r>
      <w:r>
        <w:rPr>
          <w:rFonts w:ascii="Bookman Old Style"/>
          <w:spacing w:val="30"/>
          <w:sz w:val="24"/>
        </w:rPr>
        <w:t xml:space="preserve"> </w:t>
      </w:r>
      <w:r>
        <w:rPr>
          <w:rFonts w:ascii="Bookman Old Style"/>
          <w:sz w:val="24"/>
        </w:rPr>
        <w:t>for</w:t>
      </w:r>
      <w:r>
        <w:rPr>
          <w:rFonts w:ascii="Bookman Old Style"/>
          <w:spacing w:val="31"/>
          <w:sz w:val="24"/>
        </w:rPr>
        <w:t xml:space="preserve"> </w:t>
      </w:r>
      <w:r>
        <w:rPr>
          <w:rFonts w:ascii="Bookman Old Style"/>
          <w:sz w:val="24"/>
        </w:rPr>
        <w:t>religious</w:t>
      </w:r>
      <w:r>
        <w:rPr>
          <w:rFonts w:ascii="Bookman Old Style"/>
          <w:spacing w:val="30"/>
          <w:sz w:val="24"/>
        </w:rPr>
        <w:t xml:space="preserve"> </w:t>
      </w:r>
      <w:r>
        <w:rPr>
          <w:rFonts w:ascii="Bookman Old Style"/>
          <w:sz w:val="24"/>
        </w:rPr>
        <w:t>purposes,</w:t>
      </w:r>
      <w:r>
        <w:rPr>
          <w:rFonts w:ascii="Bookman Old Style"/>
          <w:spacing w:val="30"/>
          <w:sz w:val="24"/>
        </w:rPr>
        <w:t xml:space="preserve"> </w:t>
      </w:r>
      <w:r>
        <w:rPr>
          <w:rFonts w:ascii="Bookman Old Style"/>
          <w:sz w:val="24"/>
        </w:rPr>
        <w:t>manage</w:t>
      </w:r>
      <w:r>
        <w:rPr>
          <w:rFonts w:ascii="Bookman Old Style"/>
          <w:spacing w:val="31"/>
          <w:sz w:val="24"/>
        </w:rPr>
        <w:t xml:space="preserve"> </w:t>
      </w:r>
      <w:r>
        <w:rPr>
          <w:rFonts w:ascii="Bookman Old Style"/>
          <w:sz w:val="24"/>
        </w:rPr>
        <w:t>its</w:t>
      </w:r>
      <w:r>
        <w:rPr>
          <w:rFonts w:ascii="Bookman Old Style"/>
          <w:spacing w:val="30"/>
          <w:sz w:val="24"/>
        </w:rPr>
        <w:t xml:space="preserve"> </w:t>
      </w:r>
      <w:r>
        <w:rPr>
          <w:rFonts w:ascii="Bookman Old Style"/>
          <w:sz w:val="24"/>
        </w:rPr>
        <w:t>own</w:t>
      </w:r>
      <w:r>
        <w:rPr>
          <w:rFonts w:ascii="Bookman Old Style"/>
          <w:spacing w:val="31"/>
          <w:sz w:val="24"/>
        </w:rPr>
        <w:t xml:space="preserve"> </w:t>
      </w:r>
      <w:r>
        <w:rPr>
          <w:rFonts w:ascii="Bookman Old Style"/>
          <w:sz w:val="24"/>
        </w:rPr>
        <w:t>affairs</w:t>
      </w:r>
      <w:r>
        <w:rPr>
          <w:rFonts w:ascii="Bookman Old Style"/>
          <w:spacing w:val="-1"/>
          <w:sz w:val="24"/>
        </w:rPr>
        <w:t xml:space="preserve"> </w:t>
      </w:r>
      <w:r>
        <w:rPr>
          <w:rFonts w:ascii="Bookman Old Style"/>
          <w:sz w:val="24"/>
        </w:rPr>
        <w:t>in matters of religion, own and acquire movable</w:t>
      </w:r>
      <w:r>
        <w:rPr>
          <w:rFonts w:ascii="Bookman Old Style"/>
          <w:spacing w:val="10"/>
          <w:sz w:val="24"/>
        </w:rPr>
        <w:t xml:space="preserve"> </w:t>
      </w:r>
      <w:r>
        <w:rPr>
          <w:rFonts w:ascii="Bookman Old Style"/>
          <w:sz w:val="24"/>
        </w:rPr>
        <w:t>and</w:t>
      </w:r>
      <w:r>
        <w:rPr>
          <w:rFonts w:ascii="Bookman Old Style"/>
          <w:spacing w:val="2"/>
          <w:sz w:val="24"/>
        </w:rPr>
        <w:t xml:space="preserve"> </w:t>
      </w:r>
      <w:r>
        <w:rPr>
          <w:rFonts w:ascii="Bookman Old Style"/>
          <w:sz w:val="24"/>
        </w:rPr>
        <w:t>immovable property,</w:t>
      </w:r>
      <w:r>
        <w:rPr>
          <w:rFonts w:ascii="Bookman Old Style"/>
          <w:spacing w:val="38"/>
          <w:sz w:val="24"/>
        </w:rPr>
        <w:t xml:space="preserve"> </w:t>
      </w:r>
      <w:r>
        <w:rPr>
          <w:rFonts w:ascii="Bookman Old Style"/>
          <w:sz w:val="24"/>
        </w:rPr>
        <w:t>and</w:t>
      </w:r>
      <w:r>
        <w:rPr>
          <w:rFonts w:ascii="Bookman Old Style"/>
          <w:spacing w:val="39"/>
          <w:sz w:val="24"/>
        </w:rPr>
        <w:t xml:space="preserve"> </w:t>
      </w:r>
      <w:r>
        <w:rPr>
          <w:rFonts w:ascii="Bookman Old Style"/>
          <w:sz w:val="24"/>
        </w:rPr>
        <w:t>to</w:t>
      </w:r>
      <w:r>
        <w:rPr>
          <w:rFonts w:ascii="Bookman Old Style"/>
          <w:spacing w:val="38"/>
          <w:sz w:val="24"/>
        </w:rPr>
        <w:t xml:space="preserve"> </w:t>
      </w:r>
      <w:r>
        <w:rPr>
          <w:rFonts w:ascii="Bookman Old Style"/>
          <w:sz w:val="24"/>
        </w:rPr>
        <w:t>administer</w:t>
      </w:r>
      <w:r>
        <w:rPr>
          <w:rFonts w:ascii="Bookman Old Style"/>
          <w:spacing w:val="39"/>
          <w:sz w:val="24"/>
        </w:rPr>
        <w:t xml:space="preserve"> </w:t>
      </w:r>
      <w:r>
        <w:rPr>
          <w:rFonts w:ascii="Bookman Old Style"/>
          <w:sz w:val="24"/>
        </w:rPr>
        <w:t>such</w:t>
      </w:r>
      <w:r>
        <w:rPr>
          <w:rFonts w:ascii="Bookman Old Style"/>
          <w:spacing w:val="38"/>
          <w:sz w:val="24"/>
        </w:rPr>
        <w:t xml:space="preserve"> </w:t>
      </w:r>
      <w:r>
        <w:rPr>
          <w:rFonts w:ascii="Bookman Old Style"/>
          <w:sz w:val="24"/>
        </w:rPr>
        <w:t>property</w:t>
      </w:r>
      <w:r>
        <w:rPr>
          <w:rFonts w:ascii="Bookman Old Style"/>
          <w:spacing w:val="39"/>
          <w:sz w:val="24"/>
        </w:rPr>
        <w:t xml:space="preserve"> </w:t>
      </w:r>
      <w:r>
        <w:rPr>
          <w:rFonts w:ascii="Bookman Old Style"/>
          <w:sz w:val="24"/>
        </w:rPr>
        <w:t>in</w:t>
      </w:r>
      <w:r>
        <w:rPr>
          <w:rFonts w:ascii="Bookman Old Style"/>
          <w:spacing w:val="38"/>
          <w:sz w:val="24"/>
        </w:rPr>
        <w:t xml:space="preserve"> </w:t>
      </w:r>
      <w:r>
        <w:rPr>
          <w:rFonts w:ascii="Bookman Old Style"/>
          <w:sz w:val="24"/>
        </w:rPr>
        <w:t>accordance</w:t>
      </w:r>
      <w:r>
        <w:rPr>
          <w:rFonts w:ascii="Bookman Old Style"/>
          <w:spacing w:val="39"/>
          <w:sz w:val="24"/>
        </w:rPr>
        <w:t xml:space="preserve"> </w:t>
      </w:r>
      <w:r>
        <w:rPr>
          <w:rFonts w:ascii="Bookman Old Style"/>
          <w:sz w:val="24"/>
        </w:rPr>
        <w:t>with</w:t>
      </w:r>
      <w:r>
        <w:rPr>
          <w:rFonts w:ascii="Bookman Old Style"/>
          <w:spacing w:val="38"/>
          <w:sz w:val="24"/>
        </w:rPr>
        <w:t xml:space="preserve"> </w:t>
      </w:r>
      <w:r>
        <w:rPr>
          <w:rFonts w:ascii="Bookman Old Style"/>
          <w:sz w:val="24"/>
        </w:rPr>
        <w:t>law.</w:t>
      </w:r>
    </w:p>
    <w:p w:rsidR="003B2FC0" w:rsidRDefault="00052A49">
      <w:pPr>
        <w:spacing w:line="480" w:lineRule="auto"/>
        <w:ind w:left="1252" w:right="456"/>
        <w:jc w:val="both"/>
        <w:rPr>
          <w:rFonts w:ascii="Bookman Old Style"/>
          <w:sz w:val="24"/>
        </w:rPr>
      </w:pPr>
      <w:r>
        <w:rPr>
          <w:rFonts w:ascii="Bookman Old Style"/>
          <w:sz w:val="24"/>
        </w:rPr>
        <w:t>This right is subject to public order, morality and health. The right under Article 26 is not subject to Part III of the Constitution.</w:t>
      </w:r>
    </w:p>
    <w:p w:rsidR="003B2FC0" w:rsidRDefault="00052A49">
      <w:pPr>
        <w:pStyle w:val="ListParagraph"/>
        <w:numPr>
          <w:ilvl w:val="1"/>
          <w:numId w:val="7"/>
        </w:numPr>
        <w:tabs>
          <w:tab w:val="left" w:pos="1253"/>
        </w:tabs>
        <w:spacing w:before="2" w:line="480" w:lineRule="auto"/>
        <w:ind w:right="453"/>
        <w:rPr>
          <w:rFonts w:ascii="Bookman Old Style"/>
          <w:sz w:val="24"/>
        </w:rPr>
      </w:pPr>
      <w:r>
        <w:rPr>
          <w:rFonts w:ascii="Bookman Old Style"/>
          <w:sz w:val="24"/>
        </w:rPr>
        <w:t xml:space="preserve">The framers of the Constitution were aware of the rich history and heritage of this country being a secular polity, with </w:t>
      </w:r>
      <w:r>
        <w:rPr>
          <w:rFonts w:ascii="Bookman Old Style"/>
          <w:sz w:val="24"/>
        </w:rPr>
        <w:t>diverse religions and</w:t>
      </w:r>
      <w:r>
        <w:rPr>
          <w:rFonts w:ascii="Bookman Old Style"/>
          <w:spacing w:val="36"/>
          <w:sz w:val="24"/>
        </w:rPr>
        <w:t xml:space="preserve"> </w:t>
      </w:r>
      <w:r>
        <w:rPr>
          <w:rFonts w:ascii="Bookman Old Style"/>
          <w:sz w:val="24"/>
        </w:rPr>
        <w:t>faiths,</w:t>
      </w:r>
      <w:r>
        <w:rPr>
          <w:rFonts w:ascii="Bookman Old Style"/>
          <w:spacing w:val="36"/>
          <w:sz w:val="24"/>
        </w:rPr>
        <w:t xml:space="preserve"> </w:t>
      </w:r>
      <w:r>
        <w:rPr>
          <w:rFonts w:ascii="Bookman Old Style"/>
          <w:sz w:val="24"/>
        </w:rPr>
        <w:t>which</w:t>
      </w:r>
      <w:r>
        <w:rPr>
          <w:rFonts w:ascii="Bookman Old Style"/>
          <w:spacing w:val="36"/>
          <w:sz w:val="24"/>
        </w:rPr>
        <w:t xml:space="preserve"> </w:t>
      </w:r>
      <w:r>
        <w:rPr>
          <w:rFonts w:ascii="Bookman Old Style"/>
          <w:sz w:val="24"/>
        </w:rPr>
        <w:t>were</w:t>
      </w:r>
      <w:r>
        <w:rPr>
          <w:rFonts w:ascii="Bookman Old Style"/>
          <w:spacing w:val="36"/>
          <w:sz w:val="24"/>
        </w:rPr>
        <w:t xml:space="preserve"> </w:t>
      </w:r>
      <w:r>
        <w:rPr>
          <w:rFonts w:ascii="Bookman Old Style"/>
          <w:sz w:val="24"/>
        </w:rPr>
        <w:t>protected</w:t>
      </w:r>
      <w:r>
        <w:rPr>
          <w:rFonts w:ascii="Bookman Old Style"/>
          <w:spacing w:val="37"/>
          <w:sz w:val="24"/>
        </w:rPr>
        <w:t xml:space="preserve"> </w:t>
      </w:r>
      <w:r>
        <w:rPr>
          <w:rFonts w:ascii="Bookman Old Style"/>
          <w:sz w:val="24"/>
        </w:rPr>
        <w:t>within</w:t>
      </w:r>
      <w:r>
        <w:rPr>
          <w:rFonts w:ascii="Bookman Old Style"/>
          <w:spacing w:val="36"/>
          <w:sz w:val="24"/>
        </w:rPr>
        <w:t xml:space="preserve"> </w:t>
      </w:r>
      <w:r>
        <w:rPr>
          <w:rFonts w:ascii="Bookman Old Style"/>
          <w:sz w:val="24"/>
        </w:rPr>
        <w:t>the</w:t>
      </w:r>
      <w:r>
        <w:rPr>
          <w:rFonts w:ascii="Bookman Old Style"/>
          <w:spacing w:val="36"/>
          <w:sz w:val="24"/>
        </w:rPr>
        <w:t xml:space="preserve"> </w:t>
      </w:r>
      <w:r>
        <w:rPr>
          <w:rFonts w:ascii="Bookman Old Style"/>
          <w:sz w:val="24"/>
        </w:rPr>
        <w:t>fold</w:t>
      </w:r>
      <w:r>
        <w:rPr>
          <w:rFonts w:ascii="Bookman Old Style"/>
          <w:spacing w:val="36"/>
          <w:sz w:val="24"/>
        </w:rPr>
        <w:t xml:space="preserve"> </w:t>
      </w:r>
      <w:r>
        <w:rPr>
          <w:rFonts w:ascii="Bookman Old Style"/>
          <w:sz w:val="24"/>
        </w:rPr>
        <w:t>of</w:t>
      </w:r>
      <w:r>
        <w:rPr>
          <w:rFonts w:ascii="Bookman Old Style"/>
          <w:spacing w:val="37"/>
          <w:sz w:val="24"/>
        </w:rPr>
        <w:t xml:space="preserve"> </w:t>
      </w:r>
      <w:r>
        <w:rPr>
          <w:rFonts w:ascii="Bookman Old Style"/>
          <w:sz w:val="24"/>
        </w:rPr>
        <w:t>Articles</w:t>
      </w:r>
      <w:r>
        <w:rPr>
          <w:rFonts w:ascii="Bookman Old Style"/>
          <w:spacing w:val="38"/>
          <w:sz w:val="24"/>
        </w:rPr>
        <w:t xml:space="preserve"> </w:t>
      </w:r>
      <w:r>
        <w:rPr>
          <w:rFonts w:ascii="Bookman Old Style"/>
          <w:sz w:val="24"/>
        </w:rPr>
        <w:t>25</w:t>
      </w:r>
      <w:r>
        <w:rPr>
          <w:rFonts w:ascii="Bookman Old Style"/>
          <w:spacing w:val="36"/>
          <w:sz w:val="24"/>
        </w:rPr>
        <w:t xml:space="preserve"> </w:t>
      </w:r>
      <w:r>
        <w:rPr>
          <w:rFonts w:ascii="Bookman Old Style"/>
          <w:sz w:val="24"/>
        </w:rPr>
        <w:t>and</w:t>
      </w:r>
    </w:p>
    <w:p w:rsidR="003B2FC0" w:rsidRDefault="00052A49">
      <w:pPr>
        <w:spacing w:line="480" w:lineRule="auto"/>
        <w:ind w:left="1252" w:right="454"/>
        <w:jc w:val="both"/>
        <w:rPr>
          <w:rFonts w:ascii="Bookman Old Style"/>
          <w:sz w:val="24"/>
        </w:rPr>
      </w:pPr>
      <w:r>
        <w:rPr>
          <w:rFonts w:ascii="Bookman Old Style"/>
          <w:sz w:val="24"/>
        </w:rPr>
        <w:t>26. State interference was not permissible, except as provided by Article 25(2)(b) of the Constitution, where the State may make law providing for social welfare and refo</w:t>
      </w:r>
      <w:r>
        <w:rPr>
          <w:rFonts w:ascii="Bookman Old Style"/>
          <w:sz w:val="24"/>
        </w:rPr>
        <w:t>rm.</w:t>
      </w:r>
    </w:p>
    <w:p w:rsidR="003B2FC0" w:rsidRDefault="003B2FC0">
      <w:pPr>
        <w:spacing w:line="480" w:lineRule="auto"/>
        <w:jc w:val="both"/>
        <w:rPr>
          <w:rFonts w:ascii="Bookman Old Style"/>
          <w:sz w:val="24"/>
        </w:rPr>
        <w:sectPr w:rsidR="003B2FC0">
          <w:headerReference w:type="default" r:id="rId481"/>
          <w:footerReference w:type="default" r:id="rId482"/>
          <w:pgSz w:w="11910" w:h="16840"/>
          <w:pgMar w:top="1340" w:right="980" w:bottom="1220" w:left="1040" w:header="0" w:footer="1033" w:gutter="0"/>
          <w:pgNumType w:start="44"/>
          <w:cols w:space="720"/>
        </w:sectPr>
      </w:pPr>
    </w:p>
    <w:p w:rsidR="003B2FC0" w:rsidRDefault="00052A49">
      <w:pPr>
        <w:pStyle w:val="ListParagraph"/>
        <w:numPr>
          <w:ilvl w:val="1"/>
          <w:numId w:val="7"/>
        </w:numPr>
        <w:tabs>
          <w:tab w:val="left" w:pos="1253"/>
        </w:tabs>
        <w:spacing w:before="83" w:line="480" w:lineRule="auto"/>
        <w:ind w:right="457"/>
        <w:rPr>
          <w:rFonts w:ascii="Bookman Old Style"/>
          <w:sz w:val="24"/>
        </w:rPr>
      </w:pPr>
      <w:r>
        <w:rPr>
          <w:rFonts w:ascii="Bookman Old Style"/>
          <w:sz w:val="24"/>
        </w:rPr>
        <w:t>The concept of Constitutional Morality refers to the moral values underpinning the text of the Constitution, which are instructive in ascertaining the true meaning of the Constitution, and achieve the objects contemplated</w:t>
      </w:r>
      <w:r>
        <w:rPr>
          <w:rFonts w:ascii="Bookman Old Style"/>
          <w:spacing w:val="-1"/>
          <w:sz w:val="24"/>
        </w:rPr>
        <w:t xml:space="preserve"> </w:t>
      </w:r>
      <w:r>
        <w:rPr>
          <w:rFonts w:ascii="Bookman Old Style"/>
          <w:sz w:val="24"/>
        </w:rPr>
        <w:t>therein.</w:t>
      </w:r>
    </w:p>
    <w:p w:rsidR="003B2FC0" w:rsidRDefault="00052A49">
      <w:pPr>
        <w:pStyle w:val="ListParagraph"/>
        <w:numPr>
          <w:ilvl w:val="1"/>
          <w:numId w:val="7"/>
        </w:numPr>
        <w:tabs>
          <w:tab w:val="left" w:pos="1253"/>
        </w:tabs>
        <w:spacing w:line="480" w:lineRule="auto"/>
        <w:ind w:right="453"/>
        <w:rPr>
          <w:rFonts w:ascii="Bookman Old Style"/>
          <w:sz w:val="24"/>
        </w:rPr>
      </w:pPr>
      <w:r>
        <w:rPr>
          <w:rFonts w:ascii="Bookman Old Style"/>
          <w:sz w:val="24"/>
        </w:rPr>
        <w:t>Constitutional Morality i</w:t>
      </w:r>
      <w:r>
        <w:rPr>
          <w:rFonts w:ascii="Bookman Old Style"/>
          <w:sz w:val="24"/>
        </w:rPr>
        <w:t xml:space="preserve">n a pluralistic society and secular polity would reflect that the followers of various sects have the freedom to practise their faith in accordance with the tenets of their religion. It is irrelevant whether the practise is rational or logical. Notions of </w:t>
      </w:r>
      <w:r>
        <w:rPr>
          <w:rFonts w:ascii="Bookman Old Style"/>
          <w:sz w:val="24"/>
        </w:rPr>
        <w:t>rationality cannot be invoked in matters of religion by</w:t>
      </w:r>
      <w:r>
        <w:rPr>
          <w:rFonts w:ascii="Bookman Old Style"/>
          <w:spacing w:val="-4"/>
          <w:sz w:val="24"/>
        </w:rPr>
        <w:t xml:space="preserve"> </w:t>
      </w:r>
      <w:r>
        <w:rPr>
          <w:rFonts w:ascii="Bookman Old Style"/>
          <w:sz w:val="24"/>
        </w:rPr>
        <w:t>courts.</w:t>
      </w:r>
    </w:p>
    <w:p w:rsidR="003B2FC0" w:rsidRDefault="00052A49">
      <w:pPr>
        <w:pStyle w:val="ListParagraph"/>
        <w:numPr>
          <w:ilvl w:val="1"/>
          <w:numId w:val="7"/>
        </w:numPr>
        <w:tabs>
          <w:tab w:val="left" w:pos="1253"/>
        </w:tabs>
        <w:spacing w:before="1" w:line="480" w:lineRule="auto"/>
        <w:ind w:right="455"/>
        <w:rPr>
          <w:rFonts w:ascii="Bookman Old Style"/>
          <w:sz w:val="24"/>
        </w:rPr>
      </w:pPr>
      <w:r>
        <w:rPr>
          <w:rFonts w:ascii="Bookman Old Style"/>
          <w:sz w:val="24"/>
        </w:rPr>
        <w:t>The followers of this denomination, or sect, as the case may be, submit that the worshippers of this deity in Sabarimala Temple even individually have the right to practise and profess their r</w:t>
      </w:r>
      <w:r>
        <w:rPr>
          <w:rFonts w:ascii="Bookman Old Style"/>
          <w:sz w:val="24"/>
        </w:rPr>
        <w:t>eligion under Article 25(1) in accordance with the tenets of their faith, which is protected as a Fundamental</w:t>
      </w:r>
      <w:r>
        <w:rPr>
          <w:rFonts w:ascii="Bookman Old Style"/>
          <w:spacing w:val="-5"/>
          <w:sz w:val="24"/>
        </w:rPr>
        <w:t xml:space="preserve"> </w:t>
      </w:r>
      <w:r>
        <w:rPr>
          <w:rFonts w:ascii="Bookman Old Style"/>
          <w:sz w:val="24"/>
        </w:rPr>
        <w:t>Right.</w:t>
      </w:r>
    </w:p>
    <w:p w:rsidR="003B2FC0" w:rsidRDefault="00052A49">
      <w:pPr>
        <w:pStyle w:val="ListParagraph"/>
        <w:numPr>
          <w:ilvl w:val="1"/>
          <w:numId w:val="7"/>
        </w:numPr>
        <w:tabs>
          <w:tab w:val="left" w:pos="1253"/>
        </w:tabs>
        <w:spacing w:before="1" w:line="480" w:lineRule="auto"/>
        <w:ind w:right="455"/>
        <w:rPr>
          <w:rFonts w:ascii="Bookman Old Style"/>
          <w:sz w:val="24"/>
        </w:rPr>
      </w:pPr>
      <w:r>
        <w:rPr>
          <w:rFonts w:ascii="Bookman Old Style"/>
          <w:sz w:val="24"/>
        </w:rPr>
        <w:t>Equality and non-discrimination are certainly one facet of Constitutional Morality. However, the concept of equality and non- discriminatio</w:t>
      </w:r>
      <w:r>
        <w:rPr>
          <w:rFonts w:ascii="Bookman Old Style"/>
          <w:sz w:val="24"/>
        </w:rPr>
        <w:t>n in matters of religion cannot be viewed in isolation. Under our Constitutional scheme, a balance is required to be struck between the principles of equality and non-discrimination on the one hand, and the protection of the cherished liberties of faith, b</w:t>
      </w:r>
      <w:r>
        <w:rPr>
          <w:rFonts w:ascii="Bookman Old Style"/>
          <w:sz w:val="24"/>
        </w:rPr>
        <w:t>elief, and worship guaranteed by Articles 25 and 26 to persons belonging to all religions in a secular polity, on the other hand. Constitutional morality requires the harmonisation or balancing of all such rights, to ensure that the religious beliefs of no</w:t>
      </w:r>
      <w:r>
        <w:rPr>
          <w:rFonts w:ascii="Bookman Old Style"/>
          <w:sz w:val="24"/>
        </w:rPr>
        <w:t>ne are obliterated or undermined.</w:t>
      </w:r>
    </w:p>
    <w:p w:rsidR="003B2FC0" w:rsidRDefault="003B2FC0">
      <w:pPr>
        <w:spacing w:line="480" w:lineRule="auto"/>
        <w:jc w:val="both"/>
        <w:rPr>
          <w:rFonts w:ascii="Bookman Old Style"/>
          <w:sz w:val="24"/>
        </w:rPr>
        <w:sectPr w:rsidR="003B2FC0">
          <w:headerReference w:type="default" r:id="rId483"/>
          <w:footerReference w:type="default" r:id="rId484"/>
          <w:pgSz w:w="11910" w:h="16840"/>
          <w:pgMar w:top="1340" w:right="980" w:bottom="1220" w:left="1040" w:header="0" w:footer="1033" w:gutter="0"/>
          <w:pgNumType w:start="45"/>
          <w:cols w:space="720"/>
        </w:sectPr>
      </w:pPr>
    </w:p>
    <w:p w:rsidR="003B2FC0" w:rsidRDefault="00052A49">
      <w:pPr>
        <w:spacing w:before="83" w:line="480" w:lineRule="auto"/>
        <w:ind w:left="1252" w:right="457" w:firstLine="424"/>
        <w:jc w:val="both"/>
        <w:rPr>
          <w:rFonts w:ascii="Bookman Old Style"/>
          <w:sz w:val="24"/>
        </w:rPr>
      </w:pPr>
      <w:r>
        <w:rPr>
          <w:rFonts w:ascii="Bookman Old Style"/>
          <w:sz w:val="24"/>
        </w:rPr>
        <w:t xml:space="preserve">A Constitution Bench of five-Judges in </w:t>
      </w:r>
      <w:r>
        <w:rPr>
          <w:rFonts w:ascii="Bookman Old Style"/>
          <w:i/>
          <w:sz w:val="24"/>
        </w:rPr>
        <w:t xml:space="preserve">Sahara India Real Estate Corporation Limited &amp; Ors. </w:t>
      </w:r>
      <w:r>
        <w:rPr>
          <w:rFonts w:ascii="Bookman Old Style"/>
          <w:sz w:val="24"/>
        </w:rPr>
        <w:t xml:space="preserve">v. </w:t>
      </w:r>
      <w:r>
        <w:rPr>
          <w:rFonts w:ascii="Bookman Old Style"/>
          <w:i/>
          <w:sz w:val="24"/>
        </w:rPr>
        <w:t>Securities and Exchange Board of India &amp; Anr.</w:t>
      </w:r>
      <w:r>
        <w:rPr>
          <w:rFonts w:ascii="Bookman Old Style"/>
          <w:position w:val="6"/>
          <w:sz w:val="16"/>
        </w:rPr>
        <w:t xml:space="preserve">42 </w:t>
      </w:r>
      <w:r>
        <w:rPr>
          <w:rFonts w:ascii="Bookman Old Style"/>
          <w:sz w:val="24"/>
        </w:rPr>
        <w:t>had highlighted the role of this Court as an institution tasked with balancing the various Fundamental Rights, guaranteed under Part III. It was noted</w:t>
      </w:r>
      <w:r>
        <w:rPr>
          <w:rFonts w:ascii="Bookman Old Style"/>
          <w:spacing w:val="-10"/>
          <w:sz w:val="24"/>
        </w:rPr>
        <w:t xml:space="preserve"> </w:t>
      </w:r>
      <w:r>
        <w:rPr>
          <w:rFonts w:ascii="Bookman Old Style"/>
          <w:sz w:val="24"/>
        </w:rPr>
        <w:t>that:</w:t>
      </w:r>
    </w:p>
    <w:p w:rsidR="003B2FC0" w:rsidRDefault="00052A49">
      <w:pPr>
        <w:ind w:left="1677" w:right="830"/>
        <w:jc w:val="both"/>
        <w:rPr>
          <w:rFonts w:ascii="Bookman Old Style" w:hAnsi="Bookman Old Style"/>
          <w:sz w:val="24"/>
        </w:rPr>
      </w:pPr>
      <w:r>
        <w:rPr>
          <w:rFonts w:ascii="Bookman Old Style" w:hAnsi="Bookman Old Style"/>
          <w:sz w:val="24"/>
        </w:rPr>
        <w:t>“</w:t>
      </w:r>
      <w:r>
        <w:rPr>
          <w:rFonts w:ascii="Bookman Old Style" w:hAnsi="Bookman Old Style"/>
          <w:i/>
          <w:sz w:val="24"/>
        </w:rPr>
        <w:t xml:space="preserve">25. At the outset, it may be stated that Supreme Court is </w:t>
      </w:r>
      <w:r>
        <w:rPr>
          <w:rFonts w:ascii="Bookman Old Style" w:hAnsi="Bookman Old Style"/>
          <w:i/>
          <w:spacing w:val="3"/>
          <w:sz w:val="24"/>
        </w:rPr>
        <w:t xml:space="preserve">not </w:t>
      </w:r>
      <w:r>
        <w:rPr>
          <w:rFonts w:ascii="Bookman Old Style" w:hAnsi="Bookman Old Style"/>
          <w:i/>
          <w:sz w:val="24"/>
        </w:rPr>
        <w:t xml:space="preserve">only the sentinel of the fundamental rights but also a balancing wheel between the rights, subject to social control…under our Constitution no right </w:t>
      </w:r>
      <w:r>
        <w:rPr>
          <w:rFonts w:ascii="Bookman Old Style" w:hAnsi="Bookman Old Style"/>
          <w:i/>
          <w:spacing w:val="-3"/>
          <w:sz w:val="24"/>
        </w:rPr>
        <w:t xml:space="preserve">in </w:t>
      </w:r>
      <w:r>
        <w:rPr>
          <w:rFonts w:ascii="Bookman Old Style" w:hAnsi="Bookman Old Style"/>
          <w:i/>
          <w:sz w:val="24"/>
        </w:rPr>
        <w:t>Part III is absolute. Freedom of expression is not an absolute value under our Constitution. It must not</w:t>
      </w:r>
      <w:r>
        <w:rPr>
          <w:rFonts w:ascii="Bookman Old Style" w:hAnsi="Bookman Old Style"/>
          <w:i/>
          <w:sz w:val="24"/>
        </w:rPr>
        <w:t xml:space="preserve"> be forgotten that no single value, no matter exalted, can bear the full burden of upholding a democratic system of government. Underlying our constitutional system are a number of important values, all of </w:t>
      </w:r>
      <w:r>
        <w:rPr>
          <w:rFonts w:ascii="Bookman Old Style" w:hAnsi="Bookman Old Style"/>
          <w:i/>
          <w:spacing w:val="-3"/>
          <w:sz w:val="24"/>
        </w:rPr>
        <w:t xml:space="preserve">which </w:t>
      </w:r>
      <w:r>
        <w:rPr>
          <w:rFonts w:ascii="Bookman Old Style" w:hAnsi="Bookman Old Style"/>
          <w:i/>
          <w:sz w:val="24"/>
        </w:rPr>
        <w:t xml:space="preserve">help to guarantee our liberties, but in </w:t>
      </w:r>
      <w:r>
        <w:rPr>
          <w:rFonts w:ascii="Bookman Old Style" w:hAnsi="Bookman Old Style"/>
          <w:i/>
          <w:spacing w:val="-3"/>
          <w:sz w:val="24"/>
        </w:rPr>
        <w:t>ways</w:t>
      </w:r>
      <w:r>
        <w:rPr>
          <w:rFonts w:ascii="Bookman Old Style" w:hAnsi="Bookman Old Style"/>
          <w:i/>
          <w:spacing w:val="-3"/>
          <w:sz w:val="24"/>
        </w:rPr>
        <w:t xml:space="preserve"> </w:t>
      </w:r>
      <w:r>
        <w:rPr>
          <w:rFonts w:ascii="Bookman Old Style" w:hAnsi="Bookman Old Style"/>
          <w:i/>
          <w:sz w:val="24"/>
        </w:rPr>
        <w:t>which sometimes conflict. Under our Constitution, probably, no values are absolute. All important values, therefore, must be qualified and balanced against other important, and often competing,</w:t>
      </w:r>
      <w:r>
        <w:rPr>
          <w:rFonts w:ascii="Bookman Old Style" w:hAnsi="Bookman Old Style"/>
          <w:i/>
          <w:spacing w:val="2"/>
          <w:sz w:val="24"/>
        </w:rPr>
        <w:t xml:space="preserve"> </w:t>
      </w:r>
      <w:r>
        <w:rPr>
          <w:rFonts w:ascii="Bookman Old Style" w:hAnsi="Bookman Old Style"/>
          <w:i/>
          <w:sz w:val="24"/>
        </w:rPr>
        <w:t>values.</w:t>
      </w:r>
      <w:r>
        <w:rPr>
          <w:rFonts w:ascii="Bookman Old Style" w:hAnsi="Bookman Old Style"/>
          <w:sz w:val="24"/>
        </w:rPr>
        <w:t>”</w:t>
      </w:r>
    </w:p>
    <w:p w:rsidR="003B2FC0" w:rsidRDefault="003B2FC0">
      <w:pPr>
        <w:pStyle w:val="BodyText"/>
        <w:spacing w:before="2"/>
        <w:rPr>
          <w:sz w:val="24"/>
        </w:rPr>
      </w:pPr>
    </w:p>
    <w:p w:rsidR="003B2FC0" w:rsidRDefault="00052A49">
      <w:pPr>
        <w:spacing w:line="480" w:lineRule="auto"/>
        <w:ind w:left="1252" w:right="456" w:firstLine="424"/>
        <w:jc w:val="both"/>
        <w:rPr>
          <w:rFonts w:ascii="Bookman Old Style"/>
          <w:sz w:val="24"/>
        </w:rPr>
      </w:pPr>
      <w:r>
        <w:rPr>
          <w:rFonts w:ascii="Bookman Old Style"/>
          <w:sz w:val="24"/>
        </w:rPr>
        <w:t>The Constitutional necessity of balancing various F</w:t>
      </w:r>
      <w:r>
        <w:rPr>
          <w:rFonts w:ascii="Bookman Old Style"/>
          <w:sz w:val="24"/>
        </w:rPr>
        <w:t xml:space="preserve">undamental Rights has also been emphasised in the decision of this Court in </w:t>
      </w:r>
      <w:r>
        <w:rPr>
          <w:rFonts w:ascii="Bookman Old Style"/>
          <w:i/>
          <w:sz w:val="24"/>
        </w:rPr>
        <w:t xml:space="preserve">Subramaniam Swamy </w:t>
      </w:r>
      <w:r>
        <w:rPr>
          <w:rFonts w:ascii="Bookman Old Style"/>
          <w:sz w:val="24"/>
        </w:rPr>
        <w:t xml:space="preserve">v. </w:t>
      </w:r>
      <w:r>
        <w:rPr>
          <w:rFonts w:ascii="Bookman Old Style"/>
          <w:i/>
          <w:sz w:val="24"/>
        </w:rPr>
        <w:t>Union of India, Ministry of Law &amp; Ors.</w:t>
      </w:r>
      <w:r>
        <w:rPr>
          <w:rFonts w:ascii="Bookman Old Style"/>
          <w:position w:val="6"/>
          <w:sz w:val="16"/>
        </w:rPr>
        <w:t>43</w:t>
      </w:r>
      <w:r>
        <w:rPr>
          <w:rFonts w:ascii="Bookman Old Style"/>
          <w:sz w:val="24"/>
        </w:rPr>
        <w:t>.</w:t>
      </w:r>
    </w:p>
    <w:p w:rsidR="003B2FC0" w:rsidRDefault="00052A49">
      <w:pPr>
        <w:spacing w:line="480" w:lineRule="auto"/>
        <w:ind w:left="1252" w:right="453" w:firstLine="424"/>
        <w:jc w:val="both"/>
        <w:rPr>
          <w:rFonts w:ascii="Bookman Old Style"/>
          <w:sz w:val="24"/>
        </w:rPr>
      </w:pPr>
      <w:r>
        <w:rPr>
          <w:rFonts w:ascii="Bookman Old Style"/>
          <w:sz w:val="24"/>
        </w:rPr>
        <w:t xml:space="preserve">In </w:t>
      </w:r>
      <w:r>
        <w:rPr>
          <w:rFonts w:ascii="Bookman Old Style"/>
          <w:i/>
          <w:sz w:val="24"/>
        </w:rPr>
        <w:t xml:space="preserve">Acharya Maharajshri Narendra Prasadji Anandprasadji Maharaj &amp; Ors. </w:t>
      </w:r>
      <w:r>
        <w:rPr>
          <w:rFonts w:ascii="Bookman Old Style"/>
          <w:sz w:val="24"/>
        </w:rPr>
        <w:t xml:space="preserve">v. </w:t>
      </w:r>
      <w:r>
        <w:rPr>
          <w:rFonts w:ascii="Bookman Old Style"/>
          <w:i/>
          <w:sz w:val="24"/>
        </w:rPr>
        <w:t>The State of Gujarat &amp; Ors.</w:t>
      </w:r>
      <w:r>
        <w:rPr>
          <w:rFonts w:ascii="Bookman Old Style"/>
          <w:position w:val="6"/>
          <w:sz w:val="16"/>
        </w:rPr>
        <w:t>44</w:t>
      </w:r>
      <w:r>
        <w:rPr>
          <w:rFonts w:ascii="Bookman Old Style"/>
          <w:sz w:val="24"/>
        </w:rPr>
        <w:t>, a Constitutio</w:t>
      </w:r>
      <w:r>
        <w:rPr>
          <w:rFonts w:ascii="Bookman Old Style"/>
          <w:sz w:val="24"/>
        </w:rPr>
        <w:t>n Bench, in the context of Article 26, noted that it is a duty of this Court to strike a balance, and ensure that Fundamental Rights of one person co-exist in harmony with the exercise of Fundamental Rights of</w:t>
      </w:r>
      <w:r>
        <w:rPr>
          <w:rFonts w:ascii="Bookman Old Style"/>
          <w:spacing w:val="-2"/>
          <w:sz w:val="24"/>
        </w:rPr>
        <w:t xml:space="preserve"> </w:t>
      </w:r>
      <w:r>
        <w:rPr>
          <w:rFonts w:ascii="Bookman Old Style"/>
          <w:sz w:val="24"/>
        </w:rPr>
        <w:t>others.</w:t>
      </w: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spacing w:before="6"/>
        <w:rPr>
          <w:sz w:val="27"/>
        </w:rPr>
      </w:pPr>
      <w:r w:rsidRPr="003B2FC0">
        <w:pict>
          <v:line id="_x0000_s1036" style="position:absolute;z-index:251677184;mso-wrap-distance-left:0;mso-wrap-distance-right:0;mso-position-horizontal-relative:page" from="1in,18.5pt" to="216.05pt,18.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42 </w:t>
      </w:r>
      <w:r>
        <w:rPr>
          <w:rFonts w:ascii="Bookman Old Style"/>
          <w:sz w:val="20"/>
        </w:rPr>
        <w:t>(2012) 10 SCC 603</w:t>
      </w:r>
    </w:p>
    <w:p w:rsidR="003B2FC0" w:rsidRDefault="00052A49">
      <w:pPr>
        <w:spacing w:before="1"/>
        <w:ind w:left="400"/>
        <w:rPr>
          <w:rFonts w:ascii="Bookman Old Style"/>
          <w:sz w:val="20"/>
        </w:rPr>
      </w:pPr>
      <w:r>
        <w:rPr>
          <w:rFonts w:ascii="Bookman Old Style"/>
          <w:position w:val="5"/>
          <w:sz w:val="13"/>
        </w:rPr>
        <w:t xml:space="preserve">43 </w:t>
      </w:r>
      <w:r>
        <w:rPr>
          <w:rFonts w:ascii="Bookman Old Style"/>
          <w:sz w:val="20"/>
        </w:rPr>
        <w:t>(2016) 7 SCC 221</w:t>
      </w:r>
    </w:p>
    <w:p w:rsidR="003B2FC0" w:rsidRDefault="00052A49">
      <w:pPr>
        <w:ind w:left="400"/>
        <w:rPr>
          <w:rFonts w:ascii="Bookman Old Style"/>
          <w:sz w:val="20"/>
        </w:rPr>
      </w:pPr>
      <w:r>
        <w:rPr>
          <w:rFonts w:ascii="Bookman Old Style"/>
          <w:position w:val="5"/>
          <w:sz w:val="13"/>
        </w:rPr>
        <w:t xml:space="preserve">44 </w:t>
      </w:r>
      <w:r>
        <w:rPr>
          <w:rFonts w:ascii="Bookman Old Style"/>
          <w:sz w:val="20"/>
        </w:rPr>
        <w:t>(1975) 1 SCC 11</w:t>
      </w:r>
    </w:p>
    <w:p w:rsidR="003B2FC0" w:rsidRDefault="003B2FC0">
      <w:pPr>
        <w:rPr>
          <w:rFonts w:ascii="Bookman Old Style"/>
          <w:sz w:val="20"/>
        </w:rPr>
        <w:sectPr w:rsidR="003B2FC0">
          <w:headerReference w:type="default" r:id="rId485"/>
          <w:footerReference w:type="default" r:id="rId486"/>
          <w:pgSz w:w="11910" w:h="16840"/>
          <w:pgMar w:top="1340" w:right="980" w:bottom="1220" w:left="1040" w:header="0" w:footer="1033" w:gutter="0"/>
          <w:pgNumType w:start="46"/>
          <w:cols w:space="720"/>
        </w:sectPr>
      </w:pPr>
    </w:p>
    <w:p w:rsidR="003B2FC0" w:rsidRDefault="00052A49">
      <w:pPr>
        <w:spacing w:before="83" w:line="480" w:lineRule="auto"/>
        <w:ind w:left="1252" w:right="456" w:firstLine="424"/>
        <w:jc w:val="both"/>
        <w:rPr>
          <w:rFonts w:ascii="Bookman Old Style"/>
          <w:sz w:val="24"/>
        </w:rPr>
      </w:pPr>
      <w:r>
        <w:rPr>
          <w:rFonts w:ascii="Bookman Old Style"/>
          <w:sz w:val="24"/>
        </w:rPr>
        <w:t>It is the Constitutional duty of the Court to harmonise the rights of all persons, religious denominations or sects thereof, to practise their religion according to their beliefs and practises.</w:t>
      </w:r>
    </w:p>
    <w:p w:rsidR="003B2FC0" w:rsidRDefault="003B2FC0">
      <w:pPr>
        <w:pStyle w:val="BodyText"/>
      </w:pPr>
    </w:p>
    <w:p w:rsidR="003B2FC0" w:rsidRDefault="003B2FC0">
      <w:pPr>
        <w:pStyle w:val="BodyText"/>
        <w:spacing w:before="3"/>
        <w:rPr>
          <w:sz w:val="23"/>
        </w:rPr>
      </w:pPr>
    </w:p>
    <w:p w:rsidR="003B2FC0" w:rsidRDefault="00052A49">
      <w:pPr>
        <w:pStyle w:val="ListParagraph"/>
        <w:numPr>
          <w:ilvl w:val="0"/>
          <w:numId w:val="13"/>
        </w:numPr>
        <w:tabs>
          <w:tab w:val="left" w:pos="543"/>
        </w:tabs>
        <w:ind w:hanging="426"/>
        <w:jc w:val="left"/>
        <w:rPr>
          <w:rFonts w:ascii="Bookman Old Style"/>
          <w:sz w:val="19"/>
        </w:rPr>
      </w:pPr>
      <w:r>
        <w:rPr>
          <w:rFonts w:ascii="Bookman Old Style"/>
          <w:sz w:val="24"/>
          <w:u w:val="single"/>
        </w:rPr>
        <w:t>R</w:t>
      </w:r>
      <w:r>
        <w:rPr>
          <w:rFonts w:ascii="Bookman Old Style"/>
          <w:sz w:val="19"/>
          <w:u w:val="single"/>
        </w:rPr>
        <w:t>ELIGIOUS</w:t>
      </w:r>
      <w:r>
        <w:rPr>
          <w:rFonts w:ascii="Bookman Old Style"/>
          <w:spacing w:val="-2"/>
          <w:sz w:val="19"/>
          <w:u w:val="single"/>
        </w:rPr>
        <w:t xml:space="preserve"> </w:t>
      </w:r>
      <w:r>
        <w:rPr>
          <w:rFonts w:ascii="Bookman Old Style"/>
          <w:sz w:val="24"/>
          <w:u w:val="single"/>
        </w:rPr>
        <w:t>D</w:t>
      </w:r>
      <w:r>
        <w:rPr>
          <w:rFonts w:ascii="Bookman Old Style"/>
          <w:sz w:val="19"/>
          <w:u w:val="single"/>
        </w:rPr>
        <w:t>ENOMINATION</w:t>
      </w:r>
    </w:p>
    <w:p w:rsidR="003B2FC0" w:rsidRDefault="003B2FC0">
      <w:pPr>
        <w:pStyle w:val="BodyText"/>
        <w:spacing w:before="7"/>
        <w:rPr>
          <w:sz w:val="15"/>
        </w:rPr>
      </w:pPr>
    </w:p>
    <w:p w:rsidR="003B2FC0" w:rsidRDefault="00052A49">
      <w:pPr>
        <w:pStyle w:val="ListParagraph"/>
        <w:numPr>
          <w:ilvl w:val="1"/>
          <w:numId w:val="6"/>
        </w:numPr>
        <w:tabs>
          <w:tab w:val="left" w:pos="1253"/>
        </w:tabs>
        <w:spacing w:before="100" w:line="480" w:lineRule="auto"/>
        <w:ind w:right="455"/>
        <w:rPr>
          <w:rFonts w:ascii="Bookman Old Style"/>
          <w:sz w:val="24"/>
        </w:rPr>
      </w:pPr>
      <w:r>
        <w:rPr>
          <w:rFonts w:ascii="Bookman Old Style"/>
          <w:sz w:val="24"/>
        </w:rPr>
        <w:t>Article 26 of the Constitution guara</w:t>
      </w:r>
      <w:r>
        <w:rPr>
          <w:rFonts w:ascii="Bookman Old Style"/>
          <w:sz w:val="24"/>
        </w:rPr>
        <w:t>ntees the freedom to every religious denomination, or sect thereof, the right to establish and maintain institutions for religious or charitable purposes, and</w:t>
      </w:r>
      <w:r>
        <w:rPr>
          <w:rFonts w:ascii="Bookman Old Style"/>
          <w:spacing w:val="43"/>
          <w:sz w:val="24"/>
        </w:rPr>
        <w:t xml:space="preserve"> </w:t>
      </w:r>
      <w:r>
        <w:rPr>
          <w:rFonts w:ascii="Bookman Old Style"/>
          <w:sz w:val="24"/>
        </w:rPr>
        <w:t>to manage their own affairs in matters of religion. The right conferred under Article 26 is subje</w:t>
      </w:r>
      <w:r>
        <w:rPr>
          <w:rFonts w:ascii="Bookman Old Style"/>
          <w:sz w:val="24"/>
        </w:rPr>
        <w:t>ct to public order, morality and health, and not to any other provisions in Part III of the</w:t>
      </w:r>
      <w:r>
        <w:rPr>
          <w:rFonts w:ascii="Bookman Old Style"/>
          <w:spacing w:val="-12"/>
          <w:sz w:val="24"/>
        </w:rPr>
        <w:t xml:space="preserve"> </w:t>
      </w:r>
      <w:r>
        <w:rPr>
          <w:rFonts w:ascii="Bookman Old Style"/>
          <w:sz w:val="24"/>
        </w:rPr>
        <w:t>Constitution.</w:t>
      </w:r>
    </w:p>
    <w:p w:rsidR="003B2FC0" w:rsidRDefault="00052A49">
      <w:pPr>
        <w:pStyle w:val="ListParagraph"/>
        <w:numPr>
          <w:ilvl w:val="1"/>
          <w:numId w:val="6"/>
        </w:numPr>
        <w:tabs>
          <w:tab w:val="left" w:pos="1253"/>
        </w:tabs>
        <w:spacing w:line="480" w:lineRule="auto"/>
        <w:ind w:right="454"/>
        <w:rPr>
          <w:rFonts w:ascii="Bookman Old Style"/>
          <w:sz w:val="24"/>
        </w:rPr>
      </w:pPr>
      <w:r>
        <w:rPr>
          <w:rFonts w:ascii="Bookman Old Style"/>
          <w:sz w:val="24"/>
        </w:rPr>
        <w:t xml:space="preserve">A religious denomination or organisation enjoys complete autonomy in matters of deciding what rites and ceremonies are essential according to the tenets of that religion. The only restriction imposed is on the exercise of the right being subject to public </w:t>
      </w:r>
      <w:r>
        <w:rPr>
          <w:rFonts w:ascii="Bookman Old Style"/>
          <w:sz w:val="24"/>
        </w:rPr>
        <w:t>order, morality and health under Article</w:t>
      </w:r>
      <w:r>
        <w:rPr>
          <w:rFonts w:ascii="Bookman Old Style"/>
          <w:spacing w:val="-5"/>
          <w:sz w:val="24"/>
        </w:rPr>
        <w:t xml:space="preserve"> </w:t>
      </w:r>
      <w:r>
        <w:rPr>
          <w:rFonts w:ascii="Bookman Old Style"/>
          <w:sz w:val="24"/>
        </w:rPr>
        <w:t>26.</w:t>
      </w:r>
    </w:p>
    <w:p w:rsidR="003B2FC0" w:rsidRDefault="00052A49">
      <w:pPr>
        <w:spacing w:line="480" w:lineRule="auto"/>
        <w:ind w:left="1252" w:right="457" w:firstLine="424"/>
        <w:jc w:val="both"/>
        <w:rPr>
          <w:rFonts w:ascii="Bookman Old Style"/>
          <w:sz w:val="24"/>
        </w:rPr>
      </w:pPr>
      <w:r>
        <w:rPr>
          <w:rFonts w:ascii="Bookman Old Style"/>
          <w:sz w:val="24"/>
        </w:rPr>
        <w:t>The Respondents assert that the devotees of the Sabarimala Temple constitute a religious denomination, or a sect thereof, and are entitled to claim protection under Article 26 of the Constitution.</w:t>
      </w:r>
    </w:p>
    <w:p w:rsidR="003B2FC0" w:rsidRDefault="00052A49">
      <w:pPr>
        <w:pStyle w:val="ListParagraph"/>
        <w:numPr>
          <w:ilvl w:val="1"/>
          <w:numId w:val="6"/>
        </w:numPr>
        <w:tabs>
          <w:tab w:val="left" w:pos="1253"/>
        </w:tabs>
        <w:spacing w:line="480" w:lineRule="auto"/>
        <w:ind w:right="454"/>
        <w:rPr>
          <w:rFonts w:ascii="Bookman Old Style"/>
          <w:sz w:val="24"/>
        </w:rPr>
      </w:pPr>
      <w:r>
        <w:rPr>
          <w:rFonts w:ascii="Bookman Old Style"/>
          <w:sz w:val="24"/>
        </w:rPr>
        <w:t xml:space="preserve">Article 26 refers not only to religious denominations, but also to sects thereof. Article 26 guarantees that every religious denomination, or sect thereof, shall have the right </w:t>
      </w:r>
      <w:r>
        <w:rPr>
          <w:rFonts w:ascii="Bookman Old Style"/>
          <w:i/>
          <w:sz w:val="24"/>
        </w:rPr>
        <w:t xml:space="preserve">inter alia </w:t>
      </w:r>
      <w:r>
        <w:rPr>
          <w:rFonts w:ascii="Bookman Old Style"/>
          <w:sz w:val="24"/>
        </w:rPr>
        <w:t>to manage its own affairs in matters of religion. This right is made</w:t>
      </w:r>
      <w:r>
        <w:rPr>
          <w:rFonts w:ascii="Bookman Old Style"/>
          <w:sz w:val="24"/>
        </w:rPr>
        <w:t xml:space="preserve"> subject to public order, morality, and</w:t>
      </w:r>
      <w:r>
        <w:rPr>
          <w:rFonts w:ascii="Bookman Old Style"/>
          <w:spacing w:val="-1"/>
          <w:sz w:val="24"/>
        </w:rPr>
        <w:t xml:space="preserve"> </w:t>
      </w:r>
      <w:r>
        <w:rPr>
          <w:rFonts w:ascii="Bookman Old Style"/>
          <w:sz w:val="24"/>
        </w:rPr>
        <w:t>health.</w:t>
      </w:r>
    </w:p>
    <w:p w:rsidR="003B2FC0" w:rsidRDefault="003B2FC0">
      <w:pPr>
        <w:spacing w:line="480" w:lineRule="auto"/>
        <w:jc w:val="both"/>
        <w:rPr>
          <w:rFonts w:ascii="Bookman Old Style"/>
          <w:sz w:val="24"/>
        </w:rPr>
        <w:sectPr w:rsidR="003B2FC0">
          <w:headerReference w:type="default" r:id="rId487"/>
          <w:footerReference w:type="default" r:id="rId488"/>
          <w:pgSz w:w="11910" w:h="16840"/>
          <w:pgMar w:top="1340" w:right="980" w:bottom="1220" w:left="1040" w:header="0" w:footer="1033" w:gutter="0"/>
          <w:pgNumType w:start="47"/>
          <w:cols w:space="720"/>
        </w:sectPr>
      </w:pPr>
    </w:p>
    <w:p w:rsidR="003B2FC0" w:rsidRDefault="00052A49">
      <w:pPr>
        <w:spacing w:before="83" w:line="480" w:lineRule="auto"/>
        <w:ind w:left="1252" w:right="453" w:firstLine="424"/>
        <w:jc w:val="both"/>
        <w:rPr>
          <w:rFonts w:ascii="Bookman Old Style" w:hAnsi="Bookman Old Style"/>
          <w:sz w:val="24"/>
        </w:rPr>
      </w:pPr>
      <w:r>
        <w:rPr>
          <w:rFonts w:ascii="Bookman Old Style" w:hAnsi="Bookman Old Style"/>
          <w:sz w:val="24"/>
        </w:rPr>
        <w:t>The Travancore Devaswom Board, and the other Respondents have asserted that the followers of the Sabarimala Temple constitute a religious denomination having a disti</w:t>
      </w:r>
      <w:r>
        <w:rPr>
          <w:rFonts w:ascii="Bookman Old Style" w:hAnsi="Bookman Old Style"/>
          <w:sz w:val="24"/>
        </w:rPr>
        <w:t>nct faith, well- identified practises, being followed since time immemorial. The worshippers of this shrine observe the tenets of this faith, and are addressed as “</w:t>
      </w:r>
      <w:r>
        <w:rPr>
          <w:rFonts w:ascii="Bookman Old Style" w:hAnsi="Bookman Old Style"/>
          <w:i/>
          <w:sz w:val="24"/>
        </w:rPr>
        <w:t>Ayyappans</w:t>
      </w:r>
      <w:r>
        <w:rPr>
          <w:rFonts w:ascii="Bookman Old Style" w:hAnsi="Bookman Old Style"/>
          <w:sz w:val="24"/>
        </w:rPr>
        <w:t>.” The Notifications issued by the Travancore Devaswom Board in 1955 and 1956 refer</w:t>
      </w:r>
      <w:r>
        <w:rPr>
          <w:rFonts w:ascii="Bookman Old Style" w:hAnsi="Bookman Old Style"/>
          <w:sz w:val="24"/>
        </w:rPr>
        <w:t xml:space="preserve"> to the devotees of the Sabarimala Temple as “</w:t>
      </w:r>
      <w:r>
        <w:rPr>
          <w:rFonts w:ascii="Bookman Old Style" w:hAnsi="Bookman Old Style"/>
          <w:i/>
          <w:sz w:val="24"/>
        </w:rPr>
        <w:t>Ayyappans</w:t>
      </w:r>
      <w:r>
        <w:rPr>
          <w:rFonts w:ascii="Bookman Old Style" w:hAnsi="Bookman Old Style"/>
          <w:sz w:val="24"/>
        </w:rPr>
        <w:t>”.</w:t>
      </w:r>
    </w:p>
    <w:p w:rsidR="003B2FC0" w:rsidRDefault="00052A49">
      <w:pPr>
        <w:spacing w:line="477" w:lineRule="auto"/>
        <w:ind w:left="1252" w:right="453" w:firstLine="424"/>
        <w:jc w:val="both"/>
        <w:rPr>
          <w:rFonts w:ascii="Bookman Old Style"/>
          <w:sz w:val="24"/>
        </w:rPr>
      </w:pPr>
      <w:r>
        <w:rPr>
          <w:rFonts w:ascii="Bookman Old Style"/>
          <w:sz w:val="24"/>
        </w:rPr>
        <w:t>Given the identical phraseology, only the Notification dated November 27, 1956 is set out herein below for ready reference:</w:t>
      </w:r>
    </w:p>
    <w:p w:rsidR="003B2FC0" w:rsidRDefault="00052A49">
      <w:pPr>
        <w:tabs>
          <w:tab w:val="left" w:pos="4000"/>
        </w:tabs>
        <w:spacing w:before="165"/>
        <w:ind w:left="1677"/>
        <w:rPr>
          <w:rFonts w:ascii="Bookman Old Style" w:hAnsi="Bookman Old Style"/>
          <w:i/>
          <w:sz w:val="24"/>
        </w:rPr>
      </w:pPr>
      <w:r>
        <w:rPr>
          <w:rFonts w:ascii="Bookman Old Style" w:hAnsi="Bookman Old Style"/>
          <w:sz w:val="24"/>
        </w:rPr>
        <w:t>“</w:t>
      </w:r>
      <w:r>
        <w:rPr>
          <w:rFonts w:ascii="Bookman Old Style" w:hAnsi="Bookman Old Style"/>
          <w:sz w:val="24"/>
        </w:rPr>
        <w:tab/>
      </w:r>
      <w:r>
        <w:rPr>
          <w:rFonts w:ascii="Bookman Old Style" w:hAnsi="Bookman Old Style"/>
          <w:i/>
          <w:sz w:val="24"/>
          <w:u w:val="single"/>
        </w:rPr>
        <w:t>NOTIFICATION</w:t>
      </w:r>
    </w:p>
    <w:p w:rsidR="003B2FC0" w:rsidRDefault="00052A49">
      <w:pPr>
        <w:spacing w:before="160"/>
        <w:ind w:left="1677" w:right="834"/>
        <w:jc w:val="both"/>
        <w:rPr>
          <w:rFonts w:ascii="Bookman Old Style"/>
          <w:i/>
          <w:sz w:val="24"/>
        </w:rPr>
      </w:pPr>
      <w:r>
        <w:rPr>
          <w:rFonts w:ascii="Bookman Old Style"/>
          <w:i/>
          <w:sz w:val="24"/>
        </w:rPr>
        <w:t xml:space="preserve">In accordance </w:t>
      </w:r>
      <w:r>
        <w:rPr>
          <w:rFonts w:ascii="Bookman Old Style"/>
          <w:i/>
          <w:spacing w:val="-3"/>
          <w:sz w:val="24"/>
        </w:rPr>
        <w:t xml:space="preserve">with </w:t>
      </w:r>
      <w:r>
        <w:rPr>
          <w:rFonts w:ascii="Bookman Old Style"/>
          <w:i/>
          <w:sz w:val="24"/>
        </w:rPr>
        <w:t>the fundamental principles underlying th</w:t>
      </w:r>
      <w:r>
        <w:rPr>
          <w:rFonts w:ascii="Bookman Old Style"/>
          <w:i/>
          <w:sz w:val="24"/>
        </w:rPr>
        <w:t xml:space="preserve">e Prathishta (installation) of the venerable holy and ancient temple of Sabarimala, </w:t>
      </w:r>
      <w:r>
        <w:rPr>
          <w:rFonts w:ascii="Bookman Old Style"/>
          <w:i/>
          <w:sz w:val="24"/>
          <w:u w:val="single"/>
        </w:rPr>
        <w:t xml:space="preserve">Ayyappans </w:t>
      </w:r>
      <w:r>
        <w:rPr>
          <w:rFonts w:ascii="Bookman Old Style"/>
          <w:i/>
          <w:spacing w:val="-3"/>
          <w:sz w:val="24"/>
        </w:rPr>
        <w:t xml:space="preserve">who </w:t>
      </w:r>
      <w:r>
        <w:rPr>
          <w:rFonts w:ascii="Bookman Old Style"/>
          <w:i/>
          <w:sz w:val="24"/>
        </w:rPr>
        <w:t xml:space="preserve">had not observed the usual vows as well as women </w:t>
      </w:r>
      <w:r>
        <w:rPr>
          <w:rFonts w:ascii="Bookman Old Style"/>
          <w:i/>
          <w:spacing w:val="-3"/>
          <w:sz w:val="24"/>
        </w:rPr>
        <w:t xml:space="preserve">who </w:t>
      </w:r>
      <w:r>
        <w:rPr>
          <w:rFonts w:ascii="Bookman Old Style"/>
          <w:i/>
          <w:sz w:val="24"/>
        </w:rPr>
        <w:t xml:space="preserve">had attained maturity were not in the habit of entering the above mentioned temple for Darsan (worship) by stepping the Pathinettampadi. But of late, there seems to have been a deviation from this custom and practise. </w:t>
      </w:r>
      <w:r>
        <w:rPr>
          <w:rFonts w:ascii="Bookman Old Style"/>
          <w:i/>
          <w:sz w:val="24"/>
          <w:u w:val="single"/>
        </w:rPr>
        <w:t xml:space="preserve">In order to maintain the sanctity and </w:t>
      </w:r>
      <w:r>
        <w:rPr>
          <w:rFonts w:ascii="Bookman Old Style"/>
          <w:i/>
          <w:sz w:val="24"/>
          <w:u w:val="single"/>
        </w:rPr>
        <w:t>dignity of this</w:t>
      </w:r>
      <w:r>
        <w:rPr>
          <w:rFonts w:ascii="Bookman Old Style"/>
          <w:i/>
          <w:sz w:val="24"/>
        </w:rPr>
        <w:t xml:space="preserve"> </w:t>
      </w:r>
      <w:r>
        <w:rPr>
          <w:rFonts w:ascii="Bookman Old Style"/>
          <w:i/>
          <w:sz w:val="24"/>
          <w:u w:val="single"/>
        </w:rPr>
        <w:t>great temple and keep up the past traditions, it is hereby</w:t>
      </w:r>
      <w:r>
        <w:rPr>
          <w:rFonts w:ascii="Bookman Old Style"/>
          <w:i/>
          <w:sz w:val="24"/>
        </w:rPr>
        <w:t xml:space="preserve"> </w:t>
      </w:r>
      <w:r>
        <w:rPr>
          <w:rFonts w:ascii="Bookman Old Style"/>
          <w:i/>
          <w:sz w:val="24"/>
          <w:u w:val="single"/>
        </w:rPr>
        <w:t xml:space="preserve">notified that Ayyappans </w:t>
      </w:r>
      <w:r>
        <w:rPr>
          <w:rFonts w:ascii="Bookman Old Style"/>
          <w:i/>
          <w:spacing w:val="-3"/>
          <w:sz w:val="24"/>
          <w:u w:val="single"/>
        </w:rPr>
        <w:t xml:space="preserve">who </w:t>
      </w:r>
      <w:r>
        <w:rPr>
          <w:rFonts w:ascii="Bookman Old Style"/>
          <w:i/>
          <w:sz w:val="24"/>
          <w:u w:val="single"/>
        </w:rPr>
        <w:t>do not observe the usual Vritham</w:t>
      </w:r>
      <w:r>
        <w:rPr>
          <w:rFonts w:ascii="Bookman Old Style"/>
          <w:i/>
          <w:sz w:val="24"/>
        </w:rPr>
        <w:t xml:space="preserve"> </w:t>
      </w:r>
      <w:r>
        <w:rPr>
          <w:rFonts w:ascii="Bookman Old Style"/>
          <w:i/>
          <w:sz w:val="24"/>
          <w:u w:val="single"/>
        </w:rPr>
        <w:t>(vows) are prohibited from entering the temple by stepping the</w:t>
      </w:r>
      <w:r>
        <w:rPr>
          <w:rFonts w:ascii="Bookman Old Style"/>
          <w:i/>
          <w:sz w:val="24"/>
        </w:rPr>
        <w:t xml:space="preserve"> </w:t>
      </w:r>
      <w:r>
        <w:rPr>
          <w:rFonts w:ascii="Bookman Old Style"/>
          <w:i/>
          <w:sz w:val="24"/>
          <w:u w:val="single"/>
        </w:rPr>
        <w:t>pathinettampadi and women between the ages of ten and fif</w:t>
      </w:r>
      <w:r>
        <w:rPr>
          <w:rFonts w:ascii="Bookman Old Style"/>
          <w:i/>
          <w:sz w:val="24"/>
          <w:u w:val="single"/>
        </w:rPr>
        <w:t>ty</w:t>
      </w:r>
      <w:r>
        <w:rPr>
          <w:rFonts w:ascii="Bookman Old Style"/>
          <w:i/>
          <w:sz w:val="24"/>
        </w:rPr>
        <w:t xml:space="preserve"> </w:t>
      </w:r>
      <w:r>
        <w:rPr>
          <w:rFonts w:ascii="Bookman Old Style"/>
          <w:i/>
          <w:sz w:val="24"/>
          <w:u w:val="single"/>
        </w:rPr>
        <w:t>five are forbidden from entering the</w:t>
      </w:r>
      <w:r>
        <w:rPr>
          <w:rFonts w:ascii="Bookman Old Style"/>
          <w:i/>
          <w:spacing w:val="-7"/>
          <w:sz w:val="24"/>
          <w:u w:val="single"/>
        </w:rPr>
        <w:t xml:space="preserve"> </w:t>
      </w:r>
      <w:r>
        <w:rPr>
          <w:rFonts w:ascii="Bookman Old Style"/>
          <w:i/>
          <w:sz w:val="24"/>
          <w:u w:val="single"/>
        </w:rPr>
        <w:t>temple.</w:t>
      </w:r>
    </w:p>
    <w:p w:rsidR="003B2FC0" w:rsidRDefault="00052A49">
      <w:pPr>
        <w:spacing w:before="1" w:line="281" w:lineRule="exact"/>
        <w:ind w:left="1677"/>
        <w:rPr>
          <w:rFonts w:ascii="Bookman Old Style"/>
          <w:i/>
          <w:sz w:val="24"/>
        </w:rPr>
      </w:pPr>
      <w:r>
        <w:rPr>
          <w:rFonts w:ascii="Bookman Old Style"/>
          <w:i/>
          <w:sz w:val="24"/>
        </w:rPr>
        <w:t>Ambalapuzha</w:t>
      </w:r>
    </w:p>
    <w:p w:rsidR="003B2FC0" w:rsidRDefault="00052A49">
      <w:pPr>
        <w:tabs>
          <w:tab w:val="left" w:pos="4720"/>
        </w:tabs>
        <w:ind w:left="6658" w:right="835" w:hanging="4981"/>
        <w:jc w:val="right"/>
        <w:rPr>
          <w:rFonts w:ascii="Bookman Old Style" w:hAnsi="Bookman Old Style"/>
          <w:sz w:val="24"/>
        </w:rPr>
      </w:pPr>
      <w:r>
        <w:rPr>
          <w:rFonts w:ascii="Bookman Old Style" w:hAnsi="Bookman Old Style"/>
          <w:sz w:val="24"/>
        </w:rPr>
        <w:t>27-11-‘56</w:t>
      </w:r>
      <w:r>
        <w:rPr>
          <w:rFonts w:ascii="Bookman Old Style" w:hAnsi="Bookman Old Style"/>
          <w:sz w:val="24"/>
        </w:rPr>
        <w:tab/>
        <w:t>Assistant</w:t>
      </w:r>
      <w:r>
        <w:rPr>
          <w:rFonts w:ascii="Bookman Old Style" w:hAnsi="Bookman Old Style"/>
          <w:spacing w:val="-5"/>
          <w:sz w:val="24"/>
        </w:rPr>
        <w:t xml:space="preserve"> </w:t>
      </w:r>
      <w:r>
        <w:rPr>
          <w:rFonts w:ascii="Bookman Old Style" w:hAnsi="Bookman Old Style"/>
          <w:sz w:val="24"/>
        </w:rPr>
        <w:t>Devaswon</w:t>
      </w:r>
      <w:r>
        <w:rPr>
          <w:rFonts w:ascii="Bookman Old Style" w:hAnsi="Bookman Old Style"/>
          <w:spacing w:val="-4"/>
          <w:sz w:val="24"/>
        </w:rPr>
        <w:t xml:space="preserve"> </w:t>
      </w:r>
      <w:r>
        <w:rPr>
          <w:rFonts w:ascii="Bookman Old Style" w:hAnsi="Bookman Old Style"/>
          <w:sz w:val="24"/>
        </w:rPr>
        <w:t>Commissioner.” (Emphasis</w:t>
      </w:r>
      <w:r>
        <w:rPr>
          <w:rFonts w:ascii="Bookman Old Style" w:hAnsi="Bookman Old Style"/>
          <w:spacing w:val="-18"/>
          <w:sz w:val="24"/>
        </w:rPr>
        <w:t xml:space="preserve"> </w:t>
      </w:r>
      <w:r>
        <w:rPr>
          <w:rFonts w:ascii="Bookman Old Style" w:hAnsi="Bookman Old Style"/>
          <w:sz w:val="24"/>
        </w:rPr>
        <w:t>supplied)</w:t>
      </w:r>
    </w:p>
    <w:p w:rsidR="003B2FC0" w:rsidRDefault="003B2FC0">
      <w:pPr>
        <w:pStyle w:val="BodyText"/>
        <w:spacing w:before="2"/>
        <w:rPr>
          <w:sz w:val="24"/>
        </w:rPr>
      </w:pPr>
    </w:p>
    <w:p w:rsidR="003B2FC0" w:rsidRDefault="00052A49">
      <w:pPr>
        <w:spacing w:line="480" w:lineRule="auto"/>
        <w:ind w:left="1252" w:right="454" w:firstLine="424"/>
        <w:jc w:val="both"/>
        <w:rPr>
          <w:rFonts w:ascii="Bookman Old Style" w:hAnsi="Bookman Old Style"/>
          <w:i/>
          <w:sz w:val="24"/>
        </w:rPr>
      </w:pPr>
      <w:r>
        <w:rPr>
          <w:rFonts w:ascii="Bookman Old Style" w:hAnsi="Bookman Old Style"/>
          <w:sz w:val="24"/>
        </w:rPr>
        <w:t>The worshippers of Lord Ayyappa at the Sabarimala Temple together constitute a religious denomination, or sect thereof, as the case maybe, follow a common faith, and have common beliefs and practises. These beliefs and practises are based on the belief tha</w:t>
      </w:r>
      <w:r>
        <w:rPr>
          <w:rFonts w:ascii="Bookman Old Style" w:hAnsi="Bookman Old Style"/>
          <w:sz w:val="24"/>
        </w:rPr>
        <w:t>t Lord Ayyappa has manifested himself in the form of a</w:t>
      </w:r>
      <w:r>
        <w:rPr>
          <w:rFonts w:ascii="Bookman Old Style" w:hAnsi="Bookman Old Style"/>
          <w:spacing w:val="9"/>
          <w:sz w:val="24"/>
        </w:rPr>
        <w:t xml:space="preserve"> </w:t>
      </w:r>
      <w:r>
        <w:rPr>
          <w:rFonts w:ascii="Bookman Old Style" w:hAnsi="Bookman Old Style"/>
          <w:sz w:val="24"/>
        </w:rPr>
        <w:t>‘</w:t>
      </w:r>
      <w:r>
        <w:rPr>
          <w:rFonts w:ascii="Bookman Old Style" w:hAnsi="Bookman Old Style"/>
          <w:i/>
          <w:sz w:val="24"/>
        </w:rPr>
        <w:t>Naishtik</w:t>
      </w:r>
    </w:p>
    <w:p w:rsidR="003B2FC0" w:rsidRDefault="003B2FC0">
      <w:pPr>
        <w:spacing w:line="480" w:lineRule="auto"/>
        <w:jc w:val="both"/>
        <w:rPr>
          <w:rFonts w:ascii="Bookman Old Style" w:hAnsi="Bookman Old Style"/>
          <w:sz w:val="24"/>
        </w:rPr>
        <w:sectPr w:rsidR="003B2FC0">
          <w:headerReference w:type="default" r:id="rId489"/>
          <w:footerReference w:type="default" r:id="rId490"/>
          <w:pgSz w:w="11910" w:h="16840"/>
          <w:pgMar w:top="1340" w:right="980" w:bottom="1220" w:left="1040" w:header="0" w:footer="1033" w:gutter="0"/>
          <w:pgNumType w:start="48"/>
          <w:cols w:space="720"/>
        </w:sectPr>
      </w:pPr>
    </w:p>
    <w:p w:rsidR="003B2FC0" w:rsidRDefault="00052A49">
      <w:pPr>
        <w:spacing w:before="83" w:line="480" w:lineRule="auto"/>
        <w:ind w:left="1252" w:right="453"/>
        <w:jc w:val="both"/>
        <w:rPr>
          <w:rFonts w:ascii="Bookman Old Style" w:hAnsi="Bookman Old Style"/>
          <w:sz w:val="24"/>
        </w:rPr>
      </w:pPr>
      <w:r>
        <w:rPr>
          <w:rFonts w:ascii="Bookman Old Style" w:hAnsi="Bookman Old Style"/>
          <w:i/>
          <w:sz w:val="24"/>
        </w:rPr>
        <w:t>Brahmachari</w:t>
      </w:r>
      <w:r>
        <w:rPr>
          <w:rFonts w:ascii="Bookman Old Style" w:hAnsi="Bookman Old Style"/>
          <w:sz w:val="24"/>
        </w:rPr>
        <w:t xml:space="preserve">’. The practises include the observance by the </w:t>
      </w:r>
      <w:r>
        <w:rPr>
          <w:rFonts w:ascii="Bookman Old Style" w:hAnsi="Bookman Old Style"/>
          <w:i/>
          <w:sz w:val="24"/>
        </w:rPr>
        <w:t xml:space="preserve">Ayyappans </w:t>
      </w:r>
      <w:r>
        <w:rPr>
          <w:rFonts w:ascii="Bookman Old Style" w:hAnsi="Bookman Old Style"/>
          <w:sz w:val="24"/>
        </w:rPr>
        <w:t>of the 41-day ‘</w:t>
      </w:r>
      <w:r>
        <w:rPr>
          <w:rFonts w:ascii="Bookman Old Style" w:hAnsi="Bookman Old Style"/>
          <w:i/>
          <w:sz w:val="24"/>
        </w:rPr>
        <w:t>Vratham</w:t>
      </w:r>
      <w:r>
        <w:rPr>
          <w:rFonts w:ascii="Bookman Old Style" w:hAnsi="Bookman Old Style"/>
          <w:sz w:val="24"/>
        </w:rPr>
        <w:t>’, which includes observing abstinence and seclusion from the women-folk, including one’s spouse, daughter, or other relatives. This pilgrimage includes bathing in the holy River Pampa, and ascending the 18 sacred steps leading to the sanctum</w:t>
      </w:r>
      <w:r>
        <w:rPr>
          <w:rFonts w:ascii="Bookman Old Style" w:hAnsi="Bookman Old Style"/>
          <w:spacing w:val="-1"/>
          <w:sz w:val="24"/>
        </w:rPr>
        <w:t xml:space="preserve"> </w:t>
      </w:r>
      <w:r>
        <w:rPr>
          <w:rFonts w:ascii="Bookman Old Style" w:hAnsi="Bookman Old Style"/>
          <w:sz w:val="24"/>
        </w:rPr>
        <w:t>sanctorum.</w:t>
      </w:r>
    </w:p>
    <w:p w:rsidR="003B2FC0" w:rsidRDefault="00052A49">
      <w:pPr>
        <w:spacing w:before="2" w:line="480" w:lineRule="auto"/>
        <w:ind w:left="1252" w:firstLine="424"/>
        <w:rPr>
          <w:rFonts w:ascii="Bookman Old Style"/>
          <w:sz w:val="24"/>
        </w:rPr>
      </w:pPr>
      <w:r>
        <w:rPr>
          <w:rFonts w:ascii="Bookman Old Style"/>
          <w:sz w:val="24"/>
        </w:rPr>
        <w:t>Th</w:t>
      </w:r>
      <w:r>
        <w:rPr>
          <w:rFonts w:ascii="Bookman Old Style"/>
          <w:sz w:val="24"/>
        </w:rPr>
        <w:t>e restriction on women between the ages of 10 to 50 years from entering the Temple has to be understood in this context.</w:t>
      </w:r>
    </w:p>
    <w:p w:rsidR="003B2FC0" w:rsidRDefault="00052A49">
      <w:pPr>
        <w:pStyle w:val="ListParagraph"/>
        <w:numPr>
          <w:ilvl w:val="1"/>
          <w:numId w:val="6"/>
        </w:numPr>
        <w:tabs>
          <w:tab w:val="left" w:pos="1253"/>
        </w:tabs>
        <w:spacing w:line="480" w:lineRule="auto"/>
        <w:ind w:right="451"/>
        <w:rPr>
          <w:rFonts w:ascii="Bookman Old Style" w:hAnsi="Bookman Old Style"/>
          <w:sz w:val="24"/>
        </w:rPr>
      </w:pPr>
      <w:r>
        <w:rPr>
          <w:rFonts w:ascii="Bookman Old Style" w:hAnsi="Bookman Old Style"/>
          <w:sz w:val="24"/>
        </w:rPr>
        <w:t xml:space="preserve">The expression “religious denomination” as interpreted in </w:t>
      </w:r>
      <w:r>
        <w:rPr>
          <w:rFonts w:ascii="Bookman Old Style" w:hAnsi="Bookman Old Style"/>
          <w:i/>
          <w:sz w:val="24"/>
        </w:rPr>
        <w:t xml:space="preserve">Commissioner, Hindu Religious Endowments, Madras </w:t>
      </w:r>
      <w:r>
        <w:rPr>
          <w:rFonts w:ascii="Bookman Old Style" w:hAnsi="Bookman Old Style"/>
          <w:sz w:val="24"/>
        </w:rPr>
        <w:t xml:space="preserve">v. </w:t>
      </w:r>
      <w:r>
        <w:rPr>
          <w:rFonts w:ascii="Bookman Old Style" w:hAnsi="Bookman Old Style"/>
          <w:i/>
          <w:sz w:val="24"/>
        </w:rPr>
        <w:t>Sri Lakshmindra Thirtha S</w:t>
      </w:r>
      <w:r>
        <w:rPr>
          <w:rFonts w:ascii="Bookman Old Style" w:hAnsi="Bookman Old Style"/>
          <w:i/>
          <w:sz w:val="24"/>
        </w:rPr>
        <w:t xml:space="preserve">wamiar of Sri Shirur Mutt </w:t>
      </w:r>
      <w:r>
        <w:rPr>
          <w:rFonts w:ascii="Bookman Old Style" w:hAnsi="Bookman Old Style"/>
          <w:sz w:val="24"/>
        </w:rPr>
        <w:t>(supra)</w:t>
      </w:r>
      <w:r>
        <w:rPr>
          <w:rFonts w:ascii="Bookman Old Style" w:hAnsi="Bookman Old Style"/>
          <w:i/>
          <w:sz w:val="24"/>
        </w:rPr>
        <w:t xml:space="preserve">, </w:t>
      </w:r>
      <w:r>
        <w:rPr>
          <w:rFonts w:ascii="Bookman Old Style" w:hAnsi="Bookman Old Style"/>
          <w:sz w:val="24"/>
        </w:rPr>
        <w:t>was “</w:t>
      </w:r>
      <w:r>
        <w:rPr>
          <w:rFonts w:ascii="Bookman Old Style" w:hAnsi="Bookman Old Style"/>
          <w:i/>
          <w:sz w:val="24"/>
        </w:rPr>
        <w:t>a collection of individuals classed together under the same name : a religious sect or body having a common faith and organisation and designated by a distinctive name</w:t>
      </w:r>
      <w:r>
        <w:rPr>
          <w:rFonts w:ascii="Bookman Old Style" w:hAnsi="Bookman Old Style"/>
          <w:sz w:val="24"/>
        </w:rPr>
        <w:t>”.</w:t>
      </w:r>
      <w:r>
        <w:rPr>
          <w:rFonts w:ascii="Bookman Old Style" w:hAnsi="Bookman Old Style"/>
          <w:position w:val="6"/>
          <w:sz w:val="16"/>
        </w:rPr>
        <w:t xml:space="preserve">45 </w:t>
      </w:r>
      <w:r>
        <w:rPr>
          <w:rFonts w:ascii="Bookman Old Style" w:hAnsi="Bookman Old Style"/>
          <w:sz w:val="24"/>
        </w:rPr>
        <w:t>The Court held that each of the sects or sub</w:t>
      </w:r>
      <w:r>
        <w:rPr>
          <w:rFonts w:ascii="Bookman Old Style" w:hAnsi="Bookman Old Style"/>
          <w:sz w:val="24"/>
        </w:rPr>
        <w:t>-sects of the Hindu religion could be called a religious denomination, as such sects or sub-sects, had a distinctive</w:t>
      </w:r>
      <w:r>
        <w:rPr>
          <w:rFonts w:ascii="Bookman Old Style" w:hAnsi="Bookman Old Style"/>
          <w:spacing w:val="-21"/>
          <w:sz w:val="24"/>
        </w:rPr>
        <w:t xml:space="preserve"> </w:t>
      </w:r>
      <w:r>
        <w:rPr>
          <w:rFonts w:ascii="Bookman Old Style" w:hAnsi="Bookman Old Style"/>
          <w:sz w:val="24"/>
        </w:rPr>
        <w:t>name.</w:t>
      </w:r>
    </w:p>
    <w:p w:rsidR="003B2FC0" w:rsidRDefault="00052A49">
      <w:pPr>
        <w:pStyle w:val="ListParagraph"/>
        <w:numPr>
          <w:ilvl w:val="1"/>
          <w:numId w:val="6"/>
        </w:numPr>
        <w:tabs>
          <w:tab w:val="left" w:pos="1253"/>
        </w:tabs>
        <w:spacing w:line="480" w:lineRule="auto"/>
        <w:ind w:right="454"/>
        <w:rPr>
          <w:rFonts w:ascii="Bookman Old Style" w:hAnsi="Bookman Old Style"/>
          <w:sz w:val="24"/>
        </w:rPr>
      </w:pPr>
      <w:r>
        <w:rPr>
          <w:rFonts w:ascii="Bookman Old Style" w:hAnsi="Bookman Old Style"/>
          <w:sz w:val="24"/>
        </w:rPr>
        <w:t xml:space="preserve">In </w:t>
      </w:r>
      <w:r>
        <w:rPr>
          <w:rFonts w:ascii="Bookman Old Style" w:hAnsi="Bookman Old Style"/>
          <w:i/>
          <w:sz w:val="24"/>
        </w:rPr>
        <w:t xml:space="preserve">S.P. Mittal </w:t>
      </w:r>
      <w:r>
        <w:rPr>
          <w:rFonts w:ascii="Bookman Old Style" w:hAnsi="Bookman Old Style"/>
          <w:sz w:val="24"/>
        </w:rPr>
        <w:t xml:space="preserve">v. </w:t>
      </w:r>
      <w:r>
        <w:rPr>
          <w:rFonts w:ascii="Bookman Old Style" w:hAnsi="Bookman Old Style"/>
          <w:i/>
          <w:sz w:val="24"/>
        </w:rPr>
        <w:t xml:space="preserve">Union of India &amp; Ors. </w:t>
      </w:r>
      <w:r>
        <w:rPr>
          <w:rFonts w:ascii="Bookman Old Style" w:hAnsi="Bookman Old Style"/>
          <w:sz w:val="24"/>
        </w:rPr>
        <w:t xml:space="preserve">(supra), this Court, while relying upon the judgment in </w:t>
      </w:r>
      <w:r>
        <w:rPr>
          <w:rFonts w:ascii="Bookman Old Style" w:hAnsi="Bookman Old Style"/>
          <w:i/>
          <w:sz w:val="24"/>
        </w:rPr>
        <w:t xml:space="preserve">Commissioner, Hindu Religious Endowments, Madras </w:t>
      </w:r>
      <w:r>
        <w:rPr>
          <w:rFonts w:ascii="Bookman Old Style" w:hAnsi="Bookman Old Style"/>
          <w:sz w:val="24"/>
        </w:rPr>
        <w:t xml:space="preserve">v. </w:t>
      </w:r>
      <w:r>
        <w:rPr>
          <w:rFonts w:ascii="Bookman Old Style" w:hAnsi="Bookman Old Style"/>
          <w:i/>
          <w:sz w:val="24"/>
        </w:rPr>
        <w:t xml:space="preserve">Sri Lakshmindra Swamiar Thirtha Swamiar of Shirur Mutt </w:t>
      </w:r>
      <w:r>
        <w:rPr>
          <w:rFonts w:ascii="Bookman Old Style" w:hAnsi="Bookman Old Style"/>
          <w:sz w:val="24"/>
        </w:rPr>
        <w:t xml:space="preserve">(supra), held that the words ‘religious denomination’ in Article 26 of the Constitution must take their colour from the word ‘religion’, and if this </w:t>
      </w:r>
      <w:r>
        <w:rPr>
          <w:rFonts w:ascii="Bookman Old Style" w:hAnsi="Bookman Old Style"/>
          <w:sz w:val="24"/>
        </w:rPr>
        <w:t>be so, the expression ‘religious denomination’ must satisfy three conditions:</w:t>
      </w:r>
    </w:p>
    <w:p w:rsidR="003B2FC0" w:rsidRDefault="003B2FC0">
      <w:pPr>
        <w:pStyle w:val="BodyText"/>
        <w:rPr>
          <w:sz w:val="20"/>
        </w:rPr>
      </w:pPr>
    </w:p>
    <w:p w:rsidR="003B2FC0" w:rsidRDefault="003B2FC0">
      <w:pPr>
        <w:pStyle w:val="BodyText"/>
        <w:rPr>
          <w:sz w:val="20"/>
        </w:rPr>
      </w:pPr>
    </w:p>
    <w:p w:rsidR="003B2FC0" w:rsidRDefault="003B2FC0">
      <w:pPr>
        <w:pStyle w:val="BodyText"/>
        <w:spacing w:before="7"/>
        <w:rPr>
          <w:sz w:val="11"/>
        </w:rPr>
      </w:pPr>
      <w:r w:rsidRPr="003B2FC0">
        <w:pict>
          <v:line id="_x0000_s1035" style="position:absolute;z-index:251678208;mso-wrap-distance-left:0;mso-wrap-distance-right:0;mso-position-horizontal-relative:page" from="1in,9.2pt" to="216.05pt,9.2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45 </w:t>
      </w:r>
      <w:r>
        <w:rPr>
          <w:rFonts w:ascii="Bookman Old Style"/>
          <w:sz w:val="20"/>
        </w:rPr>
        <w:t>1954 SCR 1005, at paragraph 15</w:t>
      </w:r>
    </w:p>
    <w:p w:rsidR="003B2FC0" w:rsidRDefault="003B2FC0">
      <w:pPr>
        <w:rPr>
          <w:rFonts w:ascii="Bookman Old Style"/>
          <w:sz w:val="20"/>
        </w:rPr>
        <w:sectPr w:rsidR="003B2FC0">
          <w:headerReference w:type="default" r:id="rId491"/>
          <w:footerReference w:type="default" r:id="rId492"/>
          <w:pgSz w:w="11910" w:h="16840"/>
          <w:pgMar w:top="1340" w:right="980" w:bottom="1220" w:left="1040" w:header="0" w:footer="1033" w:gutter="0"/>
          <w:pgNumType w:start="49"/>
          <w:cols w:space="720"/>
        </w:sectPr>
      </w:pPr>
    </w:p>
    <w:p w:rsidR="003B2FC0" w:rsidRDefault="00052A49">
      <w:pPr>
        <w:spacing w:before="81"/>
        <w:ind w:left="1677" w:right="834"/>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80. (1) It must be a collection of individuals who have a system </w:t>
      </w:r>
      <w:r>
        <w:rPr>
          <w:rFonts w:ascii="Bookman Old Style" w:hAnsi="Bookman Old Style"/>
          <w:i/>
          <w:sz w:val="24"/>
        </w:rPr>
        <w:t>of beliefs or doctrines which they regard as conducive to their spiritual well-being, that is, a common faith;</w:t>
      </w:r>
    </w:p>
    <w:p w:rsidR="003B2FC0" w:rsidRDefault="00052A49">
      <w:pPr>
        <w:pStyle w:val="ListParagraph"/>
        <w:numPr>
          <w:ilvl w:val="0"/>
          <w:numId w:val="5"/>
        </w:numPr>
        <w:tabs>
          <w:tab w:val="left" w:pos="2033"/>
        </w:tabs>
        <w:spacing w:line="281" w:lineRule="exact"/>
        <w:ind w:hanging="355"/>
        <w:rPr>
          <w:rFonts w:ascii="Bookman Old Style"/>
          <w:i/>
          <w:sz w:val="24"/>
        </w:rPr>
      </w:pPr>
      <w:r>
        <w:rPr>
          <w:rFonts w:ascii="Bookman Old Style"/>
          <w:i/>
          <w:sz w:val="24"/>
        </w:rPr>
        <w:t>common organisation;</w:t>
      </w:r>
      <w:r>
        <w:rPr>
          <w:rFonts w:ascii="Bookman Old Style"/>
          <w:i/>
          <w:spacing w:val="2"/>
          <w:sz w:val="24"/>
        </w:rPr>
        <w:t xml:space="preserve"> </w:t>
      </w:r>
      <w:r>
        <w:rPr>
          <w:rFonts w:ascii="Bookman Old Style"/>
          <w:i/>
          <w:sz w:val="24"/>
        </w:rPr>
        <w:t>and</w:t>
      </w:r>
    </w:p>
    <w:p w:rsidR="003B2FC0" w:rsidRDefault="00052A49">
      <w:pPr>
        <w:pStyle w:val="ListParagraph"/>
        <w:numPr>
          <w:ilvl w:val="0"/>
          <w:numId w:val="5"/>
        </w:numPr>
        <w:tabs>
          <w:tab w:val="left" w:pos="2033"/>
        </w:tabs>
        <w:spacing w:before="1"/>
        <w:ind w:hanging="355"/>
        <w:rPr>
          <w:rFonts w:ascii="Bookman Old Style" w:hAnsi="Bookman Old Style"/>
          <w:sz w:val="24"/>
        </w:rPr>
      </w:pPr>
      <w:r>
        <w:rPr>
          <w:rFonts w:ascii="Bookman Old Style" w:hAnsi="Bookman Old Style"/>
          <w:i/>
          <w:sz w:val="24"/>
        </w:rPr>
        <w:t>designation by a distinctive</w:t>
      </w:r>
      <w:r>
        <w:rPr>
          <w:rFonts w:ascii="Bookman Old Style" w:hAnsi="Bookman Old Style"/>
          <w:i/>
          <w:spacing w:val="-2"/>
          <w:sz w:val="24"/>
        </w:rPr>
        <w:t xml:space="preserve"> </w:t>
      </w:r>
      <w:r>
        <w:rPr>
          <w:rFonts w:ascii="Bookman Old Style" w:hAnsi="Bookman Old Style"/>
          <w:i/>
          <w:sz w:val="24"/>
        </w:rPr>
        <w:t>name.</w:t>
      </w:r>
      <w:r>
        <w:rPr>
          <w:rFonts w:ascii="Bookman Old Style" w:hAnsi="Bookman Old Style"/>
          <w:sz w:val="24"/>
        </w:rPr>
        <w:t>”</w:t>
      </w:r>
    </w:p>
    <w:p w:rsidR="003B2FC0" w:rsidRDefault="003B2FC0">
      <w:pPr>
        <w:pStyle w:val="BodyText"/>
        <w:rPr>
          <w:sz w:val="24"/>
        </w:rPr>
      </w:pPr>
    </w:p>
    <w:p w:rsidR="003B2FC0" w:rsidRDefault="00052A49">
      <w:pPr>
        <w:pStyle w:val="ListParagraph"/>
        <w:numPr>
          <w:ilvl w:val="1"/>
          <w:numId w:val="6"/>
        </w:numPr>
        <w:tabs>
          <w:tab w:val="left" w:pos="1253"/>
        </w:tabs>
        <w:spacing w:before="1" w:line="480" w:lineRule="auto"/>
        <w:ind w:right="454"/>
        <w:rPr>
          <w:rFonts w:ascii="Bookman Old Style"/>
          <w:sz w:val="24"/>
        </w:rPr>
      </w:pPr>
      <w:r>
        <w:rPr>
          <w:rFonts w:ascii="Bookman Old Style"/>
          <w:sz w:val="24"/>
        </w:rPr>
        <w:t xml:space="preserve">On a somewhat different note, Ayyangar, J. in </w:t>
      </w:r>
      <w:r>
        <w:rPr>
          <w:rFonts w:ascii="Bookman Old Style"/>
          <w:i/>
          <w:sz w:val="24"/>
        </w:rPr>
        <w:t xml:space="preserve">Sardar Syedna Taher Saifuddin Saheb </w:t>
      </w:r>
      <w:r>
        <w:rPr>
          <w:rFonts w:ascii="Bookman Old Style"/>
          <w:sz w:val="24"/>
        </w:rPr>
        <w:t xml:space="preserve">v. </w:t>
      </w:r>
      <w:r>
        <w:rPr>
          <w:rFonts w:ascii="Bookman Old Style"/>
          <w:i/>
          <w:sz w:val="24"/>
        </w:rPr>
        <w:t xml:space="preserve">State of Bombay </w:t>
      </w:r>
      <w:r>
        <w:rPr>
          <w:rFonts w:ascii="Bookman Old Style"/>
          <w:sz w:val="24"/>
        </w:rPr>
        <w:t>(supra) in his separate judgment, expressed this term to mean identity of its doctrines, creeds, and tenets, which are intended to ensure the unity of the faith which its adherents profess, and the identity of the religious views which b</w:t>
      </w:r>
      <w:r>
        <w:rPr>
          <w:rFonts w:ascii="Bookman Old Style"/>
          <w:sz w:val="24"/>
        </w:rPr>
        <w:t>ind them together as one</w:t>
      </w:r>
      <w:r>
        <w:rPr>
          <w:rFonts w:ascii="Bookman Old Style"/>
          <w:spacing w:val="-1"/>
          <w:sz w:val="24"/>
        </w:rPr>
        <w:t xml:space="preserve"> </w:t>
      </w:r>
      <w:r>
        <w:rPr>
          <w:rFonts w:ascii="Bookman Old Style"/>
          <w:sz w:val="24"/>
        </w:rPr>
        <w:t>community.</w:t>
      </w:r>
    </w:p>
    <w:p w:rsidR="003B2FC0" w:rsidRDefault="00052A49">
      <w:pPr>
        <w:pStyle w:val="ListParagraph"/>
        <w:numPr>
          <w:ilvl w:val="1"/>
          <w:numId w:val="6"/>
        </w:numPr>
        <w:tabs>
          <w:tab w:val="left" w:pos="1253"/>
        </w:tabs>
        <w:spacing w:before="1" w:line="480" w:lineRule="auto"/>
        <w:ind w:right="453"/>
        <w:rPr>
          <w:rFonts w:ascii="Bookman Old Style"/>
          <w:sz w:val="24"/>
        </w:rPr>
      </w:pPr>
      <w:r>
        <w:rPr>
          <w:rFonts w:ascii="Bookman Old Style"/>
          <w:sz w:val="24"/>
        </w:rPr>
        <w:t xml:space="preserve">The meaning ascribed to religious denomination by this Court in </w:t>
      </w:r>
      <w:r>
        <w:rPr>
          <w:rFonts w:ascii="Bookman Old Style"/>
          <w:i/>
          <w:sz w:val="24"/>
        </w:rPr>
        <w:t xml:space="preserve">Commissioner, Hindu Religious Endowments </w:t>
      </w:r>
      <w:r>
        <w:rPr>
          <w:rFonts w:ascii="Bookman Old Style"/>
          <w:sz w:val="24"/>
        </w:rPr>
        <w:t>case (supra), and subsequent cases is not a strait-jacket formula, but a working formula. It provides guidance to ascertain whether a group would fall within a religious denomination or</w:t>
      </w:r>
      <w:r>
        <w:rPr>
          <w:rFonts w:ascii="Bookman Old Style"/>
          <w:spacing w:val="-3"/>
          <w:sz w:val="24"/>
        </w:rPr>
        <w:t xml:space="preserve"> </w:t>
      </w:r>
      <w:r>
        <w:rPr>
          <w:rFonts w:ascii="Bookman Old Style"/>
          <w:sz w:val="24"/>
        </w:rPr>
        <w:t>not.</w:t>
      </w:r>
    </w:p>
    <w:p w:rsidR="003B2FC0" w:rsidRDefault="00052A49">
      <w:pPr>
        <w:pStyle w:val="ListParagraph"/>
        <w:numPr>
          <w:ilvl w:val="1"/>
          <w:numId w:val="6"/>
        </w:numPr>
        <w:tabs>
          <w:tab w:val="left" w:pos="1253"/>
        </w:tabs>
        <w:spacing w:line="480" w:lineRule="auto"/>
        <w:ind w:right="454"/>
        <w:rPr>
          <w:rFonts w:ascii="Bookman Old Style" w:hAnsi="Bookman Old Style"/>
          <w:sz w:val="24"/>
        </w:rPr>
      </w:pPr>
      <w:r>
        <w:rPr>
          <w:rFonts w:ascii="Bookman Old Style" w:hAnsi="Bookman Old Style"/>
          <w:sz w:val="24"/>
        </w:rPr>
        <w:t xml:space="preserve">If there are clear attributes that there exists a sect, which is </w:t>
      </w:r>
      <w:r>
        <w:rPr>
          <w:rFonts w:ascii="Bookman Old Style" w:hAnsi="Bookman Old Style"/>
          <w:sz w:val="24"/>
        </w:rPr>
        <w:t>identifiable as being distinct by its beliefs and practises, and having  a collection of followers who follow the same faith, it would be identified as a ‘religious</w:t>
      </w:r>
      <w:r>
        <w:rPr>
          <w:rFonts w:ascii="Bookman Old Style" w:hAnsi="Bookman Old Style"/>
          <w:spacing w:val="-3"/>
          <w:sz w:val="24"/>
        </w:rPr>
        <w:t xml:space="preserve"> </w:t>
      </w:r>
      <w:r>
        <w:rPr>
          <w:rFonts w:ascii="Bookman Old Style" w:hAnsi="Bookman Old Style"/>
          <w:sz w:val="24"/>
        </w:rPr>
        <w:t>denomination’.</w:t>
      </w:r>
    </w:p>
    <w:p w:rsidR="003B2FC0" w:rsidRDefault="00052A49">
      <w:pPr>
        <w:spacing w:before="1" w:line="480" w:lineRule="auto"/>
        <w:ind w:left="1252" w:right="456" w:firstLine="424"/>
        <w:jc w:val="both"/>
        <w:rPr>
          <w:rFonts w:ascii="Bookman Old Style"/>
          <w:sz w:val="24"/>
        </w:rPr>
      </w:pPr>
      <w:r>
        <w:rPr>
          <w:rFonts w:ascii="Bookman Old Style"/>
          <w:sz w:val="24"/>
        </w:rPr>
        <w:t>In this context, reference may be made to the concurring judgment of Chinnap</w:t>
      </w:r>
      <w:r>
        <w:rPr>
          <w:rFonts w:ascii="Bookman Old Style"/>
          <w:sz w:val="24"/>
        </w:rPr>
        <w:t xml:space="preserve">pa Reddy, J. in the decision of this Court in </w:t>
      </w:r>
      <w:r>
        <w:rPr>
          <w:rFonts w:ascii="Bookman Old Style"/>
          <w:i/>
          <w:sz w:val="24"/>
        </w:rPr>
        <w:t xml:space="preserve">S.P. Mittal </w:t>
      </w:r>
      <w:r>
        <w:rPr>
          <w:rFonts w:ascii="Bookman Old Style"/>
          <w:sz w:val="24"/>
        </w:rPr>
        <w:t xml:space="preserve">v. </w:t>
      </w:r>
      <w:r>
        <w:rPr>
          <w:rFonts w:ascii="Bookman Old Style"/>
          <w:i/>
          <w:sz w:val="24"/>
        </w:rPr>
        <w:t xml:space="preserve">Union of India &amp; Ors. </w:t>
      </w:r>
      <w:r>
        <w:rPr>
          <w:rFonts w:ascii="Bookman Old Style"/>
          <w:sz w:val="24"/>
        </w:rPr>
        <w:t>(supra) wherein he noted that the judicial definition of a religious denomination laid down by this Court is, unlike a statutory definition, a mere explanation. After observ</w:t>
      </w:r>
      <w:r>
        <w:rPr>
          <w:rFonts w:ascii="Bookman Old Style"/>
          <w:sz w:val="24"/>
        </w:rPr>
        <w:t>ing that any freedom or right involving the conscience must be given a</w:t>
      </w:r>
    </w:p>
    <w:p w:rsidR="003B2FC0" w:rsidRDefault="003B2FC0">
      <w:pPr>
        <w:spacing w:line="480" w:lineRule="auto"/>
        <w:jc w:val="both"/>
        <w:rPr>
          <w:rFonts w:ascii="Bookman Old Style"/>
          <w:sz w:val="24"/>
        </w:rPr>
        <w:sectPr w:rsidR="003B2FC0">
          <w:headerReference w:type="default" r:id="rId493"/>
          <w:footerReference w:type="default" r:id="rId494"/>
          <w:pgSz w:w="11910" w:h="16840"/>
          <w:pgMar w:top="1340" w:right="980" w:bottom="1220" w:left="1040" w:header="0" w:footer="1033" w:gutter="0"/>
          <w:pgNumType w:start="50"/>
          <w:cols w:space="720"/>
        </w:sectPr>
      </w:pPr>
    </w:p>
    <w:p w:rsidR="003B2FC0" w:rsidRDefault="00052A49">
      <w:pPr>
        <w:spacing w:before="83" w:line="480" w:lineRule="auto"/>
        <w:ind w:left="1252"/>
        <w:rPr>
          <w:rFonts w:ascii="Bookman Old Style" w:hAnsi="Bookman Old Style"/>
          <w:sz w:val="24"/>
        </w:rPr>
      </w:pPr>
      <w:r>
        <w:rPr>
          <w:rFonts w:ascii="Bookman Old Style" w:hAnsi="Bookman Old Style"/>
          <w:sz w:val="24"/>
        </w:rPr>
        <w:t>wide interpretation, and the expressions ‘religion’ and ‘religious denomination’ must be interpreted in a “</w:t>
      </w:r>
      <w:r>
        <w:rPr>
          <w:rFonts w:ascii="Bookman Old Style" w:hAnsi="Bookman Old Style"/>
          <w:i/>
          <w:sz w:val="24"/>
        </w:rPr>
        <w:t>liberal, expansive way</w:t>
      </w:r>
      <w:r>
        <w:rPr>
          <w:rFonts w:ascii="Bookman Old Style" w:hAnsi="Bookman Old Style"/>
          <w:sz w:val="24"/>
        </w:rPr>
        <w:t>”:</w:t>
      </w:r>
    </w:p>
    <w:p w:rsidR="003B2FC0" w:rsidRDefault="00052A49">
      <w:pPr>
        <w:ind w:left="1677" w:right="834"/>
        <w:jc w:val="both"/>
        <w:rPr>
          <w:rFonts w:ascii="Bookman Old Style" w:hAnsi="Bookman Old Style"/>
          <w:sz w:val="24"/>
        </w:rPr>
      </w:pPr>
      <w:r>
        <w:rPr>
          <w:rFonts w:ascii="Bookman Old Style" w:hAnsi="Bookman Old Style"/>
          <w:sz w:val="24"/>
        </w:rPr>
        <w:t>“</w:t>
      </w:r>
      <w:r>
        <w:rPr>
          <w:rFonts w:ascii="Bookman Old Style" w:hAnsi="Bookman Old Style"/>
          <w:i/>
          <w:sz w:val="24"/>
        </w:rPr>
        <w:t xml:space="preserve">21…the expression religious denomination may be defined with less difficulty. As </w:t>
      </w:r>
      <w:r>
        <w:rPr>
          <w:rFonts w:ascii="Bookman Old Style" w:hAnsi="Bookman Old Style"/>
          <w:i/>
          <w:spacing w:val="-5"/>
          <w:sz w:val="24"/>
        </w:rPr>
        <w:t xml:space="preserve">we </w:t>
      </w:r>
      <w:r>
        <w:rPr>
          <w:rFonts w:ascii="Bookman Old Style" w:hAnsi="Bookman Old Style"/>
          <w:i/>
          <w:sz w:val="24"/>
        </w:rPr>
        <w:t xml:space="preserve">mentioned earlier Mukherjea, J., borrowed the meaning of the word denomination </w:t>
      </w:r>
      <w:r>
        <w:rPr>
          <w:rFonts w:ascii="Bookman Old Style" w:hAnsi="Bookman Old Style"/>
          <w:i/>
          <w:spacing w:val="2"/>
          <w:sz w:val="24"/>
        </w:rPr>
        <w:t xml:space="preserve">from </w:t>
      </w:r>
      <w:r>
        <w:rPr>
          <w:rFonts w:ascii="Bookman Old Style" w:hAnsi="Bookman Old Style"/>
          <w:i/>
          <w:sz w:val="24"/>
        </w:rPr>
        <w:t xml:space="preserve">the Oxford Dictionary and adopted it </w:t>
      </w:r>
      <w:r>
        <w:rPr>
          <w:rFonts w:ascii="Bookman Old Style" w:hAnsi="Bookman Old Style"/>
          <w:i/>
          <w:spacing w:val="-3"/>
          <w:sz w:val="24"/>
        </w:rPr>
        <w:t xml:space="preserve">to </w:t>
      </w:r>
      <w:r>
        <w:rPr>
          <w:rFonts w:ascii="Bookman Old Style" w:hAnsi="Bookman Old Style"/>
          <w:i/>
          <w:sz w:val="24"/>
        </w:rPr>
        <w:t>define religious denomination as a collection of</w:t>
      </w:r>
      <w:r>
        <w:rPr>
          <w:rFonts w:ascii="Bookman Old Style" w:hAnsi="Bookman Old Style"/>
          <w:i/>
          <w:sz w:val="24"/>
        </w:rPr>
        <w:t xml:space="preserve"> individuals classed together under the same name, a religious sect or body having a common faith and organisation and designated by a distinctive name. The followers of Ramanuja, the followers of Madhwacharya, the followers of Vallabha, the Chistia Soofie</w:t>
      </w:r>
      <w:r>
        <w:rPr>
          <w:rFonts w:ascii="Bookman Old Style" w:hAnsi="Bookman Old Style"/>
          <w:i/>
          <w:sz w:val="24"/>
        </w:rPr>
        <w:t xml:space="preserve">s have been found or assumed by the Court to be religious denominations. </w:t>
      </w:r>
      <w:r>
        <w:rPr>
          <w:rFonts w:ascii="Bookman Old Style" w:hAnsi="Bookman Old Style"/>
          <w:i/>
          <w:sz w:val="24"/>
          <w:u w:val="single"/>
        </w:rPr>
        <w:t>It will be noticed that these sects possess no</w:t>
      </w:r>
      <w:r>
        <w:rPr>
          <w:rFonts w:ascii="Bookman Old Style" w:hAnsi="Bookman Old Style"/>
          <w:i/>
          <w:sz w:val="24"/>
        </w:rPr>
        <w:t xml:space="preserve"> </w:t>
      </w:r>
      <w:r>
        <w:rPr>
          <w:rFonts w:ascii="Bookman Old Style" w:hAnsi="Bookman Old Style"/>
          <w:i/>
          <w:sz w:val="24"/>
          <w:u w:val="single"/>
        </w:rPr>
        <w:t>distinctive names except that of their founder-teacher and had</w:t>
      </w:r>
      <w:r>
        <w:rPr>
          <w:rFonts w:ascii="Bookman Old Style" w:hAnsi="Bookman Old Style"/>
          <w:i/>
          <w:sz w:val="24"/>
        </w:rPr>
        <w:t xml:space="preserve"> </w:t>
      </w:r>
      <w:r>
        <w:rPr>
          <w:rFonts w:ascii="Bookman Old Style" w:hAnsi="Bookman Old Style"/>
          <w:i/>
          <w:sz w:val="24"/>
          <w:u w:val="single"/>
        </w:rPr>
        <w:t>no special organisation except a vague, loose – un-knit one. The</w:t>
      </w:r>
      <w:r>
        <w:rPr>
          <w:rFonts w:ascii="Bookman Old Style" w:hAnsi="Bookman Old Style"/>
          <w:i/>
          <w:sz w:val="24"/>
        </w:rPr>
        <w:t xml:space="preserve"> </w:t>
      </w:r>
      <w:r>
        <w:rPr>
          <w:rFonts w:ascii="Bookman Old Style" w:hAnsi="Bookman Old Style"/>
          <w:i/>
          <w:sz w:val="24"/>
          <w:u w:val="single"/>
        </w:rPr>
        <w:t>really d</w:t>
      </w:r>
      <w:r>
        <w:rPr>
          <w:rFonts w:ascii="Bookman Old Style" w:hAnsi="Bookman Old Style"/>
          <w:i/>
          <w:sz w:val="24"/>
          <w:u w:val="single"/>
        </w:rPr>
        <w:t xml:space="preserve">istinctive feature about each one of these sects </w:t>
      </w:r>
      <w:r>
        <w:rPr>
          <w:rFonts w:ascii="Bookman Old Style" w:hAnsi="Bookman Old Style"/>
          <w:i/>
          <w:spacing w:val="-4"/>
          <w:sz w:val="24"/>
          <w:u w:val="single"/>
        </w:rPr>
        <w:t xml:space="preserve">was </w:t>
      </w:r>
      <w:r>
        <w:rPr>
          <w:rFonts w:ascii="Bookman Old Style" w:hAnsi="Bookman Old Style"/>
          <w:i/>
          <w:sz w:val="24"/>
          <w:u w:val="single"/>
        </w:rPr>
        <w:t>a</w:t>
      </w:r>
      <w:r>
        <w:rPr>
          <w:rFonts w:ascii="Bookman Old Style" w:hAnsi="Bookman Old Style"/>
          <w:i/>
          <w:sz w:val="24"/>
        </w:rPr>
        <w:t xml:space="preserve"> </w:t>
      </w:r>
      <w:r>
        <w:rPr>
          <w:rFonts w:ascii="Bookman Old Style" w:hAnsi="Bookman Old Style"/>
          <w:i/>
          <w:sz w:val="24"/>
          <w:u w:val="single"/>
        </w:rPr>
        <w:t xml:space="preserve">shared belief </w:t>
      </w:r>
      <w:r>
        <w:rPr>
          <w:rFonts w:ascii="Bookman Old Style" w:hAnsi="Bookman Old Style"/>
          <w:i/>
          <w:spacing w:val="-3"/>
          <w:sz w:val="24"/>
          <w:u w:val="single"/>
        </w:rPr>
        <w:t xml:space="preserve">in </w:t>
      </w:r>
      <w:r>
        <w:rPr>
          <w:rFonts w:ascii="Bookman Old Style" w:hAnsi="Bookman Old Style"/>
          <w:i/>
          <w:sz w:val="24"/>
          <w:u w:val="single"/>
        </w:rPr>
        <w:t>the tenets taught by the teacher-founder. We</w:t>
      </w:r>
      <w:r>
        <w:rPr>
          <w:rFonts w:ascii="Bookman Old Style" w:hAnsi="Bookman Old Style"/>
          <w:i/>
          <w:sz w:val="24"/>
        </w:rPr>
        <w:t xml:space="preserve"> </w:t>
      </w:r>
      <w:r>
        <w:rPr>
          <w:rFonts w:ascii="Bookman Old Style" w:hAnsi="Bookman Old Style"/>
          <w:i/>
          <w:sz w:val="24"/>
          <w:u w:val="single"/>
        </w:rPr>
        <w:t xml:space="preserve">take care </w:t>
      </w:r>
      <w:r>
        <w:rPr>
          <w:rFonts w:ascii="Bookman Old Style" w:hAnsi="Bookman Old Style"/>
          <w:i/>
          <w:spacing w:val="-3"/>
          <w:sz w:val="24"/>
          <w:u w:val="single"/>
        </w:rPr>
        <w:t xml:space="preserve">to </w:t>
      </w:r>
      <w:r>
        <w:rPr>
          <w:rFonts w:ascii="Bookman Old Style" w:hAnsi="Bookman Old Style"/>
          <w:i/>
          <w:sz w:val="24"/>
          <w:u w:val="single"/>
        </w:rPr>
        <w:t>mention here that  whatever the ordinary features</w:t>
      </w:r>
      <w:r>
        <w:rPr>
          <w:rFonts w:ascii="Bookman Old Style" w:hAnsi="Bookman Old Style"/>
          <w:i/>
          <w:sz w:val="24"/>
        </w:rPr>
        <w:t xml:space="preserve"> </w:t>
      </w:r>
      <w:r>
        <w:rPr>
          <w:rFonts w:ascii="Bookman Old Style" w:hAnsi="Bookman Old Style"/>
          <w:i/>
          <w:sz w:val="24"/>
          <w:u w:val="single"/>
        </w:rPr>
        <w:t xml:space="preserve">of a religious denomination may be considered </w:t>
      </w:r>
      <w:r>
        <w:rPr>
          <w:rFonts w:ascii="Bookman Old Style" w:hAnsi="Bookman Old Style"/>
          <w:i/>
          <w:spacing w:val="-3"/>
          <w:sz w:val="24"/>
          <w:u w:val="single"/>
        </w:rPr>
        <w:t xml:space="preserve">to </w:t>
      </w:r>
      <w:r>
        <w:rPr>
          <w:rFonts w:ascii="Bookman Old Style" w:hAnsi="Bookman Old Style"/>
          <w:i/>
          <w:sz w:val="24"/>
          <w:u w:val="single"/>
        </w:rPr>
        <w:t>be, all are not</w:t>
      </w:r>
      <w:r>
        <w:rPr>
          <w:rFonts w:ascii="Bookman Old Style" w:hAnsi="Bookman Old Style"/>
          <w:i/>
          <w:sz w:val="24"/>
        </w:rPr>
        <w:t xml:space="preserve"> </w:t>
      </w:r>
      <w:r>
        <w:rPr>
          <w:rFonts w:ascii="Bookman Old Style" w:hAnsi="Bookman Old Style"/>
          <w:i/>
          <w:sz w:val="24"/>
          <w:u w:val="single"/>
        </w:rPr>
        <w:t>of equal im</w:t>
      </w:r>
      <w:r>
        <w:rPr>
          <w:rFonts w:ascii="Bookman Old Style" w:hAnsi="Bookman Old Style"/>
          <w:i/>
          <w:sz w:val="24"/>
          <w:u w:val="single"/>
        </w:rPr>
        <w:t>portance and surely the common faith of the</w:t>
      </w:r>
      <w:r>
        <w:rPr>
          <w:rFonts w:ascii="Bookman Old Style" w:hAnsi="Bookman Old Style"/>
          <w:i/>
          <w:sz w:val="24"/>
        </w:rPr>
        <w:t xml:space="preserve">  </w:t>
      </w:r>
      <w:r>
        <w:rPr>
          <w:rFonts w:ascii="Bookman Old Style" w:hAnsi="Bookman Old Style"/>
          <w:i/>
          <w:sz w:val="24"/>
          <w:u w:val="single"/>
        </w:rPr>
        <w:t>religious body is more important than the other</w:t>
      </w:r>
      <w:r>
        <w:rPr>
          <w:rFonts w:ascii="Bookman Old Style" w:hAnsi="Bookman Old Style"/>
          <w:i/>
          <w:sz w:val="24"/>
        </w:rPr>
        <w:t xml:space="preserve"> </w:t>
      </w:r>
      <w:r>
        <w:rPr>
          <w:rFonts w:ascii="Bookman Old Style" w:hAnsi="Bookman Old Style"/>
          <w:i/>
          <w:sz w:val="24"/>
          <w:u w:val="single"/>
        </w:rPr>
        <w:t>features</w:t>
      </w:r>
      <w:r>
        <w:rPr>
          <w:rFonts w:ascii="Bookman Old Style" w:hAnsi="Bookman Old Style"/>
          <w:i/>
          <w:sz w:val="24"/>
        </w:rPr>
        <w:t xml:space="preserve">…Religious denomination has not to owe allegiance </w:t>
      </w:r>
      <w:r>
        <w:rPr>
          <w:rFonts w:ascii="Bookman Old Style" w:hAnsi="Bookman Old Style"/>
          <w:i/>
          <w:spacing w:val="-3"/>
          <w:sz w:val="24"/>
        </w:rPr>
        <w:t xml:space="preserve">to </w:t>
      </w:r>
      <w:r>
        <w:rPr>
          <w:rFonts w:ascii="Bookman Old Style" w:hAnsi="Bookman Old Style"/>
          <w:i/>
          <w:sz w:val="24"/>
        </w:rPr>
        <w:t>any parent religion. The entire following of a religion may be no more than the religious denomination</w:t>
      </w:r>
      <w:r>
        <w:rPr>
          <w:rFonts w:ascii="Bookman Old Style" w:hAnsi="Bookman Old Style"/>
          <w:i/>
          <w:sz w:val="24"/>
        </w:rPr>
        <w:t xml:space="preserve">. This may be particularly be so </w:t>
      </w:r>
      <w:r>
        <w:rPr>
          <w:rFonts w:ascii="Bookman Old Style" w:hAnsi="Bookman Old Style"/>
          <w:i/>
          <w:spacing w:val="-3"/>
          <w:sz w:val="24"/>
        </w:rPr>
        <w:t xml:space="preserve">in </w:t>
      </w:r>
      <w:r>
        <w:rPr>
          <w:rFonts w:ascii="Bookman Old Style" w:hAnsi="Bookman Old Style"/>
          <w:i/>
          <w:sz w:val="24"/>
        </w:rPr>
        <w:t>the case of small religious groups or developing religions, that is, religions in the formative</w:t>
      </w:r>
      <w:r>
        <w:rPr>
          <w:rFonts w:ascii="Bookman Old Style" w:hAnsi="Bookman Old Style"/>
          <w:i/>
          <w:spacing w:val="-4"/>
          <w:sz w:val="24"/>
        </w:rPr>
        <w:t xml:space="preserve"> </w:t>
      </w:r>
      <w:r>
        <w:rPr>
          <w:rFonts w:ascii="Bookman Old Style" w:hAnsi="Bookman Old Style"/>
          <w:i/>
          <w:sz w:val="24"/>
        </w:rPr>
        <w:t>stage.</w:t>
      </w:r>
      <w:r>
        <w:rPr>
          <w:rFonts w:ascii="Bookman Old Style" w:hAnsi="Bookman Old Style"/>
          <w:sz w:val="24"/>
        </w:rPr>
        <w:t>”</w:t>
      </w:r>
    </w:p>
    <w:p w:rsidR="003B2FC0" w:rsidRDefault="00052A49">
      <w:pPr>
        <w:ind w:left="2846"/>
        <w:rPr>
          <w:rFonts w:ascii="Bookman Old Style"/>
          <w:sz w:val="24"/>
        </w:rPr>
      </w:pPr>
      <w:r>
        <w:rPr>
          <w:rFonts w:ascii="Bookman Old Style"/>
          <w:sz w:val="24"/>
        </w:rPr>
        <w:t>(Emphasis supplied and internal quotations omitted)</w:t>
      </w:r>
    </w:p>
    <w:p w:rsidR="003B2FC0" w:rsidRDefault="003B2FC0">
      <w:pPr>
        <w:pStyle w:val="BodyText"/>
        <w:spacing w:before="2"/>
        <w:rPr>
          <w:sz w:val="24"/>
        </w:rPr>
      </w:pPr>
    </w:p>
    <w:p w:rsidR="003B2FC0" w:rsidRDefault="00052A49">
      <w:pPr>
        <w:pStyle w:val="ListParagraph"/>
        <w:numPr>
          <w:ilvl w:val="1"/>
          <w:numId w:val="6"/>
        </w:numPr>
        <w:tabs>
          <w:tab w:val="left" w:pos="1253"/>
        </w:tabs>
        <w:spacing w:line="480" w:lineRule="auto"/>
        <w:ind w:right="453"/>
        <w:rPr>
          <w:rFonts w:ascii="Bookman Old Style"/>
          <w:sz w:val="24"/>
        </w:rPr>
      </w:pPr>
      <w:r>
        <w:rPr>
          <w:rFonts w:ascii="Bookman Old Style"/>
          <w:sz w:val="24"/>
        </w:rPr>
        <w:t>The Respondents have made out a strong and plausible case that the worshippers of the Sabarimala Temple have the attributes of a religious denomination, or sect thereof, for the reasons enumerated hereinbelow:</w:t>
      </w:r>
    </w:p>
    <w:p w:rsidR="003B2FC0" w:rsidRDefault="00052A49">
      <w:pPr>
        <w:pStyle w:val="ListParagraph"/>
        <w:numPr>
          <w:ilvl w:val="2"/>
          <w:numId w:val="6"/>
        </w:numPr>
        <w:tabs>
          <w:tab w:val="left" w:pos="1678"/>
        </w:tabs>
        <w:spacing w:line="480" w:lineRule="auto"/>
        <w:ind w:right="454"/>
        <w:jc w:val="both"/>
        <w:rPr>
          <w:rFonts w:ascii="Bookman Old Style" w:hAnsi="Bookman Old Style"/>
          <w:sz w:val="24"/>
        </w:rPr>
      </w:pPr>
      <w:r>
        <w:rPr>
          <w:rFonts w:ascii="Bookman Old Style" w:hAnsi="Bookman Old Style"/>
          <w:sz w:val="24"/>
        </w:rPr>
        <w:t>The worshippers of Lord Ayyappa at Sabarimala Temple constitute a religious denomination, or sect thereof, as the case maybe, following the ‘</w:t>
      </w:r>
      <w:r>
        <w:rPr>
          <w:rFonts w:ascii="Bookman Old Style" w:hAnsi="Bookman Old Style"/>
          <w:i/>
          <w:sz w:val="24"/>
        </w:rPr>
        <w:t>Ayyappan Dharma</w:t>
      </w:r>
      <w:r>
        <w:rPr>
          <w:rFonts w:ascii="Bookman Old Style" w:hAnsi="Bookman Old Style"/>
          <w:sz w:val="24"/>
        </w:rPr>
        <w:t>’. They are designated by a distinctive name wherein all male devotees are called ‘</w:t>
      </w:r>
      <w:r>
        <w:rPr>
          <w:rFonts w:ascii="Bookman Old Style" w:hAnsi="Bookman Old Style"/>
          <w:i/>
          <w:sz w:val="24"/>
        </w:rPr>
        <w:t>Ayyappans</w:t>
      </w:r>
      <w:r>
        <w:rPr>
          <w:rFonts w:ascii="Bookman Old Style" w:hAnsi="Bookman Old Style"/>
          <w:sz w:val="24"/>
        </w:rPr>
        <w:t>’; all f</w:t>
      </w:r>
      <w:r>
        <w:rPr>
          <w:rFonts w:ascii="Bookman Old Style" w:hAnsi="Bookman Old Style"/>
          <w:sz w:val="24"/>
        </w:rPr>
        <w:t>emale devotees below the age of 10 years and above</w:t>
      </w:r>
      <w:r>
        <w:rPr>
          <w:rFonts w:ascii="Bookman Old Style" w:hAnsi="Bookman Old Style"/>
          <w:spacing w:val="26"/>
          <w:sz w:val="24"/>
        </w:rPr>
        <w:t xml:space="preserve"> </w:t>
      </w:r>
      <w:r>
        <w:rPr>
          <w:rFonts w:ascii="Bookman Old Style" w:hAnsi="Bookman Old Style"/>
          <w:sz w:val="24"/>
        </w:rPr>
        <w:t>the</w:t>
      </w:r>
      <w:r>
        <w:rPr>
          <w:rFonts w:ascii="Bookman Old Style" w:hAnsi="Bookman Old Style"/>
          <w:spacing w:val="28"/>
          <w:sz w:val="24"/>
        </w:rPr>
        <w:t xml:space="preserve"> </w:t>
      </w:r>
      <w:r>
        <w:rPr>
          <w:rFonts w:ascii="Bookman Old Style" w:hAnsi="Bookman Old Style"/>
          <w:sz w:val="24"/>
        </w:rPr>
        <w:t>age</w:t>
      </w:r>
      <w:r>
        <w:rPr>
          <w:rFonts w:ascii="Bookman Old Style" w:hAnsi="Bookman Old Style"/>
          <w:spacing w:val="27"/>
          <w:sz w:val="24"/>
        </w:rPr>
        <w:t xml:space="preserve"> </w:t>
      </w:r>
      <w:r>
        <w:rPr>
          <w:rFonts w:ascii="Bookman Old Style" w:hAnsi="Bookman Old Style"/>
          <w:sz w:val="24"/>
        </w:rPr>
        <w:t>of</w:t>
      </w:r>
      <w:r>
        <w:rPr>
          <w:rFonts w:ascii="Bookman Old Style" w:hAnsi="Bookman Old Style"/>
          <w:spacing w:val="25"/>
          <w:sz w:val="24"/>
        </w:rPr>
        <w:t xml:space="preserve"> </w:t>
      </w:r>
      <w:r>
        <w:rPr>
          <w:rFonts w:ascii="Bookman Old Style" w:hAnsi="Bookman Old Style"/>
          <w:sz w:val="24"/>
        </w:rPr>
        <w:t>50</w:t>
      </w:r>
      <w:r>
        <w:rPr>
          <w:rFonts w:ascii="Bookman Old Style" w:hAnsi="Bookman Old Style"/>
          <w:spacing w:val="25"/>
          <w:sz w:val="24"/>
        </w:rPr>
        <w:t xml:space="preserve"> </w:t>
      </w:r>
      <w:r>
        <w:rPr>
          <w:rFonts w:ascii="Bookman Old Style" w:hAnsi="Bookman Old Style"/>
          <w:sz w:val="24"/>
        </w:rPr>
        <w:t>years,</w:t>
      </w:r>
      <w:r>
        <w:rPr>
          <w:rFonts w:ascii="Bookman Old Style" w:hAnsi="Bookman Old Style"/>
          <w:spacing w:val="27"/>
          <w:sz w:val="24"/>
        </w:rPr>
        <w:t xml:space="preserve"> </w:t>
      </w:r>
      <w:r>
        <w:rPr>
          <w:rFonts w:ascii="Bookman Old Style" w:hAnsi="Bookman Old Style"/>
          <w:sz w:val="24"/>
        </w:rPr>
        <w:t>are</w:t>
      </w:r>
      <w:r>
        <w:rPr>
          <w:rFonts w:ascii="Bookman Old Style" w:hAnsi="Bookman Old Style"/>
          <w:spacing w:val="27"/>
          <w:sz w:val="24"/>
        </w:rPr>
        <w:t xml:space="preserve"> </w:t>
      </w:r>
      <w:r>
        <w:rPr>
          <w:rFonts w:ascii="Bookman Old Style" w:hAnsi="Bookman Old Style"/>
          <w:sz w:val="24"/>
        </w:rPr>
        <w:t>called</w:t>
      </w:r>
      <w:r>
        <w:rPr>
          <w:rFonts w:ascii="Bookman Old Style" w:hAnsi="Bookman Old Style"/>
          <w:spacing w:val="25"/>
          <w:sz w:val="24"/>
        </w:rPr>
        <w:t xml:space="preserve"> </w:t>
      </w:r>
      <w:r>
        <w:rPr>
          <w:rFonts w:ascii="Bookman Old Style" w:hAnsi="Bookman Old Style"/>
          <w:sz w:val="24"/>
        </w:rPr>
        <w:t>‘</w:t>
      </w:r>
      <w:r>
        <w:rPr>
          <w:rFonts w:ascii="Bookman Old Style" w:hAnsi="Bookman Old Style"/>
          <w:i/>
          <w:sz w:val="24"/>
        </w:rPr>
        <w:t>Malikapurnams</w:t>
      </w:r>
      <w:r>
        <w:rPr>
          <w:rFonts w:ascii="Bookman Old Style" w:hAnsi="Bookman Old Style"/>
          <w:sz w:val="24"/>
        </w:rPr>
        <w:t>’.</w:t>
      </w:r>
      <w:r>
        <w:rPr>
          <w:rFonts w:ascii="Bookman Old Style" w:hAnsi="Bookman Old Style"/>
          <w:spacing w:val="28"/>
          <w:sz w:val="24"/>
        </w:rPr>
        <w:t xml:space="preserve"> </w:t>
      </w:r>
      <w:r>
        <w:rPr>
          <w:rFonts w:ascii="Bookman Old Style" w:hAnsi="Bookman Old Style"/>
          <w:sz w:val="24"/>
        </w:rPr>
        <w:t>A</w:t>
      </w:r>
      <w:r>
        <w:rPr>
          <w:rFonts w:ascii="Bookman Old Style" w:hAnsi="Bookman Old Style"/>
          <w:spacing w:val="27"/>
          <w:sz w:val="24"/>
        </w:rPr>
        <w:t xml:space="preserve"> </w:t>
      </w:r>
      <w:r>
        <w:rPr>
          <w:rFonts w:ascii="Bookman Old Style" w:hAnsi="Bookman Old Style"/>
          <w:sz w:val="24"/>
        </w:rPr>
        <w:t>pilgrim</w:t>
      </w:r>
    </w:p>
    <w:p w:rsidR="003B2FC0" w:rsidRDefault="003B2FC0">
      <w:pPr>
        <w:spacing w:line="480" w:lineRule="auto"/>
        <w:jc w:val="both"/>
        <w:rPr>
          <w:rFonts w:ascii="Bookman Old Style" w:hAnsi="Bookman Old Style"/>
          <w:sz w:val="24"/>
        </w:rPr>
        <w:sectPr w:rsidR="003B2FC0">
          <w:headerReference w:type="default" r:id="rId495"/>
          <w:footerReference w:type="default" r:id="rId496"/>
          <w:pgSz w:w="11910" w:h="16840"/>
          <w:pgMar w:top="1340" w:right="980" w:bottom="1220" w:left="1040" w:header="0" w:footer="1033" w:gutter="0"/>
          <w:pgNumType w:start="51"/>
          <w:cols w:space="720"/>
        </w:sectPr>
      </w:pPr>
    </w:p>
    <w:p w:rsidR="003B2FC0" w:rsidRDefault="00052A49">
      <w:pPr>
        <w:spacing w:before="83" w:line="480" w:lineRule="auto"/>
        <w:ind w:left="1677" w:right="453"/>
        <w:jc w:val="both"/>
        <w:rPr>
          <w:rFonts w:ascii="Bookman Old Style" w:hAnsi="Bookman Old Style"/>
          <w:sz w:val="24"/>
        </w:rPr>
      </w:pPr>
      <w:r>
        <w:rPr>
          <w:rFonts w:ascii="Bookman Old Style" w:hAnsi="Bookman Old Style"/>
          <w:sz w:val="24"/>
        </w:rPr>
        <w:t>on their maiden trip to Sabarimala Temple is called a ‘</w:t>
      </w:r>
      <w:r>
        <w:rPr>
          <w:rFonts w:ascii="Bookman Old Style" w:hAnsi="Bookman Old Style"/>
          <w:i/>
          <w:sz w:val="24"/>
        </w:rPr>
        <w:t>Kanni Ayyappan</w:t>
      </w:r>
      <w:r>
        <w:rPr>
          <w:rFonts w:ascii="Bookman Old Style" w:hAnsi="Bookman Old Style"/>
          <w:sz w:val="24"/>
        </w:rPr>
        <w:t>’. The devotees are referred to as</w:t>
      </w:r>
      <w:r>
        <w:rPr>
          <w:rFonts w:ascii="Bookman Old Style" w:hAnsi="Bookman Old Style"/>
          <w:sz w:val="24"/>
        </w:rPr>
        <w:t xml:space="preserve"> ‘</w:t>
      </w:r>
      <w:r>
        <w:rPr>
          <w:rFonts w:ascii="Bookman Old Style" w:hAnsi="Bookman Old Style"/>
          <w:i/>
          <w:sz w:val="24"/>
        </w:rPr>
        <w:t>Ayyappaswamis</w:t>
      </w:r>
      <w:r>
        <w:rPr>
          <w:rFonts w:ascii="Bookman Old Style" w:hAnsi="Bookman Old Style"/>
          <w:sz w:val="24"/>
        </w:rPr>
        <w:t>’. A devotee has to observe the ‘</w:t>
      </w:r>
      <w:r>
        <w:rPr>
          <w:rFonts w:ascii="Bookman Old Style" w:hAnsi="Bookman Old Style"/>
          <w:i/>
          <w:sz w:val="24"/>
        </w:rPr>
        <w:t>Vratham</w:t>
      </w:r>
      <w:r>
        <w:rPr>
          <w:rFonts w:ascii="Bookman Old Style" w:hAnsi="Bookman Old Style"/>
          <w:sz w:val="24"/>
        </w:rPr>
        <w:t>’</w:t>
      </w:r>
      <w:r>
        <w:rPr>
          <w:rFonts w:ascii="Bookman Old Style" w:hAnsi="Bookman Old Style"/>
          <w:i/>
          <w:sz w:val="24"/>
        </w:rPr>
        <w:t xml:space="preserve">, </w:t>
      </w:r>
      <w:r>
        <w:rPr>
          <w:rFonts w:ascii="Bookman Old Style" w:hAnsi="Bookman Old Style"/>
          <w:sz w:val="24"/>
        </w:rPr>
        <w:t>and follow the code of conduct, before embarking upon the ‘</w:t>
      </w:r>
      <w:r>
        <w:rPr>
          <w:rFonts w:ascii="Bookman Old Style" w:hAnsi="Bookman Old Style"/>
          <w:i/>
          <w:sz w:val="24"/>
        </w:rPr>
        <w:t>Pathinettu Padikal</w:t>
      </w:r>
      <w:r>
        <w:rPr>
          <w:rFonts w:ascii="Bookman Old Style" w:hAnsi="Bookman Old Style"/>
          <w:sz w:val="24"/>
        </w:rPr>
        <w:t>’ to enter the Temple at Sabarimala.</w:t>
      </w:r>
    </w:p>
    <w:p w:rsidR="003B2FC0" w:rsidRDefault="00052A49">
      <w:pPr>
        <w:pStyle w:val="ListParagraph"/>
        <w:numPr>
          <w:ilvl w:val="2"/>
          <w:numId w:val="6"/>
        </w:numPr>
        <w:tabs>
          <w:tab w:val="left" w:pos="1678"/>
        </w:tabs>
        <w:spacing w:line="480" w:lineRule="auto"/>
        <w:ind w:right="454" w:hanging="363"/>
        <w:jc w:val="both"/>
        <w:rPr>
          <w:rFonts w:ascii="Bookman Old Style" w:hAnsi="Bookman Old Style"/>
          <w:sz w:val="24"/>
        </w:rPr>
      </w:pPr>
      <w:r>
        <w:rPr>
          <w:rFonts w:ascii="Bookman Old Style" w:hAnsi="Bookman Old Style"/>
          <w:sz w:val="24"/>
        </w:rPr>
        <w:t xml:space="preserve">The devotees follow an identifiable set of beliefs, customs and usages, and code of conduct which are being practised since time immemorial, and are founded in a common faith. The religious practises being followed in this Temple are founded on the belief </w:t>
      </w:r>
      <w:r>
        <w:rPr>
          <w:rFonts w:ascii="Bookman Old Style" w:hAnsi="Bookman Old Style"/>
          <w:sz w:val="24"/>
        </w:rPr>
        <w:t>that the Lord has manifested himself in the form of a ‘</w:t>
      </w:r>
      <w:r>
        <w:rPr>
          <w:rFonts w:ascii="Bookman Old Style" w:hAnsi="Bookman Old Style"/>
          <w:i/>
          <w:sz w:val="24"/>
        </w:rPr>
        <w:t>Naishtika Brahmachari</w:t>
      </w:r>
      <w:r>
        <w:rPr>
          <w:rFonts w:ascii="Bookman Old Style" w:hAnsi="Bookman Old Style"/>
          <w:sz w:val="24"/>
        </w:rPr>
        <w:t xml:space="preserve">’. It is because of this </w:t>
      </w:r>
      <w:r>
        <w:rPr>
          <w:rFonts w:ascii="Bookman Old Style" w:hAnsi="Bookman Old Style"/>
          <w:i/>
          <w:sz w:val="24"/>
        </w:rPr>
        <w:t>nishtha</w:t>
      </w:r>
      <w:r>
        <w:rPr>
          <w:rFonts w:ascii="Bookman Old Style" w:hAnsi="Bookman Old Style"/>
          <w:sz w:val="24"/>
        </w:rPr>
        <w:t>, that women between the ages of 10 to 50 years, are not permitted to enter the</w:t>
      </w:r>
      <w:r>
        <w:rPr>
          <w:rFonts w:ascii="Bookman Old Style" w:hAnsi="Bookman Old Style"/>
          <w:spacing w:val="-19"/>
          <w:sz w:val="24"/>
        </w:rPr>
        <w:t xml:space="preserve"> </w:t>
      </w:r>
      <w:r>
        <w:rPr>
          <w:rFonts w:ascii="Bookman Old Style" w:hAnsi="Bookman Old Style"/>
          <w:sz w:val="24"/>
        </w:rPr>
        <w:t>temple.</w:t>
      </w:r>
    </w:p>
    <w:p w:rsidR="003B2FC0" w:rsidRDefault="00052A49">
      <w:pPr>
        <w:spacing w:before="2" w:line="480" w:lineRule="auto"/>
        <w:ind w:left="1677" w:right="455" w:firstLine="424"/>
        <w:jc w:val="both"/>
        <w:rPr>
          <w:rFonts w:ascii="Bookman Old Style" w:hAnsi="Bookman Old Style"/>
          <w:sz w:val="24"/>
        </w:rPr>
      </w:pPr>
      <w:r>
        <w:rPr>
          <w:rFonts w:ascii="Bookman Old Style" w:hAnsi="Bookman Old Style"/>
          <w:sz w:val="24"/>
        </w:rPr>
        <w:t>The practises followed by this religious denomination, or se</w:t>
      </w:r>
      <w:r>
        <w:rPr>
          <w:rFonts w:ascii="Bookman Old Style" w:hAnsi="Bookman Old Style"/>
          <w:sz w:val="24"/>
        </w:rPr>
        <w:t>ct thereof, as the case maybe, constitute a code of conduct, which is a part of the essential spiritual discipline related to this pilgrimage. As per the customs and usages practised in the Sabarimala Temple, the 41-day ‘</w:t>
      </w:r>
      <w:r>
        <w:rPr>
          <w:rFonts w:ascii="Bookman Old Style" w:hAnsi="Bookman Old Style"/>
          <w:i/>
          <w:sz w:val="24"/>
        </w:rPr>
        <w:t>Vratham</w:t>
      </w:r>
      <w:r>
        <w:rPr>
          <w:rFonts w:ascii="Bookman Old Style" w:hAnsi="Bookman Old Style"/>
          <w:sz w:val="24"/>
        </w:rPr>
        <w:t>’ is a condition precedent f</w:t>
      </w:r>
      <w:r>
        <w:rPr>
          <w:rFonts w:ascii="Bookman Old Style" w:hAnsi="Bookman Old Style"/>
          <w:sz w:val="24"/>
        </w:rPr>
        <w:t>or undertaking the pilgrimage to the Sabarimala Temple.</w:t>
      </w:r>
    </w:p>
    <w:p w:rsidR="003B2FC0" w:rsidRDefault="00052A49">
      <w:pPr>
        <w:spacing w:line="480" w:lineRule="auto"/>
        <w:ind w:left="1677" w:right="453" w:firstLine="424"/>
        <w:jc w:val="both"/>
        <w:rPr>
          <w:rFonts w:ascii="Bookman Old Style" w:hAnsi="Bookman Old Style"/>
          <w:sz w:val="24"/>
        </w:rPr>
      </w:pPr>
      <w:r>
        <w:rPr>
          <w:rFonts w:ascii="Bookman Old Style" w:hAnsi="Bookman Old Style"/>
          <w:sz w:val="24"/>
        </w:rPr>
        <w:t xml:space="preserve">The Respondents submit that the beliefs and practises being followed by them have been imparted by the deity himself to the King of </w:t>
      </w:r>
      <w:r>
        <w:rPr>
          <w:rFonts w:ascii="Bookman Old Style" w:hAnsi="Bookman Old Style"/>
          <w:i/>
          <w:sz w:val="24"/>
        </w:rPr>
        <w:t xml:space="preserve">Pandalam </w:t>
      </w:r>
      <w:r>
        <w:rPr>
          <w:rFonts w:ascii="Bookman Old Style" w:hAnsi="Bookman Old Style"/>
          <w:sz w:val="24"/>
        </w:rPr>
        <w:t xml:space="preserve">who constructed this Temple. The teachings of the Lord are </w:t>
      </w:r>
      <w:r>
        <w:rPr>
          <w:rFonts w:ascii="Bookman Old Style" w:hAnsi="Bookman Old Style"/>
          <w:sz w:val="24"/>
        </w:rPr>
        <w:t xml:space="preserve">scripted in the </w:t>
      </w:r>
      <w:r>
        <w:rPr>
          <w:rFonts w:ascii="Bookman Old Style" w:hAnsi="Bookman Old Style"/>
          <w:i/>
          <w:sz w:val="24"/>
        </w:rPr>
        <w:t xml:space="preserve">Sthal Purana </w:t>
      </w:r>
      <w:r>
        <w:rPr>
          <w:rFonts w:ascii="Bookman Old Style" w:hAnsi="Bookman Old Style"/>
          <w:sz w:val="24"/>
        </w:rPr>
        <w:t>of this Temple, known as the ‘</w:t>
      </w:r>
      <w:r>
        <w:rPr>
          <w:rFonts w:ascii="Bookman Old Style" w:hAnsi="Bookman Old Style"/>
          <w:i/>
          <w:sz w:val="24"/>
        </w:rPr>
        <w:t>Bhuthanatha</w:t>
      </w:r>
      <w:r>
        <w:rPr>
          <w:rFonts w:ascii="Bookman Old Style" w:hAnsi="Bookman Old Style"/>
          <w:i/>
          <w:spacing w:val="-1"/>
          <w:sz w:val="24"/>
        </w:rPr>
        <w:t xml:space="preserve"> </w:t>
      </w:r>
      <w:r>
        <w:rPr>
          <w:rFonts w:ascii="Bookman Old Style" w:hAnsi="Bookman Old Style"/>
          <w:i/>
          <w:sz w:val="24"/>
        </w:rPr>
        <w:t>Geetha</w:t>
      </w:r>
      <w:r>
        <w:rPr>
          <w:rFonts w:ascii="Bookman Old Style" w:hAnsi="Bookman Old Style"/>
          <w:sz w:val="24"/>
        </w:rPr>
        <w:t>’.</w:t>
      </w:r>
    </w:p>
    <w:p w:rsidR="003B2FC0" w:rsidRDefault="00052A49">
      <w:pPr>
        <w:spacing w:before="1" w:line="477" w:lineRule="auto"/>
        <w:ind w:left="1677" w:right="453" w:firstLine="424"/>
        <w:jc w:val="both"/>
        <w:rPr>
          <w:rFonts w:ascii="Bookman Old Style"/>
          <w:sz w:val="24"/>
        </w:rPr>
      </w:pPr>
      <w:r>
        <w:rPr>
          <w:rFonts w:ascii="Bookman Old Style"/>
          <w:sz w:val="24"/>
        </w:rPr>
        <w:t>Reference to the custom and usage restricting the entry of women belonging to the</w:t>
      </w:r>
      <w:r>
        <w:rPr>
          <w:rFonts w:ascii="Bookman Old Style"/>
          <w:spacing w:val="51"/>
          <w:sz w:val="24"/>
        </w:rPr>
        <w:t xml:space="preserve"> </w:t>
      </w:r>
      <w:r>
        <w:rPr>
          <w:rFonts w:ascii="Bookman Old Style"/>
          <w:sz w:val="24"/>
        </w:rPr>
        <w:t>age group of</w:t>
      </w:r>
      <w:r>
        <w:rPr>
          <w:rFonts w:ascii="Bookman Old Style"/>
          <w:spacing w:val="51"/>
          <w:sz w:val="24"/>
        </w:rPr>
        <w:t xml:space="preserve"> </w:t>
      </w:r>
      <w:r>
        <w:rPr>
          <w:rFonts w:ascii="Bookman Old Style"/>
          <w:sz w:val="24"/>
        </w:rPr>
        <w:t>10 to 50</w:t>
      </w:r>
      <w:r>
        <w:rPr>
          <w:rFonts w:ascii="Bookman Old Style"/>
          <w:spacing w:val="51"/>
          <w:sz w:val="24"/>
        </w:rPr>
        <w:t xml:space="preserve"> </w:t>
      </w:r>
      <w:r>
        <w:rPr>
          <w:rFonts w:ascii="Bookman Old Style"/>
          <w:sz w:val="24"/>
        </w:rPr>
        <w:t>years</w:t>
      </w:r>
      <w:r>
        <w:rPr>
          <w:rFonts w:ascii="Bookman Old Style"/>
          <w:spacing w:val="55"/>
          <w:sz w:val="24"/>
        </w:rPr>
        <w:t xml:space="preserve"> </w:t>
      </w:r>
      <w:r>
        <w:rPr>
          <w:rFonts w:ascii="Bookman Old Style"/>
          <w:sz w:val="24"/>
        </w:rPr>
        <w:t>is</w:t>
      </w:r>
    </w:p>
    <w:p w:rsidR="003B2FC0" w:rsidRDefault="003B2FC0">
      <w:pPr>
        <w:spacing w:line="477" w:lineRule="auto"/>
        <w:jc w:val="both"/>
        <w:rPr>
          <w:rFonts w:ascii="Bookman Old Style"/>
          <w:sz w:val="24"/>
        </w:rPr>
        <w:sectPr w:rsidR="003B2FC0">
          <w:headerReference w:type="default" r:id="rId497"/>
          <w:footerReference w:type="default" r:id="rId498"/>
          <w:pgSz w:w="11910" w:h="16840"/>
          <w:pgMar w:top="1340" w:right="980" w:bottom="1220" w:left="1040" w:header="0" w:footer="1033" w:gutter="0"/>
          <w:pgNumType w:start="52"/>
          <w:cols w:space="720"/>
        </w:sectPr>
      </w:pPr>
    </w:p>
    <w:p w:rsidR="003B2FC0" w:rsidRDefault="00052A49">
      <w:pPr>
        <w:spacing w:before="83" w:line="480" w:lineRule="auto"/>
        <w:ind w:left="1677" w:right="453"/>
        <w:jc w:val="both"/>
        <w:rPr>
          <w:rFonts w:ascii="Bookman Old Style"/>
          <w:sz w:val="24"/>
        </w:rPr>
      </w:pPr>
      <w:r>
        <w:rPr>
          <w:rFonts w:ascii="Bookman Old Style"/>
          <w:sz w:val="24"/>
        </w:rPr>
        <w:t>documented in the Memoir of the Survey of the Travancore and Cochin States</w:t>
      </w:r>
      <w:r>
        <w:rPr>
          <w:rFonts w:ascii="Bookman Old Style"/>
          <w:position w:val="6"/>
          <w:sz w:val="16"/>
        </w:rPr>
        <w:t xml:space="preserve">46 </w:t>
      </w:r>
      <w:r>
        <w:rPr>
          <w:rFonts w:ascii="Bookman Old Style"/>
          <w:sz w:val="24"/>
        </w:rPr>
        <w:t>published in two parts in 1893 and 1901 written by Lieutenants Ward and Conner.</w:t>
      </w:r>
    </w:p>
    <w:p w:rsidR="003B2FC0" w:rsidRDefault="003B2FC0">
      <w:pPr>
        <w:pStyle w:val="BodyText"/>
        <w:spacing w:before="1"/>
        <w:rPr>
          <w:sz w:val="24"/>
        </w:rPr>
      </w:pPr>
    </w:p>
    <w:p w:rsidR="003B2FC0" w:rsidRDefault="00052A49">
      <w:pPr>
        <w:pStyle w:val="ListParagraph"/>
        <w:numPr>
          <w:ilvl w:val="2"/>
          <w:numId w:val="6"/>
        </w:numPr>
        <w:tabs>
          <w:tab w:val="left" w:pos="1678"/>
        </w:tabs>
        <w:spacing w:line="480" w:lineRule="auto"/>
        <w:ind w:right="453" w:hanging="435"/>
        <w:jc w:val="both"/>
        <w:rPr>
          <w:rFonts w:ascii="Bookman Old Style"/>
          <w:sz w:val="24"/>
        </w:rPr>
      </w:pPr>
      <w:r>
        <w:rPr>
          <w:rFonts w:ascii="Bookman Old Style"/>
          <w:sz w:val="24"/>
        </w:rPr>
        <w:t>This Temple owned vast landed properties from which the Temple was being maintained. These were ta</w:t>
      </w:r>
      <w:r>
        <w:rPr>
          <w:rFonts w:ascii="Bookman Old Style"/>
          <w:sz w:val="24"/>
        </w:rPr>
        <w:t>ken over by the State, subject to the obligation to pay annuities to the Temple from the coffers of the State, as is evident from the Devaswom Proclamation</w:t>
      </w:r>
      <w:r>
        <w:rPr>
          <w:rFonts w:ascii="Bookman Old Style"/>
          <w:position w:val="6"/>
          <w:sz w:val="16"/>
        </w:rPr>
        <w:t xml:space="preserve">47 </w:t>
      </w:r>
      <w:r>
        <w:rPr>
          <w:rFonts w:ascii="Bookman Old Style"/>
          <w:sz w:val="24"/>
        </w:rPr>
        <w:t>dated 12</w:t>
      </w:r>
      <w:r>
        <w:rPr>
          <w:rFonts w:ascii="Bookman Old Style"/>
          <w:position w:val="6"/>
          <w:sz w:val="16"/>
        </w:rPr>
        <w:t xml:space="preserve">th </w:t>
      </w:r>
      <w:r>
        <w:rPr>
          <w:rFonts w:ascii="Bookman Old Style"/>
          <w:sz w:val="24"/>
        </w:rPr>
        <w:t>April 1922 issued by the Maharaja of Travancore, on which reliance was placed by Mr. J.</w:t>
      </w:r>
      <w:r>
        <w:rPr>
          <w:rFonts w:ascii="Bookman Old Style"/>
          <w:sz w:val="24"/>
        </w:rPr>
        <w:t xml:space="preserve"> Sai Deepak, Advocate.</w:t>
      </w:r>
    </w:p>
    <w:p w:rsidR="003B2FC0" w:rsidRDefault="00052A49">
      <w:pPr>
        <w:spacing w:line="480" w:lineRule="auto"/>
        <w:ind w:left="1677" w:right="458" w:firstLine="424"/>
        <w:jc w:val="both"/>
        <w:rPr>
          <w:rFonts w:ascii="Bookman Old Style"/>
          <w:sz w:val="24"/>
        </w:rPr>
      </w:pPr>
      <w:r>
        <w:rPr>
          <w:rFonts w:ascii="Bookman Old Style"/>
          <w:sz w:val="24"/>
        </w:rPr>
        <w:t>When the erstwhile State of Travancore merged with the Union of India, the obligation of paying annuities for the landed properties, was transferred to the Government of</w:t>
      </w:r>
      <w:r>
        <w:rPr>
          <w:rFonts w:ascii="Bookman Old Style"/>
          <w:spacing w:val="-5"/>
          <w:sz w:val="24"/>
        </w:rPr>
        <w:t xml:space="preserve"> </w:t>
      </w:r>
      <w:r>
        <w:rPr>
          <w:rFonts w:ascii="Bookman Old Style"/>
          <w:sz w:val="24"/>
        </w:rPr>
        <w:t>India.</w:t>
      </w:r>
    </w:p>
    <w:p w:rsidR="003B2FC0" w:rsidRDefault="00052A49">
      <w:pPr>
        <w:pStyle w:val="ListParagraph"/>
        <w:numPr>
          <w:ilvl w:val="2"/>
          <w:numId w:val="6"/>
        </w:numPr>
        <w:tabs>
          <w:tab w:val="left" w:pos="1678"/>
        </w:tabs>
        <w:spacing w:line="480" w:lineRule="auto"/>
        <w:ind w:right="456" w:hanging="415"/>
        <w:jc w:val="both"/>
        <w:rPr>
          <w:rFonts w:ascii="Bookman Old Style" w:hAnsi="Bookman Old Style"/>
          <w:sz w:val="24"/>
        </w:rPr>
      </w:pPr>
      <w:r>
        <w:rPr>
          <w:rFonts w:ascii="Bookman Old Style" w:hAnsi="Bookman Old Style"/>
          <w:sz w:val="24"/>
        </w:rPr>
        <w:t xml:space="preserve">The Temple is managed by the Travancore Devaswom Board. </w:t>
      </w:r>
      <w:r>
        <w:rPr>
          <w:rFonts w:ascii="Bookman Old Style" w:hAnsi="Bookman Old Style"/>
          <w:sz w:val="24"/>
        </w:rPr>
        <w:t>It does not receive funds from the Consolidated Fund of India, which would give it the character of ‘State’ or ‘other authorities’ under Article 12 of the</w:t>
      </w:r>
      <w:r>
        <w:rPr>
          <w:rFonts w:ascii="Bookman Old Style" w:hAnsi="Bookman Old Style"/>
          <w:spacing w:val="-5"/>
          <w:sz w:val="24"/>
        </w:rPr>
        <w:t xml:space="preserve"> </w:t>
      </w:r>
      <w:r>
        <w:rPr>
          <w:rFonts w:ascii="Bookman Old Style" w:hAnsi="Bookman Old Style"/>
          <w:sz w:val="24"/>
        </w:rPr>
        <w:t>Constitution.</w:t>
      </w:r>
    </w:p>
    <w:p w:rsidR="003B2FC0" w:rsidRDefault="00052A49">
      <w:pPr>
        <w:spacing w:line="480" w:lineRule="auto"/>
        <w:ind w:left="1677" w:right="459" w:firstLine="424"/>
        <w:jc w:val="both"/>
        <w:rPr>
          <w:rFonts w:ascii="Bookman Old Style"/>
          <w:sz w:val="24"/>
        </w:rPr>
      </w:pPr>
      <w:r>
        <w:rPr>
          <w:rFonts w:ascii="Bookman Old Style"/>
          <w:sz w:val="24"/>
        </w:rPr>
        <w:t>In any event, Article 290A does not in any manner take away the denominational character of the Sabarimala Temple, or the Fundamental Rights under Article 26.</w:t>
      </w:r>
    </w:p>
    <w:p w:rsidR="003B2FC0" w:rsidRDefault="003B2FC0">
      <w:pPr>
        <w:pStyle w:val="ListParagraph"/>
        <w:numPr>
          <w:ilvl w:val="1"/>
          <w:numId w:val="6"/>
        </w:numPr>
        <w:tabs>
          <w:tab w:val="left" w:pos="1253"/>
        </w:tabs>
        <w:spacing w:before="2" w:line="480" w:lineRule="auto"/>
        <w:ind w:right="455"/>
        <w:rPr>
          <w:rFonts w:ascii="Bookman Old Style" w:hAnsi="Bookman Old Style"/>
          <w:sz w:val="24"/>
        </w:rPr>
      </w:pPr>
      <w:r w:rsidRPr="003B2FC0">
        <w:pict>
          <v:line id="_x0000_s1034" style="position:absolute;left:0;text-align:left;z-index:-251617792;mso-position-horizontal-relative:page" from="1in,79.7pt" to="216.05pt,79.7pt" strokeweight=".72pt">
            <w10:wrap anchorx="page"/>
          </v:line>
        </w:pict>
      </w:r>
      <w:r w:rsidR="00052A49">
        <w:rPr>
          <w:rFonts w:ascii="Bookman Old Style" w:hAnsi="Bookman Old Style"/>
          <w:sz w:val="24"/>
        </w:rPr>
        <w:t>The issue whether the Sabarimala Temple constitutes a ‘religious denomination’, or a sect thereo</w:t>
      </w:r>
      <w:r w:rsidR="00052A49">
        <w:rPr>
          <w:rFonts w:ascii="Bookman Old Style" w:hAnsi="Bookman Old Style"/>
          <w:sz w:val="24"/>
        </w:rPr>
        <w:t>f, is a mixed question of fact and law. It</w:t>
      </w:r>
      <w:r w:rsidR="00052A49">
        <w:rPr>
          <w:rFonts w:ascii="Bookman Old Style" w:hAnsi="Bookman Old Style"/>
          <w:spacing w:val="13"/>
          <w:sz w:val="24"/>
        </w:rPr>
        <w:t xml:space="preserve"> </w:t>
      </w:r>
      <w:r w:rsidR="00052A49">
        <w:rPr>
          <w:rFonts w:ascii="Bookman Old Style" w:hAnsi="Bookman Old Style"/>
          <w:sz w:val="24"/>
        </w:rPr>
        <w:t>is</w:t>
      </w:r>
      <w:r w:rsidR="00052A49">
        <w:rPr>
          <w:rFonts w:ascii="Bookman Old Style" w:hAnsi="Bookman Old Style"/>
          <w:spacing w:val="13"/>
          <w:sz w:val="24"/>
        </w:rPr>
        <w:t xml:space="preserve"> </w:t>
      </w:r>
      <w:r w:rsidR="00052A49">
        <w:rPr>
          <w:rFonts w:ascii="Bookman Old Style" w:hAnsi="Bookman Old Style"/>
          <w:sz w:val="24"/>
        </w:rPr>
        <w:t>trite</w:t>
      </w:r>
      <w:r w:rsidR="00052A49">
        <w:rPr>
          <w:rFonts w:ascii="Bookman Old Style" w:hAnsi="Bookman Old Style"/>
          <w:spacing w:val="13"/>
          <w:sz w:val="24"/>
        </w:rPr>
        <w:t xml:space="preserve"> </w:t>
      </w:r>
      <w:r w:rsidR="00052A49">
        <w:rPr>
          <w:rFonts w:ascii="Bookman Old Style" w:hAnsi="Bookman Old Style"/>
          <w:sz w:val="24"/>
        </w:rPr>
        <w:t>in</w:t>
      </w:r>
      <w:r w:rsidR="00052A49">
        <w:rPr>
          <w:rFonts w:ascii="Bookman Old Style" w:hAnsi="Bookman Old Style"/>
          <w:spacing w:val="13"/>
          <w:sz w:val="24"/>
        </w:rPr>
        <w:t xml:space="preserve"> </w:t>
      </w:r>
      <w:r w:rsidR="00052A49">
        <w:rPr>
          <w:rFonts w:ascii="Bookman Old Style" w:hAnsi="Bookman Old Style"/>
          <w:sz w:val="24"/>
        </w:rPr>
        <w:t>law</w:t>
      </w:r>
      <w:r w:rsidR="00052A49">
        <w:rPr>
          <w:rFonts w:ascii="Bookman Old Style" w:hAnsi="Bookman Old Style"/>
          <w:spacing w:val="13"/>
          <w:sz w:val="24"/>
        </w:rPr>
        <w:t xml:space="preserve"> </w:t>
      </w:r>
      <w:r w:rsidR="00052A49">
        <w:rPr>
          <w:rFonts w:ascii="Bookman Old Style" w:hAnsi="Bookman Old Style"/>
          <w:sz w:val="24"/>
        </w:rPr>
        <w:t>that</w:t>
      </w:r>
      <w:r w:rsidR="00052A49">
        <w:rPr>
          <w:rFonts w:ascii="Bookman Old Style" w:hAnsi="Bookman Old Style"/>
          <w:spacing w:val="15"/>
          <w:sz w:val="24"/>
        </w:rPr>
        <w:t xml:space="preserve"> </w:t>
      </w:r>
      <w:r w:rsidR="00052A49">
        <w:rPr>
          <w:rFonts w:ascii="Bookman Old Style" w:hAnsi="Bookman Old Style"/>
          <w:sz w:val="24"/>
        </w:rPr>
        <w:t>a</w:t>
      </w:r>
      <w:r w:rsidR="00052A49">
        <w:rPr>
          <w:rFonts w:ascii="Bookman Old Style" w:hAnsi="Bookman Old Style"/>
          <w:spacing w:val="13"/>
          <w:sz w:val="24"/>
        </w:rPr>
        <w:t xml:space="preserve"> </w:t>
      </w:r>
      <w:r w:rsidR="00052A49">
        <w:rPr>
          <w:rFonts w:ascii="Bookman Old Style" w:hAnsi="Bookman Old Style"/>
          <w:sz w:val="24"/>
        </w:rPr>
        <w:t>question</w:t>
      </w:r>
      <w:r w:rsidR="00052A49">
        <w:rPr>
          <w:rFonts w:ascii="Bookman Old Style" w:hAnsi="Bookman Old Style"/>
          <w:spacing w:val="13"/>
          <w:sz w:val="24"/>
        </w:rPr>
        <w:t xml:space="preserve"> </w:t>
      </w:r>
      <w:r w:rsidR="00052A49">
        <w:rPr>
          <w:rFonts w:ascii="Bookman Old Style" w:hAnsi="Bookman Old Style"/>
          <w:sz w:val="24"/>
        </w:rPr>
        <w:t>of</w:t>
      </w:r>
      <w:r w:rsidR="00052A49">
        <w:rPr>
          <w:rFonts w:ascii="Bookman Old Style" w:hAnsi="Bookman Old Style"/>
          <w:spacing w:val="15"/>
          <w:sz w:val="24"/>
        </w:rPr>
        <w:t xml:space="preserve"> </w:t>
      </w:r>
      <w:r w:rsidR="00052A49">
        <w:rPr>
          <w:rFonts w:ascii="Bookman Old Style" w:hAnsi="Bookman Old Style"/>
          <w:sz w:val="24"/>
        </w:rPr>
        <w:t>fact</w:t>
      </w:r>
      <w:r w:rsidR="00052A49">
        <w:rPr>
          <w:rFonts w:ascii="Bookman Old Style" w:hAnsi="Bookman Old Style"/>
          <w:spacing w:val="13"/>
          <w:sz w:val="24"/>
        </w:rPr>
        <w:t xml:space="preserve"> </w:t>
      </w:r>
      <w:r w:rsidR="00052A49">
        <w:rPr>
          <w:rFonts w:ascii="Bookman Old Style" w:hAnsi="Bookman Old Style"/>
          <w:sz w:val="24"/>
        </w:rPr>
        <w:t>should</w:t>
      </w:r>
      <w:r w:rsidR="00052A49">
        <w:rPr>
          <w:rFonts w:ascii="Bookman Old Style" w:hAnsi="Bookman Old Style"/>
          <w:spacing w:val="14"/>
          <w:sz w:val="24"/>
        </w:rPr>
        <w:t xml:space="preserve"> </w:t>
      </w:r>
      <w:r w:rsidR="00052A49">
        <w:rPr>
          <w:rFonts w:ascii="Bookman Old Style" w:hAnsi="Bookman Old Style"/>
          <w:sz w:val="24"/>
        </w:rPr>
        <w:t>not</w:t>
      </w:r>
      <w:r w:rsidR="00052A49">
        <w:rPr>
          <w:rFonts w:ascii="Bookman Old Style" w:hAnsi="Bookman Old Style"/>
          <w:spacing w:val="13"/>
          <w:sz w:val="24"/>
        </w:rPr>
        <w:t xml:space="preserve"> </w:t>
      </w:r>
      <w:r w:rsidR="00052A49">
        <w:rPr>
          <w:rFonts w:ascii="Bookman Old Style" w:hAnsi="Bookman Old Style"/>
          <w:sz w:val="24"/>
        </w:rPr>
        <w:t>be</w:t>
      </w:r>
      <w:r w:rsidR="00052A49">
        <w:rPr>
          <w:rFonts w:ascii="Bookman Old Style" w:hAnsi="Bookman Old Style"/>
          <w:spacing w:val="13"/>
          <w:sz w:val="24"/>
        </w:rPr>
        <w:t xml:space="preserve"> </w:t>
      </w:r>
      <w:r w:rsidR="00052A49">
        <w:rPr>
          <w:rFonts w:ascii="Bookman Old Style" w:hAnsi="Bookman Old Style"/>
          <w:sz w:val="24"/>
        </w:rPr>
        <w:t>decided</w:t>
      </w:r>
      <w:r w:rsidR="00052A49">
        <w:rPr>
          <w:rFonts w:ascii="Bookman Old Style" w:hAnsi="Bookman Old Style"/>
          <w:spacing w:val="13"/>
          <w:sz w:val="24"/>
        </w:rPr>
        <w:t xml:space="preserve"> </w:t>
      </w:r>
      <w:r w:rsidR="00052A49">
        <w:rPr>
          <w:rFonts w:ascii="Bookman Old Style" w:hAnsi="Bookman Old Style"/>
          <w:sz w:val="24"/>
        </w:rPr>
        <w:t>in</w:t>
      </w:r>
      <w:r w:rsidR="00052A49">
        <w:rPr>
          <w:rFonts w:ascii="Bookman Old Style" w:hAnsi="Bookman Old Style"/>
          <w:spacing w:val="13"/>
          <w:sz w:val="24"/>
        </w:rPr>
        <w:t xml:space="preserve"> </w:t>
      </w:r>
      <w:r w:rsidR="00052A49">
        <w:rPr>
          <w:rFonts w:ascii="Bookman Old Style" w:hAnsi="Bookman Old Style"/>
          <w:sz w:val="24"/>
        </w:rPr>
        <w:t>writ</w:t>
      </w:r>
    </w:p>
    <w:p w:rsidR="003B2FC0" w:rsidRDefault="00052A49">
      <w:pPr>
        <w:spacing w:before="11"/>
        <w:ind w:left="400"/>
        <w:rPr>
          <w:rFonts w:ascii="Bookman Old Style"/>
          <w:sz w:val="20"/>
        </w:rPr>
      </w:pPr>
      <w:r>
        <w:rPr>
          <w:rFonts w:ascii="Bookman Old Style"/>
          <w:position w:val="5"/>
          <w:sz w:val="13"/>
        </w:rPr>
        <w:t xml:space="preserve">46 </w:t>
      </w:r>
      <w:r>
        <w:rPr>
          <w:rFonts w:ascii="Bookman Old Style"/>
          <w:i/>
          <w:sz w:val="20"/>
        </w:rPr>
        <w:t xml:space="preserve">Supra </w:t>
      </w:r>
      <w:r>
        <w:rPr>
          <w:rFonts w:ascii="Bookman Old Style"/>
          <w:sz w:val="20"/>
        </w:rPr>
        <w:t>note 9</w:t>
      </w:r>
    </w:p>
    <w:p w:rsidR="003B2FC0" w:rsidRDefault="00052A49">
      <w:pPr>
        <w:ind w:left="400" w:right="434"/>
        <w:rPr>
          <w:rFonts w:ascii="Bookman Old Style"/>
          <w:sz w:val="20"/>
        </w:rPr>
      </w:pPr>
      <w:r>
        <w:rPr>
          <w:rFonts w:ascii="Bookman Old Style"/>
          <w:position w:val="5"/>
          <w:sz w:val="13"/>
        </w:rPr>
        <w:t xml:space="preserve">47 </w:t>
      </w:r>
      <w:r>
        <w:rPr>
          <w:rFonts w:ascii="Bookman Old Style"/>
          <w:sz w:val="20"/>
        </w:rPr>
        <w:t>Annexure I, Written Submissions by J. Sai Deepak, learned Advocate on Behalf of K.K. Sabu (Respondent No. 18), and People for Dharma (Intervenor).</w:t>
      </w:r>
    </w:p>
    <w:p w:rsidR="003B2FC0" w:rsidRDefault="003B2FC0">
      <w:pPr>
        <w:rPr>
          <w:rFonts w:ascii="Bookman Old Style"/>
          <w:sz w:val="20"/>
        </w:rPr>
        <w:sectPr w:rsidR="003B2FC0">
          <w:headerReference w:type="default" r:id="rId499"/>
          <w:footerReference w:type="default" r:id="rId500"/>
          <w:pgSz w:w="11910" w:h="16840"/>
          <w:pgMar w:top="1340" w:right="980" w:bottom="1220" w:left="1040" w:header="0" w:footer="1033" w:gutter="0"/>
          <w:pgNumType w:start="53"/>
          <w:cols w:space="720"/>
        </w:sectPr>
      </w:pPr>
    </w:p>
    <w:p w:rsidR="003B2FC0" w:rsidRDefault="00052A49">
      <w:pPr>
        <w:spacing w:before="83" w:line="480" w:lineRule="auto"/>
        <w:ind w:left="1252" w:right="457"/>
        <w:jc w:val="both"/>
        <w:rPr>
          <w:rFonts w:ascii="Bookman Old Style"/>
          <w:sz w:val="24"/>
        </w:rPr>
      </w:pPr>
      <w:r>
        <w:rPr>
          <w:rFonts w:ascii="Bookman Old Style"/>
          <w:sz w:val="24"/>
        </w:rPr>
        <w:t xml:space="preserve">proceedings. The proper forum to ascertain whether a certain sect </w:t>
      </w:r>
      <w:r>
        <w:rPr>
          <w:rFonts w:ascii="Bookman Old Style"/>
          <w:sz w:val="24"/>
        </w:rPr>
        <w:t>constitutes a religious denomination or not, would be more appropriately determined by a civil court, where both parties are given the opportunity of leading evidence to establish their</w:t>
      </w:r>
      <w:r>
        <w:rPr>
          <w:rFonts w:ascii="Bookman Old Style"/>
          <w:spacing w:val="-8"/>
          <w:sz w:val="24"/>
        </w:rPr>
        <w:t xml:space="preserve"> </w:t>
      </w:r>
      <w:r>
        <w:rPr>
          <w:rFonts w:ascii="Bookman Old Style"/>
          <w:sz w:val="24"/>
        </w:rPr>
        <w:t>case.</w:t>
      </w:r>
    </w:p>
    <w:p w:rsidR="003B2FC0" w:rsidRDefault="00052A49">
      <w:pPr>
        <w:spacing w:line="480" w:lineRule="auto"/>
        <w:ind w:left="1252" w:right="454" w:firstLine="588"/>
        <w:jc w:val="both"/>
        <w:rPr>
          <w:rFonts w:ascii="Bookman Old Style"/>
          <w:sz w:val="24"/>
        </w:rPr>
      </w:pPr>
      <w:r>
        <w:rPr>
          <w:rFonts w:ascii="Bookman Old Style"/>
          <w:sz w:val="24"/>
        </w:rPr>
        <w:t xml:space="preserve">In </w:t>
      </w:r>
      <w:r>
        <w:rPr>
          <w:rFonts w:ascii="Bookman Old Style"/>
          <w:i/>
          <w:sz w:val="24"/>
        </w:rPr>
        <w:t xml:space="preserve">Arya Vyasa Sabha &amp; Ors. </w:t>
      </w:r>
      <w:r>
        <w:rPr>
          <w:rFonts w:ascii="Bookman Old Style"/>
          <w:sz w:val="24"/>
        </w:rPr>
        <w:t xml:space="preserve">v. </w:t>
      </w:r>
      <w:r>
        <w:rPr>
          <w:rFonts w:ascii="Bookman Old Style"/>
          <w:i/>
          <w:sz w:val="24"/>
        </w:rPr>
        <w:t>Commissioner of Hindu Charitable a</w:t>
      </w:r>
      <w:r>
        <w:rPr>
          <w:rFonts w:ascii="Bookman Old Style"/>
          <w:i/>
          <w:sz w:val="24"/>
        </w:rPr>
        <w:t>nd Religious Institutions &amp; Endowments, Hyderabad &amp; Ors.</w:t>
      </w:r>
      <w:r>
        <w:rPr>
          <w:rFonts w:ascii="Bookman Old Style"/>
          <w:position w:val="6"/>
          <w:sz w:val="16"/>
        </w:rPr>
        <w:t>48</w:t>
      </w:r>
      <w:r>
        <w:rPr>
          <w:rFonts w:ascii="Bookman Old Style"/>
          <w:sz w:val="24"/>
        </w:rPr>
        <w:t>, this Court had noted that the High Court was correct in leaving the question open, of whether the petitioners constituted a religious denomination for determination by a competent civil court on t</w:t>
      </w:r>
      <w:r>
        <w:rPr>
          <w:rFonts w:ascii="Bookman Old Style"/>
          <w:sz w:val="24"/>
        </w:rPr>
        <w:t>he ground that it was a disputed question of fact which could not be appropriately determined in proceedings under Article</w:t>
      </w:r>
      <w:r>
        <w:rPr>
          <w:rFonts w:ascii="Bookman Old Style"/>
          <w:spacing w:val="-22"/>
          <w:sz w:val="24"/>
        </w:rPr>
        <w:t xml:space="preserve"> </w:t>
      </w:r>
      <w:r>
        <w:rPr>
          <w:rFonts w:ascii="Bookman Old Style"/>
          <w:sz w:val="24"/>
        </w:rPr>
        <w:t>226.</w:t>
      </w:r>
    </w:p>
    <w:p w:rsidR="003B2FC0" w:rsidRDefault="00052A49">
      <w:pPr>
        <w:pStyle w:val="ListParagraph"/>
        <w:numPr>
          <w:ilvl w:val="1"/>
          <w:numId w:val="6"/>
        </w:numPr>
        <w:tabs>
          <w:tab w:val="left" w:pos="1253"/>
        </w:tabs>
        <w:spacing w:before="2" w:line="480" w:lineRule="auto"/>
        <w:ind w:right="453"/>
        <w:rPr>
          <w:rFonts w:ascii="Bookman Old Style"/>
          <w:sz w:val="24"/>
        </w:rPr>
      </w:pPr>
      <w:r>
        <w:rPr>
          <w:rFonts w:ascii="Bookman Old Style"/>
          <w:sz w:val="24"/>
        </w:rPr>
        <w:t>This Court has identified the rights of a group of devotees as constituting a religious denomination in the context of a single temple, as illustrated</w:t>
      </w:r>
      <w:r>
        <w:rPr>
          <w:rFonts w:ascii="Bookman Old Style"/>
          <w:spacing w:val="-1"/>
          <w:sz w:val="24"/>
        </w:rPr>
        <w:t xml:space="preserve"> </w:t>
      </w:r>
      <w:r>
        <w:rPr>
          <w:rFonts w:ascii="Bookman Old Style"/>
          <w:sz w:val="24"/>
        </w:rPr>
        <w:t>hereinbelow:</w:t>
      </w:r>
    </w:p>
    <w:p w:rsidR="003B2FC0" w:rsidRDefault="00052A49">
      <w:pPr>
        <w:spacing w:line="480" w:lineRule="auto"/>
        <w:ind w:left="1252" w:right="453" w:firstLine="424"/>
        <w:jc w:val="both"/>
        <w:rPr>
          <w:rFonts w:ascii="Bookman Old Style"/>
          <w:sz w:val="24"/>
        </w:rPr>
      </w:pPr>
      <w:r>
        <w:rPr>
          <w:rFonts w:ascii="Bookman Old Style"/>
          <w:sz w:val="24"/>
        </w:rPr>
        <w:t xml:space="preserve">In (supra), the Sri Venkataramana Temple at Moolky was considered to be a denominational temple, and the </w:t>
      </w:r>
      <w:r>
        <w:rPr>
          <w:rFonts w:ascii="Bookman Old Style"/>
          <w:i/>
          <w:sz w:val="24"/>
        </w:rPr>
        <w:t xml:space="preserve">Gowda Saraswath Brahmins </w:t>
      </w:r>
      <w:r>
        <w:rPr>
          <w:rFonts w:ascii="Bookman Old Style"/>
          <w:sz w:val="24"/>
        </w:rPr>
        <w:t>were held to constitute a religious denomination.</w:t>
      </w:r>
    </w:p>
    <w:p w:rsidR="003B2FC0" w:rsidRDefault="00052A49">
      <w:pPr>
        <w:spacing w:line="480" w:lineRule="auto"/>
        <w:ind w:left="1252" w:right="456" w:firstLine="424"/>
        <w:jc w:val="both"/>
        <w:rPr>
          <w:rFonts w:ascii="Bookman Old Style"/>
          <w:sz w:val="24"/>
        </w:rPr>
      </w:pPr>
      <w:r>
        <w:rPr>
          <w:rFonts w:ascii="Bookman Old Style"/>
          <w:sz w:val="24"/>
        </w:rPr>
        <w:t xml:space="preserve">Similarly, in </w:t>
      </w:r>
      <w:r>
        <w:rPr>
          <w:rFonts w:ascii="Bookman Old Style"/>
          <w:i/>
          <w:sz w:val="24"/>
        </w:rPr>
        <w:t xml:space="preserve">Dr. Subramaniam Swamy </w:t>
      </w:r>
      <w:r>
        <w:rPr>
          <w:rFonts w:ascii="Bookman Old Style"/>
          <w:sz w:val="24"/>
        </w:rPr>
        <w:t xml:space="preserve">v. </w:t>
      </w:r>
      <w:r>
        <w:rPr>
          <w:rFonts w:ascii="Bookman Old Style"/>
          <w:i/>
          <w:sz w:val="24"/>
        </w:rPr>
        <w:t xml:space="preserve">State of Tamil Nadu </w:t>
      </w:r>
      <w:r>
        <w:rPr>
          <w:rFonts w:ascii="Bookman Old Style"/>
          <w:sz w:val="24"/>
        </w:rPr>
        <w:t xml:space="preserve">(supra) the </w:t>
      </w:r>
      <w:r>
        <w:rPr>
          <w:rFonts w:ascii="Bookman Old Style"/>
          <w:i/>
          <w:sz w:val="24"/>
        </w:rPr>
        <w:t>Podhu</w:t>
      </w:r>
      <w:r>
        <w:rPr>
          <w:rFonts w:ascii="Bookman Old Style"/>
          <w:i/>
          <w:sz w:val="24"/>
        </w:rPr>
        <w:t xml:space="preserve"> Dikshitars </w:t>
      </w:r>
      <w:r>
        <w:rPr>
          <w:rFonts w:ascii="Bookman Old Style"/>
          <w:sz w:val="24"/>
        </w:rPr>
        <w:t>were held to constitute a religious denomination in the context of the Sri Sabanayagar Temple at Chidambaram.</w:t>
      </w:r>
    </w:p>
    <w:p w:rsidR="003B2FC0" w:rsidRDefault="003B2FC0">
      <w:pPr>
        <w:pStyle w:val="ListParagraph"/>
        <w:numPr>
          <w:ilvl w:val="1"/>
          <w:numId w:val="6"/>
        </w:numPr>
        <w:tabs>
          <w:tab w:val="left" w:pos="1330"/>
        </w:tabs>
        <w:spacing w:line="480" w:lineRule="auto"/>
        <w:ind w:right="458"/>
        <w:rPr>
          <w:rFonts w:ascii="Bookman Old Style"/>
          <w:sz w:val="24"/>
        </w:rPr>
      </w:pPr>
      <w:r w:rsidRPr="003B2FC0">
        <w:pict>
          <v:line id="_x0000_s1033" style="position:absolute;left:0;text-align:left;z-index:251679232;mso-wrap-distance-left:0;mso-wrap-distance-right:0;mso-position-horizontal-relative:page" from="1in,60.9pt" to="216.05pt,60.9pt" strokeweight=".72pt">
            <w10:wrap type="topAndBottom" anchorx="page"/>
          </v:line>
        </w:pict>
      </w:r>
      <w:r w:rsidR="00052A49">
        <w:tab/>
      </w:r>
      <w:r w:rsidR="00052A49">
        <w:rPr>
          <w:rFonts w:ascii="Bookman Old Style"/>
          <w:sz w:val="24"/>
        </w:rPr>
        <w:t>The contention of the Petitioners that since the visitors to the temple are</w:t>
      </w:r>
      <w:r w:rsidR="00052A49">
        <w:rPr>
          <w:rFonts w:ascii="Bookman Old Style"/>
          <w:spacing w:val="32"/>
          <w:sz w:val="24"/>
        </w:rPr>
        <w:t xml:space="preserve"> </w:t>
      </w:r>
      <w:r w:rsidR="00052A49">
        <w:rPr>
          <w:rFonts w:ascii="Bookman Old Style"/>
          <w:sz w:val="24"/>
        </w:rPr>
        <w:t>not</w:t>
      </w:r>
      <w:r w:rsidR="00052A49">
        <w:rPr>
          <w:rFonts w:ascii="Bookman Old Style"/>
          <w:spacing w:val="33"/>
          <w:sz w:val="24"/>
        </w:rPr>
        <w:t xml:space="preserve"> </w:t>
      </w:r>
      <w:r w:rsidR="00052A49">
        <w:rPr>
          <w:rFonts w:ascii="Bookman Old Style"/>
          <w:sz w:val="24"/>
        </w:rPr>
        <w:t>only</w:t>
      </w:r>
      <w:r w:rsidR="00052A49">
        <w:rPr>
          <w:rFonts w:ascii="Bookman Old Style"/>
          <w:spacing w:val="33"/>
          <w:sz w:val="24"/>
        </w:rPr>
        <w:t xml:space="preserve"> </w:t>
      </w:r>
      <w:r w:rsidR="00052A49">
        <w:rPr>
          <w:rFonts w:ascii="Bookman Old Style"/>
          <w:sz w:val="24"/>
        </w:rPr>
        <w:t>from</w:t>
      </w:r>
      <w:r w:rsidR="00052A49">
        <w:rPr>
          <w:rFonts w:ascii="Bookman Old Style"/>
          <w:spacing w:val="31"/>
          <w:sz w:val="24"/>
        </w:rPr>
        <w:t xml:space="preserve"> </w:t>
      </w:r>
      <w:r w:rsidR="00052A49">
        <w:rPr>
          <w:rFonts w:ascii="Bookman Old Style"/>
          <w:sz w:val="24"/>
        </w:rPr>
        <w:t>the</w:t>
      </w:r>
      <w:r w:rsidR="00052A49">
        <w:rPr>
          <w:rFonts w:ascii="Bookman Old Style"/>
          <w:spacing w:val="32"/>
          <w:sz w:val="24"/>
        </w:rPr>
        <w:t xml:space="preserve"> </w:t>
      </w:r>
      <w:r w:rsidR="00052A49">
        <w:rPr>
          <w:rFonts w:ascii="Bookman Old Style"/>
          <w:sz w:val="24"/>
        </w:rPr>
        <w:t>Hindu</w:t>
      </w:r>
      <w:r w:rsidR="00052A49">
        <w:rPr>
          <w:rFonts w:ascii="Bookman Old Style"/>
          <w:spacing w:val="33"/>
          <w:sz w:val="24"/>
        </w:rPr>
        <w:t xml:space="preserve"> </w:t>
      </w:r>
      <w:r w:rsidR="00052A49">
        <w:rPr>
          <w:rFonts w:ascii="Bookman Old Style"/>
          <w:sz w:val="24"/>
        </w:rPr>
        <w:t>religion,</w:t>
      </w:r>
      <w:r w:rsidR="00052A49">
        <w:rPr>
          <w:rFonts w:ascii="Bookman Old Style"/>
          <w:spacing w:val="33"/>
          <w:sz w:val="24"/>
        </w:rPr>
        <w:t xml:space="preserve"> </w:t>
      </w:r>
      <w:r w:rsidR="00052A49">
        <w:rPr>
          <w:rFonts w:ascii="Bookman Old Style"/>
          <w:sz w:val="24"/>
        </w:rPr>
        <w:t>but</w:t>
      </w:r>
      <w:r w:rsidR="00052A49">
        <w:rPr>
          <w:rFonts w:ascii="Bookman Old Style"/>
          <w:spacing w:val="33"/>
          <w:sz w:val="24"/>
        </w:rPr>
        <w:t xml:space="preserve"> </w:t>
      </w:r>
      <w:r w:rsidR="00052A49">
        <w:rPr>
          <w:rFonts w:ascii="Bookman Old Style"/>
          <w:sz w:val="24"/>
        </w:rPr>
        <w:t>also</w:t>
      </w:r>
      <w:r w:rsidR="00052A49">
        <w:rPr>
          <w:rFonts w:ascii="Bookman Old Style"/>
          <w:spacing w:val="33"/>
          <w:sz w:val="24"/>
        </w:rPr>
        <w:t xml:space="preserve"> </w:t>
      </w:r>
      <w:r w:rsidR="00052A49">
        <w:rPr>
          <w:rFonts w:ascii="Bookman Old Style"/>
          <w:sz w:val="24"/>
        </w:rPr>
        <w:t>from</w:t>
      </w:r>
      <w:r w:rsidR="00052A49">
        <w:rPr>
          <w:rFonts w:ascii="Bookman Old Style"/>
          <w:spacing w:val="32"/>
          <w:sz w:val="24"/>
        </w:rPr>
        <w:t xml:space="preserve"> </w:t>
      </w:r>
      <w:r w:rsidR="00052A49">
        <w:rPr>
          <w:rFonts w:ascii="Bookman Old Style"/>
          <w:sz w:val="24"/>
        </w:rPr>
        <w:t>other</w:t>
      </w:r>
      <w:r w:rsidR="00052A49">
        <w:rPr>
          <w:rFonts w:ascii="Bookman Old Style"/>
          <w:spacing w:val="31"/>
          <w:sz w:val="24"/>
        </w:rPr>
        <w:t xml:space="preserve"> </w:t>
      </w:r>
      <w:r w:rsidR="00052A49">
        <w:rPr>
          <w:rFonts w:ascii="Bookman Old Style"/>
          <w:sz w:val="24"/>
        </w:rPr>
        <w:t>re</w:t>
      </w:r>
      <w:r w:rsidR="00052A49">
        <w:rPr>
          <w:rFonts w:ascii="Bookman Old Style"/>
          <w:sz w:val="24"/>
        </w:rPr>
        <w:t>ligions,</w:t>
      </w:r>
    </w:p>
    <w:p w:rsidR="003B2FC0" w:rsidRDefault="00052A49">
      <w:pPr>
        <w:spacing w:before="72"/>
        <w:ind w:left="400"/>
        <w:rPr>
          <w:rFonts w:ascii="Bookman Old Style"/>
          <w:sz w:val="20"/>
        </w:rPr>
      </w:pPr>
      <w:r>
        <w:rPr>
          <w:rFonts w:ascii="Bookman Old Style"/>
          <w:position w:val="5"/>
          <w:sz w:val="13"/>
        </w:rPr>
        <w:t xml:space="preserve">48 </w:t>
      </w:r>
      <w:r>
        <w:rPr>
          <w:rFonts w:ascii="Bookman Old Style"/>
          <w:sz w:val="20"/>
        </w:rPr>
        <w:t>(1976) 1 SCC 292</w:t>
      </w:r>
    </w:p>
    <w:p w:rsidR="003B2FC0" w:rsidRDefault="003B2FC0">
      <w:pPr>
        <w:rPr>
          <w:rFonts w:ascii="Bookman Old Style"/>
          <w:sz w:val="20"/>
        </w:rPr>
        <w:sectPr w:rsidR="003B2FC0">
          <w:headerReference w:type="default" r:id="rId501"/>
          <w:footerReference w:type="default" r:id="rId502"/>
          <w:pgSz w:w="11910" w:h="16840"/>
          <w:pgMar w:top="1340" w:right="980" w:bottom="1220" w:left="1040" w:header="0" w:footer="1033" w:gutter="0"/>
          <w:pgNumType w:start="54"/>
          <w:cols w:space="720"/>
        </w:sectPr>
      </w:pPr>
    </w:p>
    <w:p w:rsidR="003B2FC0" w:rsidRDefault="00052A49">
      <w:pPr>
        <w:spacing w:before="83" w:line="480" w:lineRule="auto"/>
        <w:ind w:left="1252" w:right="434"/>
        <w:rPr>
          <w:rFonts w:ascii="Bookman Old Style"/>
          <w:sz w:val="24"/>
        </w:rPr>
      </w:pPr>
      <w:r>
        <w:rPr>
          <w:rFonts w:ascii="Bookman Old Style"/>
          <w:sz w:val="24"/>
        </w:rPr>
        <w:t>the worshippers of this Temple would not constitute a separate religious sect.</w:t>
      </w:r>
    </w:p>
    <w:p w:rsidR="003B2FC0" w:rsidRDefault="00052A49">
      <w:pPr>
        <w:spacing w:before="2" w:line="480" w:lineRule="auto"/>
        <w:ind w:left="1252" w:right="455" w:firstLine="424"/>
        <w:jc w:val="both"/>
        <w:rPr>
          <w:rFonts w:ascii="Bookman Old Style"/>
          <w:sz w:val="24"/>
        </w:rPr>
      </w:pPr>
      <w:r>
        <w:rPr>
          <w:rFonts w:ascii="Bookman Old Style"/>
          <w:sz w:val="24"/>
        </w:rPr>
        <w:t>This argument does not hold water since it is not uncommon for persons from different religious faiths to visit shrines of other religions. This by itself would not take away the right of the worshippers of this Temple who may constitute a religious denomi</w:t>
      </w:r>
      <w:r>
        <w:rPr>
          <w:rFonts w:ascii="Bookman Old Style"/>
          <w:sz w:val="24"/>
        </w:rPr>
        <w:t>nation, or sect thereof.</w:t>
      </w:r>
    </w:p>
    <w:p w:rsidR="003B2FC0" w:rsidRDefault="00052A49">
      <w:pPr>
        <w:pStyle w:val="ListParagraph"/>
        <w:numPr>
          <w:ilvl w:val="1"/>
          <w:numId w:val="6"/>
        </w:numPr>
        <w:tabs>
          <w:tab w:val="left" w:pos="1253"/>
        </w:tabs>
        <w:spacing w:line="480" w:lineRule="auto"/>
        <w:ind w:right="453"/>
        <w:rPr>
          <w:rFonts w:ascii="Bookman Old Style" w:hAnsi="Bookman Old Style"/>
          <w:sz w:val="24"/>
        </w:rPr>
      </w:pPr>
      <w:r>
        <w:rPr>
          <w:rFonts w:ascii="Bookman Old Style" w:hAnsi="Bookman Old Style"/>
          <w:sz w:val="24"/>
        </w:rPr>
        <w:t>The Constitution ensures a place for diverse religions, creeds, denominations and sects thereof to co-exist in a secular society. It is necessary that the term ‘religious denomination’ should receive an interpretation which is in f</w:t>
      </w:r>
      <w:r>
        <w:rPr>
          <w:rFonts w:ascii="Bookman Old Style" w:hAnsi="Bookman Old Style"/>
          <w:sz w:val="24"/>
        </w:rPr>
        <w:t>urtherance of the Constitutional object of a pluralistic</w:t>
      </w:r>
      <w:r>
        <w:rPr>
          <w:rFonts w:ascii="Bookman Old Style" w:hAnsi="Bookman Old Style"/>
          <w:spacing w:val="-2"/>
          <w:sz w:val="24"/>
        </w:rPr>
        <w:t xml:space="preserve"> </w:t>
      </w:r>
      <w:r>
        <w:rPr>
          <w:rFonts w:ascii="Bookman Old Style" w:hAnsi="Bookman Old Style"/>
          <w:sz w:val="24"/>
        </w:rPr>
        <w:t>society.</w:t>
      </w:r>
    </w:p>
    <w:p w:rsidR="003B2FC0" w:rsidRDefault="003B2FC0">
      <w:pPr>
        <w:pStyle w:val="BodyText"/>
      </w:pPr>
    </w:p>
    <w:p w:rsidR="003B2FC0" w:rsidRDefault="00052A49">
      <w:pPr>
        <w:pStyle w:val="ListParagraph"/>
        <w:numPr>
          <w:ilvl w:val="0"/>
          <w:numId w:val="13"/>
        </w:numPr>
        <w:tabs>
          <w:tab w:val="left" w:pos="543"/>
        </w:tabs>
        <w:spacing w:before="234"/>
        <w:ind w:hanging="426"/>
        <w:jc w:val="left"/>
        <w:rPr>
          <w:rFonts w:ascii="Bookman Old Style"/>
          <w:sz w:val="19"/>
        </w:rPr>
      </w:pPr>
      <w:r>
        <w:rPr>
          <w:rFonts w:ascii="Bookman Old Style"/>
          <w:sz w:val="24"/>
          <w:u w:val="single"/>
        </w:rPr>
        <w:t>E</w:t>
      </w:r>
      <w:r>
        <w:rPr>
          <w:rFonts w:ascii="Bookman Old Style"/>
          <w:sz w:val="19"/>
          <w:u w:val="single"/>
        </w:rPr>
        <w:t>SSENTIAL PRACTISES</w:t>
      </w:r>
      <w:r>
        <w:rPr>
          <w:rFonts w:ascii="Bookman Old Style"/>
          <w:spacing w:val="-2"/>
          <w:sz w:val="19"/>
          <w:u w:val="single"/>
        </w:rPr>
        <w:t xml:space="preserve"> </w:t>
      </w:r>
      <w:r>
        <w:rPr>
          <w:rFonts w:ascii="Bookman Old Style"/>
          <w:sz w:val="19"/>
          <w:u w:val="single"/>
        </w:rPr>
        <w:t>DOCTRINE</w:t>
      </w:r>
    </w:p>
    <w:p w:rsidR="003B2FC0" w:rsidRDefault="003B2FC0">
      <w:pPr>
        <w:pStyle w:val="BodyText"/>
        <w:spacing w:before="7"/>
        <w:rPr>
          <w:sz w:val="15"/>
        </w:rPr>
      </w:pPr>
    </w:p>
    <w:p w:rsidR="003B2FC0" w:rsidRDefault="00052A49">
      <w:pPr>
        <w:spacing w:before="99" w:line="477" w:lineRule="auto"/>
        <w:ind w:left="542" w:right="434" w:firstLine="424"/>
        <w:rPr>
          <w:rFonts w:ascii="Bookman Old Style" w:hAnsi="Bookman Old Style"/>
          <w:sz w:val="24"/>
        </w:rPr>
      </w:pPr>
      <w:r>
        <w:rPr>
          <w:rFonts w:ascii="Bookman Old Style" w:hAnsi="Bookman Old Style"/>
          <w:sz w:val="24"/>
        </w:rPr>
        <w:t>This Court has applied the ‘essential practises’ test to afford protection to religious practises.</w:t>
      </w:r>
    </w:p>
    <w:p w:rsidR="003B2FC0" w:rsidRDefault="00052A49">
      <w:pPr>
        <w:pStyle w:val="ListParagraph"/>
        <w:numPr>
          <w:ilvl w:val="1"/>
          <w:numId w:val="4"/>
        </w:numPr>
        <w:tabs>
          <w:tab w:val="left" w:pos="1253"/>
        </w:tabs>
        <w:spacing w:before="5" w:line="480" w:lineRule="auto"/>
        <w:ind w:right="458"/>
        <w:rPr>
          <w:rFonts w:ascii="Bookman Old Style" w:hAnsi="Bookman Old Style"/>
          <w:sz w:val="24"/>
        </w:rPr>
      </w:pPr>
      <w:r>
        <w:rPr>
          <w:rFonts w:ascii="Bookman Old Style" w:hAnsi="Bookman Old Style"/>
          <w:sz w:val="24"/>
        </w:rPr>
        <w:t xml:space="preserve">The ‘essential practises’ test was formulated in </w:t>
      </w:r>
      <w:r>
        <w:rPr>
          <w:rFonts w:ascii="Bookman Old Style" w:hAnsi="Bookman Old Style"/>
          <w:i/>
          <w:sz w:val="24"/>
        </w:rPr>
        <w:t xml:space="preserve">Commissioner, Hindu Religious Endowments, Madras </w:t>
      </w:r>
      <w:r>
        <w:rPr>
          <w:rFonts w:ascii="Bookman Old Style" w:hAnsi="Bookman Old Style"/>
          <w:sz w:val="24"/>
        </w:rPr>
        <w:t xml:space="preserve">v. </w:t>
      </w:r>
      <w:r>
        <w:rPr>
          <w:rFonts w:ascii="Bookman Old Style" w:hAnsi="Bookman Old Style"/>
          <w:i/>
          <w:sz w:val="24"/>
        </w:rPr>
        <w:t>Sri Lakshmindra Thirtha Swamiar of Sri Shirur Mutt</w:t>
      </w:r>
      <w:r>
        <w:rPr>
          <w:rFonts w:ascii="Bookman Old Style" w:hAnsi="Bookman Old Style"/>
          <w:i/>
          <w:spacing w:val="-4"/>
          <w:sz w:val="24"/>
        </w:rPr>
        <w:t xml:space="preserve"> </w:t>
      </w:r>
      <w:r>
        <w:rPr>
          <w:rFonts w:ascii="Bookman Old Style" w:hAnsi="Bookman Old Style"/>
          <w:sz w:val="24"/>
        </w:rPr>
        <w:t>(supra).</w:t>
      </w:r>
    </w:p>
    <w:p w:rsidR="003B2FC0" w:rsidRDefault="00052A49">
      <w:pPr>
        <w:spacing w:before="1" w:line="480" w:lineRule="auto"/>
        <w:ind w:left="1252" w:right="453" w:firstLine="424"/>
        <w:jc w:val="both"/>
        <w:rPr>
          <w:rFonts w:ascii="Bookman Old Style" w:hAnsi="Bookman Old Style"/>
          <w:i/>
          <w:sz w:val="24"/>
        </w:rPr>
      </w:pPr>
      <w:r>
        <w:rPr>
          <w:rFonts w:ascii="Bookman Old Style" w:hAnsi="Bookman Old Style"/>
          <w:sz w:val="24"/>
        </w:rPr>
        <w:t xml:space="preserve">Before articulating the test, this Court drew on the words “practise of religion” in Article 25(1) to hold that the Constitution protects not only the freedom of religious belief, but also acts done in pursuance of a religion. In doing so, it relied on an </w:t>
      </w:r>
      <w:r>
        <w:rPr>
          <w:rFonts w:ascii="Bookman Old Style" w:hAnsi="Bookman Old Style"/>
          <w:sz w:val="24"/>
        </w:rPr>
        <w:t xml:space="preserve">extract from the decision of Latham, C.J. of the High Court of Australia in </w:t>
      </w:r>
      <w:r>
        <w:rPr>
          <w:rFonts w:ascii="Bookman Old Style" w:hAnsi="Bookman Old Style"/>
          <w:i/>
          <w:sz w:val="24"/>
        </w:rPr>
        <w:t xml:space="preserve">Adelaide Company of Jehovah’s Witnesses Incorporated </w:t>
      </w:r>
      <w:r>
        <w:rPr>
          <w:rFonts w:ascii="Bookman Old Style" w:hAnsi="Bookman Old Style"/>
          <w:sz w:val="24"/>
        </w:rPr>
        <w:t>v.</w:t>
      </w:r>
      <w:r>
        <w:rPr>
          <w:rFonts w:ascii="Bookman Old Style" w:hAnsi="Bookman Old Style"/>
          <w:spacing w:val="36"/>
          <w:sz w:val="24"/>
        </w:rPr>
        <w:t xml:space="preserve"> </w:t>
      </w:r>
      <w:r>
        <w:rPr>
          <w:rFonts w:ascii="Bookman Old Style" w:hAnsi="Bookman Old Style"/>
          <w:i/>
          <w:sz w:val="24"/>
        </w:rPr>
        <w:t>The</w:t>
      </w:r>
    </w:p>
    <w:p w:rsidR="003B2FC0" w:rsidRDefault="003B2FC0">
      <w:pPr>
        <w:spacing w:line="480" w:lineRule="auto"/>
        <w:jc w:val="both"/>
        <w:rPr>
          <w:rFonts w:ascii="Bookman Old Style" w:hAnsi="Bookman Old Style"/>
          <w:sz w:val="24"/>
        </w:rPr>
        <w:sectPr w:rsidR="003B2FC0">
          <w:headerReference w:type="default" r:id="rId503"/>
          <w:footerReference w:type="default" r:id="rId504"/>
          <w:pgSz w:w="11910" w:h="16840"/>
          <w:pgMar w:top="1340" w:right="980" w:bottom="1220" w:left="1040" w:header="0" w:footer="1033" w:gutter="0"/>
          <w:pgNumType w:start="55"/>
          <w:cols w:space="720"/>
        </w:sectPr>
      </w:pPr>
    </w:p>
    <w:p w:rsidR="003B2FC0" w:rsidRDefault="00052A49">
      <w:pPr>
        <w:tabs>
          <w:tab w:val="left" w:pos="3568"/>
          <w:tab w:val="left" w:pos="4252"/>
          <w:tab w:val="left" w:pos="5387"/>
          <w:tab w:val="left" w:pos="6447"/>
          <w:tab w:val="left" w:pos="7347"/>
          <w:tab w:val="left" w:pos="8203"/>
          <w:tab w:val="left" w:pos="8875"/>
        </w:tabs>
        <w:spacing w:before="83" w:line="480" w:lineRule="auto"/>
        <w:ind w:left="1252" w:right="456"/>
        <w:rPr>
          <w:rFonts w:ascii="Bookman Old Style"/>
          <w:sz w:val="24"/>
        </w:rPr>
      </w:pPr>
      <w:r>
        <w:rPr>
          <w:rFonts w:ascii="Bookman Old Style"/>
          <w:i/>
          <w:sz w:val="24"/>
        </w:rPr>
        <w:t>Commonwealth.</w:t>
      </w:r>
      <w:r>
        <w:rPr>
          <w:rFonts w:ascii="Bookman Old Style"/>
          <w:position w:val="6"/>
          <w:sz w:val="16"/>
        </w:rPr>
        <w:t>49</w:t>
      </w:r>
      <w:r>
        <w:rPr>
          <w:rFonts w:ascii="Bookman Old Style"/>
          <w:position w:val="6"/>
          <w:sz w:val="16"/>
        </w:rPr>
        <w:tab/>
      </w:r>
      <w:r>
        <w:rPr>
          <w:rFonts w:ascii="Bookman Old Style"/>
          <w:sz w:val="24"/>
        </w:rPr>
        <w:t>The</w:t>
      </w:r>
      <w:r>
        <w:rPr>
          <w:rFonts w:ascii="Bookman Old Style"/>
          <w:sz w:val="24"/>
        </w:rPr>
        <w:tab/>
        <w:t>original</w:t>
      </w:r>
      <w:r>
        <w:rPr>
          <w:rFonts w:ascii="Bookman Old Style"/>
          <w:sz w:val="24"/>
        </w:rPr>
        <w:tab/>
        <w:t>extract</w:t>
      </w:r>
      <w:r>
        <w:rPr>
          <w:rFonts w:ascii="Bookman Old Style"/>
          <w:sz w:val="24"/>
        </w:rPr>
        <w:tab/>
        <w:t>relied</w:t>
      </w:r>
      <w:r>
        <w:rPr>
          <w:rFonts w:ascii="Bookman Old Style"/>
          <w:sz w:val="24"/>
        </w:rPr>
        <w:tab/>
        <w:t>upon</w:t>
      </w:r>
      <w:r>
        <w:rPr>
          <w:rFonts w:ascii="Bookman Old Style"/>
          <w:sz w:val="24"/>
        </w:rPr>
        <w:tab/>
        <w:t>has</w:t>
      </w:r>
      <w:r>
        <w:rPr>
          <w:rFonts w:ascii="Bookman Old Style"/>
          <w:sz w:val="24"/>
        </w:rPr>
        <w:tab/>
      </w:r>
      <w:r>
        <w:rPr>
          <w:rFonts w:ascii="Bookman Old Style"/>
          <w:spacing w:val="-7"/>
          <w:sz w:val="24"/>
        </w:rPr>
        <w:t xml:space="preserve">been </w:t>
      </w:r>
      <w:r>
        <w:rPr>
          <w:rFonts w:ascii="Bookman Old Style"/>
          <w:sz w:val="24"/>
        </w:rPr>
        <w:t>reproduced</w:t>
      </w:r>
      <w:r>
        <w:rPr>
          <w:rFonts w:ascii="Bookman Old Style"/>
          <w:spacing w:val="-1"/>
          <w:sz w:val="24"/>
        </w:rPr>
        <w:t xml:space="preserve"> </w:t>
      </w:r>
      <w:r>
        <w:rPr>
          <w:rFonts w:ascii="Bookman Old Style"/>
          <w:sz w:val="24"/>
        </w:rPr>
        <w:t>hereinbe</w:t>
      </w:r>
      <w:r>
        <w:rPr>
          <w:rFonts w:ascii="Bookman Old Style"/>
          <w:sz w:val="24"/>
        </w:rPr>
        <w:t>low:</w:t>
      </w:r>
    </w:p>
    <w:p w:rsidR="003B2FC0" w:rsidRDefault="00052A49">
      <w:pPr>
        <w:ind w:left="1677" w:right="834"/>
        <w:jc w:val="both"/>
        <w:rPr>
          <w:rFonts w:ascii="Bookman Old Style" w:hAnsi="Bookman Old Style"/>
          <w:sz w:val="24"/>
        </w:rPr>
      </w:pPr>
      <w:r>
        <w:rPr>
          <w:rFonts w:ascii="Bookman Old Style" w:hAnsi="Bookman Old Style"/>
          <w:i/>
          <w:sz w:val="24"/>
        </w:rPr>
        <w:t xml:space="preserve">“5. It is sometimes suggested in discussions on the subject of </w:t>
      </w:r>
      <w:r>
        <w:rPr>
          <w:rFonts w:ascii="Bookman Old Style" w:hAnsi="Bookman Old Style"/>
          <w:i/>
          <w:sz w:val="24"/>
        </w:rPr>
        <w:t>freedom of religion that, though the civil government should not interfere with religious opinions, it nevertheless may deal as it pleases with any acts which are done in pursuance of religious belief without infringing the principle of freedom of religion</w:t>
      </w:r>
      <w:r>
        <w:rPr>
          <w:rFonts w:ascii="Bookman Old Style" w:hAnsi="Bookman Old Style"/>
          <w:i/>
          <w:sz w:val="24"/>
        </w:rPr>
        <w:t xml:space="preserve">. It appears to me to be difficult to maintain this distinction as relevant to the interpretation of s. 116. </w:t>
      </w:r>
      <w:r>
        <w:rPr>
          <w:rFonts w:ascii="Bookman Old Style" w:hAnsi="Bookman Old Style"/>
          <w:i/>
          <w:sz w:val="24"/>
          <w:u w:val="single"/>
        </w:rPr>
        <w:t>The section refers in</w:t>
      </w:r>
      <w:r>
        <w:rPr>
          <w:rFonts w:ascii="Bookman Old Style" w:hAnsi="Bookman Old Style"/>
          <w:i/>
          <w:sz w:val="24"/>
        </w:rPr>
        <w:t xml:space="preserve"> </w:t>
      </w:r>
      <w:r>
        <w:rPr>
          <w:rFonts w:ascii="Bookman Old Style" w:hAnsi="Bookman Old Style"/>
          <w:i/>
          <w:sz w:val="24"/>
          <w:u w:val="single"/>
        </w:rPr>
        <w:t>express terms to the exercise of religion, and therefore it is</w:t>
      </w:r>
      <w:r>
        <w:rPr>
          <w:rFonts w:ascii="Bookman Old Style" w:hAnsi="Bookman Old Style"/>
          <w:i/>
          <w:sz w:val="24"/>
        </w:rPr>
        <w:t xml:space="preserve"> </w:t>
      </w:r>
      <w:r>
        <w:rPr>
          <w:rFonts w:ascii="Bookman Old Style" w:hAnsi="Bookman Old Style"/>
          <w:i/>
          <w:sz w:val="24"/>
          <w:u w:val="single"/>
        </w:rPr>
        <w:t>intended to protect from the operation of any Commonwealth</w:t>
      </w:r>
      <w:r>
        <w:rPr>
          <w:rFonts w:ascii="Bookman Old Style" w:hAnsi="Bookman Old Style"/>
          <w:i/>
          <w:sz w:val="24"/>
        </w:rPr>
        <w:t xml:space="preserve"> </w:t>
      </w:r>
      <w:r>
        <w:rPr>
          <w:rFonts w:ascii="Bookman Old Style" w:hAnsi="Bookman Old Style"/>
          <w:i/>
          <w:sz w:val="24"/>
          <w:u w:val="single"/>
        </w:rPr>
        <w:t>laws acts which are done in the exercise of religion. Thus the</w:t>
      </w:r>
      <w:r>
        <w:rPr>
          <w:rFonts w:ascii="Bookman Old Style" w:hAnsi="Bookman Old Style"/>
          <w:i/>
          <w:sz w:val="24"/>
        </w:rPr>
        <w:t xml:space="preserve"> </w:t>
      </w:r>
      <w:r>
        <w:rPr>
          <w:rFonts w:ascii="Bookman Old Style" w:hAnsi="Bookman Old Style"/>
          <w:i/>
          <w:sz w:val="24"/>
          <w:u w:val="single"/>
        </w:rPr>
        <w:t>section goes far beyond protecting liberty of opinion. It protects</w:t>
      </w:r>
      <w:r>
        <w:rPr>
          <w:rFonts w:ascii="Bookman Old Style" w:hAnsi="Bookman Old Style"/>
          <w:i/>
          <w:sz w:val="24"/>
        </w:rPr>
        <w:t xml:space="preserve"> </w:t>
      </w:r>
      <w:r>
        <w:rPr>
          <w:rFonts w:ascii="Bookman Old Style" w:hAnsi="Bookman Old Style"/>
          <w:i/>
          <w:sz w:val="24"/>
          <w:u w:val="single"/>
        </w:rPr>
        <w:t>also acts done in pursuance of religious belief as part of</w:t>
      </w:r>
      <w:r>
        <w:rPr>
          <w:rFonts w:ascii="Bookman Old Style" w:hAnsi="Bookman Old Style"/>
          <w:i/>
          <w:sz w:val="24"/>
        </w:rPr>
        <w:t xml:space="preserve"> </w:t>
      </w:r>
      <w:r>
        <w:rPr>
          <w:rFonts w:ascii="Bookman Old Style" w:hAnsi="Bookman Old Style"/>
          <w:i/>
          <w:sz w:val="24"/>
          <w:u w:val="single"/>
        </w:rPr>
        <w:t>religion.</w:t>
      </w:r>
      <w:r>
        <w:rPr>
          <w:rFonts w:ascii="Bookman Old Style" w:hAnsi="Bookman Old Style"/>
          <w:sz w:val="24"/>
        </w:rPr>
        <w:t>”</w:t>
      </w:r>
    </w:p>
    <w:p w:rsidR="003B2FC0" w:rsidRDefault="00052A49">
      <w:pPr>
        <w:spacing w:before="2"/>
        <w:ind w:left="6658"/>
        <w:rPr>
          <w:rFonts w:ascii="Bookman Old Style"/>
          <w:sz w:val="24"/>
        </w:rPr>
      </w:pPr>
      <w:r>
        <w:rPr>
          <w:rFonts w:ascii="Bookman Old Style"/>
          <w:sz w:val="24"/>
        </w:rPr>
        <w:t>(Emphasis supplied)</w:t>
      </w:r>
    </w:p>
    <w:p w:rsidR="003B2FC0" w:rsidRDefault="003B2FC0">
      <w:pPr>
        <w:pStyle w:val="BodyText"/>
        <w:spacing w:before="9"/>
        <w:rPr>
          <w:sz w:val="23"/>
        </w:rPr>
      </w:pPr>
    </w:p>
    <w:p w:rsidR="003B2FC0" w:rsidRDefault="00052A49">
      <w:pPr>
        <w:spacing w:before="1" w:line="480" w:lineRule="auto"/>
        <w:ind w:left="1252" w:right="434" w:firstLine="424"/>
        <w:rPr>
          <w:rFonts w:ascii="Bookman Old Style" w:hAnsi="Bookman Old Style"/>
          <w:sz w:val="24"/>
        </w:rPr>
      </w:pPr>
      <w:r>
        <w:rPr>
          <w:rFonts w:ascii="Bookman Old Style" w:hAnsi="Bookman Old Style"/>
          <w:sz w:val="24"/>
        </w:rPr>
        <w:t>This Court then went on to formulat</w:t>
      </w:r>
      <w:r>
        <w:rPr>
          <w:rFonts w:ascii="Bookman Old Style" w:hAnsi="Bookman Old Style"/>
          <w:sz w:val="24"/>
        </w:rPr>
        <w:t>e the ‘essential practises test in the following words:</w:t>
      </w:r>
    </w:p>
    <w:p w:rsidR="003B2FC0" w:rsidRDefault="00052A49">
      <w:pPr>
        <w:ind w:left="1677" w:right="836"/>
        <w:jc w:val="both"/>
        <w:rPr>
          <w:rFonts w:ascii="Bookman Old Style" w:hAnsi="Bookman Old Style"/>
          <w:i/>
          <w:sz w:val="24"/>
        </w:rPr>
      </w:pPr>
      <w:r>
        <w:rPr>
          <w:rFonts w:ascii="Bookman Old Style" w:hAnsi="Bookman Old Style"/>
          <w:i/>
          <w:sz w:val="24"/>
        </w:rPr>
        <w:t>“20…</w:t>
      </w:r>
      <w:r>
        <w:rPr>
          <w:rFonts w:ascii="Bookman Old Style" w:hAnsi="Bookman Old Style"/>
          <w:i/>
          <w:sz w:val="24"/>
          <w:u w:val="single"/>
        </w:rPr>
        <w:t>what constitutes the essential part of a religion is</w:t>
      </w:r>
      <w:r>
        <w:rPr>
          <w:rFonts w:ascii="Bookman Old Style" w:hAnsi="Bookman Old Style"/>
          <w:i/>
          <w:sz w:val="24"/>
        </w:rPr>
        <w:t xml:space="preserve"> </w:t>
      </w:r>
      <w:r>
        <w:rPr>
          <w:rFonts w:ascii="Bookman Old Style" w:hAnsi="Bookman Old Style"/>
          <w:i/>
          <w:sz w:val="24"/>
          <w:u w:val="single"/>
        </w:rPr>
        <w:t xml:space="preserve">primarily to be ascertained </w:t>
      </w:r>
      <w:r>
        <w:rPr>
          <w:rFonts w:ascii="Bookman Old Style" w:hAnsi="Bookman Old Style"/>
          <w:i/>
          <w:spacing w:val="-3"/>
          <w:sz w:val="24"/>
          <w:u w:val="single"/>
        </w:rPr>
        <w:t xml:space="preserve">with </w:t>
      </w:r>
      <w:r>
        <w:rPr>
          <w:rFonts w:ascii="Bookman Old Style" w:hAnsi="Bookman Old Style"/>
          <w:i/>
          <w:sz w:val="24"/>
          <w:u w:val="single"/>
        </w:rPr>
        <w:t xml:space="preserve">reference </w:t>
      </w:r>
      <w:r>
        <w:rPr>
          <w:rFonts w:ascii="Bookman Old Style" w:hAnsi="Bookman Old Style"/>
          <w:i/>
          <w:spacing w:val="-3"/>
          <w:sz w:val="24"/>
          <w:u w:val="single"/>
        </w:rPr>
        <w:t xml:space="preserve">to </w:t>
      </w:r>
      <w:r>
        <w:rPr>
          <w:rFonts w:ascii="Bookman Old Style" w:hAnsi="Bookman Old Style"/>
          <w:i/>
          <w:sz w:val="24"/>
          <w:u w:val="single"/>
        </w:rPr>
        <w:t>the doctrines of</w:t>
      </w:r>
      <w:r>
        <w:rPr>
          <w:rFonts w:ascii="Bookman Old Style" w:hAnsi="Bookman Old Style"/>
          <w:i/>
          <w:sz w:val="24"/>
        </w:rPr>
        <w:t xml:space="preserve"> </w:t>
      </w:r>
      <w:r>
        <w:rPr>
          <w:rFonts w:ascii="Bookman Old Style" w:hAnsi="Bookman Old Style"/>
          <w:i/>
          <w:sz w:val="24"/>
          <w:u w:val="single"/>
        </w:rPr>
        <w:t>that religion itself</w:t>
      </w:r>
      <w:r>
        <w:rPr>
          <w:rFonts w:ascii="Bookman Old Style" w:hAnsi="Bookman Old Style"/>
          <w:i/>
          <w:sz w:val="24"/>
        </w:rPr>
        <w:t>. If the tenets of any religious sect of the Hindus prescrib</w:t>
      </w:r>
      <w:r>
        <w:rPr>
          <w:rFonts w:ascii="Bookman Old Style" w:hAnsi="Bookman Old Style"/>
          <w:i/>
          <w:sz w:val="24"/>
        </w:rPr>
        <w:t xml:space="preserve">e that offerings of food should be given to the idol at particular hours of the day, that periodical ceremonies should be performed </w:t>
      </w:r>
      <w:r>
        <w:rPr>
          <w:rFonts w:ascii="Bookman Old Style" w:hAnsi="Bookman Old Style"/>
          <w:i/>
          <w:spacing w:val="-3"/>
          <w:sz w:val="24"/>
        </w:rPr>
        <w:t xml:space="preserve">in </w:t>
      </w:r>
      <w:r>
        <w:rPr>
          <w:rFonts w:ascii="Bookman Old Style" w:hAnsi="Bookman Old Style"/>
          <w:i/>
          <w:sz w:val="24"/>
        </w:rPr>
        <w:t xml:space="preserve">a certain </w:t>
      </w:r>
      <w:r>
        <w:rPr>
          <w:rFonts w:ascii="Bookman Old Style" w:hAnsi="Bookman Old Style"/>
          <w:i/>
          <w:spacing w:val="-3"/>
          <w:sz w:val="24"/>
        </w:rPr>
        <w:t xml:space="preserve">way </w:t>
      </w:r>
      <w:r>
        <w:rPr>
          <w:rFonts w:ascii="Bookman Old Style" w:hAnsi="Bookman Old Style"/>
          <w:i/>
          <w:sz w:val="24"/>
        </w:rPr>
        <w:t>at certain periods of the year or that there should be daily recital of sacred texts or oblations to the sa</w:t>
      </w:r>
      <w:r>
        <w:rPr>
          <w:rFonts w:ascii="Bookman Old Style" w:hAnsi="Bookman Old Style"/>
          <w:i/>
          <w:sz w:val="24"/>
        </w:rPr>
        <w:t>cred fire, all these would be regarded as parts of religion…all of them are religious practises and should be regarded as matters of religion within the meaning of Article 26(b)…</w:t>
      </w:r>
    </w:p>
    <w:p w:rsidR="003B2FC0" w:rsidRDefault="00052A49">
      <w:pPr>
        <w:ind w:left="1677" w:right="835"/>
        <w:jc w:val="both"/>
        <w:rPr>
          <w:rFonts w:ascii="Bookman Old Style" w:hAnsi="Bookman Old Style"/>
          <w:sz w:val="24"/>
        </w:rPr>
      </w:pPr>
      <w:r>
        <w:rPr>
          <w:rFonts w:ascii="Bookman Old Style" w:hAnsi="Bookman Old Style"/>
          <w:i/>
          <w:sz w:val="24"/>
        </w:rPr>
        <w:t xml:space="preserve">…23. </w:t>
      </w:r>
      <w:r>
        <w:rPr>
          <w:rFonts w:ascii="Bookman Old Style" w:hAnsi="Bookman Old Style"/>
          <w:i/>
          <w:sz w:val="24"/>
          <w:u w:val="single"/>
        </w:rPr>
        <w:t>Under Article 26(b), therefore, a religious denomination or</w:t>
      </w:r>
      <w:r>
        <w:rPr>
          <w:rFonts w:ascii="Bookman Old Style" w:hAnsi="Bookman Old Style"/>
          <w:i/>
          <w:sz w:val="24"/>
        </w:rPr>
        <w:t xml:space="preserve"> </w:t>
      </w:r>
      <w:r>
        <w:rPr>
          <w:rFonts w:ascii="Bookman Old Style" w:hAnsi="Bookman Old Style"/>
          <w:i/>
          <w:sz w:val="24"/>
          <w:u w:val="single"/>
        </w:rPr>
        <w:t>organization</w:t>
      </w:r>
      <w:r>
        <w:rPr>
          <w:rFonts w:ascii="Bookman Old Style" w:hAnsi="Bookman Old Style"/>
          <w:i/>
          <w:sz w:val="24"/>
          <w:u w:val="single"/>
        </w:rPr>
        <w:t xml:space="preserve"> enjoys complete autonomy in the matter </w:t>
      </w:r>
      <w:r>
        <w:rPr>
          <w:rFonts w:ascii="Bookman Old Style" w:hAnsi="Bookman Old Style"/>
          <w:i/>
          <w:spacing w:val="-3"/>
          <w:sz w:val="24"/>
          <w:u w:val="single"/>
        </w:rPr>
        <w:t>of</w:t>
      </w:r>
      <w:r>
        <w:rPr>
          <w:rFonts w:ascii="Bookman Old Style" w:hAnsi="Bookman Old Style"/>
          <w:i/>
          <w:spacing w:val="-3"/>
          <w:sz w:val="24"/>
        </w:rPr>
        <w:t xml:space="preserve"> </w:t>
      </w:r>
      <w:r>
        <w:rPr>
          <w:rFonts w:ascii="Bookman Old Style" w:hAnsi="Bookman Old Style"/>
          <w:i/>
          <w:sz w:val="24"/>
          <w:u w:val="single"/>
        </w:rPr>
        <w:t>deciding as to what rites and ceremonies are essential</w:t>
      </w:r>
      <w:r>
        <w:rPr>
          <w:rFonts w:ascii="Bookman Old Style" w:hAnsi="Bookman Old Style"/>
          <w:i/>
          <w:sz w:val="24"/>
        </w:rPr>
        <w:t xml:space="preserve"> </w:t>
      </w:r>
      <w:r>
        <w:rPr>
          <w:rFonts w:ascii="Bookman Old Style" w:hAnsi="Bookman Old Style"/>
          <w:i/>
          <w:sz w:val="24"/>
          <w:u w:val="single"/>
        </w:rPr>
        <w:t>according to the tenets of the religion they hold and no outside</w:t>
      </w:r>
      <w:r>
        <w:rPr>
          <w:rFonts w:ascii="Bookman Old Style" w:hAnsi="Bookman Old Style"/>
          <w:i/>
          <w:sz w:val="24"/>
        </w:rPr>
        <w:t xml:space="preserve"> </w:t>
      </w:r>
      <w:r>
        <w:rPr>
          <w:rFonts w:ascii="Bookman Old Style" w:hAnsi="Bookman Old Style"/>
          <w:i/>
          <w:sz w:val="24"/>
          <w:u w:val="single"/>
        </w:rPr>
        <w:t xml:space="preserve">authority has any jurisdiction to interfere </w:t>
      </w:r>
      <w:r>
        <w:rPr>
          <w:rFonts w:ascii="Bookman Old Style" w:hAnsi="Bookman Old Style"/>
          <w:i/>
          <w:spacing w:val="-3"/>
          <w:sz w:val="24"/>
          <w:u w:val="single"/>
        </w:rPr>
        <w:t xml:space="preserve">with </w:t>
      </w:r>
      <w:r>
        <w:rPr>
          <w:rFonts w:ascii="Bookman Old Style" w:hAnsi="Bookman Old Style"/>
          <w:i/>
          <w:sz w:val="24"/>
          <w:u w:val="single"/>
        </w:rPr>
        <w:t>their decision in</w:t>
      </w:r>
      <w:r>
        <w:rPr>
          <w:rFonts w:ascii="Bookman Old Style" w:hAnsi="Bookman Old Style"/>
          <w:i/>
          <w:sz w:val="24"/>
        </w:rPr>
        <w:t xml:space="preserve"> </w:t>
      </w:r>
      <w:r>
        <w:rPr>
          <w:rFonts w:ascii="Bookman Old Style" w:hAnsi="Bookman Old Style"/>
          <w:i/>
          <w:sz w:val="24"/>
          <w:u w:val="single"/>
        </w:rPr>
        <w:t>such</w:t>
      </w:r>
      <w:r>
        <w:rPr>
          <w:rFonts w:ascii="Bookman Old Style" w:hAnsi="Bookman Old Style"/>
          <w:i/>
          <w:spacing w:val="1"/>
          <w:sz w:val="24"/>
          <w:u w:val="single"/>
        </w:rPr>
        <w:t xml:space="preserve"> </w:t>
      </w:r>
      <w:r>
        <w:rPr>
          <w:rFonts w:ascii="Bookman Old Style" w:hAnsi="Bookman Old Style"/>
          <w:i/>
          <w:sz w:val="24"/>
          <w:u w:val="single"/>
        </w:rPr>
        <w:t>matters.</w:t>
      </w:r>
      <w:r>
        <w:rPr>
          <w:rFonts w:ascii="Bookman Old Style" w:hAnsi="Bookman Old Style"/>
          <w:sz w:val="24"/>
        </w:rPr>
        <w:t>”</w:t>
      </w:r>
    </w:p>
    <w:p w:rsidR="003B2FC0" w:rsidRDefault="00052A49">
      <w:pPr>
        <w:ind w:left="6658"/>
        <w:rPr>
          <w:rFonts w:ascii="Bookman Old Style"/>
          <w:sz w:val="24"/>
        </w:rPr>
      </w:pPr>
      <w:r>
        <w:rPr>
          <w:rFonts w:ascii="Bookman Old Style"/>
          <w:sz w:val="24"/>
        </w:rPr>
        <w:t>(Emphasis s</w:t>
      </w:r>
      <w:r>
        <w:rPr>
          <w:rFonts w:ascii="Bookman Old Style"/>
          <w:sz w:val="24"/>
        </w:rPr>
        <w:t>upplied)</w:t>
      </w:r>
    </w:p>
    <w:p w:rsidR="003B2FC0" w:rsidRDefault="003B2FC0">
      <w:pPr>
        <w:pStyle w:val="BodyText"/>
        <w:rPr>
          <w:sz w:val="23"/>
        </w:rPr>
      </w:pPr>
    </w:p>
    <w:p w:rsidR="003B2FC0" w:rsidRDefault="00052A49">
      <w:pPr>
        <w:pStyle w:val="ListParagraph"/>
        <w:numPr>
          <w:ilvl w:val="1"/>
          <w:numId w:val="4"/>
        </w:numPr>
        <w:tabs>
          <w:tab w:val="left" w:pos="1252"/>
          <w:tab w:val="left" w:pos="1253"/>
        </w:tabs>
        <w:spacing w:before="1" w:line="480" w:lineRule="auto"/>
        <w:ind w:right="455"/>
        <w:rPr>
          <w:rFonts w:ascii="Bookman Old Style" w:hAnsi="Bookman Old Style"/>
          <w:sz w:val="24"/>
        </w:rPr>
      </w:pPr>
      <w:r>
        <w:rPr>
          <w:rFonts w:ascii="Bookman Old Style" w:hAnsi="Bookman Old Style"/>
          <w:sz w:val="24"/>
        </w:rPr>
        <w:t xml:space="preserve">The ‘essential practises test’ was reiterated in </w:t>
      </w:r>
      <w:r>
        <w:rPr>
          <w:rFonts w:ascii="Bookman Old Style" w:hAnsi="Bookman Old Style"/>
          <w:i/>
          <w:sz w:val="24"/>
        </w:rPr>
        <w:t>Ratilal Panachand Gandhi</w:t>
      </w:r>
      <w:r>
        <w:rPr>
          <w:rFonts w:ascii="Bookman Old Style" w:hAnsi="Bookman Old Style"/>
          <w:i/>
          <w:spacing w:val="11"/>
          <w:sz w:val="24"/>
        </w:rPr>
        <w:t xml:space="preserve"> </w:t>
      </w:r>
      <w:r>
        <w:rPr>
          <w:rFonts w:ascii="Bookman Old Style" w:hAnsi="Bookman Old Style"/>
          <w:sz w:val="24"/>
        </w:rPr>
        <w:t>v.</w:t>
      </w:r>
      <w:r>
        <w:rPr>
          <w:rFonts w:ascii="Bookman Old Style" w:hAnsi="Bookman Old Style"/>
          <w:spacing w:val="10"/>
          <w:sz w:val="24"/>
        </w:rPr>
        <w:t xml:space="preserve"> </w:t>
      </w:r>
      <w:r>
        <w:rPr>
          <w:rFonts w:ascii="Bookman Old Style" w:hAnsi="Bookman Old Style"/>
          <w:i/>
          <w:sz w:val="24"/>
        </w:rPr>
        <w:t>The</w:t>
      </w:r>
      <w:r>
        <w:rPr>
          <w:rFonts w:ascii="Bookman Old Style" w:hAnsi="Bookman Old Style"/>
          <w:i/>
          <w:spacing w:val="13"/>
          <w:sz w:val="24"/>
        </w:rPr>
        <w:t xml:space="preserve"> </w:t>
      </w:r>
      <w:r>
        <w:rPr>
          <w:rFonts w:ascii="Bookman Old Style" w:hAnsi="Bookman Old Style"/>
          <w:i/>
          <w:sz w:val="24"/>
        </w:rPr>
        <w:t>State</w:t>
      </w:r>
      <w:r>
        <w:rPr>
          <w:rFonts w:ascii="Bookman Old Style" w:hAnsi="Bookman Old Style"/>
          <w:i/>
          <w:spacing w:val="13"/>
          <w:sz w:val="24"/>
        </w:rPr>
        <w:t xml:space="preserve"> </w:t>
      </w:r>
      <w:r>
        <w:rPr>
          <w:rFonts w:ascii="Bookman Old Style" w:hAnsi="Bookman Old Style"/>
          <w:i/>
          <w:sz w:val="24"/>
        </w:rPr>
        <w:t>of</w:t>
      </w:r>
      <w:r>
        <w:rPr>
          <w:rFonts w:ascii="Bookman Old Style" w:hAnsi="Bookman Old Style"/>
          <w:i/>
          <w:spacing w:val="18"/>
          <w:sz w:val="24"/>
        </w:rPr>
        <w:t xml:space="preserve"> </w:t>
      </w:r>
      <w:r>
        <w:rPr>
          <w:rFonts w:ascii="Bookman Old Style" w:hAnsi="Bookman Old Style"/>
          <w:i/>
          <w:sz w:val="24"/>
        </w:rPr>
        <w:t>Bombay</w:t>
      </w:r>
      <w:r>
        <w:rPr>
          <w:rFonts w:ascii="Bookman Old Style" w:hAnsi="Bookman Old Style"/>
          <w:i/>
          <w:spacing w:val="11"/>
          <w:sz w:val="24"/>
        </w:rPr>
        <w:t xml:space="preserve"> </w:t>
      </w:r>
      <w:r>
        <w:rPr>
          <w:rFonts w:ascii="Bookman Old Style" w:hAnsi="Bookman Old Style"/>
          <w:i/>
          <w:sz w:val="24"/>
        </w:rPr>
        <w:t>&amp;</w:t>
      </w:r>
      <w:r>
        <w:rPr>
          <w:rFonts w:ascii="Bookman Old Style" w:hAnsi="Bookman Old Style"/>
          <w:i/>
          <w:spacing w:val="13"/>
          <w:sz w:val="24"/>
        </w:rPr>
        <w:t xml:space="preserve"> </w:t>
      </w:r>
      <w:r>
        <w:rPr>
          <w:rFonts w:ascii="Bookman Old Style" w:hAnsi="Bookman Old Style"/>
          <w:i/>
          <w:sz w:val="24"/>
        </w:rPr>
        <w:t>Ors.</w:t>
      </w:r>
      <w:r>
        <w:rPr>
          <w:rFonts w:ascii="Bookman Old Style" w:hAnsi="Bookman Old Style"/>
          <w:position w:val="6"/>
          <w:sz w:val="16"/>
        </w:rPr>
        <w:t>50</w:t>
      </w:r>
      <w:r>
        <w:rPr>
          <w:rFonts w:ascii="Bookman Old Style" w:hAnsi="Bookman Old Style"/>
          <w:i/>
          <w:sz w:val="24"/>
        </w:rPr>
        <w:t>,</w:t>
      </w:r>
      <w:r>
        <w:rPr>
          <w:rFonts w:ascii="Bookman Old Style" w:hAnsi="Bookman Old Style"/>
          <w:i/>
          <w:spacing w:val="13"/>
          <w:sz w:val="24"/>
        </w:rPr>
        <w:t xml:space="preserve"> </w:t>
      </w:r>
      <w:r>
        <w:rPr>
          <w:rFonts w:ascii="Bookman Old Style" w:hAnsi="Bookman Old Style"/>
          <w:sz w:val="24"/>
        </w:rPr>
        <w:t>where</w:t>
      </w:r>
      <w:r>
        <w:rPr>
          <w:rFonts w:ascii="Bookman Old Style" w:hAnsi="Bookman Old Style"/>
          <w:spacing w:val="13"/>
          <w:sz w:val="24"/>
        </w:rPr>
        <w:t xml:space="preserve"> </w:t>
      </w:r>
      <w:r>
        <w:rPr>
          <w:rFonts w:ascii="Bookman Old Style" w:hAnsi="Bookman Old Style"/>
          <w:sz w:val="24"/>
        </w:rPr>
        <w:t>the</w:t>
      </w:r>
      <w:r>
        <w:rPr>
          <w:rFonts w:ascii="Bookman Old Style" w:hAnsi="Bookman Old Style"/>
          <w:spacing w:val="13"/>
          <w:sz w:val="24"/>
        </w:rPr>
        <w:t xml:space="preserve"> </w:t>
      </w:r>
      <w:r>
        <w:rPr>
          <w:rFonts w:ascii="Bookman Old Style" w:hAnsi="Bookman Old Style"/>
          <w:sz w:val="24"/>
        </w:rPr>
        <w:t>narrow</w:t>
      </w:r>
      <w:r>
        <w:rPr>
          <w:rFonts w:ascii="Bookman Old Style" w:hAnsi="Bookman Old Style"/>
          <w:spacing w:val="13"/>
          <w:sz w:val="24"/>
        </w:rPr>
        <w:t xml:space="preserve"> </w:t>
      </w:r>
      <w:r>
        <w:rPr>
          <w:rFonts w:ascii="Bookman Old Style" w:hAnsi="Bookman Old Style"/>
          <w:sz w:val="24"/>
        </w:rPr>
        <w:t>definition</w:t>
      </w:r>
    </w:p>
    <w:p w:rsidR="003B2FC0" w:rsidRDefault="003B2FC0">
      <w:pPr>
        <w:pStyle w:val="BodyText"/>
        <w:rPr>
          <w:sz w:val="20"/>
        </w:rPr>
      </w:pPr>
    </w:p>
    <w:p w:rsidR="003B2FC0" w:rsidRDefault="003B2FC0">
      <w:pPr>
        <w:pStyle w:val="BodyText"/>
        <w:spacing w:before="8"/>
        <w:rPr>
          <w:sz w:val="12"/>
        </w:rPr>
      </w:pPr>
      <w:r w:rsidRPr="003B2FC0">
        <w:pict>
          <v:line id="_x0000_s1032" style="position:absolute;z-index:251680256;mso-wrap-distance-left:0;mso-wrap-distance-right:0;mso-position-horizontal-relative:page" from="1in,9.8pt" to="216.05pt,9.8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49 </w:t>
      </w:r>
      <w:r>
        <w:rPr>
          <w:rFonts w:ascii="Bookman Old Style"/>
          <w:sz w:val="20"/>
        </w:rPr>
        <w:t>67 CLR 116</w:t>
      </w:r>
    </w:p>
    <w:p w:rsidR="003B2FC0" w:rsidRDefault="00052A49">
      <w:pPr>
        <w:ind w:left="400"/>
        <w:rPr>
          <w:rFonts w:ascii="Bookman Old Style"/>
          <w:sz w:val="20"/>
        </w:rPr>
      </w:pPr>
      <w:r>
        <w:rPr>
          <w:rFonts w:ascii="Bookman Old Style"/>
          <w:position w:val="5"/>
          <w:sz w:val="13"/>
        </w:rPr>
        <w:t xml:space="preserve">50 </w:t>
      </w:r>
      <w:r>
        <w:rPr>
          <w:rFonts w:ascii="Bookman Old Style"/>
          <w:sz w:val="20"/>
        </w:rPr>
        <w:t>(1954) SCR 1055 : AIR 1954 SC 388</w:t>
      </w:r>
    </w:p>
    <w:p w:rsidR="003B2FC0" w:rsidRDefault="003B2FC0">
      <w:pPr>
        <w:rPr>
          <w:rFonts w:ascii="Bookman Old Style"/>
          <w:sz w:val="20"/>
        </w:rPr>
        <w:sectPr w:rsidR="003B2FC0">
          <w:headerReference w:type="default" r:id="rId505"/>
          <w:footerReference w:type="default" r:id="rId506"/>
          <w:pgSz w:w="11910" w:h="16840"/>
          <w:pgMar w:top="1340" w:right="980" w:bottom="1220" w:left="1040" w:header="0" w:footer="1033" w:gutter="0"/>
          <w:pgNumType w:start="56"/>
          <w:cols w:space="720"/>
        </w:sectPr>
      </w:pPr>
    </w:p>
    <w:p w:rsidR="003B2FC0" w:rsidRDefault="00052A49">
      <w:pPr>
        <w:spacing w:before="83" w:line="480" w:lineRule="auto"/>
        <w:ind w:left="1252" w:right="453"/>
        <w:jc w:val="both"/>
        <w:rPr>
          <w:rFonts w:ascii="Bookman Old Style" w:hAnsi="Bookman Old Style"/>
          <w:sz w:val="24"/>
        </w:rPr>
      </w:pPr>
      <w:r>
        <w:rPr>
          <w:rFonts w:ascii="Bookman Old Style" w:hAnsi="Bookman Old Style"/>
          <w:sz w:val="24"/>
        </w:rPr>
        <w:t>of “religion” given by the Bombay High Court was discarded. It was held that all religious practises or performances of acts in pursuance of religious beliefs were as much a part of religion, as faith or belief  in particular doctrines. This Court re-itera</w:t>
      </w:r>
      <w:r>
        <w:rPr>
          <w:rFonts w:ascii="Bookman Old Style" w:hAnsi="Bookman Old Style"/>
          <w:sz w:val="24"/>
        </w:rPr>
        <w:t>ted the ‘essential practises test’ in the following</w:t>
      </w:r>
      <w:r>
        <w:rPr>
          <w:rFonts w:ascii="Bookman Old Style" w:hAnsi="Bookman Old Style"/>
          <w:spacing w:val="-1"/>
          <w:sz w:val="24"/>
        </w:rPr>
        <w:t xml:space="preserve"> </w:t>
      </w:r>
      <w:r>
        <w:rPr>
          <w:rFonts w:ascii="Bookman Old Style" w:hAnsi="Bookman Old Style"/>
          <w:sz w:val="24"/>
        </w:rPr>
        <w:t>words:</w:t>
      </w:r>
    </w:p>
    <w:p w:rsidR="003B2FC0" w:rsidRDefault="00052A49">
      <w:pPr>
        <w:ind w:left="1677" w:right="833"/>
        <w:jc w:val="both"/>
        <w:rPr>
          <w:rFonts w:ascii="Bookman Old Style" w:hAnsi="Bookman Old Style"/>
          <w:i/>
          <w:sz w:val="24"/>
        </w:rPr>
      </w:pPr>
      <w:r>
        <w:rPr>
          <w:rFonts w:ascii="Bookman Old Style" w:hAnsi="Bookman Old Style"/>
          <w:sz w:val="24"/>
        </w:rPr>
        <w:t>“</w:t>
      </w:r>
      <w:r>
        <w:rPr>
          <w:rFonts w:ascii="Bookman Old Style" w:hAnsi="Bookman Old Style"/>
          <w:i/>
          <w:sz w:val="24"/>
        </w:rPr>
        <w:t>13…Thus if the tenets of the Jain or the Parsi religion lay down that certain rites and ceremonies are to be performed at certain times and in a particular manner, it cannot be said that these are</w:t>
      </w:r>
      <w:r>
        <w:rPr>
          <w:rFonts w:ascii="Bookman Old Style" w:hAnsi="Bookman Old Style"/>
          <w:i/>
          <w:sz w:val="24"/>
        </w:rPr>
        <w:t xml:space="preserve"> secular activities partaking of commercial or economic character simply because they involve expenditure of money or employment of priests or the use of marketable commodities. </w:t>
      </w:r>
      <w:r>
        <w:rPr>
          <w:rFonts w:ascii="Bookman Old Style" w:hAnsi="Bookman Old Style"/>
          <w:i/>
          <w:sz w:val="24"/>
          <w:u w:val="single"/>
        </w:rPr>
        <w:t>No</w:t>
      </w:r>
      <w:r>
        <w:rPr>
          <w:rFonts w:ascii="Bookman Old Style" w:hAnsi="Bookman Old Style"/>
          <w:i/>
          <w:sz w:val="24"/>
        </w:rPr>
        <w:t xml:space="preserve"> </w:t>
      </w:r>
      <w:r>
        <w:rPr>
          <w:rFonts w:ascii="Bookman Old Style" w:hAnsi="Bookman Old Style"/>
          <w:i/>
          <w:sz w:val="24"/>
          <w:u w:val="single"/>
        </w:rPr>
        <w:t>outside authority has any right to say that these are not</w:t>
      </w:r>
      <w:r>
        <w:rPr>
          <w:rFonts w:ascii="Bookman Old Style" w:hAnsi="Bookman Old Style"/>
          <w:i/>
          <w:sz w:val="24"/>
        </w:rPr>
        <w:t xml:space="preserve"> </w:t>
      </w:r>
      <w:r>
        <w:rPr>
          <w:rFonts w:ascii="Bookman Old Style" w:hAnsi="Bookman Old Style"/>
          <w:i/>
          <w:sz w:val="24"/>
          <w:u w:val="single"/>
        </w:rPr>
        <w:t>essential parts o</w:t>
      </w:r>
      <w:r>
        <w:rPr>
          <w:rFonts w:ascii="Bookman Old Style" w:hAnsi="Bookman Old Style"/>
          <w:i/>
          <w:sz w:val="24"/>
          <w:u w:val="single"/>
        </w:rPr>
        <w:t>f religion and it is not open to the secular</w:t>
      </w:r>
      <w:r>
        <w:rPr>
          <w:rFonts w:ascii="Bookman Old Style" w:hAnsi="Bookman Old Style"/>
          <w:i/>
          <w:sz w:val="24"/>
        </w:rPr>
        <w:t xml:space="preserve"> </w:t>
      </w:r>
      <w:r>
        <w:rPr>
          <w:rFonts w:ascii="Bookman Old Style" w:hAnsi="Bookman Old Style"/>
          <w:i/>
          <w:sz w:val="24"/>
          <w:u w:val="single"/>
        </w:rPr>
        <w:t>authority of the State to restrict or prohibit them in any manner</w:t>
      </w:r>
    </w:p>
    <w:p w:rsidR="003B2FC0" w:rsidRDefault="00052A49">
      <w:pPr>
        <w:ind w:left="1677" w:right="832"/>
        <w:jc w:val="both"/>
        <w:rPr>
          <w:rFonts w:ascii="Bookman Old Style" w:hAnsi="Bookman Old Style"/>
          <w:sz w:val="24"/>
        </w:rPr>
      </w:pPr>
      <w:r>
        <w:rPr>
          <w:rFonts w:ascii="Times New Roman" w:hAnsi="Times New Roman"/>
          <w:spacing w:val="-60"/>
          <w:sz w:val="24"/>
          <w:u w:val="single"/>
        </w:rPr>
        <w:t xml:space="preserve"> </w:t>
      </w:r>
      <w:r>
        <w:rPr>
          <w:rFonts w:ascii="Bookman Old Style" w:hAnsi="Bookman Old Style"/>
          <w:i/>
          <w:sz w:val="24"/>
          <w:u w:val="single"/>
        </w:rPr>
        <w:t>they like under the guise of administering the trust estate…We</w:t>
      </w:r>
      <w:r>
        <w:rPr>
          <w:rFonts w:ascii="Bookman Old Style" w:hAnsi="Bookman Old Style"/>
          <w:i/>
          <w:sz w:val="24"/>
        </w:rPr>
        <w:t xml:space="preserve"> </w:t>
      </w:r>
      <w:r>
        <w:rPr>
          <w:rFonts w:ascii="Bookman Old Style" w:hAnsi="Bookman Old Style"/>
          <w:i/>
          <w:sz w:val="24"/>
          <w:u w:val="single"/>
        </w:rPr>
        <w:t xml:space="preserve">may refer </w:t>
      </w:r>
      <w:r>
        <w:rPr>
          <w:rFonts w:ascii="Bookman Old Style" w:hAnsi="Bookman Old Style"/>
          <w:i/>
          <w:spacing w:val="-3"/>
          <w:sz w:val="24"/>
          <w:u w:val="single"/>
        </w:rPr>
        <w:t xml:space="preserve">in </w:t>
      </w:r>
      <w:r>
        <w:rPr>
          <w:rFonts w:ascii="Bookman Old Style" w:hAnsi="Bookman Old Style"/>
          <w:i/>
          <w:sz w:val="24"/>
          <w:u w:val="single"/>
        </w:rPr>
        <w:t>this connection to the observation of Davar, J. in</w:t>
      </w:r>
      <w:r>
        <w:rPr>
          <w:rFonts w:ascii="Bookman Old Style" w:hAnsi="Bookman Old Style"/>
          <w:i/>
          <w:sz w:val="24"/>
        </w:rPr>
        <w:t xml:space="preserve"> </w:t>
      </w:r>
      <w:r>
        <w:rPr>
          <w:rFonts w:ascii="Bookman Old Style" w:hAnsi="Bookman Old Style"/>
          <w:i/>
          <w:sz w:val="24"/>
          <w:u w:val="single"/>
        </w:rPr>
        <w:t>the case of Jamsh</w:t>
      </w:r>
      <w:r>
        <w:rPr>
          <w:rFonts w:ascii="Bookman Old Style" w:hAnsi="Bookman Old Style"/>
          <w:i/>
          <w:sz w:val="24"/>
          <w:u w:val="single"/>
        </w:rPr>
        <w:t xml:space="preserve">ed ji </w:t>
      </w:r>
      <w:r>
        <w:rPr>
          <w:rFonts w:ascii="Bookman Old Style" w:hAnsi="Bookman Old Style"/>
          <w:sz w:val="24"/>
          <w:u w:val="single"/>
        </w:rPr>
        <w:t xml:space="preserve">v. </w:t>
      </w:r>
      <w:r>
        <w:rPr>
          <w:rFonts w:ascii="Bookman Old Style" w:hAnsi="Bookman Old Style"/>
          <w:i/>
          <w:sz w:val="24"/>
          <w:u w:val="single"/>
        </w:rPr>
        <w:t xml:space="preserve">Soonabai </w:t>
      </w:r>
      <w:r>
        <w:rPr>
          <w:rFonts w:ascii="Bookman Old Style" w:hAnsi="Bookman Old Style"/>
          <w:i/>
          <w:sz w:val="24"/>
        </w:rPr>
        <w:t xml:space="preserve">and although they were made in a case where the question </w:t>
      </w:r>
      <w:r>
        <w:rPr>
          <w:rFonts w:ascii="Bookman Old Style" w:hAnsi="Bookman Old Style"/>
          <w:i/>
          <w:spacing w:val="-4"/>
          <w:sz w:val="24"/>
        </w:rPr>
        <w:t xml:space="preserve">was </w:t>
      </w:r>
      <w:r>
        <w:rPr>
          <w:rFonts w:ascii="Bookman Old Style" w:hAnsi="Bookman Old Style"/>
          <w:i/>
          <w:sz w:val="24"/>
        </w:rPr>
        <w:t xml:space="preserve">whether the bequest of property by a Parsi testator </w:t>
      </w:r>
      <w:r>
        <w:rPr>
          <w:rFonts w:ascii="Bookman Old Style" w:hAnsi="Bookman Old Style"/>
          <w:i/>
          <w:spacing w:val="2"/>
          <w:sz w:val="24"/>
        </w:rPr>
        <w:t xml:space="preserve">for </w:t>
      </w:r>
      <w:r>
        <w:rPr>
          <w:rFonts w:ascii="Bookman Old Style" w:hAnsi="Bookman Old Style"/>
          <w:i/>
          <w:sz w:val="24"/>
        </w:rPr>
        <w:t xml:space="preserve">the purpose of perpetual celebration of ceremonies like Muktad bag, Vyezashni, etc., which are sanctioned by the Zoroastrian religion were valid and charitable gifts, </w:t>
      </w:r>
      <w:r>
        <w:rPr>
          <w:rFonts w:ascii="Bookman Old Style" w:hAnsi="Bookman Old Style"/>
          <w:i/>
          <w:sz w:val="24"/>
          <w:u w:val="single"/>
        </w:rPr>
        <w:t xml:space="preserve">the observations, </w:t>
      </w:r>
      <w:r>
        <w:rPr>
          <w:rFonts w:ascii="Bookman Old Style" w:hAnsi="Bookman Old Style"/>
          <w:i/>
          <w:spacing w:val="-4"/>
          <w:sz w:val="24"/>
          <w:u w:val="single"/>
        </w:rPr>
        <w:t xml:space="preserve">we </w:t>
      </w:r>
      <w:r>
        <w:rPr>
          <w:rFonts w:ascii="Bookman Old Style" w:hAnsi="Bookman Old Style"/>
          <w:i/>
          <w:sz w:val="24"/>
          <w:u w:val="single"/>
        </w:rPr>
        <w:t>think, are quite</w:t>
      </w:r>
      <w:r>
        <w:rPr>
          <w:rFonts w:ascii="Bookman Old Style" w:hAnsi="Bookman Old Style"/>
          <w:i/>
          <w:sz w:val="24"/>
        </w:rPr>
        <w:t xml:space="preserve"> </w:t>
      </w:r>
      <w:r>
        <w:rPr>
          <w:rFonts w:ascii="Bookman Old Style" w:hAnsi="Bookman Old Style"/>
          <w:i/>
          <w:sz w:val="24"/>
          <w:u w:val="single"/>
        </w:rPr>
        <w:t xml:space="preserve">appropriate </w:t>
      </w:r>
      <w:r>
        <w:rPr>
          <w:rFonts w:ascii="Bookman Old Style" w:hAnsi="Bookman Old Style"/>
          <w:i/>
          <w:spacing w:val="2"/>
          <w:sz w:val="24"/>
          <w:u w:val="single"/>
        </w:rPr>
        <w:t xml:space="preserve">for </w:t>
      </w:r>
      <w:r>
        <w:rPr>
          <w:rFonts w:ascii="Bookman Old Style" w:hAnsi="Bookman Old Style"/>
          <w:i/>
          <w:sz w:val="24"/>
          <w:u w:val="single"/>
        </w:rPr>
        <w:t xml:space="preserve">our present purpose. </w:t>
      </w:r>
      <w:r>
        <w:rPr>
          <w:rFonts w:ascii="Bookman Old Style" w:hAnsi="Bookman Old Style"/>
          <w:i/>
          <w:spacing w:val="-4"/>
          <w:sz w:val="24"/>
          <w:u w:val="single"/>
        </w:rPr>
        <w:t xml:space="preserve">If </w:t>
      </w:r>
      <w:r>
        <w:rPr>
          <w:rFonts w:ascii="Bookman Old Style" w:hAnsi="Bookman Old Style"/>
          <w:i/>
          <w:sz w:val="24"/>
          <w:u w:val="single"/>
        </w:rPr>
        <w:t xml:space="preserve">this </w:t>
      </w:r>
      <w:r>
        <w:rPr>
          <w:rFonts w:ascii="Bookman Old Style" w:hAnsi="Bookman Old Style"/>
          <w:i/>
          <w:spacing w:val="-3"/>
          <w:sz w:val="24"/>
          <w:u w:val="single"/>
        </w:rPr>
        <w:t xml:space="preserve">is </w:t>
      </w:r>
      <w:r>
        <w:rPr>
          <w:rFonts w:ascii="Bookman Old Style" w:hAnsi="Bookman Old Style"/>
          <w:i/>
          <w:sz w:val="24"/>
          <w:u w:val="single"/>
        </w:rPr>
        <w:t>the</w:t>
      </w:r>
      <w:r>
        <w:rPr>
          <w:rFonts w:ascii="Bookman Old Style" w:hAnsi="Bookman Old Style"/>
          <w:i/>
          <w:sz w:val="24"/>
          <w:u w:val="single"/>
        </w:rPr>
        <w:t xml:space="preserve"> belief </w:t>
      </w:r>
      <w:r>
        <w:rPr>
          <w:rFonts w:ascii="Bookman Old Style" w:hAnsi="Bookman Old Style"/>
          <w:i/>
          <w:spacing w:val="-3"/>
          <w:sz w:val="24"/>
          <w:u w:val="single"/>
        </w:rPr>
        <w:t>of the</w:t>
      </w:r>
      <w:r>
        <w:rPr>
          <w:rFonts w:ascii="Bookman Old Style" w:hAnsi="Bookman Old Style"/>
          <w:i/>
          <w:spacing w:val="-3"/>
          <w:sz w:val="24"/>
        </w:rPr>
        <w:t xml:space="preserve"> </w:t>
      </w:r>
      <w:r>
        <w:rPr>
          <w:rFonts w:ascii="Bookman Old Style" w:hAnsi="Bookman Old Style"/>
          <w:i/>
          <w:sz w:val="24"/>
          <w:u w:val="single"/>
        </w:rPr>
        <w:t>community thus observed the learned judge, and it is proved</w:t>
      </w:r>
      <w:r>
        <w:rPr>
          <w:rFonts w:ascii="Bookman Old Style" w:hAnsi="Bookman Old Style"/>
          <w:i/>
          <w:sz w:val="24"/>
        </w:rPr>
        <w:t xml:space="preserve"> </w:t>
      </w:r>
      <w:r>
        <w:rPr>
          <w:rFonts w:ascii="Bookman Old Style" w:hAnsi="Bookman Old Style"/>
          <w:i/>
          <w:sz w:val="24"/>
          <w:u w:val="single"/>
        </w:rPr>
        <w:t>undoubtedly to be the belief of the Zoroastrian community, - a</w:t>
      </w:r>
      <w:r>
        <w:rPr>
          <w:rFonts w:ascii="Bookman Old Style" w:hAnsi="Bookman Old Style"/>
          <w:i/>
          <w:sz w:val="24"/>
        </w:rPr>
        <w:t xml:space="preserve"> </w:t>
      </w:r>
      <w:r>
        <w:rPr>
          <w:rFonts w:ascii="Bookman Old Style" w:hAnsi="Bookman Old Style"/>
          <w:i/>
          <w:sz w:val="24"/>
          <w:u w:val="single"/>
        </w:rPr>
        <w:t xml:space="preserve">secular judge is bound </w:t>
      </w:r>
      <w:r>
        <w:rPr>
          <w:rFonts w:ascii="Bookman Old Style" w:hAnsi="Bookman Old Style"/>
          <w:i/>
          <w:spacing w:val="-3"/>
          <w:sz w:val="24"/>
          <w:u w:val="single"/>
        </w:rPr>
        <w:t xml:space="preserve">to </w:t>
      </w:r>
      <w:r>
        <w:rPr>
          <w:rFonts w:ascii="Bookman Old Style" w:hAnsi="Bookman Old Style"/>
          <w:i/>
          <w:sz w:val="24"/>
          <w:u w:val="single"/>
        </w:rPr>
        <w:t>accept that belief – it is not for him to</w:t>
      </w:r>
      <w:r>
        <w:rPr>
          <w:rFonts w:ascii="Bookman Old Style" w:hAnsi="Bookman Old Style"/>
          <w:i/>
          <w:sz w:val="24"/>
        </w:rPr>
        <w:t xml:space="preserve"> </w:t>
      </w:r>
      <w:r>
        <w:rPr>
          <w:rFonts w:ascii="Bookman Old Style" w:hAnsi="Bookman Old Style"/>
          <w:i/>
          <w:sz w:val="24"/>
          <w:u w:val="single"/>
        </w:rPr>
        <w:t>sit in judgment on that belief, he has no right to</w:t>
      </w:r>
      <w:r>
        <w:rPr>
          <w:rFonts w:ascii="Bookman Old Style" w:hAnsi="Bookman Old Style"/>
          <w:i/>
          <w:sz w:val="24"/>
          <w:u w:val="single"/>
        </w:rPr>
        <w:t xml:space="preserve"> interfere with</w:t>
      </w:r>
      <w:r>
        <w:rPr>
          <w:rFonts w:ascii="Bookman Old Style" w:hAnsi="Bookman Old Style"/>
          <w:i/>
          <w:sz w:val="24"/>
        </w:rPr>
        <w:t xml:space="preserve"> </w:t>
      </w:r>
      <w:r>
        <w:rPr>
          <w:rFonts w:ascii="Bookman Old Style" w:hAnsi="Bookman Old Style"/>
          <w:i/>
          <w:sz w:val="24"/>
          <w:u w:val="single"/>
        </w:rPr>
        <w:t xml:space="preserve">the conscience of a donor </w:t>
      </w:r>
      <w:r>
        <w:rPr>
          <w:rFonts w:ascii="Bookman Old Style" w:hAnsi="Bookman Old Style"/>
          <w:i/>
          <w:spacing w:val="-3"/>
          <w:sz w:val="24"/>
          <w:u w:val="single"/>
        </w:rPr>
        <w:t xml:space="preserve">who </w:t>
      </w:r>
      <w:r>
        <w:rPr>
          <w:rFonts w:ascii="Bookman Old Style" w:hAnsi="Bookman Old Style"/>
          <w:i/>
          <w:sz w:val="24"/>
          <w:u w:val="single"/>
        </w:rPr>
        <w:t xml:space="preserve">makes a </w:t>
      </w:r>
      <w:r>
        <w:rPr>
          <w:rFonts w:ascii="Bookman Old Style" w:hAnsi="Bookman Old Style"/>
          <w:i/>
          <w:spacing w:val="2"/>
          <w:sz w:val="24"/>
          <w:u w:val="single"/>
        </w:rPr>
        <w:t xml:space="preserve">gift </w:t>
      </w:r>
      <w:r>
        <w:rPr>
          <w:rFonts w:ascii="Bookman Old Style" w:hAnsi="Bookman Old Style"/>
          <w:i/>
          <w:spacing w:val="-3"/>
          <w:sz w:val="24"/>
          <w:u w:val="single"/>
        </w:rPr>
        <w:t xml:space="preserve">in </w:t>
      </w:r>
      <w:r>
        <w:rPr>
          <w:rFonts w:ascii="Bookman Old Style" w:hAnsi="Bookman Old Style"/>
          <w:i/>
          <w:sz w:val="24"/>
          <w:u w:val="single"/>
        </w:rPr>
        <w:t xml:space="preserve">favour of </w:t>
      </w:r>
      <w:r>
        <w:rPr>
          <w:rFonts w:ascii="Bookman Old Style" w:hAnsi="Bookman Old Style"/>
          <w:i/>
          <w:spacing w:val="-3"/>
          <w:sz w:val="24"/>
          <w:u w:val="single"/>
        </w:rPr>
        <w:t xml:space="preserve">what </w:t>
      </w:r>
      <w:r>
        <w:rPr>
          <w:rFonts w:ascii="Bookman Old Style" w:hAnsi="Bookman Old Style"/>
          <w:i/>
          <w:sz w:val="24"/>
          <w:u w:val="single"/>
        </w:rPr>
        <w:t>he</w:t>
      </w:r>
      <w:r>
        <w:rPr>
          <w:rFonts w:ascii="Bookman Old Style" w:hAnsi="Bookman Old Style"/>
          <w:i/>
          <w:sz w:val="24"/>
        </w:rPr>
        <w:t xml:space="preserve"> </w:t>
      </w:r>
      <w:r>
        <w:rPr>
          <w:rFonts w:ascii="Bookman Old Style" w:hAnsi="Bookman Old Style"/>
          <w:i/>
          <w:sz w:val="24"/>
          <w:u w:val="single"/>
        </w:rPr>
        <w:t>believes to be the advancement of the religion and the welfare</w:t>
      </w:r>
      <w:r>
        <w:rPr>
          <w:rFonts w:ascii="Bookman Old Style" w:hAnsi="Bookman Old Style"/>
          <w:i/>
          <w:sz w:val="24"/>
        </w:rPr>
        <w:t xml:space="preserve"> </w:t>
      </w:r>
      <w:r>
        <w:rPr>
          <w:rFonts w:ascii="Bookman Old Style" w:hAnsi="Bookman Old Style"/>
          <w:i/>
          <w:sz w:val="24"/>
          <w:u w:val="single"/>
        </w:rPr>
        <w:t>of his community or mankind.</w:t>
      </w:r>
      <w:r>
        <w:rPr>
          <w:rFonts w:ascii="Bookman Old Style" w:hAnsi="Bookman Old Style"/>
          <w:i/>
          <w:sz w:val="24"/>
        </w:rPr>
        <w:t xml:space="preserve"> These observations do in our opinion afford </w:t>
      </w:r>
      <w:r>
        <w:rPr>
          <w:rFonts w:ascii="Bookman Old Style" w:hAnsi="Bookman Old Style"/>
          <w:i/>
          <w:spacing w:val="-3"/>
          <w:sz w:val="24"/>
        </w:rPr>
        <w:t xml:space="preserve">an </w:t>
      </w:r>
      <w:r>
        <w:rPr>
          <w:rFonts w:ascii="Bookman Old Style" w:hAnsi="Bookman Old Style"/>
          <w:i/>
          <w:sz w:val="24"/>
        </w:rPr>
        <w:t>indication of the measure of protecti</w:t>
      </w:r>
      <w:r>
        <w:rPr>
          <w:rFonts w:ascii="Bookman Old Style" w:hAnsi="Bookman Old Style"/>
          <w:i/>
          <w:sz w:val="24"/>
        </w:rPr>
        <w:t>on that is given by Article 26(b) of our</w:t>
      </w:r>
      <w:r>
        <w:rPr>
          <w:rFonts w:ascii="Bookman Old Style" w:hAnsi="Bookman Old Style"/>
          <w:i/>
          <w:spacing w:val="-1"/>
          <w:sz w:val="24"/>
        </w:rPr>
        <w:t xml:space="preserve"> </w:t>
      </w:r>
      <w:r>
        <w:rPr>
          <w:rFonts w:ascii="Bookman Old Style" w:hAnsi="Bookman Old Style"/>
          <w:i/>
          <w:sz w:val="24"/>
        </w:rPr>
        <w:t>Constitution.</w:t>
      </w:r>
      <w:r>
        <w:rPr>
          <w:rFonts w:ascii="Bookman Old Style" w:hAnsi="Bookman Old Style"/>
          <w:sz w:val="24"/>
        </w:rPr>
        <w:t>”</w:t>
      </w:r>
    </w:p>
    <w:p w:rsidR="003B2FC0" w:rsidRDefault="00052A49">
      <w:pPr>
        <w:spacing w:before="1"/>
        <w:ind w:left="2846"/>
        <w:rPr>
          <w:rFonts w:ascii="Bookman Old Style"/>
          <w:sz w:val="24"/>
        </w:rPr>
      </w:pPr>
      <w:r>
        <w:rPr>
          <w:rFonts w:ascii="Bookman Old Style"/>
          <w:sz w:val="24"/>
        </w:rPr>
        <w:t>(Emphasis supplied and internal quotations omitted)</w:t>
      </w:r>
    </w:p>
    <w:p w:rsidR="003B2FC0" w:rsidRDefault="003B2FC0">
      <w:pPr>
        <w:pStyle w:val="BodyText"/>
        <w:rPr>
          <w:sz w:val="24"/>
        </w:rPr>
      </w:pPr>
    </w:p>
    <w:p w:rsidR="003B2FC0" w:rsidRDefault="00052A49">
      <w:pPr>
        <w:pStyle w:val="ListParagraph"/>
        <w:numPr>
          <w:ilvl w:val="1"/>
          <w:numId w:val="4"/>
        </w:numPr>
        <w:tabs>
          <w:tab w:val="left" w:pos="1253"/>
        </w:tabs>
        <w:spacing w:line="480" w:lineRule="auto"/>
        <w:ind w:right="456"/>
        <w:rPr>
          <w:rFonts w:ascii="Bookman Old Style" w:hAnsi="Bookman Old Style"/>
          <w:sz w:val="24"/>
        </w:rPr>
      </w:pPr>
      <w:r>
        <w:rPr>
          <w:rFonts w:ascii="Bookman Old Style" w:hAnsi="Bookman Old Style"/>
          <w:sz w:val="24"/>
        </w:rPr>
        <w:t xml:space="preserve">In </w:t>
      </w:r>
      <w:r>
        <w:rPr>
          <w:rFonts w:ascii="Bookman Old Style" w:hAnsi="Bookman Old Style"/>
          <w:i/>
          <w:sz w:val="24"/>
        </w:rPr>
        <w:t xml:space="preserve">Durgah Committee, Ajmer &amp; Anr. </w:t>
      </w:r>
      <w:r>
        <w:rPr>
          <w:rFonts w:ascii="Bookman Old Style" w:hAnsi="Bookman Old Style"/>
          <w:sz w:val="24"/>
        </w:rPr>
        <w:t xml:space="preserve">v. </w:t>
      </w:r>
      <w:r>
        <w:rPr>
          <w:rFonts w:ascii="Bookman Old Style" w:hAnsi="Bookman Old Style"/>
          <w:i/>
          <w:sz w:val="24"/>
        </w:rPr>
        <w:t xml:space="preserve">Syed Hussain Ali &amp; Ors. </w:t>
      </w:r>
      <w:r>
        <w:rPr>
          <w:rFonts w:ascii="Bookman Old Style" w:hAnsi="Bookman Old Style"/>
          <w:sz w:val="24"/>
        </w:rPr>
        <w:t>(supra), the ‘essential practises test’ was discussed by a Constitution Bench in the following words:</w:t>
      </w:r>
    </w:p>
    <w:p w:rsidR="003B2FC0" w:rsidRDefault="00052A49">
      <w:pPr>
        <w:ind w:left="1677" w:right="835"/>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33…Whilst we are dealing with this point it may not be out of place incidentally to strike a note of caution and observe that </w:t>
      </w:r>
      <w:r>
        <w:rPr>
          <w:rFonts w:ascii="Bookman Old Style" w:hAnsi="Bookman Old Style"/>
          <w:i/>
          <w:sz w:val="24"/>
          <w:u w:val="single"/>
        </w:rPr>
        <w:t>in</w:t>
      </w:r>
      <w:r>
        <w:rPr>
          <w:rFonts w:ascii="Bookman Old Style" w:hAnsi="Bookman Old Style"/>
          <w:i/>
          <w:sz w:val="24"/>
        </w:rPr>
        <w:t xml:space="preserve"> </w:t>
      </w:r>
      <w:r>
        <w:rPr>
          <w:rFonts w:ascii="Bookman Old Style" w:hAnsi="Bookman Old Style"/>
          <w:i/>
          <w:sz w:val="24"/>
          <w:u w:val="single"/>
        </w:rPr>
        <w:t>order that the practises</w:t>
      </w:r>
      <w:r>
        <w:rPr>
          <w:rFonts w:ascii="Bookman Old Style" w:hAnsi="Bookman Old Style"/>
          <w:i/>
          <w:sz w:val="24"/>
          <w:u w:val="single"/>
        </w:rPr>
        <w:t xml:space="preserve"> in question should be treated as a part</w:t>
      </w:r>
      <w:r>
        <w:rPr>
          <w:rFonts w:ascii="Bookman Old Style" w:hAnsi="Bookman Old Style"/>
          <w:i/>
          <w:sz w:val="24"/>
        </w:rPr>
        <w:t xml:space="preserve"> </w:t>
      </w:r>
      <w:r>
        <w:rPr>
          <w:rFonts w:ascii="Bookman Old Style" w:hAnsi="Bookman Old Style"/>
          <w:i/>
          <w:sz w:val="24"/>
          <w:u w:val="single"/>
        </w:rPr>
        <w:t>of religion they must be regarded by the said religion as its</w:t>
      </w:r>
    </w:p>
    <w:p w:rsidR="003B2FC0" w:rsidRDefault="003B2FC0">
      <w:pPr>
        <w:jc w:val="both"/>
        <w:rPr>
          <w:rFonts w:ascii="Bookman Old Style" w:hAnsi="Bookman Old Style"/>
          <w:sz w:val="24"/>
        </w:rPr>
        <w:sectPr w:rsidR="003B2FC0">
          <w:headerReference w:type="default" r:id="rId507"/>
          <w:footerReference w:type="default" r:id="rId508"/>
          <w:pgSz w:w="11910" w:h="16840"/>
          <w:pgMar w:top="1340" w:right="980" w:bottom="1220" w:left="1040" w:header="0" w:footer="1033" w:gutter="0"/>
          <w:pgNumType w:start="57"/>
          <w:cols w:space="720"/>
        </w:sectPr>
      </w:pPr>
    </w:p>
    <w:p w:rsidR="003B2FC0" w:rsidRDefault="00052A49">
      <w:pPr>
        <w:spacing w:before="81"/>
        <w:ind w:left="1677" w:right="834"/>
        <w:jc w:val="both"/>
        <w:rPr>
          <w:rFonts w:ascii="Bookman Old Style" w:hAnsi="Bookman Old Style"/>
          <w:sz w:val="24"/>
        </w:rPr>
      </w:pPr>
      <w:r>
        <w:rPr>
          <w:rFonts w:ascii="Bookman Old Style" w:hAnsi="Bookman Old Style"/>
          <w:i/>
          <w:sz w:val="24"/>
          <w:u w:val="single"/>
        </w:rPr>
        <w:t>essential and integral part</w:t>
      </w:r>
      <w:r>
        <w:rPr>
          <w:rFonts w:ascii="Bookman Old Style" w:hAnsi="Bookman Old Style"/>
          <w:i/>
          <w:sz w:val="24"/>
        </w:rPr>
        <w:t xml:space="preserve">; otherwise even purely secular practises which are not an essential or </w:t>
      </w:r>
      <w:r>
        <w:rPr>
          <w:rFonts w:ascii="Bookman Old Style" w:hAnsi="Bookman Old Style"/>
          <w:i/>
          <w:spacing w:val="-3"/>
          <w:sz w:val="24"/>
        </w:rPr>
        <w:t xml:space="preserve">an </w:t>
      </w:r>
      <w:r>
        <w:rPr>
          <w:rFonts w:ascii="Bookman Old Style" w:hAnsi="Bookman Old Style"/>
          <w:i/>
          <w:sz w:val="24"/>
        </w:rPr>
        <w:t xml:space="preserve">integral part of religion are apt to be clothed </w:t>
      </w:r>
      <w:r>
        <w:rPr>
          <w:rFonts w:ascii="Bookman Old Style" w:hAnsi="Bookman Old Style"/>
          <w:i/>
          <w:spacing w:val="-3"/>
          <w:sz w:val="24"/>
        </w:rPr>
        <w:t xml:space="preserve">with </w:t>
      </w:r>
      <w:r>
        <w:rPr>
          <w:rFonts w:ascii="Bookman Old Style" w:hAnsi="Bookman Old Style"/>
          <w:i/>
          <w:sz w:val="24"/>
        </w:rPr>
        <w:t xml:space="preserve">a religious </w:t>
      </w:r>
      <w:r>
        <w:rPr>
          <w:rFonts w:ascii="Bookman Old Style" w:hAnsi="Bookman Old Style"/>
          <w:i/>
          <w:spacing w:val="2"/>
          <w:sz w:val="24"/>
        </w:rPr>
        <w:t xml:space="preserve">form </w:t>
      </w:r>
      <w:r>
        <w:rPr>
          <w:rFonts w:ascii="Bookman Old Style" w:hAnsi="Bookman Old Style"/>
          <w:i/>
          <w:sz w:val="24"/>
        </w:rPr>
        <w:t xml:space="preserve">and may make a claim </w:t>
      </w:r>
      <w:r>
        <w:rPr>
          <w:rFonts w:ascii="Bookman Old Style" w:hAnsi="Bookman Old Style"/>
          <w:i/>
          <w:spacing w:val="2"/>
          <w:sz w:val="24"/>
        </w:rPr>
        <w:t xml:space="preserve">for </w:t>
      </w:r>
      <w:r>
        <w:rPr>
          <w:rFonts w:ascii="Bookman Old Style" w:hAnsi="Bookman Old Style"/>
          <w:i/>
          <w:sz w:val="24"/>
        </w:rPr>
        <w:t xml:space="preserve">being treated </w:t>
      </w:r>
      <w:r>
        <w:rPr>
          <w:rFonts w:ascii="Bookman Old Style" w:hAnsi="Bookman Old Style"/>
          <w:i/>
          <w:spacing w:val="-3"/>
          <w:sz w:val="24"/>
        </w:rPr>
        <w:t xml:space="preserve">as </w:t>
      </w:r>
      <w:r>
        <w:rPr>
          <w:rFonts w:ascii="Bookman Old Style" w:hAnsi="Bookman Old Style"/>
          <w:i/>
          <w:sz w:val="24"/>
        </w:rPr>
        <w:t xml:space="preserve">religious practises within the meaning of Article 26. </w:t>
      </w:r>
      <w:r>
        <w:rPr>
          <w:rFonts w:ascii="Bookman Old Style" w:hAnsi="Bookman Old Style"/>
          <w:i/>
          <w:sz w:val="24"/>
          <w:u w:val="single"/>
        </w:rPr>
        <w:t>Similarly, even practises though religious</w:t>
      </w:r>
      <w:r>
        <w:rPr>
          <w:rFonts w:ascii="Bookman Old Style" w:hAnsi="Bookman Old Style"/>
          <w:i/>
          <w:sz w:val="24"/>
        </w:rPr>
        <w:t xml:space="preserve"> </w:t>
      </w:r>
      <w:r>
        <w:rPr>
          <w:rFonts w:ascii="Bookman Old Style" w:hAnsi="Bookman Old Style"/>
          <w:i/>
          <w:sz w:val="24"/>
          <w:u w:val="single"/>
        </w:rPr>
        <w:t>may have sprung from merely superstitious belie</w:t>
      </w:r>
      <w:r>
        <w:rPr>
          <w:rFonts w:ascii="Bookman Old Style" w:hAnsi="Bookman Old Style"/>
          <w:i/>
          <w:sz w:val="24"/>
          <w:u w:val="single"/>
        </w:rPr>
        <w:t>fs and may in</w:t>
      </w:r>
      <w:r>
        <w:rPr>
          <w:rFonts w:ascii="Bookman Old Style" w:hAnsi="Bookman Old Style"/>
          <w:i/>
          <w:sz w:val="24"/>
        </w:rPr>
        <w:t xml:space="preserve"> </w:t>
      </w:r>
      <w:r>
        <w:rPr>
          <w:rFonts w:ascii="Bookman Old Style" w:hAnsi="Bookman Old Style"/>
          <w:i/>
          <w:sz w:val="24"/>
          <w:u w:val="single"/>
        </w:rPr>
        <w:t xml:space="preserve">that sense be extraneous and unessential accretions </w:t>
      </w:r>
      <w:r>
        <w:rPr>
          <w:rFonts w:ascii="Bookman Old Style" w:hAnsi="Bookman Old Style"/>
          <w:i/>
          <w:spacing w:val="-3"/>
          <w:sz w:val="24"/>
          <w:u w:val="single"/>
        </w:rPr>
        <w:t xml:space="preserve">to </w:t>
      </w:r>
      <w:r>
        <w:rPr>
          <w:rFonts w:ascii="Bookman Old Style" w:hAnsi="Bookman Old Style"/>
          <w:i/>
          <w:sz w:val="24"/>
          <w:u w:val="single"/>
        </w:rPr>
        <w:t>religion</w:t>
      </w:r>
      <w:r>
        <w:rPr>
          <w:rFonts w:ascii="Bookman Old Style" w:hAnsi="Bookman Old Style"/>
          <w:i/>
          <w:sz w:val="24"/>
        </w:rPr>
        <w:t xml:space="preserve"> </w:t>
      </w:r>
      <w:r>
        <w:rPr>
          <w:rFonts w:ascii="Bookman Old Style" w:hAnsi="Bookman Old Style"/>
          <w:i/>
          <w:sz w:val="24"/>
          <w:u w:val="single"/>
        </w:rPr>
        <w:t>itself.</w:t>
      </w:r>
      <w:r>
        <w:rPr>
          <w:rFonts w:ascii="Bookman Old Style" w:hAnsi="Bookman Old Style"/>
          <w:i/>
          <w:sz w:val="24"/>
        </w:rPr>
        <w:t xml:space="preserve"> Unless such practises are found </w:t>
      </w:r>
      <w:r>
        <w:rPr>
          <w:rFonts w:ascii="Bookman Old Style" w:hAnsi="Bookman Old Style"/>
          <w:i/>
          <w:spacing w:val="-3"/>
          <w:sz w:val="24"/>
        </w:rPr>
        <w:t xml:space="preserve">to </w:t>
      </w:r>
      <w:r>
        <w:rPr>
          <w:rFonts w:ascii="Bookman Old Style" w:hAnsi="Bookman Old Style"/>
          <w:i/>
          <w:sz w:val="24"/>
        </w:rPr>
        <w:t xml:space="preserve">constitute an essential and integral part of a religion their claim </w:t>
      </w:r>
      <w:r>
        <w:rPr>
          <w:rFonts w:ascii="Bookman Old Style" w:hAnsi="Bookman Old Style"/>
          <w:i/>
          <w:spacing w:val="2"/>
          <w:sz w:val="24"/>
        </w:rPr>
        <w:t xml:space="preserve">for </w:t>
      </w:r>
      <w:r>
        <w:rPr>
          <w:rFonts w:ascii="Bookman Old Style" w:hAnsi="Bookman Old Style"/>
          <w:i/>
          <w:sz w:val="24"/>
        </w:rPr>
        <w:t xml:space="preserve">the protection under Article 26 may have to be carefully scrutinised; </w:t>
      </w:r>
      <w:r>
        <w:rPr>
          <w:rFonts w:ascii="Bookman Old Style" w:hAnsi="Bookman Old Style"/>
          <w:i/>
          <w:sz w:val="24"/>
          <w:u w:val="single"/>
        </w:rPr>
        <w:t>in other</w:t>
      </w:r>
      <w:r>
        <w:rPr>
          <w:rFonts w:ascii="Bookman Old Style" w:hAnsi="Bookman Old Style"/>
          <w:i/>
          <w:sz w:val="24"/>
        </w:rPr>
        <w:t xml:space="preserve"> </w:t>
      </w:r>
      <w:r>
        <w:rPr>
          <w:rFonts w:ascii="Bookman Old Style" w:hAnsi="Bookman Old Style"/>
          <w:i/>
          <w:sz w:val="24"/>
          <w:u w:val="single"/>
        </w:rPr>
        <w:t xml:space="preserve">words, the protection must be confined </w:t>
      </w:r>
      <w:r>
        <w:rPr>
          <w:rFonts w:ascii="Bookman Old Style" w:hAnsi="Bookman Old Style"/>
          <w:i/>
          <w:spacing w:val="-3"/>
          <w:sz w:val="24"/>
          <w:u w:val="single"/>
        </w:rPr>
        <w:t xml:space="preserve">to </w:t>
      </w:r>
      <w:r>
        <w:rPr>
          <w:rFonts w:ascii="Bookman Old Style" w:hAnsi="Bookman Old Style"/>
          <w:i/>
          <w:sz w:val="24"/>
          <w:u w:val="single"/>
        </w:rPr>
        <w:t>such religious</w:t>
      </w:r>
      <w:r>
        <w:rPr>
          <w:rFonts w:ascii="Bookman Old Style" w:hAnsi="Bookman Old Style"/>
          <w:i/>
          <w:sz w:val="24"/>
        </w:rPr>
        <w:t xml:space="preserve"> </w:t>
      </w:r>
      <w:r>
        <w:rPr>
          <w:rFonts w:ascii="Bookman Old Style" w:hAnsi="Bookman Old Style"/>
          <w:i/>
          <w:sz w:val="24"/>
          <w:u w:val="single"/>
        </w:rPr>
        <w:t>practises as are an essential and an integral part of it and no</w:t>
      </w:r>
      <w:r>
        <w:rPr>
          <w:rFonts w:ascii="Bookman Old Style" w:hAnsi="Bookman Old Style"/>
          <w:i/>
          <w:sz w:val="24"/>
        </w:rPr>
        <w:t xml:space="preserve"> </w:t>
      </w:r>
      <w:r>
        <w:rPr>
          <w:rFonts w:ascii="Bookman Old Style" w:hAnsi="Bookman Old Style"/>
          <w:i/>
          <w:sz w:val="24"/>
          <w:u w:val="single"/>
        </w:rPr>
        <w:t>other.</w:t>
      </w:r>
      <w:r>
        <w:rPr>
          <w:rFonts w:ascii="Bookman Old Style" w:hAnsi="Bookman Old Style"/>
          <w:sz w:val="24"/>
        </w:rPr>
        <w:t>”</w:t>
      </w:r>
    </w:p>
    <w:p w:rsidR="003B2FC0" w:rsidRDefault="00052A49">
      <w:pPr>
        <w:ind w:left="6658"/>
        <w:rPr>
          <w:rFonts w:ascii="Bookman Old Style"/>
          <w:sz w:val="24"/>
        </w:rPr>
      </w:pPr>
      <w:r>
        <w:rPr>
          <w:rFonts w:ascii="Bookman Old Style"/>
          <w:sz w:val="24"/>
        </w:rPr>
        <w:t>(Emphasis supplied)</w:t>
      </w:r>
    </w:p>
    <w:p w:rsidR="003B2FC0" w:rsidRDefault="003B2FC0">
      <w:pPr>
        <w:pStyle w:val="BodyText"/>
        <w:spacing w:before="3"/>
        <w:rPr>
          <w:sz w:val="24"/>
        </w:rPr>
      </w:pPr>
    </w:p>
    <w:p w:rsidR="003B2FC0" w:rsidRDefault="00052A49">
      <w:pPr>
        <w:spacing w:line="480" w:lineRule="auto"/>
        <w:ind w:left="1252" w:right="453" w:firstLine="424"/>
        <w:jc w:val="both"/>
        <w:rPr>
          <w:rFonts w:ascii="Bookman Old Style" w:hAnsi="Bookman Old Style"/>
          <w:sz w:val="24"/>
        </w:rPr>
      </w:pPr>
      <w:r>
        <w:rPr>
          <w:rFonts w:ascii="Bookman Old Style" w:hAnsi="Bookman Old Style"/>
          <w:sz w:val="24"/>
        </w:rPr>
        <w:t>This Court affirmed the ‘es</w:t>
      </w:r>
      <w:r>
        <w:rPr>
          <w:rFonts w:ascii="Bookman Old Style" w:hAnsi="Bookman Old Style"/>
          <w:sz w:val="24"/>
        </w:rPr>
        <w:t xml:space="preserve">sential practises test’ as laid in the previous decisions in </w:t>
      </w:r>
      <w:r>
        <w:rPr>
          <w:rFonts w:ascii="Bookman Old Style" w:hAnsi="Bookman Old Style"/>
          <w:i/>
          <w:sz w:val="24"/>
        </w:rPr>
        <w:t xml:space="preserve">Commissioner, Hindu Religious Endowments, Madras </w:t>
      </w:r>
      <w:r>
        <w:rPr>
          <w:rFonts w:ascii="Bookman Old Style" w:hAnsi="Bookman Old Style"/>
          <w:sz w:val="24"/>
        </w:rPr>
        <w:t xml:space="preserve">v. </w:t>
      </w:r>
      <w:r>
        <w:rPr>
          <w:rFonts w:ascii="Bookman Old Style" w:hAnsi="Bookman Old Style"/>
          <w:i/>
          <w:sz w:val="24"/>
        </w:rPr>
        <w:t>Sri Lakshmindra Thirtha Swamiar of Sri Shirur Mutt (</w:t>
      </w:r>
      <w:r>
        <w:rPr>
          <w:rFonts w:ascii="Bookman Old Style" w:hAnsi="Bookman Old Style"/>
          <w:sz w:val="24"/>
        </w:rPr>
        <w:t xml:space="preserve">supra), and </w:t>
      </w:r>
      <w:r>
        <w:rPr>
          <w:rFonts w:ascii="Bookman Old Style" w:hAnsi="Bookman Old Style"/>
          <w:i/>
          <w:sz w:val="24"/>
        </w:rPr>
        <w:t xml:space="preserve">Ratilal Panachand Gandhi </w:t>
      </w:r>
      <w:r>
        <w:rPr>
          <w:rFonts w:ascii="Bookman Old Style" w:hAnsi="Bookman Old Style"/>
          <w:sz w:val="24"/>
        </w:rPr>
        <w:t xml:space="preserve">v. </w:t>
      </w:r>
      <w:r>
        <w:rPr>
          <w:rFonts w:ascii="Bookman Old Style" w:hAnsi="Bookman Old Style"/>
          <w:i/>
          <w:sz w:val="24"/>
        </w:rPr>
        <w:t xml:space="preserve">The State of Bombay &amp; Ors. </w:t>
      </w:r>
      <w:r>
        <w:rPr>
          <w:rFonts w:ascii="Bookman Old Style" w:hAnsi="Bookman Old Style"/>
          <w:sz w:val="24"/>
        </w:rPr>
        <w:t>(supra) insofar as it em</w:t>
      </w:r>
      <w:r>
        <w:rPr>
          <w:rFonts w:ascii="Bookman Old Style" w:hAnsi="Bookman Old Style"/>
          <w:sz w:val="24"/>
        </w:rPr>
        <w:t>phasised on the autonomy of religions to identify essential or integral</w:t>
      </w:r>
      <w:r>
        <w:rPr>
          <w:rFonts w:ascii="Bookman Old Style" w:hAnsi="Bookman Old Style"/>
          <w:spacing w:val="-1"/>
          <w:sz w:val="24"/>
        </w:rPr>
        <w:t xml:space="preserve"> </w:t>
      </w:r>
      <w:r>
        <w:rPr>
          <w:rFonts w:ascii="Bookman Old Style" w:hAnsi="Bookman Old Style"/>
          <w:sz w:val="24"/>
        </w:rPr>
        <w:t>practises.</w:t>
      </w:r>
    </w:p>
    <w:p w:rsidR="003B2FC0" w:rsidRDefault="00052A49">
      <w:pPr>
        <w:pStyle w:val="ListParagraph"/>
        <w:numPr>
          <w:ilvl w:val="1"/>
          <w:numId w:val="4"/>
        </w:numPr>
        <w:tabs>
          <w:tab w:val="left" w:pos="1253"/>
        </w:tabs>
        <w:spacing w:before="1" w:line="480" w:lineRule="auto"/>
        <w:ind w:right="456"/>
        <w:rPr>
          <w:rFonts w:ascii="Bookman Old Style"/>
          <w:sz w:val="24"/>
        </w:rPr>
      </w:pPr>
      <w:r>
        <w:rPr>
          <w:rFonts w:ascii="Bookman Old Style"/>
          <w:sz w:val="24"/>
        </w:rPr>
        <w:t xml:space="preserve">In </w:t>
      </w:r>
      <w:r>
        <w:rPr>
          <w:rFonts w:ascii="Bookman Old Style"/>
          <w:i/>
          <w:sz w:val="24"/>
        </w:rPr>
        <w:t xml:space="preserve">Tilkayat Shri Govindlalji Maharaj etc. </w:t>
      </w:r>
      <w:r>
        <w:rPr>
          <w:rFonts w:ascii="Bookman Old Style"/>
          <w:sz w:val="24"/>
        </w:rPr>
        <w:t xml:space="preserve">v. </w:t>
      </w:r>
      <w:r>
        <w:rPr>
          <w:rFonts w:ascii="Bookman Old Style"/>
          <w:i/>
          <w:sz w:val="24"/>
        </w:rPr>
        <w:t xml:space="preserve">State of Rajasthan &amp; Ors. </w:t>
      </w:r>
      <w:r>
        <w:rPr>
          <w:rFonts w:ascii="Bookman Old Style"/>
          <w:sz w:val="24"/>
        </w:rPr>
        <w:t>(supra), it was clarified that courts will intervene where conflicting evidence is produced in respect</w:t>
      </w:r>
      <w:r>
        <w:rPr>
          <w:rFonts w:ascii="Bookman Old Style"/>
          <w:sz w:val="24"/>
        </w:rPr>
        <w:t xml:space="preserve"> of rival contentions as to competing religious practises. It was held</w:t>
      </w:r>
      <w:r>
        <w:rPr>
          <w:rFonts w:ascii="Bookman Old Style"/>
          <w:spacing w:val="-4"/>
          <w:sz w:val="24"/>
        </w:rPr>
        <w:t xml:space="preserve"> </w:t>
      </w:r>
      <w:r>
        <w:rPr>
          <w:rFonts w:ascii="Bookman Old Style"/>
          <w:sz w:val="24"/>
        </w:rPr>
        <w:t>that:</w:t>
      </w:r>
    </w:p>
    <w:p w:rsidR="003B2FC0" w:rsidRDefault="00052A49">
      <w:pPr>
        <w:ind w:left="1677" w:right="830"/>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57. </w:t>
      </w:r>
      <w:r>
        <w:rPr>
          <w:rFonts w:ascii="Bookman Old Style" w:hAnsi="Bookman Old Style"/>
          <w:i/>
          <w:spacing w:val="-3"/>
          <w:sz w:val="24"/>
        </w:rPr>
        <w:t xml:space="preserve">In </w:t>
      </w:r>
      <w:r>
        <w:rPr>
          <w:rFonts w:ascii="Bookman Old Style" w:hAnsi="Bookman Old Style"/>
          <w:i/>
          <w:sz w:val="24"/>
        </w:rPr>
        <w:t xml:space="preserve">deciding the question as </w:t>
      </w:r>
      <w:r>
        <w:rPr>
          <w:rFonts w:ascii="Bookman Old Style" w:hAnsi="Bookman Old Style"/>
          <w:i/>
          <w:spacing w:val="-3"/>
          <w:sz w:val="24"/>
        </w:rPr>
        <w:t xml:space="preserve">to </w:t>
      </w:r>
      <w:r>
        <w:rPr>
          <w:rFonts w:ascii="Bookman Old Style" w:hAnsi="Bookman Old Style"/>
          <w:i/>
          <w:sz w:val="24"/>
        </w:rPr>
        <w:t>whether</w:t>
      </w:r>
      <w:r>
        <w:rPr>
          <w:rFonts w:ascii="Bookman Old Style" w:hAnsi="Bookman Old Style"/>
          <w:i/>
          <w:sz w:val="24"/>
          <w:u w:val="single"/>
        </w:rPr>
        <w:t xml:space="preserve"> a given religious</w:t>
      </w:r>
      <w:r>
        <w:rPr>
          <w:rFonts w:ascii="Bookman Old Style" w:hAnsi="Bookman Old Style"/>
          <w:i/>
          <w:sz w:val="24"/>
        </w:rPr>
        <w:t xml:space="preserve"> </w:t>
      </w:r>
      <w:r>
        <w:rPr>
          <w:rFonts w:ascii="Bookman Old Style" w:hAnsi="Bookman Old Style"/>
          <w:i/>
          <w:sz w:val="24"/>
          <w:u w:val="single"/>
        </w:rPr>
        <w:t>practise is an integral part of the religion or not, the test always</w:t>
      </w:r>
      <w:r>
        <w:rPr>
          <w:rFonts w:ascii="Bookman Old Style" w:hAnsi="Bookman Old Style"/>
          <w:i/>
          <w:sz w:val="24"/>
        </w:rPr>
        <w:t xml:space="preserve"> </w:t>
      </w:r>
      <w:r>
        <w:rPr>
          <w:rFonts w:ascii="Bookman Old Style" w:hAnsi="Bookman Old Style"/>
          <w:i/>
          <w:sz w:val="24"/>
          <w:u w:val="single"/>
        </w:rPr>
        <w:t>would be whether it is regarded as such by the community</w:t>
      </w:r>
      <w:r>
        <w:rPr>
          <w:rFonts w:ascii="Bookman Old Style" w:hAnsi="Bookman Old Style"/>
          <w:i/>
          <w:sz w:val="24"/>
        </w:rPr>
        <w:t xml:space="preserve"> </w:t>
      </w:r>
      <w:r>
        <w:rPr>
          <w:rFonts w:ascii="Bookman Old Style" w:hAnsi="Bookman Old Style"/>
          <w:i/>
          <w:sz w:val="24"/>
          <w:u w:val="single"/>
        </w:rPr>
        <w:t>following the religion or not.</w:t>
      </w:r>
      <w:r>
        <w:rPr>
          <w:rFonts w:ascii="Bookman Old Style" w:hAnsi="Bookman Old Style"/>
          <w:i/>
          <w:sz w:val="24"/>
        </w:rPr>
        <w:t xml:space="preserve"> This formula may in some cases present difficulties in its operation. Take the case of a practise in relation to food or dress. </w:t>
      </w:r>
      <w:r>
        <w:rPr>
          <w:rFonts w:ascii="Bookman Old Style" w:hAnsi="Bookman Old Style"/>
          <w:i/>
          <w:spacing w:val="-4"/>
          <w:sz w:val="24"/>
        </w:rPr>
        <w:t xml:space="preserve">If </w:t>
      </w:r>
      <w:r>
        <w:rPr>
          <w:rFonts w:ascii="Bookman Old Style" w:hAnsi="Bookman Old Style"/>
          <w:i/>
          <w:spacing w:val="-3"/>
          <w:sz w:val="24"/>
        </w:rPr>
        <w:t xml:space="preserve">in </w:t>
      </w:r>
      <w:r>
        <w:rPr>
          <w:rFonts w:ascii="Bookman Old Style" w:hAnsi="Bookman Old Style"/>
          <w:i/>
          <w:sz w:val="24"/>
        </w:rPr>
        <w:t>a given proceeding, one section of</w:t>
      </w:r>
      <w:r>
        <w:rPr>
          <w:rFonts w:ascii="Bookman Old Style" w:hAnsi="Bookman Old Style"/>
          <w:i/>
          <w:sz w:val="24"/>
        </w:rPr>
        <w:t xml:space="preserve"> the community claims that while performing certain rites white dress is an integral part of the religion itself, whereas another section contends that yellow dress and not the white dress </w:t>
      </w:r>
      <w:r>
        <w:rPr>
          <w:rFonts w:ascii="Bookman Old Style" w:hAnsi="Bookman Old Style"/>
          <w:i/>
          <w:spacing w:val="-3"/>
          <w:sz w:val="24"/>
        </w:rPr>
        <w:t xml:space="preserve">is </w:t>
      </w:r>
      <w:r>
        <w:rPr>
          <w:rFonts w:ascii="Bookman Old Style" w:hAnsi="Bookman Old Style"/>
          <w:i/>
          <w:sz w:val="24"/>
        </w:rPr>
        <w:t>the essential part of religion, how is the Court going to decide</w:t>
      </w:r>
      <w:r>
        <w:rPr>
          <w:rFonts w:ascii="Bookman Old Style" w:hAnsi="Bookman Old Style"/>
          <w:i/>
          <w:sz w:val="24"/>
        </w:rPr>
        <w:t xml:space="preserve"> the question? Similar disputes may arise in regard to food. </w:t>
      </w:r>
      <w:r>
        <w:rPr>
          <w:rFonts w:ascii="Bookman Old Style" w:hAnsi="Bookman Old Style"/>
          <w:i/>
          <w:spacing w:val="-3"/>
          <w:sz w:val="24"/>
          <w:u w:val="single"/>
        </w:rPr>
        <w:t xml:space="preserve">In </w:t>
      </w:r>
      <w:r>
        <w:rPr>
          <w:rFonts w:ascii="Bookman Old Style" w:hAnsi="Bookman Old Style"/>
          <w:i/>
          <w:sz w:val="24"/>
          <w:u w:val="single"/>
        </w:rPr>
        <w:t>cases where conflicting evidence is produced in respect</w:t>
      </w:r>
      <w:r>
        <w:rPr>
          <w:rFonts w:ascii="Bookman Old Style" w:hAnsi="Bookman Old Style"/>
          <w:i/>
          <w:sz w:val="24"/>
        </w:rPr>
        <w:t xml:space="preserve"> </w:t>
      </w:r>
      <w:r>
        <w:rPr>
          <w:rFonts w:ascii="Bookman Old Style" w:hAnsi="Bookman Old Style"/>
          <w:i/>
          <w:sz w:val="24"/>
          <w:u w:val="single"/>
        </w:rPr>
        <w:t xml:space="preserve">of rival contentions as </w:t>
      </w:r>
      <w:r>
        <w:rPr>
          <w:rFonts w:ascii="Bookman Old Style" w:hAnsi="Bookman Old Style"/>
          <w:i/>
          <w:spacing w:val="-3"/>
          <w:sz w:val="24"/>
          <w:u w:val="single"/>
        </w:rPr>
        <w:t xml:space="preserve">to </w:t>
      </w:r>
      <w:r>
        <w:rPr>
          <w:rFonts w:ascii="Bookman Old Style" w:hAnsi="Bookman Old Style"/>
          <w:i/>
          <w:sz w:val="24"/>
          <w:u w:val="single"/>
        </w:rPr>
        <w:t>competing religious practises the Court</w:t>
      </w:r>
      <w:r>
        <w:rPr>
          <w:rFonts w:ascii="Bookman Old Style" w:hAnsi="Bookman Old Style"/>
          <w:i/>
          <w:sz w:val="24"/>
        </w:rPr>
        <w:t xml:space="preserve"> </w:t>
      </w:r>
      <w:r>
        <w:rPr>
          <w:rFonts w:ascii="Bookman Old Style" w:hAnsi="Bookman Old Style"/>
          <w:i/>
          <w:sz w:val="24"/>
          <w:u w:val="single"/>
        </w:rPr>
        <w:t>may</w:t>
      </w:r>
      <w:r>
        <w:rPr>
          <w:rFonts w:ascii="Bookman Old Style" w:hAnsi="Bookman Old Style"/>
          <w:i/>
          <w:spacing w:val="8"/>
          <w:sz w:val="24"/>
          <w:u w:val="single"/>
        </w:rPr>
        <w:t xml:space="preserve"> </w:t>
      </w:r>
      <w:r>
        <w:rPr>
          <w:rFonts w:ascii="Bookman Old Style" w:hAnsi="Bookman Old Style"/>
          <w:i/>
          <w:sz w:val="24"/>
          <w:u w:val="single"/>
        </w:rPr>
        <w:t>not</w:t>
      </w:r>
      <w:r>
        <w:rPr>
          <w:rFonts w:ascii="Bookman Old Style" w:hAnsi="Bookman Old Style"/>
          <w:i/>
          <w:spacing w:val="8"/>
          <w:sz w:val="24"/>
          <w:u w:val="single"/>
        </w:rPr>
        <w:t xml:space="preserve"> </w:t>
      </w:r>
      <w:r>
        <w:rPr>
          <w:rFonts w:ascii="Bookman Old Style" w:hAnsi="Bookman Old Style"/>
          <w:i/>
          <w:sz w:val="24"/>
          <w:u w:val="single"/>
        </w:rPr>
        <w:t>be</w:t>
      </w:r>
      <w:r>
        <w:rPr>
          <w:rFonts w:ascii="Bookman Old Style" w:hAnsi="Bookman Old Style"/>
          <w:i/>
          <w:spacing w:val="11"/>
          <w:sz w:val="24"/>
          <w:u w:val="single"/>
        </w:rPr>
        <w:t xml:space="preserve"> </w:t>
      </w:r>
      <w:r>
        <w:rPr>
          <w:rFonts w:ascii="Bookman Old Style" w:hAnsi="Bookman Old Style"/>
          <w:i/>
          <w:sz w:val="24"/>
          <w:u w:val="single"/>
        </w:rPr>
        <w:t>able</w:t>
      </w:r>
      <w:r>
        <w:rPr>
          <w:rFonts w:ascii="Bookman Old Style" w:hAnsi="Bookman Old Style"/>
          <w:i/>
          <w:spacing w:val="11"/>
          <w:sz w:val="24"/>
          <w:u w:val="single"/>
        </w:rPr>
        <w:t xml:space="preserve"> </w:t>
      </w:r>
      <w:r>
        <w:rPr>
          <w:rFonts w:ascii="Bookman Old Style" w:hAnsi="Bookman Old Style"/>
          <w:i/>
          <w:sz w:val="24"/>
          <w:u w:val="single"/>
        </w:rPr>
        <w:t>to</w:t>
      </w:r>
      <w:r>
        <w:rPr>
          <w:rFonts w:ascii="Bookman Old Style" w:hAnsi="Bookman Old Style"/>
          <w:i/>
          <w:spacing w:val="8"/>
          <w:sz w:val="24"/>
          <w:u w:val="single"/>
        </w:rPr>
        <w:t xml:space="preserve"> </w:t>
      </w:r>
      <w:r>
        <w:rPr>
          <w:rFonts w:ascii="Bookman Old Style" w:hAnsi="Bookman Old Style"/>
          <w:i/>
          <w:sz w:val="24"/>
          <w:u w:val="single"/>
        </w:rPr>
        <w:t>resolve</w:t>
      </w:r>
      <w:r>
        <w:rPr>
          <w:rFonts w:ascii="Bookman Old Style" w:hAnsi="Bookman Old Style"/>
          <w:i/>
          <w:spacing w:val="11"/>
          <w:sz w:val="24"/>
          <w:u w:val="single"/>
        </w:rPr>
        <w:t xml:space="preserve"> </w:t>
      </w:r>
      <w:r>
        <w:rPr>
          <w:rFonts w:ascii="Bookman Old Style" w:hAnsi="Bookman Old Style"/>
          <w:i/>
          <w:sz w:val="24"/>
          <w:u w:val="single"/>
        </w:rPr>
        <w:t>the</w:t>
      </w:r>
      <w:r>
        <w:rPr>
          <w:rFonts w:ascii="Bookman Old Style" w:hAnsi="Bookman Old Style"/>
          <w:i/>
          <w:spacing w:val="10"/>
          <w:sz w:val="24"/>
          <w:u w:val="single"/>
        </w:rPr>
        <w:t xml:space="preserve"> </w:t>
      </w:r>
      <w:r>
        <w:rPr>
          <w:rFonts w:ascii="Bookman Old Style" w:hAnsi="Bookman Old Style"/>
          <w:i/>
          <w:sz w:val="24"/>
          <w:u w:val="single"/>
        </w:rPr>
        <w:t>dispute</w:t>
      </w:r>
      <w:r>
        <w:rPr>
          <w:rFonts w:ascii="Bookman Old Style" w:hAnsi="Bookman Old Style"/>
          <w:i/>
          <w:spacing w:val="9"/>
          <w:sz w:val="24"/>
          <w:u w:val="single"/>
        </w:rPr>
        <w:t xml:space="preserve"> </w:t>
      </w:r>
      <w:r>
        <w:rPr>
          <w:rFonts w:ascii="Bookman Old Style" w:hAnsi="Bookman Old Style"/>
          <w:i/>
          <w:sz w:val="24"/>
          <w:u w:val="single"/>
        </w:rPr>
        <w:t>by</w:t>
      </w:r>
      <w:r>
        <w:rPr>
          <w:rFonts w:ascii="Bookman Old Style" w:hAnsi="Bookman Old Style"/>
          <w:i/>
          <w:spacing w:val="8"/>
          <w:sz w:val="24"/>
          <w:u w:val="single"/>
        </w:rPr>
        <w:t xml:space="preserve"> </w:t>
      </w:r>
      <w:r>
        <w:rPr>
          <w:rFonts w:ascii="Bookman Old Style" w:hAnsi="Bookman Old Style"/>
          <w:i/>
          <w:sz w:val="24"/>
          <w:u w:val="single"/>
        </w:rPr>
        <w:t>a</w:t>
      </w:r>
      <w:r>
        <w:rPr>
          <w:rFonts w:ascii="Bookman Old Style" w:hAnsi="Bookman Old Style"/>
          <w:i/>
          <w:spacing w:val="8"/>
          <w:sz w:val="24"/>
          <w:u w:val="single"/>
        </w:rPr>
        <w:t xml:space="preserve"> </w:t>
      </w:r>
      <w:r>
        <w:rPr>
          <w:rFonts w:ascii="Bookman Old Style" w:hAnsi="Bookman Old Style"/>
          <w:i/>
          <w:sz w:val="24"/>
          <w:u w:val="single"/>
        </w:rPr>
        <w:t>blind</w:t>
      </w:r>
      <w:r>
        <w:rPr>
          <w:rFonts w:ascii="Bookman Old Style" w:hAnsi="Bookman Old Style"/>
          <w:i/>
          <w:spacing w:val="11"/>
          <w:sz w:val="24"/>
          <w:u w:val="single"/>
        </w:rPr>
        <w:t xml:space="preserve"> </w:t>
      </w:r>
      <w:r>
        <w:rPr>
          <w:rFonts w:ascii="Bookman Old Style" w:hAnsi="Bookman Old Style"/>
          <w:i/>
          <w:sz w:val="24"/>
          <w:u w:val="single"/>
        </w:rPr>
        <w:t>application</w:t>
      </w:r>
      <w:r>
        <w:rPr>
          <w:rFonts w:ascii="Bookman Old Style" w:hAnsi="Bookman Old Style"/>
          <w:i/>
          <w:spacing w:val="10"/>
          <w:sz w:val="24"/>
          <w:u w:val="single"/>
        </w:rPr>
        <w:t xml:space="preserve"> </w:t>
      </w:r>
      <w:r>
        <w:rPr>
          <w:rFonts w:ascii="Bookman Old Style" w:hAnsi="Bookman Old Style"/>
          <w:i/>
          <w:sz w:val="24"/>
          <w:u w:val="single"/>
        </w:rPr>
        <w:t>of</w:t>
      </w:r>
    </w:p>
    <w:p w:rsidR="003B2FC0" w:rsidRDefault="003B2FC0">
      <w:pPr>
        <w:jc w:val="both"/>
        <w:rPr>
          <w:rFonts w:ascii="Bookman Old Style" w:hAnsi="Bookman Old Style"/>
          <w:sz w:val="24"/>
        </w:rPr>
        <w:sectPr w:rsidR="003B2FC0">
          <w:headerReference w:type="default" r:id="rId509"/>
          <w:footerReference w:type="default" r:id="rId510"/>
          <w:pgSz w:w="11910" w:h="16840"/>
          <w:pgMar w:top="1340" w:right="980" w:bottom="1220" w:left="1040" w:header="0" w:footer="1033" w:gutter="0"/>
          <w:pgNumType w:start="58"/>
          <w:cols w:space="720"/>
        </w:sectPr>
      </w:pPr>
    </w:p>
    <w:p w:rsidR="003B2FC0" w:rsidRDefault="00052A49">
      <w:pPr>
        <w:spacing w:before="81"/>
        <w:ind w:left="1677" w:right="835"/>
        <w:jc w:val="both"/>
        <w:rPr>
          <w:rFonts w:ascii="Bookman Old Style"/>
          <w:i/>
          <w:sz w:val="24"/>
        </w:rPr>
      </w:pPr>
      <w:r>
        <w:rPr>
          <w:rFonts w:ascii="Bookman Old Style"/>
          <w:i/>
          <w:sz w:val="24"/>
          <w:u w:val="single"/>
        </w:rPr>
        <w:t>the formula that the community decides which practise in [sic]</w:t>
      </w:r>
      <w:r>
        <w:rPr>
          <w:rFonts w:ascii="Bookman Old Style"/>
          <w:i/>
          <w:sz w:val="24"/>
        </w:rPr>
        <w:t xml:space="preserve"> </w:t>
      </w:r>
      <w:r>
        <w:rPr>
          <w:rFonts w:ascii="Bookman Old Style"/>
          <w:i/>
          <w:sz w:val="24"/>
          <w:u w:val="single"/>
        </w:rPr>
        <w:t>an integral part of its religion, because the community may</w:t>
      </w:r>
      <w:r>
        <w:rPr>
          <w:rFonts w:ascii="Bookman Old Style"/>
          <w:i/>
          <w:sz w:val="24"/>
        </w:rPr>
        <w:t xml:space="preserve"> </w:t>
      </w:r>
      <w:r>
        <w:rPr>
          <w:rFonts w:ascii="Bookman Old Style"/>
          <w:i/>
          <w:sz w:val="24"/>
          <w:u w:val="single"/>
        </w:rPr>
        <w:t xml:space="preserve">speak </w:t>
      </w:r>
      <w:r>
        <w:rPr>
          <w:rFonts w:ascii="Bookman Old Style"/>
          <w:i/>
          <w:spacing w:val="-3"/>
          <w:sz w:val="24"/>
          <w:u w:val="single"/>
        </w:rPr>
        <w:t xml:space="preserve">with </w:t>
      </w:r>
      <w:r>
        <w:rPr>
          <w:rFonts w:ascii="Bookman Old Style"/>
          <w:i/>
          <w:sz w:val="24"/>
          <w:u w:val="single"/>
        </w:rPr>
        <w:t>more than one voice and the formula would,</w:t>
      </w:r>
      <w:r>
        <w:rPr>
          <w:rFonts w:ascii="Bookman Old Style"/>
          <w:i/>
          <w:sz w:val="24"/>
        </w:rPr>
        <w:t xml:space="preserve"> </w:t>
      </w:r>
      <w:r>
        <w:rPr>
          <w:rFonts w:ascii="Bookman Old Style"/>
          <w:i/>
          <w:sz w:val="24"/>
          <w:u w:val="single"/>
        </w:rPr>
        <w:t>therefore, break down. This question wil</w:t>
      </w:r>
      <w:r>
        <w:rPr>
          <w:rFonts w:ascii="Bookman Old Style"/>
          <w:i/>
          <w:sz w:val="24"/>
          <w:u w:val="single"/>
        </w:rPr>
        <w:t>l always have to be</w:t>
      </w:r>
      <w:r>
        <w:rPr>
          <w:rFonts w:ascii="Bookman Old Style"/>
          <w:i/>
          <w:sz w:val="24"/>
        </w:rPr>
        <w:t xml:space="preserve"> </w:t>
      </w:r>
      <w:r>
        <w:rPr>
          <w:rFonts w:ascii="Bookman Old Style"/>
          <w:i/>
          <w:sz w:val="24"/>
          <w:u w:val="single"/>
        </w:rPr>
        <w:t>decided by the Court and in doing so, the Court may have to</w:t>
      </w:r>
      <w:r>
        <w:rPr>
          <w:rFonts w:ascii="Bookman Old Style"/>
          <w:i/>
          <w:sz w:val="24"/>
        </w:rPr>
        <w:t xml:space="preserve"> </w:t>
      </w:r>
      <w:r>
        <w:rPr>
          <w:rFonts w:ascii="Bookman Old Style"/>
          <w:i/>
          <w:sz w:val="24"/>
          <w:u w:val="single"/>
        </w:rPr>
        <w:t xml:space="preserve">enquire whether the practise in question is religious </w:t>
      </w:r>
      <w:r>
        <w:rPr>
          <w:rFonts w:ascii="Bookman Old Style"/>
          <w:i/>
          <w:spacing w:val="-3"/>
          <w:sz w:val="24"/>
          <w:u w:val="single"/>
        </w:rPr>
        <w:t>in</w:t>
      </w:r>
      <w:r>
        <w:rPr>
          <w:rFonts w:ascii="Bookman Old Style"/>
          <w:i/>
          <w:spacing w:val="-3"/>
          <w:sz w:val="24"/>
        </w:rPr>
        <w:t xml:space="preserve"> </w:t>
      </w:r>
      <w:r>
        <w:rPr>
          <w:rFonts w:ascii="Bookman Old Style"/>
          <w:i/>
          <w:sz w:val="24"/>
          <w:u w:val="single"/>
        </w:rPr>
        <w:t xml:space="preserve">character, and </w:t>
      </w:r>
      <w:r>
        <w:rPr>
          <w:rFonts w:ascii="Bookman Old Style"/>
          <w:i/>
          <w:spacing w:val="-3"/>
          <w:sz w:val="24"/>
          <w:u w:val="single"/>
        </w:rPr>
        <w:t xml:space="preserve">if </w:t>
      </w:r>
      <w:r>
        <w:rPr>
          <w:rFonts w:ascii="Bookman Old Style"/>
          <w:i/>
          <w:sz w:val="24"/>
          <w:u w:val="single"/>
        </w:rPr>
        <w:t>it is, whether it can be regarded as an integral</w:t>
      </w:r>
      <w:r>
        <w:rPr>
          <w:rFonts w:ascii="Bookman Old Style"/>
          <w:i/>
          <w:sz w:val="24"/>
        </w:rPr>
        <w:t xml:space="preserve"> </w:t>
      </w:r>
      <w:r>
        <w:rPr>
          <w:rFonts w:ascii="Bookman Old Style"/>
          <w:i/>
          <w:sz w:val="24"/>
          <w:u w:val="single"/>
        </w:rPr>
        <w:t>or essential part of the religion, and the finding o</w:t>
      </w:r>
      <w:r>
        <w:rPr>
          <w:rFonts w:ascii="Bookman Old Style"/>
          <w:i/>
          <w:sz w:val="24"/>
          <w:u w:val="single"/>
        </w:rPr>
        <w:t>f the Court on</w:t>
      </w:r>
      <w:r>
        <w:rPr>
          <w:rFonts w:ascii="Bookman Old Style"/>
          <w:i/>
          <w:sz w:val="24"/>
        </w:rPr>
        <w:t xml:space="preserve"> </w:t>
      </w:r>
      <w:r>
        <w:rPr>
          <w:rFonts w:ascii="Bookman Old Style"/>
          <w:i/>
          <w:sz w:val="24"/>
          <w:u w:val="single"/>
        </w:rPr>
        <w:t xml:space="preserve">such </w:t>
      </w:r>
      <w:r>
        <w:rPr>
          <w:rFonts w:ascii="Bookman Old Style"/>
          <w:i/>
          <w:spacing w:val="-3"/>
          <w:sz w:val="24"/>
          <w:u w:val="single"/>
        </w:rPr>
        <w:t xml:space="preserve">an </w:t>
      </w:r>
      <w:r>
        <w:rPr>
          <w:rFonts w:ascii="Bookman Old Style"/>
          <w:i/>
          <w:sz w:val="24"/>
          <w:u w:val="single"/>
        </w:rPr>
        <w:t xml:space="preserve">issue </w:t>
      </w:r>
      <w:r>
        <w:rPr>
          <w:rFonts w:ascii="Bookman Old Style"/>
          <w:i/>
          <w:spacing w:val="-3"/>
          <w:sz w:val="24"/>
          <w:u w:val="single"/>
        </w:rPr>
        <w:t xml:space="preserve">will </w:t>
      </w:r>
      <w:r>
        <w:rPr>
          <w:rFonts w:ascii="Bookman Old Style"/>
          <w:i/>
          <w:sz w:val="24"/>
          <w:u w:val="single"/>
        </w:rPr>
        <w:t>always depend upon the evidence adduced</w:t>
      </w:r>
      <w:r>
        <w:rPr>
          <w:rFonts w:ascii="Bookman Old Style"/>
          <w:i/>
          <w:sz w:val="24"/>
        </w:rPr>
        <w:t xml:space="preserve"> </w:t>
      </w:r>
      <w:r>
        <w:rPr>
          <w:rFonts w:ascii="Bookman Old Style"/>
          <w:i/>
          <w:sz w:val="24"/>
          <w:u w:val="single"/>
        </w:rPr>
        <w:t>before it as to the conscience of the community and the tenets</w:t>
      </w:r>
      <w:r>
        <w:rPr>
          <w:rFonts w:ascii="Bookman Old Style"/>
          <w:i/>
          <w:spacing w:val="-9"/>
          <w:sz w:val="24"/>
          <w:u w:val="single"/>
        </w:rPr>
        <w:t xml:space="preserve"> </w:t>
      </w:r>
      <w:r>
        <w:rPr>
          <w:rFonts w:ascii="Bookman Old Style"/>
          <w:i/>
          <w:spacing w:val="-3"/>
          <w:sz w:val="24"/>
          <w:u w:val="single"/>
        </w:rPr>
        <w:t>of</w:t>
      </w:r>
    </w:p>
    <w:p w:rsidR="003B2FC0" w:rsidRDefault="00052A49">
      <w:pPr>
        <w:spacing w:line="281" w:lineRule="exact"/>
        <w:ind w:left="1677"/>
        <w:jc w:val="both"/>
        <w:rPr>
          <w:rFonts w:ascii="Bookman Old Style" w:hAnsi="Bookman Old Style"/>
          <w:sz w:val="24"/>
        </w:rPr>
      </w:pPr>
      <w:r>
        <w:rPr>
          <w:rFonts w:ascii="Times New Roman" w:hAnsi="Times New Roman"/>
          <w:spacing w:val="-60"/>
          <w:sz w:val="24"/>
          <w:u w:val="single"/>
        </w:rPr>
        <w:t xml:space="preserve"> </w:t>
      </w:r>
      <w:r>
        <w:rPr>
          <w:rFonts w:ascii="Bookman Old Style" w:hAnsi="Bookman Old Style"/>
          <w:i/>
          <w:sz w:val="24"/>
          <w:u w:val="single"/>
        </w:rPr>
        <w:t>its religion…</w:t>
      </w:r>
      <w:r>
        <w:rPr>
          <w:rFonts w:ascii="Bookman Old Style" w:hAnsi="Bookman Old Style"/>
          <w:sz w:val="24"/>
        </w:rPr>
        <w:t>”</w:t>
      </w:r>
    </w:p>
    <w:p w:rsidR="003B2FC0" w:rsidRDefault="00052A49">
      <w:pPr>
        <w:ind w:left="6658"/>
        <w:rPr>
          <w:rFonts w:ascii="Bookman Old Style"/>
          <w:sz w:val="24"/>
        </w:rPr>
      </w:pPr>
      <w:r>
        <w:rPr>
          <w:rFonts w:ascii="Bookman Old Style"/>
          <w:sz w:val="24"/>
        </w:rPr>
        <w:t>(Emphasis supplied)</w:t>
      </w:r>
    </w:p>
    <w:p w:rsidR="003B2FC0" w:rsidRDefault="003B2FC0">
      <w:pPr>
        <w:pStyle w:val="BodyText"/>
      </w:pPr>
    </w:p>
    <w:p w:rsidR="003B2FC0" w:rsidRDefault="00052A49">
      <w:pPr>
        <w:pStyle w:val="ListParagraph"/>
        <w:numPr>
          <w:ilvl w:val="1"/>
          <w:numId w:val="4"/>
        </w:numPr>
        <w:tabs>
          <w:tab w:val="left" w:pos="1253"/>
        </w:tabs>
        <w:spacing w:before="238" w:line="480" w:lineRule="auto"/>
        <w:ind w:right="453"/>
        <w:rPr>
          <w:rFonts w:ascii="Bookman Old Style" w:hAnsi="Bookman Old Style"/>
          <w:sz w:val="24"/>
        </w:rPr>
      </w:pPr>
      <w:r>
        <w:rPr>
          <w:rFonts w:ascii="Bookman Old Style" w:hAnsi="Bookman Old Style"/>
          <w:sz w:val="24"/>
        </w:rPr>
        <w:t xml:space="preserve">In </w:t>
      </w:r>
      <w:r>
        <w:rPr>
          <w:rFonts w:ascii="Bookman Old Style" w:hAnsi="Bookman Old Style"/>
          <w:i/>
          <w:sz w:val="24"/>
        </w:rPr>
        <w:t xml:space="preserve">Bijoe Emmanuel &amp; Ors. </w:t>
      </w:r>
      <w:r>
        <w:rPr>
          <w:rFonts w:ascii="Bookman Old Style" w:hAnsi="Bookman Old Style"/>
          <w:sz w:val="24"/>
        </w:rPr>
        <w:t xml:space="preserve">v. </w:t>
      </w:r>
      <w:r>
        <w:rPr>
          <w:rFonts w:ascii="Bookman Old Style" w:hAnsi="Bookman Old Style"/>
          <w:i/>
          <w:sz w:val="24"/>
        </w:rPr>
        <w:t xml:space="preserve">State of Kerala &amp; Ors. </w:t>
      </w:r>
      <w:r>
        <w:rPr>
          <w:rFonts w:ascii="Bookman Old Style" w:hAnsi="Bookman Old Style"/>
          <w:sz w:val="24"/>
        </w:rPr>
        <w:t>(supra), this Court emphasised that for a religious practise to receive protection under Article 25(1) it must be “genuinely”, and “conscientiously” held by persons claiming such rights. This Court had noted that such religious beliefs and practises must b</w:t>
      </w:r>
      <w:r>
        <w:rPr>
          <w:rFonts w:ascii="Bookman Old Style" w:hAnsi="Bookman Old Style"/>
          <w:sz w:val="24"/>
        </w:rPr>
        <w:t>e consistently and not “idly” held, and should not emanate out of “perversity”. In doing so, it re- affirmed that the Constitutional fabric of our country permits religious beliefs and practises to exist, regardless of whether or not they appeal to the rat</w:t>
      </w:r>
      <w:r>
        <w:rPr>
          <w:rFonts w:ascii="Bookman Old Style" w:hAnsi="Bookman Old Style"/>
          <w:sz w:val="24"/>
        </w:rPr>
        <w:t>ional sensibilities of this Court, or</w:t>
      </w:r>
      <w:r>
        <w:rPr>
          <w:rFonts w:ascii="Bookman Old Style" w:hAnsi="Bookman Old Style"/>
          <w:spacing w:val="-7"/>
          <w:sz w:val="24"/>
        </w:rPr>
        <w:t xml:space="preserve"> </w:t>
      </w:r>
      <w:r>
        <w:rPr>
          <w:rFonts w:ascii="Bookman Old Style" w:hAnsi="Bookman Old Style"/>
          <w:sz w:val="24"/>
        </w:rPr>
        <w:t>others.</w:t>
      </w:r>
    </w:p>
    <w:p w:rsidR="003B2FC0" w:rsidRDefault="003B2FC0">
      <w:pPr>
        <w:spacing w:line="480" w:lineRule="auto"/>
        <w:ind w:left="1252" w:right="453" w:firstLine="424"/>
        <w:jc w:val="both"/>
        <w:rPr>
          <w:rFonts w:ascii="Bookman Old Style"/>
          <w:sz w:val="24"/>
        </w:rPr>
      </w:pPr>
      <w:r w:rsidRPr="003B2FC0">
        <w:pict>
          <v:line id="_x0000_s1031" style="position:absolute;left:0;text-align:left;z-index:251681280;mso-wrap-distance-left:0;mso-wrap-distance-right:0;mso-position-horizontal-relative:page" from="1in,230pt" to="216.05pt,230pt" strokeweight=".72pt">
            <w10:wrap type="topAndBottom" anchorx="page"/>
          </v:line>
        </w:pict>
      </w:r>
      <w:r w:rsidR="00052A49">
        <w:rPr>
          <w:rFonts w:ascii="Bookman Old Style"/>
          <w:sz w:val="24"/>
        </w:rPr>
        <w:t xml:space="preserve">It would also be instructive to refer to the decision of  the Supreme Court of Alaska in </w:t>
      </w:r>
      <w:r w:rsidR="00052A49">
        <w:rPr>
          <w:rFonts w:ascii="Bookman Old Style"/>
          <w:i/>
          <w:sz w:val="24"/>
        </w:rPr>
        <w:t xml:space="preserve">Carlos Frank </w:t>
      </w:r>
      <w:r w:rsidR="00052A49">
        <w:rPr>
          <w:rFonts w:ascii="Bookman Old Style"/>
          <w:sz w:val="24"/>
        </w:rPr>
        <w:t xml:space="preserve">v. </w:t>
      </w:r>
      <w:r w:rsidR="00052A49">
        <w:rPr>
          <w:rFonts w:ascii="Bookman Old Style"/>
          <w:i/>
          <w:sz w:val="24"/>
        </w:rPr>
        <w:t>State of Alaska</w:t>
      </w:r>
      <w:r w:rsidR="00052A49">
        <w:rPr>
          <w:rFonts w:ascii="Bookman Old Style"/>
          <w:position w:val="6"/>
          <w:sz w:val="16"/>
        </w:rPr>
        <w:t xml:space="preserve">51 </w:t>
      </w:r>
      <w:r w:rsidR="00052A49">
        <w:rPr>
          <w:rFonts w:ascii="Bookman Old Style"/>
          <w:sz w:val="24"/>
        </w:rPr>
        <w:t>wherein the use of moose meat at a funeral potlatch, a religious ceremony, was held to</w:t>
      </w:r>
      <w:r w:rsidR="00052A49">
        <w:rPr>
          <w:rFonts w:ascii="Bookman Old Style"/>
          <w:sz w:val="24"/>
        </w:rPr>
        <w:t xml:space="preserve"> be a practise deeply rooted in religion, based on the evidence adduced before the District Court. The Court had noted that the State of Alaska had failed to illustrate any compelling interest which would justify its curtailment, with the result that the c</w:t>
      </w:r>
      <w:r w:rsidR="00052A49">
        <w:rPr>
          <w:rFonts w:ascii="Bookman Old Style"/>
          <w:sz w:val="24"/>
        </w:rPr>
        <w:t xml:space="preserve">ase </w:t>
      </w:r>
      <w:r w:rsidR="00052A49">
        <w:rPr>
          <w:rFonts w:ascii="Bookman Old Style"/>
          <w:spacing w:val="-4"/>
          <w:sz w:val="24"/>
        </w:rPr>
        <w:t xml:space="preserve">was </w:t>
      </w:r>
      <w:r w:rsidR="00052A49">
        <w:rPr>
          <w:rFonts w:ascii="Bookman Old Style"/>
          <w:sz w:val="24"/>
        </w:rPr>
        <w:t>remanded</w:t>
      </w:r>
      <w:r w:rsidR="00052A49">
        <w:rPr>
          <w:rFonts w:ascii="Bookman Old Style"/>
          <w:spacing w:val="25"/>
          <w:sz w:val="24"/>
        </w:rPr>
        <w:t xml:space="preserve"> </w:t>
      </w:r>
      <w:r w:rsidR="00052A49">
        <w:rPr>
          <w:rFonts w:ascii="Bookman Old Style"/>
          <w:sz w:val="24"/>
        </w:rPr>
        <w:t>with</w:t>
      </w:r>
      <w:r w:rsidR="00052A49">
        <w:rPr>
          <w:rFonts w:ascii="Bookman Old Style"/>
          <w:spacing w:val="26"/>
          <w:sz w:val="24"/>
        </w:rPr>
        <w:t xml:space="preserve"> </w:t>
      </w:r>
      <w:r w:rsidR="00052A49">
        <w:rPr>
          <w:rFonts w:ascii="Bookman Old Style"/>
          <w:sz w:val="24"/>
        </w:rPr>
        <w:t>instructions</w:t>
      </w:r>
      <w:r w:rsidR="00052A49">
        <w:rPr>
          <w:rFonts w:ascii="Bookman Old Style"/>
          <w:spacing w:val="26"/>
          <w:sz w:val="24"/>
        </w:rPr>
        <w:t xml:space="preserve"> </w:t>
      </w:r>
      <w:r w:rsidR="00052A49">
        <w:rPr>
          <w:rFonts w:ascii="Bookman Old Style"/>
          <w:sz w:val="24"/>
        </w:rPr>
        <w:t>to</w:t>
      </w:r>
      <w:r w:rsidR="00052A49">
        <w:rPr>
          <w:rFonts w:ascii="Bookman Old Style"/>
          <w:spacing w:val="26"/>
          <w:sz w:val="24"/>
        </w:rPr>
        <w:t xml:space="preserve"> </w:t>
      </w:r>
      <w:r w:rsidR="00052A49">
        <w:rPr>
          <w:rFonts w:ascii="Bookman Old Style"/>
          <w:sz w:val="24"/>
        </w:rPr>
        <w:t>dismiss</w:t>
      </w:r>
      <w:r w:rsidR="00052A49">
        <w:rPr>
          <w:rFonts w:ascii="Bookman Old Style"/>
          <w:spacing w:val="26"/>
          <w:sz w:val="24"/>
        </w:rPr>
        <w:t xml:space="preserve"> </w:t>
      </w:r>
      <w:r w:rsidR="00052A49">
        <w:rPr>
          <w:rFonts w:ascii="Bookman Old Style"/>
          <w:sz w:val="24"/>
        </w:rPr>
        <w:t>the</w:t>
      </w:r>
      <w:r w:rsidR="00052A49">
        <w:rPr>
          <w:rFonts w:ascii="Bookman Old Style"/>
          <w:spacing w:val="26"/>
          <w:sz w:val="24"/>
        </w:rPr>
        <w:t xml:space="preserve"> </w:t>
      </w:r>
      <w:r w:rsidR="00052A49">
        <w:rPr>
          <w:rFonts w:ascii="Bookman Old Style"/>
          <w:sz w:val="24"/>
        </w:rPr>
        <w:t>complaint</w:t>
      </w:r>
      <w:r w:rsidR="00052A49">
        <w:rPr>
          <w:rFonts w:ascii="Bookman Old Style"/>
          <w:spacing w:val="26"/>
          <w:sz w:val="24"/>
        </w:rPr>
        <w:t xml:space="preserve"> </w:t>
      </w:r>
      <w:r w:rsidR="00052A49">
        <w:rPr>
          <w:rFonts w:ascii="Bookman Old Style"/>
          <w:sz w:val="24"/>
        </w:rPr>
        <w:t>against</w:t>
      </w:r>
      <w:r w:rsidR="00052A49">
        <w:rPr>
          <w:rFonts w:ascii="Bookman Old Style"/>
          <w:spacing w:val="26"/>
          <w:sz w:val="24"/>
        </w:rPr>
        <w:t xml:space="preserve"> </w:t>
      </w:r>
      <w:r w:rsidR="00052A49">
        <w:rPr>
          <w:rFonts w:ascii="Bookman Old Style"/>
          <w:sz w:val="24"/>
        </w:rPr>
        <w:t>Frank</w:t>
      </w:r>
    </w:p>
    <w:p w:rsidR="003B2FC0" w:rsidRDefault="00052A49">
      <w:pPr>
        <w:spacing w:before="72"/>
        <w:ind w:left="400"/>
        <w:rPr>
          <w:rFonts w:ascii="Bookman Old Style"/>
          <w:sz w:val="20"/>
        </w:rPr>
      </w:pPr>
      <w:r>
        <w:rPr>
          <w:rFonts w:ascii="Bookman Old Style"/>
          <w:position w:val="5"/>
          <w:sz w:val="13"/>
        </w:rPr>
        <w:t xml:space="preserve">51 </w:t>
      </w:r>
      <w:r>
        <w:rPr>
          <w:rFonts w:ascii="Bookman Old Style"/>
          <w:sz w:val="20"/>
        </w:rPr>
        <w:t>604 P.2d 1068 (1979)</w:t>
      </w:r>
    </w:p>
    <w:p w:rsidR="003B2FC0" w:rsidRDefault="003B2FC0">
      <w:pPr>
        <w:rPr>
          <w:rFonts w:ascii="Bookman Old Style"/>
          <w:sz w:val="20"/>
        </w:rPr>
        <w:sectPr w:rsidR="003B2FC0">
          <w:headerReference w:type="default" r:id="rId511"/>
          <w:footerReference w:type="default" r:id="rId512"/>
          <w:pgSz w:w="11910" w:h="16840"/>
          <w:pgMar w:top="1340" w:right="980" w:bottom="1220" w:left="1040" w:header="0" w:footer="1033" w:gutter="0"/>
          <w:pgNumType w:start="59"/>
          <w:cols w:space="720"/>
        </w:sectPr>
      </w:pPr>
    </w:p>
    <w:p w:rsidR="003B2FC0" w:rsidRDefault="00052A49">
      <w:pPr>
        <w:spacing w:before="83" w:line="480" w:lineRule="auto"/>
        <w:ind w:left="1252" w:right="456"/>
        <w:jc w:val="both"/>
        <w:rPr>
          <w:rFonts w:ascii="Bookman Old Style" w:hAnsi="Bookman Old Style"/>
          <w:sz w:val="24"/>
        </w:rPr>
      </w:pPr>
      <w:r>
        <w:rPr>
          <w:rFonts w:ascii="Bookman Old Style" w:hAnsi="Bookman Old Style"/>
          <w:sz w:val="24"/>
        </w:rPr>
        <w:t xml:space="preserve">for unlawful transportation of moose meat. The Court had underscored the importance of the sincerity of Frank’s religious belief, and held that it would be sufficient that a practise be deeply rooted in religious belief for it to receive the protection of </w:t>
      </w:r>
      <w:r>
        <w:rPr>
          <w:rFonts w:ascii="Bookman Old Style" w:hAnsi="Bookman Old Style"/>
          <w:sz w:val="24"/>
        </w:rPr>
        <w:t>the free exercise clause under the U.S.</w:t>
      </w:r>
      <w:r>
        <w:rPr>
          <w:rFonts w:ascii="Bookman Old Style" w:hAnsi="Bookman Old Style"/>
          <w:spacing w:val="-2"/>
          <w:sz w:val="24"/>
        </w:rPr>
        <w:t xml:space="preserve"> </w:t>
      </w:r>
      <w:r>
        <w:rPr>
          <w:rFonts w:ascii="Bookman Old Style" w:hAnsi="Bookman Old Style"/>
          <w:sz w:val="24"/>
        </w:rPr>
        <w:t>Constitution.</w:t>
      </w:r>
    </w:p>
    <w:p w:rsidR="003B2FC0" w:rsidRDefault="00052A49">
      <w:pPr>
        <w:pStyle w:val="ListParagraph"/>
        <w:numPr>
          <w:ilvl w:val="1"/>
          <w:numId w:val="4"/>
        </w:numPr>
        <w:tabs>
          <w:tab w:val="left" w:pos="1253"/>
        </w:tabs>
        <w:spacing w:before="1" w:line="480" w:lineRule="auto"/>
        <w:ind w:right="453"/>
        <w:rPr>
          <w:rFonts w:ascii="Bookman Old Style" w:hAnsi="Bookman Old Style"/>
          <w:sz w:val="24"/>
        </w:rPr>
      </w:pPr>
      <w:r>
        <w:rPr>
          <w:rFonts w:ascii="Bookman Old Style" w:hAnsi="Bookman Old Style"/>
          <w:sz w:val="24"/>
        </w:rPr>
        <w:t>Reference is required to be made to the doctrines and tenets of a religion, its historical background, and the scriptural texts to ascertain the ‘essentiality’ of religious</w:t>
      </w:r>
      <w:r>
        <w:rPr>
          <w:rFonts w:ascii="Bookman Old Style" w:hAnsi="Bookman Old Style"/>
          <w:spacing w:val="-5"/>
          <w:sz w:val="24"/>
        </w:rPr>
        <w:t xml:space="preserve"> </w:t>
      </w:r>
      <w:r>
        <w:rPr>
          <w:rFonts w:ascii="Bookman Old Style" w:hAnsi="Bookman Old Style"/>
          <w:sz w:val="24"/>
        </w:rPr>
        <w:t>practises.</w:t>
      </w:r>
    </w:p>
    <w:p w:rsidR="003B2FC0" w:rsidRDefault="00052A49">
      <w:pPr>
        <w:spacing w:line="480" w:lineRule="auto"/>
        <w:ind w:left="1252" w:right="453" w:firstLine="424"/>
        <w:jc w:val="both"/>
        <w:rPr>
          <w:rFonts w:ascii="Bookman Old Style" w:hAnsi="Bookman Old Style"/>
          <w:sz w:val="24"/>
        </w:rPr>
      </w:pPr>
      <w:r>
        <w:rPr>
          <w:rFonts w:ascii="Bookman Old Style" w:hAnsi="Bookman Old Style"/>
          <w:sz w:val="24"/>
        </w:rPr>
        <w:t>The ‘essential pra</w:t>
      </w:r>
      <w:r>
        <w:rPr>
          <w:rFonts w:ascii="Bookman Old Style" w:hAnsi="Bookman Old Style"/>
          <w:sz w:val="24"/>
        </w:rPr>
        <w:t>ctises test’ in its application would have to be determined by the tenets of the religion itself. The practises and beliefs which are considered to be integral by the</w:t>
      </w:r>
      <w:r>
        <w:rPr>
          <w:rFonts w:ascii="Bookman Old Style" w:hAnsi="Bookman Old Style"/>
          <w:spacing w:val="39"/>
          <w:sz w:val="24"/>
        </w:rPr>
        <w:t xml:space="preserve"> </w:t>
      </w:r>
      <w:r>
        <w:rPr>
          <w:rFonts w:ascii="Bookman Old Style" w:hAnsi="Bookman Old Style"/>
          <w:sz w:val="24"/>
        </w:rPr>
        <w:t>religious community are to be regarded as “essential”, and afforded protection under Arti</w:t>
      </w:r>
      <w:r>
        <w:rPr>
          <w:rFonts w:ascii="Bookman Old Style" w:hAnsi="Bookman Old Style"/>
          <w:sz w:val="24"/>
        </w:rPr>
        <w:t>cle</w:t>
      </w:r>
      <w:r>
        <w:rPr>
          <w:rFonts w:ascii="Bookman Old Style" w:hAnsi="Bookman Old Style"/>
          <w:spacing w:val="-3"/>
          <w:sz w:val="24"/>
        </w:rPr>
        <w:t xml:space="preserve"> </w:t>
      </w:r>
      <w:r>
        <w:rPr>
          <w:rFonts w:ascii="Bookman Old Style" w:hAnsi="Bookman Old Style"/>
          <w:sz w:val="24"/>
        </w:rPr>
        <w:t>25.</w:t>
      </w:r>
    </w:p>
    <w:p w:rsidR="003B2FC0" w:rsidRDefault="00052A49">
      <w:pPr>
        <w:spacing w:before="1" w:line="480" w:lineRule="auto"/>
        <w:ind w:left="1252" w:right="453" w:firstLine="424"/>
        <w:jc w:val="both"/>
        <w:rPr>
          <w:rFonts w:ascii="Bookman Old Style"/>
          <w:sz w:val="24"/>
        </w:rPr>
      </w:pPr>
      <w:r>
        <w:rPr>
          <w:rFonts w:ascii="Bookman Old Style"/>
          <w:sz w:val="24"/>
        </w:rPr>
        <w:t>The only way to determine the essential practises test would be with reference to the practises followed since time immemorial, which may have been scripted in the religious texts of this temple. If any practise in a particular temple can be traced to anti</w:t>
      </w:r>
      <w:r>
        <w:rPr>
          <w:rFonts w:ascii="Bookman Old Style"/>
          <w:sz w:val="24"/>
        </w:rPr>
        <w:t>quity, and is integral to the temple, it must be taken to be an essential religious practise of that temple.</w:t>
      </w:r>
    </w:p>
    <w:p w:rsidR="003B2FC0" w:rsidRDefault="00052A49">
      <w:pPr>
        <w:pStyle w:val="ListParagraph"/>
        <w:numPr>
          <w:ilvl w:val="1"/>
          <w:numId w:val="4"/>
        </w:numPr>
        <w:tabs>
          <w:tab w:val="left" w:pos="1253"/>
        </w:tabs>
        <w:spacing w:before="1" w:line="480" w:lineRule="auto"/>
        <w:ind w:right="453"/>
        <w:rPr>
          <w:rFonts w:ascii="Bookman Old Style" w:hAnsi="Bookman Old Style"/>
          <w:sz w:val="24"/>
        </w:rPr>
      </w:pPr>
      <w:r>
        <w:rPr>
          <w:rFonts w:ascii="Bookman Old Style" w:hAnsi="Bookman Old Style"/>
          <w:sz w:val="24"/>
        </w:rPr>
        <w:t>The Temple Thanthri, the Travancore Devaswom Board,  and believers of Lord Ayyappa have submitted that the limited restriction on access of women d</w:t>
      </w:r>
      <w:r>
        <w:rPr>
          <w:rFonts w:ascii="Bookman Old Style" w:hAnsi="Bookman Old Style"/>
          <w:sz w:val="24"/>
        </w:rPr>
        <w:t>uring the notified age of 10 to 50 years, is a religious practise which is central and integral to the tenets of this shrine, since the deity has manifested himself in the form of a ‘</w:t>
      </w:r>
      <w:r>
        <w:rPr>
          <w:rFonts w:ascii="Bookman Old Style" w:hAnsi="Bookman Old Style"/>
          <w:i/>
          <w:sz w:val="24"/>
        </w:rPr>
        <w:t>Naishtik</w:t>
      </w:r>
      <w:r>
        <w:rPr>
          <w:rFonts w:ascii="Bookman Old Style" w:hAnsi="Bookman Old Style"/>
          <w:i/>
          <w:spacing w:val="-1"/>
          <w:sz w:val="24"/>
        </w:rPr>
        <w:t xml:space="preserve"> </w:t>
      </w:r>
      <w:r>
        <w:rPr>
          <w:rFonts w:ascii="Bookman Old Style" w:hAnsi="Bookman Old Style"/>
          <w:i/>
          <w:sz w:val="24"/>
        </w:rPr>
        <w:t>Brahmachari</w:t>
      </w:r>
      <w:r>
        <w:rPr>
          <w:rFonts w:ascii="Bookman Old Style" w:hAnsi="Bookman Old Style"/>
          <w:sz w:val="24"/>
        </w:rPr>
        <w:t>’.</w:t>
      </w:r>
    </w:p>
    <w:p w:rsidR="003B2FC0" w:rsidRDefault="003B2FC0">
      <w:pPr>
        <w:spacing w:line="480" w:lineRule="auto"/>
        <w:jc w:val="both"/>
        <w:rPr>
          <w:rFonts w:ascii="Bookman Old Style" w:hAnsi="Bookman Old Style"/>
          <w:sz w:val="24"/>
        </w:rPr>
        <w:sectPr w:rsidR="003B2FC0">
          <w:headerReference w:type="default" r:id="rId513"/>
          <w:footerReference w:type="default" r:id="rId514"/>
          <w:pgSz w:w="11910" w:h="16840"/>
          <w:pgMar w:top="1340" w:right="980" w:bottom="1220" w:left="1040" w:header="0" w:footer="1033" w:gutter="0"/>
          <w:pgNumType w:start="60"/>
          <w:cols w:space="720"/>
        </w:sectPr>
      </w:pPr>
    </w:p>
    <w:p w:rsidR="003B2FC0" w:rsidRDefault="00052A49">
      <w:pPr>
        <w:pStyle w:val="ListParagraph"/>
        <w:numPr>
          <w:ilvl w:val="1"/>
          <w:numId w:val="4"/>
        </w:numPr>
        <w:tabs>
          <w:tab w:val="left" w:pos="1253"/>
        </w:tabs>
        <w:spacing w:before="83" w:line="480" w:lineRule="auto"/>
        <w:ind w:right="453"/>
        <w:rPr>
          <w:rFonts w:ascii="Bookman Old Style"/>
          <w:sz w:val="24"/>
        </w:rPr>
      </w:pPr>
      <w:r>
        <w:rPr>
          <w:rFonts w:ascii="Bookman Old Style"/>
          <w:sz w:val="24"/>
        </w:rPr>
        <w:t xml:space="preserve">The practise of restricting the entry of women belonging to the age- group of 10 to 50 years, was challenged as being violative of Articles 15, 25, and 26 of the Constitution before a Division Bench of the Kerala High Court in </w:t>
      </w:r>
      <w:r>
        <w:rPr>
          <w:rFonts w:ascii="Bookman Old Style"/>
          <w:i/>
          <w:sz w:val="24"/>
        </w:rPr>
        <w:t xml:space="preserve">S. Mahendran </w:t>
      </w:r>
      <w:r>
        <w:rPr>
          <w:rFonts w:ascii="Bookman Old Style"/>
          <w:sz w:val="24"/>
        </w:rPr>
        <w:t xml:space="preserve">v. </w:t>
      </w:r>
      <w:r>
        <w:rPr>
          <w:rFonts w:ascii="Bookman Old Style"/>
          <w:i/>
          <w:sz w:val="24"/>
        </w:rPr>
        <w:t>The Secretary</w:t>
      </w:r>
      <w:r>
        <w:rPr>
          <w:rFonts w:ascii="Bookman Old Style"/>
          <w:i/>
          <w:sz w:val="24"/>
        </w:rPr>
        <w:t>, Travancore Devaswom Board, Thiruvanathapuram &amp; Ors.</w:t>
      </w:r>
      <w:r>
        <w:rPr>
          <w:rFonts w:ascii="Bookman Old Style"/>
          <w:i/>
          <w:spacing w:val="2"/>
          <w:sz w:val="24"/>
        </w:rPr>
        <w:t xml:space="preserve"> </w:t>
      </w:r>
      <w:r>
        <w:rPr>
          <w:rFonts w:ascii="Bookman Old Style"/>
          <w:sz w:val="24"/>
        </w:rPr>
        <w:t>(supra).</w:t>
      </w:r>
    </w:p>
    <w:p w:rsidR="003B2FC0" w:rsidRDefault="00052A49">
      <w:pPr>
        <w:spacing w:line="480" w:lineRule="auto"/>
        <w:ind w:left="1252" w:right="455" w:firstLine="424"/>
        <w:jc w:val="both"/>
        <w:rPr>
          <w:rFonts w:ascii="Bookman Old Style"/>
          <w:sz w:val="24"/>
        </w:rPr>
      </w:pPr>
      <w:r>
        <w:rPr>
          <w:rFonts w:ascii="Bookman Old Style"/>
          <w:sz w:val="24"/>
        </w:rPr>
        <w:t xml:space="preserve">The Court held that the issue whether the practises were an integral part of the religion or not had to be decided on the basis of evidence. The High Court relied on the decision of this Court </w:t>
      </w:r>
      <w:r>
        <w:rPr>
          <w:rFonts w:ascii="Bookman Old Style"/>
          <w:sz w:val="24"/>
        </w:rPr>
        <w:t xml:space="preserve">in </w:t>
      </w:r>
      <w:r>
        <w:rPr>
          <w:rFonts w:ascii="Bookman Old Style"/>
          <w:i/>
          <w:sz w:val="24"/>
        </w:rPr>
        <w:t xml:space="preserve">Tilkayat Shri Govindalji Maharaj </w:t>
      </w:r>
      <w:r>
        <w:rPr>
          <w:rFonts w:ascii="Bookman Old Style"/>
          <w:sz w:val="24"/>
        </w:rPr>
        <w:t xml:space="preserve">v. </w:t>
      </w:r>
      <w:r>
        <w:rPr>
          <w:rFonts w:ascii="Bookman Old Style"/>
          <w:i/>
          <w:sz w:val="24"/>
        </w:rPr>
        <w:t xml:space="preserve">State of Rajasthan </w:t>
      </w:r>
      <w:r>
        <w:rPr>
          <w:rFonts w:ascii="Bookman Old Style"/>
          <w:sz w:val="24"/>
        </w:rPr>
        <w:t>(supra) wherein it was held that the question whether the practise is religious in character, and whether it can be regarded as an integral or essential part of the religion, will depend upon the ev</w:t>
      </w:r>
      <w:r>
        <w:rPr>
          <w:rFonts w:ascii="Bookman Old Style"/>
          <w:sz w:val="24"/>
        </w:rPr>
        <w:t>idence adduced before a court, with respect to the tenets of the religion.</w:t>
      </w:r>
    </w:p>
    <w:p w:rsidR="003B2FC0" w:rsidRDefault="00052A49">
      <w:pPr>
        <w:spacing w:before="1" w:line="480" w:lineRule="auto"/>
        <w:ind w:left="1252" w:right="454" w:firstLine="424"/>
        <w:jc w:val="both"/>
        <w:rPr>
          <w:rFonts w:ascii="Bookman Old Style"/>
          <w:sz w:val="24"/>
        </w:rPr>
      </w:pPr>
      <w:r>
        <w:rPr>
          <w:rFonts w:ascii="Bookman Old Style"/>
          <w:sz w:val="24"/>
        </w:rPr>
        <w:t>The High Court held that the restriction on the entry of women between the ages of 10 to 50 years was in accordance with the practise prevalent since time immemorial, and was not vi</w:t>
      </w:r>
      <w:r>
        <w:rPr>
          <w:rFonts w:ascii="Bookman Old Style"/>
          <w:sz w:val="24"/>
        </w:rPr>
        <w:t>olative of Articles 15, 25, and 26 of the Constitution.</w:t>
      </w:r>
    </w:p>
    <w:p w:rsidR="003B2FC0" w:rsidRDefault="00052A49">
      <w:pPr>
        <w:spacing w:line="480" w:lineRule="auto"/>
        <w:ind w:left="1252" w:right="453" w:firstLine="424"/>
        <w:jc w:val="both"/>
        <w:rPr>
          <w:rFonts w:ascii="Bookman Old Style"/>
          <w:sz w:val="24"/>
        </w:rPr>
      </w:pPr>
      <w:r>
        <w:rPr>
          <w:rFonts w:ascii="Bookman Old Style"/>
          <w:sz w:val="24"/>
        </w:rPr>
        <w:t xml:space="preserve">A religion can lay down a code of ethics, and also prescribe rituals, observances, ceremonies and modes of worship. These observances and rituals are also regarded as an integral part of religion. If </w:t>
      </w:r>
      <w:r>
        <w:rPr>
          <w:rFonts w:ascii="Bookman Old Style"/>
          <w:sz w:val="24"/>
        </w:rPr>
        <w:t>the tenets of a religion lay down that certain ceremonies are to be performed at certain times in a particular manner, those ceremonies are matters of religion, and are to be protected as a religious belief.</w:t>
      </w:r>
    </w:p>
    <w:p w:rsidR="003B2FC0" w:rsidRDefault="003B2FC0">
      <w:pPr>
        <w:spacing w:line="480" w:lineRule="auto"/>
        <w:jc w:val="both"/>
        <w:rPr>
          <w:rFonts w:ascii="Bookman Old Style"/>
          <w:sz w:val="24"/>
        </w:rPr>
        <w:sectPr w:rsidR="003B2FC0">
          <w:headerReference w:type="default" r:id="rId515"/>
          <w:footerReference w:type="default" r:id="rId516"/>
          <w:pgSz w:w="11910" w:h="16840"/>
          <w:pgMar w:top="1340" w:right="980" w:bottom="1220" w:left="1040" w:header="0" w:footer="1033" w:gutter="0"/>
          <w:pgNumType w:start="61"/>
          <w:cols w:space="720"/>
        </w:sectPr>
      </w:pPr>
    </w:p>
    <w:p w:rsidR="003B2FC0" w:rsidRDefault="00052A49">
      <w:pPr>
        <w:spacing w:before="83" w:line="480" w:lineRule="auto"/>
        <w:ind w:left="1252" w:right="453" w:firstLine="424"/>
        <w:jc w:val="both"/>
        <w:rPr>
          <w:rFonts w:ascii="Bookman Old Style"/>
          <w:sz w:val="24"/>
        </w:rPr>
      </w:pPr>
      <w:r>
        <w:rPr>
          <w:rFonts w:ascii="Bookman Old Style"/>
          <w:sz w:val="24"/>
        </w:rPr>
        <w:t>The High Court took into consideration the testimony of three persons who had direct and personal knowledge about the practises of the temple. One of them was the then Thanthri of the Temple, who could authoritatively testify about the practises of the tem</w:t>
      </w:r>
      <w:r>
        <w:rPr>
          <w:rFonts w:ascii="Bookman Old Style"/>
          <w:sz w:val="24"/>
        </w:rPr>
        <w:t>ple. His personal knowledge extended to a period of more than 40 years. The second Affidavit was affirmed by the Secretary of the Ayyappa Seva Sangham who had been a regular pilgrim of the shrine for a period of</w:t>
      </w:r>
    </w:p>
    <w:p w:rsidR="003B2FC0" w:rsidRDefault="00052A49">
      <w:pPr>
        <w:spacing w:line="480" w:lineRule="auto"/>
        <w:ind w:left="1252" w:right="454"/>
        <w:jc w:val="both"/>
        <w:rPr>
          <w:rFonts w:ascii="Bookman Old Style"/>
          <w:sz w:val="24"/>
        </w:rPr>
      </w:pPr>
      <w:r>
        <w:rPr>
          <w:rFonts w:ascii="Bookman Old Style"/>
          <w:sz w:val="24"/>
        </w:rPr>
        <w:t>60 years. A senior member of the Pandalam Pa</w:t>
      </w:r>
      <w:r>
        <w:rPr>
          <w:rFonts w:ascii="Bookman Old Style"/>
          <w:sz w:val="24"/>
        </w:rPr>
        <w:t>lace also testified about the practise followed, and the views of the members of the Palace who have constructed the Temple. The testimony of these witnesses established that the practise of restriction on the entry of women during the notified age-group w</w:t>
      </w:r>
      <w:r>
        <w:rPr>
          <w:rFonts w:ascii="Bookman Old Style"/>
          <w:sz w:val="24"/>
        </w:rPr>
        <w:t>as being followed since the past several</w:t>
      </w:r>
      <w:r>
        <w:rPr>
          <w:rFonts w:ascii="Bookman Old Style"/>
          <w:spacing w:val="-2"/>
          <w:sz w:val="24"/>
        </w:rPr>
        <w:t xml:space="preserve"> </w:t>
      </w:r>
      <w:r>
        <w:rPr>
          <w:rFonts w:ascii="Bookman Old Style"/>
          <w:sz w:val="24"/>
        </w:rPr>
        <w:t>centuries.</w:t>
      </w:r>
    </w:p>
    <w:p w:rsidR="003B2FC0" w:rsidRDefault="00052A49">
      <w:pPr>
        <w:spacing w:before="2" w:line="480" w:lineRule="auto"/>
        <w:ind w:left="1252" w:right="453" w:firstLine="424"/>
        <w:jc w:val="both"/>
        <w:rPr>
          <w:rFonts w:ascii="Bookman Old Style" w:hAnsi="Bookman Old Style"/>
          <w:sz w:val="24"/>
        </w:rPr>
      </w:pPr>
      <w:r>
        <w:rPr>
          <w:rFonts w:ascii="Bookman Old Style" w:hAnsi="Bookman Old Style"/>
          <w:sz w:val="24"/>
        </w:rPr>
        <w:t>The High Court recorded that a vital reason for imposing this restriction on young women as deposed by the Thanthri of the Temple, as well as other witnesses, was that the deity at the Sabarimala Temple w</w:t>
      </w:r>
      <w:r>
        <w:rPr>
          <w:rFonts w:ascii="Bookman Old Style" w:hAnsi="Bookman Old Style"/>
          <w:sz w:val="24"/>
        </w:rPr>
        <w:t>as in the form of a ‘</w:t>
      </w:r>
      <w:r>
        <w:rPr>
          <w:rFonts w:ascii="Bookman Old Style" w:hAnsi="Bookman Old Style"/>
          <w:i/>
          <w:sz w:val="24"/>
        </w:rPr>
        <w:t>Naishtik Brahmachari</w:t>
      </w:r>
      <w:r>
        <w:rPr>
          <w:rFonts w:ascii="Bookman Old Style" w:hAnsi="Bookman Old Style"/>
          <w:sz w:val="24"/>
        </w:rPr>
        <w:t>’ which means a student who has to live in the house of his preceptor, and studies the Vedas, living the life of utmost austerity and discipline. The deity is in the form of a ‘</w:t>
      </w:r>
      <w:r>
        <w:rPr>
          <w:rFonts w:ascii="Bookman Old Style" w:hAnsi="Bookman Old Style"/>
          <w:i/>
          <w:sz w:val="24"/>
        </w:rPr>
        <w:t>Yogi</w:t>
      </w:r>
      <w:r>
        <w:rPr>
          <w:rFonts w:ascii="Bookman Old Style" w:hAnsi="Bookman Old Style"/>
          <w:sz w:val="24"/>
        </w:rPr>
        <w:t>’ or ‘</w:t>
      </w:r>
      <w:r>
        <w:rPr>
          <w:rFonts w:ascii="Bookman Old Style" w:hAnsi="Bookman Old Style"/>
          <w:i/>
          <w:sz w:val="24"/>
        </w:rPr>
        <w:t>Naishtik Brahmachari</w:t>
      </w:r>
      <w:r>
        <w:rPr>
          <w:rFonts w:ascii="Bookman Old Style" w:hAnsi="Bookman Old Style"/>
          <w:sz w:val="24"/>
        </w:rPr>
        <w:t>’. The High Court noted that this practise of restricting the entry of women is admitted to have been prevalent since the past several centuries.</w:t>
      </w:r>
    </w:p>
    <w:p w:rsidR="003B2FC0" w:rsidRDefault="00052A49">
      <w:pPr>
        <w:ind w:left="1677"/>
        <w:rPr>
          <w:rFonts w:ascii="Bookman Old Style"/>
          <w:sz w:val="24"/>
        </w:rPr>
      </w:pPr>
      <w:r>
        <w:rPr>
          <w:rFonts w:ascii="Bookman Old Style"/>
          <w:sz w:val="24"/>
        </w:rPr>
        <w:t>The High Court concluded by holding:</w:t>
      </w:r>
    </w:p>
    <w:p w:rsidR="003B2FC0" w:rsidRDefault="003B2FC0">
      <w:pPr>
        <w:pStyle w:val="BodyText"/>
        <w:spacing w:before="10"/>
        <w:rPr>
          <w:sz w:val="23"/>
        </w:rPr>
      </w:pPr>
    </w:p>
    <w:p w:rsidR="003B2FC0" w:rsidRDefault="00052A49">
      <w:pPr>
        <w:spacing w:line="282" w:lineRule="exact"/>
        <w:ind w:left="1818"/>
        <w:rPr>
          <w:rFonts w:ascii="Bookman Old Style" w:hAnsi="Bookman Old Style"/>
          <w:i/>
          <w:sz w:val="24"/>
        </w:rPr>
      </w:pPr>
      <w:r>
        <w:rPr>
          <w:rFonts w:ascii="Bookman Old Style" w:hAnsi="Bookman Old Style"/>
          <w:sz w:val="24"/>
        </w:rPr>
        <w:t>“</w:t>
      </w:r>
      <w:r>
        <w:rPr>
          <w:rFonts w:ascii="Bookman Old Style" w:hAnsi="Bookman Old Style"/>
          <w:i/>
          <w:sz w:val="24"/>
        </w:rPr>
        <w:t>Our conclusions are as follows:</w:t>
      </w:r>
    </w:p>
    <w:p w:rsidR="003B2FC0" w:rsidRDefault="00052A49">
      <w:pPr>
        <w:pStyle w:val="ListParagraph"/>
        <w:numPr>
          <w:ilvl w:val="0"/>
          <w:numId w:val="1"/>
        </w:numPr>
        <w:tabs>
          <w:tab w:val="left" w:pos="2527"/>
        </w:tabs>
        <w:ind w:right="843" w:hanging="424"/>
        <w:rPr>
          <w:rFonts w:ascii="Bookman Old Style"/>
          <w:i/>
          <w:sz w:val="24"/>
        </w:rPr>
      </w:pPr>
      <w:r>
        <w:rPr>
          <w:rFonts w:ascii="Bookman Old Style"/>
          <w:i/>
          <w:sz w:val="24"/>
        </w:rPr>
        <w:t>The restriction imposed on women aged a</w:t>
      </w:r>
      <w:r>
        <w:rPr>
          <w:rFonts w:ascii="Bookman Old Style"/>
          <w:i/>
          <w:sz w:val="24"/>
        </w:rPr>
        <w:t xml:space="preserve">bove 10 and below 50 </w:t>
      </w:r>
      <w:r>
        <w:rPr>
          <w:rFonts w:ascii="Bookman Old Style"/>
          <w:i/>
          <w:spacing w:val="2"/>
          <w:sz w:val="24"/>
        </w:rPr>
        <w:t xml:space="preserve">from </w:t>
      </w:r>
      <w:r>
        <w:rPr>
          <w:rFonts w:ascii="Bookman Old Style"/>
          <w:i/>
          <w:sz w:val="24"/>
        </w:rPr>
        <w:t>trekking the holy hills of Sabarimala</w:t>
      </w:r>
      <w:r>
        <w:rPr>
          <w:rFonts w:ascii="Bookman Old Style"/>
          <w:i/>
          <w:spacing w:val="66"/>
          <w:sz w:val="24"/>
        </w:rPr>
        <w:t xml:space="preserve"> </w:t>
      </w:r>
      <w:r>
        <w:rPr>
          <w:rFonts w:ascii="Bookman Old Style"/>
          <w:i/>
          <w:sz w:val="24"/>
        </w:rPr>
        <w:t>and</w:t>
      </w:r>
    </w:p>
    <w:p w:rsidR="003B2FC0" w:rsidRDefault="003B2FC0">
      <w:pPr>
        <w:rPr>
          <w:rFonts w:ascii="Bookman Old Style"/>
          <w:sz w:val="24"/>
        </w:rPr>
        <w:sectPr w:rsidR="003B2FC0">
          <w:headerReference w:type="default" r:id="rId517"/>
          <w:footerReference w:type="default" r:id="rId518"/>
          <w:pgSz w:w="11910" w:h="16840"/>
          <w:pgMar w:top="1340" w:right="980" w:bottom="1220" w:left="1040" w:header="0" w:footer="1033" w:gutter="0"/>
          <w:pgNumType w:start="62"/>
          <w:cols w:space="720"/>
        </w:sectPr>
      </w:pPr>
    </w:p>
    <w:p w:rsidR="003B2FC0" w:rsidRDefault="00052A49">
      <w:pPr>
        <w:spacing w:before="81"/>
        <w:ind w:left="2526" w:right="554"/>
        <w:rPr>
          <w:rFonts w:ascii="Bookman Old Style"/>
          <w:i/>
          <w:sz w:val="24"/>
        </w:rPr>
      </w:pPr>
      <w:r>
        <w:rPr>
          <w:rFonts w:ascii="Bookman Old Style"/>
          <w:i/>
          <w:sz w:val="24"/>
        </w:rPr>
        <w:t>offering worship at Sabarimala Shrine is in accordance with the usage prevalent from time immemorial.</w:t>
      </w:r>
    </w:p>
    <w:p w:rsidR="003B2FC0" w:rsidRDefault="00052A49">
      <w:pPr>
        <w:pStyle w:val="ListParagraph"/>
        <w:numPr>
          <w:ilvl w:val="0"/>
          <w:numId w:val="1"/>
        </w:numPr>
        <w:tabs>
          <w:tab w:val="left" w:pos="2527"/>
        </w:tabs>
        <w:spacing w:before="1"/>
        <w:ind w:right="841" w:hanging="424"/>
        <w:jc w:val="both"/>
        <w:rPr>
          <w:rFonts w:ascii="Bookman Old Style"/>
          <w:i/>
          <w:sz w:val="24"/>
        </w:rPr>
      </w:pPr>
      <w:r>
        <w:rPr>
          <w:rFonts w:ascii="Bookman Old Style"/>
          <w:i/>
          <w:sz w:val="24"/>
        </w:rPr>
        <w:t>Such restriction imposed by the Devaswom Board is not violative of Articles 15, 25 and 26 of the Constitution of India.</w:t>
      </w:r>
    </w:p>
    <w:p w:rsidR="003B2FC0" w:rsidRDefault="00052A49">
      <w:pPr>
        <w:pStyle w:val="ListParagraph"/>
        <w:numPr>
          <w:ilvl w:val="0"/>
          <w:numId w:val="1"/>
        </w:numPr>
        <w:tabs>
          <w:tab w:val="left" w:pos="2527"/>
        </w:tabs>
        <w:ind w:right="837" w:hanging="424"/>
        <w:jc w:val="both"/>
        <w:rPr>
          <w:rFonts w:ascii="Bookman Old Style" w:hAnsi="Bookman Old Style"/>
          <w:sz w:val="24"/>
        </w:rPr>
      </w:pPr>
      <w:r>
        <w:rPr>
          <w:rFonts w:ascii="Bookman Old Style" w:hAnsi="Bookman Old Style"/>
          <w:i/>
          <w:sz w:val="24"/>
        </w:rPr>
        <w:t xml:space="preserve">Such restriction </w:t>
      </w:r>
      <w:r>
        <w:rPr>
          <w:rFonts w:ascii="Bookman Old Style" w:hAnsi="Bookman Old Style"/>
          <w:i/>
          <w:spacing w:val="-3"/>
          <w:sz w:val="24"/>
        </w:rPr>
        <w:t xml:space="preserve">is </w:t>
      </w:r>
      <w:r>
        <w:rPr>
          <w:rFonts w:ascii="Bookman Old Style" w:hAnsi="Bookman Old Style"/>
          <w:i/>
          <w:sz w:val="24"/>
        </w:rPr>
        <w:t xml:space="preserve">also not violative of the provisions of </w:t>
      </w:r>
      <w:r>
        <w:rPr>
          <w:rFonts w:ascii="Bookman Old Style" w:hAnsi="Bookman Old Style"/>
          <w:i/>
          <w:sz w:val="24"/>
        </w:rPr>
        <w:t xml:space="preserve">Hindu Place of Public Worship (Authorisation of Entry) Act, 1965 since there </w:t>
      </w:r>
      <w:r>
        <w:rPr>
          <w:rFonts w:ascii="Bookman Old Style" w:hAnsi="Bookman Old Style"/>
          <w:i/>
          <w:spacing w:val="-3"/>
          <w:sz w:val="24"/>
        </w:rPr>
        <w:t xml:space="preserve">is </w:t>
      </w:r>
      <w:r>
        <w:rPr>
          <w:rFonts w:ascii="Bookman Old Style" w:hAnsi="Bookman Old Style"/>
          <w:i/>
          <w:sz w:val="24"/>
        </w:rPr>
        <w:t xml:space="preserve">no restriction between one section and another section or between one class and another class among the Hindus in the matter of entry to a Temple whereas the prohibition </w:t>
      </w:r>
      <w:r>
        <w:rPr>
          <w:rFonts w:ascii="Bookman Old Style" w:hAnsi="Bookman Old Style"/>
          <w:i/>
          <w:spacing w:val="-3"/>
          <w:sz w:val="24"/>
        </w:rPr>
        <w:t xml:space="preserve">is </w:t>
      </w:r>
      <w:r>
        <w:rPr>
          <w:rFonts w:ascii="Bookman Old Style" w:hAnsi="Bookman Old Style"/>
          <w:i/>
          <w:sz w:val="24"/>
        </w:rPr>
        <w:t>onl</w:t>
      </w:r>
      <w:r>
        <w:rPr>
          <w:rFonts w:ascii="Bookman Old Style" w:hAnsi="Bookman Old Style"/>
          <w:i/>
          <w:sz w:val="24"/>
        </w:rPr>
        <w:t>y in respect of women of a particular age group and not women as a class</w:t>
      </w:r>
      <w:r>
        <w:rPr>
          <w:rFonts w:ascii="Bookman Old Style" w:hAnsi="Bookman Old Style"/>
          <w:sz w:val="24"/>
        </w:rPr>
        <w:t>.”</w:t>
      </w:r>
    </w:p>
    <w:p w:rsidR="003B2FC0" w:rsidRDefault="003B2FC0">
      <w:pPr>
        <w:pStyle w:val="BodyText"/>
        <w:spacing w:before="1"/>
        <w:rPr>
          <w:sz w:val="24"/>
        </w:rPr>
      </w:pPr>
    </w:p>
    <w:p w:rsidR="003B2FC0" w:rsidRDefault="00052A49">
      <w:pPr>
        <w:spacing w:line="480" w:lineRule="auto"/>
        <w:ind w:left="1252" w:right="455" w:firstLine="424"/>
        <w:jc w:val="both"/>
        <w:rPr>
          <w:rFonts w:ascii="Bookman Old Style" w:hAnsi="Bookman Old Style"/>
          <w:sz w:val="24"/>
        </w:rPr>
      </w:pPr>
      <w:r>
        <w:rPr>
          <w:rFonts w:ascii="Bookman Old Style" w:hAnsi="Bookman Old Style"/>
          <w:sz w:val="24"/>
        </w:rPr>
        <w:t>In view of the conclusions summarised above, the High Court directed the Travancore Devaswom Board not to permit women belonging to the age-group of 10 to 50 years “</w:t>
      </w:r>
      <w:r>
        <w:rPr>
          <w:rFonts w:ascii="Bookman Old Style" w:hAnsi="Bookman Old Style"/>
          <w:i/>
          <w:sz w:val="24"/>
        </w:rPr>
        <w:t xml:space="preserve">… </w:t>
      </w:r>
      <w:r>
        <w:rPr>
          <w:rFonts w:ascii="Bookman Old Style" w:hAnsi="Bookman Old Style"/>
          <w:i/>
          <w:spacing w:val="-3"/>
          <w:sz w:val="24"/>
        </w:rPr>
        <w:t xml:space="preserve">to </w:t>
      </w:r>
      <w:r>
        <w:rPr>
          <w:rFonts w:ascii="Bookman Old Style" w:hAnsi="Bookman Old Style"/>
          <w:i/>
          <w:sz w:val="24"/>
        </w:rPr>
        <w:t>trek the h</w:t>
      </w:r>
      <w:r>
        <w:rPr>
          <w:rFonts w:ascii="Bookman Old Style" w:hAnsi="Bookman Old Style"/>
          <w:i/>
          <w:sz w:val="24"/>
        </w:rPr>
        <w:t xml:space="preserve">oly hills of Sabarimala in connection </w:t>
      </w:r>
      <w:r>
        <w:rPr>
          <w:rFonts w:ascii="Bookman Old Style" w:hAnsi="Bookman Old Style"/>
          <w:i/>
          <w:spacing w:val="-3"/>
          <w:sz w:val="24"/>
        </w:rPr>
        <w:t xml:space="preserve">with </w:t>
      </w:r>
      <w:r>
        <w:rPr>
          <w:rFonts w:ascii="Bookman Old Style" w:hAnsi="Bookman Old Style"/>
          <w:i/>
          <w:sz w:val="24"/>
        </w:rPr>
        <w:t>the pilgrimage…</w:t>
      </w:r>
      <w:r>
        <w:rPr>
          <w:rFonts w:ascii="Bookman Old Style" w:hAnsi="Bookman Old Style"/>
          <w:sz w:val="24"/>
        </w:rPr>
        <w:t>”. The Judgment of the Kerala High Court was not challenged any further, and has attained</w:t>
      </w:r>
      <w:r>
        <w:rPr>
          <w:rFonts w:ascii="Bookman Old Style" w:hAnsi="Bookman Old Style"/>
          <w:spacing w:val="-1"/>
          <w:sz w:val="24"/>
        </w:rPr>
        <w:t xml:space="preserve"> </w:t>
      </w:r>
      <w:r>
        <w:rPr>
          <w:rFonts w:ascii="Bookman Old Style" w:hAnsi="Bookman Old Style"/>
          <w:sz w:val="24"/>
        </w:rPr>
        <w:t>finality.</w:t>
      </w:r>
    </w:p>
    <w:p w:rsidR="003B2FC0" w:rsidRDefault="00052A49">
      <w:pPr>
        <w:spacing w:before="1" w:line="480" w:lineRule="auto"/>
        <w:ind w:left="1252" w:right="458" w:firstLine="424"/>
        <w:jc w:val="both"/>
        <w:rPr>
          <w:rFonts w:ascii="Bookman Old Style"/>
          <w:sz w:val="16"/>
        </w:rPr>
      </w:pPr>
      <w:r>
        <w:rPr>
          <w:rFonts w:ascii="Bookman Old Style"/>
          <w:sz w:val="24"/>
        </w:rPr>
        <w:t>The findings contained in the Judgment of the Kerala High Court deciding a Writ Petition under Art</w:t>
      </w:r>
      <w:r>
        <w:rPr>
          <w:rFonts w:ascii="Bookman Old Style"/>
          <w:sz w:val="24"/>
        </w:rPr>
        <w:t xml:space="preserve">icle 226 were findings </w:t>
      </w:r>
      <w:r>
        <w:rPr>
          <w:rFonts w:ascii="Bookman Old Style"/>
          <w:i/>
          <w:sz w:val="24"/>
        </w:rPr>
        <w:t>in rem</w:t>
      </w:r>
      <w:r>
        <w:rPr>
          <w:rFonts w:ascii="Bookman Old Style"/>
          <w:sz w:val="24"/>
        </w:rPr>
        <w:t xml:space="preserve">, and the principle of </w:t>
      </w:r>
      <w:r>
        <w:rPr>
          <w:rFonts w:ascii="Bookman Old Style"/>
          <w:i/>
          <w:sz w:val="24"/>
        </w:rPr>
        <w:t xml:space="preserve">res judicata </w:t>
      </w:r>
      <w:r>
        <w:rPr>
          <w:rFonts w:ascii="Bookman Old Style"/>
          <w:sz w:val="24"/>
        </w:rPr>
        <w:t>would apply.</w:t>
      </w:r>
      <w:r>
        <w:rPr>
          <w:rFonts w:ascii="Bookman Old Style"/>
          <w:position w:val="6"/>
          <w:sz w:val="16"/>
        </w:rPr>
        <w:t>52</w:t>
      </w:r>
    </w:p>
    <w:p w:rsidR="003B2FC0" w:rsidRDefault="00052A49">
      <w:pPr>
        <w:spacing w:before="1" w:line="480" w:lineRule="auto"/>
        <w:ind w:left="1252" w:right="456" w:firstLine="424"/>
        <w:jc w:val="both"/>
        <w:rPr>
          <w:rFonts w:ascii="Bookman Old Style"/>
          <w:sz w:val="24"/>
        </w:rPr>
      </w:pPr>
      <w:r>
        <w:rPr>
          <w:rFonts w:ascii="Bookman Old Style"/>
          <w:sz w:val="24"/>
        </w:rPr>
        <w:t xml:space="preserve">In this context, it is pertinent to note that this Court, in </w:t>
      </w:r>
      <w:r>
        <w:rPr>
          <w:rFonts w:ascii="Bookman Old Style"/>
          <w:i/>
          <w:sz w:val="24"/>
        </w:rPr>
        <w:t xml:space="preserve">Daryao &amp; Ors. </w:t>
      </w:r>
      <w:r>
        <w:rPr>
          <w:rFonts w:ascii="Bookman Old Style"/>
          <w:sz w:val="24"/>
        </w:rPr>
        <w:t xml:space="preserve">v. </w:t>
      </w:r>
      <w:r>
        <w:rPr>
          <w:rFonts w:ascii="Bookman Old Style"/>
          <w:i/>
          <w:sz w:val="24"/>
        </w:rPr>
        <w:t>State of U.P. &amp; Ors.</w:t>
      </w:r>
      <w:r>
        <w:rPr>
          <w:rFonts w:ascii="Bookman Old Style"/>
          <w:position w:val="6"/>
          <w:sz w:val="16"/>
        </w:rPr>
        <w:t>53</w:t>
      </w:r>
      <w:r>
        <w:rPr>
          <w:rFonts w:ascii="Bookman Old Style"/>
          <w:sz w:val="24"/>
        </w:rPr>
        <w:t>, had held as follows:</w:t>
      </w:r>
    </w:p>
    <w:p w:rsidR="003B2FC0" w:rsidRDefault="00052A49">
      <w:pPr>
        <w:ind w:left="1818" w:right="835"/>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26. We must now proceed </w:t>
      </w:r>
      <w:r>
        <w:rPr>
          <w:rFonts w:ascii="Bookman Old Style" w:hAnsi="Bookman Old Style"/>
          <w:i/>
          <w:spacing w:val="-3"/>
          <w:sz w:val="24"/>
        </w:rPr>
        <w:t xml:space="preserve">to </w:t>
      </w:r>
      <w:r>
        <w:rPr>
          <w:rFonts w:ascii="Bookman Old Style" w:hAnsi="Bookman Old Style"/>
          <w:i/>
          <w:sz w:val="24"/>
        </w:rPr>
        <w:t xml:space="preserve">state our conclusion on </w:t>
      </w:r>
      <w:r>
        <w:rPr>
          <w:rFonts w:ascii="Bookman Old Style" w:hAnsi="Bookman Old Style"/>
          <w:i/>
          <w:spacing w:val="-3"/>
          <w:sz w:val="24"/>
        </w:rPr>
        <w:t>t</w:t>
      </w:r>
      <w:r>
        <w:rPr>
          <w:rFonts w:ascii="Bookman Old Style" w:hAnsi="Bookman Old Style"/>
          <w:i/>
          <w:spacing w:val="-3"/>
          <w:sz w:val="24"/>
        </w:rPr>
        <w:t xml:space="preserve">he </w:t>
      </w:r>
      <w:r>
        <w:rPr>
          <w:rFonts w:ascii="Bookman Old Style" w:hAnsi="Bookman Old Style"/>
          <w:i/>
          <w:sz w:val="24"/>
        </w:rPr>
        <w:t xml:space="preserve">preliminary objection raised by the respondents. We hold that </w:t>
      </w:r>
      <w:r>
        <w:rPr>
          <w:rFonts w:ascii="Bookman Old Style" w:hAnsi="Bookman Old Style"/>
          <w:i/>
          <w:spacing w:val="-3"/>
          <w:sz w:val="24"/>
        </w:rPr>
        <w:t xml:space="preserve">if </w:t>
      </w:r>
      <w:r>
        <w:rPr>
          <w:rFonts w:ascii="Bookman Old Style" w:hAnsi="Bookman Old Style"/>
          <w:i/>
          <w:sz w:val="24"/>
        </w:rPr>
        <w:t xml:space="preserve">a writ petition filed by a party under Article 226 is considered on the merits </w:t>
      </w:r>
      <w:r>
        <w:rPr>
          <w:rFonts w:ascii="Bookman Old Style" w:hAnsi="Bookman Old Style"/>
          <w:i/>
          <w:spacing w:val="-3"/>
          <w:sz w:val="24"/>
        </w:rPr>
        <w:t xml:space="preserve">as </w:t>
      </w:r>
      <w:r>
        <w:rPr>
          <w:rFonts w:ascii="Bookman Old Style" w:hAnsi="Bookman Old Style"/>
          <w:i/>
          <w:sz w:val="24"/>
        </w:rPr>
        <w:t>a contested matter and is dismissed the decision thus pronounced would continue to bind the parties unless</w:t>
      </w:r>
      <w:r>
        <w:rPr>
          <w:rFonts w:ascii="Bookman Old Style" w:hAnsi="Bookman Old Style"/>
          <w:i/>
          <w:sz w:val="24"/>
        </w:rPr>
        <w:t xml:space="preserve"> it is otherwise modified or reversed by appeal or other appropriate proceedings permissible under the Constitution. It would not be open </w:t>
      </w:r>
      <w:r>
        <w:rPr>
          <w:rFonts w:ascii="Bookman Old Style" w:hAnsi="Bookman Old Style"/>
          <w:i/>
          <w:spacing w:val="-3"/>
          <w:sz w:val="24"/>
        </w:rPr>
        <w:t xml:space="preserve">to </w:t>
      </w:r>
      <w:r>
        <w:rPr>
          <w:rFonts w:ascii="Bookman Old Style" w:hAnsi="Bookman Old Style"/>
          <w:i/>
          <w:sz w:val="24"/>
        </w:rPr>
        <w:t>a party to ignore the said judgment</w:t>
      </w:r>
      <w:r>
        <w:rPr>
          <w:rFonts w:ascii="Bookman Old Style" w:hAnsi="Bookman Old Style"/>
          <w:i/>
          <w:spacing w:val="16"/>
          <w:sz w:val="24"/>
        </w:rPr>
        <w:t xml:space="preserve"> </w:t>
      </w:r>
      <w:r>
        <w:rPr>
          <w:rFonts w:ascii="Bookman Old Style" w:hAnsi="Bookman Old Style"/>
          <w:i/>
          <w:sz w:val="24"/>
        </w:rPr>
        <w:t>and</w:t>
      </w:r>
      <w:r>
        <w:rPr>
          <w:rFonts w:ascii="Bookman Old Style" w:hAnsi="Bookman Old Style"/>
          <w:i/>
          <w:spacing w:val="18"/>
          <w:sz w:val="24"/>
        </w:rPr>
        <w:t xml:space="preserve"> </w:t>
      </w:r>
      <w:r>
        <w:rPr>
          <w:rFonts w:ascii="Bookman Old Style" w:hAnsi="Bookman Old Style"/>
          <w:i/>
          <w:sz w:val="24"/>
        </w:rPr>
        <w:t>move</w:t>
      </w:r>
      <w:r>
        <w:rPr>
          <w:rFonts w:ascii="Bookman Old Style" w:hAnsi="Bookman Old Style"/>
          <w:i/>
          <w:spacing w:val="18"/>
          <w:sz w:val="24"/>
        </w:rPr>
        <w:t xml:space="preserve"> </w:t>
      </w:r>
      <w:r>
        <w:rPr>
          <w:rFonts w:ascii="Bookman Old Style" w:hAnsi="Bookman Old Style"/>
          <w:i/>
          <w:sz w:val="24"/>
        </w:rPr>
        <w:t>this</w:t>
      </w:r>
      <w:r>
        <w:rPr>
          <w:rFonts w:ascii="Bookman Old Style" w:hAnsi="Bookman Old Style"/>
          <w:i/>
          <w:spacing w:val="15"/>
          <w:sz w:val="24"/>
        </w:rPr>
        <w:t xml:space="preserve"> </w:t>
      </w:r>
      <w:r>
        <w:rPr>
          <w:rFonts w:ascii="Bookman Old Style" w:hAnsi="Bookman Old Style"/>
          <w:i/>
          <w:sz w:val="24"/>
        </w:rPr>
        <w:t>Court</w:t>
      </w:r>
      <w:r>
        <w:rPr>
          <w:rFonts w:ascii="Bookman Old Style" w:hAnsi="Bookman Old Style"/>
          <w:i/>
          <w:spacing w:val="12"/>
          <w:sz w:val="24"/>
        </w:rPr>
        <w:t xml:space="preserve"> </w:t>
      </w:r>
      <w:r>
        <w:rPr>
          <w:rFonts w:ascii="Bookman Old Style" w:hAnsi="Bookman Old Style"/>
          <w:i/>
          <w:sz w:val="24"/>
        </w:rPr>
        <w:t>under</w:t>
      </w:r>
      <w:r>
        <w:rPr>
          <w:rFonts w:ascii="Bookman Old Style" w:hAnsi="Bookman Old Style"/>
          <w:i/>
          <w:spacing w:val="15"/>
          <w:sz w:val="24"/>
        </w:rPr>
        <w:t xml:space="preserve"> </w:t>
      </w:r>
      <w:r>
        <w:rPr>
          <w:rFonts w:ascii="Bookman Old Style" w:hAnsi="Bookman Old Style"/>
          <w:i/>
          <w:sz w:val="24"/>
        </w:rPr>
        <w:t>Article</w:t>
      </w:r>
      <w:r>
        <w:rPr>
          <w:rFonts w:ascii="Bookman Old Style" w:hAnsi="Bookman Old Style"/>
          <w:i/>
          <w:spacing w:val="16"/>
          <w:sz w:val="24"/>
        </w:rPr>
        <w:t xml:space="preserve"> </w:t>
      </w:r>
      <w:r>
        <w:rPr>
          <w:rFonts w:ascii="Bookman Old Style" w:hAnsi="Bookman Old Style"/>
          <w:i/>
          <w:sz w:val="24"/>
        </w:rPr>
        <w:t>32</w:t>
      </w:r>
      <w:r>
        <w:rPr>
          <w:rFonts w:ascii="Bookman Old Style" w:hAnsi="Bookman Old Style"/>
          <w:i/>
          <w:spacing w:val="15"/>
          <w:sz w:val="24"/>
        </w:rPr>
        <w:t xml:space="preserve"> </w:t>
      </w:r>
      <w:r>
        <w:rPr>
          <w:rFonts w:ascii="Bookman Old Style" w:hAnsi="Bookman Old Style"/>
          <w:i/>
          <w:sz w:val="24"/>
        </w:rPr>
        <w:t>by</w:t>
      </w:r>
      <w:r>
        <w:rPr>
          <w:rFonts w:ascii="Bookman Old Style" w:hAnsi="Bookman Old Style"/>
          <w:i/>
          <w:spacing w:val="16"/>
          <w:sz w:val="24"/>
        </w:rPr>
        <w:t xml:space="preserve"> </w:t>
      </w:r>
      <w:r>
        <w:rPr>
          <w:rFonts w:ascii="Bookman Old Style" w:hAnsi="Bookman Old Style"/>
          <w:i/>
          <w:spacing w:val="-3"/>
          <w:sz w:val="24"/>
        </w:rPr>
        <w:t>an</w:t>
      </w:r>
      <w:r>
        <w:rPr>
          <w:rFonts w:ascii="Bookman Old Style" w:hAnsi="Bookman Old Style"/>
          <w:i/>
          <w:spacing w:val="15"/>
          <w:sz w:val="24"/>
        </w:rPr>
        <w:t xml:space="preserve"> </w:t>
      </w:r>
      <w:r>
        <w:rPr>
          <w:rFonts w:ascii="Bookman Old Style" w:hAnsi="Bookman Old Style"/>
          <w:i/>
          <w:sz w:val="24"/>
        </w:rPr>
        <w:t>original</w:t>
      </w:r>
    </w:p>
    <w:p w:rsidR="003B2FC0" w:rsidRDefault="003B2FC0">
      <w:pPr>
        <w:pStyle w:val="BodyText"/>
        <w:rPr>
          <w:i/>
          <w:sz w:val="20"/>
        </w:rPr>
      </w:pPr>
    </w:p>
    <w:p w:rsidR="003B2FC0" w:rsidRDefault="003B2FC0">
      <w:pPr>
        <w:pStyle w:val="BodyText"/>
        <w:rPr>
          <w:i/>
          <w:sz w:val="20"/>
        </w:rPr>
      </w:pPr>
    </w:p>
    <w:p w:rsidR="003B2FC0" w:rsidRDefault="003B2FC0">
      <w:pPr>
        <w:pStyle w:val="BodyText"/>
        <w:spacing w:before="7"/>
        <w:rPr>
          <w:i/>
          <w:sz w:val="15"/>
        </w:rPr>
      </w:pPr>
      <w:r w:rsidRPr="003B2FC0">
        <w:pict>
          <v:line id="_x0000_s1030" style="position:absolute;z-index:251682304;mso-wrap-distance-left:0;mso-wrap-distance-right:0;mso-position-horizontal-relative:page" from="1in,11.5pt" to="216.05pt,11.5pt" strokeweight=".72pt">
            <w10:wrap type="topAndBottom" anchorx="page"/>
          </v:line>
        </w:pict>
      </w:r>
    </w:p>
    <w:p w:rsidR="003B2FC0" w:rsidRDefault="00052A49">
      <w:pPr>
        <w:spacing w:before="72"/>
        <w:ind w:left="400"/>
        <w:rPr>
          <w:rFonts w:ascii="Bookman Old Style"/>
          <w:sz w:val="20"/>
        </w:rPr>
      </w:pPr>
      <w:r>
        <w:rPr>
          <w:rFonts w:ascii="Bookman Old Style"/>
          <w:position w:val="5"/>
          <w:sz w:val="13"/>
        </w:rPr>
        <w:t xml:space="preserve">52 </w:t>
      </w:r>
      <w:r>
        <w:rPr>
          <w:rFonts w:ascii="Bookman Old Style"/>
          <w:i/>
          <w:sz w:val="20"/>
        </w:rPr>
        <w:t xml:space="preserve">Dr Subramaniam Swamy </w:t>
      </w:r>
      <w:r>
        <w:rPr>
          <w:rFonts w:ascii="Bookman Old Style"/>
          <w:sz w:val="20"/>
        </w:rPr>
        <w:t xml:space="preserve">v. </w:t>
      </w:r>
      <w:r>
        <w:rPr>
          <w:rFonts w:ascii="Bookman Old Style"/>
          <w:i/>
          <w:sz w:val="20"/>
        </w:rPr>
        <w:t>State of Tamil Nadu &amp; Ors.</w:t>
      </w:r>
      <w:r>
        <w:rPr>
          <w:rFonts w:ascii="Bookman Old Style"/>
          <w:sz w:val="20"/>
        </w:rPr>
        <w:t>, (2014) 5 SCC 75.</w:t>
      </w:r>
    </w:p>
    <w:p w:rsidR="003B2FC0" w:rsidRDefault="00052A49">
      <w:pPr>
        <w:ind w:left="400"/>
        <w:rPr>
          <w:rFonts w:ascii="Bookman Old Style"/>
          <w:sz w:val="20"/>
        </w:rPr>
      </w:pPr>
      <w:r>
        <w:rPr>
          <w:rFonts w:ascii="Bookman Old Style"/>
          <w:position w:val="5"/>
          <w:sz w:val="13"/>
        </w:rPr>
        <w:t xml:space="preserve">53 </w:t>
      </w:r>
      <w:r>
        <w:rPr>
          <w:rFonts w:ascii="Bookman Old Style"/>
          <w:sz w:val="20"/>
        </w:rPr>
        <w:t>(1962) 1 SCR 574 : AIR 1961 SC 1457</w:t>
      </w:r>
    </w:p>
    <w:p w:rsidR="003B2FC0" w:rsidRDefault="003B2FC0">
      <w:pPr>
        <w:rPr>
          <w:rFonts w:ascii="Bookman Old Style"/>
          <w:sz w:val="20"/>
        </w:rPr>
        <w:sectPr w:rsidR="003B2FC0">
          <w:headerReference w:type="default" r:id="rId519"/>
          <w:footerReference w:type="default" r:id="rId520"/>
          <w:pgSz w:w="11910" w:h="16840"/>
          <w:pgMar w:top="1340" w:right="980" w:bottom="1220" w:left="1040" w:header="0" w:footer="1033" w:gutter="0"/>
          <w:pgNumType w:start="63"/>
          <w:cols w:space="720"/>
        </w:sectPr>
      </w:pPr>
    </w:p>
    <w:p w:rsidR="003B2FC0" w:rsidRDefault="00052A49">
      <w:pPr>
        <w:spacing w:before="81"/>
        <w:ind w:left="1818" w:right="837"/>
        <w:jc w:val="both"/>
        <w:rPr>
          <w:rFonts w:ascii="Bookman Old Style" w:hAnsi="Bookman Old Style"/>
          <w:sz w:val="24"/>
        </w:rPr>
      </w:pPr>
      <w:r>
        <w:rPr>
          <w:rFonts w:ascii="Bookman Old Style" w:hAnsi="Bookman Old Style"/>
          <w:i/>
          <w:sz w:val="24"/>
        </w:rPr>
        <w:t>petition made on the same facts and for obtaining the same or similar orders or writs.</w:t>
      </w:r>
      <w:r>
        <w:rPr>
          <w:rFonts w:ascii="Bookman Old Style" w:hAnsi="Bookman Old Style"/>
          <w:sz w:val="24"/>
        </w:rPr>
        <w:t>”</w:t>
      </w:r>
    </w:p>
    <w:p w:rsidR="003B2FC0" w:rsidRDefault="003B2FC0">
      <w:pPr>
        <w:pStyle w:val="BodyText"/>
        <w:spacing w:before="2"/>
        <w:rPr>
          <w:sz w:val="24"/>
        </w:rPr>
      </w:pPr>
    </w:p>
    <w:p w:rsidR="003B2FC0" w:rsidRDefault="00052A49">
      <w:pPr>
        <w:spacing w:line="480" w:lineRule="auto"/>
        <w:ind w:left="1252" w:right="456" w:firstLine="424"/>
        <w:jc w:val="both"/>
        <w:rPr>
          <w:rFonts w:ascii="Bookman Old Style"/>
          <w:sz w:val="24"/>
        </w:rPr>
      </w:pPr>
      <w:r>
        <w:rPr>
          <w:rFonts w:ascii="Bookman Old Style"/>
          <w:sz w:val="24"/>
        </w:rPr>
        <w:t>Thus viewed, such findings of fact ought not to be re-opened in a Petition filed under Article 32.</w:t>
      </w:r>
    </w:p>
    <w:p w:rsidR="003B2FC0" w:rsidRDefault="00052A49">
      <w:pPr>
        <w:pStyle w:val="ListParagraph"/>
        <w:numPr>
          <w:ilvl w:val="1"/>
          <w:numId w:val="4"/>
        </w:numPr>
        <w:tabs>
          <w:tab w:val="left" w:pos="1252"/>
          <w:tab w:val="left" w:pos="1253"/>
        </w:tabs>
        <w:spacing w:before="1" w:line="480" w:lineRule="auto"/>
        <w:ind w:right="458"/>
        <w:rPr>
          <w:rFonts w:ascii="Bookman Old Style"/>
          <w:sz w:val="24"/>
        </w:rPr>
      </w:pPr>
      <w:r>
        <w:rPr>
          <w:rFonts w:ascii="Bookman Old Style"/>
          <w:sz w:val="24"/>
        </w:rPr>
        <w:t>The practise of celibacy and austerity is the unique characteristic of the deity in the Sabarimala</w:t>
      </w:r>
      <w:r>
        <w:rPr>
          <w:rFonts w:ascii="Bookman Old Style"/>
          <w:spacing w:val="-4"/>
          <w:sz w:val="24"/>
        </w:rPr>
        <w:t xml:space="preserve"> </w:t>
      </w:r>
      <w:r>
        <w:rPr>
          <w:rFonts w:ascii="Bookman Old Style"/>
          <w:sz w:val="24"/>
        </w:rPr>
        <w:t>Temple.</w:t>
      </w:r>
    </w:p>
    <w:p w:rsidR="003B2FC0" w:rsidRDefault="00052A49">
      <w:pPr>
        <w:spacing w:line="480" w:lineRule="auto"/>
        <w:ind w:left="1252" w:right="458" w:firstLine="424"/>
        <w:jc w:val="both"/>
        <w:rPr>
          <w:rFonts w:ascii="Bookman Old Style"/>
          <w:sz w:val="24"/>
        </w:rPr>
      </w:pPr>
      <w:r>
        <w:rPr>
          <w:rFonts w:ascii="Bookman Old Style"/>
          <w:sz w:val="24"/>
        </w:rPr>
        <w:t>Hindu deities have both physical/temporal and phil</w:t>
      </w:r>
      <w:r>
        <w:rPr>
          <w:rFonts w:ascii="Bookman Old Style"/>
          <w:sz w:val="24"/>
        </w:rPr>
        <w:t>osophical form. The same deity is capable of having different physical and spiritual forms or manifestations. Worship of each of these forms is unique, and not all forms are worshipped by all persons.</w:t>
      </w:r>
    </w:p>
    <w:p w:rsidR="003B2FC0" w:rsidRDefault="00052A49">
      <w:pPr>
        <w:spacing w:line="480" w:lineRule="auto"/>
        <w:ind w:left="1252" w:right="453" w:firstLine="424"/>
        <w:jc w:val="both"/>
        <w:rPr>
          <w:rFonts w:ascii="Bookman Old Style"/>
          <w:sz w:val="24"/>
        </w:rPr>
      </w:pPr>
      <w:r>
        <w:rPr>
          <w:rFonts w:ascii="Bookman Old Style"/>
          <w:sz w:val="24"/>
        </w:rPr>
        <w:t xml:space="preserve">The form of the deity in any temple is of paramount importance. For instance, Lord Krishna in the temple at Nathdwara is in the form of a child. In </w:t>
      </w:r>
      <w:r>
        <w:rPr>
          <w:rFonts w:ascii="Bookman Old Style"/>
          <w:i/>
          <w:sz w:val="24"/>
        </w:rPr>
        <w:t xml:space="preserve">Tilkayat Shri Govindlalji Maharaj </w:t>
      </w:r>
      <w:r>
        <w:rPr>
          <w:rFonts w:ascii="Bookman Old Style"/>
          <w:sz w:val="24"/>
        </w:rPr>
        <w:t xml:space="preserve">v. </w:t>
      </w:r>
      <w:r>
        <w:rPr>
          <w:rFonts w:ascii="Bookman Old Style"/>
          <w:i/>
          <w:sz w:val="24"/>
        </w:rPr>
        <w:t xml:space="preserve">State of Rajasthan </w:t>
      </w:r>
      <w:r>
        <w:rPr>
          <w:rFonts w:ascii="Bookman Old Style"/>
          <w:sz w:val="24"/>
        </w:rPr>
        <w:t xml:space="preserve">(supra), this Court noted that Lord Krishna was the </w:t>
      </w:r>
      <w:r>
        <w:rPr>
          <w:rFonts w:ascii="Bookman Old Style"/>
          <w:sz w:val="24"/>
        </w:rPr>
        <w:t xml:space="preserve">deity who was worshipped in the </w:t>
      </w:r>
      <w:r>
        <w:rPr>
          <w:rFonts w:ascii="Bookman Old Style"/>
          <w:i/>
          <w:sz w:val="24"/>
        </w:rPr>
        <w:t xml:space="preserve">Shrinathji </w:t>
      </w:r>
      <w:r>
        <w:rPr>
          <w:rFonts w:ascii="Bookman Old Style"/>
          <w:sz w:val="24"/>
        </w:rPr>
        <w:t>Temple in Nathdwara. It was noted that:</w:t>
      </w:r>
    </w:p>
    <w:p w:rsidR="003B2FC0" w:rsidRDefault="00052A49">
      <w:pPr>
        <w:ind w:left="1818" w:right="836"/>
        <w:jc w:val="both"/>
        <w:rPr>
          <w:rFonts w:ascii="Bookman Old Style" w:hAnsi="Bookman Old Style"/>
          <w:sz w:val="24"/>
        </w:rPr>
      </w:pPr>
      <w:r>
        <w:rPr>
          <w:rFonts w:ascii="Bookman Old Style" w:hAnsi="Bookman Old Style"/>
          <w:i/>
          <w:sz w:val="24"/>
        </w:rPr>
        <w:t>“…believing in the paramount importance and efficacy of Bhakti, the followers of Vallabha attend the worship and services of the Nidhi Swaroops or idols from day-to-day in t</w:t>
      </w:r>
      <w:r>
        <w:rPr>
          <w:rFonts w:ascii="Bookman Old Style" w:hAnsi="Bookman Old Style"/>
          <w:i/>
          <w:sz w:val="24"/>
        </w:rPr>
        <w:t>he belief that such devotional conduct would ultimately lead to their salvation.</w:t>
      </w:r>
      <w:r>
        <w:rPr>
          <w:rFonts w:ascii="Bookman Old Style" w:hAnsi="Bookman Old Style"/>
          <w:sz w:val="24"/>
        </w:rPr>
        <w:t>”</w:t>
      </w:r>
    </w:p>
    <w:p w:rsidR="003B2FC0" w:rsidRDefault="003B2FC0">
      <w:pPr>
        <w:pStyle w:val="BodyText"/>
        <w:spacing w:before="1"/>
        <w:rPr>
          <w:sz w:val="24"/>
        </w:rPr>
      </w:pPr>
    </w:p>
    <w:p w:rsidR="003B2FC0" w:rsidRDefault="00052A49">
      <w:pPr>
        <w:spacing w:before="1" w:line="480" w:lineRule="auto"/>
        <w:ind w:left="1252" w:right="453" w:firstLine="424"/>
        <w:jc w:val="both"/>
        <w:rPr>
          <w:rFonts w:ascii="Bookman Old Style"/>
          <w:sz w:val="24"/>
        </w:rPr>
      </w:pPr>
      <w:r>
        <w:rPr>
          <w:rFonts w:ascii="Bookman Old Style"/>
          <w:sz w:val="24"/>
        </w:rPr>
        <w:t xml:space="preserve">In </w:t>
      </w:r>
      <w:r>
        <w:rPr>
          <w:rFonts w:ascii="Bookman Old Style"/>
          <w:i/>
          <w:sz w:val="24"/>
        </w:rPr>
        <w:t xml:space="preserve">Venkataramana Devaru &amp; Ors. </w:t>
      </w:r>
      <w:r>
        <w:rPr>
          <w:rFonts w:ascii="Bookman Old Style"/>
          <w:sz w:val="24"/>
        </w:rPr>
        <w:t xml:space="preserve">v. </w:t>
      </w:r>
      <w:r>
        <w:rPr>
          <w:rFonts w:ascii="Bookman Old Style"/>
          <w:i/>
          <w:sz w:val="24"/>
        </w:rPr>
        <w:t xml:space="preserve">State of Mysore &amp; Ors. </w:t>
      </w:r>
      <w:r>
        <w:rPr>
          <w:rFonts w:ascii="Bookman Old Style"/>
          <w:sz w:val="24"/>
        </w:rPr>
        <w:t>(supra), this Court had observed that Gods have distinct forms ascribed to them, and their worship at home, and in t</w:t>
      </w:r>
      <w:r>
        <w:rPr>
          <w:rFonts w:ascii="Bookman Old Style"/>
          <w:sz w:val="24"/>
        </w:rPr>
        <w:t>emples, is ordained as certain means of salvation.</w:t>
      </w:r>
    </w:p>
    <w:p w:rsidR="003B2FC0" w:rsidRDefault="00052A49">
      <w:pPr>
        <w:spacing w:line="480" w:lineRule="auto"/>
        <w:ind w:left="1252" w:right="455" w:firstLine="424"/>
        <w:jc w:val="both"/>
        <w:rPr>
          <w:rFonts w:ascii="Bookman Old Style" w:hAnsi="Bookman Old Style"/>
          <w:sz w:val="24"/>
        </w:rPr>
      </w:pPr>
      <w:r>
        <w:rPr>
          <w:rFonts w:ascii="Bookman Old Style" w:hAnsi="Bookman Old Style"/>
          <w:sz w:val="24"/>
        </w:rPr>
        <w:t>Worship has two elements – the worshipper, and the worshipped. The right to worship under Article 25 cannot be claimed in</w:t>
      </w:r>
      <w:r>
        <w:rPr>
          <w:rFonts w:ascii="Bookman Old Style" w:hAnsi="Bookman Old Style"/>
          <w:spacing w:val="52"/>
          <w:sz w:val="24"/>
        </w:rPr>
        <w:t xml:space="preserve"> </w:t>
      </w:r>
      <w:r>
        <w:rPr>
          <w:rFonts w:ascii="Bookman Old Style" w:hAnsi="Bookman Old Style"/>
          <w:sz w:val="24"/>
        </w:rPr>
        <w:t>the</w:t>
      </w:r>
    </w:p>
    <w:p w:rsidR="003B2FC0" w:rsidRDefault="003B2FC0">
      <w:pPr>
        <w:spacing w:line="480" w:lineRule="auto"/>
        <w:jc w:val="both"/>
        <w:rPr>
          <w:rFonts w:ascii="Bookman Old Style" w:hAnsi="Bookman Old Style"/>
          <w:sz w:val="24"/>
        </w:rPr>
        <w:sectPr w:rsidR="003B2FC0">
          <w:headerReference w:type="default" r:id="rId521"/>
          <w:footerReference w:type="default" r:id="rId522"/>
          <w:pgSz w:w="11910" w:h="16840"/>
          <w:pgMar w:top="1340" w:right="980" w:bottom="1220" w:left="1040" w:header="0" w:footer="1033" w:gutter="0"/>
          <w:pgNumType w:start="64"/>
          <w:cols w:space="720"/>
        </w:sectPr>
      </w:pPr>
    </w:p>
    <w:p w:rsidR="003B2FC0" w:rsidRDefault="00052A49">
      <w:pPr>
        <w:spacing w:before="83" w:line="480" w:lineRule="auto"/>
        <w:ind w:left="1252" w:right="554"/>
        <w:rPr>
          <w:rFonts w:ascii="Bookman Old Style"/>
          <w:sz w:val="24"/>
        </w:rPr>
      </w:pPr>
      <w:r>
        <w:rPr>
          <w:rFonts w:ascii="Bookman Old Style"/>
          <w:sz w:val="24"/>
        </w:rPr>
        <w:t>absence of the deity in the particular form in which he has manifested</w:t>
      </w:r>
      <w:r>
        <w:rPr>
          <w:rFonts w:ascii="Bookman Old Style"/>
          <w:spacing w:val="-1"/>
          <w:sz w:val="24"/>
        </w:rPr>
        <w:t xml:space="preserve"> </w:t>
      </w:r>
      <w:r>
        <w:rPr>
          <w:rFonts w:ascii="Bookman Old Style"/>
          <w:sz w:val="24"/>
        </w:rPr>
        <w:t>himself.</w:t>
      </w:r>
    </w:p>
    <w:p w:rsidR="003B2FC0" w:rsidRDefault="00052A49">
      <w:pPr>
        <w:pStyle w:val="ListParagraph"/>
        <w:numPr>
          <w:ilvl w:val="1"/>
          <w:numId w:val="4"/>
        </w:numPr>
        <w:tabs>
          <w:tab w:val="left" w:pos="1253"/>
        </w:tabs>
        <w:spacing w:before="2" w:line="480" w:lineRule="auto"/>
        <w:ind w:right="458"/>
        <w:rPr>
          <w:rFonts w:ascii="Bookman Old Style"/>
          <w:sz w:val="24"/>
        </w:rPr>
      </w:pPr>
      <w:r>
        <w:rPr>
          <w:rFonts w:ascii="Bookman Old Style"/>
          <w:sz w:val="24"/>
        </w:rPr>
        <w:t>Religion is a matter of faith, and religious beliefs are held to be sacred by those who share the same faith. Thought, faith and belief are internal, while expression and worsh</w:t>
      </w:r>
      <w:r>
        <w:rPr>
          <w:rFonts w:ascii="Bookman Old Style"/>
          <w:sz w:val="24"/>
        </w:rPr>
        <w:t>ip are external manifestations thereof.</w:t>
      </w:r>
    </w:p>
    <w:p w:rsidR="003B2FC0" w:rsidRDefault="00052A49">
      <w:pPr>
        <w:pStyle w:val="ListParagraph"/>
        <w:numPr>
          <w:ilvl w:val="1"/>
          <w:numId w:val="4"/>
        </w:numPr>
        <w:tabs>
          <w:tab w:val="left" w:pos="1253"/>
        </w:tabs>
        <w:spacing w:line="480" w:lineRule="auto"/>
        <w:ind w:right="457"/>
        <w:rPr>
          <w:rFonts w:ascii="Bookman Old Style" w:hAnsi="Bookman Old Style"/>
          <w:sz w:val="24"/>
        </w:rPr>
      </w:pPr>
      <w:r>
        <w:rPr>
          <w:rFonts w:ascii="Bookman Old Style" w:hAnsi="Bookman Old Style"/>
          <w:sz w:val="24"/>
        </w:rPr>
        <w:t>In the case of the Sabarimala Temple, the manifestation is in the form of a ‘</w:t>
      </w:r>
      <w:r>
        <w:rPr>
          <w:rFonts w:ascii="Bookman Old Style" w:hAnsi="Bookman Old Style"/>
          <w:i/>
          <w:sz w:val="24"/>
        </w:rPr>
        <w:t>Naishtik Brahmachari</w:t>
      </w:r>
      <w:r>
        <w:rPr>
          <w:rFonts w:ascii="Bookman Old Style" w:hAnsi="Bookman Old Style"/>
          <w:sz w:val="24"/>
        </w:rPr>
        <w:t>’. The belief in a deity, and the form in which he has manifested himself is a fundamental right protected by Article 25(1) of the</w:t>
      </w:r>
      <w:r>
        <w:rPr>
          <w:rFonts w:ascii="Bookman Old Style" w:hAnsi="Bookman Old Style"/>
          <w:spacing w:val="-5"/>
          <w:sz w:val="24"/>
        </w:rPr>
        <w:t xml:space="preserve"> </w:t>
      </w:r>
      <w:r>
        <w:rPr>
          <w:rFonts w:ascii="Bookman Old Style" w:hAnsi="Bookman Old Style"/>
          <w:sz w:val="24"/>
        </w:rPr>
        <w:t>Constitution.</w:t>
      </w:r>
    </w:p>
    <w:p w:rsidR="003B2FC0" w:rsidRDefault="00052A49">
      <w:pPr>
        <w:spacing w:line="480" w:lineRule="auto"/>
        <w:ind w:left="1252" w:right="458" w:firstLine="424"/>
        <w:jc w:val="both"/>
        <w:rPr>
          <w:rFonts w:ascii="Bookman Old Style" w:hAnsi="Bookman Old Style"/>
          <w:sz w:val="24"/>
        </w:rPr>
      </w:pPr>
      <w:r>
        <w:rPr>
          <w:rFonts w:ascii="Bookman Old Style" w:hAnsi="Bookman Old Style"/>
          <w:sz w:val="24"/>
        </w:rPr>
        <w:t>The phrase “</w:t>
      </w:r>
      <w:r>
        <w:rPr>
          <w:rFonts w:ascii="Bookman Old Style" w:hAnsi="Bookman Old Style"/>
          <w:i/>
          <w:sz w:val="24"/>
        </w:rPr>
        <w:t>equally entitled to</w:t>
      </w:r>
      <w:r>
        <w:rPr>
          <w:rFonts w:ascii="Bookman Old Style" w:hAnsi="Bookman Old Style"/>
          <w:sz w:val="24"/>
        </w:rPr>
        <w:t>”, as it occurs in Article 25(1), must mean that each devotee is equally entitle</w:t>
      </w:r>
      <w:r>
        <w:rPr>
          <w:rFonts w:ascii="Bookman Old Style" w:hAnsi="Bookman Old Style"/>
          <w:sz w:val="24"/>
        </w:rPr>
        <w:t>d to profess, practise and propagate his religion, as per the tenets of that religion.</w:t>
      </w:r>
    </w:p>
    <w:p w:rsidR="003B2FC0" w:rsidRDefault="00052A49">
      <w:pPr>
        <w:pStyle w:val="ListParagraph"/>
        <w:numPr>
          <w:ilvl w:val="1"/>
          <w:numId w:val="4"/>
        </w:numPr>
        <w:tabs>
          <w:tab w:val="left" w:pos="1253"/>
        </w:tabs>
        <w:spacing w:line="480" w:lineRule="auto"/>
        <w:ind w:right="453"/>
        <w:rPr>
          <w:rFonts w:ascii="Bookman Old Style" w:hAnsi="Bookman Old Style"/>
          <w:sz w:val="24"/>
        </w:rPr>
      </w:pPr>
      <w:r>
        <w:rPr>
          <w:rFonts w:ascii="Bookman Old Style" w:hAnsi="Bookman Old Style"/>
          <w:sz w:val="24"/>
        </w:rPr>
        <w:t xml:space="preserve">In the present case, the celibate nature of the deity at the Sabarimala Temple has been traced by the Respondents to the </w:t>
      </w:r>
      <w:r>
        <w:rPr>
          <w:rFonts w:ascii="Bookman Old Style" w:hAnsi="Bookman Old Style"/>
          <w:i/>
          <w:sz w:val="24"/>
        </w:rPr>
        <w:t xml:space="preserve">Sthal Purana </w:t>
      </w:r>
      <w:r>
        <w:rPr>
          <w:rFonts w:ascii="Bookman Old Style" w:hAnsi="Bookman Old Style"/>
          <w:sz w:val="24"/>
        </w:rPr>
        <w:t>of this Temple chronicled in the ‘</w:t>
      </w:r>
      <w:r>
        <w:rPr>
          <w:rFonts w:ascii="Bookman Old Style" w:hAnsi="Bookman Old Style"/>
          <w:i/>
          <w:sz w:val="24"/>
        </w:rPr>
        <w:t>B</w:t>
      </w:r>
      <w:r>
        <w:rPr>
          <w:rFonts w:ascii="Bookman Old Style" w:hAnsi="Bookman Old Style"/>
          <w:i/>
          <w:sz w:val="24"/>
        </w:rPr>
        <w:t>huthanatha Geetha</w:t>
      </w:r>
      <w:r>
        <w:rPr>
          <w:rFonts w:ascii="Bookman Old Style" w:hAnsi="Bookman Old Style"/>
          <w:sz w:val="24"/>
        </w:rPr>
        <w:t>’. Evidence of these practises are also documented in the Memoir of the Survey of the Travancore and Cochin States</w:t>
      </w:r>
      <w:r>
        <w:rPr>
          <w:rFonts w:ascii="Bookman Old Style" w:hAnsi="Bookman Old Style"/>
          <w:position w:val="6"/>
          <w:sz w:val="16"/>
        </w:rPr>
        <w:t xml:space="preserve">54 </w:t>
      </w:r>
      <w:r>
        <w:rPr>
          <w:rFonts w:ascii="Bookman Old Style" w:hAnsi="Bookman Old Style"/>
          <w:sz w:val="24"/>
        </w:rPr>
        <w:t>written by Lieutenants Ward and Conner published in two parts in 1893 and</w:t>
      </w:r>
      <w:r>
        <w:rPr>
          <w:rFonts w:ascii="Bookman Old Style" w:hAnsi="Bookman Old Style"/>
          <w:spacing w:val="-8"/>
          <w:sz w:val="24"/>
        </w:rPr>
        <w:t xml:space="preserve"> </w:t>
      </w:r>
      <w:r>
        <w:rPr>
          <w:rFonts w:ascii="Bookman Old Style" w:hAnsi="Bookman Old Style"/>
          <w:sz w:val="24"/>
        </w:rPr>
        <w:t>1901.</w:t>
      </w:r>
    </w:p>
    <w:p w:rsidR="003B2FC0" w:rsidRDefault="003B2FC0">
      <w:pPr>
        <w:pStyle w:val="ListParagraph"/>
        <w:numPr>
          <w:ilvl w:val="1"/>
          <w:numId w:val="4"/>
        </w:numPr>
        <w:tabs>
          <w:tab w:val="left" w:pos="1253"/>
        </w:tabs>
        <w:spacing w:line="480" w:lineRule="auto"/>
        <w:ind w:right="455"/>
        <w:rPr>
          <w:rFonts w:ascii="Bookman Old Style" w:hAnsi="Bookman Old Style"/>
          <w:sz w:val="24"/>
        </w:rPr>
      </w:pPr>
      <w:r w:rsidRPr="003B2FC0">
        <w:pict>
          <v:line id="_x0000_s1029" style="position:absolute;left:0;text-align:left;z-index:251683328;mso-wrap-distance-left:0;mso-wrap-distance-right:0;mso-position-horizontal-relative:page" from="1in,145.35pt" to="216.05pt,145.35pt" strokeweight=".72pt">
            <w10:wrap type="topAndBottom" anchorx="page"/>
          </v:line>
        </w:pict>
      </w:r>
      <w:r w:rsidR="00052A49">
        <w:rPr>
          <w:rFonts w:ascii="Bookman Old Style" w:hAnsi="Bookman Old Style"/>
          <w:sz w:val="24"/>
        </w:rPr>
        <w:t>The religious practise of restricting the</w:t>
      </w:r>
      <w:r w:rsidR="00052A49">
        <w:rPr>
          <w:rFonts w:ascii="Bookman Old Style" w:hAnsi="Bookman Old Style"/>
          <w:sz w:val="24"/>
        </w:rPr>
        <w:t xml:space="preserve"> entry of women between the ages of 10 to 50 years, is in pursuance of an ‘essential religious practise’ followed by the Respondents. The said restriction has been consistently, followed at the Sabarimala Temple, as is borne out from the Memoir of the Surv</w:t>
      </w:r>
      <w:r w:rsidR="00052A49">
        <w:rPr>
          <w:rFonts w:ascii="Bookman Old Style" w:hAnsi="Bookman Old Style"/>
          <w:sz w:val="24"/>
        </w:rPr>
        <w:t>ey of the Travancore and Cochin</w:t>
      </w:r>
      <w:r w:rsidR="00052A49">
        <w:rPr>
          <w:rFonts w:ascii="Bookman Old Style" w:hAnsi="Bookman Old Style"/>
          <w:spacing w:val="74"/>
          <w:sz w:val="24"/>
        </w:rPr>
        <w:t xml:space="preserve"> </w:t>
      </w:r>
      <w:r w:rsidR="00052A49">
        <w:rPr>
          <w:rFonts w:ascii="Bookman Old Style" w:hAnsi="Bookman Old Style"/>
          <w:sz w:val="24"/>
        </w:rPr>
        <w:t>States</w:t>
      </w:r>
    </w:p>
    <w:p w:rsidR="003B2FC0" w:rsidRDefault="00052A49">
      <w:pPr>
        <w:spacing w:before="72"/>
        <w:ind w:left="400"/>
        <w:rPr>
          <w:rFonts w:ascii="Bookman Old Style"/>
          <w:sz w:val="20"/>
        </w:rPr>
      </w:pPr>
      <w:r>
        <w:rPr>
          <w:rFonts w:ascii="Bookman Old Style"/>
          <w:position w:val="5"/>
          <w:sz w:val="13"/>
        </w:rPr>
        <w:t xml:space="preserve">54 </w:t>
      </w:r>
      <w:r>
        <w:rPr>
          <w:rFonts w:ascii="Bookman Old Style"/>
          <w:i/>
          <w:sz w:val="20"/>
        </w:rPr>
        <w:t xml:space="preserve">Supra </w:t>
      </w:r>
      <w:r>
        <w:rPr>
          <w:rFonts w:ascii="Bookman Old Style"/>
          <w:sz w:val="20"/>
        </w:rPr>
        <w:t>note 9</w:t>
      </w:r>
    </w:p>
    <w:p w:rsidR="003B2FC0" w:rsidRDefault="003B2FC0">
      <w:pPr>
        <w:rPr>
          <w:rFonts w:ascii="Bookman Old Style"/>
          <w:sz w:val="20"/>
        </w:rPr>
        <w:sectPr w:rsidR="003B2FC0">
          <w:headerReference w:type="default" r:id="rId523"/>
          <w:footerReference w:type="default" r:id="rId524"/>
          <w:pgSz w:w="11910" w:h="16840"/>
          <w:pgMar w:top="1340" w:right="980" w:bottom="1220" w:left="1040" w:header="0" w:footer="1033" w:gutter="0"/>
          <w:pgNumType w:start="65"/>
          <w:cols w:space="720"/>
        </w:sectPr>
      </w:pPr>
    </w:p>
    <w:p w:rsidR="003B2FC0" w:rsidRDefault="00052A49">
      <w:pPr>
        <w:spacing w:before="83" w:line="480" w:lineRule="auto"/>
        <w:ind w:left="1252" w:right="454"/>
        <w:jc w:val="both"/>
        <w:rPr>
          <w:rFonts w:ascii="Bookman Old Style"/>
          <w:sz w:val="24"/>
        </w:rPr>
      </w:pPr>
      <w:r>
        <w:rPr>
          <w:rFonts w:ascii="Bookman Old Style"/>
          <w:sz w:val="24"/>
        </w:rPr>
        <w:t xml:space="preserve">published in two parts in 1893 and 1901. The Kerala High Court in the case of </w:t>
      </w:r>
      <w:r>
        <w:rPr>
          <w:rFonts w:ascii="Bookman Old Style"/>
          <w:i/>
          <w:sz w:val="24"/>
        </w:rPr>
        <w:t xml:space="preserve">S. Mahendran </w:t>
      </w:r>
      <w:r>
        <w:rPr>
          <w:rFonts w:ascii="Bookman Old Style"/>
          <w:sz w:val="24"/>
        </w:rPr>
        <w:t xml:space="preserve">v. </w:t>
      </w:r>
      <w:r>
        <w:rPr>
          <w:rFonts w:ascii="Bookman Old Style"/>
          <w:i/>
          <w:sz w:val="24"/>
        </w:rPr>
        <w:t>The Secretary, Travancore Devaswom Board, Thiruvananthapuram &amp;</w:t>
      </w:r>
      <w:r>
        <w:rPr>
          <w:rFonts w:ascii="Bookman Old Style"/>
          <w:i/>
          <w:sz w:val="24"/>
        </w:rPr>
        <w:t xml:space="preserve"> Ors. </w:t>
      </w:r>
      <w:r>
        <w:rPr>
          <w:rFonts w:ascii="Bookman Old Style"/>
          <w:sz w:val="24"/>
        </w:rPr>
        <w:t>(supra) has recorded as follows:</w:t>
      </w:r>
    </w:p>
    <w:p w:rsidR="003B2FC0" w:rsidRDefault="00052A49">
      <w:pPr>
        <w:ind w:left="1818" w:right="835"/>
        <w:jc w:val="both"/>
        <w:rPr>
          <w:rFonts w:ascii="Bookman Old Style" w:hAnsi="Bookman Old Style"/>
          <w:sz w:val="24"/>
        </w:rPr>
      </w:pPr>
      <w:r>
        <w:rPr>
          <w:rFonts w:ascii="Bookman Old Style" w:hAnsi="Bookman Old Style"/>
          <w:sz w:val="24"/>
        </w:rPr>
        <w:t>“</w:t>
      </w:r>
      <w:r>
        <w:rPr>
          <w:rFonts w:ascii="Bookman Old Style" w:hAnsi="Bookman Old Style"/>
          <w:i/>
          <w:sz w:val="24"/>
          <w:u w:val="single"/>
        </w:rPr>
        <w:t xml:space="preserve">The testimony of three persons </w:t>
      </w:r>
      <w:r>
        <w:rPr>
          <w:rFonts w:ascii="Bookman Old Style" w:hAnsi="Bookman Old Style"/>
          <w:i/>
          <w:spacing w:val="-4"/>
          <w:sz w:val="24"/>
          <w:u w:val="single"/>
        </w:rPr>
        <w:t xml:space="preserve">who </w:t>
      </w:r>
      <w:r>
        <w:rPr>
          <w:rFonts w:ascii="Bookman Old Style" w:hAnsi="Bookman Old Style"/>
          <w:i/>
          <w:sz w:val="24"/>
          <w:u w:val="single"/>
        </w:rPr>
        <w:t>have direct and personal</w:t>
      </w:r>
      <w:r>
        <w:rPr>
          <w:rFonts w:ascii="Bookman Old Style" w:hAnsi="Bookman Old Style"/>
          <w:i/>
          <w:sz w:val="24"/>
        </w:rPr>
        <w:t xml:space="preserve"> </w:t>
      </w:r>
      <w:r>
        <w:rPr>
          <w:rFonts w:ascii="Bookman Old Style" w:hAnsi="Bookman Old Style"/>
          <w:i/>
          <w:sz w:val="24"/>
          <w:u w:val="single"/>
        </w:rPr>
        <w:t>knowledge about the usage in the temple is therefore available</w:t>
      </w:r>
      <w:r>
        <w:rPr>
          <w:rFonts w:ascii="Bookman Old Style" w:hAnsi="Bookman Old Style"/>
          <w:i/>
          <w:sz w:val="24"/>
        </w:rPr>
        <w:t xml:space="preserve"> </w:t>
      </w:r>
      <w:r>
        <w:rPr>
          <w:rFonts w:ascii="Bookman Old Style" w:hAnsi="Bookman Old Style"/>
          <w:i/>
          <w:sz w:val="24"/>
          <w:u w:val="single"/>
        </w:rPr>
        <w:t>before this Court. Of them one is the Thanthri of the temple</w:t>
      </w:r>
      <w:r>
        <w:rPr>
          <w:rFonts w:ascii="Bookman Old Style" w:hAnsi="Bookman Old Style"/>
          <w:i/>
          <w:sz w:val="24"/>
        </w:rPr>
        <w:t xml:space="preserve"> </w:t>
      </w:r>
      <w:r>
        <w:rPr>
          <w:rFonts w:ascii="Bookman Old Style" w:hAnsi="Bookman Old Style"/>
          <w:i/>
          <w:spacing w:val="-2"/>
          <w:sz w:val="24"/>
          <w:u w:val="single"/>
        </w:rPr>
        <w:t xml:space="preserve">who </w:t>
      </w:r>
      <w:r>
        <w:rPr>
          <w:rFonts w:ascii="Bookman Old Style" w:hAnsi="Bookman Old Style"/>
          <w:i/>
          <w:sz w:val="24"/>
          <w:u w:val="single"/>
        </w:rPr>
        <w:t>can authoritatively speak about the usage followed in the</w:t>
      </w:r>
      <w:r>
        <w:rPr>
          <w:rFonts w:ascii="Bookman Old Style" w:hAnsi="Bookman Old Style"/>
          <w:i/>
          <w:sz w:val="24"/>
        </w:rPr>
        <w:t xml:space="preserve"> </w:t>
      </w:r>
      <w:r>
        <w:rPr>
          <w:rFonts w:ascii="Bookman Old Style" w:hAnsi="Bookman Old Style"/>
          <w:i/>
          <w:sz w:val="24"/>
          <w:u w:val="single"/>
        </w:rPr>
        <w:t xml:space="preserve">temple. His knowledge extends to a period of </w:t>
      </w:r>
      <w:r>
        <w:rPr>
          <w:rFonts w:ascii="Bookman Old Style" w:hAnsi="Bookman Old Style"/>
          <w:i/>
          <w:spacing w:val="-3"/>
          <w:sz w:val="24"/>
          <w:u w:val="single"/>
        </w:rPr>
        <w:t xml:space="preserve">more </w:t>
      </w:r>
      <w:r>
        <w:rPr>
          <w:rFonts w:ascii="Bookman Old Style" w:hAnsi="Bookman Old Style"/>
          <w:i/>
          <w:sz w:val="24"/>
          <w:u w:val="single"/>
        </w:rPr>
        <w:t>than 40</w:t>
      </w:r>
      <w:r>
        <w:rPr>
          <w:rFonts w:ascii="Bookman Old Style" w:hAnsi="Bookman Old Style"/>
          <w:i/>
          <w:sz w:val="24"/>
        </w:rPr>
        <w:t xml:space="preserve"> </w:t>
      </w:r>
      <w:r>
        <w:rPr>
          <w:rFonts w:ascii="Bookman Old Style" w:hAnsi="Bookman Old Style"/>
          <w:i/>
          <w:sz w:val="24"/>
          <w:u w:val="single"/>
        </w:rPr>
        <w:t>years. The Secretary of the Ayyappa Seva Sangham had been</w:t>
      </w:r>
      <w:r>
        <w:rPr>
          <w:rFonts w:ascii="Bookman Old Style" w:hAnsi="Bookman Old Style"/>
          <w:i/>
          <w:sz w:val="24"/>
        </w:rPr>
        <w:t xml:space="preserve"> </w:t>
      </w:r>
      <w:r>
        <w:rPr>
          <w:rFonts w:ascii="Bookman Old Style" w:hAnsi="Bookman Old Style"/>
          <w:i/>
          <w:sz w:val="24"/>
          <w:u w:val="single"/>
        </w:rPr>
        <w:t>a regular pilgrim to Sabarimala shrine for a period of 60 years.</w:t>
      </w:r>
      <w:r>
        <w:rPr>
          <w:rFonts w:ascii="Bookman Old Style" w:hAnsi="Bookman Old Style"/>
          <w:i/>
          <w:sz w:val="24"/>
        </w:rPr>
        <w:t xml:space="preserve"> </w:t>
      </w:r>
      <w:r>
        <w:rPr>
          <w:rFonts w:ascii="Bookman Old Style" w:hAnsi="Bookman Old Style"/>
          <w:i/>
          <w:sz w:val="24"/>
          <w:u w:val="single"/>
        </w:rPr>
        <w:t>A senior member o</w:t>
      </w:r>
      <w:r>
        <w:rPr>
          <w:rFonts w:ascii="Bookman Old Style" w:hAnsi="Bookman Old Style"/>
          <w:i/>
          <w:sz w:val="24"/>
          <w:u w:val="single"/>
        </w:rPr>
        <w:t>f the Pandalam palace has also testified</w:t>
      </w:r>
      <w:r>
        <w:rPr>
          <w:rFonts w:ascii="Bookman Old Style" w:hAnsi="Bookman Old Style"/>
          <w:i/>
          <w:sz w:val="24"/>
        </w:rPr>
        <w:t xml:space="preserve"> </w:t>
      </w:r>
      <w:r>
        <w:rPr>
          <w:rFonts w:ascii="Bookman Old Style" w:hAnsi="Bookman Old Style"/>
          <w:i/>
          <w:sz w:val="24"/>
          <w:u w:val="single"/>
        </w:rPr>
        <w:t>about the practise followed and the view of the members of the</w:t>
      </w:r>
      <w:r>
        <w:rPr>
          <w:rFonts w:ascii="Bookman Old Style" w:hAnsi="Bookman Old Style"/>
          <w:i/>
          <w:sz w:val="24"/>
        </w:rPr>
        <w:t xml:space="preserve"> </w:t>
      </w:r>
      <w:r>
        <w:rPr>
          <w:rFonts w:ascii="Bookman Old Style" w:hAnsi="Bookman Old Style"/>
          <w:i/>
          <w:sz w:val="24"/>
          <w:u w:val="single"/>
        </w:rPr>
        <w:t>palace to which the temple at one time belonged. The</w:t>
      </w:r>
      <w:r>
        <w:rPr>
          <w:rFonts w:ascii="Bookman Old Style" w:hAnsi="Bookman Old Style"/>
          <w:i/>
          <w:sz w:val="24"/>
        </w:rPr>
        <w:t xml:space="preserve"> </w:t>
      </w:r>
      <w:r>
        <w:rPr>
          <w:rFonts w:ascii="Bookman Old Style" w:hAnsi="Bookman Old Style"/>
          <w:i/>
          <w:sz w:val="24"/>
          <w:u w:val="single"/>
        </w:rPr>
        <w:t>testimony of these witnesses would therefore conclusively</w:t>
      </w:r>
      <w:r>
        <w:rPr>
          <w:rFonts w:ascii="Bookman Old Style" w:hAnsi="Bookman Old Style"/>
          <w:i/>
          <w:sz w:val="24"/>
        </w:rPr>
        <w:t xml:space="preserve"> </w:t>
      </w:r>
      <w:r>
        <w:rPr>
          <w:rFonts w:ascii="Bookman Old Style" w:hAnsi="Bookman Old Style"/>
          <w:i/>
          <w:sz w:val="24"/>
          <w:u w:val="single"/>
        </w:rPr>
        <w:t>establish the usage followed in the templ</w:t>
      </w:r>
      <w:r>
        <w:rPr>
          <w:rFonts w:ascii="Bookman Old Style" w:hAnsi="Bookman Old Style"/>
          <w:i/>
          <w:sz w:val="24"/>
          <w:u w:val="single"/>
        </w:rPr>
        <w:t>e of not permitting</w:t>
      </w:r>
      <w:r>
        <w:rPr>
          <w:rFonts w:ascii="Bookman Old Style" w:hAnsi="Bookman Old Style"/>
          <w:i/>
          <w:sz w:val="24"/>
        </w:rPr>
        <w:t xml:space="preserve"> </w:t>
      </w:r>
      <w:r>
        <w:rPr>
          <w:rFonts w:ascii="Bookman Old Style" w:hAnsi="Bookman Old Style"/>
          <w:i/>
          <w:sz w:val="24"/>
          <w:u w:val="single"/>
        </w:rPr>
        <w:t xml:space="preserve">women of the age group 10 </w:t>
      </w:r>
      <w:r>
        <w:rPr>
          <w:rFonts w:ascii="Bookman Old Style" w:hAnsi="Bookman Old Style"/>
          <w:i/>
          <w:spacing w:val="-3"/>
          <w:sz w:val="24"/>
          <w:u w:val="single"/>
        </w:rPr>
        <w:t xml:space="preserve">to </w:t>
      </w:r>
      <w:r>
        <w:rPr>
          <w:rFonts w:ascii="Bookman Old Style" w:hAnsi="Bookman Old Style"/>
          <w:i/>
          <w:sz w:val="24"/>
          <w:u w:val="single"/>
        </w:rPr>
        <w:t>50 to worship in the temple.</w:t>
      </w:r>
      <w:r>
        <w:rPr>
          <w:rFonts w:ascii="Bookman Old Style" w:hAnsi="Bookman Old Style"/>
          <w:i/>
          <w:sz w:val="24"/>
        </w:rPr>
        <w:t xml:space="preserve"> It necessarily flows that women of that age group were also not permitted either </w:t>
      </w:r>
      <w:r>
        <w:rPr>
          <w:rFonts w:ascii="Bookman Old Style" w:hAnsi="Bookman Old Style"/>
          <w:i/>
          <w:spacing w:val="-3"/>
          <w:sz w:val="24"/>
        </w:rPr>
        <w:t xml:space="preserve">to </w:t>
      </w:r>
      <w:r>
        <w:rPr>
          <w:rFonts w:ascii="Bookman Old Style" w:hAnsi="Bookman Old Style"/>
          <w:i/>
          <w:sz w:val="24"/>
        </w:rPr>
        <w:t xml:space="preserve">enter the precincts of the temple or </w:t>
      </w:r>
      <w:r>
        <w:rPr>
          <w:rFonts w:ascii="Bookman Old Style" w:hAnsi="Bookman Old Style"/>
          <w:i/>
          <w:spacing w:val="-3"/>
          <w:sz w:val="24"/>
        </w:rPr>
        <w:t xml:space="preserve">to </w:t>
      </w:r>
      <w:r>
        <w:rPr>
          <w:rFonts w:ascii="Bookman Old Style" w:hAnsi="Bookman Old Style"/>
          <w:i/>
          <w:sz w:val="24"/>
        </w:rPr>
        <w:t>trek Sabarimala for the purpose of</w:t>
      </w:r>
      <w:r>
        <w:rPr>
          <w:rFonts w:ascii="Bookman Old Style" w:hAnsi="Bookman Old Style"/>
          <w:i/>
          <w:spacing w:val="-2"/>
          <w:sz w:val="24"/>
        </w:rPr>
        <w:t xml:space="preserve"> </w:t>
      </w:r>
      <w:r>
        <w:rPr>
          <w:rFonts w:ascii="Bookman Old Style" w:hAnsi="Bookman Old Style"/>
          <w:i/>
          <w:sz w:val="24"/>
        </w:rPr>
        <w:t>pilgrimage.</w:t>
      </w:r>
      <w:r>
        <w:rPr>
          <w:rFonts w:ascii="Bookman Old Style" w:hAnsi="Bookman Old Style"/>
          <w:sz w:val="24"/>
        </w:rPr>
        <w:t>”</w:t>
      </w:r>
    </w:p>
    <w:p w:rsidR="003B2FC0" w:rsidRDefault="00052A49">
      <w:pPr>
        <w:ind w:left="6658"/>
        <w:rPr>
          <w:rFonts w:ascii="Bookman Old Style"/>
          <w:sz w:val="24"/>
        </w:rPr>
      </w:pPr>
      <w:r>
        <w:rPr>
          <w:rFonts w:ascii="Bookman Old Style"/>
          <w:sz w:val="24"/>
        </w:rPr>
        <w:t>(Emphasis supplied)</w:t>
      </w:r>
    </w:p>
    <w:p w:rsidR="003B2FC0" w:rsidRDefault="003B2FC0">
      <w:pPr>
        <w:pStyle w:val="BodyText"/>
        <w:spacing w:before="2"/>
        <w:rPr>
          <w:sz w:val="24"/>
        </w:rPr>
      </w:pPr>
    </w:p>
    <w:p w:rsidR="003B2FC0" w:rsidRDefault="00052A49">
      <w:pPr>
        <w:pStyle w:val="ListParagraph"/>
        <w:numPr>
          <w:ilvl w:val="1"/>
          <w:numId w:val="4"/>
        </w:numPr>
        <w:tabs>
          <w:tab w:val="left" w:pos="1253"/>
        </w:tabs>
        <w:spacing w:line="480" w:lineRule="auto"/>
        <w:ind w:right="453"/>
        <w:rPr>
          <w:rFonts w:ascii="Bookman Old Style"/>
          <w:sz w:val="24"/>
        </w:rPr>
      </w:pPr>
      <w:r>
        <w:rPr>
          <w:rFonts w:ascii="Bookman Old Style"/>
          <w:sz w:val="24"/>
        </w:rPr>
        <w:t>In the present case, the character of the temple at Sabarimala is unique on the basis of centuries old religious practises followed to preserve the manifestation of the deity, and the worship associated with it. Any interference with t</w:t>
      </w:r>
      <w:r>
        <w:rPr>
          <w:rFonts w:ascii="Bookman Old Style"/>
          <w:sz w:val="24"/>
        </w:rPr>
        <w:t>he mode and manner of worship of this religious denomination, or sect, would impact the character of the Temple, and affect the beliefs and practises of the worshippers of this</w:t>
      </w:r>
      <w:r>
        <w:rPr>
          <w:rFonts w:ascii="Bookman Old Style"/>
          <w:spacing w:val="-1"/>
          <w:sz w:val="24"/>
        </w:rPr>
        <w:t xml:space="preserve"> </w:t>
      </w:r>
      <w:r>
        <w:rPr>
          <w:rFonts w:ascii="Bookman Old Style"/>
          <w:sz w:val="24"/>
        </w:rPr>
        <w:t>Temple.</w:t>
      </w:r>
    </w:p>
    <w:p w:rsidR="003B2FC0" w:rsidRDefault="00052A49">
      <w:pPr>
        <w:pStyle w:val="ListParagraph"/>
        <w:numPr>
          <w:ilvl w:val="1"/>
          <w:numId w:val="4"/>
        </w:numPr>
        <w:tabs>
          <w:tab w:val="left" w:pos="1253"/>
        </w:tabs>
        <w:spacing w:line="480" w:lineRule="auto"/>
        <w:ind w:right="453"/>
        <w:rPr>
          <w:rFonts w:ascii="Bookman Old Style"/>
          <w:sz w:val="24"/>
        </w:rPr>
      </w:pPr>
      <w:r>
        <w:rPr>
          <w:rFonts w:ascii="Bookman Old Style"/>
          <w:sz w:val="24"/>
        </w:rPr>
        <w:t>Based on the material adduced before this Court, the Respondents have c</w:t>
      </w:r>
      <w:r>
        <w:rPr>
          <w:rFonts w:ascii="Bookman Old Style"/>
          <w:sz w:val="24"/>
        </w:rPr>
        <w:t>ertainly made out a plausible case that the practise of restricting entry of women between the age group of 10 to 50 years is an essential religious practise of the devotees of Lord Ayyappa at the Sabarimala Temple being followed since time</w:t>
      </w:r>
      <w:r>
        <w:rPr>
          <w:rFonts w:ascii="Bookman Old Style"/>
          <w:spacing w:val="-4"/>
          <w:sz w:val="24"/>
        </w:rPr>
        <w:t xml:space="preserve"> </w:t>
      </w:r>
      <w:r>
        <w:rPr>
          <w:rFonts w:ascii="Bookman Old Style"/>
          <w:sz w:val="24"/>
        </w:rPr>
        <w:t>immemorial.</w:t>
      </w:r>
    </w:p>
    <w:p w:rsidR="003B2FC0" w:rsidRDefault="003B2FC0">
      <w:pPr>
        <w:spacing w:line="480" w:lineRule="auto"/>
        <w:jc w:val="both"/>
        <w:rPr>
          <w:rFonts w:ascii="Bookman Old Style"/>
          <w:sz w:val="24"/>
        </w:rPr>
        <w:sectPr w:rsidR="003B2FC0">
          <w:headerReference w:type="default" r:id="rId525"/>
          <w:footerReference w:type="default" r:id="rId526"/>
          <w:pgSz w:w="11910" w:h="16840"/>
          <w:pgMar w:top="1340" w:right="980" w:bottom="1220" w:left="1040" w:header="0" w:footer="1033" w:gutter="0"/>
          <w:pgNumType w:start="66"/>
          <w:cols w:space="720"/>
        </w:sectPr>
      </w:pPr>
    </w:p>
    <w:p w:rsidR="003B2FC0" w:rsidRDefault="00052A49">
      <w:pPr>
        <w:pStyle w:val="ListParagraph"/>
        <w:numPr>
          <w:ilvl w:val="0"/>
          <w:numId w:val="13"/>
        </w:numPr>
        <w:tabs>
          <w:tab w:val="left" w:pos="543"/>
        </w:tabs>
        <w:spacing w:before="83"/>
        <w:ind w:hanging="426"/>
        <w:jc w:val="left"/>
        <w:rPr>
          <w:rFonts w:ascii="Bookman Old Style"/>
          <w:sz w:val="24"/>
        </w:rPr>
      </w:pPr>
      <w:r>
        <w:rPr>
          <w:rFonts w:ascii="Bookman Old Style"/>
          <w:sz w:val="24"/>
          <w:u w:val="single"/>
        </w:rPr>
        <w:t>A</w:t>
      </w:r>
      <w:r>
        <w:rPr>
          <w:rFonts w:ascii="Bookman Old Style"/>
          <w:sz w:val="19"/>
          <w:u w:val="single"/>
        </w:rPr>
        <w:t>RTICLE</w:t>
      </w:r>
      <w:r>
        <w:rPr>
          <w:rFonts w:ascii="Bookman Old Style"/>
          <w:spacing w:val="-2"/>
          <w:sz w:val="19"/>
          <w:u w:val="single"/>
        </w:rPr>
        <w:t xml:space="preserve"> </w:t>
      </w:r>
      <w:r>
        <w:rPr>
          <w:rFonts w:ascii="Bookman Old Style"/>
          <w:sz w:val="24"/>
          <w:u w:val="single"/>
        </w:rPr>
        <w:t>17</w:t>
      </w:r>
    </w:p>
    <w:p w:rsidR="003B2FC0" w:rsidRDefault="003B2FC0">
      <w:pPr>
        <w:pStyle w:val="BodyText"/>
        <w:spacing w:before="7"/>
        <w:rPr>
          <w:sz w:val="15"/>
        </w:rPr>
      </w:pPr>
    </w:p>
    <w:p w:rsidR="003B2FC0" w:rsidRDefault="00052A49">
      <w:pPr>
        <w:pStyle w:val="ListParagraph"/>
        <w:numPr>
          <w:ilvl w:val="1"/>
          <w:numId w:val="3"/>
        </w:numPr>
        <w:tabs>
          <w:tab w:val="left" w:pos="1253"/>
        </w:tabs>
        <w:spacing w:before="100" w:line="480" w:lineRule="auto"/>
        <w:ind w:right="457"/>
        <w:rPr>
          <w:rFonts w:ascii="Bookman Old Style" w:hAnsi="Bookman Old Style"/>
          <w:sz w:val="24"/>
        </w:rPr>
      </w:pPr>
      <w:r>
        <w:rPr>
          <w:rFonts w:ascii="Bookman Old Style" w:hAnsi="Bookman Old Style"/>
          <w:sz w:val="24"/>
        </w:rPr>
        <w:t>The contention of the Petitioners that the restriction imposed on the entry of women during the notified age group, tantamounts to a form of ‘Untouchability’ under Article 17 of the Constitution, is liabl</w:t>
      </w:r>
      <w:r>
        <w:rPr>
          <w:rFonts w:ascii="Bookman Old Style" w:hAnsi="Bookman Old Style"/>
          <w:sz w:val="24"/>
        </w:rPr>
        <w:t>e to be rejected for the reasons stated</w:t>
      </w:r>
      <w:r>
        <w:rPr>
          <w:rFonts w:ascii="Bookman Old Style" w:hAnsi="Bookman Old Style"/>
          <w:spacing w:val="-2"/>
          <w:sz w:val="24"/>
        </w:rPr>
        <w:t xml:space="preserve"> </w:t>
      </w:r>
      <w:r>
        <w:rPr>
          <w:rFonts w:ascii="Bookman Old Style" w:hAnsi="Bookman Old Style"/>
          <w:sz w:val="24"/>
        </w:rPr>
        <w:t>hereinafter.</w:t>
      </w:r>
    </w:p>
    <w:p w:rsidR="003B2FC0" w:rsidRDefault="00052A49">
      <w:pPr>
        <w:pStyle w:val="ListParagraph"/>
        <w:numPr>
          <w:ilvl w:val="1"/>
          <w:numId w:val="3"/>
        </w:numPr>
        <w:tabs>
          <w:tab w:val="left" w:pos="1252"/>
          <w:tab w:val="left" w:pos="1253"/>
        </w:tabs>
        <w:rPr>
          <w:rFonts w:ascii="Bookman Old Style"/>
          <w:sz w:val="24"/>
        </w:rPr>
      </w:pPr>
      <w:r>
        <w:rPr>
          <w:rFonts w:ascii="Bookman Old Style"/>
          <w:sz w:val="24"/>
        </w:rPr>
        <w:t>All</w:t>
      </w:r>
      <w:r>
        <w:rPr>
          <w:rFonts w:ascii="Bookman Old Style"/>
          <w:spacing w:val="15"/>
          <w:sz w:val="24"/>
        </w:rPr>
        <w:t xml:space="preserve"> </w:t>
      </w:r>
      <w:r>
        <w:rPr>
          <w:rFonts w:ascii="Bookman Old Style"/>
          <w:sz w:val="24"/>
        </w:rPr>
        <w:t>forms</w:t>
      </w:r>
      <w:r>
        <w:rPr>
          <w:rFonts w:ascii="Bookman Old Style"/>
          <w:spacing w:val="16"/>
          <w:sz w:val="24"/>
        </w:rPr>
        <w:t xml:space="preserve"> </w:t>
      </w:r>
      <w:r>
        <w:rPr>
          <w:rFonts w:ascii="Bookman Old Style"/>
          <w:sz w:val="24"/>
        </w:rPr>
        <w:t>of</w:t>
      </w:r>
      <w:r>
        <w:rPr>
          <w:rFonts w:ascii="Bookman Old Style"/>
          <w:spacing w:val="16"/>
          <w:sz w:val="24"/>
        </w:rPr>
        <w:t xml:space="preserve"> </w:t>
      </w:r>
      <w:r>
        <w:rPr>
          <w:rFonts w:ascii="Bookman Old Style"/>
          <w:sz w:val="24"/>
        </w:rPr>
        <w:t>exclusion</w:t>
      </w:r>
      <w:r>
        <w:rPr>
          <w:rFonts w:ascii="Bookman Old Style"/>
          <w:spacing w:val="16"/>
          <w:sz w:val="24"/>
        </w:rPr>
        <w:t xml:space="preserve"> </w:t>
      </w:r>
      <w:r>
        <w:rPr>
          <w:rFonts w:ascii="Bookman Old Style"/>
          <w:sz w:val="24"/>
        </w:rPr>
        <w:t>would</w:t>
      </w:r>
      <w:r>
        <w:rPr>
          <w:rFonts w:ascii="Bookman Old Style"/>
          <w:spacing w:val="16"/>
          <w:sz w:val="24"/>
        </w:rPr>
        <w:t xml:space="preserve"> </w:t>
      </w:r>
      <w:r>
        <w:rPr>
          <w:rFonts w:ascii="Bookman Old Style"/>
          <w:sz w:val="24"/>
        </w:rPr>
        <w:t>not</w:t>
      </w:r>
      <w:r>
        <w:rPr>
          <w:rFonts w:ascii="Bookman Old Style"/>
          <w:spacing w:val="15"/>
          <w:sz w:val="24"/>
        </w:rPr>
        <w:t xml:space="preserve"> </w:t>
      </w:r>
      <w:r>
        <w:rPr>
          <w:rFonts w:ascii="Bookman Old Style"/>
          <w:sz w:val="24"/>
        </w:rPr>
        <w:t>tantamount</w:t>
      </w:r>
      <w:r>
        <w:rPr>
          <w:rFonts w:ascii="Bookman Old Style"/>
          <w:spacing w:val="17"/>
          <w:sz w:val="24"/>
        </w:rPr>
        <w:t xml:space="preserve"> </w:t>
      </w:r>
      <w:r>
        <w:rPr>
          <w:rFonts w:ascii="Bookman Old Style"/>
          <w:sz w:val="24"/>
        </w:rPr>
        <w:t>to</w:t>
      </w:r>
      <w:r>
        <w:rPr>
          <w:rFonts w:ascii="Bookman Old Style"/>
          <w:spacing w:val="16"/>
          <w:sz w:val="24"/>
        </w:rPr>
        <w:t xml:space="preserve"> </w:t>
      </w:r>
      <w:r>
        <w:rPr>
          <w:rFonts w:ascii="Bookman Old Style"/>
          <w:sz w:val="24"/>
        </w:rPr>
        <w:t>untouchability.</w:t>
      </w:r>
    </w:p>
    <w:p w:rsidR="003B2FC0" w:rsidRDefault="003B2FC0">
      <w:pPr>
        <w:pStyle w:val="BodyText"/>
        <w:rPr>
          <w:sz w:val="24"/>
        </w:rPr>
      </w:pPr>
    </w:p>
    <w:p w:rsidR="003B2FC0" w:rsidRDefault="00052A49">
      <w:pPr>
        <w:spacing w:before="1" w:line="480" w:lineRule="auto"/>
        <w:ind w:left="1252" w:right="454"/>
        <w:jc w:val="both"/>
        <w:rPr>
          <w:rFonts w:ascii="Bookman Old Style"/>
          <w:sz w:val="24"/>
        </w:rPr>
      </w:pPr>
      <w:r>
        <w:rPr>
          <w:rFonts w:ascii="Bookman Old Style"/>
          <w:sz w:val="24"/>
        </w:rPr>
        <w:t xml:space="preserve">Article 17 pertains to untouchability based on caste prejudice. Literally or historically, untouchability was never understood to  apply to women as a class. The right asserted by the Petitioners is different from the right asserted by </w:t>
      </w:r>
      <w:r>
        <w:rPr>
          <w:rFonts w:ascii="Bookman Old Style"/>
          <w:i/>
          <w:sz w:val="24"/>
        </w:rPr>
        <w:t xml:space="preserve">Dalits </w:t>
      </w:r>
      <w:r>
        <w:rPr>
          <w:rFonts w:ascii="Bookman Old Style"/>
          <w:sz w:val="24"/>
        </w:rPr>
        <w:t>in the temple</w:t>
      </w:r>
      <w:r>
        <w:rPr>
          <w:rFonts w:ascii="Bookman Old Style"/>
          <w:sz w:val="24"/>
        </w:rPr>
        <w:t xml:space="preserve"> entry movement. The restriction on women within a certain age-band, is based upon the historical origin and the beliefs and practises of the Sabarimala</w:t>
      </w:r>
      <w:r>
        <w:rPr>
          <w:rFonts w:ascii="Bookman Old Style"/>
          <w:spacing w:val="-2"/>
          <w:sz w:val="24"/>
        </w:rPr>
        <w:t xml:space="preserve"> </w:t>
      </w:r>
      <w:r>
        <w:rPr>
          <w:rFonts w:ascii="Bookman Old Style"/>
          <w:sz w:val="24"/>
        </w:rPr>
        <w:t>Temple.</w:t>
      </w:r>
    </w:p>
    <w:p w:rsidR="003B2FC0" w:rsidRDefault="00052A49">
      <w:pPr>
        <w:pStyle w:val="ListParagraph"/>
        <w:numPr>
          <w:ilvl w:val="1"/>
          <w:numId w:val="3"/>
        </w:numPr>
        <w:tabs>
          <w:tab w:val="left" w:pos="1253"/>
        </w:tabs>
        <w:spacing w:line="480" w:lineRule="auto"/>
        <w:ind w:right="453"/>
        <w:rPr>
          <w:rFonts w:ascii="Bookman Old Style"/>
          <w:sz w:val="24"/>
        </w:rPr>
      </w:pPr>
      <w:r>
        <w:rPr>
          <w:rFonts w:ascii="Bookman Old Style"/>
          <w:sz w:val="24"/>
        </w:rPr>
        <w:t>In the present case, women of the notified age group are allowed entry into all other temples o</w:t>
      </w:r>
      <w:r>
        <w:rPr>
          <w:rFonts w:ascii="Bookman Old Style"/>
          <w:sz w:val="24"/>
        </w:rPr>
        <w:t xml:space="preserve">f Lord Ayyappa. The restriction on the entry of women during the notified age group in this Temple is based on the unique characteristic of the deity, and not founded on any social exclusion. The analogy sought to be drawn by comparing the rights of </w:t>
      </w:r>
      <w:r>
        <w:rPr>
          <w:rFonts w:ascii="Bookman Old Style"/>
          <w:i/>
          <w:sz w:val="24"/>
        </w:rPr>
        <w:t>Dalits</w:t>
      </w:r>
      <w:r>
        <w:rPr>
          <w:rFonts w:ascii="Bookman Old Style"/>
          <w:i/>
          <w:sz w:val="24"/>
        </w:rPr>
        <w:t xml:space="preserve"> </w:t>
      </w:r>
      <w:r>
        <w:rPr>
          <w:rFonts w:ascii="Bookman Old Style"/>
          <w:sz w:val="24"/>
        </w:rPr>
        <w:t>with reference to entry to temples and women is wholly misconceived and</w:t>
      </w:r>
      <w:r>
        <w:rPr>
          <w:rFonts w:ascii="Bookman Old Style"/>
          <w:spacing w:val="-1"/>
          <w:sz w:val="24"/>
        </w:rPr>
        <w:t xml:space="preserve"> </w:t>
      </w:r>
      <w:r>
        <w:rPr>
          <w:rFonts w:ascii="Bookman Old Style"/>
          <w:sz w:val="24"/>
        </w:rPr>
        <w:t>unsustainable.</w:t>
      </w:r>
    </w:p>
    <w:p w:rsidR="003B2FC0" w:rsidRDefault="00052A49">
      <w:pPr>
        <w:spacing w:before="1" w:line="477" w:lineRule="auto"/>
        <w:ind w:left="1252" w:right="458" w:firstLine="424"/>
        <w:jc w:val="both"/>
        <w:rPr>
          <w:rFonts w:ascii="Bookman Old Style"/>
          <w:sz w:val="24"/>
        </w:rPr>
      </w:pPr>
      <w:r>
        <w:rPr>
          <w:rFonts w:ascii="Bookman Old Style"/>
          <w:sz w:val="24"/>
        </w:rPr>
        <w:t xml:space="preserve">The right asserted by </w:t>
      </w:r>
      <w:r>
        <w:rPr>
          <w:rFonts w:ascii="Bookman Old Style"/>
          <w:i/>
          <w:sz w:val="24"/>
        </w:rPr>
        <w:t xml:space="preserve">Dalits </w:t>
      </w:r>
      <w:r>
        <w:rPr>
          <w:rFonts w:ascii="Bookman Old Style"/>
          <w:sz w:val="24"/>
        </w:rPr>
        <w:t xml:space="preserve">was in pursuance of right against systematic social exclusion and for social acceptance </w:t>
      </w:r>
      <w:r>
        <w:rPr>
          <w:rFonts w:ascii="Bookman Old Style"/>
          <w:i/>
          <w:sz w:val="24"/>
        </w:rPr>
        <w:t>per se</w:t>
      </w:r>
      <w:r>
        <w:rPr>
          <w:rFonts w:ascii="Bookman Old Style"/>
          <w:sz w:val="24"/>
        </w:rPr>
        <w:t>.</w:t>
      </w:r>
    </w:p>
    <w:p w:rsidR="003B2FC0" w:rsidRDefault="00052A49">
      <w:pPr>
        <w:spacing w:before="4" w:line="480" w:lineRule="auto"/>
        <w:ind w:left="1252" w:right="457" w:firstLine="424"/>
        <w:jc w:val="both"/>
        <w:rPr>
          <w:rFonts w:ascii="Bookman Old Style"/>
          <w:sz w:val="24"/>
        </w:rPr>
      </w:pPr>
      <w:r>
        <w:rPr>
          <w:rFonts w:ascii="Bookman Old Style"/>
          <w:sz w:val="24"/>
        </w:rPr>
        <w:t xml:space="preserve">In the case of temple entry, social reform </w:t>
      </w:r>
      <w:r>
        <w:rPr>
          <w:rFonts w:ascii="Bookman Old Style"/>
          <w:sz w:val="24"/>
        </w:rPr>
        <w:t>preceded the statutory reform, and not the other way about. The social reform was spearheaded by great religious as well as national leaders like Swami</w:t>
      </w:r>
    </w:p>
    <w:p w:rsidR="003B2FC0" w:rsidRDefault="003B2FC0">
      <w:pPr>
        <w:spacing w:line="480" w:lineRule="auto"/>
        <w:jc w:val="both"/>
        <w:rPr>
          <w:rFonts w:ascii="Bookman Old Style"/>
          <w:sz w:val="24"/>
        </w:rPr>
        <w:sectPr w:rsidR="003B2FC0">
          <w:headerReference w:type="default" r:id="rId527"/>
          <w:footerReference w:type="default" r:id="rId528"/>
          <w:pgSz w:w="11910" w:h="16840"/>
          <w:pgMar w:top="1340" w:right="980" w:bottom="1220" w:left="1040" w:header="0" w:footer="1033" w:gutter="0"/>
          <w:pgNumType w:start="67"/>
          <w:cols w:space="720"/>
        </w:sectPr>
      </w:pPr>
    </w:p>
    <w:p w:rsidR="003B2FC0" w:rsidRDefault="00052A49">
      <w:pPr>
        <w:spacing w:before="83" w:line="480" w:lineRule="auto"/>
        <w:ind w:left="1252" w:right="454"/>
        <w:jc w:val="both"/>
        <w:rPr>
          <w:rFonts w:ascii="Bookman Old Style"/>
          <w:sz w:val="24"/>
        </w:rPr>
      </w:pPr>
      <w:r>
        <w:rPr>
          <w:rFonts w:ascii="Bookman Old Style"/>
          <w:sz w:val="24"/>
        </w:rPr>
        <w:t>Vivekananda and Mahatma Gandhi. The reforms were based upon s</w:t>
      </w:r>
      <w:r>
        <w:rPr>
          <w:rFonts w:ascii="Bookman Old Style"/>
          <w:sz w:val="24"/>
        </w:rPr>
        <w:t>ocietal morality, much before Constitutional Morality came into place.</w:t>
      </w:r>
    </w:p>
    <w:p w:rsidR="003B2FC0" w:rsidRDefault="00052A49">
      <w:pPr>
        <w:pStyle w:val="ListParagraph"/>
        <w:numPr>
          <w:ilvl w:val="1"/>
          <w:numId w:val="3"/>
        </w:numPr>
        <w:tabs>
          <w:tab w:val="left" w:pos="1253"/>
        </w:tabs>
        <w:spacing w:line="480" w:lineRule="auto"/>
        <w:ind w:right="455"/>
        <w:rPr>
          <w:rFonts w:ascii="Bookman Old Style" w:hAnsi="Bookman Old Style"/>
          <w:sz w:val="24"/>
        </w:rPr>
      </w:pPr>
      <w:r>
        <w:rPr>
          <w:rFonts w:ascii="Bookman Old Style" w:hAnsi="Bookman Old Style"/>
          <w:sz w:val="24"/>
        </w:rPr>
        <w:t>Article 11 of the Draft Constitution corresponds to Article 17 of our present Constitution.</w:t>
      </w:r>
      <w:r>
        <w:rPr>
          <w:rFonts w:ascii="Bookman Old Style" w:hAnsi="Bookman Old Style"/>
          <w:position w:val="6"/>
          <w:sz w:val="16"/>
        </w:rPr>
        <w:t xml:space="preserve">55 </w:t>
      </w:r>
      <w:r>
        <w:rPr>
          <w:rFonts w:ascii="Bookman Old Style" w:hAnsi="Bookman Old Style"/>
          <w:sz w:val="24"/>
        </w:rPr>
        <w:t>A perusal of the Constituent Assembly debates on Article 11 of the Draft Constitution would</w:t>
      </w:r>
      <w:r>
        <w:rPr>
          <w:rFonts w:ascii="Bookman Old Style" w:hAnsi="Bookman Old Style"/>
          <w:sz w:val="24"/>
        </w:rPr>
        <w:t xml:space="preserve"> reflect that “untouchability” refers to caste-based discrimination faced by </w:t>
      </w:r>
      <w:r>
        <w:rPr>
          <w:rFonts w:ascii="Bookman Old Style" w:hAnsi="Bookman Old Style"/>
          <w:i/>
          <w:sz w:val="24"/>
        </w:rPr>
        <w:t>Harijans</w:t>
      </w:r>
      <w:r>
        <w:rPr>
          <w:rFonts w:ascii="Bookman Old Style" w:hAnsi="Bookman Old Style"/>
          <w:sz w:val="24"/>
        </w:rPr>
        <w:t>, and not women as contended by the</w:t>
      </w:r>
      <w:r>
        <w:rPr>
          <w:rFonts w:ascii="Bookman Old Style" w:hAnsi="Bookman Old Style"/>
          <w:spacing w:val="-10"/>
          <w:sz w:val="24"/>
        </w:rPr>
        <w:t xml:space="preserve"> </w:t>
      </w:r>
      <w:r>
        <w:rPr>
          <w:rFonts w:ascii="Bookman Old Style" w:hAnsi="Bookman Old Style"/>
          <w:sz w:val="24"/>
        </w:rPr>
        <w:t>Petitioners.</w:t>
      </w:r>
    </w:p>
    <w:p w:rsidR="003B2FC0" w:rsidRDefault="00052A49">
      <w:pPr>
        <w:ind w:left="1677"/>
        <w:rPr>
          <w:rFonts w:ascii="Bookman Old Style"/>
          <w:sz w:val="24"/>
        </w:rPr>
      </w:pPr>
      <w:r>
        <w:rPr>
          <w:rFonts w:ascii="Bookman Old Style"/>
          <w:sz w:val="24"/>
        </w:rPr>
        <w:t>During the debates, Mr. V.I. Muniswamy Pillai had stated:</w:t>
      </w:r>
    </w:p>
    <w:p w:rsidR="003B2FC0" w:rsidRDefault="003B2FC0">
      <w:pPr>
        <w:pStyle w:val="BodyText"/>
        <w:spacing w:before="10"/>
        <w:rPr>
          <w:sz w:val="23"/>
        </w:rPr>
      </w:pPr>
    </w:p>
    <w:p w:rsidR="003B2FC0" w:rsidRDefault="00052A49">
      <w:pPr>
        <w:ind w:left="1818" w:right="837"/>
        <w:jc w:val="both"/>
        <w:rPr>
          <w:rFonts w:ascii="Bookman Old Style" w:hAnsi="Bookman Old Style"/>
          <w:sz w:val="16"/>
        </w:rPr>
      </w:pPr>
      <w:r>
        <w:rPr>
          <w:rFonts w:ascii="Bookman Old Style" w:hAnsi="Bookman Old Style"/>
          <w:sz w:val="24"/>
        </w:rPr>
        <w:t>“</w:t>
      </w:r>
      <w:r>
        <w:rPr>
          <w:rFonts w:ascii="Bookman Old Style" w:hAnsi="Bookman Old Style"/>
          <w:i/>
          <w:sz w:val="24"/>
        </w:rPr>
        <w:t xml:space="preserve">…Sir, under the device of caste distinction, a certain section  of people have been brought under the rope of untouchability, </w:t>
      </w:r>
      <w:r>
        <w:rPr>
          <w:rFonts w:ascii="Bookman Old Style" w:hAnsi="Bookman Old Style"/>
          <w:i/>
          <w:spacing w:val="-2"/>
          <w:sz w:val="24"/>
        </w:rPr>
        <w:t xml:space="preserve">who </w:t>
      </w:r>
      <w:r>
        <w:rPr>
          <w:rFonts w:ascii="Bookman Old Style" w:hAnsi="Bookman Old Style"/>
          <w:i/>
          <w:sz w:val="24"/>
        </w:rPr>
        <w:t xml:space="preserve">have been suffering for ages under tyranny of so-called caste Hindus, and all those people </w:t>
      </w:r>
      <w:r>
        <w:rPr>
          <w:rFonts w:ascii="Bookman Old Style" w:hAnsi="Bookman Old Style"/>
          <w:i/>
          <w:spacing w:val="-3"/>
          <w:sz w:val="24"/>
        </w:rPr>
        <w:t xml:space="preserve">who </w:t>
      </w:r>
      <w:r>
        <w:rPr>
          <w:rFonts w:ascii="Bookman Old Style" w:hAnsi="Bookman Old Style"/>
          <w:i/>
          <w:sz w:val="24"/>
        </w:rPr>
        <w:t xml:space="preserve">style themselves </w:t>
      </w:r>
      <w:r>
        <w:rPr>
          <w:rFonts w:ascii="Bookman Old Style" w:hAnsi="Bookman Old Style"/>
          <w:i/>
          <w:spacing w:val="-3"/>
          <w:sz w:val="24"/>
        </w:rPr>
        <w:t xml:space="preserve">as </w:t>
      </w:r>
      <w:r>
        <w:rPr>
          <w:rFonts w:ascii="Bookman Old Style" w:hAnsi="Bookman Old Style"/>
          <w:i/>
          <w:sz w:val="24"/>
        </w:rPr>
        <w:t>landlords a</w:t>
      </w:r>
      <w:r>
        <w:rPr>
          <w:rFonts w:ascii="Bookman Old Style" w:hAnsi="Bookman Old Style"/>
          <w:i/>
          <w:sz w:val="24"/>
        </w:rPr>
        <w:t xml:space="preserve">nd zamindars, and were thus not allowed the ordinary rudimentary facilities required for a human being… I am sure, Sir, by adoption of this clause, many a Hindu </w:t>
      </w:r>
      <w:r>
        <w:rPr>
          <w:rFonts w:ascii="Bookman Old Style" w:hAnsi="Bookman Old Style"/>
          <w:i/>
          <w:spacing w:val="-3"/>
          <w:sz w:val="24"/>
        </w:rPr>
        <w:t xml:space="preserve">who </w:t>
      </w:r>
      <w:r>
        <w:rPr>
          <w:rFonts w:ascii="Bookman Old Style" w:hAnsi="Bookman Old Style"/>
          <w:i/>
          <w:sz w:val="24"/>
        </w:rPr>
        <w:t xml:space="preserve">is a Harijan, </w:t>
      </w:r>
      <w:r>
        <w:rPr>
          <w:rFonts w:ascii="Bookman Old Style" w:hAnsi="Bookman Old Style"/>
          <w:i/>
          <w:spacing w:val="-3"/>
          <w:sz w:val="24"/>
        </w:rPr>
        <w:t xml:space="preserve">who </w:t>
      </w:r>
      <w:r>
        <w:rPr>
          <w:rFonts w:ascii="Bookman Old Style" w:hAnsi="Bookman Old Style"/>
          <w:i/>
          <w:sz w:val="24"/>
        </w:rPr>
        <w:t xml:space="preserve">is a scheduled class man </w:t>
      </w:r>
      <w:r>
        <w:rPr>
          <w:rFonts w:ascii="Bookman Old Style" w:hAnsi="Bookman Old Style"/>
          <w:i/>
          <w:spacing w:val="-3"/>
          <w:sz w:val="24"/>
        </w:rPr>
        <w:t xml:space="preserve">will </w:t>
      </w:r>
      <w:r>
        <w:rPr>
          <w:rFonts w:ascii="Bookman Old Style" w:hAnsi="Bookman Old Style"/>
          <w:i/>
          <w:sz w:val="24"/>
        </w:rPr>
        <w:t xml:space="preserve">feel that he </w:t>
      </w:r>
      <w:r>
        <w:rPr>
          <w:rFonts w:ascii="Bookman Old Style" w:hAnsi="Bookman Old Style"/>
          <w:i/>
          <w:spacing w:val="2"/>
          <w:sz w:val="24"/>
        </w:rPr>
        <w:t xml:space="preserve">has </w:t>
      </w:r>
      <w:r>
        <w:rPr>
          <w:rFonts w:ascii="Bookman Old Style" w:hAnsi="Bookman Old Style"/>
          <w:i/>
          <w:sz w:val="24"/>
        </w:rPr>
        <w:t>been elevated in society a</w:t>
      </w:r>
      <w:r>
        <w:rPr>
          <w:rFonts w:ascii="Bookman Old Style" w:hAnsi="Bookman Old Style"/>
          <w:i/>
          <w:sz w:val="24"/>
        </w:rPr>
        <w:t xml:space="preserve">nd has </w:t>
      </w:r>
      <w:r>
        <w:rPr>
          <w:rFonts w:ascii="Bookman Old Style" w:hAnsi="Bookman Old Style"/>
          <w:i/>
          <w:spacing w:val="2"/>
          <w:sz w:val="24"/>
        </w:rPr>
        <w:t xml:space="preserve">now </w:t>
      </w:r>
      <w:r>
        <w:rPr>
          <w:rFonts w:ascii="Bookman Old Style" w:hAnsi="Bookman Old Style"/>
          <w:i/>
          <w:sz w:val="24"/>
        </w:rPr>
        <w:t>got a place in society…</w:t>
      </w:r>
      <w:r>
        <w:rPr>
          <w:rFonts w:ascii="Bookman Old Style" w:hAnsi="Bookman Old Style"/>
          <w:sz w:val="24"/>
        </w:rPr>
        <w:t>”</w:t>
      </w:r>
      <w:r>
        <w:rPr>
          <w:rFonts w:ascii="Bookman Old Style" w:hAnsi="Bookman Old Style"/>
          <w:position w:val="6"/>
          <w:sz w:val="16"/>
        </w:rPr>
        <w:t>56</w:t>
      </w:r>
    </w:p>
    <w:p w:rsidR="003B2FC0" w:rsidRDefault="003B2FC0">
      <w:pPr>
        <w:pStyle w:val="BodyText"/>
        <w:spacing w:before="2"/>
        <w:rPr>
          <w:sz w:val="24"/>
        </w:rPr>
      </w:pPr>
    </w:p>
    <w:p w:rsidR="003B2FC0" w:rsidRDefault="00052A49">
      <w:pPr>
        <w:spacing w:line="480" w:lineRule="auto"/>
        <w:ind w:left="1252" w:right="454" w:firstLine="424"/>
        <w:jc w:val="both"/>
        <w:rPr>
          <w:rFonts w:ascii="Bookman Old Style" w:hAnsi="Bookman Old Style"/>
          <w:sz w:val="24"/>
        </w:rPr>
      </w:pPr>
      <w:r>
        <w:rPr>
          <w:rFonts w:ascii="Bookman Old Style" w:hAnsi="Bookman Old Style"/>
          <w:sz w:val="24"/>
        </w:rPr>
        <w:t>Dr. Monomohan Das, quotes Mahatma Gandhi while undeniably accepting the meaning of “Untouchability” as intended under the Constitution:</w:t>
      </w:r>
    </w:p>
    <w:p w:rsidR="003B2FC0" w:rsidRDefault="00052A49">
      <w:pPr>
        <w:ind w:left="1818" w:right="835"/>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…Gandhiji said I do not want to be reborn, but </w:t>
      </w:r>
      <w:r>
        <w:rPr>
          <w:rFonts w:ascii="Bookman Old Style" w:hAnsi="Bookman Old Style"/>
          <w:i/>
          <w:spacing w:val="-3"/>
          <w:sz w:val="24"/>
        </w:rPr>
        <w:t xml:space="preserve">if </w:t>
      </w:r>
      <w:r>
        <w:rPr>
          <w:rFonts w:ascii="Bookman Old Style" w:hAnsi="Bookman Old Style"/>
          <w:i/>
          <w:sz w:val="24"/>
        </w:rPr>
        <w:t xml:space="preserve">I am reborn, I </w:t>
      </w:r>
      <w:r>
        <w:rPr>
          <w:rFonts w:ascii="Bookman Old Style" w:hAnsi="Bookman Old Style"/>
          <w:i/>
          <w:spacing w:val="-3"/>
          <w:sz w:val="24"/>
        </w:rPr>
        <w:t xml:space="preserve">wish </w:t>
      </w:r>
      <w:r>
        <w:rPr>
          <w:rFonts w:ascii="Bookman Old Style" w:hAnsi="Bookman Old Style"/>
          <w:i/>
          <w:sz w:val="24"/>
        </w:rPr>
        <w:t>that I sho</w:t>
      </w:r>
      <w:r>
        <w:rPr>
          <w:rFonts w:ascii="Bookman Old Style" w:hAnsi="Bookman Old Style"/>
          <w:i/>
          <w:sz w:val="24"/>
        </w:rPr>
        <w:t xml:space="preserve">uld be born </w:t>
      </w:r>
      <w:r>
        <w:rPr>
          <w:rFonts w:ascii="Bookman Old Style" w:hAnsi="Bookman Old Style"/>
          <w:i/>
          <w:spacing w:val="-3"/>
          <w:sz w:val="24"/>
        </w:rPr>
        <w:t xml:space="preserve">as </w:t>
      </w:r>
      <w:r>
        <w:rPr>
          <w:rFonts w:ascii="Bookman Old Style" w:hAnsi="Bookman Old Style"/>
          <w:i/>
          <w:sz w:val="24"/>
        </w:rPr>
        <w:t xml:space="preserve">a Harijan, </w:t>
      </w:r>
      <w:r>
        <w:rPr>
          <w:rFonts w:ascii="Bookman Old Style" w:hAnsi="Bookman Old Style"/>
          <w:i/>
          <w:spacing w:val="-3"/>
          <w:sz w:val="24"/>
        </w:rPr>
        <w:t xml:space="preserve">as </w:t>
      </w:r>
      <w:r>
        <w:rPr>
          <w:rFonts w:ascii="Bookman Old Style" w:hAnsi="Bookman Old Style"/>
          <w:i/>
          <w:sz w:val="24"/>
        </w:rPr>
        <w:t>an untouchable, so that I may lead a continuous struggle, a life-long struggle against the oppressions and indignities that have been heaped upon these classes of</w:t>
      </w:r>
      <w:r>
        <w:rPr>
          <w:rFonts w:ascii="Bookman Old Style" w:hAnsi="Bookman Old Style"/>
          <w:i/>
          <w:spacing w:val="5"/>
          <w:sz w:val="24"/>
        </w:rPr>
        <w:t xml:space="preserve"> </w:t>
      </w:r>
      <w:r>
        <w:rPr>
          <w:rFonts w:ascii="Bookman Old Style" w:hAnsi="Bookman Old Style"/>
          <w:i/>
          <w:sz w:val="24"/>
        </w:rPr>
        <w:t>people.</w:t>
      </w:r>
    </w:p>
    <w:p w:rsidR="003B2FC0" w:rsidRDefault="003B2FC0">
      <w:pPr>
        <w:pStyle w:val="BodyText"/>
        <w:rPr>
          <w:i/>
          <w:sz w:val="20"/>
        </w:rPr>
      </w:pPr>
    </w:p>
    <w:p w:rsidR="003B2FC0" w:rsidRDefault="003B2FC0">
      <w:pPr>
        <w:pStyle w:val="BodyText"/>
        <w:spacing w:before="8"/>
        <w:rPr>
          <w:i/>
          <w:sz w:val="15"/>
        </w:rPr>
      </w:pPr>
      <w:r w:rsidRPr="003B2FC0">
        <w:pict>
          <v:line id="_x0000_s1028" style="position:absolute;z-index:251684352;mso-wrap-distance-left:0;mso-wrap-distance-right:0;mso-position-horizontal-relative:page" from="1in,11.6pt" to="216.05pt,11.6pt" strokeweight=".72pt">
            <w10:wrap type="topAndBottom" anchorx="page"/>
          </v:line>
        </w:pict>
      </w:r>
    </w:p>
    <w:p w:rsidR="003B2FC0" w:rsidRDefault="00052A49">
      <w:pPr>
        <w:spacing w:before="72"/>
        <w:ind w:left="400" w:right="460"/>
        <w:jc w:val="both"/>
        <w:rPr>
          <w:rFonts w:ascii="Bookman Old Style" w:hAnsi="Bookman Old Style"/>
          <w:sz w:val="20"/>
        </w:rPr>
      </w:pPr>
      <w:r>
        <w:rPr>
          <w:rFonts w:ascii="Bookman Old Style" w:hAnsi="Bookman Old Style"/>
          <w:position w:val="5"/>
          <w:sz w:val="13"/>
        </w:rPr>
        <w:t xml:space="preserve">55 </w:t>
      </w:r>
      <w:r>
        <w:rPr>
          <w:rFonts w:ascii="Bookman Old Style" w:hAnsi="Bookman Old Style"/>
          <w:sz w:val="20"/>
        </w:rPr>
        <w:t>“</w:t>
      </w:r>
      <w:r>
        <w:rPr>
          <w:rFonts w:ascii="Bookman Old Style" w:hAnsi="Bookman Old Style"/>
          <w:i/>
          <w:sz w:val="20"/>
        </w:rPr>
        <w:t xml:space="preserve">11. </w:t>
      </w:r>
      <w:r>
        <w:rPr>
          <w:rFonts w:ascii="Bookman Old Style" w:hAnsi="Bookman Old Style"/>
          <w:sz w:val="20"/>
        </w:rPr>
        <w:t>“</w:t>
      </w:r>
      <w:r>
        <w:rPr>
          <w:rFonts w:ascii="Bookman Old Style" w:hAnsi="Bookman Old Style"/>
          <w:i/>
          <w:sz w:val="20"/>
        </w:rPr>
        <w:t>Untouchability</w:t>
      </w:r>
      <w:r>
        <w:rPr>
          <w:rFonts w:ascii="Bookman Old Style" w:hAnsi="Bookman Old Style"/>
          <w:sz w:val="20"/>
        </w:rPr>
        <w:t xml:space="preserve">” </w:t>
      </w:r>
      <w:r>
        <w:rPr>
          <w:rFonts w:ascii="Bookman Old Style" w:hAnsi="Bookman Old Style"/>
          <w:i/>
          <w:sz w:val="20"/>
        </w:rPr>
        <w:t xml:space="preserve">is abolished and its practice in any form is forbidden.  The enforcement of </w:t>
      </w:r>
      <w:r>
        <w:rPr>
          <w:rFonts w:ascii="Bookman Old Style" w:hAnsi="Bookman Old Style"/>
          <w:i/>
          <w:spacing w:val="-2"/>
          <w:sz w:val="20"/>
        </w:rPr>
        <w:t xml:space="preserve">any </w:t>
      </w:r>
      <w:r>
        <w:rPr>
          <w:rFonts w:ascii="Bookman Old Style" w:hAnsi="Bookman Old Style"/>
          <w:i/>
          <w:sz w:val="20"/>
        </w:rPr>
        <w:t xml:space="preserve">disability arising out of </w:t>
      </w:r>
      <w:r>
        <w:rPr>
          <w:rFonts w:ascii="Bookman Old Style" w:hAnsi="Bookman Old Style"/>
          <w:sz w:val="20"/>
        </w:rPr>
        <w:t>“</w:t>
      </w:r>
      <w:r>
        <w:rPr>
          <w:rFonts w:ascii="Bookman Old Style" w:hAnsi="Bookman Old Style"/>
          <w:i/>
          <w:sz w:val="20"/>
        </w:rPr>
        <w:t>Untouchability</w:t>
      </w:r>
      <w:r>
        <w:rPr>
          <w:rFonts w:ascii="Bookman Old Style" w:hAnsi="Bookman Old Style"/>
          <w:sz w:val="20"/>
        </w:rPr>
        <w:t xml:space="preserve">" </w:t>
      </w:r>
      <w:r>
        <w:rPr>
          <w:rFonts w:ascii="Bookman Old Style" w:hAnsi="Bookman Old Style"/>
          <w:i/>
          <w:sz w:val="20"/>
        </w:rPr>
        <w:t>shall be an offence punishable in accordance with</w:t>
      </w:r>
      <w:r>
        <w:rPr>
          <w:rFonts w:ascii="Bookman Old Style" w:hAnsi="Bookman Old Style"/>
          <w:i/>
          <w:spacing w:val="2"/>
          <w:sz w:val="20"/>
        </w:rPr>
        <w:t xml:space="preserve"> </w:t>
      </w:r>
      <w:r>
        <w:rPr>
          <w:rFonts w:ascii="Bookman Old Style" w:hAnsi="Bookman Old Style"/>
          <w:i/>
          <w:sz w:val="20"/>
        </w:rPr>
        <w:t>law.</w:t>
      </w:r>
      <w:r>
        <w:rPr>
          <w:rFonts w:ascii="Bookman Old Style" w:hAnsi="Bookman Old Style"/>
          <w:sz w:val="20"/>
        </w:rPr>
        <w:t>”</w:t>
      </w:r>
    </w:p>
    <w:p w:rsidR="003B2FC0" w:rsidRDefault="00052A49">
      <w:pPr>
        <w:ind w:left="400" w:right="458"/>
        <w:jc w:val="both"/>
        <w:rPr>
          <w:rFonts w:ascii="Bookman Old Style"/>
          <w:sz w:val="20"/>
        </w:rPr>
      </w:pPr>
      <w:r>
        <w:rPr>
          <w:rFonts w:ascii="Bookman Old Style"/>
          <w:i/>
          <w:sz w:val="20"/>
        </w:rPr>
        <w:t>Draft Constitution of India</w:t>
      </w:r>
      <w:r>
        <w:rPr>
          <w:rFonts w:ascii="Bookman Old Style"/>
          <w:sz w:val="20"/>
        </w:rPr>
        <w:t>, Drafting Committee of the Constituent Assembly o</w:t>
      </w:r>
      <w:r>
        <w:rPr>
          <w:rFonts w:ascii="Bookman Old Style"/>
          <w:sz w:val="20"/>
        </w:rPr>
        <w:t>f India (Manager Government of India Press, New Delhi, 1948) available at http://14.139.60.114:8080/jspui/bitstream/123456789/966/7/Fundamental%20Rights% 20%285-12%29.pdf</w:t>
      </w:r>
    </w:p>
    <w:p w:rsidR="003B2FC0" w:rsidRDefault="00052A49">
      <w:pPr>
        <w:ind w:left="400" w:right="468"/>
        <w:jc w:val="both"/>
        <w:rPr>
          <w:rFonts w:ascii="Bookman Old Style"/>
          <w:sz w:val="20"/>
        </w:rPr>
      </w:pPr>
      <w:r>
        <w:rPr>
          <w:rFonts w:ascii="Bookman Old Style"/>
          <w:position w:val="5"/>
          <w:sz w:val="13"/>
        </w:rPr>
        <w:t xml:space="preserve">56 </w:t>
      </w:r>
      <w:r>
        <w:rPr>
          <w:rFonts w:ascii="Bookman Old Style"/>
          <w:sz w:val="20"/>
        </w:rPr>
        <w:t>Statement of Shri V.I. Muniswamy Pillai, Constituent Assembly Debates (November 29</w:t>
      </w:r>
      <w:r>
        <w:rPr>
          <w:rFonts w:ascii="Bookman Old Style"/>
          <w:sz w:val="20"/>
        </w:rPr>
        <w:t>, 1948)</w:t>
      </w:r>
    </w:p>
    <w:p w:rsidR="003B2FC0" w:rsidRDefault="003B2FC0">
      <w:pPr>
        <w:jc w:val="both"/>
        <w:rPr>
          <w:rFonts w:ascii="Bookman Old Style"/>
          <w:sz w:val="20"/>
        </w:rPr>
        <w:sectPr w:rsidR="003B2FC0">
          <w:headerReference w:type="default" r:id="rId529"/>
          <w:footerReference w:type="default" r:id="rId530"/>
          <w:pgSz w:w="11910" w:h="16840"/>
          <w:pgMar w:top="1340" w:right="980" w:bottom="1220" w:left="1040" w:header="0" w:footer="1033" w:gutter="0"/>
          <w:pgNumType w:start="68"/>
          <w:cols w:space="720"/>
        </w:sectPr>
      </w:pPr>
    </w:p>
    <w:p w:rsidR="003B2FC0" w:rsidRDefault="00052A49">
      <w:pPr>
        <w:spacing w:before="81"/>
        <w:ind w:left="1818" w:right="838"/>
        <w:jc w:val="both"/>
        <w:rPr>
          <w:rFonts w:ascii="Bookman Old Style" w:hAnsi="Bookman Old Style"/>
          <w:sz w:val="16"/>
        </w:rPr>
      </w:pPr>
      <w:r>
        <w:rPr>
          <w:rFonts w:ascii="Bookman Old Style" w:hAnsi="Bookman Old Style"/>
          <w:i/>
          <w:sz w:val="24"/>
        </w:rPr>
        <w:t xml:space="preserve">… Not only Mahatma Gandhi, but also great men and </w:t>
      </w:r>
      <w:r>
        <w:rPr>
          <w:rFonts w:ascii="Bookman Old Style" w:hAnsi="Bookman Old Style"/>
          <w:i/>
          <w:sz w:val="24"/>
        </w:rPr>
        <w:t>philosophers of this ancient land, Swami Vivekananda, Raja Ram Mohan Roy, Rabindranath Tagore and others, who led a relentless struggle against this heinous custom, would also be very much pleased today to see that independent India, Free India, has at las</w:t>
      </w:r>
      <w:r>
        <w:rPr>
          <w:rFonts w:ascii="Bookman Old Style" w:hAnsi="Bookman Old Style"/>
          <w:i/>
          <w:sz w:val="24"/>
        </w:rPr>
        <w:t>t finally done away with this malignant sore on the body of Indian Society.</w:t>
      </w:r>
      <w:r>
        <w:rPr>
          <w:rFonts w:ascii="Bookman Old Style" w:hAnsi="Bookman Old Style"/>
          <w:sz w:val="24"/>
        </w:rPr>
        <w:t>”</w:t>
      </w:r>
      <w:r>
        <w:rPr>
          <w:rFonts w:ascii="Bookman Old Style" w:hAnsi="Bookman Old Style"/>
          <w:position w:val="6"/>
          <w:sz w:val="16"/>
        </w:rPr>
        <w:t>57</w:t>
      </w:r>
    </w:p>
    <w:p w:rsidR="003B2FC0" w:rsidRDefault="003B2FC0">
      <w:pPr>
        <w:pStyle w:val="BodyText"/>
        <w:spacing w:before="2"/>
        <w:rPr>
          <w:sz w:val="24"/>
        </w:rPr>
      </w:pPr>
    </w:p>
    <w:p w:rsidR="003B2FC0" w:rsidRDefault="00052A49">
      <w:pPr>
        <w:spacing w:line="480" w:lineRule="auto"/>
        <w:ind w:left="1252" w:right="457" w:firstLine="424"/>
        <w:jc w:val="both"/>
        <w:rPr>
          <w:rFonts w:ascii="Bookman Old Style" w:hAnsi="Bookman Old Style"/>
          <w:sz w:val="16"/>
        </w:rPr>
      </w:pPr>
      <w:r>
        <w:rPr>
          <w:rFonts w:ascii="Bookman Old Style" w:hAnsi="Bookman Old Style"/>
          <w:sz w:val="24"/>
        </w:rPr>
        <w:t>Mr. Seervai, in his seminal commentary, states that “Untouchability” must not be interpreted in its literal or grammatical sense, but refers to the practise as it developed his</w:t>
      </w:r>
      <w:r>
        <w:rPr>
          <w:rFonts w:ascii="Bookman Old Style" w:hAnsi="Bookman Old Style"/>
          <w:sz w:val="24"/>
        </w:rPr>
        <w:t>torically in India amongst Hindus. He further states that Article 17 must be read with the Untouchability (Offences) Act, 1955, which punishes offences committed in relation to a member of a Scheduled Caste.</w:t>
      </w:r>
      <w:r>
        <w:rPr>
          <w:rFonts w:ascii="Bookman Old Style" w:hAnsi="Bookman Old Style"/>
          <w:position w:val="6"/>
          <w:sz w:val="16"/>
        </w:rPr>
        <w:t>58</w:t>
      </w:r>
    </w:p>
    <w:p w:rsidR="003B2FC0" w:rsidRDefault="00052A49">
      <w:pPr>
        <w:spacing w:before="2"/>
        <w:ind w:left="1677"/>
        <w:rPr>
          <w:rFonts w:ascii="Bookman Old Style"/>
          <w:sz w:val="24"/>
        </w:rPr>
      </w:pPr>
      <w:r>
        <w:rPr>
          <w:rFonts w:ascii="Bookman Old Style"/>
          <w:sz w:val="24"/>
        </w:rPr>
        <w:t>Professor M.P. Jain also interprets Article 17</w:t>
      </w:r>
      <w:r>
        <w:rPr>
          <w:rFonts w:ascii="Bookman Old Style"/>
          <w:sz w:val="24"/>
        </w:rPr>
        <w:t xml:space="preserve"> in a similar manner.</w:t>
      </w:r>
    </w:p>
    <w:p w:rsidR="003B2FC0" w:rsidRDefault="003B2FC0">
      <w:pPr>
        <w:pStyle w:val="BodyText"/>
        <w:rPr>
          <w:sz w:val="24"/>
        </w:rPr>
      </w:pPr>
    </w:p>
    <w:p w:rsidR="003B2FC0" w:rsidRDefault="00052A49">
      <w:pPr>
        <w:ind w:left="1252"/>
        <w:rPr>
          <w:rFonts w:ascii="Bookman Old Style"/>
          <w:sz w:val="24"/>
        </w:rPr>
      </w:pPr>
      <w:r>
        <w:rPr>
          <w:rFonts w:ascii="Bookman Old Style"/>
          <w:sz w:val="24"/>
        </w:rPr>
        <w:t>He states:</w:t>
      </w:r>
    </w:p>
    <w:p w:rsidR="003B2FC0" w:rsidRDefault="003B2FC0">
      <w:pPr>
        <w:pStyle w:val="BodyText"/>
        <w:spacing w:before="8"/>
        <w:rPr>
          <w:sz w:val="23"/>
        </w:rPr>
      </w:pPr>
    </w:p>
    <w:p w:rsidR="003B2FC0" w:rsidRDefault="00052A49">
      <w:pPr>
        <w:ind w:left="1818" w:right="837"/>
        <w:jc w:val="both"/>
        <w:rPr>
          <w:rFonts w:ascii="Bookman Old Style" w:hAnsi="Bookman Old Style"/>
          <w:sz w:val="16"/>
        </w:rPr>
      </w:pPr>
      <w:r>
        <w:rPr>
          <w:rFonts w:ascii="Bookman Old Style" w:hAnsi="Bookman Old Style"/>
          <w:sz w:val="24"/>
        </w:rPr>
        <w:t>“</w:t>
      </w:r>
      <w:r>
        <w:rPr>
          <w:rFonts w:ascii="Bookman Old Style" w:hAnsi="Bookman Old Style"/>
          <w:i/>
          <w:sz w:val="24"/>
        </w:rPr>
        <w:t>Therefore, treating of persons as untouchables either temporarily or otherwise for various reasons, e.g., suffering from an epidemic or a contagious disease, or social observances associated with birth or death, or socia</w:t>
      </w:r>
      <w:r>
        <w:rPr>
          <w:rFonts w:ascii="Bookman Old Style" w:hAnsi="Bookman Old Style"/>
          <w:i/>
          <w:sz w:val="24"/>
        </w:rPr>
        <w:t>l boycott resulting from caste or other disputes do no come within the purview of Art. 17. Art. 17 is concerned with those regarded untouchables in the course of historic developments.</w:t>
      </w:r>
      <w:r>
        <w:rPr>
          <w:rFonts w:ascii="Bookman Old Style" w:hAnsi="Bookman Old Style"/>
          <w:sz w:val="24"/>
        </w:rPr>
        <w:t>”</w:t>
      </w:r>
      <w:r>
        <w:rPr>
          <w:rFonts w:ascii="Bookman Old Style" w:hAnsi="Bookman Old Style"/>
          <w:position w:val="6"/>
          <w:sz w:val="16"/>
        </w:rPr>
        <w:t>59</w:t>
      </w:r>
    </w:p>
    <w:p w:rsidR="003B2FC0" w:rsidRDefault="003B2FC0">
      <w:pPr>
        <w:pStyle w:val="BodyText"/>
        <w:spacing w:before="4"/>
        <w:rPr>
          <w:sz w:val="24"/>
        </w:rPr>
      </w:pPr>
    </w:p>
    <w:p w:rsidR="003B2FC0" w:rsidRDefault="00052A49">
      <w:pPr>
        <w:pStyle w:val="ListParagraph"/>
        <w:numPr>
          <w:ilvl w:val="1"/>
          <w:numId w:val="3"/>
        </w:numPr>
        <w:tabs>
          <w:tab w:val="left" w:pos="1253"/>
        </w:tabs>
        <w:spacing w:line="480" w:lineRule="auto"/>
        <w:ind w:right="455"/>
        <w:rPr>
          <w:rFonts w:ascii="Bookman Old Style"/>
          <w:sz w:val="24"/>
        </w:rPr>
      </w:pPr>
      <w:r>
        <w:rPr>
          <w:rFonts w:ascii="Bookman Old Style"/>
          <w:sz w:val="24"/>
        </w:rPr>
        <w:t>It is clear that Article 17 refers to the practise of Untouchabilit</w:t>
      </w:r>
      <w:r>
        <w:rPr>
          <w:rFonts w:ascii="Bookman Old Style"/>
          <w:sz w:val="24"/>
        </w:rPr>
        <w:t xml:space="preserve">y as committed in the Hindu community against </w:t>
      </w:r>
      <w:r>
        <w:rPr>
          <w:rFonts w:ascii="Bookman Old Style"/>
          <w:i/>
          <w:sz w:val="24"/>
        </w:rPr>
        <w:t xml:space="preserve">Harijans </w:t>
      </w:r>
      <w:r>
        <w:rPr>
          <w:rFonts w:ascii="Bookman Old Style"/>
          <w:sz w:val="24"/>
        </w:rPr>
        <w:t>or people from depressed classes, and not women, as contended by the</w:t>
      </w:r>
      <w:r>
        <w:rPr>
          <w:rFonts w:ascii="Bookman Old Style"/>
          <w:spacing w:val="-20"/>
          <w:sz w:val="24"/>
        </w:rPr>
        <w:t xml:space="preserve"> </w:t>
      </w:r>
      <w:r>
        <w:rPr>
          <w:rFonts w:ascii="Bookman Old Style"/>
          <w:sz w:val="24"/>
        </w:rPr>
        <w:t>Petitioners.</w:t>
      </w:r>
    </w:p>
    <w:p w:rsidR="003B2FC0" w:rsidRDefault="00052A49">
      <w:pPr>
        <w:pStyle w:val="ListParagraph"/>
        <w:numPr>
          <w:ilvl w:val="1"/>
          <w:numId w:val="3"/>
        </w:numPr>
        <w:tabs>
          <w:tab w:val="left" w:pos="1253"/>
        </w:tabs>
        <w:spacing w:line="480" w:lineRule="auto"/>
        <w:ind w:right="451"/>
        <w:rPr>
          <w:rFonts w:ascii="Bookman Old Style"/>
          <w:sz w:val="24"/>
        </w:rPr>
      </w:pPr>
      <w:r>
        <w:rPr>
          <w:rFonts w:ascii="Bookman Old Style"/>
          <w:sz w:val="24"/>
        </w:rPr>
        <w:t xml:space="preserve">Explaining the background to Article 17, this Court in </w:t>
      </w:r>
      <w:r>
        <w:rPr>
          <w:rFonts w:ascii="Bookman Old Style"/>
          <w:i/>
          <w:sz w:val="24"/>
        </w:rPr>
        <w:t xml:space="preserve">Sri Venkataramana Devaru &amp; Ors. </w:t>
      </w:r>
      <w:r>
        <w:rPr>
          <w:rFonts w:ascii="Bookman Old Style"/>
          <w:sz w:val="24"/>
        </w:rPr>
        <w:t xml:space="preserve">v. </w:t>
      </w:r>
      <w:r>
        <w:rPr>
          <w:rFonts w:ascii="Bookman Old Style"/>
          <w:i/>
          <w:sz w:val="24"/>
        </w:rPr>
        <w:t xml:space="preserve">State of Mysore &amp; Ors. </w:t>
      </w:r>
      <w:r>
        <w:rPr>
          <w:rFonts w:ascii="Bookman Old Style"/>
          <w:sz w:val="24"/>
        </w:rPr>
        <w:t>(supra</w:t>
      </w:r>
      <w:r>
        <w:rPr>
          <w:rFonts w:ascii="Bookman Old Style"/>
          <w:sz w:val="24"/>
        </w:rPr>
        <w:t>) observed:</w:t>
      </w:r>
    </w:p>
    <w:p w:rsidR="003B2FC0" w:rsidRDefault="003B2FC0">
      <w:pPr>
        <w:pStyle w:val="BodyText"/>
        <w:spacing w:before="8"/>
        <w:rPr>
          <w:sz w:val="19"/>
        </w:rPr>
      </w:pPr>
      <w:r w:rsidRPr="003B2FC0">
        <w:pict>
          <v:line id="_x0000_s1027" style="position:absolute;z-index:251685376;mso-wrap-distance-left:0;mso-wrap-distance-right:0;mso-position-horizontal-relative:page" from="1in,13.9pt" to="216.05pt,13.9pt" strokeweight=".72pt">
            <w10:wrap type="topAndBottom" anchorx="page"/>
          </v:line>
        </w:pict>
      </w:r>
    </w:p>
    <w:p w:rsidR="003B2FC0" w:rsidRDefault="00052A49">
      <w:pPr>
        <w:spacing w:before="69"/>
        <w:ind w:left="400"/>
        <w:rPr>
          <w:rFonts w:ascii="Bookman Old Style"/>
          <w:sz w:val="20"/>
        </w:rPr>
      </w:pPr>
      <w:r>
        <w:rPr>
          <w:rFonts w:ascii="Bookman Old Style"/>
          <w:position w:val="5"/>
          <w:sz w:val="13"/>
        </w:rPr>
        <w:t xml:space="preserve">57 </w:t>
      </w:r>
      <w:r>
        <w:rPr>
          <w:rFonts w:ascii="Bookman Old Style"/>
          <w:sz w:val="20"/>
        </w:rPr>
        <w:t>Statement of Dr. Monomohan Das, Constituent Assembly Debates (November 29, 1948)</w:t>
      </w:r>
    </w:p>
    <w:p w:rsidR="003B2FC0" w:rsidRDefault="00052A49">
      <w:pPr>
        <w:spacing w:before="1"/>
        <w:ind w:left="400" w:right="434"/>
        <w:rPr>
          <w:rFonts w:ascii="Bookman Old Style"/>
          <w:sz w:val="20"/>
        </w:rPr>
      </w:pPr>
      <w:r>
        <w:rPr>
          <w:rFonts w:ascii="Bookman Old Style"/>
          <w:position w:val="5"/>
          <w:sz w:val="13"/>
        </w:rPr>
        <w:t xml:space="preserve">58 </w:t>
      </w:r>
      <w:r>
        <w:rPr>
          <w:rFonts w:ascii="Bookman Old Style"/>
          <w:sz w:val="20"/>
        </w:rPr>
        <w:t xml:space="preserve">H.M. Seervai, </w:t>
      </w:r>
      <w:r>
        <w:rPr>
          <w:rFonts w:ascii="Bookman Old Style"/>
          <w:i/>
          <w:sz w:val="20"/>
        </w:rPr>
        <w:t xml:space="preserve">Constitutional Law of India : A Critical Commentary, </w:t>
      </w:r>
      <w:r>
        <w:rPr>
          <w:rFonts w:ascii="Bookman Old Style"/>
          <w:sz w:val="20"/>
        </w:rPr>
        <w:t>Vol. I (4</w:t>
      </w:r>
      <w:r>
        <w:rPr>
          <w:rFonts w:ascii="Bookman Old Style"/>
          <w:position w:val="5"/>
          <w:sz w:val="13"/>
        </w:rPr>
        <w:t xml:space="preserve">th </w:t>
      </w:r>
      <w:r>
        <w:rPr>
          <w:rFonts w:ascii="Bookman Old Style"/>
          <w:sz w:val="20"/>
        </w:rPr>
        <w:t>Ed., Reprint 1999), paragraph 9.418 at p. 691</w:t>
      </w:r>
    </w:p>
    <w:p w:rsidR="003B2FC0" w:rsidRDefault="00052A49">
      <w:pPr>
        <w:spacing w:before="1"/>
        <w:ind w:left="400" w:right="434"/>
        <w:rPr>
          <w:rFonts w:ascii="Bookman Old Style"/>
          <w:sz w:val="20"/>
        </w:rPr>
      </w:pPr>
      <w:r>
        <w:rPr>
          <w:rFonts w:ascii="Bookman Old Style"/>
          <w:position w:val="5"/>
          <w:sz w:val="13"/>
        </w:rPr>
        <w:t xml:space="preserve">59 </w:t>
      </w:r>
      <w:r>
        <w:rPr>
          <w:rFonts w:ascii="Bookman Old Style"/>
          <w:sz w:val="20"/>
        </w:rPr>
        <w:t xml:space="preserve">M.P. Jain, </w:t>
      </w:r>
      <w:r>
        <w:rPr>
          <w:rFonts w:ascii="Bookman Old Style"/>
          <w:i/>
          <w:sz w:val="20"/>
        </w:rPr>
        <w:t>Indian Constitutional Law</w:t>
      </w:r>
      <w:r>
        <w:rPr>
          <w:rFonts w:ascii="Bookman Old Style"/>
          <w:sz w:val="20"/>
        </w:rPr>
        <w:t>, (6</w:t>
      </w:r>
      <w:r>
        <w:rPr>
          <w:rFonts w:ascii="Bookman Old Style"/>
          <w:position w:val="5"/>
          <w:sz w:val="13"/>
        </w:rPr>
        <w:t xml:space="preserve">th </w:t>
      </w:r>
      <w:r>
        <w:rPr>
          <w:rFonts w:ascii="Bookman Old Style"/>
          <w:sz w:val="20"/>
        </w:rPr>
        <w:t>Ed., Revised by Justice Ruma Pal and Samaraditya Pal; 2010), at p. 1067</w:t>
      </w:r>
    </w:p>
    <w:p w:rsidR="003B2FC0" w:rsidRDefault="003B2FC0">
      <w:pPr>
        <w:rPr>
          <w:rFonts w:ascii="Bookman Old Style"/>
          <w:sz w:val="20"/>
        </w:rPr>
        <w:sectPr w:rsidR="003B2FC0">
          <w:headerReference w:type="default" r:id="rId531"/>
          <w:footerReference w:type="default" r:id="rId532"/>
          <w:pgSz w:w="11910" w:h="16840"/>
          <w:pgMar w:top="1340" w:right="980" w:bottom="1220" w:left="1040" w:header="0" w:footer="1033" w:gutter="0"/>
          <w:pgNumType w:start="69"/>
          <w:cols w:space="720"/>
        </w:sectPr>
      </w:pPr>
    </w:p>
    <w:p w:rsidR="003B2FC0" w:rsidRDefault="00052A49">
      <w:pPr>
        <w:spacing w:before="81"/>
        <w:ind w:left="1818" w:right="835"/>
        <w:jc w:val="both"/>
        <w:rPr>
          <w:rFonts w:ascii="Bookman Old Style" w:hAnsi="Bookman Old Style"/>
          <w:i/>
          <w:sz w:val="24"/>
        </w:rPr>
      </w:pPr>
      <w:r>
        <w:rPr>
          <w:rFonts w:ascii="Bookman Old Style" w:hAnsi="Bookman Old Style"/>
          <w:sz w:val="24"/>
        </w:rPr>
        <w:t>“</w:t>
      </w:r>
      <w:r>
        <w:rPr>
          <w:rFonts w:ascii="Bookman Old Style" w:hAnsi="Bookman Old Style"/>
          <w:i/>
          <w:sz w:val="24"/>
        </w:rPr>
        <w:t>23</w:t>
      </w:r>
      <w:r>
        <w:rPr>
          <w:rFonts w:ascii="Bookman Old Style" w:hAnsi="Bookman Old Style"/>
          <w:sz w:val="24"/>
        </w:rPr>
        <w:t xml:space="preserve">. …. </w:t>
      </w:r>
      <w:r>
        <w:rPr>
          <w:rFonts w:ascii="Bookman Old Style" w:hAnsi="Bookman Old Style"/>
          <w:i/>
          <w:sz w:val="24"/>
        </w:rPr>
        <w:t>one of the problems which had been exercising the minds of the Hindu social reformers during the peri</w:t>
      </w:r>
      <w:r>
        <w:rPr>
          <w:rFonts w:ascii="Bookman Old Style" w:hAnsi="Bookman Old Style"/>
          <w:i/>
          <w:sz w:val="24"/>
        </w:rPr>
        <w:t xml:space="preserve">od preceding the Constitution </w:t>
      </w:r>
      <w:r>
        <w:rPr>
          <w:rFonts w:ascii="Bookman Old Style" w:hAnsi="Bookman Old Style"/>
          <w:i/>
          <w:spacing w:val="-4"/>
          <w:sz w:val="24"/>
        </w:rPr>
        <w:t xml:space="preserve">was </w:t>
      </w:r>
      <w:r>
        <w:rPr>
          <w:rFonts w:ascii="Bookman Old Style" w:hAnsi="Bookman Old Style"/>
          <w:i/>
          <w:sz w:val="24"/>
        </w:rPr>
        <w:t xml:space="preserve">the existence </w:t>
      </w:r>
      <w:r>
        <w:rPr>
          <w:rFonts w:ascii="Bookman Old Style" w:hAnsi="Bookman Old Style"/>
          <w:i/>
          <w:spacing w:val="-3"/>
          <w:sz w:val="24"/>
        </w:rPr>
        <w:t xml:space="preserve">in </w:t>
      </w:r>
      <w:r>
        <w:rPr>
          <w:rFonts w:ascii="Bookman Old Style" w:hAnsi="Bookman Old Style"/>
          <w:i/>
          <w:sz w:val="24"/>
        </w:rPr>
        <w:t xml:space="preserve">their midst of communities which were classed </w:t>
      </w:r>
      <w:r>
        <w:rPr>
          <w:rFonts w:ascii="Bookman Old Style" w:hAnsi="Bookman Old Style"/>
          <w:i/>
          <w:spacing w:val="-3"/>
          <w:sz w:val="24"/>
        </w:rPr>
        <w:t xml:space="preserve">as </w:t>
      </w:r>
      <w:r>
        <w:rPr>
          <w:rFonts w:ascii="Bookman Old Style" w:hAnsi="Bookman Old Style"/>
          <w:i/>
          <w:sz w:val="24"/>
        </w:rPr>
        <w:t xml:space="preserve">untouchables. A custom which denied to large sections of Hindus the right to use public roads and institutions </w:t>
      </w:r>
      <w:r>
        <w:rPr>
          <w:rFonts w:ascii="Bookman Old Style" w:hAnsi="Bookman Old Style"/>
          <w:i/>
          <w:spacing w:val="-3"/>
          <w:sz w:val="24"/>
        </w:rPr>
        <w:t xml:space="preserve">to </w:t>
      </w:r>
      <w:r>
        <w:rPr>
          <w:rFonts w:ascii="Bookman Old Style" w:hAnsi="Bookman Old Style"/>
          <w:i/>
          <w:sz w:val="24"/>
        </w:rPr>
        <w:t xml:space="preserve">which all the other Hindus had a right of </w:t>
      </w:r>
      <w:r>
        <w:rPr>
          <w:rFonts w:ascii="Bookman Old Style" w:hAnsi="Bookman Old Style"/>
          <w:i/>
          <w:sz w:val="24"/>
        </w:rPr>
        <w:t xml:space="preserve">access, purely on grounds of birth could not be considered reasonable and defended on any sound democratic principle, and efforts were being made to secure its abolition by legislation. This culminated </w:t>
      </w:r>
      <w:r>
        <w:rPr>
          <w:rFonts w:ascii="Bookman Old Style" w:hAnsi="Bookman Old Style"/>
          <w:i/>
          <w:spacing w:val="-3"/>
          <w:sz w:val="24"/>
        </w:rPr>
        <w:t xml:space="preserve">in </w:t>
      </w:r>
      <w:r>
        <w:rPr>
          <w:rFonts w:ascii="Bookman Old Style" w:hAnsi="Bookman Old Style"/>
          <w:i/>
          <w:sz w:val="24"/>
        </w:rPr>
        <w:t>the enactment of Article 17, which is as follows: “</w:t>
      </w:r>
      <w:r>
        <w:rPr>
          <w:rFonts w:ascii="Bookman Old Style" w:hAnsi="Bookman Old Style"/>
          <w:i/>
          <w:sz w:val="24"/>
        </w:rPr>
        <w:t xml:space="preserve">Untouchability” is abolished and its practise </w:t>
      </w:r>
      <w:r>
        <w:rPr>
          <w:rFonts w:ascii="Bookman Old Style" w:hAnsi="Bookman Old Style"/>
          <w:i/>
          <w:spacing w:val="-3"/>
          <w:sz w:val="24"/>
        </w:rPr>
        <w:t xml:space="preserve">in </w:t>
      </w:r>
      <w:r>
        <w:rPr>
          <w:rFonts w:ascii="Bookman Old Style" w:hAnsi="Bookman Old Style"/>
          <w:i/>
          <w:sz w:val="24"/>
        </w:rPr>
        <w:t xml:space="preserve">any </w:t>
      </w:r>
      <w:r>
        <w:rPr>
          <w:rFonts w:ascii="Bookman Old Style" w:hAnsi="Bookman Old Style"/>
          <w:i/>
          <w:spacing w:val="2"/>
          <w:sz w:val="24"/>
        </w:rPr>
        <w:t xml:space="preserve">form </w:t>
      </w:r>
      <w:r>
        <w:rPr>
          <w:rFonts w:ascii="Bookman Old Style" w:hAnsi="Bookman Old Style"/>
          <w:i/>
          <w:sz w:val="24"/>
        </w:rPr>
        <w:t xml:space="preserve">is forbidden. The enforcement of any disability arising out of ‘Untouchability’ shall be an offence punishable in accordance </w:t>
      </w:r>
      <w:r>
        <w:rPr>
          <w:rFonts w:ascii="Bookman Old Style" w:hAnsi="Bookman Old Style"/>
          <w:i/>
          <w:spacing w:val="-3"/>
          <w:sz w:val="24"/>
        </w:rPr>
        <w:t>with</w:t>
      </w:r>
      <w:r>
        <w:rPr>
          <w:rFonts w:ascii="Bookman Old Style" w:hAnsi="Bookman Old Style"/>
          <w:i/>
          <w:spacing w:val="11"/>
          <w:sz w:val="24"/>
        </w:rPr>
        <w:t xml:space="preserve"> </w:t>
      </w:r>
      <w:r>
        <w:rPr>
          <w:rFonts w:ascii="Bookman Old Style" w:hAnsi="Bookman Old Style"/>
          <w:i/>
          <w:sz w:val="24"/>
        </w:rPr>
        <w:t>law.”</w:t>
      </w:r>
    </w:p>
    <w:p w:rsidR="003B2FC0" w:rsidRDefault="003B2FC0">
      <w:pPr>
        <w:pStyle w:val="BodyText"/>
        <w:spacing w:before="1"/>
        <w:rPr>
          <w:i/>
          <w:sz w:val="23"/>
        </w:rPr>
      </w:pPr>
    </w:p>
    <w:p w:rsidR="003B2FC0" w:rsidRDefault="00052A49">
      <w:pPr>
        <w:pStyle w:val="ListParagraph"/>
        <w:numPr>
          <w:ilvl w:val="1"/>
          <w:numId w:val="3"/>
        </w:numPr>
        <w:tabs>
          <w:tab w:val="left" w:pos="1252"/>
          <w:tab w:val="left" w:pos="1253"/>
        </w:tabs>
        <w:spacing w:line="480" w:lineRule="auto"/>
        <w:ind w:right="460"/>
        <w:rPr>
          <w:rFonts w:ascii="Bookman Old Style"/>
          <w:sz w:val="24"/>
        </w:rPr>
      </w:pPr>
      <w:r>
        <w:rPr>
          <w:rFonts w:ascii="Bookman Old Style"/>
          <w:sz w:val="24"/>
        </w:rPr>
        <w:t>Not a single precedent has been shown to interpret Article 17 in the manner contended by the</w:t>
      </w:r>
      <w:r>
        <w:rPr>
          <w:rFonts w:ascii="Bookman Old Style"/>
          <w:spacing w:val="-2"/>
          <w:sz w:val="24"/>
        </w:rPr>
        <w:t xml:space="preserve"> </w:t>
      </w:r>
      <w:r>
        <w:rPr>
          <w:rFonts w:ascii="Bookman Old Style"/>
          <w:sz w:val="24"/>
        </w:rPr>
        <w:t>Petitioners.</w:t>
      </w:r>
    </w:p>
    <w:p w:rsidR="003B2FC0" w:rsidRDefault="00052A49">
      <w:pPr>
        <w:spacing w:before="1" w:line="480" w:lineRule="auto"/>
        <w:ind w:left="1252" w:right="434" w:firstLine="424"/>
        <w:rPr>
          <w:rFonts w:ascii="Bookman Old Style"/>
          <w:sz w:val="24"/>
        </w:rPr>
      </w:pPr>
      <w:r>
        <w:rPr>
          <w:rFonts w:ascii="Bookman Old Style"/>
          <w:sz w:val="24"/>
        </w:rPr>
        <w:t>It is also relevant to mention that the Counsel for the State of Kerala did not support this submission.</w:t>
      </w:r>
    </w:p>
    <w:p w:rsidR="003B2FC0" w:rsidRDefault="003B2FC0">
      <w:pPr>
        <w:pStyle w:val="BodyText"/>
      </w:pPr>
    </w:p>
    <w:p w:rsidR="003B2FC0" w:rsidRDefault="00052A49">
      <w:pPr>
        <w:pStyle w:val="ListParagraph"/>
        <w:numPr>
          <w:ilvl w:val="0"/>
          <w:numId w:val="13"/>
        </w:numPr>
        <w:tabs>
          <w:tab w:val="left" w:pos="543"/>
        </w:tabs>
        <w:spacing w:before="234"/>
        <w:ind w:hanging="426"/>
        <w:jc w:val="left"/>
        <w:rPr>
          <w:rFonts w:ascii="Bookman Old Style"/>
          <w:sz w:val="19"/>
        </w:rPr>
      </w:pPr>
      <w:r>
        <w:rPr>
          <w:rFonts w:ascii="Bookman Old Style"/>
          <w:sz w:val="24"/>
          <w:u w:val="single"/>
        </w:rPr>
        <w:t>R</w:t>
      </w:r>
      <w:r>
        <w:rPr>
          <w:rFonts w:ascii="Bookman Old Style"/>
          <w:sz w:val="19"/>
          <w:u w:val="single"/>
        </w:rPr>
        <w:t xml:space="preserve">ULE </w:t>
      </w:r>
      <w:r>
        <w:rPr>
          <w:rFonts w:ascii="Bookman Old Style"/>
          <w:sz w:val="24"/>
          <w:u w:val="single"/>
        </w:rPr>
        <w:t>3(</w:t>
      </w:r>
      <w:r>
        <w:rPr>
          <w:rFonts w:ascii="Bookman Old Style"/>
          <w:sz w:val="19"/>
          <w:u w:val="single"/>
        </w:rPr>
        <w:t>B</w:t>
      </w:r>
      <w:r>
        <w:rPr>
          <w:rFonts w:ascii="Bookman Old Style"/>
          <w:sz w:val="24"/>
          <w:u w:val="single"/>
        </w:rPr>
        <w:t xml:space="preserve">) </w:t>
      </w:r>
      <w:r>
        <w:rPr>
          <w:rFonts w:ascii="Bookman Old Style"/>
          <w:sz w:val="19"/>
          <w:u w:val="single"/>
        </w:rPr>
        <w:t xml:space="preserve">OF THE </w:t>
      </w:r>
      <w:r>
        <w:rPr>
          <w:rFonts w:ascii="Bookman Old Style"/>
          <w:sz w:val="24"/>
          <w:u w:val="single"/>
        </w:rPr>
        <w:t xml:space="preserve">1965 </w:t>
      </w:r>
      <w:r>
        <w:rPr>
          <w:rFonts w:ascii="Bookman Old Style"/>
          <w:sz w:val="19"/>
          <w:u w:val="single"/>
        </w:rPr>
        <w:t xml:space="preserve">RULES IS NOT </w:t>
      </w:r>
      <w:r>
        <w:rPr>
          <w:rFonts w:ascii="Bookman Old Style"/>
          <w:i/>
          <w:sz w:val="19"/>
          <w:u w:val="single"/>
        </w:rPr>
        <w:t>ULTRA VIR</w:t>
      </w:r>
      <w:r>
        <w:rPr>
          <w:rFonts w:ascii="Bookman Old Style"/>
          <w:i/>
          <w:sz w:val="19"/>
          <w:u w:val="single"/>
        </w:rPr>
        <w:t xml:space="preserve">ES </w:t>
      </w:r>
      <w:r>
        <w:rPr>
          <w:rFonts w:ascii="Bookman Old Style"/>
          <w:sz w:val="19"/>
          <w:u w:val="single"/>
        </w:rPr>
        <w:t>THE</w:t>
      </w:r>
      <w:r>
        <w:rPr>
          <w:rFonts w:ascii="Bookman Old Style"/>
          <w:spacing w:val="-27"/>
          <w:sz w:val="19"/>
          <w:u w:val="single"/>
        </w:rPr>
        <w:t xml:space="preserve"> </w:t>
      </w:r>
      <w:r>
        <w:rPr>
          <w:rFonts w:ascii="Bookman Old Style"/>
          <w:sz w:val="19"/>
          <w:u w:val="single"/>
        </w:rPr>
        <w:t>ACT</w:t>
      </w:r>
    </w:p>
    <w:p w:rsidR="003B2FC0" w:rsidRDefault="003B2FC0">
      <w:pPr>
        <w:pStyle w:val="BodyText"/>
        <w:spacing w:before="7"/>
        <w:rPr>
          <w:sz w:val="15"/>
        </w:rPr>
      </w:pPr>
    </w:p>
    <w:p w:rsidR="003B2FC0" w:rsidRDefault="00052A49">
      <w:pPr>
        <w:pStyle w:val="ListParagraph"/>
        <w:numPr>
          <w:ilvl w:val="1"/>
          <w:numId w:val="2"/>
        </w:numPr>
        <w:tabs>
          <w:tab w:val="left" w:pos="1252"/>
          <w:tab w:val="left" w:pos="1253"/>
        </w:tabs>
        <w:spacing w:before="100"/>
        <w:rPr>
          <w:rFonts w:ascii="Bookman Old Style"/>
          <w:sz w:val="24"/>
        </w:rPr>
      </w:pPr>
      <w:r>
        <w:rPr>
          <w:rFonts w:ascii="Bookman Old Style"/>
          <w:sz w:val="24"/>
        </w:rPr>
        <w:t>Section 3 of the 1965 Act reads as</w:t>
      </w:r>
      <w:r>
        <w:rPr>
          <w:rFonts w:ascii="Bookman Old Style"/>
          <w:spacing w:val="-6"/>
          <w:sz w:val="24"/>
        </w:rPr>
        <w:t xml:space="preserve"> </w:t>
      </w:r>
      <w:r>
        <w:rPr>
          <w:rFonts w:ascii="Bookman Old Style"/>
          <w:sz w:val="24"/>
        </w:rPr>
        <w:t>follows:</w:t>
      </w:r>
    </w:p>
    <w:p w:rsidR="003B2FC0" w:rsidRDefault="003B2FC0">
      <w:pPr>
        <w:pStyle w:val="BodyText"/>
        <w:spacing w:before="9"/>
        <w:rPr>
          <w:sz w:val="23"/>
        </w:rPr>
      </w:pPr>
    </w:p>
    <w:p w:rsidR="003B2FC0" w:rsidRDefault="00052A49">
      <w:pPr>
        <w:ind w:left="1818" w:right="836"/>
        <w:jc w:val="both"/>
        <w:rPr>
          <w:rFonts w:ascii="Bookman Old Style" w:hAnsi="Bookman Old Style"/>
          <w:i/>
          <w:sz w:val="24"/>
        </w:rPr>
      </w:pPr>
      <w:r>
        <w:rPr>
          <w:rFonts w:ascii="Bookman Old Style" w:hAnsi="Bookman Old Style"/>
          <w:sz w:val="24"/>
        </w:rPr>
        <w:t>“</w:t>
      </w:r>
      <w:r>
        <w:rPr>
          <w:rFonts w:ascii="Bookman Old Style" w:hAnsi="Bookman Old Style"/>
          <w:i/>
          <w:sz w:val="24"/>
        </w:rPr>
        <w:t xml:space="preserve">3. Places of public worship to be open </w:t>
      </w:r>
      <w:r>
        <w:rPr>
          <w:rFonts w:ascii="Bookman Old Style" w:hAnsi="Bookman Old Style"/>
          <w:i/>
          <w:spacing w:val="-3"/>
          <w:sz w:val="24"/>
        </w:rPr>
        <w:t xml:space="preserve">to </w:t>
      </w:r>
      <w:r>
        <w:rPr>
          <w:rFonts w:ascii="Bookman Old Style" w:hAnsi="Bookman Old Style"/>
          <w:i/>
          <w:sz w:val="24"/>
        </w:rPr>
        <w:t xml:space="preserve">all sections and </w:t>
      </w:r>
      <w:r>
        <w:rPr>
          <w:rFonts w:ascii="Bookman Old Style" w:hAnsi="Bookman Old Style"/>
          <w:i/>
          <w:sz w:val="24"/>
        </w:rPr>
        <w:t>classes of Hindus:- Nothwithstanding anything to the contrary contained in any other law for the time being in force or any custom or usage or any instrument having effect by virtue of any such law or any decree or order of court, every place of public wor</w:t>
      </w:r>
      <w:r>
        <w:rPr>
          <w:rFonts w:ascii="Bookman Old Style" w:hAnsi="Bookman Old Style"/>
          <w:i/>
          <w:sz w:val="24"/>
        </w:rPr>
        <w:t xml:space="preserve">ship which </w:t>
      </w:r>
      <w:r>
        <w:rPr>
          <w:rFonts w:ascii="Bookman Old Style" w:hAnsi="Bookman Old Style"/>
          <w:i/>
          <w:spacing w:val="-3"/>
          <w:sz w:val="24"/>
        </w:rPr>
        <w:t xml:space="preserve">is </w:t>
      </w:r>
      <w:r>
        <w:rPr>
          <w:rFonts w:ascii="Bookman Old Style" w:hAnsi="Bookman Old Style"/>
          <w:i/>
          <w:sz w:val="24"/>
        </w:rPr>
        <w:t xml:space="preserve">open to Hindus generally or to any section or class thereof, shall be open </w:t>
      </w:r>
      <w:r>
        <w:rPr>
          <w:rFonts w:ascii="Bookman Old Style" w:hAnsi="Bookman Old Style"/>
          <w:i/>
          <w:spacing w:val="-3"/>
          <w:sz w:val="24"/>
        </w:rPr>
        <w:t xml:space="preserve">to </w:t>
      </w:r>
      <w:r>
        <w:rPr>
          <w:rFonts w:ascii="Bookman Old Style" w:hAnsi="Bookman Old Style"/>
          <w:i/>
          <w:sz w:val="24"/>
        </w:rPr>
        <w:t xml:space="preserve">all sections and classes of Hindus; and no Hindu of whatsoever section or class shall, </w:t>
      </w:r>
      <w:r>
        <w:rPr>
          <w:rFonts w:ascii="Bookman Old Style" w:hAnsi="Bookman Old Style"/>
          <w:i/>
          <w:spacing w:val="-3"/>
          <w:sz w:val="24"/>
        </w:rPr>
        <w:t xml:space="preserve">in </w:t>
      </w:r>
      <w:r>
        <w:rPr>
          <w:rFonts w:ascii="Bookman Old Style" w:hAnsi="Bookman Old Style"/>
          <w:i/>
          <w:sz w:val="24"/>
        </w:rPr>
        <w:t xml:space="preserve">any manner, be prevented, obstructed or discouraged </w:t>
      </w:r>
      <w:r>
        <w:rPr>
          <w:rFonts w:ascii="Bookman Old Style" w:hAnsi="Bookman Old Style"/>
          <w:i/>
          <w:spacing w:val="2"/>
          <w:sz w:val="24"/>
        </w:rPr>
        <w:t xml:space="preserve">from </w:t>
      </w:r>
      <w:r>
        <w:rPr>
          <w:rFonts w:ascii="Bookman Old Style" w:hAnsi="Bookman Old Style"/>
          <w:i/>
          <w:sz w:val="24"/>
        </w:rPr>
        <w:t xml:space="preserve">entering such place of public worship, or from worshipping or offering prayers thereat, or performing any religious service therein, in the like manner and </w:t>
      </w:r>
      <w:r>
        <w:rPr>
          <w:rFonts w:ascii="Bookman Old Style" w:hAnsi="Bookman Old Style"/>
          <w:i/>
          <w:spacing w:val="-3"/>
          <w:sz w:val="24"/>
        </w:rPr>
        <w:t xml:space="preserve">to </w:t>
      </w:r>
      <w:r>
        <w:rPr>
          <w:rFonts w:ascii="Bookman Old Style" w:hAnsi="Bookman Old Style"/>
          <w:i/>
          <w:sz w:val="24"/>
        </w:rPr>
        <w:t>the like extent as any other Hindu of whatsoever section or class may so enter, worship, pray or</w:t>
      </w:r>
      <w:r>
        <w:rPr>
          <w:rFonts w:ascii="Bookman Old Style" w:hAnsi="Bookman Old Style"/>
          <w:i/>
          <w:spacing w:val="3"/>
          <w:sz w:val="24"/>
        </w:rPr>
        <w:t xml:space="preserve"> </w:t>
      </w:r>
      <w:r>
        <w:rPr>
          <w:rFonts w:ascii="Bookman Old Style" w:hAnsi="Bookman Old Style"/>
          <w:i/>
          <w:sz w:val="24"/>
        </w:rPr>
        <w:t>perform:</w:t>
      </w:r>
    </w:p>
    <w:p w:rsidR="003B2FC0" w:rsidRDefault="003B2FC0">
      <w:pPr>
        <w:pStyle w:val="BodyText"/>
        <w:spacing w:before="1"/>
        <w:rPr>
          <w:i/>
          <w:sz w:val="24"/>
        </w:rPr>
      </w:pPr>
    </w:p>
    <w:p w:rsidR="003B2FC0" w:rsidRDefault="00052A49">
      <w:pPr>
        <w:spacing w:before="1"/>
        <w:ind w:left="1818" w:right="832"/>
        <w:jc w:val="both"/>
        <w:rPr>
          <w:rFonts w:ascii="Bookman Old Style"/>
          <w:i/>
          <w:sz w:val="24"/>
        </w:rPr>
      </w:pPr>
      <w:r>
        <w:rPr>
          <w:rFonts w:ascii="Bookman Old Style"/>
          <w:i/>
          <w:sz w:val="24"/>
          <w:u w:val="single"/>
        </w:rPr>
        <w:t>Provided that in the case of a place of public worship which is</w:t>
      </w:r>
      <w:r>
        <w:rPr>
          <w:rFonts w:ascii="Bookman Old Style"/>
          <w:i/>
          <w:sz w:val="24"/>
        </w:rPr>
        <w:t xml:space="preserve"> </w:t>
      </w:r>
      <w:r>
        <w:rPr>
          <w:rFonts w:ascii="Bookman Old Style"/>
          <w:i/>
          <w:sz w:val="24"/>
          <w:u w:val="single"/>
        </w:rPr>
        <w:t>a temple founded for the benefit of any religious denomination</w:t>
      </w:r>
      <w:r>
        <w:rPr>
          <w:rFonts w:ascii="Bookman Old Style"/>
          <w:i/>
          <w:sz w:val="24"/>
        </w:rPr>
        <w:t xml:space="preserve"> </w:t>
      </w:r>
      <w:r>
        <w:rPr>
          <w:rFonts w:ascii="Bookman Old Style"/>
          <w:i/>
          <w:sz w:val="24"/>
          <w:u w:val="single"/>
        </w:rPr>
        <w:t xml:space="preserve">or section thereof, the provisions of this section shall </w:t>
      </w:r>
      <w:r>
        <w:rPr>
          <w:rFonts w:ascii="Bookman Old Style"/>
          <w:i/>
          <w:sz w:val="24"/>
        </w:rPr>
        <w:t xml:space="preserve">be  </w:t>
      </w:r>
      <w:r>
        <w:rPr>
          <w:rFonts w:ascii="Bookman Old Style"/>
          <w:i/>
          <w:sz w:val="24"/>
          <w:u w:val="single"/>
        </w:rPr>
        <w:t>subject to the right of that religious denomination or sec</w:t>
      </w:r>
      <w:r>
        <w:rPr>
          <w:rFonts w:ascii="Bookman Old Style"/>
          <w:i/>
          <w:sz w:val="24"/>
          <w:u w:val="single"/>
        </w:rPr>
        <w:t>tion,</w:t>
      </w:r>
      <w:r>
        <w:rPr>
          <w:rFonts w:ascii="Bookman Old Style"/>
          <w:i/>
          <w:spacing w:val="-22"/>
          <w:sz w:val="24"/>
          <w:u w:val="single"/>
        </w:rPr>
        <w:t xml:space="preserve"> </w:t>
      </w:r>
      <w:r>
        <w:rPr>
          <w:rFonts w:ascii="Bookman Old Style"/>
          <w:i/>
          <w:sz w:val="24"/>
          <w:u w:val="single"/>
        </w:rPr>
        <w:t>as</w:t>
      </w:r>
    </w:p>
    <w:p w:rsidR="003B2FC0" w:rsidRDefault="003B2FC0">
      <w:pPr>
        <w:jc w:val="both"/>
        <w:rPr>
          <w:rFonts w:ascii="Bookman Old Style"/>
          <w:sz w:val="24"/>
        </w:rPr>
        <w:sectPr w:rsidR="003B2FC0">
          <w:headerReference w:type="default" r:id="rId533"/>
          <w:footerReference w:type="default" r:id="rId534"/>
          <w:pgSz w:w="11910" w:h="16840"/>
          <w:pgMar w:top="1340" w:right="980" w:bottom="1220" w:left="1040" w:header="0" w:footer="1033" w:gutter="0"/>
          <w:pgNumType w:start="70"/>
          <w:cols w:space="720"/>
        </w:sectPr>
      </w:pPr>
    </w:p>
    <w:p w:rsidR="003B2FC0" w:rsidRDefault="00052A49">
      <w:pPr>
        <w:spacing w:before="81"/>
        <w:ind w:left="1818" w:right="801"/>
        <w:rPr>
          <w:rFonts w:ascii="Bookman Old Style" w:hAnsi="Bookman Old Style"/>
          <w:sz w:val="24"/>
        </w:rPr>
      </w:pPr>
      <w:r>
        <w:rPr>
          <w:rFonts w:ascii="Bookman Old Style" w:hAnsi="Bookman Old Style"/>
          <w:i/>
          <w:sz w:val="24"/>
          <w:u w:val="single"/>
        </w:rPr>
        <w:t>the case may be, to manage its own affair in matters of</w:t>
      </w:r>
      <w:r>
        <w:rPr>
          <w:rFonts w:ascii="Bookman Old Style" w:hAnsi="Bookman Old Style"/>
          <w:i/>
          <w:sz w:val="24"/>
        </w:rPr>
        <w:t xml:space="preserve"> </w:t>
      </w:r>
      <w:r>
        <w:rPr>
          <w:rFonts w:ascii="Bookman Old Style" w:hAnsi="Bookman Old Style"/>
          <w:i/>
          <w:sz w:val="24"/>
          <w:u w:val="single"/>
        </w:rPr>
        <w:t>religion</w:t>
      </w:r>
      <w:r>
        <w:rPr>
          <w:rFonts w:ascii="Bookman Old Style" w:hAnsi="Bookman Old Style"/>
          <w:sz w:val="24"/>
          <w:u w:val="single"/>
        </w:rPr>
        <w:t>”</w:t>
      </w:r>
    </w:p>
    <w:p w:rsidR="003B2FC0" w:rsidRDefault="00052A49">
      <w:pPr>
        <w:ind w:left="6658"/>
        <w:rPr>
          <w:rFonts w:ascii="Bookman Old Style"/>
          <w:sz w:val="24"/>
        </w:rPr>
      </w:pPr>
      <w:r>
        <w:rPr>
          <w:rFonts w:ascii="Bookman Old Style"/>
          <w:sz w:val="24"/>
        </w:rPr>
        <w:t>(Emphasis supplied)</w:t>
      </w:r>
    </w:p>
    <w:p w:rsidR="003B2FC0" w:rsidRDefault="00052A49">
      <w:pPr>
        <w:spacing w:before="163" w:line="480" w:lineRule="auto"/>
        <w:ind w:left="1252" w:right="554" w:firstLine="424"/>
        <w:rPr>
          <w:rFonts w:ascii="Bookman Old Style"/>
          <w:sz w:val="24"/>
        </w:rPr>
      </w:pPr>
      <w:r>
        <w:rPr>
          <w:rFonts w:ascii="Bookman Old Style"/>
          <w:sz w:val="24"/>
        </w:rPr>
        <w:t>The relevant extract of Rule 3 of the 1965 Rules is also reproduced</w:t>
      </w:r>
      <w:r>
        <w:rPr>
          <w:rFonts w:ascii="Bookman Old Style"/>
          <w:spacing w:val="-1"/>
          <w:sz w:val="24"/>
        </w:rPr>
        <w:t xml:space="preserve"> </w:t>
      </w:r>
      <w:r>
        <w:rPr>
          <w:rFonts w:ascii="Bookman Old Style"/>
          <w:sz w:val="24"/>
        </w:rPr>
        <w:t>hereinbelow:</w:t>
      </w:r>
    </w:p>
    <w:p w:rsidR="003B2FC0" w:rsidRDefault="00052A49">
      <w:pPr>
        <w:ind w:left="1818" w:right="836"/>
        <w:jc w:val="both"/>
        <w:rPr>
          <w:rFonts w:ascii="Bookman Old Style" w:hAnsi="Bookman Old Style"/>
          <w:i/>
          <w:sz w:val="24"/>
        </w:rPr>
      </w:pPr>
      <w:r>
        <w:rPr>
          <w:rFonts w:ascii="Bookman Old Style" w:hAnsi="Bookman Old Style"/>
          <w:sz w:val="28"/>
        </w:rPr>
        <w:t>“</w:t>
      </w:r>
      <w:r>
        <w:rPr>
          <w:rFonts w:ascii="Bookman Old Style" w:hAnsi="Bookman Old Style"/>
          <w:i/>
          <w:sz w:val="24"/>
        </w:rPr>
        <w:t xml:space="preserve">Rule 3. The classes of persons mentioned here under shall not be entitled to offer worship </w:t>
      </w:r>
      <w:r>
        <w:rPr>
          <w:rFonts w:ascii="Bookman Old Style" w:hAnsi="Bookman Old Style"/>
          <w:i/>
          <w:spacing w:val="-3"/>
          <w:sz w:val="24"/>
        </w:rPr>
        <w:t xml:space="preserve">in </w:t>
      </w:r>
      <w:r>
        <w:rPr>
          <w:rFonts w:ascii="Bookman Old Style" w:hAnsi="Bookman Old Style"/>
          <w:i/>
          <w:sz w:val="24"/>
        </w:rPr>
        <w:t xml:space="preserve">any place of public worship or bath in or use the water of any sacred tank, well, spring or water course appurtenant to a place of public worship whether situate </w:t>
      </w:r>
      <w:r>
        <w:rPr>
          <w:rFonts w:ascii="Bookman Old Style" w:hAnsi="Bookman Old Style"/>
          <w:i/>
          <w:sz w:val="24"/>
        </w:rPr>
        <w:t>within or outside precincts thereof, or any sacred place including a hill or hill lock, or a road, street or pathways which is requisite for obtaining access to the place of public</w:t>
      </w:r>
      <w:r>
        <w:rPr>
          <w:rFonts w:ascii="Bookman Old Style" w:hAnsi="Bookman Old Style"/>
          <w:i/>
          <w:spacing w:val="-15"/>
          <w:sz w:val="24"/>
        </w:rPr>
        <w:t xml:space="preserve"> </w:t>
      </w:r>
      <w:r>
        <w:rPr>
          <w:rFonts w:ascii="Bookman Old Style" w:hAnsi="Bookman Old Style"/>
          <w:i/>
          <w:sz w:val="24"/>
        </w:rPr>
        <w:t>worship-</w:t>
      </w:r>
    </w:p>
    <w:p w:rsidR="003B2FC0" w:rsidRDefault="00052A49">
      <w:pPr>
        <w:spacing w:line="281" w:lineRule="exact"/>
        <w:ind w:left="1818"/>
        <w:rPr>
          <w:rFonts w:ascii="Bookman Old Style" w:hAnsi="Bookman Old Style"/>
          <w:i/>
          <w:sz w:val="24"/>
        </w:rPr>
      </w:pPr>
      <w:r>
        <w:rPr>
          <w:rFonts w:ascii="Bookman Old Style" w:hAnsi="Bookman Old Style"/>
          <w:i/>
          <w:sz w:val="24"/>
        </w:rPr>
        <w:t>(a) …..</w:t>
      </w:r>
    </w:p>
    <w:p w:rsidR="003B2FC0" w:rsidRDefault="00052A49">
      <w:pPr>
        <w:ind w:left="1818" w:right="801"/>
        <w:rPr>
          <w:rFonts w:ascii="Bookman Old Style"/>
          <w:i/>
          <w:sz w:val="24"/>
        </w:rPr>
      </w:pPr>
      <w:r>
        <w:rPr>
          <w:rFonts w:ascii="Bookman Old Style"/>
          <w:i/>
          <w:sz w:val="24"/>
        </w:rPr>
        <w:t xml:space="preserve">(b) </w:t>
      </w:r>
      <w:r>
        <w:rPr>
          <w:rFonts w:ascii="Bookman Old Style"/>
          <w:i/>
          <w:sz w:val="24"/>
          <w:u w:val="single"/>
        </w:rPr>
        <w:t>Women at such time during which they are not by custom and usage allowed to enter a place of public worship.</w:t>
      </w:r>
    </w:p>
    <w:p w:rsidR="003B2FC0" w:rsidRDefault="00052A49">
      <w:pPr>
        <w:spacing w:line="281" w:lineRule="exact"/>
        <w:ind w:left="1818"/>
        <w:jc w:val="both"/>
        <w:rPr>
          <w:rFonts w:ascii="Bookman Old Style" w:hAnsi="Bookman Old Style"/>
          <w:i/>
          <w:sz w:val="24"/>
        </w:rPr>
      </w:pPr>
      <w:r>
        <w:rPr>
          <w:rFonts w:ascii="Bookman Old Style" w:hAnsi="Bookman Old Style"/>
          <w:i/>
          <w:sz w:val="24"/>
        </w:rPr>
        <w:t>(c)…..</w:t>
      </w:r>
    </w:p>
    <w:p w:rsidR="003B2FC0" w:rsidRDefault="00052A49">
      <w:pPr>
        <w:spacing w:line="281" w:lineRule="exact"/>
        <w:ind w:left="1818"/>
        <w:jc w:val="both"/>
        <w:rPr>
          <w:rFonts w:ascii="Bookman Old Style" w:hAnsi="Bookman Old Style"/>
          <w:i/>
          <w:sz w:val="24"/>
        </w:rPr>
      </w:pPr>
      <w:r>
        <w:rPr>
          <w:rFonts w:ascii="Bookman Old Style" w:hAnsi="Bookman Old Style"/>
          <w:i/>
          <w:sz w:val="24"/>
        </w:rPr>
        <w:t>(d)….</w:t>
      </w:r>
    </w:p>
    <w:p w:rsidR="003B2FC0" w:rsidRDefault="00052A49">
      <w:pPr>
        <w:spacing w:line="281" w:lineRule="exact"/>
        <w:ind w:left="1818"/>
        <w:jc w:val="both"/>
        <w:rPr>
          <w:rFonts w:ascii="Bookman Old Style" w:hAnsi="Bookman Old Style"/>
          <w:i/>
          <w:sz w:val="24"/>
        </w:rPr>
      </w:pPr>
      <w:r>
        <w:rPr>
          <w:rFonts w:ascii="Bookman Old Style" w:hAnsi="Bookman Old Style"/>
          <w:i/>
          <w:sz w:val="24"/>
        </w:rPr>
        <w:t>(e)…..</w:t>
      </w:r>
    </w:p>
    <w:p w:rsidR="003B2FC0" w:rsidRDefault="00052A49">
      <w:pPr>
        <w:spacing w:line="281" w:lineRule="exact"/>
        <w:ind w:left="1818"/>
        <w:jc w:val="both"/>
        <w:rPr>
          <w:rFonts w:ascii="Bookman Old Style" w:hAnsi="Bookman Old Style"/>
          <w:i/>
          <w:sz w:val="24"/>
        </w:rPr>
      </w:pPr>
      <w:r>
        <w:rPr>
          <w:rFonts w:ascii="Bookman Old Style" w:hAnsi="Bookman Old Style"/>
          <w:i/>
          <w:sz w:val="24"/>
        </w:rPr>
        <w:t>(f)…..</w:t>
      </w:r>
    </w:p>
    <w:p w:rsidR="003B2FC0" w:rsidRDefault="00052A49">
      <w:pPr>
        <w:spacing w:line="281" w:lineRule="exact"/>
        <w:ind w:left="1818"/>
        <w:jc w:val="both"/>
        <w:rPr>
          <w:rFonts w:ascii="Bookman Old Style" w:hAnsi="Bookman Old Style"/>
          <w:i/>
          <w:sz w:val="24"/>
        </w:rPr>
      </w:pPr>
      <w:r>
        <w:rPr>
          <w:rFonts w:ascii="Bookman Old Style" w:hAnsi="Bookman Old Style"/>
          <w:i/>
          <w:sz w:val="24"/>
        </w:rPr>
        <w:t>(g)….”</w:t>
      </w:r>
    </w:p>
    <w:p w:rsidR="003B2FC0" w:rsidRDefault="00052A49">
      <w:pPr>
        <w:spacing w:before="1"/>
        <w:ind w:left="6658"/>
        <w:rPr>
          <w:rFonts w:ascii="Bookman Old Style"/>
          <w:sz w:val="24"/>
        </w:rPr>
      </w:pPr>
      <w:r>
        <w:rPr>
          <w:rFonts w:ascii="Bookman Old Style"/>
          <w:sz w:val="24"/>
        </w:rPr>
        <w:t>(Emphasis supplied)</w:t>
      </w:r>
    </w:p>
    <w:p w:rsidR="003B2FC0" w:rsidRDefault="00052A49">
      <w:pPr>
        <w:spacing w:before="163" w:line="480" w:lineRule="auto"/>
        <w:ind w:left="1252" w:right="453" w:firstLine="424"/>
        <w:jc w:val="both"/>
        <w:rPr>
          <w:rFonts w:ascii="Bookman Old Style"/>
          <w:sz w:val="24"/>
        </w:rPr>
      </w:pPr>
      <w:r>
        <w:rPr>
          <w:rFonts w:ascii="Bookman Old Style"/>
          <w:sz w:val="24"/>
        </w:rPr>
        <w:t>Section 3(b) of the 1965 Act provides that every place of public worship which is open to Hin</w:t>
      </w:r>
      <w:r>
        <w:rPr>
          <w:rFonts w:ascii="Bookman Old Style"/>
          <w:sz w:val="24"/>
        </w:rPr>
        <w:t>dus generally, or to any section or class thereof, shall be open to all sections and classes of Hindus; and no Hindu of whatsoever section or class shall, in any manner be prevented, obstructed or discouraged from entering such place of public worship or f</w:t>
      </w:r>
      <w:r>
        <w:rPr>
          <w:rFonts w:ascii="Bookman Old Style"/>
          <w:sz w:val="24"/>
        </w:rPr>
        <w:t>rom worshipping or from offering prayers there or performing any religious service therein, in the like manner and to the like extent as any other Hindu of whatsoever section or class may enter, worship, pray or</w:t>
      </w:r>
      <w:r>
        <w:rPr>
          <w:rFonts w:ascii="Bookman Old Style"/>
          <w:spacing w:val="-2"/>
          <w:sz w:val="24"/>
        </w:rPr>
        <w:t xml:space="preserve"> </w:t>
      </w:r>
      <w:r>
        <w:rPr>
          <w:rFonts w:ascii="Bookman Old Style"/>
          <w:sz w:val="24"/>
        </w:rPr>
        <w:t>perform.</w:t>
      </w:r>
    </w:p>
    <w:p w:rsidR="003B2FC0" w:rsidRDefault="00052A49">
      <w:pPr>
        <w:spacing w:before="1" w:line="480" w:lineRule="auto"/>
        <w:ind w:left="1252" w:right="453" w:firstLine="424"/>
        <w:jc w:val="both"/>
        <w:rPr>
          <w:rFonts w:ascii="Bookman Old Style"/>
          <w:sz w:val="24"/>
        </w:rPr>
      </w:pPr>
      <w:r>
        <w:rPr>
          <w:rFonts w:ascii="Bookman Old Style"/>
          <w:sz w:val="24"/>
        </w:rPr>
        <w:t xml:space="preserve">The </w:t>
      </w:r>
      <w:r>
        <w:rPr>
          <w:rFonts w:ascii="Bookman Old Style"/>
          <w:i/>
          <w:sz w:val="24"/>
        </w:rPr>
        <w:t xml:space="preserve">proviso </w:t>
      </w:r>
      <w:r>
        <w:rPr>
          <w:rFonts w:ascii="Bookman Old Style"/>
          <w:sz w:val="24"/>
        </w:rPr>
        <w:t>to Section 3 of the 196</w:t>
      </w:r>
      <w:r>
        <w:rPr>
          <w:rFonts w:ascii="Bookman Old Style"/>
          <w:sz w:val="24"/>
        </w:rPr>
        <w:t>5 Act carves out an exception in the case of public worship in a temple founded for the benefit of any religious denomination or section thereof. The provisions of the main</w:t>
      </w:r>
      <w:r>
        <w:rPr>
          <w:rFonts w:ascii="Bookman Old Style"/>
          <w:spacing w:val="10"/>
          <w:sz w:val="24"/>
        </w:rPr>
        <w:t xml:space="preserve"> </w:t>
      </w:r>
      <w:r>
        <w:rPr>
          <w:rFonts w:ascii="Bookman Old Style"/>
          <w:sz w:val="24"/>
        </w:rPr>
        <w:t>section</w:t>
      </w:r>
      <w:r>
        <w:rPr>
          <w:rFonts w:ascii="Bookman Old Style"/>
          <w:spacing w:val="11"/>
          <w:sz w:val="24"/>
        </w:rPr>
        <w:t xml:space="preserve"> </w:t>
      </w:r>
      <w:r>
        <w:rPr>
          <w:rFonts w:ascii="Bookman Old Style"/>
          <w:sz w:val="24"/>
        </w:rPr>
        <w:t>would</w:t>
      </w:r>
      <w:r>
        <w:rPr>
          <w:rFonts w:ascii="Bookman Old Style"/>
          <w:spacing w:val="11"/>
          <w:sz w:val="24"/>
        </w:rPr>
        <w:t xml:space="preserve"> </w:t>
      </w:r>
      <w:r>
        <w:rPr>
          <w:rFonts w:ascii="Bookman Old Style"/>
          <w:sz w:val="24"/>
        </w:rPr>
        <w:t>be</w:t>
      </w:r>
      <w:r>
        <w:rPr>
          <w:rFonts w:ascii="Bookman Old Style"/>
          <w:spacing w:val="12"/>
          <w:sz w:val="24"/>
        </w:rPr>
        <w:t xml:space="preserve"> </w:t>
      </w:r>
      <w:r>
        <w:rPr>
          <w:rFonts w:ascii="Bookman Old Style"/>
          <w:sz w:val="24"/>
        </w:rPr>
        <w:t>subject</w:t>
      </w:r>
      <w:r>
        <w:rPr>
          <w:rFonts w:ascii="Bookman Old Style"/>
          <w:spacing w:val="10"/>
          <w:sz w:val="24"/>
        </w:rPr>
        <w:t xml:space="preserve"> </w:t>
      </w:r>
      <w:r>
        <w:rPr>
          <w:rFonts w:ascii="Bookman Old Style"/>
          <w:sz w:val="24"/>
        </w:rPr>
        <w:t>to</w:t>
      </w:r>
      <w:r>
        <w:rPr>
          <w:rFonts w:ascii="Bookman Old Style"/>
          <w:spacing w:val="9"/>
          <w:sz w:val="24"/>
        </w:rPr>
        <w:t xml:space="preserve"> </w:t>
      </w:r>
      <w:r>
        <w:rPr>
          <w:rFonts w:ascii="Bookman Old Style"/>
          <w:sz w:val="24"/>
        </w:rPr>
        <w:t>the</w:t>
      </w:r>
      <w:r>
        <w:rPr>
          <w:rFonts w:ascii="Bookman Old Style"/>
          <w:spacing w:val="10"/>
          <w:sz w:val="24"/>
        </w:rPr>
        <w:t xml:space="preserve"> </w:t>
      </w:r>
      <w:r>
        <w:rPr>
          <w:rFonts w:ascii="Bookman Old Style"/>
          <w:sz w:val="24"/>
        </w:rPr>
        <w:t>right</w:t>
      </w:r>
      <w:r>
        <w:rPr>
          <w:rFonts w:ascii="Bookman Old Style"/>
          <w:spacing w:val="11"/>
          <w:sz w:val="24"/>
        </w:rPr>
        <w:t xml:space="preserve"> </w:t>
      </w:r>
      <w:r>
        <w:rPr>
          <w:rFonts w:ascii="Bookman Old Style"/>
          <w:sz w:val="24"/>
        </w:rPr>
        <w:t>of</w:t>
      </w:r>
      <w:r>
        <w:rPr>
          <w:rFonts w:ascii="Bookman Old Style"/>
          <w:spacing w:val="10"/>
          <w:sz w:val="24"/>
        </w:rPr>
        <w:t xml:space="preserve"> </w:t>
      </w:r>
      <w:r>
        <w:rPr>
          <w:rFonts w:ascii="Bookman Old Style"/>
          <w:sz w:val="24"/>
        </w:rPr>
        <w:t>a</w:t>
      </w:r>
      <w:r>
        <w:rPr>
          <w:rFonts w:ascii="Bookman Old Style"/>
          <w:spacing w:val="11"/>
          <w:sz w:val="24"/>
        </w:rPr>
        <w:t xml:space="preserve"> </w:t>
      </w:r>
      <w:r>
        <w:rPr>
          <w:rFonts w:ascii="Bookman Old Style"/>
          <w:sz w:val="24"/>
        </w:rPr>
        <w:t>religious</w:t>
      </w:r>
    </w:p>
    <w:p w:rsidR="003B2FC0" w:rsidRDefault="003B2FC0">
      <w:pPr>
        <w:spacing w:line="480" w:lineRule="auto"/>
        <w:jc w:val="both"/>
        <w:rPr>
          <w:rFonts w:ascii="Bookman Old Style"/>
          <w:sz w:val="24"/>
        </w:rPr>
        <w:sectPr w:rsidR="003B2FC0">
          <w:headerReference w:type="default" r:id="rId535"/>
          <w:footerReference w:type="default" r:id="rId536"/>
          <w:pgSz w:w="11910" w:h="16840"/>
          <w:pgMar w:top="1340" w:right="980" w:bottom="1220" w:left="1040" w:header="0" w:footer="1033" w:gutter="0"/>
          <w:pgNumType w:start="71"/>
          <w:cols w:space="720"/>
        </w:sectPr>
      </w:pPr>
    </w:p>
    <w:p w:rsidR="003B2FC0" w:rsidRDefault="00052A49">
      <w:pPr>
        <w:spacing w:before="83" w:line="480" w:lineRule="auto"/>
        <w:ind w:left="1252"/>
        <w:rPr>
          <w:rFonts w:ascii="Bookman Old Style"/>
          <w:sz w:val="24"/>
        </w:rPr>
      </w:pPr>
      <w:r>
        <w:rPr>
          <w:rFonts w:ascii="Bookman Old Style"/>
          <w:sz w:val="24"/>
        </w:rPr>
        <w:t>denomination or section to manage its own affairs in the matters of religion.</w:t>
      </w:r>
    </w:p>
    <w:p w:rsidR="003B2FC0" w:rsidRDefault="00052A49">
      <w:pPr>
        <w:spacing w:before="2" w:line="480" w:lineRule="auto"/>
        <w:ind w:left="1252" w:right="453" w:firstLine="424"/>
        <w:jc w:val="both"/>
        <w:rPr>
          <w:rFonts w:ascii="Bookman Old Style" w:hAnsi="Bookman Old Style"/>
          <w:sz w:val="24"/>
        </w:rPr>
      </w:pPr>
      <w:r>
        <w:rPr>
          <w:rFonts w:ascii="Bookman Old Style" w:hAnsi="Bookman Old Style"/>
          <w:sz w:val="24"/>
        </w:rPr>
        <w:t>Section 2(c)</w:t>
      </w:r>
      <w:r>
        <w:rPr>
          <w:rFonts w:ascii="Bookman Old Style" w:hAnsi="Bookman Old Style"/>
          <w:position w:val="6"/>
          <w:sz w:val="16"/>
        </w:rPr>
        <w:t xml:space="preserve">60 </w:t>
      </w:r>
      <w:r>
        <w:rPr>
          <w:rFonts w:ascii="Bookman Old Style" w:hAnsi="Bookman Old Style"/>
          <w:sz w:val="24"/>
        </w:rPr>
        <w:t>of the 1965 Act, defines “section or class” to include any division, sub-division, caste, sub caste, sect, or denomination whatsoever. Section 4(1)</w:t>
      </w:r>
      <w:r>
        <w:rPr>
          <w:rFonts w:ascii="Bookman Old Style" w:hAnsi="Bookman Old Style"/>
          <w:position w:val="6"/>
          <w:sz w:val="16"/>
        </w:rPr>
        <w:t>61</w:t>
      </w:r>
      <w:r>
        <w:rPr>
          <w:rFonts w:ascii="Bookman Old Style" w:hAnsi="Bookman Old Style"/>
          <w:sz w:val="24"/>
        </w:rPr>
        <w:t>, empowers the making of regulations for the maintenance of orders and decorum in the place of public worsh</w:t>
      </w:r>
      <w:r>
        <w:rPr>
          <w:rFonts w:ascii="Bookman Old Style" w:hAnsi="Bookman Old Style"/>
          <w:sz w:val="24"/>
        </w:rPr>
        <w:t xml:space="preserve">ip and the due observance of the religious rites and ceremonies performed therein. The </w:t>
      </w:r>
      <w:r>
        <w:rPr>
          <w:rFonts w:ascii="Bookman Old Style" w:hAnsi="Bookman Old Style"/>
          <w:i/>
          <w:sz w:val="24"/>
        </w:rPr>
        <w:t xml:space="preserve">proviso </w:t>
      </w:r>
      <w:r>
        <w:rPr>
          <w:rFonts w:ascii="Bookman Old Style" w:hAnsi="Bookman Old Style"/>
          <w:sz w:val="24"/>
        </w:rPr>
        <w:t>to Section 3 of the 1965 Act provides that no such regulation shall discriminate in any manner whatsoever, against any Hindu on the ground that he belongs to a p</w:t>
      </w:r>
      <w:r>
        <w:rPr>
          <w:rFonts w:ascii="Bookman Old Style" w:hAnsi="Bookman Old Style"/>
          <w:sz w:val="24"/>
        </w:rPr>
        <w:t>articular section or</w:t>
      </w:r>
      <w:r>
        <w:rPr>
          <w:rFonts w:ascii="Bookman Old Style" w:hAnsi="Bookman Old Style"/>
          <w:spacing w:val="-2"/>
          <w:sz w:val="24"/>
        </w:rPr>
        <w:t xml:space="preserve"> </w:t>
      </w:r>
      <w:r>
        <w:rPr>
          <w:rFonts w:ascii="Bookman Old Style" w:hAnsi="Bookman Old Style"/>
          <w:sz w:val="24"/>
        </w:rPr>
        <w:t>class.</w:t>
      </w:r>
    </w:p>
    <w:p w:rsidR="003B2FC0" w:rsidRDefault="00052A49">
      <w:pPr>
        <w:pStyle w:val="ListParagraph"/>
        <w:numPr>
          <w:ilvl w:val="1"/>
          <w:numId w:val="2"/>
        </w:numPr>
        <w:tabs>
          <w:tab w:val="left" w:pos="1253"/>
        </w:tabs>
        <w:spacing w:line="480" w:lineRule="auto"/>
        <w:ind w:right="453"/>
        <w:rPr>
          <w:rFonts w:ascii="Bookman Old Style" w:hAnsi="Bookman Old Style"/>
          <w:sz w:val="24"/>
        </w:rPr>
      </w:pPr>
      <w:r>
        <w:rPr>
          <w:rFonts w:ascii="Bookman Old Style" w:hAnsi="Bookman Old Style"/>
          <w:sz w:val="24"/>
        </w:rPr>
        <w:t xml:space="preserve">The </w:t>
      </w:r>
      <w:r>
        <w:rPr>
          <w:rFonts w:ascii="Bookman Old Style" w:hAnsi="Bookman Old Style"/>
          <w:i/>
          <w:sz w:val="24"/>
        </w:rPr>
        <w:t xml:space="preserve">proviso </w:t>
      </w:r>
      <w:r>
        <w:rPr>
          <w:rFonts w:ascii="Bookman Old Style" w:hAnsi="Bookman Old Style"/>
          <w:sz w:val="24"/>
        </w:rPr>
        <w:t>carves out an exception to the Section 3 itself. The declaration that places of public worship shall be open to Hindus of all sections and classes is not absolute, but subject to the right of a religious denomination to “</w:t>
      </w:r>
      <w:r>
        <w:rPr>
          <w:rFonts w:ascii="Bookman Old Style" w:hAnsi="Bookman Old Style"/>
          <w:i/>
          <w:sz w:val="24"/>
        </w:rPr>
        <w:t>manage its own affairs in matters o</w:t>
      </w:r>
      <w:r>
        <w:rPr>
          <w:rFonts w:ascii="Bookman Old Style" w:hAnsi="Bookman Old Style"/>
          <w:i/>
          <w:sz w:val="24"/>
        </w:rPr>
        <w:t>f religion</w:t>
      </w:r>
      <w:r>
        <w:rPr>
          <w:rFonts w:ascii="Bookman Old Style" w:hAnsi="Bookman Old Style"/>
          <w:sz w:val="24"/>
        </w:rPr>
        <w:t>”. Section 3 must be viewed in the Constitutional context where the legislature has framed an enabling legislation under Article 25(2)(b) which has been made expressly subject to religious practises peculiar to a denomination under Article</w:t>
      </w:r>
      <w:r>
        <w:rPr>
          <w:rFonts w:ascii="Bookman Old Style" w:hAnsi="Bookman Old Style"/>
          <w:spacing w:val="-9"/>
          <w:sz w:val="24"/>
        </w:rPr>
        <w:t xml:space="preserve"> </w:t>
      </w:r>
      <w:r>
        <w:rPr>
          <w:rFonts w:ascii="Bookman Old Style" w:hAnsi="Bookman Old Style"/>
          <w:sz w:val="24"/>
        </w:rPr>
        <w:t>26(b).</w:t>
      </w:r>
    </w:p>
    <w:p w:rsidR="003B2FC0" w:rsidRDefault="003B2FC0">
      <w:pPr>
        <w:pStyle w:val="BodyText"/>
        <w:rPr>
          <w:sz w:val="20"/>
        </w:rPr>
      </w:pPr>
    </w:p>
    <w:p w:rsidR="003B2FC0" w:rsidRDefault="003B2FC0">
      <w:pPr>
        <w:pStyle w:val="BodyText"/>
        <w:rPr>
          <w:sz w:val="20"/>
        </w:rPr>
      </w:pPr>
    </w:p>
    <w:p w:rsidR="003B2FC0" w:rsidRDefault="003B2FC0">
      <w:pPr>
        <w:pStyle w:val="BodyText"/>
        <w:spacing w:before="6"/>
        <w:rPr>
          <w:sz w:val="23"/>
        </w:rPr>
      </w:pPr>
      <w:r w:rsidRPr="003B2FC0">
        <w:pict>
          <v:line id="_x0000_s1026" style="position:absolute;z-index:251686400;mso-wrap-distance-left:0;mso-wrap-distance-right:0;mso-position-horizontal-relative:page" from="1in,16.2pt" to="216.05pt,16.2pt" strokeweight=".72pt">
            <w10:wrap type="topAndBottom" anchorx="page"/>
          </v:line>
        </w:pict>
      </w:r>
    </w:p>
    <w:p w:rsidR="003B2FC0" w:rsidRDefault="00052A49">
      <w:pPr>
        <w:spacing w:before="72"/>
        <w:ind w:left="400"/>
        <w:rPr>
          <w:rFonts w:ascii="Bookman Old Style" w:hAnsi="Bookman Old Style"/>
          <w:i/>
          <w:sz w:val="20"/>
        </w:rPr>
      </w:pPr>
      <w:r>
        <w:rPr>
          <w:rFonts w:ascii="Bookman Old Style" w:hAnsi="Bookman Old Style"/>
          <w:position w:val="5"/>
          <w:sz w:val="13"/>
        </w:rPr>
        <w:t xml:space="preserve">60 </w:t>
      </w:r>
      <w:r>
        <w:rPr>
          <w:rFonts w:ascii="Bookman Old Style" w:hAnsi="Bookman Old Style"/>
          <w:sz w:val="20"/>
        </w:rPr>
        <w:t>“</w:t>
      </w:r>
      <w:r>
        <w:rPr>
          <w:rFonts w:ascii="Bookman Old Style" w:hAnsi="Bookman Old Style"/>
          <w:i/>
          <w:sz w:val="20"/>
        </w:rPr>
        <w:t>2. Definitions –</w:t>
      </w:r>
    </w:p>
    <w:p w:rsidR="003B2FC0" w:rsidRDefault="00052A49">
      <w:pPr>
        <w:ind w:left="683" w:right="434"/>
        <w:rPr>
          <w:rFonts w:ascii="Bookman Old Style" w:hAnsi="Bookman Old Style"/>
          <w:sz w:val="20"/>
        </w:rPr>
      </w:pPr>
      <w:r>
        <w:rPr>
          <w:rFonts w:ascii="Bookman Old Style" w:hAnsi="Bookman Old Style"/>
          <w:i/>
          <w:sz w:val="20"/>
        </w:rPr>
        <w:t>…(c) “section or class” includes any division, sub-division, caste, sub-caste, sect or denomination whatsoever.</w:t>
      </w:r>
      <w:r>
        <w:rPr>
          <w:rFonts w:ascii="Bookman Old Style" w:hAnsi="Bookman Old Style"/>
          <w:sz w:val="20"/>
        </w:rPr>
        <w:t>”</w:t>
      </w:r>
    </w:p>
    <w:p w:rsidR="003B2FC0" w:rsidRDefault="00052A49">
      <w:pPr>
        <w:spacing w:before="1"/>
        <w:ind w:left="966" w:hanging="567"/>
        <w:rPr>
          <w:rFonts w:ascii="Bookman Old Style" w:hAnsi="Bookman Old Style"/>
          <w:i/>
          <w:sz w:val="20"/>
        </w:rPr>
      </w:pPr>
      <w:r>
        <w:rPr>
          <w:rFonts w:ascii="Bookman Old Style" w:hAnsi="Bookman Old Style"/>
          <w:position w:val="5"/>
          <w:sz w:val="13"/>
        </w:rPr>
        <w:t xml:space="preserve">61 </w:t>
      </w:r>
      <w:r>
        <w:rPr>
          <w:rFonts w:ascii="Bookman Old Style" w:hAnsi="Bookman Old Style"/>
          <w:sz w:val="20"/>
        </w:rPr>
        <w:t>“</w:t>
      </w:r>
      <w:r>
        <w:rPr>
          <w:rFonts w:ascii="Bookman Old Style" w:hAnsi="Bookman Old Style"/>
          <w:i/>
          <w:sz w:val="20"/>
        </w:rPr>
        <w:t>4. Power to make regulations for the maintenance of order and decorum and the due performance of rites and ceremo</w:t>
      </w:r>
      <w:r>
        <w:rPr>
          <w:rFonts w:ascii="Bookman Old Style" w:hAnsi="Bookman Old Style"/>
          <w:i/>
          <w:sz w:val="20"/>
        </w:rPr>
        <w:t>nies in places of public worship –</w:t>
      </w:r>
    </w:p>
    <w:p w:rsidR="003B2FC0" w:rsidRDefault="00052A49">
      <w:pPr>
        <w:pStyle w:val="ListParagraph"/>
        <w:numPr>
          <w:ilvl w:val="2"/>
          <w:numId w:val="2"/>
        </w:numPr>
        <w:tabs>
          <w:tab w:val="left" w:pos="1253"/>
        </w:tabs>
        <w:ind w:right="459"/>
        <w:jc w:val="both"/>
        <w:rPr>
          <w:rFonts w:ascii="Bookman Old Style" w:hAnsi="Bookman Old Style"/>
          <w:sz w:val="20"/>
        </w:rPr>
      </w:pPr>
      <w:r>
        <w:rPr>
          <w:rFonts w:ascii="Bookman Old Style" w:hAnsi="Bookman Old Style"/>
          <w:i/>
          <w:sz w:val="20"/>
        </w:rPr>
        <w:t xml:space="preserve">The trustee or any other person in charge of </w:t>
      </w:r>
      <w:r>
        <w:rPr>
          <w:rFonts w:ascii="Bookman Old Style" w:hAnsi="Bookman Old Style"/>
          <w:i/>
          <w:spacing w:val="-2"/>
          <w:sz w:val="20"/>
        </w:rPr>
        <w:t xml:space="preserve">any </w:t>
      </w:r>
      <w:r>
        <w:rPr>
          <w:rFonts w:ascii="Bookman Old Style" w:hAnsi="Bookman Old Style"/>
          <w:i/>
          <w:sz w:val="20"/>
        </w:rPr>
        <w:t xml:space="preserve">place of public worship shall have power, subject to the control </w:t>
      </w:r>
      <w:r>
        <w:rPr>
          <w:rFonts w:ascii="Bookman Old Style" w:hAnsi="Bookman Old Style"/>
          <w:i/>
          <w:spacing w:val="-3"/>
          <w:sz w:val="20"/>
        </w:rPr>
        <w:t xml:space="preserve">of </w:t>
      </w:r>
      <w:r>
        <w:rPr>
          <w:rFonts w:ascii="Bookman Old Style" w:hAnsi="Bookman Old Style"/>
          <w:i/>
          <w:sz w:val="20"/>
        </w:rPr>
        <w:t>the competent authority and any rules which may be made by that authority, to make regulations for the m</w:t>
      </w:r>
      <w:r>
        <w:rPr>
          <w:rFonts w:ascii="Bookman Old Style" w:hAnsi="Bookman Old Style"/>
          <w:i/>
          <w:sz w:val="20"/>
        </w:rPr>
        <w:t>aintenance of order and decorum in the place of public worship and the due observance of the religious rites and ceremonies performed</w:t>
      </w:r>
      <w:r>
        <w:rPr>
          <w:rFonts w:ascii="Bookman Old Style" w:hAnsi="Bookman Old Style"/>
          <w:i/>
          <w:spacing w:val="-1"/>
          <w:sz w:val="20"/>
        </w:rPr>
        <w:t xml:space="preserve"> </w:t>
      </w:r>
      <w:r>
        <w:rPr>
          <w:rFonts w:ascii="Bookman Old Style" w:hAnsi="Bookman Old Style"/>
          <w:i/>
          <w:sz w:val="20"/>
        </w:rPr>
        <w:t>therein…</w:t>
      </w:r>
      <w:r>
        <w:rPr>
          <w:rFonts w:ascii="Bookman Old Style" w:hAnsi="Bookman Old Style"/>
          <w:sz w:val="20"/>
        </w:rPr>
        <w:t>”</w:t>
      </w:r>
    </w:p>
    <w:p w:rsidR="003B2FC0" w:rsidRDefault="003B2FC0">
      <w:pPr>
        <w:jc w:val="both"/>
        <w:rPr>
          <w:rFonts w:ascii="Bookman Old Style" w:hAnsi="Bookman Old Style"/>
          <w:sz w:val="20"/>
        </w:rPr>
        <w:sectPr w:rsidR="003B2FC0">
          <w:headerReference w:type="default" r:id="rId537"/>
          <w:footerReference w:type="default" r:id="rId538"/>
          <w:pgSz w:w="11910" w:h="16840"/>
          <w:pgMar w:top="1340" w:right="980" w:bottom="1220" w:left="1040" w:header="0" w:footer="1033" w:gutter="0"/>
          <w:pgNumType w:start="72"/>
          <w:cols w:space="720"/>
        </w:sectPr>
      </w:pPr>
    </w:p>
    <w:p w:rsidR="003B2FC0" w:rsidRDefault="00052A49">
      <w:pPr>
        <w:pStyle w:val="ListParagraph"/>
        <w:numPr>
          <w:ilvl w:val="1"/>
          <w:numId w:val="2"/>
        </w:numPr>
        <w:tabs>
          <w:tab w:val="left" w:pos="1253"/>
        </w:tabs>
        <w:spacing w:before="83" w:line="480" w:lineRule="auto"/>
        <w:ind w:right="453"/>
        <w:rPr>
          <w:rFonts w:ascii="Bookman Old Style"/>
          <w:sz w:val="24"/>
        </w:rPr>
      </w:pPr>
      <w:r>
        <w:rPr>
          <w:rFonts w:ascii="Bookman Old Style"/>
          <w:sz w:val="24"/>
        </w:rPr>
        <w:t xml:space="preserve">Rule 3(b) is a statutory recognition of a pre-existing custom and usage being followed by this Temple. Rule 3(b) is within the ambit of the </w:t>
      </w:r>
      <w:r>
        <w:rPr>
          <w:rFonts w:ascii="Bookman Old Style"/>
          <w:i/>
          <w:sz w:val="24"/>
        </w:rPr>
        <w:t xml:space="preserve">proviso </w:t>
      </w:r>
      <w:r>
        <w:rPr>
          <w:rFonts w:ascii="Bookman Old Style"/>
          <w:sz w:val="24"/>
        </w:rPr>
        <w:t>to Section 3 of the 1965 Act, as it recognises pre-existing customs and usages including past traditions whi</w:t>
      </w:r>
      <w:r>
        <w:rPr>
          <w:rFonts w:ascii="Bookman Old Style"/>
          <w:sz w:val="24"/>
        </w:rPr>
        <w:t xml:space="preserve">ch have been practised since time immemorial </w:t>
      </w:r>
      <w:r>
        <w:rPr>
          <w:rFonts w:ascii="Bookman Old Style"/>
          <w:i/>
          <w:sz w:val="24"/>
        </w:rPr>
        <w:t xml:space="preserve">qua </w:t>
      </w:r>
      <w:r>
        <w:rPr>
          <w:rFonts w:ascii="Bookman Old Style"/>
          <w:sz w:val="24"/>
        </w:rPr>
        <w:t>the Temple. The Travancore Devaswom Board submits that these practises are integral and essential to the</w:t>
      </w:r>
      <w:r>
        <w:rPr>
          <w:rFonts w:ascii="Bookman Old Style"/>
          <w:spacing w:val="-1"/>
          <w:sz w:val="24"/>
        </w:rPr>
        <w:t xml:space="preserve"> </w:t>
      </w:r>
      <w:r>
        <w:rPr>
          <w:rFonts w:ascii="Bookman Old Style"/>
          <w:sz w:val="24"/>
        </w:rPr>
        <w:t>Temple.</w:t>
      </w:r>
    </w:p>
    <w:p w:rsidR="003B2FC0" w:rsidRDefault="00052A49">
      <w:pPr>
        <w:pStyle w:val="ListParagraph"/>
        <w:numPr>
          <w:ilvl w:val="1"/>
          <w:numId w:val="2"/>
        </w:numPr>
        <w:tabs>
          <w:tab w:val="left" w:pos="1253"/>
        </w:tabs>
        <w:spacing w:before="2" w:line="480" w:lineRule="auto"/>
        <w:ind w:right="458"/>
        <w:rPr>
          <w:rFonts w:ascii="Bookman Old Style"/>
          <w:sz w:val="24"/>
        </w:rPr>
      </w:pPr>
      <w:r>
        <w:rPr>
          <w:rFonts w:ascii="Bookman Old Style"/>
          <w:sz w:val="24"/>
        </w:rPr>
        <w:t xml:space="preserve">The </w:t>
      </w:r>
      <w:r>
        <w:rPr>
          <w:rFonts w:ascii="Bookman Old Style"/>
          <w:i/>
          <w:sz w:val="24"/>
        </w:rPr>
        <w:t xml:space="preserve">Petitioners </w:t>
      </w:r>
      <w:r>
        <w:rPr>
          <w:rFonts w:ascii="Bookman Old Style"/>
          <w:sz w:val="24"/>
        </w:rPr>
        <w:t xml:space="preserve">have not challenged the </w:t>
      </w:r>
      <w:r>
        <w:rPr>
          <w:rFonts w:ascii="Bookman Old Style"/>
          <w:i/>
          <w:sz w:val="24"/>
        </w:rPr>
        <w:t xml:space="preserve">proviso </w:t>
      </w:r>
      <w:r>
        <w:rPr>
          <w:rFonts w:ascii="Bookman Old Style"/>
          <w:sz w:val="24"/>
        </w:rPr>
        <w:t xml:space="preserve">to Section 3 as being unconstitutional on any </w:t>
      </w:r>
      <w:r>
        <w:rPr>
          <w:rFonts w:ascii="Bookman Old Style"/>
          <w:sz w:val="24"/>
        </w:rPr>
        <w:t xml:space="preserve">ground. The </w:t>
      </w:r>
      <w:r>
        <w:rPr>
          <w:rFonts w:ascii="Bookman Old Style"/>
          <w:i/>
          <w:sz w:val="24"/>
        </w:rPr>
        <w:t xml:space="preserve">proviso </w:t>
      </w:r>
      <w:r>
        <w:rPr>
          <w:rFonts w:ascii="Bookman Old Style"/>
          <w:sz w:val="24"/>
        </w:rPr>
        <w:t>to Section 3 makes an exception in cases of religious denominations, or sects thereof to manage their affairs in matters of</w:t>
      </w:r>
      <w:r>
        <w:rPr>
          <w:rFonts w:ascii="Bookman Old Style"/>
          <w:spacing w:val="-1"/>
          <w:sz w:val="24"/>
        </w:rPr>
        <w:t xml:space="preserve"> </w:t>
      </w:r>
      <w:r>
        <w:rPr>
          <w:rFonts w:ascii="Bookman Old Style"/>
          <w:sz w:val="24"/>
        </w:rPr>
        <w:t>religion.</w:t>
      </w:r>
    </w:p>
    <w:p w:rsidR="003B2FC0" w:rsidRDefault="00052A49">
      <w:pPr>
        <w:pStyle w:val="ListParagraph"/>
        <w:numPr>
          <w:ilvl w:val="1"/>
          <w:numId w:val="2"/>
        </w:numPr>
        <w:tabs>
          <w:tab w:val="left" w:pos="1253"/>
        </w:tabs>
        <w:spacing w:line="480" w:lineRule="auto"/>
        <w:ind w:right="453"/>
        <w:rPr>
          <w:rFonts w:ascii="Bookman Old Style"/>
          <w:sz w:val="24"/>
        </w:rPr>
      </w:pPr>
      <w:r>
        <w:rPr>
          <w:rFonts w:ascii="Bookman Old Style"/>
          <w:sz w:val="24"/>
        </w:rPr>
        <w:t>The Notification dated November 27, 1956 issued by the Travancore Devaswom Board restricts the entry o</w:t>
      </w:r>
      <w:r>
        <w:rPr>
          <w:rFonts w:ascii="Bookman Old Style"/>
          <w:sz w:val="24"/>
        </w:rPr>
        <w:t xml:space="preserve">f women between the ages of 10 to 55 years as a custom and practise integral to the sanctity of the Temple, and having the force of law under Article 13(3)(a) of the Constitution. The High Court in </w:t>
      </w:r>
      <w:r>
        <w:rPr>
          <w:rFonts w:ascii="Bookman Old Style"/>
          <w:i/>
          <w:sz w:val="24"/>
        </w:rPr>
        <w:t xml:space="preserve">S. Mahendran </w:t>
      </w:r>
      <w:r>
        <w:rPr>
          <w:rFonts w:ascii="Bookman Old Style"/>
          <w:sz w:val="24"/>
        </w:rPr>
        <w:t xml:space="preserve">v. </w:t>
      </w:r>
      <w:r>
        <w:rPr>
          <w:rFonts w:ascii="Bookman Old Style"/>
          <w:i/>
          <w:sz w:val="24"/>
        </w:rPr>
        <w:t xml:space="preserve">The Secretary, Travancore Devaswom Board, </w:t>
      </w:r>
      <w:r>
        <w:rPr>
          <w:rFonts w:ascii="Bookman Old Style"/>
          <w:i/>
          <w:sz w:val="24"/>
        </w:rPr>
        <w:t xml:space="preserve">Thiruvananthapuram &amp; Ors. </w:t>
      </w:r>
      <w:r>
        <w:rPr>
          <w:rFonts w:ascii="Bookman Old Style"/>
          <w:sz w:val="24"/>
        </w:rPr>
        <w:t xml:space="preserve">(supra) noted that this practise of restricting the entry of women is admitted to have been prevalent since the past several centuries. These practises are protected by the </w:t>
      </w:r>
      <w:r>
        <w:rPr>
          <w:rFonts w:ascii="Bookman Old Style"/>
          <w:i/>
          <w:sz w:val="24"/>
        </w:rPr>
        <w:t xml:space="preserve">proviso </w:t>
      </w:r>
      <w:r>
        <w:rPr>
          <w:rFonts w:ascii="Bookman Old Style"/>
          <w:sz w:val="24"/>
        </w:rPr>
        <w:t>to Section 3 of the 1965 Act which is given effec</w:t>
      </w:r>
      <w:r>
        <w:rPr>
          <w:rFonts w:ascii="Bookman Old Style"/>
          <w:sz w:val="24"/>
        </w:rPr>
        <w:t>t to by Rule 3(b) of the 1965</w:t>
      </w:r>
      <w:r>
        <w:rPr>
          <w:rFonts w:ascii="Bookman Old Style"/>
          <w:spacing w:val="-10"/>
          <w:sz w:val="24"/>
        </w:rPr>
        <w:t xml:space="preserve"> </w:t>
      </w:r>
      <w:r>
        <w:rPr>
          <w:rFonts w:ascii="Bookman Old Style"/>
          <w:sz w:val="24"/>
        </w:rPr>
        <w:t>Rules.</w:t>
      </w:r>
    </w:p>
    <w:p w:rsidR="003B2FC0" w:rsidRDefault="00052A49">
      <w:pPr>
        <w:pStyle w:val="ListParagraph"/>
        <w:numPr>
          <w:ilvl w:val="1"/>
          <w:numId w:val="2"/>
        </w:numPr>
        <w:tabs>
          <w:tab w:val="left" w:pos="1252"/>
          <w:tab w:val="left" w:pos="1253"/>
        </w:tabs>
        <w:spacing w:before="1"/>
        <w:rPr>
          <w:rFonts w:ascii="Bookman Old Style"/>
          <w:sz w:val="24"/>
        </w:rPr>
      </w:pPr>
      <w:r>
        <w:rPr>
          <w:rFonts w:ascii="Bookman Old Style"/>
          <w:sz w:val="24"/>
        </w:rPr>
        <w:t>The</w:t>
      </w:r>
      <w:r>
        <w:rPr>
          <w:rFonts w:ascii="Bookman Old Style"/>
          <w:spacing w:val="17"/>
          <w:sz w:val="24"/>
        </w:rPr>
        <w:t xml:space="preserve"> </w:t>
      </w:r>
      <w:r>
        <w:rPr>
          <w:rFonts w:ascii="Bookman Old Style"/>
          <w:sz w:val="24"/>
        </w:rPr>
        <w:t>contention</w:t>
      </w:r>
      <w:r>
        <w:rPr>
          <w:rFonts w:ascii="Bookman Old Style"/>
          <w:spacing w:val="17"/>
          <w:sz w:val="24"/>
        </w:rPr>
        <w:t xml:space="preserve"> </w:t>
      </w:r>
      <w:r>
        <w:rPr>
          <w:rFonts w:ascii="Bookman Old Style"/>
          <w:sz w:val="24"/>
        </w:rPr>
        <w:t>of</w:t>
      </w:r>
      <w:r>
        <w:rPr>
          <w:rFonts w:ascii="Bookman Old Style"/>
          <w:spacing w:val="16"/>
          <w:sz w:val="24"/>
        </w:rPr>
        <w:t xml:space="preserve"> </w:t>
      </w:r>
      <w:r>
        <w:rPr>
          <w:rFonts w:ascii="Bookman Old Style"/>
          <w:sz w:val="24"/>
        </w:rPr>
        <w:t>the</w:t>
      </w:r>
      <w:r>
        <w:rPr>
          <w:rFonts w:ascii="Bookman Old Style"/>
          <w:spacing w:val="18"/>
          <w:sz w:val="24"/>
        </w:rPr>
        <w:t xml:space="preserve"> </w:t>
      </w:r>
      <w:r>
        <w:rPr>
          <w:rFonts w:ascii="Bookman Old Style"/>
          <w:sz w:val="24"/>
        </w:rPr>
        <w:t>Petitioners</w:t>
      </w:r>
      <w:r>
        <w:rPr>
          <w:rFonts w:ascii="Bookman Old Style"/>
          <w:spacing w:val="16"/>
          <w:sz w:val="24"/>
        </w:rPr>
        <w:t xml:space="preserve"> </w:t>
      </w:r>
      <w:r>
        <w:rPr>
          <w:rFonts w:ascii="Bookman Old Style"/>
          <w:sz w:val="24"/>
        </w:rPr>
        <w:t>that</w:t>
      </w:r>
      <w:r>
        <w:rPr>
          <w:rFonts w:ascii="Bookman Old Style"/>
          <w:spacing w:val="17"/>
          <w:sz w:val="24"/>
        </w:rPr>
        <w:t xml:space="preserve"> </w:t>
      </w:r>
      <w:r>
        <w:rPr>
          <w:rFonts w:ascii="Bookman Old Style"/>
          <w:sz w:val="24"/>
        </w:rPr>
        <w:t>Rule</w:t>
      </w:r>
      <w:r>
        <w:rPr>
          <w:rFonts w:ascii="Bookman Old Style"/>
          <w:spacing w:val="17"/>
          <w:sz w:val="24"/>
        </w:rPr>
        <w:t xml:space="preserve"> </w:t>
      </w:r>
      <w:r>
        <w:rPr>
          <w:rFonts w:ascii="Bookman Old Style"/>
          <w:sz w:val="24"/>
        </w:rPr>
        <w:t>3(b)</w:t>
      </w:r>
      <w:r>
        <w:rPr>
          <w:rFonts w:ascii="Bookman Old Style"/>
          <w:spacing w:val="16"/>
          <w:sz w:val="24"/>
        </w:rPr>
        <w:t xml:space="preserve"> </w:t>
      </w:r>
      <w:r>
        <w:rPr>
          <w:rFonts w:ascii="Bookman Old Style"/>
          <w:sz w:val="24"/>
        </w:rPr>
        <w:t>is</w:t>
      </w:r>
      <w:r>
        <w:rPr>
          <w:rFonts w:ascii="Bookman Old Style"/>
          <w:spacing w:val="21"/>
          <w:sz w:val="24"/>
        </w:rPr>
        <w:t xml:space="preserve"> </w:t>
      </w:r>
      <w:r>
        <w:rPr>
          <w:rFonts w:ascii="Bookman Old Style"/>
          <w:i/>
          <w:sz w:val="24"/>
        </w:rPr>
        <w:t>ultra</w:t>
      </w:r>
      <w:r>
        <w:rPr>
          <w:rFonts w:ascii="Bookman Old Style"/>
          <w:i/>
          <w:spacing w:val="15"/>
          <w:sz w:val="24"/>
        </w:rPr>
        <w:t xml:space="preserve"> </w:t>
      </w:r>
      <w:r>
        <w:rPr>
          <w:rFonts w:ascii="Bookman Old Style"/>
          <w:i/>
          <w:sz w:val="24"/>
        </w:rPr>
        <w:t>vires</w:t>
      </w:r>
      <w:r>
        <w:rPr>
          <w:rFonts w:ascii="Bookman Old Style"/>
          <w:i/>
          <w:spacing w:val="23"/>
          <w:sz w:val="24"/>
        </w:rPr>
        <w:t xml:space="preserve"> </w:t>
      </w:r>
      <w:r>
        <w:rPr>
          <w:rFonts w:ascii="Bookman Old Style"/>
          <w:sz w:val="24"/>
        </w:rPr>
        <w:t>Section</w:t>
      </w:r>
    </w:p>
    <w:p w:rsidR="003B2FC0" w:rsidRDefault="003B2FC0">
      <w:pPr>
        <w:pStyle w:val="BodyText"/>
        <w:rPr>
          <w:sz w:val="24"/>
        </w:rPr>
      </w:pPr>
    </w:p>
    <w:p w:rsidR="003B2FC0" w:rsidRDefault="00052A49">
      <w:pPr>
        <w:spacing w:line="480" w:lineRule="auto"/>
        <w:ind w:left="1252" w:right="455"/>
        <w:jc w:val="both"/>
        <w:rPr>
          <w:rFonts w:ascii="Bookman Old Style"/>
          <w:sz w:val="24"/>
        </w:rPr>
      </w:pPr>
      <w:r>
        <w:rPr>
          <w:rFonts w:ascii="Bookman Old Style"/>
          <w:sz w:val="24"/>
        </w:rPr>
        <w:t xml:space="preserve">3 of the 1965 Act, fails to take into consideration the </w:t>
      </w:r>
      <w:r>
        <w:rPr>
          <w:rFonts w:ascii="Bookman Old Style"/>
          <w:i/>
          <w:sz w:val="24"/>
        </w:rPr>
        <w:t xml:space="preserve">proviso </w:t>
      </w:r>
      <w:r>
        <w:rPr>
          <w:rFonts w:ascii="Bookman Old Style"/>
          <w:sz w:val="24"/>
        </w:rPr>
        <w:t xml:space="preserve">to Section 3 of the 1965 Act. Section 3 applies to all places of public worship, whereas the </w:t>
      </w:r>
      <w:r>
        <w:rPr>
          <w:rFonts w:ascii="Bookman Old Style"/>
          <w:i/>
          <w:sz w:val="24"/>
        </w:rPr>
        <w:t xml:space="preserve">proviso </w:t>
      </w:r>
      <w:r>
        <w:rPr>
          <w:rFonts w:ascii="Bookman Old Style"/>
          <w:sz w:val="24"/>
        </w:rPr>
        <w:t>applies to temples founded for</w:t>
      </w:r>
      <w:r>
        <w:rPr>
          <w:rFonts w:ascii="Bookman Old Style"/>
          <w:spacing w:val="75"/>
          <w:sz w:val="24"/>
        </w:rPr>
        <w:t xml:space="preserve"> </w:t>
      </w:r>
      <w:r>
        <w:rPr>
          <w:rFonts w:ascii="Bookman Old Style"/>
          <w:sz w:val="24"/>
        </w:rPr>
        <w:t>the</w:t>
      </w:r>
    </w:p>
    <w:p w:rsidR="003B2FC0" w:rsidRDefault="003B2FC0">
      <w:pPr>
        <w:spacing w:line="480" w:lineRule="auto"/>
        <w:jc w:val="both"/>
        <w:rPr>
          <w:rFonts w:ascii="Bookman Old Style"/>
          <w:sz w:val="24"/>
        </w:rPr>
        <w:sectPr w:rsidR="003B2FC0">
          <w:headerReference w:type="default" r:id="rId539"/>
          <w:footerReference w:type="default" r:id="rId540"/>
          <w:pgSz w:w="11910" w:h="16840"/>
          <w:pgMar w:top="1340" w:right="980" w:bottom="1220" w:left="1040" w:header="0" w:footer="1033" w:gutter="0"/>
          <w:pgNumType w:start="73"/>
          <w:cols w:space="720"/>
        </w:sectPr>
      </w:pPr>
    </w:p>
    <w:p w:rsidR="003B2FC0" w:rsidRDefault="00052A49">
      <w:pPr>
        <w:spacing w:before="83" w:line="480" w:lineRule="auto"/>
        <w:ind w:left="1252" w:right="454"/>
        <w:jc w:val="both"/>
        <w:rPr>
          <w:rFonts w:ascii="Bookman Old Style"/>
          <w:sz w:val="24"/>
        </w:rPr>
      </w:pPr>
      <w:r>
        <w:rPr>
          <w:rFonts w:ascii="Bookman Old Style"/>
          <w:sz w:val="24"/>
        </w:rPr>
        <w:t>benefit of any religious denomination or sect thereof. Hence, the contentions</w:t>
      </w:r>
      <w:r>
        <w:rPr>
          <w:rFonts w:ascii="Bookman Old Style"/>
          <w:sz w:val="24"/>
        </w:rPr>
        <w:t xml:space="preserve"> of the Petitioners that Rule 3(b) is </w:t>
      </w:r>
      <w:r>
        <w:rPr>
          <w:rFonts w:ascii="Bookman Old Style"/>
          <w:i/>
          <w:sz w:val="24"/>
        </w:rPr>
        <w:t xml:space="preserve">ultra vires </w:t>
      </w:r>
      <w:r>
        <w:rPr>
          <w:rFonts w:ascii="Bookman Old Style"/>
          <w:sz w:val="24"/>
        </w:rPr>
        <w:t>Section 3 of the 1965 Act is rejected.</w:t>
      </w:r>
    </w:p>
    <w:p w:rsidR="003B2FC0" w:rsidRDefault="00052A49">
      <w:pPr>
        <w:pStyle w:val="ListParagraph"/>
        <w:numPr>
          <w:ilvl w:val="0"/>
          <w:numId w:val="13"/>
        </w:numPr>
        <w:tabs>
          <w:tab w:val="left" w:pos="543"/>
        </w:tabs>
        <w:spacing w:line="281" w:lineRule="exact"/>
        <w:ind w:hanging="426"/>
        <w:jc w:val="left"/>
        <w:rPr>
          <w:rFonts w:ascii="Bookman Old Style"/>
          <w:sz w:val="24"/>
        </w:rPr>
      </w:pPr>
      <w:r>
        <w:rPr>
          <w:rFonts w:ascii="Bookman Old Style"/>
          <w:sz w:val="24"/>
        </w:rPr>
        <w:t>The summary of the aforesaid analysis is as</w:t>
      </w:r>
      <w:r>
        <w:rPr>
          <w:rFonts w:ascii="Bookman Old Style"/>
          <w:spacing w:val="-3"/>
          <w:sz w:val="24"/>
        </w:rPr>
        <w:t xml:space="preserve"> </w:t>
      </w:r>
      <w:r>
        <w:rPr>
          <w:rFonts w:ascii="Bookman Old Style"/>
          <w:sz w:val="24"/>
        </w:rPr>
        <w:t>follows:</w:t>
      </w:r>
    </w:p>
    <w:p w:rsidR="003B2FC0" w:rsidRDefault="003B2FC0">
      <w:pPr>
        <w:pStyle w:val="BodyText"/>
        <w:spacing w:before="1"/>
        <w:rPr>
          <w:sz w:val="24"/>
        </w:rPr>
      </w:pPr>
    </w:p>
    <w:p w:rsidR="003B2FC0" w:rsidRDefault="00052A49">
      <w:pPr>
        <w:pStyle w:val="ListParagraph"/>
        <w:numPr>
          <w:ilvl w:val="1"/>
          <w:numId w:val="13"/>
        </w:numPr>
        <w:tabs>
          <w:tab w:val="left" w:pos="1253"/>
        </w:tabs>
        <w:spacing w:line="480" w:lineRule="auto"/>
        <w:ind w:left="1252" w:right="454" w:hanging="569"/>
        <w:jc w:val="both"/>
        <w:rPr>
          <w:rFonts w:ascii="Bookman Old Style"/>
          <w:sz w:val="24"/>
        </w:rPr>
      </w:pPr>
      <w:r>
        <w:rPr>
          <w:rFonts w:ascii="Bookman Old Style"/>
          <w:sz w:val="24"/>
        </w:rPr>
        <w:t>The Writ Petition does not deserve to be entertained for want of standing. The grievances raised are non-justiciable at the behest of the Petitioners and Intervenors involved</w:t>
      </w:r>
      <w:r>
        <w:rPr>
          <w:rFonts w:ascii="Bookman Old Style"/>
          <w:spacing w:val="-4"/>
          <w:sz w:val="24"/>
        </w:rPr>
        <w:t xml:space="preserve"> </w:t>
      </w:r>
      <w:r>
        <w:rPr>
          <w:rFonts w:ascii="Bookman Old Style"/>
          <w:sz w:val="24"/>
        </w:rPr>
        <w:t>herein.</w:t>
      </w:r>
    </w:p>
    <w:p w:rsidR="003B2FC0" w:rsidRDefault="00052A49">
      <w:pPr>
        <w:pStyle w:val="ListParagraph"/>
        <w:numPr>
          <w:ilvl w:val="1"/>
          <w:numId w:val="13"/>
        </w:numPr>
        <w:tabs>
          <w:tab w:val="left" w:pos="1253"/>
        </w:tabs>
        <w:spacing w:line="480" w:lineRule="auto"/>
        <w:ind w:left="1252" w:right="457" w:hanging="569"/>
        <w:jc w:val="both"/>
        <w:rPr>
          <w:rFonts w:ascii="Bookman Old Style"/>
          <w:sz w:val="24"/>
        </w:rPr>
      </w:pPr>
      <w:r>
        <w:rPr>
          <w:rFonts w:ascii="Bookman Old Style"/>
          <w:sz w:val="24"/>
        </w:rPr>
        <w:t>The equality doctrine enshrined under Article 14 does not override the Fu</w:t>
      </w:r>
      <w:r>
        <w:rPr>
          <w:rFonts w:ascii="Bookman Old Style"/>
          <w:sz w:val="24"/>
        </w:rPr>
        <w:t>ndamental Right guaranteed by Article 25 to every individual to freely profess, practise and propagate their faith, in accordance with the tenets of their</w:t>
      </w:r>
      <w:r>
        <w:rPr>
          <w:rFonts w:ascii="Bookman Old Style"/>
          <w:spacing w:val="-1"/>
          <w:sz w:val="24"/>
        </w:rPr>
        <w:t xml:space="preserve"> </w:t>
      </w:r>
      <w:r>
        <w:rPr>
          <w:rFonts w:ascii="Bookman Old Style"/>
          <w:sz w:val="24"/>
        </w:rPr>
        <w:t>religion.</w:t>
      </w:r>
    </w:p>
    <w:p w:rsidR="003B2FC0" w:rsidRDefault="00052A49">
      <w:pPr>
        <w:pStyle w:val="ListParagraph"/>
        <w:numPr>
          <w:ilvl w:val="1"/>
          <w:numId w:val="13"/>
        </w:numPr>
        <w:tabs>
          <w:tab w:val="left" w:pos="1253"/>
        </w:tabs>
        <w:spacing w:before="2" w:line="480" w:lineRule="auto"/>
        <w:ind w:left="1252" w:right="453" w:hanging="569"/>
        <w:jc w:val="both"/>
        <w:rPr>
          <w:rFonts w:ascii="Bookman Old Style"/>
          <w:sz w:val="24"/>
        </w:rPr>
      </w:pPr>
      <w:r>
        <w:rPr>
          <w:rFonts w:ascii="Bookman Old Style"/>
          <w:sz w:val="24"/>
        </w:rPr>
        <w:t>Constitutional Morality in a secular polity would imply the harmonisation of the Fundamenta</w:t>
      </w:r>
      <w:r>
        <w:rPr>
          <w:rFonts w:ascii="Bookman Old Style"/>
          <w:sz w:val="24"/>
        </w:rPr>
        <w:t>l Rights, which include the right of every individual, religious denomination, or sect, to practise their faith and belief in accordance with the tenets of their religion, irrespective of whether the practise is rational or</w:t>
      </w:r>
      <w:r>
        <w:rPr>
          <w:rFonts w:ascii="Bookman Old Style"/>
          <w:spacing w:val="-4"/>
          <w:sz w:val="24"/>
        </w:rPr>
        <w:t xml:space="preserve"> </w:t>
      </w:r>
      <w:r>
        <w:rPr>
          <w:rFonts w:ascii="Bookman Old Style"/>
          <w:sz w:val="24"/>
        </w:rPr>
        <w:t>logical.</w:t>
      </w:r>
    </w:p>
    <w:p w:rsidR="003B2FC0" w:rsidRDefault="00052A49">
      <w:pPr>
        <w:pStyle w:val="ListParagraph"/>
        <w:numPr>
          <w:ilvl w:val="1"/>
          <w:numId w:val="13"/>
        </w:numPr>
        <w:tabs>
          <w:tab w:val="left" w:pos="1253"/>
        </w:tabs>
        <w:spacing w:line="480" w:lineRule="auto"/>
        <w:ind w:left="1252" w:right="456" w:hanging="569"/>
        <w:jc w:val="both"/>
        <w:rPr>
          <w:rFonts w:ascii="Bookman Old Style"/>
          <w:sz w:val="24"/>
        </w:rPr>
      </w:pPr>
      <w:r>
        <w:rPr>
          <w:rFonts w:ascii="Bookman Old Style"/>
          <w:sz w:val="24"/>
        </w:rPr>
        <w:t>The Respondents and the</w:t>
      </w:r>
      <w:r>
        <w:rPr>
          <w:rFonts w:ascii="Bookman Old Style"/>
          <w:sz w:val="24"/>
        </w:rPr>
        <w:t xml:space="preserve"> Intervenors have made out a plausible case that the </w:t>
      </w:r>
      <w:r>
        <w:rPr>
          <w:rFonts w:ascii="Bookman Old Style"/>
          <w:i/>
          <w:sz w:val="24"/>
        </w:rPr>
        <w:t xml:space="preserve">Ayyappans </w:t>
      </w:r>
      <w:r>
        <w:rPr>
          <w:rFonts w:ascii="Bookman Old Style"/>
          <w:sz w:val="24"/>
        </w:rPr>
        <w:t xml:space="preserve">or worshippers of the Sabarimala Temple satisfy the requirements of being a religious denomination, or sect thereof, which is entitled to the protection provided by Article 26. This is a mixed </w:t>
      </w:r>
      <w:r>
        <w:rPr>
          <w:rFonts w:ascii="Bookman Old Style"/>
          <w:sz w:val="24"/>
        </w:rPr>
        <w:t>question of fact and law which ought to be decided before a competent court of civil</w:t>
      </w:r>
      <w:r>
        <w:rPr>
          <w:rFonts w:ascii="Bookman Old Style"/>
          <w:spacing w:val="-1"/>
          <w:sz w:val="24"/>
        </w:rPr>
        <w:t xml:space="preserve"> </w:t>
      </w:r>
      <w:r>
        <w:rPr>
          <w:rFonts w:ascii="Bookman Old Style"/>
          <w:sz w:val="24"/>
        </w:rPr>
        <w:t>jurisdiction.</w:t>
      </w:r>
    </w:p>
    <w:p w:rsidR="003B2FC0" w:rsidRDefault="00052A49">
      <w:pPr>
        <w:pStyle w:val="ListParagraph"/>
        <w:numPr>
          <w:ilvl w:val="1"/>
          <w:numId w:val="13"/>
        </w:numPr>
        <w:tabs>
          <w:tab w:val="left" w:pos="1253"/>
        </w:tabs>
        <w:spacing w:line="480" w:lineRule="auto"/>
        <w:ind w:left="1252" w:right="453" w:hanging="569"/>
        <w:jc w:val="both"/>
        <w:rPr>
          <w:rFonts w:ascii="Bookman Old Style"/>
          <w:sz w:val="24"/>
        </w:rPr>
      </w:pPr>
      <w:r>
        <w:rPr>
          <w:rFonts w:ascii="Bookman Old Style"/>
          <w:sz w:val="24"/>
        </w:rPr>
        <w:t>The limited restriction on the entry of women during the notified age- group does not fall within the purview of Article 17 of the Constitution.</w:t>
      </w:r>
    </w:p>
    <w:p w:rsidR="003B2FC0" w:rsidRDefault="003B2FC0">
      <w:pPr>
        <w:spacing w:line="480" w:lineRule="auto"/>
        <w:jc w:val="both"/>
        <w:rPr>
          <w:rFonts w:ascii="Bookman Old Style"/>
          <w:sz w:val="24"/>
        </w:rPr>
        <w:sectPr w:rsidR="003B2FC0">
          <w:headerReference w:type="default" r:id="rId541"/>
          <w:footerReference w:type="default" r:id="rId542"/>
          <w:pgSz w:w="11910" w:h="16840"/>
          <w:pgMar w:top="1340" w:right="980" w:bottom="1220" w:left="1040" w:header="0" w:footer="1033" w:gutter="0"/>
          <w:pgNumType w:start="74"/>
          <w:cols w:space="720"/>
        </w:sectPr>
      </w:pPr>
    </w:p>
    <w:p w:rsidR="003B2FC0" w:rsidRDefault="00052A49">
      <w:pPr>
        <w:pStyle w:val="ListParagraph"/>
        <w:numPr>
          <w:ilvl w:val="1"/>
          <w:numId w:val="13"/>
        </w:numPr>
        <w:tabs>
          <w:tab w:val="left" w:pos="1253"/>
        </w:tabs>
        <w:spacing w:before="83" w:line="480" w:lineRule="auto"/>
        <w:ind w:left="1252" w:right="454" w:hanging="569"/>
        <w:jc w:val="both"/>
        <w:rPr>
          <w:rFonts w:ascii="Bookman Old Style"/>
          <w:sz w:val="24"/>
        </w:rPr>
      </w:pPr>
      <w:r>
        <w:rPr>
          <w:rFonts w:ascii="Bookman Old Style"/>
          <w:sz w:val="24"/>
        </w:rPr>
        <w:t xml:space="preserve">Rule 3(b) of the 1965 Rules is not </w:t>
      </w:r>
      <w:r>
        <w:rPr>
          <w:rFonts w:ascii="Bookman Old Style"/>
          <w:i/>
          <w:sz w:val="24"/>
        </w:rPr>
        <w:t xml:space="preserve">ultra vires </w:t>
      </w:r>
      <w:r>
        <w:rPr>
          <w:rFonts w:ascii="Bookman Old Style"/>
          <w:sz w:val="24"/>
        </w:rPr>
        <w:t xml:space="preserve">Section 3 of the 1965 Act, since the </w:t>
      </w:r>
      <w:r>
        <w:rPr>
          <w:rFonts w:ascii="Bookman Old Style"/>
          <w:i/>
          <w:sz w:val="24"/>
        </w:rPr>
        <w:t xml:space="preserve">proviso </w:t>
      </w:r>
      <w:r>
        <w:rPr>
          <w:rFonts w:ascii="Bookman Old Style"/>
          <w:sz w:val="24"/>
        </w:rPr>
        <w:t xml:space="preserve">carves out an exception in the case of public worship in a temple for the benefit of any religious denomination or sect thereof, to </w:t>
      </w:r>
      <w:r>
        <w:rPr>
          <w:rFonts w:ascii="Bookman Old Style"/>
          <w:sz w:val="24"/>
        </w:rPr>
        <w:t>manage their affairs in matters of</w:t>
      </w:r>
      <w:r>
        <w:rPr>
          <w:rFonts w:ascii="Bookman Old Style"/>
          <w:spacing w:val="-4"/>
          <w:sz w:val="24"/>
        </w:rPr>
        <w:t xml:space="preserve"> </w:t>
      </w:r>
      <w:r>
        <w:rPr>
          <w:rFonts w:ascii="Bookman Old Style"/>
          <w:sz w:val="24"/>
        </w:rPr>
        <w:t>religion.</w:t>
      </w:r>
    </w:p>
    <w:p w:rsidR="003B2FC0" w:rsidRDefault="00052A49">
      <w:pPr>
        <w:pStyle w:val="ListParagraph"/>
        <w:numPr>
          <w:ilvl w:val="0"/>
          <w:numId w:val="13"/>
        </w:numPr>
        <w:tabs>
          <w:tab w:val="left" w:pos="543"/>
        </w:tabs>
        <w:spacing w:line="477" w:lineRule="auto"/>
        <w:ind w:right="455" w:hanging="426"/>
        <w:jc w:val="left"/>
        <w:rPr>
          <w:rFonts w:ascii="Bookman Old Style"/>
          <w:sz w:val="24"/>
        </w:rPr>
      </w:pPr>
      <w:r>
        <w:rPr>
          <w:rFonts w:ascii="Bookman Old Style"/>
          <w:sz w:val="24"/>
        </w:rPr>
        <w:t>In light of the aforesaid discussion and analysis, the Writ Petition cannot be entertained on the grounds enumerated</w:t>
      </w:r>
      <w:r>
        <w:rPr>
          <w:rFonts w:ascii="Bookman Old Style"/>
          <w:spacing w:val="-5"/>
          <w:sz w:val="24"/>
        </w:rPr>
        <w:t xml:space="preserve"> </w:t>
      </w:r>
      <w:r>
        <w:rPr>
          <w:rFonts w:ascii="Bookman Old Style"/>
          <w:sz w:val="24"/>
        </w:rPr>
        <w:t>hereinabove.</w:t>
      </w:r>
    </w:p>
    <w:p w:rsidR="003B2FC0" w:rsidRDefault="00052A49">
      <w:pPr>
        <w:spacing w:before="163"/>
        <w:ind w:left="966"/>
        <w:rPr>
          <w:rFonts w:ascii="Bookman Old Style"/>
          <w:sz w:val="24"/>
        </w:rPr>
      </w:pPr>
      <w:r>
        <w:rPr>
          <w:rFonts w:ascii="Bookman Old Style"/>
          <w:sz w:val="24"/>
        </w:rPr>
        <w:t>It is ordered accordingly.</w:t>
      </w: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rPr>
          <w:sz w:val="20"/>
        </w:rPr>
      </w:pPr>
    </w:p>
    <w:p w:rsidR="003B2FC0" w:rsidRDefault="003B2FC0">
      <w:pPr>
        <w:pStyle w:val="BodyText"/>
        <w:spacing w:before="6"/>
      </w:pPr>
    </w:p>
    <w:p w:rsidR="003B2FC0" w:rsidRDefault="00052A49">
      <w:pPr>
        <w:pStyle w:val="BodyText"/>
        <w:spacing w:before="100"/>
        <w:ind w:right="454"/>
        <w:jc w:val="right"/>
        <w:rPr>
          <w:b/>
        </w:rPr>
      </w:pPr>
      <w:r>
        <w:rPr>
          <w:b/>
          <w:spacing w:val="-1"/>
        </w:rPr>
        <w:t>…..……….………..J.</w:t>
      </w:r>
    </w:p>
    <w:p w:rsidR="003B2FC0" w:rsidRDefault="00052A49">
      <w:pPr>
        <w:pStyle w:val="BodyText"/>
        <w:ind w:right="456"/>
        <w:jc w:val="right"/>
        <w:rPr>
          <w:b/>
        </w:rPr>
      </w:pPr>
      <w:r>
        <w:rPr>
          <w:b/>
        </w:rPr>
        <w:t>(INDU</w:t>
      </w:r>
      <w:r>
        <w:rPr>
          <w:b/>
          <w:spacing w:val="-4"/>
        </w:rPr>
        <w:t xml:space="preserve"> </w:t>
      </w:r>
      <w:r>
        <w:rPr>
          <w:b/>
        </w:rPr>
        <w:t>MALHOTRA)</w:t>
      </w:r>
    </w:p>
    <w:p w:rsidR="003B2FC0" w:rsidRDefault="00052A49">
      <w:pPr>
        <w:pStyle w:val="BodyText"/>
        <w:spacing w:before="162"/>
        <w:ind w:left="400" w:right="6518"/>
        <w:rPr>
          <w:b/>
        </w:rPr>
      </w:pPr>
      <w:r>
        <w:rPr>
          <w:b/>
        </w:rPr>
        <w:t>New Delhi; September 28, 2018</w:t>
      </w:r>
    </w:p>
    <w:sectPr w:rsidR="003B2FC0" w:rsidSect="003B2FC0">
      <w:headerReference w:type="default" r:id="rId543"/>
      <w:footerReference w:type="default" r:id="rId544"/>
      <w:pgSz w:w="11910" w:h="16840"/>
      <w:pgMar w:top="1340" w:right="980" w:bottom="1220" w:left="1040" w:header="0" w:footer="1033" w:gutter="0"/>
      <w:pgNumType w:start="7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A49" w:rsidRDefault="00052A49" w:rsidP="003B2FC0">
      <w:r>
        <w:separator/>
      </w:r>
    </w:p>
  </w:endnote>
  <w:endnote w:type="continuationSeparator" w:id="1">
    <w:p w:rsidR="00052A49" w:rsidRDefault="00052A49" w:rsidP="003B2FC0">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384" style="position:absolute;z-index:-177712;mso-position-horizontal-relative:page;mso-position-vertical-relative:page" from="1in,757pt" to="216.05pt,757pt" strokeweight=".6pt">
          <w10:wrap anchorx="page" anchory="page"/>
        </v:line>
      </w:pict>
    </w:r>
    <w:r w:rsidRPr="003B2FC0">
      <w:pict>
        <v:shapetype id="_x0000_t202" coordsize="21600,21600" o:spt="202" path="m,l,21600r21600,l21600,xe">
          <v:stroke joinstyle="miter"/>
          <v:path gradientshapeok="t" o:connecttype="rect"/>
        </v:shapetype>
        <v:shape id="_x0000_s2383" type="#_x0000_t202" style="position:absolute;margin-left:71pt;margin-top:762.2pt;width:7pt;height:13.05pt;z-index:-177688;mso-position-horizontal-relative:page;mso-position-vertical-relative:page" filled="f" stroked="f">
          <v:textbox inset="0,0,0,0">
            <w:txbxContent>
              <w:p w:rsidR="003B2FC0" w:rsidRDefault="00052A49">
                <w:pPr>
                  <w:spacing w:before="10"/>
                  <w:ind w:left="20"/>
                  <w:rPr>
                    <w:rFonts w:ascii="Times New Roman"/>
                    <w:sz w:val="20"/>
                  </w:rPr>
                </w:pPr>
                <w:r>
                  <w:rPr>
                    <w:rFonts w:ascii="Times New Roman"/>
                    <w:w w:val="99"/>
                    <w:sz w:val="20"/>
                  </w:rPr>
                  <w:t>2</w:t>
                </w:r>
              </w:p>
            </w:txbxContent>
          </v:textbox>
          <w10:wrap anchorx="page" anchory="page"/>
        </v:shape>
      </w:pict>
    </w:r>
    <w:r w:rsidRPr="003B2FC0">
      <w:pict>
        <v:shape id="_x0000_s2382" type="#_x0000_t202" style="position:absolute;margin-left:90.1pt;margin-top:763.3pt;width:82.15pt;height:12pt;z-index:-177664;mso-position-horizontal-relative:page;mso-position-vertical-relative:page" filled="f" stroked="f">
          <v:textbox inset="0,0,0,0">
            <w:txbxContent>
              <w:p w:rsidR="003B2FC0" w:rsidRDefault="00052A49">
                <w:pPr>
                  <w:spacing w:line="220" w:lineRule="exact"/>
                  <w:ind w:left="20"/>
                  <w:rPr>
                    <w:rFonts w:ascii="Cambria"/>
                    <w:sz w:val="20"/>
                  </w:rPr>
                </w:pPr>
                <w:r>
                  <w:rPr>
                    <w:rFonts w:ascii="Cambria"/>
                    <w:sz w:val="20"/>
                  </w:rPr>
                  <w:t>(2017) 10 SCC 689</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9" type="#_x0000_t202" style="position:absolute;margin-left:532.6pt;margin-top:706.4pt;width:9.6pt;height:13.05pt;z-index:-17519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9</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8" type="#_x0000_t202" style="position:absolute;margin-left:526.95pt;margin-top:706.4pt;width:15.3pt;height:13.05pt;z-index:-17516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10</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7" type="#_x0000_t202" style="position:absolute;margin-left:526.95pt;margin-top:706.4pt;width:15.3pt;height:13.05pt;z-index:-17514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11</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6" type="#_x0000_t202" style="position:absolute;margin-left:526.95pt;margin-top:706.4pt;width:15.3pt;height:13.05pt;z-index:-17512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12</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5" type="#_x0000_t202" style="position:absolute;margin-left:526.95pt;margin-top:706.4pt;width:15.3pt;height:13.05pt;z-index:-17509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13</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4" type="#_x0000_t202" style="position:absolute;margin-left:526.95pt;margin-top:706.4pt;width:15.3pt;height:13.05pt;z-index:-17507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14</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3" type="#_x0000_t202" style="position:absolute;margin-left:526.95pt;margin-top:706.4pt;width:15.3pt;height:13.05pt;z-index:-17504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15</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2" type="#_x0000_t202" style="position:absolute;margin-left:526.95pt;margin-top:706.4pt;width:15.3pt;height:13.05pt;z-index:-17502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16</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1" type="#_x0000_t202" style="position:absolute;margin-left:526.95pt;margin-top:706.4pt;width:15.3pt;height:13.05pt;z-index:-17500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17</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70" type="#_x0000_t202" style="position:absolute;margin-left:526.95pt;margin-top:706.4pt;width:15.3pt;height:13.05pt;z-index:-17497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18</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9" type="#_x0000_t202" style="position:absolute;margin-left:526.95pt;margin-top:706.4pt;width:15.3pt;height:13.05pt;z-index:-17495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19</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8" type="#_x0000_t202" style="position:absolute;margin-left:526.95pt;margin-top:706.4pt;width:15.3pt;height:13.05pt;z-index:-17492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20</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7" type="#_x0000_t202" style="position:absolute;margin-left:526.95pt;margin-top:706.4pt;width:15.3pt;height:13.05pt;z-index:-17490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21</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6" type="#_x0000_t202" style="position:absolute;margin-left:526.95pt;margin-top:706.4pt;width:15.3pt;height:13.05pt;z-index:-17488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22</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5" type="#_x0000_t202" style="position:absolute;margin-left:526.95pt;margin-top:706.4pt;width:15.3pt;height:13.05pt;z-index:-17485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23</w:t>
                </w:r>
                <w:r>
                  <w:fldChar w:fldCharType="end"/>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4" type="#_x0000_t202" style="position:absolute;margin-left:526.95pt;margin-top:706.4pt;width:15.3pt;height:13.05pt;z-index:-17483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24</w:t>
                </w:r>
                <w:r>
                  <w:fldChar w:fldCharType="end"/>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3" type="#_x0000_t202" style="position:absolute;margin-left:526.95pt;margin-top:706.4pt;width:15.3pt;height:13.05pt;z-index:-17480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25</w:t>
                </w:r>
                <w:r>
                  <w:fldChar w:fldCharType="end"/>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2" type="#_x0000_t202" style="position:absolute;margin-left:526.95pt;margin-top:706.4pt;width:15.3pt;height:13.05pt;z-index:-17478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26</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1" type="#_x0000_t202" style="position:absolute;margin-left:526.95pt;margin-top:706.4pt;width:15.3pt;height:13.05pt;z-index:-17476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27</w:t>
                </w:r>
                <w:r>
                  <w:fldChar w:fldCharType="end"/>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60" type="#_x0000_t202" style="position:absolute;margin-left:526.95pt;margin-top:706.4pt;width:15.3pt;height:13.05pt;z-index:-17473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28</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9" type="#_x0000_t202" style="position:absolute;margin-left:526.95pt;margin-top:706.4pt;width:15.3pt;height:13.05pt;z-index:-17471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29</w:t>
                </w:r>
                <w:r>
                  <w:fldChar w:fldCharType="end"/>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8" type="#_x0000_t202" style="position:absolute;margin-left:526.95pt;margin-top:706.4pt;width:15.3pt;height:13.05pt;z-index:-17468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30</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7" type="#_x0000_t202" style="position:absolute;margin-left:526.95pt;margin-top:706.4pt;width:15.3pt;height:13.05pt;z-index:-17466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31</w:t>
                </w:r>
                <w:r>
                  <w:fldChar w:fldCharType="end"/>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6" type="#_x0000_t202" style="position:absolute;margin-left:526.95pt;margin-top:706.4pt;width:15.3pt;height:13.05pt;z-index:-17464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32</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5" type="#_x0000_t202" style="position:absolute;margin-left:526.95pt;margin-top:706.4pt;width:15.3pt;height:13.05pt;z-index:-17461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33</w:t>
                </w:r>
                <w:r>
                  <w:fldChar w:fldCharType="end"/>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4" type="#_x0000_t202" style="position:absolute;margin-left:526.95pt;margin-top:706.4pt;width:15.3pt;height:13.05pt;z-index:-17459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34</w:t>
                </w:r>
                <w:r>
                  <w:fldChar w:fldCharType="end"/>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3" type="#_x0000_t202" style="position:absolute;margin-left:526.95pt;margin-top:706.4pt;width:15.3pt;height:13.05pt;z-index:-17456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35</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2" type="#_x0000_t202" style="position:absolute;margin-left:526.95pt;margin-top:706.4pt;width:15.3pt;height:13.05pt;z-index:-17454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36</w:t>
                </w:r>
                <w:r>
                  <w:fldChar w:fldCharType="end"/>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1" type="#_x0000_t202" style="position:absolute;margin-left:526.95pt;margin-top:706.4pt;width:15.3pt;height:13.05pt;z-index:-17452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37</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50" type="#_x0000_t202" style="position:absolute;margin-left:526.95pt;margin-top:706.4pt;width:15.3pt;height:13.05pt;z-index:-17449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9" type="#_x0000_t202" style="position:absolute;margin-left:526.95pt;margin-top:706.4pt;width:15.3pt;height:13.05pt;z-index:-17447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39</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8" type="#_x0000_t202" style="position:absolute;margin-left:526.95pt;margin-top:706.4pt;width:15.3pt;height:13.05pt;z-index:-17444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40</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7" type="#_x0000_t202" style="position:absolute;margin-left:526.95pt;margin-top:706.4pt;width:15.3pt;height:13.05pt;z-index:-17442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41</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6" type="#_x0000_t202" style="position:absolute;margin-left:526.95pt;margin-top:706.4pt;width:15.3pt;height:13.05pt;z-index:-17440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42</w:t>
                </w:r>
                <w:r>
                  <w:fldChar w:fldCharType="end"/>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5" type="#_x0000_t202" style="position:absolute;margin-left:526.95pt;margin-top:706.4pt;width:15.3pt;height:13.05pt;z-index:-17437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43</w:t>
                </w:r>
                <w:r>
                  <w:fldChar w:fldCharType="end"/>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4" type="#_x0000_t202" style="position:absolute;margin-left:526.95pt;margin-top:706.4pt;width:15.3pt;height:13.05pt;z-index:-17435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44</w:t>
                </w:r>
                <w:r>
                  <w:fldChar w:fldCharType="end"/>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3" type="#_x0000_t202" style="position:absolute;margin-left:526.95pt;margin-top:706.4pt;width:15.3pt;height:13.05pt;z-index:-17432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45</w:t>
                </w:r>
                <w:r>
                  <w:fldChar w:fldCharType="end"/>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2" type="#_x0000_t202" style="position:absolute;margin-left:526.95pt;margin-top:706.4pt;width:15.3pt;height:13.05pt;z-index:-17430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46</w:t>
                </w:r>
                <w:r>
                  <w:fldChar w:fldCharType="end"/>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1" type="#_x0000_t202" style="position:absolute;margin-left:526.95pt;margin-top:706.4pt;width:15.3pt;height:13.05pt;z-index:-17428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w:instrText>
                </w:r>
                <w:r w:rsidR="00052A49">
                  <w:rPr>
                    <w:rFonts w:ascii="Calibri"/>
                  </w:rPr>
                  <w:instrText xml:space="preserve">E </w:instrText>
                </w:r>
                <w:r>
                  <w:fldChar w:fldCharType="separate"/>
                </w:r>
                <w:r w:rsidR="00052A49">
                  <w:t>47</w:t>
                </w:r>
                <w:r>
                  <w:fldChar w:fldCharType="end"/>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40" type="#_x0000_t202" style="position:absolute;margin-left:526.95pt;margin-top:706.4pt;width:15.3pt;height:13.05pt;z-index:-17425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48</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9" type="#_x0000_t202" style="position:absolute;margin-left:526.95pt;margin-top:706.4pt;width:15.3pt;height:13.05pt;z-index:-17423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49</w:t>
                </w:r>
                <w:r>
                  <w:fldChar w:fldCharType="end"/>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8" type="#_x0000_t202" style="position:absolute;margin-left:526.95pt;margin-top:706.4pt;width:15.3pt;height:13.05pt;z-index:-17420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50</w:t>
                </w:r>
                <w:r>
                  <w:fldChar w:fldCharType="end"/>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7" type="#_x0000_t202" style="position:absolute;margin-left:526.95pt;margin-top:706.4pt;width:15.3pt;height:13.05pt;z-index:-17418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51</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6" type="#_x0000_t202" style="position:absolute;margin-left:526.95pt;margin-top:706.4pt;width:15.3pt;height:13.05pt;z-index:-17416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52</w:t>
                </w:r>
                <w:r>
                  <w:fldChar w:fldCharType="end"/>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5" type="#_x0000_t202" style="position:absolute;margin-left:526.95pt;margin-top:706.4pt;width:15.3pt;height:13.05pt;z-index:-17413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53</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4" type="#_x0000_t202" style="position:absolute;margin-left:526.95pt;margin-top:706.4pt;width:15.3pt;height:13.05pt;z-index:-17411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54</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3" type="#_x0000_t202" style="position:absolute;margin-left:526.95pt;margin-top:706.4pt;width:15.3pt;height:13.05pt;z-index:-17408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55</w:t>
                </w:r>
                <w:r>
                  <w:fldChar w:fldCharType="end"/>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2" type="#_x0000_t202" style="position:absolute;margin-left:526.95pt;margin-top:706.4pt;width:15.3pt;height:13.05pt;z-index:-17406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56</w:t>
                </w:r>
                <w:r>
                  <w:fldChar w:fldCharType="end"/>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1" type="#_x0000_t202" style="position:absolute;margin-left:526.95pt;margin-top:706.4pt;width:15.3pt;height:13.05pt;z-index:-17404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57</w:t>
                </w:r>
                <w: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30" type="#_x0000_t202" style="position:absolute;margin-left:526.95pt;margin-top:706.4pt;width:15.3pt;height:13.05pt;z-index:-17401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58</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9" type="#_x0000_t202" style="position:absolute;margin-left:526.95pt;margin-top:706.4pt;width:15.3pt;height:13.05pt;z-index:-17399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59</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8" type="#_x0000_t202" style="position:absolute;margin-left:526.95pt;margin-top:706.4pt;width:15.3pt;height:13.05pt;z-index:-17396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60</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7" type="#_x0000_t202" style="position:absolute;margin-left:526.95pt;margin-top:706.4pt;width:15.3pt;height:13.05pt;z-index:-17394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61</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6" type="#_x0000_t202" style="position:absolute;margin-left:526.95pt;margin-top:706.4pt;width:15.3pt;height:13.05pt;z-index:-17392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62</w:t>
                </w:r>
                <w:r>
                  <w:fldChar w:fldCharType="end"/>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5" type="#_x0000_t202" style="position:absolute;margin-left:526.95pt;margin-top:706.4pt;width:15.3pt;height:13.05pt;z-index:-17389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63</w:t>
                </w:r>
                <w:r>
                  <w:fldChar w:fldCharType="end"/>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4" type="#_x0000_t202" style="position:absolute;margin-left:526.95pt;margin-top:706.4pt;width:15.3pt;height:13.05pt;z-index:-17387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64</w:t>
                </w:r>
                <w:r>
                  <w:fldChar w:fldCharType="end"/>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3" type="#_x0000_t202" style="position:absolute;margin-left:526.95pt;margin-top:706.4pt;width:15.3pt;height:13.05pt;z-index:-17384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65</w:t>
                </w:r>
                <w:r>
                  <w:fldChar w:fldCharType="end"/>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2" type="#_x0000_t202" style="position:absolute;margin-left:526.95pt;margin-top:706.4pt;width:15.3pt;height:13.05pt;z-index:-17382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66</w:t>
                </w:r>
                <w:r>
                  <w:fldChar w:fldCharType="end"/>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1" type="#_x0000_t202" style="position:absolute;margin-left:526.95pt;margin-top:706.4pt;width:15.3pt;height:13.05pt;z-index:-17380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67</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20" type="#_x0000_t202" style="position:absolute;margin-left:526.95pt;margin-top:706.4pt;width:15.3pt;height:13.05pt;z-index:-17377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68</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9" type="#_x0000_t202" style="position:absolute;margin-left:526.95pt;margin-top:706.4pt;width:15.3pt;height:13.05pt;z-index:-17375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69</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8" type="#_x0000_t202" style="position:absolute;margin-left:526.95pt;margin-top:706.4pt;width:15.3pt;height:13.05pt;z-index:-17372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70</w:t>
                </w:r>
                <w:r>
                  <w:fldChar w:fldCharType="end"/>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7" type="#_x0000_t202" style="position:absolute;margin-left:526.95pt;margin-top:706.4pt;width:15.3pt;height:13.05pt;z-index:-17370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71</w:t>
                </w:r>
                <w:r>
                  <w:fldChar w:fldCharType="end"/>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6" type="#_x0000_t202" style="position:absolute;margin-left:526.95pt;margin-top:706.4pt;width:15.3pt;height:13.05pt;z-index:-17368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72</w:t>
                </w:r>
                <w:r>
                  <w:fldChar w:fldCharType="end"/>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5" type="#_x0000_t202" style="position:absolute;margin-left:526.95pt;margin-top:706.4pt;width:15.3pt;height:13.05pt;z-index:-17365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73</w:t>
                </w:r>
                <w:r>
                  <w:fldChar w:fldCharType="end"/>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4" type="#_x0000_t202" style="position:absolute;margin-left:526.95pt;margin-top:706.4pt;width:15.3pt;height:13.05pt;z-index:-17363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74</w:t>
                </w:r>
                <w:r>
                  <w:fldChar w:fldCharType="end"/>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3" type="#_x0000_t202" style="position:absolute;margin-left:526.95pt;margin-top:706.4pt;width:15.3pt;height:13.05pt;z-index:-17360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75</w:t>
                </w:r>
                <w:r>
                  <w:fldChar w:fldCharType="end"/>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2" type="#_x0000_t202" style="position:absolute;margin-left:526.95pt;margin-top:706.4pt;width:15.3pt;height:13.05pt;z-index:-17358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76</w:t>
                </w:r>
                <w:r>
                  <w:fldChar w:fldCharType="end"/>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1" type="#_x0000_t202" style="position:absolute;margin-left:290.75pt;margin-top:780.9pt;width:15.3pt;height:13.05pt;z-index:-17356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10</w:t>
                </w:r>
                <w:r>
                  <w:fldChar w:fldCharType="end"/>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10" type="#_x0000_t202" style="position:absolute;margin-left:293.5pt;margin-top:780.9pt;width:9.6pt;height:13.05pt;z-index:-17353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204" style="position:absolute;z-index:-173392;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203" type="#_x0000_t202" style="position:absolute;margin-left:71pt;margin-top:758.7pt;width:288.45pt;height:12.35pt;z-index:-173368;mso-position-horizontal-relative:page;mso-position-vertical-relative:page" filled="f" stroked="f">
          <v:textbox inset="0,0,0,0">
            <w:txbxContent>
              <w:p w:rsidR="003B2FC0" w:rsidRDefault="00052A49">
                <w:pPr>
                  <w:spacing w:before="16"/>
                  <w:ind w:left="20"/>
                  <w:rPr>
                    <w:sz w:val="18"/>
                  </w:rPr>
                </w:pPr>
                <w:r>
                  <w:rPr>
                    <w:position w:val="6"/>
                    <w:sz w:val="12"/>
                  </w:rPr>
                  <w:t xml:space="preserve">13 </w:t>
                </w:r>
                <w:r>
                  <w:rPr>
                    <w:sz w:val="18"/>
                  </w:rPr>
                  <w:t>Appearing for the Intervenors – Nikita Azad Arora and Sukhjeet Singh</w:t>
                </w:r>
              </w:p>
            </w:txbxContent>
          </v:textbox>
          <w10:wrap anchorx="page" anchory="page"/>
        </v:shape>
      </w:pict>
    </w:r>
    <w:r w:rsidRPr="003B2FC0">
      <w:pict>
        <v:shape id="_x0000_s2202" type="#_x0000_t202" style="position:absolute;margin-left:290.75pt;margin-top:780.9pt;width:15.3pt;height:13.05pt;z-index:-17334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37</w:t>
                </w:r>
                <w:r>
                  <w:fldChar w:fldCharType="end"/>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201" style="position:absolute;z-index:-173320;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200" type="#_x0000_t202" style="position:absolute;margin-left:71pt;margin-top:758.7pt;width:306.45pt;height:12.35pt;z-index:-173296;mso-position-horizontal-relative:page;mso-position-vertical-relative:page" filled="f" stroked="f">
          <v:textbox inset="0,0,0,0">
            <w:txbxContent>
              <w:p w:rsidR="003B2FC0" w:rsidRDefault="00052A49">
                <w:pPr>
                  <w:spacing w:before="16"/>
                  <w:ind w:left="20"/>
                  <w:rPr>
                    <w:sz w:val="18"/>
                  </w:rPr>
                </w:pPr>
                <w:r>
                  <w:rPr>
                    <w:position w:val="6"/>
                    <w:sz w:val="12"/>
                  </w:rPr>
                  <w:t xml:space="preserve">14 </w:t>
                </w:r>
                <w:r>
                  <w:rPr>
                    <w:sz w:val="18"/>
                  </w:rPr>
                  <w:t>Appearing for the Intervenors – All India Democratic Women’s Association</w:t>
                </w:r>
              </w:p>
            </w:txbxContent>
          </v:textbox>
          <w10:wrap anchorx="page" anchory="page"/>
        </v:shape>
      </w:pict>
    </w:r>
    <w:r w:rsidRPr="003B2FC0">
      <w:pict>
        <v:shape id="_x0000_s2199" type="#_x0000_t202" style="position:absolute;margin-left:291.75pt;margin-top:780.9pt;width:13.3pt;height:13.05pt;z-index:-173272;mso-position-horizontal-relative:page;mso-position-vertical-relative:page" filled="f" stroked="f">
          <v:textbox inset="0,0,0,0">
            <w:txbxContent>
              <w:p w:rsidR="003B2FC0" w:rsidRDefault="00052A49">
                <w:pPr>
                  <w:spacing w:line="245" w:lineRule="exact"/>
                  <w:ind w:left="20"/>
                  <w:rPr>
                    <w:rFonts w:ascii="Calibri"/>
                  </w:rPr>
                </w:pPr>
                <w:r>
                  <w:rPr>
                    <w:rFonts w:ascii="Calibri"/>
                  </w:rPr>
                  <w:t>38</w:t>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98" style="position:absolute;z-index:-173248;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197" type="#_x0000_t202" style="position:absolute;margin-left:71pt;margin-top:758.7pt;width:142.3pt;height:12.35pt;z-index:-173224;mso-position-horizontal-relative:page;mso-position-vertical-relative:page" filled="f" stroked="f">
          <v:textbox inset="0,0,0,0">
            <w:txbxContent>
              <w:p w:rsidR="003B2FC0" w:rsidRDefault="00052A49">
                <w:pPr>
                  <w:spacing w:before="16"/>
                  <w:ind w:left="20"/>
                  <w:rPr>
                    <w:sz w:val="18"/>
                  </w:rPr>
                </w:pPr>
                <w:r>
                  <w:rPr>
                    <w:position w:val="6"/>
                    <w:sz w:val="12"/>
                  </w:rPr>
                  <w:t xml:space="preserve">15 </w:t>
                </w:r>
                <w:r>
                  <w:rPr>
                    <w:sz w:val="18"/>
                  </w:rPr>
                  <w:t xml:space="preserve">Appearing for the </w:t>
                </w:r>
                <w:r>
                  <w:rPr>
                    <w:sz w:val="18"/>
                  </w:rPr>
                  <w:t>State of Kerala</w:t>
                </w:r>
              </w:p>
            </w:txbxContent>
          </v:textbox>
          <w10:wrap anchorx="page" anchory="page"/>
        </v:shape>
      </w:pict>
    </w:r>
    <w:r w:rsidRPr="003B2FC0">
      <w:pict>
        <v:shape id="_x0000_s2196" type="#_x0000_t202" style="position:absolute;margin-left:291.75pt;margin-top:780.9pt;width:13.3pt;height:13.05pt;z-index:-173200;mso-position-horizontal-relative:page;mso-position-vertical-relative:page" filled="f" stroked="f">
          <v:textbox inset="0,0,0,0">
            <w:txbxContent>
              <w:p w:rsidR="003B2FC0" w:rsidRDefault="00052A49">
                <w:pPr>
                  <w:spacing w:line="245" w:lineRule="exact"/>
                  <w:ind w:left="20"/>
                  <w:rPr>
                    <w:rFonts w:ascii="Calibri"/>
                  </w:rPr>
                </w:pPr>
                <w:r>
                  <w:rPr>
                    <w:rFonts w:ascii="Calibri"/>
                  </w:rPr>
                  <w:t>39</w:t>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95" style="position:absolute;z-index:-173176;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194" type="#_x0000_t202" style="position:absolute;margin-left:71pt;margin-top:758.7pt;width:296.85pt;height:12.35pt;z-index:-173152;mso-position-horizontal-relative:page;mso-position-vertical-relative:page" filled="f" stroked="f">
          <v:textbox inset="0,0,0,0">
            <w:txbxContent>
              <w:p w:rsidR="003B2FC0" w:rsidRDefault="00052A49">
                <w:pPr>
                  <w:spacing w:before="16"/>
                  <w:ind w:left="20"/>
                  <w:rPr>
                    <w:sz w:val="18"/>
                  </w:rPr>
                </w:pPr>
                <w:r>
                  <w:rPr>
                    <w:position w:val="6"/>
                    <w:sz w:val="12"/>
                  </w:rPr>
                  <w:t xml:space="preserve">16 </w:t>
                </w:r>
                <w:r>
                  <w:rPr>
                    <w:sz w:val="18"/>
                  </w:rPr>
                  <w:t>Appearing on behalf of the Respondent – Travancore Devaswom Board</w:t>
                </w:r>
              </w:p>
            </w:txbxContent>
          </v:textbox>
          <w10:wrap anchorx="page" anchory="page"/>
        </v:shape>
      </w:pict>
    </w:r>
    <w:r w:rsidRPr="003B2FC0">
      <w:pict>
        <v:shape id="_x0000_s2193" type="#_x0000_t202" style="position:absolute;margin-left:291.75pt;margin-top:780.9pt;width:13.3pt;height:13.05pt;z-index:-173128;mso-position-horizontal-relative:page;mso-position-vertical-relative:page" filled="f" stroked="f">
          <v:textbox inset="0,0,0,0">
            <w:txbxContent>
              <w:p w:rsidR="003B2FC0" w:rsidRDefault="00052A49">
                <w:pPr>
                  <w:spacing w:line="245" w:lineRule="exact"/>
                  <w:ind w:left="20"/>
                  <w:rPr>
                    <w:rFonts w:ascii="Calibri"/>
                  </w:rPr>
                </w:pPr>
                <w:r>
                  <w:rPr>
                    <w:rFonts w:ascii="Calibri"/>
                  </w:rPr>
                  <w:t>40</w:t>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92" style="position:absolute;z-index:-173104;mso-position-horizontal-relative:page;mso-position-vertical-relative:page" from="1in,743.9pt" to="216.05pt,743.9pt" strokeweight=".72pt">
          <w10:wrap anchorx="page" anchory="page"/>
        </v:line>
      </w:pict>
    </w:r>
    <w:r w:rsidRPr="003B2FC0">
      <w:pict>
        <v:shapetype id="_x0000_t202" coordsize="21600,21600" o:spt="202" path="m,l,21600r21600,l21600,xe">
          <v:stroke joinstyle="miter"/>
          <v:path gradientshapeok="t" o:connecttype="rect"/>
        </v:shapetype>
        <v:shape id="_x0000_s2191" type="#_x0000_t202" style="position:absolute;margin-left:71pt;margin-top:748.25pt;width:258.85pt;height:22.8pt;z-index:-173080;mso-position-horizontal-relative:page;mso-position-vertical-relative:page" filled="f" stroked="f">
          <v:textbox inset="0,0,0,0">
            <w:txbxContent>
              <w:p w:rsidR="003B2FC0" w:rsidRDefault="00052A49">
                <w:pPr>
                  <w:spacing w:before="16" w:line="210" w:lineRule="exact"/>
                  <w:ind w:left="20"/>
                  <w:rPr>
                    <w:sz w:val="18"/>
                  </w:rPr>
                </w:pPr>
                <w:r>
                  <w:rPr>
                    <w:position w:val="6"/>
                    <w:sz w:val="12"/>
                  </w:rPr>
                  <w:t xml:space="preserve">17 </w:t>
                </w:r>
                <w:r>
                  <w:rPr>
                    <w:sz w:val="18"/>
                  </w:rPr>
                  <w:t>Appearing on behalf of the Respondent – Nair Service Society</w:t>
                </w:r>
              </w:p>
              <w:p w:rsidR="003B2FC0" w:rsidRDefault="00052A49">
                <w:pPr>
                  <w:spacing w:line="210" w:lineRule="exact"/>
                  <w:ind w:left="20"/>
                  <w:rPr>
                    <w:sz w:val="18"/>
                  </w:rPr>
                </w:pPr>
                <w:r>
                  <w:rPr>
                    <w:position w:val="6"/>
                    <w:sz w:val="12"/>
                  </w:rPr>
                  <w:t xml:space="preserve">18 </w:t>
                </w:r>
                <w:r>
                  <w:rPr>
                    <w:sz w:val="18"/>
                  </w:rPr>
                  <w:t>Appea</w:t>
                </w:r>
                <w:r>
                  <w:rPr>
                    <w:sz w:val="18"/>
                  </w:rPr>
                  <w:t>ring on behalf of the Intervenor – Raja of Pandalam</w:t>
                </w:r>
              </w:p>
            </w:txbxContent>
          </v:textbox>
          <w10:wrap anchorx="page" anchory="page"/>
        </v:shape>
      </w:pict>
    </w:r>
    <w:r w:rsidRPr="003B2FC0">
      <w:pict>
        <v:shape id="_x0000_s2190" type="#_x0000_t202" style="position:absolute;margin-left:291.75pt;margin-top:780.9pt;width:13.3pt;height:13.05pt;z-index:-173056;mso-position-horizontal-relative:page;mso-position-vertical-relative:page" filled="f" stroked="f">
          <v:textbox inset="0,0,0,0">
            <w:txbxContent>
              <w:p w:rsidR="003B2FC0" w:rsidRDefault="00052A49">
                <w:pPr>
                  <w:spacing w:line="245" w:lineRule="exact"/>
                  <w:ind w:left="20"/>
                  <w:rPr>
                    <w:rFonts w:ascii="Calibri"/>
                  </w:rPr>
                </w:pPr>
                <w:r>
                  <w:rPr>
                    <w:rFonts w:ascii="Calibri"/>
                  </w:rPr>
                  <w:t>41</w:t>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89" style="position:absolute;z-index:-173032;mso-position-horizontal-relative:page;mso-position-vertical-relative:page" from="1in,743.9pt" to="216.05pt,743.9pt" strokeweight=".72pt">
          <w10:wrap anchorx="page" anchory="page"/>
        </v:line>
      </w:pict>
    </w:r>
    <w:r w:rsidRPr="003B2FC0">
      <w:pict>
        <v:shapetype id="_x0000_t202" coordsize="21600,21600" o:spt="202" path="m,l,21600r21600,l21600,xe">
          <v:stroke joinstyle="miter"/>
          <v:path gradientshapeok="t" o:connecttype="rect"/>
        </v:shapetype>
        <v:shape id="_x0000_s2188" type="#_x0000_t202" style="position:absolute;margin-left:71pt;margin-top:748.25pt;width:237.7pt;height:22.8pt;z-index:-173008;mso-position-horizontal-relative:page;mso-position-vertical-relative:page" filled="f" stroked="f">
          <v:textbox inset="0,0,0,0">
            <w:txbxContent>
              <w:p w:rsidR="003B2FC0" w:rsidRDefault="00052A49">
                <w:pPr>
                  <w:spacing w:before="16" w:line="210" w:lineRule="exact"/>
                  <w:ind w:left="20"/>
                  <w:rPr>
                    <w:sz w:val="18"/>
                  </w:rPr>
                </w:pPr>
                <w:r>
                  <w:rPr>
                    <w:position w:val="6"/>
                    <w:sz w:val="12"/>
                  </w:rPr>
                  <w:t xml:space="preserve">19 </w:t>
                </w:r>
                <w:r>
                  <w:rPr>
                    <w:sz w:val="18"/>
                  </w:rPr>
                  <w:t>Appearing on behalf of the Respondent – the Thantri</w:t>
                </w:r>
              </w:p>
              <w:p w:rsidR="003B2FC0" w:rsidRDefault="00052A49">
                <w:pPr>
                  <w:spacing w:line="210" w:lineRule="exact"/>
                  <w:ind w:left="20"/>
                  <w:rPr>
                    <w:sz w:val="18"/>
                  </w:rPr>
                </w:pPr>
                <w:r>
                  <w:rPr>
                    <w:position w:val="6"/>
                    <w:sz w:val="12"/>
                  </w:rPr>
                  <w:t xml:space="preserve">20 </w:t>
                </w:r>
                <w:r>
                  <w:rPr>
                    <w:sz w:val="18"/>
                  </w:rPr>
                  <w:t>App</w:t>
                </w:r>
                <w:r>
                  <w:rPr>
                    <w:sz w:val="18"/>
                  </w:rPr>
                  <w:t>earing on behalf of K K Sabu and People for Dharma</w:t>
                </w:r>
              </w:p>
            </w:txbxContent>
          </v:textbox>
          <w10:wrap anchorx="page" anchory="page"/>
        </v:shape>
      </w:pict>
    </w:r>
    <w:r w:rsidRPr="003B2FC0">
      <w:pict>
        <v:shape id="_x0000_s2187" type="#_x0000_t202" style="position:absolute;margin-left:291.75pt;margin-top:780.9pt;width:13.3pt;height:13.05pt;z-index:-172984;mso-position-horizontal-relative:page;mso-position-vertical-relative:page" filled="f" stroked="f">
          <v:textbox inset="0,0,0,0">
            <w:txbxContent>
              <w:p w:rsidR="003B2FC0" w:rsidRDefault="00052A49">
                <w:pPr>
                  <w:spacing w:line="245" w:lineRule="exact"/>
                  <w:ind w:left="20"/>
                  <w:rPr>
                    <w:rFonts w:ascii="Calibri"/>
                  </w:rPr>
                </w:pPr>
                <w:r>
                  <w:rPr>
                    <w:rFonts w:ascii="Calibri"/>
                  </w:rPr>
                  <w:t>42</w:t>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86" style="position:absolute;z-index:-172960;mso-position-horizontal-relative:page;mso-position-vertical-relative:page" from="1in,743.9pt" to="216.05pt,743.9pt" strokeweight=".72pt">
          <w10:wrap anchorx="page" anchory="page"/>
        </v:line>
      </w:pict>
    </w:r>
    <w:r w:rsidRPr="003B2FC0">
      <w:pict>
        <v:shapetype id="_x0000_t202" coordsize="21600,21600" o:spt="202" path="m,l,21600r21600,l21600,xe">
          <v:stroke joinstyle="miter"/>
          <v:path gradientshapeok="t" o:connecttype="rect"/>
        </v:shapetype>
        <v:shape id="_x0000_s2185" type="#_x0000_t202" style="position:absolute;margin-left:71pt;margin-top:748.25pt;width:215.25pt;height:22.8pt;z-index:-172936;mso-position-horizontal-relative:page;mso-position-vertical-relative:page" filled="f" stroked="f">
          <v:textbox inset="0,0,0,0">
            <w:txbxContent>
              <w:p w:rsidR="003B2FC0" w:rsidRDefault="00052A49">
                <w:pPr>
                  <w:spacing w:before="16" w:line="210" w:lineRule="exact"/>
                  <w:ind w:left="20"/>
                  <w:rPr>
                    <w:sz w:val="18"/>
                  </w:rPr>
                </w:pPr>
                <w:r>
                  <w:rPr>
                    <w:position w:val="6"/>
                    <w:sz w:val="12"/>
                  </w:rPr>
                  <w:t xml:space="preserve">21 </w:t>
                </w:r>
                <w:r>
                  <w:rPr>
                    <w:sz w:val="18"/>
                  </w:rPr>
                  <w:t>Appearing on behalf of the Lord Ayyappa Devotees</w:t>
                </w:r>
              </w:p>
              <w:p w:rsidR="003B2FC0" w:rsidRDefault="00052A49">
                <w:pPr>
                  <w:spacing w:line="210" w:lineRule="exact"/>
                  <w:ind w:left="20"/>
                  <w:rPr>
                    <w:sz w:val="18"/>
                  </w:rPr>
                </w:pPr>
                <w:r>
                  <w:rPr>
                    <w:position w:val="6"/>
                    <w:sz w:val="12"/>
                  </w:rPr>
                  <w:t xml:space="preserve">22 </w:t>
                </w:r>
                <w:r>
                  <w:rPr>
                    <w:sz w:val="18"/>
                  </w:rPr>
                  <w:t>Appearing for Intervenor – Usha Nandini</w:t>
                </w:r>
              </w:p>
            </w:txbxContent>
          </v:textbox>
          <w10:wrap anchorx="page" anchory="page"/>
        </v:shape>
      </w:pict>
    </w:r>
    <w:r w:rsidRPr="003B2FC0">
      <w:pict>
        <v:shape id="_x0000_s2184" type="#_x0000_t202" style="position:absolute;margin-left:291.75pt;margin-top:780.9pt;width:13.3pt;height:13.05pt;z-index:-172912;mso-position-horizontal-relative:page;mso-position-vertical-relative:page" filled="f" stroked="f">
          <v:textbox inset="0,0,0,0">
            <w:txbxContent>
              <w:p w:rsidR="003B2FC0" w:rsidRDefault="00052A49">
                <w:pPr>
                  <w:spacing w:line="245" w:lineRule="exact"/>
                  <w:ind w:left="20"/>
                  <w:rPr>
                    <w:rFonts w:ascii="Calibri"/>
                  </w:rPr>
                </w:pPr>
                <w:r>
                  <w:rPr>
                    <w:rFonts w:ascii="Calibri"/>
                  </w:rPr>
                  <w:t>43</w:t>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82" style="position:absolute;z-index:-172864;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181" type="#_x0000_t202" style="position:absolute;margin-left:71pt;margin-top:758.7pt;width:75.35pt;height:12.35pt;z-index:-172840;mso-position-horizontal-relative:page;mso-position-vertical-relative:page" filled="f" stroked="f">
          <v:textbox inset="0,0,0,0">
            <w:txbxContent>
              <w:p w:rsidR="003B2FC0" w:rsidRDefault="00052A49">
                <w:pPr>
                  <w:spacing w:before="16"/>
                  <w:ind w:left="20"/>
                  <w:rPr>
                    <w:sz w:val="18"/>
                  </w:rPr>
                </w:pPr>
                <w:r>
                  <w:rPr>
                    <w:position w:val="6"/>
                    <w:sz w:val="12"/>
                  </w:rPr>
                  <w:t xml:space="preserve">23 </w:t>
                </w:r>
                <w:r>
                  <w:rPr>
                    <w:sz w:val="18"/>
                  </w:rPr>
                  <w:t>1954 SCR 1005</w:t>
                </w:r>
              </w:p>
            </w:txbxContent>
          </v:textbox>
          <w10:wrap anchorx="page" anchory="page"/>
        </v:shape>
      </w:pict>
    </w:r>
    <w:r w:rsidRPr="003B2FC0">
      <w:pict>
        <v:shape id="_x0000_s2180" type="#_x0000_t202" style="position:absolute;margin-left:291.75pt;margin-top:780.9pt;width:13.3pt;height:13.05pt;z-index:-172816;mso-position-horizontal-relative:page;mso-position-vertical-relative:page" filled="f" stroked="f">
          <v:textbox inset="0,0,0,0">
            <w:txbxContent>
              <w:p w:rsidR="003B2FC0" w:rsidRDefault="00052A49">
                <w:pPr>
                  <w:spacing w:line="245" w:lineRule="exact"/>
                  <w:ind w:left="20"/>
                  <w:rPr>
                    <w:rFonts w:ascii="Calibri"/>
                  </w:rPr>
                </w:pPr>
                <w:r>
                  <w:rPr>
                    <w:rFonts w:ascii="Calibri"/>
                  </w:rPr>
                  <w:t>44</w:t>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79" style="position:absolute;z-index:-172792;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178" type="#_x0000_t202" style="position:absolute;margin-left:71pt;margin-top:758.7pt;width:70.35pt;height:12.35pt;z-index:-172768;mso-position-horizontal-relative:page;mso-position-vertical-relative:page" filled="f" stroked="f">
          <v:textbox inset="0,0,0,0">
            <w:txbxContent>
              <w:p w:rsidR="003B2FC0" w:rsidRDefault="00052A49">
                <w:pPr>
                  <w:spacing w:before="16"/>
                  <w:ind w:left="20"/>
                  <w:rPr>
                    <w:sz w:val="18"/>
                  </w:rPr>
                </w:pPr>
                <w:r>
                  <w:rPr>
                    <w:position w:val="6"/>
                    <w:sz w:val="12"/>
                  </w:rPr>
                  <w:t xml:space="preserve">24 </w:t>
                </w:r>
                <w:r>
                  <w:rPr>
                    <w:sz w:val="18"/>
                  </w:rPr>
                  <w:t>[1943] HCA 12</w:t>
                </w:r>
              </w:p>
            </w:txbxContent>
          </v:textbox>
          <w10:wrap anchorx="page" anchory="page"/>
        </v:shape>
      </w:pict>
    </w:r>
    <w:r w:rsidRPr="003B2FC0">
      <w:pict>
        <v:shape id="_x0000_s2177" type="#_x0000_t202" style="position:absolute;margin-left:291.75pt;margin-top:780.9pt;width:13.3pt;height:13.05pt;z-index:-172744;mso-position-horizontal-relative:page;mso-position-vertical-relative:page" filled="f" stroked="f">
          <v:textbox inset="0,0,0,0">
            <w:txbxContent>
              <w:p w:rsidR="003B2FC0" w:rsidRDefault="00052A49">
                <w:pPr>
                  <w:spacing w:line="245" w:lineRule="exact"/>
                  <w:ind w:left="20"/>
                  <w:rPr>
                    <w:rFonts w:ascii="Calibri"/>
                  </w:rPr>
                </w:pPr>
                <w:r>
                  <w:rPr>
                    <w:rFonts w:ascii="Calibri"/>
                  </w:rPr>
                  <w:t>45</w:t>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76" type="#_x0000_t202" style="position:absolute;margin-left:291.75pt;margin-top:780.9pt;width:13.3pt;height:13.05pt;z-index:-172720;mso-position-horizontal-relative:page;mso-position-vertical-relative:page" filled="f" stroked="f">
          <v:textbox inset="0,0,0,0">
            <w:txbxContent>
              <w:p w:rsidR="003B2FC0" w:rsidRDefault="00052A49">
                <w:pPr>
                  <w:spacing w:line="245" w:lineRule="exact"/>
                  <w:ind w:left="20"/>
                  <w:rPr>
                    <w:rFonts w:ascii="Calibri"/>
                  </w:rPr>
                </w:pPr>
                <w:r>
                  <w:rPr>
                    <w:rFonts w:ascii="Calibri"/>
                  </w:rPr>
                  <w:t>46</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364" style="position:absolute;z-index:-177232;mso-position-horizontal-relative:page;mso-position-vertical-relative:page" from="1in,741.05pt" to="216.05pt,741.05pt" strokeweight=".6pt">
          <w10:wrap anchorx="page" anchory="page"/>
        </v:line>
      </w:pict>
    </w:r>
    <w:r w:rsidRPr="003B2FC0">
      <w:pict>
        <v:shapetype id="_x0000_t202" coordsize="21600,21600" o:spt="202" path="m,l,21600r21600,l21600,xe">
          <v:stroke joinstyle="miter"/>
          <v:path gradientshapeok="t" o:connecttype="rect"/>
        </v:shapetype>
        <v:shape id="_x0000_s2363" type="#_x0000_t202" style="position:absolute;margin-left:71pt;margin-top:744pt;width:10.2pt;height:24.75pt;z-index:-177208;mso-position-horizontal-relative:page;mso-position-vertical-relative:page" filled="f" stroked="f">
          <v:textbox inset="0,0,0,0">
            <w:txbxContent>
              <w:p w:rsidR="003B2FC0" w:rsidRDefault="00052A49">
                <w:pPr>
                  <w:spacing w:before="14"/>
                  <w:ind w:left="20"/>
                  <w:rPr>
                    <w:rFonts w:ascii="Times New Roman"/>
                    <w:sz w:val="16"/>
                  </w:rPr>
                </w:pPr>
                <w:r>
                  <w:rPr>
                    <w:rFonts w:ascii="Times New Roman"/>
                    <w:sz w:val="16"/>
                  </w:rPr>
                  <w:t>12</w:t>
                </w:r>
              </w:p>
              <w:p w:rsidR="003B2FC0" w:rsidRDefault="00052A49">
                <w:pPr>
                  <w:spacing w:before="92"/>
                  <w:ind w:left="20"/>
                  <w:rPr>
                    <w:rFonts w:ascii="Times New Roman"/>
                    <w:sz w:val="16"/>
                  </w:rPr>
                </w:pPr>
                <w:r>
                  <w:rPr>
                    <w:rFonts w:ascii="Times New Roman"/>
                    <w:sz w:val="16"/>
                  </w:rPr>
                  <w:t>13</w:t>
                </w:r>
              </w:p>
            </w:txbxContent>
          </v:textbox>
          <w10:wrap anchorx="page" anchory="page"/>
        </v:shape>
      </w:pict>
    </w:r>
    <w:r w:rsidRPr="003B2FC0">
      <w:pict>
        <v:shape id="_x0000_s2362" type="#_x0000_t202" style="position:absolute;margin-left:85.2pt;margin-top:746pt;width:89.7pt;height:29.1pt;z-index:-177184;mso-position-horizontal-relative:page;mso-position-vertical-relative:page" filled="f" stroked="f">
          <v:textbox inset="0,0,0,0">
            <w:txbxContent>
              <w:p w:rsidR="003B2FC0" w:rsidRDefault="00052A49">
                <w:pPr>
                  <w:spacing w:before="10"/>
                  <w:ind w:left="20"/>
                  <w:rPr>
                    <w:rFonts w:ascii="Times New Roman"/>
                    <w:sz w:val="24"/>
                  </w:rPr>
                </w:pPr>
                <w:r>
                  <w:rPr>
                    <w:rFonts w:ascii="Times New Roman"/>
                    <w:sz w:val="24"/>
                  </w:rPr>
                  <w:t>(1989) 2 SCC 145</w:t>
                </w:r>
              </w:p>
              <w:p w:rsidR="003B2FC0" w:rsidRDefault="00052A49">
                <w:pPr>
                  <w:ind w:left="20"/>
                  <w:rPr>
                    <w:rFonts w:ascii="Times New Roman"/>
                    <w:sz w:val="24"/>
                  </w:rPr>
                </w:pPr>
                <w:r>
                  <w:rPr>
                    <w:rFonts w:ascii="Times New Roman"/>
                    <w:sz w:val="24"/>
                  </w:rPr>
                  <w:t>(2017) 9 SCC 1</w:t>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75" type="#_x0000_t202" style="position:absolute;margin-left:290.75pt;margin-top:780.9pt;width:15.3pt;height:13.05pt;z-index:-17269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47</w:t>
                </w:r>
                <w:r>
                  <w:fldChar w:fldCharType="end"/>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74" style="position:absolute;z-index:-172672;mso-position-horizontal-relative:page;mso-position-vertical-relative:page" from="1in,743.9pt" to="216.05pt,743.9pt" strokeweight=".72pt">
          <w10:wrap anchorx="page" anchory="page"/>
        </v:line>
      </w:pict>
    </w:r>
    <w:r w:rsidRPr="003B2FC0">
      <w:pict>
        <v:shapetype id="_x0000_t202" coordsize="21600,21600" o:spt="202" path="m,l,21600r21600,l21600,xe">
          <v:stroke joinstyle="miter"/>
          <v:path gradientshapeok="t" o:connecttype="rect"/>
        </v:shapetype>
        <v:shape id="_x0000_s2173" type="#_x0000_t202" style="position:absolute;margin-left:71pt;margin-top:748.25pt;width:100.85pt;height:22.8pt;z-index:-172648;mso-position-horizontal-relative:page;mso-position-vertical-relative:page" filled="f" stroked="f">
          <v:textbox inset="0,0,0,0">
            <w:txbxContent>
              <w:p w:rsidR="003B2FC0" w:rsidRDefault="00052A49">
                <w:pPr>
                  <w:spacing w:before="16" w:line="210" w:lineRule="exact"/>
                  <w:ind w:left="20"/>
                  <w:rPr>
                    <w:sz w:val="18"/>
                  </w:rPr>
                </w:pPr>
                <w:r>
                  <w:rPr>
                    <w:position w:val="6"/>
                    <w:sz w:val="12"/>
                  </w:rPr>
                  <w:t xml:space="preserve">38 </w:t>
                </w:r>
                <w:r>
                  <w:rPr>
                    <w:sz w:val="18"/>
                  </w:rPr>
                  <w:t>Ibid, at pages 124-125</w:t>
                </w:r>
              </w:p>
              <w:p w:rsidR="003B2FC0" w:rsidRDefault="00052A49">
                <w:pPr>
                  <w:spacing w:line="210" w:lineRule="exact"/>
                  <w:ind w:left="20"/>
                  <w:rPr>
                    <w:sz w:val="18"/>
                  </w:rPr>
                </w:pPr>
                <w:r>
                  <w:rPr>
                    <w:position w:val="6"/>
                    <w:sz w:val="12"/>
                  </w:rPr>
                  <w:t xml:space="preserve">39 </w:t>
                </w:r>
                <w:r>
                  <w:rPr>
                    <w:sz w:val="18"/>
                  </w:rPr>
                  <w:t>(2004) 12 SCC 770</w:t>
                </w:r>
              </w:p>
            </w:txbxContent>
          </v:textbox>
          <w10:wrap anchorx="page" anchory="page"/>
        </v:shape>
      </w:pict>
    </w:r>
    <w:r w:rsidRPr="003B2FC0">
      <w:pict>
        <v:shape id="_x0000_s2172" type="#_x0000_t202" style="position:absolute;margin-left:290.75pt;margin-top:780.9pt;width:15.3pt;height:13.05pt;z-index:-17262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62</w:t>
                </w:r>
                <w:r>
                  <w:fldChar w:fldCharType="end"/>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71" type="#_x0000_t202" style="position:absolute;margin-left:71pt;margin-top:758.7pt;width:100.85pt;height:12.35pt;z-index:-172600;mso-position-horizontal-relative:page;mso-position-vertical-relative:page" filled="f" stroked="f">
          <v:textbox inset="0,0,0,0">
            <w:txbxContent>
              <w:p w:rsidR="003B2FC0" w:rsidRDefault="00052A49">
                <w:pPr>
                  <w:spacing w:before="16"/>
                  <w:ind w:left="20"/>
                  <w:rPr>
                    <w:sz w:val="18"/>
                  </w:rPr>
                </w:pPr>
                <w:r>
                  <w:rPr>
                    <w:position w:val="6"/>
                    <w:sz w:val="12"/>
                  </w:rPr>
                  <w:t xml:space="preserve">40 </w:t>
                </w:r>
                <w:r>
                  <w:rPr>
                    <w:sz w:val="18"/>
                  </w:rPr>
                  <w:t>Ibid, at pages 782-783</w:t>
                </w:r>
              </w:p>
            </w:txbxContent>
          </v:textbox>
          <w10:wrap anchorx="page" anchory="page"/>
        </v:shape>
      </w:pict>
    </w:r>
    <w:r w:rsidRPr="003B2FC0">
      <w:pict>
        <v:shape id="_x0000_s2170" type="#_x0000_t202" style="position:absolute;margin-left:291.75pt;margin-top:780.9pt;width:13.3pt;height:13.05pt;z-index:-172576;mso-position-horizontal-relative:page;mso-position-vertical-relative:page" filled="f" stroked="f">
          <v:textbox inset="0,0,0,0">
            <w:txbxContent>
              <w:p w:rsidR="003B2FC0" w:rsidRDefault="00052A49">
                <w:pPr>
                  <w:spacing w:line="245" w:lineRule="exact"/>
                  <w:ind w:left="20"/>
                  <w:rPr>
                    <w:rFonts w:ascii="Calibri"/>
                  </w:rPr>
                </w:pPr>
                <w:r>
                  <w:rPr>
                    <w:rFonts w:ascii="Calibri"/>
                  </w:rPr>
                  <w:t>63</w:t>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69" type="#_x0000_t202" style="position:absolute;margin-left:71pt;margin-top:758.7pt;width:73.8pt;height:12.35pt;z-index:-172552;mso-position-horizontal-relative:page;mso-position-vertical-relative:page" filled="f" stroked="f">
          <v:textbox inset="0,0,0,0">
            <w:txbxContent>
              <w:p w:rsidR="003B2FC0" w:rsidRDefault="00052A49">
                <w:pPr>
                  <w:spacing w:before="16"/>
                  <w:ind w:left="20"/>
                  <w:rPr>
                    <w:sz w:val="18"/>
                  </w:rPr>
                </w:pPr>
                <w:r>
                  <w:rPr>
                    <w:position w:val="6"/>
                    <w:sz w:val="12"/>
                  </w:rPr>
                  <w:t xml:space="preserve">43 </w:t>
                </w:r>
                <w:r>
                  <w:rPr>
                    <w:sz w:val="18"/>
                  </w:rPr>
                  <w:t>(2017) 9 SCC 1</w:t>
                </w:r>
              </w:p>
            </w:txbxContent>
          </v:textbox>
          <w10:wrap anchorx="page" anchory="page"/>
        </v:shape>
      </w:pict>
    </w:r>
    <w:r w:rsidRPr="003B2FC0">
      <w:pict>
        <v:shape id="_x0000_s2168" type="#_x0000_t202" style="position:absolute;margin-left:291.75pt;margin-top:780.9pt;width:13.3pt;height:13.05pt;z-index:-172528;mso-position-horizontal-relative:page;mso-position-vertical-relative:page" filled="f" stroked="f">
          <v:textbox inset="0,0,0,0">
            <w:txbxContent>
              <w:p w:rsidR="003B2FC0" w:rsidRDefault="00052A49">
                <w:pPr>
                  <w:spacing w:line="245" w:lineRule="exact"/>
                  <w:ind w:left="20"/>
                  <w:rPr>
                    <w:rFonts w:ascii="Calibri"/>
                  </w:rPr>
                </w:pPr>
                <w:r>
                  <w:rPr>
                    <w:rFonts w:ascii="Calibri"/>
                  </w:rPr>
                  <w:t>64</w:t>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67" type="#_x0000_t202" style="position:absolute;margin-left:290.75pt;margin-top:780.9pt;width:15.3pt;height:13.05pt;z-index:-17250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65</w:t>
                </w:r>
                <w:r>
                  <w:fldChar w:fldCharType="end"/>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65" type="#_x0000_t202" style="position:absolute;margin-left:290.75pt;margin-top:780.9pt;width:15.3pt;height:13.05pt;z-index:-17245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74</w:t>
                </w:r>
                <w:r>
                  <w:fldChar w:fldCharType="end"/>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63" style="position:absolute;z-index:-172408;mso-position-horizontal-relative:page;mso-position-vertical-relative:page" from="1in,743.9pt" to="216.05pt,743.9pt" strokeweight=".72pt">
          <w10:wrap anchorx="page" anchory="page"/>
        </v:line>
      </w:pict>
    </w:r>
    <w:r w:rsidRPr="003B2FC0">
      <w:pict>
        <v:shapetype id="_x0000_t202" coordsize="21600,21600" o:spt="202" path="m,l,21600r21600,l21600,xe">
          <v:stroke joinstyle="miter"/>
          <v:path gradientshapeok="t" o:connecttype="rect"/>
        </v:shapetype>
        <v:shape id="_x0000_s2162" type="#_x0000_t202" style="position:absolute;margin-left:71pt;margin-top:748.25pt;width:90.95pt;height:22.8pt;z-index:-172384;mso-position-horizontal-relative:page;mso-position-vertical-relative:page" filled="f" stroked="f">
          <v:textbox inset="0,0,0,0">
            <w:txbxContent>
              <w:p w:rsidR="003B2FC0" w:rsidRDefault="00052A49">
                <w:pPr>
                  <w:spacing w:before="16" w:line="210" w:lineRule="exact"/>
                  <w:ind w:left="20"/>
                  <w:rPr>
                    <w:sz w:val="18"/>
                  </w:rPr>
                </w:pPr>
                <w:r>
                  <w:rPr>
                    <w:position w:val="6"/>
                    <w:sz w:val="12"/>
                  </w:rPr>
                  <w:t xml:space="preserve">60 </w:t>
                </w:r>
                <w:r>
                  <w:rPr>
                    <w:sz w:val="18"/>
                  </w:rPr>
                  <w:t>Ibid, at page 98</w:t>
                </w:r>
              </w:p>
              <w:p w:rsidR="003B2FC0" w:rsidRDefault="00052A49">
                <w:pPr>
                  <w:spacing w:line="210" w:lineRule="exact"/>
                  <w:ind w:left="20"/>
                  <w:rPr>
                    <w:sz w:val="18"/>
                  </w:rPr>
                </w:pPr>
                <w:r>
                  <w:rPr>
                    <w:position w:val="6"/>
                    <w:sz w:val="12"/>
                  </w:rPr>
                  <w:t xml:space="preserve">61 </w:t>
                </w:r>
                <w:r>
                  <w:rPr>
                    <w:sz w:val="18"/>
                  </w:rPr>
                  <w:t>Ibid, at pages 98-99</w:t>
                </w:r>
              </w:p>
            </w:txbxContent>
          </v:textbox>
          <w10:wrap anchorx="page" anchory="page"/>
        </v:shape>
      </w:pict>
    </w:r>
    <w:r w:rsidRPr="003B2FC0">
      <w:pict>
        <v:shape id="_x0000_s2161" type="#_x0000_t202" style="position:absolute;margin-left:290.75pt;margin-top:780.9pt;width:15.3pt;height:13.05pt;z-index:-17236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82</w:t>
                </w:r>
                <w:r>
                  <w:fldChar w:fldCharType="end"/>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60" type="#_x0000_t202" style="position:absolute;margin-left:291.75pt;margin-top:780.9pt;width:13.3pt;height:13.05pt;z-index:-172336;mso-position-horizontal-relative:page;mso-position-vertical-relative:page" filled="f" stroked="f">
          <v:textbox inset="0,0,0,0">
            <w:txbxContent>
              <w:p w:rsidR="003B2FC0" w:rsidRDefault="00052A49">
                <w:pPr>
                  <w:spacing w:line="245" w:lineRule="exact"/>
                  <w:ind w:left="20"/>
                  <w:rPr>
                    <w:rFonts w:ascii="Calibri"/>
                  </w:rPr>
                </w:pPr>
                <w:r>
                  <w:rPr>
                    <w:rFonts w:ascii="Calibri"/>
                  </w:rPr>
                  <w:t>83</w:t>
                </w:r>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59" type="#_x0000_t202" style="position:absolute;margin-left:290.75pt;margin-top:780.9pt;width:15.3pt;height:13.05pt;z-index:-17231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84</w:t>
                </w:r>
                <w:r>
                  <w:fldChar w:fldCharType="end"/>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57" type="#_x0000_t202" style="position:absolute;margin-left:80pt;margin-top:758.95pt;width:39.6pt;height:12.1pt;z-index:-172264;mso-position-horizontal-relative:page;mso-position-vertical-relative:page" filled="f" stroked="f">
          <v:textbox inset="0,0,0,0">
            <w:txbxContent>
              <w:p w:rsidR="003B2FC0" w:rsidRDefault="00052A49">
                <w:pPr>
                  <w:spacing w:before="14"/>
                  <w:ind w:left="20"/>
                  <w:rPr>
                    <w:sz w:val="18"/>
                  </w:rPr>
                </w:pPr>
                <w:r>
                  <w:rPr>
                    <w:sz w:val="18"/>
                  </w:rPr>
                  <w:t>page 202</w:t>
                </w:r>
              </w:p>
            </w:txbxContent>
          </v:textbox>
          <w10:wrap anchorx="page" anchory="page"/>
        </v:shape>
      </w:pict>
    </w:r>
    <w:r w:rsidRPr="003B2FC0">
      <w:pict>
        <v:shape id="_x0000_s2156" type="#_x0000_t202" style="position:absolute;margin-left:290.75pt;margin-top:780.9pt;width:15.3pt;height:13.05pt;z-index:-17224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92</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361" style="position:absolute;z-index:-177160;mso-position-horizontal-relative:page;mso-position-vertical-relative:page" from="1in,741.05pt" to="216.05pt,741.05pt" strokeweight=".6pt">
          <w10:wrap anchorx="page" anchory="page"/>
        </v:line>
      </w:pict>
    </w:r>
    <w:r w:rsidRPr="003B2FC0">
      <w:pict>
        <v:shapetype id="_x0000_t202" coordsize="21600,21600" o:spt="202" path="m,l,21600r21600,l21600,xe">
          <v:stroke joinstyle="miter"/>
          <v:path gradientshapeok="t" o:connecttype="rect"/>
        </v:shapetype>
        <v:shape id="_x0000_s2360" type="#_x0000_t202" style="position:absolute;margin-left:71pt;margin-top:744pt;width:10.2pt;height:24.75pt;z-index:-177136;mso-position-horizontal-relative:page;mso-position-vertical-relative:page" filled="f" stroked="f">
          <v:textbox inset="0,0,0,0">
            <w:txbxContent>
              <w:p w:rsidR="003B2FC0" w:rsidRDefault="00052A49">
                <w:pPr>
                  <w:spacing w:before="14"/>
                  <w:ind w:left="20"/>
                  <w:rPr>
                    <w:rFonts w:ascii="Times New Roman"/>
                    <w:sz w:val="16"/>
                  </w:rPr>
                </w:pPr>
                <w:r>
                  <w:rPr>
                    <w:rFonts w:ascii="Times New Roman"/>
                    <w:sz w:val="16"/>
                  </w:rPr>
                  <w:t>14</w:t>
                </w:r>
              </w:p>
              <w:p w:rsidR="003B2FC0" w:rsidRDefault="00052A49">
                <w:pPr>
                  <w:spacing w:before="92"/>
                  <w:ind w:left="20"/>
                  <w:rPr>
                    <w:rFonts w:ascii="Times New Roman"/>
                    <w:sz w:val="16"/>
                  </w:rPr>
                </w:pPr>
                <w:r>
                  <w:rPr>
                    <w:rFonts w:ascii="Times New Roman"/>
                    <w:sz w:val="16"/>
                  </w:rPr>
                  <w:t>15</w:t>
                </w:r>
              </w:p>
            </w:txbxContent>
          </v:textbox>
          <w10:wrap anchorx="page" anchory="page"/>
        </v:shape>
      </w:pict>
    </w:r>
    <w:r w:rsidRPr="003B2FC0">
      <w:pict>
        <v:shape id="_x0000_s2359" type="#_x0000_t202" style="position:absolute;margin-left:85.2pt;margin-top:746pt;width:89.7pt;height:29.1pt;z-index:-177112;mso-position-horizontal-relative:page;mso-position-vertical-relative:page" filled="f" stroked="f">
          <v:textbox inset="0,0,0,0">
            <w:txbxContent>
              <w:p w:rsidR="003B2FC0" w:rsidRDefault="00052A49">
                <w:pPr>
                  <w:spacing w:before="10"/>
                  <w:ind w:left="20"/>
                  <w:rPr>
                    <w:rFonts w:ascii="Times New Roman"/>
                    <w:sz w:val="24"/>
                  </w:rPr>
                </w:pPr>
                <w:r>
                  <w:rPr>
                    <w:rFonts w:ascii="Times New Roman"/>
                    <w:sz w:val="24"/>
                  </w:rPr>
                  <w:t>(2008) 3 SCC 1</w:t>
                </w:r>
              </w:p>
              <w:p w:rsidR="003B2FC0" w:rsidRDefault="00052A49">
                <w:pPr>
                  <w:ind w:left="20"/>
                  <w:rPr>
                    <w:rFonts w:ascii="Times New Roman"/>
                    <w:sz w:val="24"/>
                  </w:rPr>
                </w:pPr>
                <w:r>
                  <w:rPr>
                    <w:rFonts w:ascii="Times New Roman"/>
                    <w:sz w:val="24"/>
                  </w:rPr>
                  <w:t>(2015) 1 SCC 192</w:t>
                </w:r>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55" type="#_x0000_t202" style="position:absolute;margin-left:290.75pt;margin-top:780.9pt;width:15.3pt;height:13.05pt;z-index:-17221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94</w:t>
                </w:r>
                <w:r>
                  <w:fldChar w:fldCharType="end"/>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54" style="position:absolute;z-index:-172192;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153" type="#_x0000_t202" style="position:absolute;margin-left:70pt;margin-top:758.7pt;width:220.3pt;height:12.35pt;z-index:-172168;mso-position-horizontal-relative:page;mso-position-vertical-relative:page" filled="f" stroked="f">
          <v:textbox inset="0,0,0,0">
            <w:txbxContent>
              <w:p w:rsidR="003B2FC0" w:rsidRDefault="003B2FC0">
                <w:pPr>
                  <w:spacing w:before="16"/>
                  <w:ind w:left="40"/>
                  <w:rPr>
                    <w:sz w:val="18"/>
                  </w:rPr>
                </w:pPr>
                <w:r>
                  <w:fldChar w:fldCharType="begin"/>
                </w:r>
                <w:r w:rsidR="00052A49">
                  <w:rPr>
                    <w:position w:val="6"/>
                    <w:sz w:val="12"/>
                  </w:rPr>
                  <w:instrText xml:space="preserve"> PAGE </w:instrText>
                </w:r>
                <w:r>
                  <w:fldChar w:fldCharType="separate"/>
                </w:r>
                <w:r w:rsidR="00052A49">
                  <w:t>86</w:t>
                </w:r>
                <w:r>
                  <w:fldChar w:fldCharType="end"/>
                </w:r>
                <w:r w:rsidR="00052A49">
                  <w:rPr>
                    <w:position w:val="6"/>
                    <w:sz w:val="12"/>
                  </w:rPr>
                  <w:t xml:space="preserve"> </w:t>
                </w:r>
                <w:r w:rsidR="00052A49">
                  <w:rPr>
                    <w:sz w:val="18"/>
                  </w:rPr>
                  <w:t>Constituent Assembly Debates (29 November 1948)</w:t>
                </w:r>
              </w:p>
            </w:txbxContent>
          </v:textbox>
          <w10:wrap anchorx="page" anchory="page"/>
        </v:shape>
      </w:pict>
    </w:r>
    <w:r w:rsidRPr="003B2FC0">
      <w:pict>
        <v:shape id="_x0000_s2152" type="#_x0000_t202" style="position:absolute;margin-left:291.75pt;margin-top:780.9pt;width:13.3pt;height:13.05pt;z-index:-172144;mso-position-horizontal-relative:page;mso-position-vertical-relative:page" filled="f" stroked="f">
          <v:textbox inset="0,0,0,0">
            <w:txbxContent>
              <w:p w:rsidR="003B2FC0" w:rsidRDefault="00052A49">
                <w:pPr>
                  <w:spacing w:line="245" w:lineRule="exact"/>
                  <w:ind w:left="20"/>
                  <w:rPr>
                    <w:rFonts w:ascii="Calibri"/>
                  </w:rPr>
                </w:pPr>
                <w:r>
                  <w:rPr>
                    <w:rFonts w:ascii="Calibri"/>
                  </w:rPr>
                  <w:t>98</w:t>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51" style="position:absolute;z-index:-172120;mso-position-horizontal-relative:page;mso-position-vertical-relative:page" from="1in,754.3pt" to="216.05pt,754.3pt" strokeweight=".72pt">
          <w10:wrap anchorx="page" anchory="page"/>
        </v:line>
      </w:pict>
    </w:r>
    <w:r w:rsidRPr="003B2FC0">
      <w:pict>
        <v:shapetype id="_x0000_t202" coordsize="21600,21600" o:spt="202" path="m,l,21600r21600,l21600,xe">
          <v:stroke joinstyle="miter"/>
          <v:path gradientshapeok="t" o:connecttype="rect"/>
        </v:shapetype>
        <v:shape id="_x0000_s2150" type="#_x0000_t202" style="position:absolute;margin-left:70pt;margin-top:758.7pt;width:220.45pt;height:12.35pt;z-index:-172096;mso-position-horizontal-relative:page;mso-position-vertical-relative:page" filled="f" stroked="f">
          <v:textbox inset="0,0,0,0">
            <w:txbxContent>
              <w:p w:rsidR="003B2FC0" w:rsidRDefault="003B2FC0">
                <w:pPr>
                  <w:spacing w:before="16"/>
                  <w:ind w:left="40"/>
                  <w:rPr>
                    <w:sz w:val="18"/>
                  </w:rPr>
                </w:pPr>
                <w:r>
                  <w:fldChar w:fldCharType="begin"/>
                </w:r>
                <w:r w:rsidR="00052A49">
                  <w:rPr>
                    <w:position w:val="6"/>
                    <w:sz w:val="12"/>
                  </w:rPr>
                  <w:instrText xml:space="preserve"> PAGE </w:instrText>
                </w:r>
                <w:r>
                  <w:fldChar w:fldCharType="separate"/>
                </w:r>
                <w:r w:rsidR="00052A49">
                  <w:t>87</w:t>
                </w:r>
                <w:r>
                  <w:fldChar w:fldCharType="end"/>
                </w:r>
                <w:r w:rsidR="00052A49">
                  <w:rPr>
                    <w:position w:val="6"/>
                    <w:sz w:val="12"/>
                  </w:rPr>
                  <w:t xml:space="preserve"> </w:t>
                </w:r>
                <w:r w:rsidR="00052A49">
                  <w:rPr>
                    <w:sz w:val="18"/>
                  </w:rPr>
                  <w:t>Constituent Assembly Debates (29 November 1948)</w:t>
                </w:r>
              </w:p>
            </w:txbxContent>
          </v:textbox>
          <w10:wrap anchorx="page" anchory="page"/>
        </v:shape>
      </w:pict>
    </w:r>
    <w:r w:rsidRPr="003B2FC0">
      <w:pict>
        <v:shape id="_x0000_s2149" type="#_x0000_t202" style="position:absolute;margin-left:291.75pt;margin-top:780.9pt;width:13.3pt;height:13.05pt;z-index:-172072;mso-position-horizontal-relative:page;mso-position-vertical-relative:page" filled="f" stroked="f">
          <v:textbox inset="0,0,0,0">
            <w:txbxContent>
              <w:p w:rsidR="003B2FC0" w:rsidRDefault="00052A49">
                <w:pPr>
                  <w:spacing w:line="245" w:lineRule="exact"/>
                  <w:ind w:left="20"/>
                  <w:rPr>
                    <w:rFonts w:ascii="Calibri"/>
                  </w:rPr>
                </w:pPr>
                <w:r>
                  <w:rPr>
                    <w:rFonts w:ascii="Calibri"/>
                  </w:rPr>
                  <w:t>99</w:t>
                </w:r>
              </w:p>
            </w:txbxContent>
          </v:textbox>
          <w10:wrap anchorx="page" anchory="pag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48" type="#_x0000_t202" style="position:absolute;margin-left:287.95pt;margin-top:780.9pt;width:20.75pt;height:13.05pt;z-index:-17204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100</w:t>
                </w:r>
                <w:r>
                  <w:fldChar w:fldCharType="end"/>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47" style="position:absolute;z-index:-172024;mso-position-horizontal-relative:page;mso-position-vertical-relative:page" from="1in,712.9pt" to="216.05pt,712.9pt" strokeweight=".72pt">
          <w10:wrap anchorx="page" anchory="page"/>
        </v:line>
      </w:pict>
    </w:r>
    <w:r w:rsidRPr="003B2FC0">
      <w:pict>
        <v:shapetype id="_x0000_t202" coordsize="21600,21600" o:spt="202" path="m,l,21600r21600,l21600,xe">
          <v:stroke joinstyle="miter"/>
          <v:path gradientshapeok="t" o:connecttype="rect"/>
        </v:shapetype>
        <v:shape id="_x0000_s2146" type="#_x0000_t202" style="position:absolute;margin-left:288.95pt;margin-top:780.9pt;width:18.75pt;height:13.05pt;z-index:-172000;mso-position-horizontal-relative:page;mso-position-vertical-relative:page" filled="f" stroked="f">
          <v:textbox inset="0,0,0,0">
            <w:txbxContent>
              <w:p w:rsidR="003B2FC0" w:rsidRDefault="00052A49">
                <w:pPr>
                  <w:spacing w:line="245" w:lineRule="exact"/>
                  <w:ind w:left="20"/>
                  <w:rPr>
                    <w:rFonts w:ascii="Calibri"/>
                  </w:rPr>
                </w:pPr>
                <w:r>
                  <w:rPr>
                    <w:rFonts w:ascii="Calibri"/>
                  </w:rPr>
                  <w:t>103</w:t>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45" type="#_x0000_t202" style="position:absolute;margin-left:287.95pt;margin-top:780.9pt;width:20.75pt;height:13.05pt;z-index:-17197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104</w:t>
                </w:r>
                <w:r>
                  <w:fldChar w:fldCharType="end"/>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44" style="position:absolute;z-index:-171952;mso-position-horizontal-relative:page;mso-position-vertical-relative:page" from="1in,692.15pt" to="216.05pt,692.15pt" strokeweight=".72pt">
          <w10:wrap anchorx="page" anchory="page"/>
        </v:line>
      </w:pict>
    </w:r>
    <w:r w:rsidRPr="003B2FC0">
      <w:pict>
        <v:shapetype id="_x0000_t202" coordsize="21600,21600" o:spt="202" path="m,l,21600r21600,l21600,xe">
          <v:stroke joinstyle="miter"/>
          <v:path gradientshapeok="t" o:connecttype="rect"/>
        </v:shapetype>
        <v:shape id="_x0000_s2143" type="#_x0000_t202" style="position:absolute;margin-left:288.95pt;margin-top:780.9pt;width:18.75pt;height:13.05pt;z-index:-171928;mso-position-horizontal-relative:page;mso-position-vertical-relative:page" filled="f" stroked="f">
          <v:textbox inset="0,0,0,0">
            <w:txbxContent>
              <w:p w:rsidR="003B2FC0" w:rsidRDefault="00052A49">
                <w:pPr>
                  <w:spacing w:line="245" w:lineRule="exact"/>
                  <w:ind w:left="20"/>
                  <w:rPr>
                    <w:rFonts w:ascii="Calibri"/>
                  </w:rPr>
                </w:pPr>
                <w:r>
                  <w:rPr>
                    <w:rFonts w:ascii="Calibri"/>
                  </w:rPr>
                  <w:t>106</w:t>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42" type="#_x0000_t202" style="position:absolute;margin-left:287.95pt;margin-top:780.9pt;width:20.75pt;height:13.05pt;z-index:-17190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107</w:t>
                </w:r>
                <w:r>
                  <w:fldChar w:fldCharType="end"/>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41" type="#_x0000_t202" style="position:absolute;margin-left:287.95pt;margin-top:780.9pt;width:20.75pt;height:13.05pt;z-index:-17188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110</w:t>
                </w:r>
                <w:r>
                  <w:fldChar w:fldCharType="end"/>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140" style="position:absolute;z-index:-171856;mso-position-horizontal-relative:page;mso-position-vertical-relative:page" from="1in,712.9pt" to="216.05pt,712.9pt" strokeweight=".72pt">
          <w10:wrap anchorx="page" anchory="page"/>
        </v:line>
      </w:pict>
    </w:r>
    <w:r w:rsidRPr="003B2FC0">
      <w:pict>
        <v:shapetype id="_x0000_t202" coordsize="21600,21600" o:spt="202" path="m,l,21600r21600,l21600,xe">
          <v:stroke joinstyle="miter"/>
          <v:path gradientshapeok="t" o:connecttype="rect"/>
        </v:shapetype>
        <v:shape id="_x0000_s2139" type="#_x0000_t202" style="position:absolute;margin-left:288.95pt;margin-top:780.9pt;width:18.75pt;height:13.05pt;z-index:-171832;mso-position-horizontal-relative:page;mso-position-vertical-relative:page" filled="f" stroked="f">
          <v:textbox inset="0,0,0,0">
            <w:txbxContent>
              <w:p w:rsidR="003B2FC0" w:rsidRDefault="00052A49">
                <w:pPr>
                  <w:spacing w:line="245" w:lineRule="exact"/>
                  <w:ind w:left="20"/>
                  <w:rPr>
                    <w:rFonts w:ascii="Calibri"/>
                  </w:rPr>
                </w:pPr>
                <w:r>
                  <w:rPr>
                    <w:rFonts w:ascii="Calibri"/>
                  </w:rPr>
                  <w:t>115</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381" style="position:absolute;z-index:-177640;mso-position-horizontal-relative:page;mso-position-vertical-relative:page" from="1in,757pt" to="216.05pt,757pt" strokeweight=".6pt">
          <w10:wrap anchorx="page" anchory="page"/>
        </v:line>
      </w:pict>
    </w:r>
    <w:r w:rsidRPr="003B2FC0">
      <w:pict>
        <v:shapetype id="_x0000_t202" coordsize="21600,21600" o:spt="202" path="m,l,21600r21600,l21600,xe">
          <v:stroke joinstyle="miter"/>
          <v:path gradientshapeok="t" o:connecttype="rect"/>
        </v:shapetype>
        <v:shape id="_x0000_s2380" type="#_x0000_t202" style="position:absolute;margin-left:71pt;margin-top:762.3pt;width:7.55pt;height:13.15pt;z-index:-177616;mso-position-horizontal-relative:page;mso-position-vertical-relative:page" filled="f" stroked="f">
          <v:textbox inset="0,0,0,0">
            <w:txbxContent>
              <w:p w:rsidR="003B2FC0" w:rsidRDefault="00052A49">
                <w:pPr>
                  <w:spacing w:before="12"/>
                  <w:ind w:left="20"/>
                  <w:rPr>
                    <w:sz w:val="20"/>
                  </w:rPr>
                </w:pPr>
                <w:r>
                  <w:rPr>
                    <w:w w:val="99"/>
                    <w:sz w:val="20"/>
                  </w:rPr>
                  <w:t>3</w:t>
                </w:r>
              </w:p>
            </w:txbxContent>
          </v:textbox>
          <w10:wrap anchorx="page" anchory="page"/>
        </v:shape>
      </w:pict>
    </w:r>
    <w:r w:rsidRPr="003B2FC0">
      <w:pict>
        <v:shape id="_x0000_s2379" type="#_x0000_t202" style="position:absolute;margin-left:90.35pt;margin-top:763.55pt;width:85.25pt;height:12pt;z-index:-177592;mso-position-horizontal-relative:page;mso-position-vertical-relative:page" filled="f" stroked="f">
          <v:textbox inset="0,0,0,0">
            <w:txbxContent>
              <w:p w:rsidR="003B2FC0" w:rsidRDefault="00052A49">
                <w:pPr>
                  <w:spacing w:line="220" w:lineRule="exact"/>
                  <w:ind w:left="20"/>
                  <w:rPr>
                    <w:rFonts w:ascii="Cambria"/>
                    <w:sz w:val="20"/>
                  </w:rPr>
                </w:pPr>
                <w:r>
                  <w:rPr>
                    <w:rFonts w:ascii="Cambria"/>
                    <w:sz w:val="20"/>
                  </w:rPr>
                  <w:t>AIR 1993 Kerala 42</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8" type="#_x0000_t202" style="position:absolute;margin-left:287.95pt;margin-top:780.9pt;width:20.75pt;height:13.05pt;z-index:-17180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116</w:t>
                </w:r>
                <w:r>
                  <w:fldChar w:fldCharType="end"/>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6" type="#_x0000_t202" style="position:absolute;margin-left:287.95pt;margin-top:780.9pt;width:20.75pt;height:13.05pt;z-index:-17176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120</w:t>
                </w:r>
                <w:r>
                  <w:fldChar w:fldCharType="end"/>
                </w:r>
              </w:p>
            </w:txbxContent>
          </v:textbox>
          <w10:wrap anchorx="page" anchory="pag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4" type="#_x0000_t202" style="position:absolute;margin-left:287.95pt;margin-top:780.9pt;width:20.75pt;height:13.05pt;z-index:-17171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130</w:t>
                </w:r>
                <w:r>
                  <w:fldChar w:fldCharType="end"/>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3" type="#_x0000_t202" style="position:absolute;margin-left:288.95pt;margin-top:780.9pt;width:18.75pt;height:13.05pt;z-index:-171688;mso-position-horizontal-relative:page;mso-position-vertical-relative:page" filled="f" stroked="f">
          <v:textbox inset="0,0,0,0">
            <w:txbxContent>
              <w:p w:rsidR="003B2FC0" w:rsidRDefault="00052A49">
                <w:pPr>
                  <w:spacing w:line="245" w:lineRule="exact"/>
                  <w:ind w:left="20"/>
                  <w:rPr>
                    <w:rFonts w:ascii="Calibri"/>
                  </w:rPr>
                </w:pPr>
                <w:r>
                  <w:rPr>
                    <w:rFonts w:ascii="Calibri"/>
                  </w:rPr>
                  <w:t>133</w:t>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2" type="#_x0000_t202" style="position:absolute;margin-left:287.95pt;margin-top:780.9pt;width:20.75pt;height:13.05pt;z-index:-17166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134</w:t>
                </w:r>
                <w:r>
                  <w:fldChar w:fldCharType="end"/>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1" type="#_x0000_t202" style="position:absolute;margin-left:287.95pt;margin-top:780.9pt;width:20.75pt;height:13.05pt;z-index:-17164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140</w:t>
                </w:r>
                <w:r>
                  <w:fldChar w:fldCharType="end"/>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8" type="#_x0000_t202" style="position:absolute;margin-left:287.95pt;margin-top:780.9pt;width:20.75pt;height:13.05pt;z-index:-17156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150</w:t>
                </w:r>
                <w:r>
                  <w:fldChar w:fldCharType="end"/>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6" type="#_x0000_t202" style="position:absolute;margin-left:287.95pt;margin-top:780.9pt;width:20.75pt;height:13.05pt;z-index:-17152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160</w:t>
                </w:r>
                <w:r>
                  <w:fldChar w:fldCharType="end"/>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5" type="#_x0000_t202" style="position:absolute;margin-left:292.3pt;margin-top:779.3pt;width:10.85pt;height:15pt;z-index:-17149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w:t>
                </w:r>
                <w:r>
                  <w:fldChar w:fldCharType="end"/>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4" type="#_x0000_t202" style="position:absolute;margin-left:292.3pt;margin-top:779.3pt;width:10.85pt;height:15pt;z-index:-17147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3" type="#_x0000_t202" style="position:absolute;margin-left:292.3pt;margin-top:779.3pt;width:10.85pt;height:15pt;z-index:-17144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w:t>
                </w:r>
                <w:r>
                  <w:fldChar w:fldCharType="end"/>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2" type="#_x0000_t202" style="position:absolute;margin-left:292.3pt;margin-top:779.3pt;width:10.85pt;height:15pt;z-index:-17142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w:t>
                </w:r>
                <w:r>
                  <w:fldChar w:fldCharType="end"/>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1" type="#_x0000_t202" style="position:absolute;margin-left:288.8pt;margin-top:779.3pt;width:17.7pt;height:15pt;z-index:-17140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10</w:t>
                </w:r>
                <w:r>
                  <w:fldChar w:fldCharType="end"/>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0" type="#_x0000_t202" style="position:absolute;margin-left:292.3pt;margin-top:779.3pt;width:10.85pt;height:15pt;z-index:-17137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w:t>
                </w:r>
                <w:r>
                  <w:fldChar w:fldCharType="end"/>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9" type="#_x0000_t202" style="position:absolute;margin-left:292.3pt;margin-top:779.3pt;width:10.85pt;height:15pt;z-index:-17135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7</w:t>
                </w:r>
                <w:r>
                  <w:fldChar w:fldCharType="end"/>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8" type="#_x0000_t202" style="position:absolute;margin-left:292.3pt;margin-top:779.3pt;width:10.85pt;height:15pt;z-index:-17132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8</w:t>
                </w:r>
                <w:r>
                  <w:fldChar w:fldCharType="end"/>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7" type="#_x0000_t202" style="position:absolute;margin-left:292.3pt;margin-top:779.3pt;width:10.85pt;height:15pt;z-index:-17130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9</w:t>
                </w:r>
                <w:r>
                  <w:fldChar w:fldCharType="end"/>
                </w:r>
              </w:p>
            </w:txbxContent>
          </v:textbox>
          <w10:wrap anchorx="page" anchory="pag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6" type="#_x0000_t202" style="position:absolute;margin-left:288.8pt;margin-top:779.3pt;width:17.7pt;height:15pt;z-index:-17128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10</w:t>
                </w:r>
                <w:r>
                  <w:fldChar w:fldCharType="end"/>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5" type="#_x0000_t202" style="position:absolute;margin-left:288.8pt;margin-top:779.3pt;width:17.7pt;height:15pt;z-index:-17125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11</w:t>
                </w:r>
                <w:r>
                  <w:fldChar w:fldCharType="end"/>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4" type="#_x0000_t202" style="position:absolute;margin-left:288.8pt;margin-top:779.3pt;width:17.7pt;height:15pt;z-index:-17123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12</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3" type="#_x0000_t202" style="position:absolute;margin-left:288.8pt;margin-top:779.3pt;width:17.7pt;height:15pt;z-index:-17120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13</w:t>
                </w:r>
                <w:r>
                  <w:fldChar w:fldCharType="end"/>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2" type="#_x0000_t202" style="position:absolute;margin-left:288.8pt;margin-top:779.3pt;width:17.7pt;height:15pt;z-index:-17118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14</w:t>
                </w:r>
                <w:r>
                  <w:fldChar w:fldCharType="end"/>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1" type="#_x0000_t202" style="position:absolute;margin-left:288.8pt;margin-top:779.3pt;width:17.7pt;height:15pt;z-index:-17116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15</w:t>
                </w:r>
                <w:r>
                  <w:fldChar w:fldCharType="end"/>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10" type="#_x0000_t202" style="position:absolute;margin-left:288.8pt;margin-top:779.3pt;width:17.7pt;height:15pt;z-index:-17113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16</w:t>
                </w:r>
                <w:r>
                  <w:fldChar w:fldCharType="end"/>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9" type="#_x0000_t202" style="position:absolute;margin-left:288.8pt;margin-top:779.3pt;width:17.7pt;height:15pt;z-index:-17111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17</w:t>
                </w:r>
                <w:r>
                  <w:fldChar w:fldCharType="end"/>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8" type="#_x0000_t202" style="position:absolute;margin-left:288.8pt;margin-top:779.3pt;width:17.7pt;height:15pt;z-index:-17108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18</w:t>
                </w:r>
                <w:r>
                  <w:fldChar w:fldCharType="end"/>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7" type="#_x0000_t202" style="position:absolute;margin-left:288.8pt;margin-top:779.3pt;width:17.7pt;height:15pt;z-index:-17106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19</w:t>
                </w:r>
                <w:r>
                  <w:fldChar w:fldCharType="end"/>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6" type="#_x0000_t202" style="position:absolute;margin-left:288.8pt;margin-top:779.3pt;width:17.7pt;height:15pt;z-index:-17104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20</w:t>
                </w:r>
                <w:r>
                  <w:fldChar w:fldCharType="end"/>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5" type="#_x0000_t202" style="position:absolute;margin-left:288.8pt;margin-top:779.3pt;width:17.7pt;height:15pt;z-index:-17101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21</w:t>
                </w:r>
                <w:r>
                  <w:fldChar w:fldCharType="end"/>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4" type="#_x0000_t202" style="position:absolute;margin-left:288.8pt;margin-top:779.3pt;width:17.7pt;height:15pt;z-index:-17099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22</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3" type="#_x0000_t202" style="position:absolute;margin-left:288.8pt;margin-top:779.3pt;width:17.7pt;height:15pt;z-index:-17096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23</w:t>
                </w:r>
                <w:r>
                  <w:fldChar w:fldCharType="end"/>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2" type="#_x0000_t202" style="position:absolute;margin-left:288.8pt;margin-top:779.3pt;width:17.7pt;height:15pt;z-index:-17094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24</w:t>
                </w:r>
                <w:r>
                  <w:fldChar w:fldCharType="end"/>
                </w: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1" type="#_x0000_t202" style="position:absolute;margin-left:288.8pt;margin-top:779.3pt;width:17.7pt;height:15pt;z-index:-17092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25</w:t>
                </w:r>
                <w:r>
                  <w:fldChar w:fldCharType="end"/>
                </w: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00" type="#_x0000_t202" style="position:absolute;margin-left:288.8pt;margin-top:779.3pt;width:17.7pt;height:15pt;z-index:-17089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26</w:t>
                </w:r>
                <w:r>
                  <w:fldChar w:fldCharType="end"/>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9" type="#_x0000_t202" style="position:absolute;margin-left:288.8pt;margin-top:779.3pt;width:17.7pt;height:15pt;z-index:-17087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27</w:t>
                </w:r>
                <w:r>
                  <w:fldChar w:fldCharType="end"/>
                </w: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8" type="#_x0000_t202" style="position:absolute;margin-left:288.8pt;margin-top:779.3pt;width:17.7pt;height:15pt;z-index:-17084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28</w:t>
                </w:r>
                <w:r>
                  <w:fldChar w:fldCharType="end"/>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7" type="#_x0000_t202" style="position:absolute;margin-left:288.8pt;margin-top:779.3pt;width:17.7pt;height:15pt;z-index:-17082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29</w:t>
                </w:r>
                <w:r>
                  <w:fldChar w:fldCharType="end"/>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6" type="#_x0000_t202" style="position:absolute;margin-left:288.8pt;margin-top:779.3pt;width:17.7pt;height:15pt;z-index:-17080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30</w:t>
                </w:r>
                <w:r>
                  <w:fldChar w:fldCharType="end"/>
                </w: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5" type="#_x0000_t202" style="position:absolute;margin-left:288.8pt;margin-top:779.3pt;width:17.7pt;height:15pt;z-index:-17077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31</w:t>
                </w:r>
                <w:r>
                  <w:fldChar w:fldCharType="end"/>
                </w: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4" type="#_x0000_t202" style="position:absolute;margin-left:288.8pt;margin-top:779.3pt;width:17.7pt;height:15pt;z-index:-17075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32</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3" type="#_x0000_t202" style="position:absolute;margin-left:288.8pt;margin-top:779.3pt;width:17.7pt;height:15pt;z-index:-17072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33</w:t>
                </w:r>
                <w:r>
                  <w:fldChar w:fldCharType="end"/>
                </w: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2" type="#_x0000_t202" style="position:absolute;margin-left:288.8pt;margin-top:779.3pt;width:17.7pt;height:15pt;z-index:-17070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34</w:t>
                </w:r>
                <w:r>
                  <w:fldChar w:fldCharType="end"/>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1" type="#_x0000_t202" style="position:absolute;margin-left:288.8pt;margin-top:779.3pt;width:17.7pt;height:15pt;z-index:-17068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35</w:t>
                </w:r>
                <w:r>
                  <w:fldChar w:fldCharType="end"/>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90" type="#_x0000_t202" style="position:absolute;margin-left:288.8pt;margin-top:779.3pt;width:17.7pt;height:15pt;z-index:-17065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36</w:t>
                </w:r>
                <w:r>
                  <w:fldChar w:fldCharType="end"/>
                </w: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9" type="#_x0000_t202" style="position:absolute;margin-left:288.8pt;margin-top:779.3pt;width:17.7pt;height:15pt;z-index:-17063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37</w:t>
                </w:r>
                <w:r>
                  <w:fldChar w:fldCharType="end"/>
                </w: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8" type="#_x0000_t202" style="position:absolute;margin-left:71pt;margin-top:757.4pt;width:111.3pt;height:13.7pt;z-index:-170608;mso-position-horizontal-relative:page;mso-position-vertical-relative:page" filled="f" stroked="f">
          <v:textbox inset="0,0,0,0">
            <w:txbxContent>
              <w:p w:rsidR="003B2FC0" w:rsidRDefault="00052A49">
                <w:pPr>
                  <w:spacing w:before="19"/>
                  <w:ind w:left="20"/>
                  <w:rPr>
                    <w:rFonts w:ascii="Bookman Old Style"/>
                    <w:sz w:val="20"/>
                  </w:rPr>
                </w:pPr>
                <w:r>
                  <w:rPr>
                    <w:rFonts w:ascii="Bookman Old Style"/>
                    <w:position w:val="5"/>
                    <w:sz w:val="13"/>
                  </w:rPr>
                  <w:t xml:space="preserve">36 </w:t>
                </w:r>
                <w:r>
                  <w:rPr>
                    <w:rFonts w:ascii="Bookman Old Style"/>
                    <w:sz w:val="20"/>
                  </w:rPr>
                  <w:t>450 U.S. 707 (</w:t>
                </w:r>
                <w:r w:rsidR="003B2FC0">
                  <w:fldChar w:fldCharType="begin"/>
                </w:r>
                <w:r>
                  <w:rPr>
                    <w:rFonts w:ascii="Bookman Old Style"/>
                    <w:sz w:val="20"/>
                  </w:rPr>
                  <w:instrText xml:space="preserve"> PAGE </w:instrText>
                </w:r>
                <w:r w:rsidR="003B2FC0">
                  <w:fldChar w:fldCharType="separate"/>
                </w:r>
                <w:r>
                  <w:t>198</w:t>
                </w:r>
                <w:r w:rsidR="003B2FC0">
                  <w:fldChar w:fldCharType="end"/>
                </w:r>
                <w:r>
                  <w:rPr>
                    <w:rFonts w:ascii="Bookman Old Style"/>
                    <w:sz w:val="20"/>
                  </w:rPr>
                  <w:t>1)</w:t>
                </w:r>
              </w:p>
            </w:txbxContent>
          </v:textbox>
          <w10:wrap anchorx="page" anchory="page"/>
        </v:shape>
      </w:pict>
    </w:r>
    <w:r w:rsidRPr="003B2FC0">
      <w:pict>
        <v:shape id="_x0000_s2087" type="#_x0000_t202" style="position:absolute;margin-left:289.8pt;margin-top:779.3pt;width:15.7pt;height:15pt;z-index:-170584;mso-position-horizontal-relative:page;mso-position-vertical-relative:page" filled="f" stroked="f">
          <v:textbox inset="0,0,0,0">
            <w:txbxContent>
              <w:p w:rsidR="003B2FC0" w:rsidRDefault="00052A49">
                <w:pPr>
                  <w:spacing w:before="20"/>
                  <w:ind w:left="20"/>
                  <w:rPr>
                    <w:rFonts w:ascii="Bookman Old Style"/>
                  </w:rPr>
                </w:pPr>
                <w:r>
                  <w:rPr>
                    <w:rFonts w:ascii="Bookman Old Style"/>
                  </w:rPr>
                  <w:t>38</w:t>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6" type="#_x0000_t202" style="position:absolute;margin-left:71pt;margin-top:757.4pt;width:111.3pt;height:13.7pt;z-index:-170560;mso-position-horizontal-relative:page;mso-position-vertical-relative:page" filled="f" stroked="f">
          <v:textbox inset="0,0,0,0">
            <w:txbxContent>
              <w:p w:rsidR="003B2FC0" w:rsidRDefault="00052A49">
                <w:pPr>
                  <w:spacing w:before="19"/>
                  <w:ind w:left="20"/>
                  <w:rPr>
                    <w:rFonts w:ascii="Bookman Old Style"/>
                    <w:sz w:val="20"/>
                  </w:rPr>
                </w:pPr>
                <w:r>
                  <w:rPr>
                    <w:rFonts w:ascii="Bookman Old Style"/>
                    <w:position w:val="5"/>
                    <w:sz w:val="13"/>
                  </w:rPr>
                  <w:t xml:space="preserve">39 </w:t>
                </w:r>
                <w:r>
                  <w:rPr>
                    <w:rFonts w:ascii="Bookman Old Style"/>
                    <w:sz w:val="20"/>
                  </w:rPr>
                  <w:t>494 U.S. 872 (</w:t>
                </w:r>
                <w:r w:rsidR="003B2FC0">
                  <w:fldChar w:fldCharType="begin"/>
                </w:r>
                <w:r>
                  <w:rPr>
                    <w:rFonts w:ascii="Bookman Old Style"/>
                    <w:sz w:val="20"/>
                  </w:rPr>
                  <w:instrText xml:space="preserve"> PAGE </w:instrText>
                </w:r>
                <w:r w:rsidR="003B2FC0">
                  <w:fldChar w:fldCharType="separate"/>
                </w:r>
                <w:r>
                  <w:t>199</w:t>
                </w:r>
                <w:r w:rsidR="003B2FC0">
                  <w:fldChar w:fldCharType="end"/>
                </w:r>
                <w:r>
                  <w:rPr>
                    <w:rFonts w:ascii="Bookman Old Style"/>
                    <w:sz w:val="20"/>
                  </w:rPr>
                  <w:t>0)</w:t>
                </w:r>
              </w:p>
            </w:txbxContent>
          </v:textbox>
          <w10:wrap anchorx="page" anchory="page"/>
        </v:shape>
      </w:pict>
    </w:r>
    <w:r w:rsidRPr="003B2FC0">
      <w:pict>
        <v:shape id="_x0000_s2085" type="#_x0000_t202" style="position:absolute;margin-left:289.8pt;margin-top:779.3pt;width:15.7pt;height:15pt;z-index:-170536;mso-position-horizontal-relative:page;mso-position-vertical-relative:page" filled="f" stroked="f">
          <v:textbox inset="0,0,0,0">
            <w:txbxContent>
              <w:p w:rsidR="003B2FC0" w:rsidRDefault="00052A49">
                <w:pPr>
                  <w:spacing w:before="20"/>
                  <w:ind w:left="20"/>
                  <w:rPr>
                    <w:rFonts w:ascii="Bookman Old Style"/>
                  </w:rPr>
                </w:pPr>
                <w:r>
                  <w:rPr>
                    <w:rFonts w:ascii="Bookman Old Style"/>
                  </w:rPr>
                  <w:t>39</w:t>
                </w:r>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4" type="#_x0000_t202" style="position:absolute;margin-left:288.8pt;margin-top:779.3pt;width:17.7pt;height:15pt;z-index:-17051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40</w:t>
                </w:r>
                <w:r>
                  <w:fldChar w:fldCharType="end"/>
                </w: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3" type="#_x0000_t202" style="position:absolute;margin-left:288.8pt;margin-top:779.3pt;width:17.7pt;height:15pt;z-index:-17048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41</w:t>
                </w:r>
                <w:r>
                  <w:fldChar w:fldCharType="end"/>
                </w: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2" type="#_x0000_t202" style="position:absolute;margin-left:288.8pt;margin-top:779.3pt;width:17.7pt;height:15pt;z-index:-17046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42</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1" type="#_x0000_t202" style="position:absolute;margin-left:288.8pt;margin-top:779.3pt;width:17.7pt;height:15pt;z-index:-17044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43</w:t>
                </w:r>
                <w:r>
                  <w:fldChar w:fldCharType="end"/>
                </w: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80" type="#_x0000_t202" style="position:absolute;margin-left:288.8pt;margin-top:779.3pt;width:17.7pt;height:15pt;z-index:-17041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44</w:t>
                </w:r>
                <w:r>
                  <w:fldChar w:fldCharType="end"/>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9" type="#_x0000_t202" style="position:absolute;margin-left:288.8pt;margin-top:779.3pt;width:17.7pt;height:15pt;z-index:-17039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45</w:t>
                </w:r>
                <w:r>
                  <w:fldChar w:fldCharType="end"/>
                </w:r>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8" type="#_x0000_t202" style="position:absolute;margin-left:288.8pt;margin-top:779.3pt;width:17.7pt;height:15pt;z-index:-17036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46</w:t>
                </w:r>
                <w:r>
                  <w:fldChar w:fldCharType="end"/>
                </w: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7" type="#_x0000_t202" style="position:absolute;margin-left:288.8pt;margin-top:779.3pt;width:17.7pt;height:15pt;z-index:-17034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47</w:t>
                </w:r>
                <w:r>
                  <w:fldChar w:fldCharType="end"/>
                </w: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6" type="#_x0000_t202" style="position:absolute;margin-left:288.8pt;margin-top:779.3pt;width:17.7pt;height:15pt;z-index:-17032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48</w:t>
                </w:r>
                <w:r>
                  <w:fldChar w:fldCharType="end"/>
                </w:r>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5" type="#_x0000_t202" style="position:absolute;margin-left:288.8pt;margin-top:779.3pt;width:17.7pt;height:15pt;z-index:-17029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49</w:t>
                </w:r>
                <w:r>
                  <w:fldChar w:fldCharType="end"/>
                </w: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4" type="#_x0000_t202" style="position:absolute;margin-left:288.8pt;margin-top:779.3pt;width:17.7pt;height:15pt;z-index:-17027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50</w:t>
                </w:r>
                <w:r>
                  <w:fldChar w:fldCharType="end"/>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3" type="#_x0000_t202" style="position:absolute;margin-left:288.8pt;margin-top:779.3pt;width:17.7pt;height:15pt;z-index:-17024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51</w:t>
                </w:r>
                <w:r>
                  <w:fldChar w:fldCharType="end"/>
                </w: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2" type="#_x0000_t202" style="position:absolute;margin-left:288.8pt;margin-top:779.3pt;width:17.7pt;height:15pt;z-index:-17022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52</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1" type="#_x0000_t202" style="position:absolute;margin-left:288.8pt;margin-top:779.3pt;width:17.7pt;height:15pt;z-index:-17020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53</w:t>
                </w:r>
                <w:r>
                  <w:fldChar w:fldCharType="end"/>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70" type="#_x0000_t202" style="position:absolute;margin-left:288.8pt;margin-top:779.3pt;width:17.7pt;height:15pt;z-index:-17017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54</w:t>
                </w:r>
                <w:r>
                  <w:fldChar w:fldCharType="end"/>
                </w: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9" type="#_x0000_t202" style="position:absolute;margin-left:288.8pt;margin-top:779.3pt;width:17.7pt;height:15pt;z-index:-17015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55</w:t>
                </w:r>
                <w:r>
                  <w:fldChar w:fldCharType="end"/>
                </w: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8" type="#_x0000_t202" style="position:absolute;margin-left:288.8pt;margin-top:779.3pt;width:17.7pt;height:15pt;z-index:-17012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56</w:t>
                </w:r>
                <w:r>
                  <w:fldChar w:fldCharType="end"/>
                </w:r>
              </w:p>
            </w:txbxContent>
          </v:textbox>
          <w10:wrap anchorx="page" anchory="page"/>
        </v:shape>
      </w:pict>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7" type="#_x0000_t202" style="position:absolute;margin-left:288.8pt;margin-top:779.3pt;width:17.7pt;height:15pt;z-index:-17010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57</w:t>
                </w:r>
                <w:r>
                  <w:fldChar w:fldCharType="end"/>
                </w:r>
              </w:p>
            </w:txbxContent>
          </v:textbox>
          <w10:wrap anchorx="page" anchory="page"/>
        </v:shape>
      </w:pict>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6" type="#_x0000_t202" style="position:absolute;margin-left:288.8pt;margin-top:779.3pt;width:17.7pt;height:15pt;z-index:-17008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58</w:t>
                </w:r>
                <w:r>
                  <w:fldChar w:fldCharType="end"/>
                </w:r>
              </w:p>
            </w:txbxContent>
          </v:textbox>
          <w10:wrap anchorx="page" anchory="page"/>
        </v:shape>
      </w:pict>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5" type="#_x0000_t202" style="position:absolute;margin-left:288.8pt;margin-top:779.3pt;width:17.7pt;height:15pt;z-index:-17005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59</w:t>
                </w:r>
                <w:r>
                  <w:fldChar w:fldCharType="end"/>
                </w:r>
              </w:p>
            </w:txbxContent>
          </v:textbox>
          <w10:wrap anchorx="page" anchory="page"/>
        </v:shape>
      </w:pict>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4" type="#_x0000_t202" style="position:absolute;margin-left:288.8pt;margin-top:779.3pt;width:17.7pt;height:15pt;z-index:-17003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60</w:t>
                </w:r>
                <w:r>
                  <w:fldChar w:fldCharType="end"/>
                </w:r>
              </w:p>
            </w:txbxContent>
          </v:textbox>
          <w10:wrap anchorx="page" anchory="page"/>
        </v:shape>
      </w:pict>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3" type="#_x0000_t202" style="position:absolute;margin-left:288.8pt;margin-top:779.3pt;width:17.7pt;height:15pt;z-index:-17000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61</w:t>
                </w:r>
                <w:r>
                  <w:fldChar w:fldCharType="end"/>
                </w:r>
              </w:p>
            </w:txbxContent>
          </v:textbox>
          <w10:wrap anchorx="page" anchory="page"/>
        </v:shape>
      </w:pict>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2" type="#_x0000_t202" style="position:absolute;margin-left:288.8pt;margin-top:779.3pt;width:17.7pt;height:15pt;z-index:-16998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62</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1" type="#_x0000_t202" style="position:absolute;margin-left:288.8pt;margin-top:779.3pt;width:17.7pt;height:15pt;z-index:-16996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63</w:t>
                </w:r>
                <w:r>
                  <w:fldChar w:fldCharType="end"/>
                </w:r>
              </w:p>
            </w:txbxContent>
          </v:textbox>
          <w10:wrap anchorx="page" anchory="page"/>
        </v:shape>
      </w:pict>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60" type="#_x0000_t202" style="position:absolute;margin-left:288.8pt;margin-top:779.3pt;width:17.7pt;height:15pt;z-index:-16993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64</w:t>
                </w:r>
                <w:r>
                  <w:fldChar w:fldCharType="end"/>
                </w:r>
              </w:p>
            </w:txbxContent>
          </v:textbox>
          <w10:wrap anchorx="page" anchory="page"/>
        </v:shape>
      </w:pict>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9" type="#_x0000_t202" style="position:absolute;margin-left:288.8pt;margin-top:779.3pt;width:17.7pt;height:15pt;z-index:-16991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65</w:t>
                </w:r>
                <w:r>
                  <w:fldChar w:fldCharType="end"/>
                </w:r>
              </w:p>
            </w:txbxContent>
          </v:textbox>
          <w10:wrap anchorx="page" anchory="page"/>
        </v:shape>
      </w:pict>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8" type="#_x0000_t202" style="position:absolute;margin-left:288.8pt;margin-top:779.3pt;width:17.7pt;height:15pt;z-index:-16988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66</w:t>
                </w:r>
                <w:r>
                  <w:fldChar w:fldCharType="end"/>
                </w:r>
              </w:p>
            </w:txbxContent>
          </v:textbox>
          <w10:wrap anchorx="page" anchory="page"/>
        </v:shape>
      </w:pict>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7" type="#_x0000_t202" style="position:absolute;margin-left:288.8pt;margin-top:779.3pt;width:17.7pt;height:15pt;z-index:-16986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67</w:t>
                </w:r>
                <w:r>
                  <w:fldChar w:fldCharType="end"/>
                </w:r>
              </w:p>
            </w:txbxContent>
          </v:textbox>
          <w10:wrap anchorx="page" anchory="page"/>
        </v:shape>
      </w:pict>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6" type="#_x0000_t202" style="position:absolute;margin-left:288.8pt;margin-top:779.3pt;width:17.7pt;height:15pt;z-index:-16984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68</w:t>
                </w:r>
                <w:r>
                  <w:fldChar w:fldCharType="end"/>
                </w:r>
              </w:p>
            </w:txbxContent>
          </v:textbox>
          <w10:wrap anchorx="page" anchory="page"/>
        </v:shape>
      </w:pict>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5" type="#_x0000_t202" style="position:absolute;margin-left:288.8pt;margin-top:779.3pt;width:17.7pt;height:15pt;z-index:-16981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69</w:t>
                </w:r>
                <w:r>
                  <w:fldChar w:fldCharType="end"/>
                </w:r>
              </w:p>
            </w:txbxContent>
          </v:textbox>
          <w10:wrap anchorx="page" anchory="page"/>
        </v:shape>
      </w:pict>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4" type="#_x0000_t202" style="position:absolute;margin-left:288.8pt;margin-top:779.3pt;width:17.7pt;height:15pt;z-index:-16979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70</w:t>
                </w:r>
                <w:r>
                  <w:fldChar w:fldCharType="end"/>
                </w:r>
              </w:p>
            </w:txbxContent>
          </v:textbox>
          <w10:wrap anchorx="page" anchory="page"/>
        </v:shape>
      </w:pict>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3" type="#_x0000_t202" style="position:absolute;margin-left:288.8pt;margin-top:779.3pt;width:17.7pt;height:15pt;z-index:-169768;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71</w:t>
                </w:r>
                <w:r>
                  <w:fldChar w:fldCharType="end"/>
                </w:r>
              </w:p>
            </w:txbxContent>
          </v:textbox>
          <w10:wrap anchorx="page" anchory="page"/>
        </v:shape>
      </w:pict>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2" type="#_x0000_t202" style="position:absolute;margin-left:288.8pt;margin-top:779.3pt;width:17.7pt;height:15pt;z-index:-169744;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72</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1" type="#_x0000_t202" style="position:absolute;margin-left:288.8pt;margin-top:779.3pt;width:17.7pt;height:15pt;z-index:-169720;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73</w:t>
                </w:r>
                <w:r>
                  <w:fldChar w:fldCharType="end"/>
                </w:r>
              </w:p>
            </w:txbxContent>
          </v:textbox>
          <w10:wrap anchorx="page" anchory="page"/>
        </v:shape>
      </w:pict>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50" type="#_x0000_t202" style="position:absolute;margin-left:288.8pt;margin-top:779.3pt;width:17.7pt;height:15pt;z-index:-169696;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74</w:t>
                </w:r>
                <w:r>
                  <w:fldChar w:fldCharType="end"/>
                </w:r>
              </w:p>
            </w:txbxContent>
          </v:textbox>
          <w10:wrap anchorx="page" anchory="page"/>
        </v:shape>
      </w:pict>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049" type="#_x0000_t202" style="position:absolute;margin-left:288.8pt;margin-top:779.3pt;width:17.7pt;height:15pt;z-index:-169672;mso-position-horizontal-relative:page;mso-position-vertical-relative:page" filled="f" stroked="f">
          <v:textbox inset="0,0,0,0">
            <w:txbxContent>
              <w:p w:rsidR="003B2FC0" w:rsidRDefault="003B2FC0">
                <w:pPr>
                  <w:spacing w:before="20"/>
                  <w:ind w:left="40"/>
                  <w:rPr>
                    <w:rFonts w:ascii="Bookman Old Style"/>
                  </w:rPr>
                </w:pPr>
                <w:r>
                  <w:fldChar w:fldCharType="begin"/>
                </w:r>
                <w:r w:rsidR="00052A49">
                  <w:rPr>
                    <w:rFonts w:ascii="Bookman Old Style"/>
                  </w:rPr>
                  <w:instrText xml:space="preserve"> PAGE </w:instrText>
                </w:r>
                <w:r>
                  <w:fldChar w:fldCharType="separate"/>
                </w:r>
                <w:r w:rsidR="00052A49">
                  <w:t>75</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0" type="#_x0000_t202" style="position:absolute;margin-left:71pt;margin-top:760.75pt;width:83.95pt;height:14.5pt;z-index:-176656;mso-position-horizontal-relative:page;mso-position-vertical-relative:page" filled="f" stroked="f">
          <v:textbox inset="0,0,0,0">
            <w:txbxContent>
              <w:p w:rsidR="003B2FC0" w:rsidRDefault="00052A49">
                <w:pPr>
                  <w:spacing w:before="15"/>
                  <w:ind w:left="20"/>
                  <w:rPr>
                    <w:rFonts w:ascii="Times New Roman"/>
                    <w:sz w:val="20"/>
                  </w:rPr>
                </w:pPr>
                <w:r>
                  <w:rPr>
                    <w:rFonts w:ascii="Times New Roman"/>
                    <w:position w:val="9"/>
                    <w:sz w:val="13"/>
                  </w:rPr>
                  <w:t xml:space="preserve">22 </w:t>
                </w:r>
                <w:r>
                  <w:rPr>
                    <w:rFonts w:ascii="Times New Roman"/>
                    <w:sz w:val="20"/>
                  </w:rPr>
                  <w:t>(1995) 5 SCC 220</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9" type="#_x0000_t202" style="position:absolute;margin-left:71pt;margin-top:760.1pt;width:9pt;height:9pt;z-index:-176632;mso-position-horizontal-relative:page;mso-position-vertical-relative:page" filled="f" stroked="f">
          <v:textbox inset="0,0,0,0">
            <w:txbxContent>
              <w:p w:rsidR="003B2FC0" w:rsidRDefault="00052A49">
                <w:pPr>
                  <w:spacing w:line="162" w:lineRule="exact"/>
                  <w:ind w:left="20"/>
                  <w:rPr>
                    <w:rFonts w:ascii="Calibri"/>
                    <w:sz w:val="14"/>
                  </w:rPr>
                </w:pPr>
                <w:r>
                  <w:rPr>
                    <w:rFonts w:ascii="Calibri"/>
                    <w:sz w:val="14"/>
                  </w:rPr>
                  <w:t>24</w:t>
                </w:r>
              </w:p>
            </w:txbxContent>
          </v:textbox>
          <w10:wrap anchorx="page" anchory="page"/>
        </v:shape>
      </w:pict>
    </w:r>
    <w:r w:rsidRPr="003B2FC0">
      <w:pict>
        <v:shape id="_x0000_s2338" type="#_x0000_t202" style="position:absolute;margin-left:83pt;margin-top:762.1pt;width:77.5pt;height:13.05pt;z-index:-176608;mso-position-horizontal-relative:page;mso-position-vertical-relative:page" filled="f" stroked="f">
          <v:textbox inset="0,0,0,0">
            <w:txbxContent>
              <w:p w:rsidR="003B2FC0" w:rsidRDefault="00052A49">
                <w:pPr>
                  <w:spacing w:line="245" w:lineRule="exact"/>
                  <w:ind w:left="20"/>
                  <w:rPr>
                    <w:rFonts w:ascii="Calibri"/>
                  </w:rPr>
                </w:pPr>
                <w:r>
                  <w:rPr>
                    <w:rFonts w:ascii="Calibri"/>
                  </w:rPr>
                  <w:t>(1981) 2 SCC 226</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1" type="#_x0000_t202" style="position:absolute;margin-left:71.75pt;margin-top:760.1pt;width:74.4pt;height:15.05pt;z-index:-175960;mso-position-horizontal-relative:page;mso-position-vertical-relative:page" filled="f" stroked="f">
          <v:textbox inset="0,0,0,0">
            <w:txbxContent>
              <w:p w:rsidR="003B2FC0" w:rsidRDefault="00052A49">
                <w:pPr>
                  <w:spacing w:line="284" w:lineRule="exact"/>
                  <w:ind w:left="20"/>
                  <w:rPr>
                    <w:rFonts w:ascii="Calibri"/>
                  </w:rPr>
                </w:pPr>
                <w:r>
                  <w:rPr>
                    <w:rFonts w:ascii="Calibri"/>
                    <w:position w:val="10"/>
                    <w:sz w:val="14"/>
                  </w:rPr>
                  <w:t xml:space="preserve">32 </w:t>
                </w:r>
                <w:r>
                  <w:rPr>
                    <w:rFonts w:ascii="Calibri"/>
                  </w:rPr>
                  <w:t>(1904) AC 515</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0" type="#_x0000_t202" style="position:absolute;margin-left:71.75pt;margin-top:760.1pt;width:84.15pt;height:15.05pt;z-index:-175936;mso-position-horizontal-relative:page;mso-position-vertical-relative:page" filled="f" stroked="f">
          <v:textbox inset="0,0,0,0">
            <w:txbxContent>
              <w:p w:rsidR="003B2FC0" w:rsidRDefault="00052A49">
                <w:pPr>
                  <w:spacing w:line="284" w:lineRule="exact"/>
                  <w:ind w:left="20"/>
                  <w:rPr>
                    <w:rFonts w:ascii="Calibri"/>
                  </w:rPr>
                </w:pPr>
                <w:r>
                  <w:rPr>
                    <w:rFonts w:ascii="Calibri"/>
                    <w:position w:val="10"/>
                    <w:sz w:val="14"/>
                  </w:rPr>
                  <w:t xml:space="preserve">34 </w:t>
                </w:r>
                <w:r>
                  <w:rPr>
                    <w:rFonts w:ascii="Calibri"/>
                  </w:rPr>
                  <w:t>AIR 1995 SC 464</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9" type="#_x0000_t202" style="position:absolute;margin-left:71.75pt;margin-top:760.1pt;width:89.65pt;height:15.05pt;z-index:-175912;mso-position-horizontal-relative:page;mso-position-vertical-relative:page" filled="f" stroked="f">
          <v:textbox inset="0,0,0,0">
            <w:txbxContent>
              <w:p w:rsidR="003B2FC0" w:rsidRDefault="00052A49">
                <w:pPr>
                  <w:spacing w:line="284" w:lineRule="exact"/>
                  <w:ind w:left="20"/>
                  <w:rPr>
                    <w:rFonts w:ascii="Calibri"/>
                  </w:rPr>
                </w:pPr>
                <w:r>
                  <w:rPr>
                    <w:rFonts w:ascii="Calibri"/>
                    <w:position w:val="10"/>
                    <w:sz w:val="14"/>
                  </w:rPr>
                  <w:t xml:space="preserve">35 </w:t>
                </w:r>
                <w:r>
                  <w:rPr>
                    <w:rFonts w:ascii="Calibri"/>
                  </w:rPr>
                  <w:t>AIR 1961 SC 1402</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8" type="#_x0000_t202" style="position:absolute;margin-left:71pt;margin-top:760.1pt;width:87pt;height:15.05pt;z-index:-175888;mso-position-horizontal-relative:page;mso-position-vertical-relative:page" filled="f" stroked="f">
          <v:textbox inset="0,0,0,0">
            <w:txbxContent>
              <w:p w:rsidR="003B2FC0" w:rsidRDefault="00052A49">
                <w:pPr>
                  <w:spacing w:line="284" w:lineRule="exact"/>
                  <w:ind w:left="20"/>
                  <w:rPr>
                    <w:rFonts w:ascii="Calibri"/>
                  </w:rPr>
                </w:pPr>
                <w:r>
                  <w:rPr>
                    <w:rFonts w:ascii="Calibri"/>
                    <w:position w:val="10"/>
                    <w:sz w:val="14"/>
                  </w:rPr>
                  <w:t xml:space="preserve">37 </w:t>
                </w:r>
                <w:r>
                  <w:rPr>
                    <w:rFonts w:ascii="Calibri"/>
                  </w:rPr>
                  <w:t>(2002) 8 SCC 106</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296" style="position:absolute;z-index:-175600;mso-position-horizontal-relative:page;mso-position-vertical-relative:page" from="1in,757.25pt" to="216.05pt,757.25pt" strokeweight=".6pt">
          <w10:wrap anchorx="page" anchory="page"/>
        </v:line>
      </w:pict>
    </w:r>
    <w:r w:rsidRPr="003B2FC0">
      <w:pict>
        <v:shapetype id="_x0000_t202" coordsize="21600,21600" o:spt="202" path="m,l,21600r21600,l21600,xe">
          <v:stroke joinstyle="miter"/>
          <v:path gradientshapeok="t" o:connecttype="rect"/>
        </v:shapetype>
        <v:shape id="_x0000_s2295" type="#_x0000_t202" style="position:absolute;margin-left:71pt;margin-top:760.75pt;width:88.95pt;height:14.5pt;z-index:-175576;mso-position-horizontal-relative:page;mso-position-vertical-relative:page" filled="f" stroked="f">
          <v:textbox inset="0,0,0,0">
            <w:txbxContent>
              <w:p w:rsidR="003B2FC0" w:rsidRDefault="00052A49">
                <w:pPr>
                  <w:spacing w:before="15"/>
                  <w:ind w:left="20"/>
                  <w:rPr>
                    <w:rFonts w:ascii="Times New Roman"/>
                    <w:sz w:val="20"/>
                  </w:rPr>
                </w:pPr>
                <w:r>
                  <w:rPr>
                    <w:rFonts w:ascii="Times New Roman"/>
                    <w:position w:val="9"/>
                    <w:sz w:val="13"/>
                  </w:rPr>
                  <w:t xml:space="preserve">41 </w:t>
                </w:r>
                <w:r>
                  <w:rPr>
                    <w:rFonts w:ascii="Times New Roman"/>
                    <w:sz w:val="20"/>
                  </w:rPr>
                  <w:t>(2009) 15 SCC 570</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line id="_x0000_s2294" style="position:absolute;z-index:-175552;mso-position-horizontal-relative:page;mso-position-vertical-relative:page" from="1in,757.25pt" to="216.05pt,757.25pt" strokeweight=".6pt">
          <w10:wrap anchorx="page" anchory="page"/>
        </v:line>
      </w:pict>
    </w:r>
    <w:r w:rsidRPr="003B2FC0">
      <w:pict>
        <v:shapetype id="_x0000_t202" coordsize="21600,21600" o:spt="202" path="m,l,21600r21600,l21600,xe">
          <v:stroke joinstyle="miter"/>
          <v:path gradientshapeok="t" o:connecttype="rect"/>
        </v:shapetype>
        <v:shape id="_x0000_s2293" type="#_x0000_t202" style="position:absolute;margin-left:71pt;margin-top:760.75pt;width:83.95pt;height:14.5pt;z-index:-175528;mso-position-horizontal-relative:page;mso-position-vertical-relative:page" filled="f" stroked="f">
          <v:textbox inset="0,0,0,0">
            <w:txbxContent>
              <w:p w:rsidR="003B2FC0" w:rsidRDefault="00052A49">
                <w:pPr>
                  <w:spacing w:before="15"/>
                  <w:ind w:left="20"/>
                  <w:rPr>
                    <w:rFonts w:ascii="Times New Roman"/>
                    <w:sz w:val="20"/>
                  </w:rPr>
                </w:pPr>
                <w:r>
                  <w:rPr>
                    <w:rFonts w:ascii="Times New Roman"/>
                    <w:position w:val="9"/>
                    <w:sz w:val="13"/>
                  </w:rPr>
                  <w:t xml:space="preserve">42 </w:t>
                </w:r>
                <w:r>
                  <w:rPr>
                    <w:rFonts w:ascii="Times New Roman"/>
                    <w:sz w:val="20"/>
                  </w:rPr>
                  <w:t>(2006) 4 SCC 517</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19"/>
      </w:rPr>
    </w:pPr>
    <w:r w:rsidRPr="003B2FC0">
      <w:pict>
        <v:shapetype id="_x0000_t202" coordsize="21600,21600" o:spt="202" path="m,l,21600r21600,l21600,xe">
          <v:stroke joinstyle="miter"/>
          <v:path gradientshapeok="t" o:connecttype="rect"/>
        </v:shapetype>
        <v:shape id="_x0000_s2287" type="#_x0000_t202" style="position:absolute;margin-left:526.95pt;margin-top:706.4pt;width:15.3pt;height:13.05pt;z-index:-17538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65</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6" type="#_x0000_t202" style="position:absolute;margin-left:532.6pt;margin-top:706.4pt;width:9.6pt;height:13.05pt;z-index:-17536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2</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5" type="#_x0000_t202" style="position:absolute;margin-left:532.6pt;margin-top:706.4pt;width:9.6pt;height:13.05pt;z-index:-17533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3</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4" type="#_x0000_t202" style="position:absolute;margin-left:532.6pt;margin-top:706.4pt;width:9.6pt;height:13.05pt;z-index:-175312;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4</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3" type="#_x0000_t202" style="position:absolute;margin-left:532.6pt;margin-top:706.4pt;width:9.6pt;height:13.05pt;z-index:-175288;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5</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2" type="#_x0000_t202" style="position:absolute;margin-left:532.6pt;margin-top:706.4pt;width:9.6pt;height:13.05pt;z-index:-175264;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6</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1" type="#_x0000_t202" style="position:absolute;margin-left:532.6pt;margin-top:706.4pt;width:9.6pt;height:13.05pt;z-index:-175240;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7</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0" type="#_x0000_t202" style="position:absolute;margin-left:532.6pt;margin-top:706.4pt;width:9.6pt;height:13.05pt;z-index:-175216;mso-position-horizontal-relative:page;mso-position-vertical-relative:page" filled="f" stroked="f">
          <v:textbox inset="0,0,0,0">
            <w:txbxContent>
              <w:p w:rsidR="003B2FC0" w:rsidRDefault="003B2FC0">
                <w:pPr>
                  <w:spacing w:line="245" w:lineRule="exact"/>
                  <w:ind w:left="40"/>
                  <w:rPr>
                    <w:rFonts w:ascii="Calibri"/>
                  </w:rPr>
                </w:pPr>
                <w:r>
                  <w:fldChar w:fldCharType="begin"/>
                </w:r>
                <w:r w:rsidR="00052A49">
                  <w:rPr>
                    <w:rFonts w:ascii="Calibri"/>
                  </w:rPr>
                  <w:instrText xml:space="preserve"> PAGE </w:instrText>
                </w:r>
                <w:r>
                  <w:fldChar w:fldCharType="separate"/>
                </w:r>
                <w:r w:rsidR="00052A49">
                  <w:t>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A49" w:rsidRDefault="00052A49" w:rsidP="003B2FC0">
      <w:r>
        <w:separator/>
      </w:r>
    </w:p>
  </w:footnote>
  <w:footnote w:type="continuationSeparator" w:id="1">
    <w:p w:rsidR="00052A49" w:rsidRDefault="00052A49" w:rsidP="003B2F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85" type="#_x0000_t202" style="position:absolute;margin-left:289.65pt;margin-top:26.7pt;width:16pt;height:15.3pt;z-index:-17773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rPr>
                    <w:rFonts w:ascii="Times New Roman"/>
                    <w:noProof/>
                    <w:sz w:val="24"/>
                  </w:rPr>
                  <w:t>1</w:t>
                </w:r>
                <w: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0" type="#_x0000_t202" style="position:absolute;margin-left:289.65pt;margin-top:26.7pt;width:16pt;height:15.3pt;z-index:-17737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16</w:t>
                </w:r>
                <w: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69" type="#_x0000_t202" style="position:absolute;margin-left:289.65pt;margin-top:26.7pt;width:16pt;height:15.3pt;z-index:-17735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17</w:t>
                </w:r>
                <w: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68" type="#_x0000_t202" style="position:absolute;margin-left:289.65pt;margin-top:26.7pt;width:16pt;height:15.3pt;z-index:-17732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18</w:t>
                </w:r>
                <w: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67" type="#_x0000_t202" style="position:absolute;margin-left:289.65pt;margin-top:26.7pt;width:16pt;height:15.3pt;z-index:-17730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19</w:t>
                </w:r>
                <w: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66" type="#_x0000_t202" style="position:absolute;margin-left:289.65pt;margin-top:26.7pt;width:16pt;height:15.3pt;z-index:-17728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20</w:t>
                </w:r>
                <w: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65" type="#_x0000_t202" style="position:absolute;margin-left:289.65pt;margin-top:26.7pt;width:16pt;height:15.3pt;z-index:-17725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21</w:t>
                </w:r>
                <w: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09" type="#_x0000_t202" style="position:absolute;margin-left:491.1pt;margin-top:34.4pt;width:34.6pt;height:14.7pt;z-index:-173512;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A</w:t>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08" type="#_x0000_t202" style="position:absolute;margin-left:491.1pt;margin-top:34.4pt;width:34.6pt;height:14.7pt;z-index:-173488;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B</w:t>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07" type="#_x0000_t202" style="position:absolute;margin-left:490.6pt;margin-top:34.4pt;width:35.1pt;height:14.7pt;z-index:-173464;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C</w:t>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06" type="#_x0000_t202" style="position:absolute;margin-left:490.6pt;margin-top:34.4pt;width:35.1pt;height:14.7pt;z-index:-173440;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D</w:t>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05" type="#_x0000_t202" style="position:absolute;margin-left:491.1pt;margin-top:34.4pt;width:34.6pt;height:14.7pt;z-index:-173416;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E</w:t>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83" type="#_x0000_t202" style="position:absolute;margin-left:491.6pt;margin-top:34.4pt;width:34.1pt;height:14.7pt;z-index:-172888;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F</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8" type="#_x0000_t202" style="position:absolute;margin-left:289.65pt;margin-top:26.7pt;width:16pt;height:15.3pt;z-index:-17708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25</w:t>
                </w:r>
                <w: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66" type="#_x0000_t202" style="position:absolute;margin-left:490pt;margin-top:34.4pt;width:35.6pt;height:14.7pt;z-index:-172480;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G</w:t>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64" type="#_x0000_t202" style="position:absolute;margin-left:490.6pt;margin-top:34.4pt;width:35.1pt;height:14.7pt;z-index:-172432;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H</w:t>
                </w:r>
              </w:p>
            </w:txbxContent>
          </v:textbox>
          <w10:wrap anchorx="page" anchory="pag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58" type="#_x0000_t202" style="position:absolute;margin-left:494.6pt;margin-top:34.4pt;width:31.05pt;height:14.7pt;z-index:-172288;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I</w:t>
                </w:r>
              </w:p>
            </w:txbxContent>
          </v:textbox>
          <w10:wrap anchorx="page" anchory="pag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7" type="#_x0000_t202" style="position:absolute;margin-left:492.55pt;margin-top:34.4pt;width:33.05pt;height:14.7pt;z-index:-171784;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J</w:t>
                </w:r>
              </w:p>
            </w:txbxContent>
          </v:textbox>
          <w10:wrap anchorx="page" anchory="page"/>
        </v:shape>
      </w:pic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5" type="#_x0000_t202" style="position:absolute;margin-left:491.1pt;margin-top:34.4pt;width:34.6pt;height:14.7pt;z-index:-171736;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K</w:t>
                </w:r>
              </w:p>
            </w:txbxContent>
          </v:textbox>
          <w10:wrap anchorx="page" anchory="pag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30" type="#_x0000_t202" style="position:absolute;margin-left:492.05pt;margin-top:34.4pt;width:33.6pt;height:14.7pt;z-index:-171616;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L</w:t>
                </w:r>
              </w:p>
            </w:txbxContent>
          </v:textbox>
          <w10:wrap anchorx="page" anchory="pag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9" type="#_x0000_t202" style="position:absolute;margin-left:489.55pt;margin-top:34.4pt;width:36.1pt;height:14.7pt;z-index:-171592;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M</w:t>
                </w:r>
              </w:p>
            </w:txbxContent>
          </v:textbox>
          <w10:wrap anchorx="page" anchory="page"/>
        </v:shape>
      </w:pic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127" type="#_x0000_t202" style="position:absolute;margin-left:490.5pt;margin-top:34.4pt;width:35.1pt;height:14.7pt;z-index:-171544;mso-position-horizontal-relative:page;mso-position-vertical-relative:page" filled="f" stroked="f">
          <v:textbox inset="0,0,0,0">
            <w:txbxContent>
              <w:p w:rsidR="003B2FC0" w:rsidRDefault="00052A49">
                <w:pPr>
                  <w:spacing w:before="20"/>
                  <w:ind w:left="20"/>
                  <w:rPr>
                    <w:rFonts w:ascii="Arial Narrow"/>
                  </w:rPr>
                </w:pPr>
                <w:r>
                  <w:rPr>
                    <w:rFonts w:ascii="Arial Narrow"/>
                  </w:rPr>
                  <w:t>PART N</w:t>
                </w:r>
              </w:p>
            </w:txbxContent>
          </v:textbox>
          <w10:wrap anchorx="page" anchory="pag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7" type="#_x0000_t202" style="position:absolute;margin-left:289.65pt;margin-top:26.7pt;width:16pt;height:15.3pt;z-index:-17706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26</w:t>
                </w:r>
                <w:r>
                  <w:fldChar w:fldCharType="end"/>
                </w:r>
              </w:p>
            </w:txbxContent>
          </v:textbox>
          <w10:wrap anchorx="page" anchory="pag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6" type="#_x0000_t202" style="position:absolute;margin-left:289.65pt;margin-top:26.7pt;width:16pt;height:15.3pt;z-index:-17704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27</w:t>
                </w:r>
                <w:r>
                  <w:fldChar w:fldCharType="end"/>
                </w:r>
              </w:p>
            </w:txbxContent>
          </v:textbox>
          <w10:wrap anchorx="page" anchory="page"/>
        </v:shape>
      </w:pic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5" type="#_x0000_t202" style="position:absolute;margin-left:289.65pt;margin-top:26.7pt;width:16pt;height:15.3pt;z-index:-17701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28</w:t>
                </w:r>
                <w:r>
                  <w:fldChar w:fldCharType="end"/>
                </w:r>
              </w:p>
            </w:txbxContent>
          </v:textbox>
          <w10:wrap anchorx="page" anchory="page"/>
        </v:shape>
      </w:pic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8" type="#_x0000_t202" style="position:absolute;margin-left:292.65pt;margin-top:26.7pt;width:10pt;height:15.3pt;z-index:-17756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C81D28">
                  <w:rPr>
                    <w:rFonts w:ascii="Times New Roman"/>
                    <w:noProof/>
                    <w:sz w:val="24"/>
                  </w:rPr>
                  <w:t>8</w:t>
                </w:r>
                <w: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4" type="#_x0000_t202" style="position:absolute;margin-left:289.65pt;margin-top:26.7pt;width:16pt;height:15.3pt;z-index:-17699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29</w:t>
                </w:r>
                <w:r>
                  <w:fldChar w:fldCharType="end"/>
                </w:r>
              </w:p>
            </w:txbxContent>
          </v:textbox>
          <w10:wrap anchorx="page" anchory="page"/>
        </v:shape>
      </w:pic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3" type="#_x0000_t202" style="position:absolute;margin-left:289.65pt;margin-top:26.7pt;width:16pt;height:15.3pt;z-index:-17696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30</w:t>
                </w:r>
                <w:r>
                  <w:fldChar w:fldCharType="end"/>
                </w:r>
              </w:p>
            </w:txbxContent>
          </v:textbox>
          <w10:wrap anchorx="page" anchory="page"/>
        </v:shape>
      </w:pic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2" type="#_x0000_t202" style="position:absolute;margin-left:289.65pt;margin-top:26.7pt;width:16pt;height:15.3pt;z-index:-17694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31</w:t>
                </w:r>
                <w:r>
                  <w:fldChar w:fldCharType="end"/>
                </w:r>
              </w:p>
            </w:txbxContent>
          </v:textbox>
          <w10:wrap anchorx="page" anchory="page"/>
        </v:shape>
      </w:pic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1" type="#_x0000_t202" style="position:absolute;margin-left:289.65pt;margin-top:26.7pt;width:16pt;height:15.3pt;z-index:-17692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32</w:t>
                </w:r>
                <w:r>
                  <w:fldChar w:fldCharType="end"/>
                </w:r>
              </w:p>
            </w:txbxContent>
          </v:textbox>
          <w10:wrap anchorx="page" anchory="page"/>
        </v:shape>
      </w:pic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50" type="#_x0000_t202" style="position:absolute;margin-left:289.65pt;margin-top:26.7pt;width:16pt;height:15.3pt;z-index:-17689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33</w:t>
                </w:r>
                <w:r>
                  <w:fldChar w:fldCharType="end"/>
                </w:r>
              </w:p>
            </w:txbxContent>
          </v:textbox>
          <w10:wrap anchorx="page" anchory="page"/>
        </v:shape>
      </w:pic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9" type="#_x0000_t202" style="position:absolute;margin-left:289.65pt;margin-top:26.7pt;width:16pt;height:15.3pt;z-index:-17687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34</w:t>
                </w:r>
                <w: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8" type="#_x0000_t202" style="position:absolute;margin-left:289.65pt;margin-top:26.7pt;width:16pt;height:15.3pt;z-index:-17684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35</w:t>
                </w:r>
                <w: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7" type="#_x0000_t202" style="position:absolute;margin-left:289.65pt;margin-top:26.7pt;width:16pt;height:15.3pt;z-index:-17682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36</w:t>
                </w:r>
                <w: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6" type="#_x0000_t202" style="position:absolute;margin-left:289.65pt;margin-top:26.7pt;width:16pt;height:15.3pt;z-index:-17680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37</w:t>
                </w:r>
                <w: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5" type="#_x0000_t202" style="position:absolute;margin-left:289.65pt;margin-top:26.7pt;width:16pt;height:15.3pt;z-index:-17677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38</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7" type="#_x0000_t202" style="position:absolute;margin-left:292.65pt;margin-top:26.7pt;width:10pt;height:15.3pt;z-index:-17754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C81D28">
                  <w:rPr>
                    <w:rFonts w:ascii="Times New Roman"/>
                    <w:noProof/>
                    <w:sz w:val="24"/>
                  </w:rPr>
                  <w:t>9</w:t>
                </w:r>
                <w: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4" type="#_x0000_t202" style="position:absolute;margin-left:289.65pt;margin-top:26.7pt;width:16pt;height:15.3pt;z-index:-17675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39</w:t>
                </w:r>
                <w: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3" type="#_x0000_t202" style="position:absolute;margin-left:289.65pt;margin-top:26.7pt;width:16pt;height:15.3pt;z-index:-17672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40</w:t>
                </w:r>
                <w: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2" type="#_x0000_t202" style="position:absolute;margin-left:289.65pt;margin-top:26.7pt;width:16pt;height:15.3pt;z-index:-17670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41</w:t>
                </w:r>
                <w: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41" type="#_x0000_t202" style="position:absolute;margin-left:289.65pt;margin-top:26.7pt;width:16pt;height:15.3pt;z-index:-17668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42</w:t>
                </w:r>
                <w: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7" type="#_x0000_t202" style="position:absolute;margin-left:289.65pt;margin-top:26.7pt;width:16pt;height:15.3pt;z-index:-17658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46</w:t>
                </w:r>
                <w: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6" type="#_x0000_t202" style="position:absolute;margin-left:289.65pt;margin-top:26.7pt;width:16pt;height:15.3pt;z-index:-17656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47</w:t>
                </w:r>
                <w: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5" type="#_x0000_t202" style="position:absolute;margin-left:289.65pt;margin-top:26.7pt;width:16pt;height:15.3pt;z-index:-17653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48</w:t>
                </w:r>
                <w: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4" type="#_x0000_t202" style="position:absolute;margin-left:289.65pt;margin-top:26.7pt;width:16pt;height:15.3pt;z-index:-17651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49</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3" type="#_x0000_t202" style="position:absolute;margin-left:289.65pt;margin-top:26.7pt;width:16pt;height:15.3pt;z-index:-17648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50</w:t>
                </w:r>
                <w: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2" type="#_x0000_t202" style="position:absolute;margin-left:289.65pt;margin-top:26.7pt;width:16pt;height:15.3pt;z-index:-17646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51</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6" type="#_x0000_t202" style="position:absolute;margin-left:289.65pt;margin-top:26.7pt;width:16pt;height:15.3pt;z-index:-17752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10</w:t>
                </w:r>
                <w: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1" type="#_x0000_t202" style="position:absolute;margin-left:289.65pt;margin-top:26.7pt;width:16pt;height:15.3pt;z-index:-17644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52</w:t>
                </w:r>
                <w: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30" type="#_x0000_t202" style="position:absolute;margin-left:289.65pt;margin-top:26.7pt;width:16pt;height:15.3pt;z-index:-17641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53</w:t>
                </w:r>
                <w: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9" type="#_x0000_t202" style="position:absolute;margin-left:289.65pt;margin-top:26.7pt;width:16pt;height:15.3pt;z-index:-17639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54</w:t>
                </w:r>
                <w: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8" type="#_x0000_t202" style="position:absolute;margin-left:289.65pt;margin-top:26.7pt;width:16pt;height:15.3pt;z-index:-17636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55</w:t>
                </w:r>
                <w: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7" type="#_x0000_t202" style="position:absolute;margin-left:289.65pt;margin-top:26.7pt;width:16pt;height:15.3pt;z-index:-17634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56</w:t>
                </w:r>
                <w: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6" type="#_x0000_t202" style="position:absolute;margin-left:289.65pt;margin-top:26.7pt;width:16pt;height:15.3pt;z-index:-17632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57</w:t>
                </w:r>
                <w: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5" type="#_x0000_t202" style="position:absolute;margin-left:289.65pt;margin-top:26.7pt;width:16pt;height:15.3pt;z-index:-17629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58</w:t>
                </w:r>
                <w: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4" type="#_x0000_t202" style="position:absolute;margin-left:289.65pt;margin-top:26.7pt;width:16pt;height:15.3pt;z-index:-17627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59</w:t>
                </w:r>
                <w: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3" type="#_x0000_t202" style="position:absolute;margin-left:289.65pt;margin-top:26.7pt;width:16pt;height:15.3pt;z-index:-17624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60</w:t>
                </w:r>
                <w: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2" type="#_x0000_t202" style="position:absolute;margin-left:289.65pt;margin-top:26.7pt;width:16pt;height:15.3pt;z-index:-17622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61</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5" type="#_x0000_t202" style="position:absolute;margin-left:289.65pt;margin-top:26.7pt;width:16pt;height:15.3pt;z-index:-17749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11</w:t>
                </w:r>
                <w: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1" type="#_x0000_t202" style="position:absolute;margin-left:289.65pt;margin-top:26.7pt;width:16pt;height:15.3pt;z-index:-17620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62</w:t>
                </w:r>
                <w: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20" type="#_x0000_t202" style="position:absolute;margin-left:289.65pt;margin-top:26.7pt;width:16pt;height:15.3pt;z-index:-17617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63</w:t>
                </w:r>
                <w: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9" type="#_x0000_t202" style="position:absolute;margin-left:289.65pt;margin-top:26.7pt;width:16pt;height:15.3pt;z-index:-17615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64</w:t>
                </w:r>
                <w: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8" type="#_x0000_t202" style="position:absolute;margin-left:289.65pt;margin-top:26.7pt;width:16pt;height:15.3pt;z-index:-17612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65</w:t>
                </w:r>
                <w: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7" type="#_x0000_t202" style="position:absolute;margin-left:289.65pt;margin-top:26.7pt;width:16pt;height:15.3pt;z-index:-17610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66</w:t>
                </w:r>
                <w: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6" type="#_x0000_t202" style="position:absolute;margin-left:289.65pt;margin-top:26.7pt;width:16pt;height:15.3pt;z-index:-17608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67</w:t>
                </w:r>
                <w: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5" type="#_x0000_t202" style="position:absolute;margin-left:289.65pt;margin-top:26.7pt;width:16pt;height:15.3pt;z-index:-17605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68</w:t>
                </w:r>
                <w: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4" type="#_x0000_t202" style="position:absolute;margin-left:289.65pt;margin-top:26.7pt;width:16pt;height:15.3pt;z-index:-17603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69</w:t>
                </w:r>
                <w: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3" type="#_x0000_t202" style="position:absolute;margin-left:289.65pt;margin-top:26.7pt;width:16pt;height:15.3pt;z-index:-17600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70</w:t>
                </w:r>
                <w: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12" type="#_x0000_t202" style="position:absolute;margin-left:289.65pt;margin-top:26.7pt;width:16pt;height:15.3pt;z-index:-17598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71</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4" type="#_x0000_t202" style="position:absolute;margin-left:289.65pt;margin-top:26.7pt;width:16pt;height:15.3pt;z-index:-17747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12</w:t>
                </w:r>
                <w: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7" type="#_x0000_t202" style="position:absolute;margin-left:289.65pt;margin-top:26.7pt;width:16pt;height:15.3pt;z-index:-17586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77</w:t>
                </w:r>
                <w: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6" type="#_x0000_t202" style="position:absolute;margin-left:289.65pt;margin-top:26.7pt;width:16pt;height:15.3pt;z-index:-17584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78</w:t>
                </w:r>
                <w: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5" type="#_x0000_t202" style="position:absolute;margin-left:289.65pt;margin-top:26.7pt;width:16pt;height:15.3pt;z-index:-17581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79</w:t>
                </w:r>
                <w: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4" type="#_x0000_t202" style="position:absolute;margin-left:289.65pt;margin-top:26.7pt;width:16pt;height:15.3pt;z-index:-17579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80</w:t>
                </w:r>
                <w: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3" type="#_x0000_t202" style="position:absolute;margin-left:289.65pt;margin-top:26.7pt;width:16pt;height:15.3pt;z-index:-17576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81</w:t>
                </w:r>
                <w: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2" type="#_x0000_t202" style="position:absolute;margin-left:289.65pt;margin-top:26.7pt;width:16pt;height:15.3pt;z-index:-17574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82</w:t>
                </w:r>
                <w: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1" type="#_x0000_t202" style="position:absolute;margin-left:289.65pt;margin-top:26.7pt;width:16pt;height:15.3pt;z-index:-17572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83</w:t>
                </w:r>
                <w: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00" type="#_x0000_t202" style="position:absolute;margin-left:289.65pt;margin-top:26.7pt;width:16pt;height:15.3pt;z-index:-17569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84</w:t>
                </w:r>
                <w: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99" type="#_x0000_t202" style="position:absolute;margin-left:289.65pt;margin-top:26.7pt;width:16pt;height:15.3pt;z-index:-17567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85</w:t>
                </w:r>
                <w: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98" type="#_x0000_t202" style="position:absolute;margin-left:289.65pt;margin-top:26.7pt;width:16pt;height:15.3pt;z-index:-17564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86</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3" type="#_x0000_t202" style="position:absolute;margin-left:289.65pt;margin-top:26.7pt;width:16pt;height:15.3pt;z-index:-17744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13</w:t>
                </w:r>
                <w: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97" type="#_x0000_t202" style="position:absolute;margin-left:289.65pt;margin-top:26.7pt;width:16pt;height:15.3pt;z-index:-17562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87</w:t>
                </w:r>
                <w: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92" type="#_x0000_t202" style="position:absolute;margin-left:289.65pt;margin-top:26.7pt;width:16pt;height:15.3pt;z-index:-17550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91</w:t>
                </w:r>
                <w: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91" type="#_x0000_t202" style="position:absolute;margin-left:289.65pt;margin-top:26.7pt;width:16pt;height:15.3pt;z-index:-17548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92</w:t>
                </w:r>
                <w: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90" type="#_x0000_t202" style="position:absolute;margin-left:289.65pt;margin-top:26.7pt;width:16pt;height:15.3pt;z-index:-175456;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93</w:t>
                </w:r>
                <w: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9" type="#_x0000_t202" style="position:absolute;margin-left:289.65pt;margin-top:26.7pt;width:16pt;height:15.3pt;z-index:-175432;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94</w:t>
                </w:r>
                <w: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288" type="#_x0000_t202" style="position:absolute;margin-left:289.65pt;margin-top:26.7pt;width:16pt;height:15.3pt;z-index:-175408;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95</w:t>
                </w:r>
                <w: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2" type="#_x0000_t202" style="position:absolute;margin-left:289.65pt;margin-top:26.7pt;width:16pt;height:15.3pt;z-index:-177424;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14</w:t>
                </w:r>
                <w: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0"/>
      </w:rPr>
    </w:pPr>
    <w:r w:rsidRPr="003B2FC0">
      <w:pict>
        <v:shapetype id="_x0000_t202" coordsize="21600,21600" o:spt="202" path="m,l,21600r21600,l21600,xe">
          <v:stroke joinstyle="miter"/>
          <v:path gradientshapeok="t" o:connecttype="rect"/>
        </v:shapetype>
        <v:shape id="_x0000_s2371" type="#_x0000_t202" style="position:absolute;margin-left:289.65pt;margin-top:26.7pt;width:16pt;height:15.3pt;z-index:-177400;mso-position-horizontal-relative:page;mso-position-vertical-relative:page" filled="f" stroked="f">
          <v:textbox inset="0,0,0,0">
            <w:txbxContent>
              <w:p w:rsidR="003B2FC0" w:rsidRDefault="003B2FC0">
                <w:pPr>
                  <w:spacing w:before="10"/>
                  <w:ind w:left="40"/>
                  <w:rPr>
                    <w:rFonts w:ascii="Times New Roman"/>
                    <w:sz w:val="24"/>
                  </w:rPr>
                </w:pPr>
                <w:r>
                  <w:fldChar w:fldCharType="begin"/>
                </w:r>
                <w:r w:rsidR="00052A49">
                  <w:rPr>
                    <w:rFonts w:ascii="Times New Roman"/>
                    <w:sz w:val="24"/>
                  </w:rPr>
                  <w:instrText xml:space="preserve"> PAGE </w:instrText>
                </w:r>
                <w:r>
                  <w:fldChar w:fldCharType="separate"/>
                </w:r>
                <w:r w:rsidR="00052A49">
                  <w:t>15</w:t>
                </w:r>
                <w: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FC0" w:rsidRDefault="003B2FC0">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49A9"/>
    <w:multiLevelType w:val="hybridMultilevel"/>
    <w:tmpl w:val="5CD86718"/>
    <w:lvl w:ilvl="0" w:tplc="7FAAFD70">
      <w:start w:val="1"/>
      <w:numFmt w:val="decimal"/>
      <w:lvlText w:val="%1."/>
      <w:lvlJc w:val="left"/>
      <w:pPr>
        <w:ind w:left="542" w:hanging="284"/>
        <w:jc w:val="right"/>
      </w:pPr>
      <w:rPr>
        <w:rFonts w:ascii="Bookman Old Style" w:eastAsia="Bookman Old Style" w:hAnsi="Bookman Old Style" w:cs="Bookman Old Style" w:hint="default"/>
        <w:spacing w:val="-1"/>
        <w:w w:val="100"/>
        <w:sz w:val="24"/>
        <w:szCs w:val="24"/>
        <w:lang w:val="en-US" w:eastAsia="en-US" w:bidi="en-US"/>
      </w:rPr>
    </w:lvl>
    <w:lvl w:ilvl="1" w:tplc="64FA30A8">
      <w:start w:val="1"/>
      <w:numFmt w:val="lowerRoman"/>
      <w:lvlText w:val="(%2)"/>
      <w:lvlJc w:val="left"/>
      <w:pPr>
        <w:ind w:left="1262" w:hanging="720"/>
        <w:jc w:val="left"/>
      </w:pPr>
      <w:rPr>
        <w:rFonts w:ascii="Bookman Old Style" w:eastAsia="Bookman Old Style" w:hAnsi="Bookman Old Style" w:cs="Bookman Old Style" w:hint="default"/>
        <w:spacing w:val="-34"/>
        <w:w w:val="100"/>
        <w:sz w:val="24"/>
        <w:szCs w:val="24"/>
        <w:lang w:val="en-US" w:eastAsia="en-US" w:bidi="en-US"/>
      </w:rPr>
    </w:lvl>
    <w:lvl w:ilvl="2" w:tplc="EB5823F4">
      <w:numFmt w:val="bullet"/>
      <w:lvlText w:val=""/>
      <w:lvlJc w:val="left"/>
      <w:pPr>
        <w:ind w:left="1677" w:hanging="425"/>
      </w:pPr>
      <w:rPr>
        <w:rFonts w:ascii="Symbol" w:eastAsia="Symbol" w:hAnsi="Symbol" w:cs="Symbol" w:hint="default"/>
        <w:w w:val="100"/>
        <w:sz w:val="24"/>
        <w:szCs w:val="24"/>
        <w:lang w:val="en-US" w:eastAsia="en-US" w:bidi="en-US"/>
      </w:rPr>
    </w:lvl>
    <w:lvl w:ilvl="3" w:tplc="9074202C">
      <w:numFmt w:val="bullet"/>
      <w:lvlText w:val="•"/>
      <w:lvlJc w:val="left"/>
      <w:pPr>
        <w:ind w:left="1960" w:hanging="425"/>
      </w:pPr>
      <w:rPr>
        <w:rFonts w:hint="default"/>
        <w:lang w:val="en-US" w:eastAsia="en-US" w:bidi="en-US"/>
      </w:rPr>
    </w:lvl>
    <w:lvl w:ilvl="4" w:tplc="AEF81312">
      <w:numFmt w:val="bullet"/>
      <w:lvlText w:val="•"/>
      <w:lvlJc w:val="left"/>
      <w:pPr>
        <w:ind w:left="2240" w:hanging="425"/>
      </w:pPr>
      <w:rPr>
        <w:rFonts w:hint="default"/>
        <w:lang w:val="en-US" w:eastAsia="en-US" w:bidi="en-US"/>
      </w:rPr>
    </w:lvl>
    <w:lvl w:ilvl="5" w:tplc="EF4A7D52">
      <w:numFmt w:val="bullet"/>
      <w:lvlText w:val="•"/>
      <w:lvlJc w:val="left"/>
      <w:pPr>
        <w:ind w:left="3514" w:hanging="425"/>
      </w:pPr>
      <w:rPr>
        <w:rFonts w:hint="default"/>
        <w:lang w:val="en-US" w:eastAsia="en-US" w:bidi="en-US"/>
      </w:rPr>
    </w:lvl>
    <w:lvl w:ilvl="6" w:tplc="4942BA3A">
      <w:numFmt w:val="bullet"/>
      <w:lvlText w:val="•"/>
      <w:lvlJc w:val="left"/>
      <w:pPr>
        <w:ind w:left="4788" w:hanging="425"/>
      </w:pPr>
      <w:rPr>
        <w:rFonts w:hint="default"/>
        <w:lang w:val="en-US" w:eastAsia="en-US" w:bidi="en-US"/>
      </w:rPr>
    </w:lvl>
    <w:lvl w:ilvl="7" w:tplc="E0B8A1C0">
      <w:numFmt w:val="bullet"/>
      <w:lvlText w:val="•"/>
      <w:lvlJc w:val="left"/>
      <w:pPr>
        <w:ind w:left="6063" w:hanging="425"/>
      </w:pPr>
      <w:rPr>
        <w:rFonts w:hint="default"/>
        <w:lang w:val="en-US" w:eastAsia="en-US" w:bidi="en-US"/>
      </w:rPr>
    </w:lvl>
    <w:lvl w:ilvl="8" w:tplc="B67AEBE4">
      <w:numFmt w:val="bullet"/>
      <w:lvlText w:val="•"/>
      <w:lvlJc w:val="left"/>
      <w:pPr>
        <w:ind w:left="7337" w:hanging="425"/>
      </w:pPr>
      <w:rPr>
        <w:rFonts w:hint="default"/>
        <w:lang w:val="en-US" w:eastAsia="en-US" w:bidi="en-US"/>
      </w:rPr>
    </w:lvl>
  </w:abstractNum>
  <w:abstractNum w:abstractNumId="1">
    <w:nsid w:val="034A5BC1"/>
    <w:multiLevelType w:val="hybridMultilevel"/>
    <w:tmpl w:val="24CE4FD6"/>
    <w:lvl w:ilvl="0" w:tplc="54409428">
      <w:start w:val="12"/>
      <w:numFmt w:val="decimal"/>
      <w:lvlText w:val="%1"/>
      <w:lvlJc w:val="left"/>
      <w:pPr>
        <w:ind w:left="1252" w:hanging="852"/>
        <w:jc w:val="left"/>
      </w:pPr>
      <w:rPr>
        <w:rFonts w:hint="default"/>
        <w:lang w:val="en-US" w:eastAsia="en-US" w:bidi="en-US"/>
      </w:rPr>
    </w:lvl>
    <w:lvl w:ilvl="1" w:tplc="6774470C">
      <w:numFmt w:val="none"/>
      <w:lvlText w:val=""/>
      <w:lvlJc w:val="left"/>
      <w:pPr>
        <w:tabs>
          <w:tab w:val="num" w:pos="360"/>
        </w:tabs>
      </w:pPr>
    </w:lvl>
    <w:lvl w:ilvl="2" w:tplc="2AF8F644">
      <w:start w:val="1"/>
      <w:numFmt w:val="lowerRoman"/>
      <w:lvlText w:val="%3."/>
      <w:lvlJc w:val="left"/>
      <w:pPr>
        <w:ind w:left="1677" w:hanging="291"/>
        <w:jc w:val="right"/>
      </w:pPr>
      <w:rPr>
        <w:rFonts w:ascii="Bookman Old Style" w:eastAsia="Bookman Old Style" w:hAnsi="Bookman Old Style" w:cs="Bookman Old Style" w:hint="default"/>
        <w:spacing w:val="-37"/>
        <w:w w:val="100"/>
        <w:sz w:val="24"/>
        <w:szCs w:val="24"/>
        <w:lang w:val="en-US" w:eastAsia="en-US" w:bidi="en-US"/>
      </w:rPr>
    </w:lvl>
    <w:lvl w:ilvl="3" w:tplc="30DE372E">
      <w:numFmt w:val="bullet"/>
      <w:lvlText w:val="•"/>
      <w:lvlJc w:val="left"/>
      <w:pPr>
        <w:ind w:left="3503" w:hanging="291"/>
      </w:pPr>
      <w:rPr>
        <w:rFonts w:hint="default"/>
        <w:lang w:val="en-US" w:eastAsia="en-US" w:bidi="en-US"/>
      </w:rPr>
    </w:lvl>
    <w:lvl w:ilvl="4" w:tplc="53486600">
      <w:numFmt w:val="bullet"/>
      <w:lvlText w:val="•"/>
      <w:lvlJc w:val="left"/>
      <w:pPr>
        <w:ind w:left="4415" w:hanging="291"/>
      </w:pPr>
      <w:rPr>
        <w:rFonts w:hint="default"/>
        <w:lang w:val="en-US" w:eastAsia="en-US" w:bidi="en-US"/>
      </w:rPr>
    </w:lvl>
    <w:lvl w:ilvl="5" w:tplc="79702914">
      <w:numFmt w:val="bullet"/>
      <w:lvlText w:val="•"/>
      <w:lvlJc w:val="left"/>
      <w:pPr>
        <w:ind w:left="5327" w:hanging="291"/>
      </w:pPr>
      <w:rPr>
        <w:rFonts w:hint="default"/>
        <w:lang w:val="en-US" w:eastAsia="en-US" w:bidi="en-US"/>
      </w:rPr>
    </w:lvl>
    <w:lvl w:ilvl="6" w:tplc="3A842CDE">
      <w:numFmt w:val="bullet"/>
      <w:lvlText w:val="•"/>
      <w:lvlJc w:val="left"/>
      <w:pPr>
        <w:ind w:left="6239" w:hanging="291"/>
      </w:pPr>
      <w:rPr>
        <w:rFonts w:hint="default"/>
        <w:lang w:val="en-US" w:eastAsia="en-US" w:bidi="en-US"/>
      </w:rPr>
    </w:lvl>
    <w:lvl w:ilvl="7" w:tplc="A63A9ABE">
      <w:numFmt w:val="bullet"/>
      <w:lvlText w:val="•"/>
      <w:lvlJc w:val="left"/>
      <w:pPr>
        <w:ind w:left="7150" w:hanging="291"/>
      </w:pPr>
      <w:rPr>
        <w:rFonts w:hint="default"/>
        <w:lang w:val="en-US" w:eastAsia="en-US" w:bidi="en-US"/>
      </w:rPr>
    </w:lvl>
    <w:lvl w:ilvl="8" w:tplc="071C2568">
      <w:numFmt w:val="bullet"/>
      <w:lvlText w:val="•"/>
      <w:lvlJc w:val="left"/>
      <w:pPr>
        <w:ind w:left="8062" w:hanging="291"/>
      </w:pPr>
      <w:rPr>
        <w:rFonts w:hint="default"/>
        <w:lang w:val="en-US" w:eastAsia="en-US" w:bidi="en-US"/>
      </w:rPr>
    </w:lvl>
  </w:abstractNum>
  <w:abstractNum w:abstractNumId="2">
    <w:nsid w:val="04393A7C"/>
    <w:multiLevelType w:val="hybridMultilevel"/>
    <w:tmpl w:val="BA6C3132"/>
    <w:lvl w:ilvl="0" w:tplc="ABAA3D28">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731EB7A6">
      <w:numFmt w:val="bullet"/>
      <w:lvlText w:val="•"/>
      <w:lvlJc w:val="left"/>
      <w:pPr>
        <w:ind w:left="1996" w:hanging="720"/>
      </w:pPr>
      <w:rPr>
        <w:rFonts w:hint="default"/>
        <w:lang w:val="en-US" w:eastAsia="en-US" w:bidi="en-US"/>
      </w:rPr>
    </w:lvl>
    <w:lvl w:ilvl="2" w:tplc="10AABB60">
      <w:numFmt w:val="bullet"/>
      <w:lvlText w:val="•"/>
      <w:lvlJc w:val="left"/>
      <w:pPr>
        <w:ind w:left="2873" w:hanging="720"/>
      </w:pPr>
      <w:rPr>
        <w:rFonts w:hint="default"/>
        <w:lang w:val="en-US" w:eastAsia="en-US" w:bidi="en-US"/>
      </w:rPr>
    </w:lvl>
    <w:lvl w:ilvl="3" w:tplc="E10E90A4">
      <w:numFmt w:val="bullet"/>
      <w:lvlText w:val="•"/>
      <w:lvlJc w:val="left"/>
      <w:pPr>
        <w:ind w:left="3749" w:hanging="720"/>
      </w:pPr>
      <w:rPr>
        <w:rFonts w:hint="default"/>
        <w:lang w:val="en-US" w:eastAsia="en-US" w:bidi="en-US"/>
      </w:rPr>
    </w:lvl>
    <w:lvl w:ilvl="4" w:tplc="767A82DA">
      <w:numFmt w:val="bullet"/>
      <w:lvlText w:val="•"/>
      <w:lvlJc w:val="left"/>
      <w:pPr>
        <w:ind w:left="4626" w:hanging="720"/>
      </w:pPr>
      <w:rPr>
        <w:rFonts w:hint="default"/>
        <w:lang w:val="en-US" w:eastAsia="en-US" w:bidi="en-US"/>
      </w:rPr>
    </w:lvl>
    <w:lvl w:ilvl="5" w:tplc="84DA0A6A">
      <w:numFmt w:val="bullet"/>
      <w:lvlText w:val="•"/>
      <w:lvlJc w:val="left"/>
      <w:pPr>
        <w:ind w:left="5503" w:hanging="720"/>
      </w:pPr>
      <w:rPr>
        <w:rFonts w:hint="default"/>
        <w:lang w:val="en-US" w:eastAsia="en-US" w:bidi="en-US"/>
      </w:rPr>
    </w:lvl>
    <w:lvl w:ilvl="6" w:tplc="CD6A066A">
      <w:numFmt w:val="bullet"/>
      <w:lvlText w:val="•"/>
      <w:lvlJc w:val="left"/>
      <w:pPr>
        <w:ind w:left="6379" w:hanging="720"/>
      </w:pPr>
      <w:rPr>
        <w:rFonts w:hint="default"/>
        <w:lang w:val="en-US" w:eastAsia="en-US" w:bidi="en-US"/>
      </w:rPr>
    </w:lvl>
    <w:lvl w:ilvl="7" w:tplc="9470F332">
      <w:numFmt w:val="bullet"/>
      <w:lvlText w:val="•"/>
      <w:lvlJc w:val="left"/>
      <w:pPr>
        <w:ind w:left="7256" w:hanging="720"/>
      </w:pPr>
      <w:rPr>
        <w:rFonts w:hint="default"/>
        <w:lang w:val="en-US" w:eastAsia="en-US" w:bidi="en-US"/>
      </w:rPr>
    </w:lvl>
    <w:lvl w:ilvl="8" w:tplc="67522E66">
      <w:numFmt w:val="bullet"/>
      <w:lvlText w:val="•"/>
      <w:lvlJc w:val="left"/>
      <w:pPr>
        <w:ind w:left="8133" w:hanging="720"/>
      </w:pPr>
      <w:rPr>
        <w:rFonts w:hint="default"/>
        <w:lang w:val="en-US" w:eastAsia="en-US" w:bidi="en-US"/>
      </w:rPr>
    </w:lvl>
  </w:abstractNum>
  <w:abstractNum w:abstractNumId="3">
    <w:nsid w:val="04863689"/>
    <w:multiLevelType w:val="hybridMultilevel"/>
    <w:tmpl w:val="C6FE89A0"/>
    <w:lvl w:ilvl="0" w:tplc="27D67F62">
      <w:start w:val="2"/>
      <w:numFmt w:val="decimal"/>
      <w:lvlText w:val="(%1)"/>
      <w:lvlJc w:val="left"/>
      <w:pPr>
        <w:ind w:left="1840" w:hanging="351"/>
        <w:jc w:val="left"/>
      </w:pPr>
      <w:rPr>
        <w:rFonts w:ascii="Arial" w:eastAsia="Arial" w:hAnsi="Arial" w:cs="Arial" w:hint="default"/>
        <w:spacing w:val="-1"/>
        <w:w w:val="100"/>
        <w:sz w:val="21"/>
        <w:szCs w:val="21"/>
        <w:lang w:val="en-US" w:eastAsia="en-US" w:bidi="en-US"/>
      </w:rPr>
    </w:lvl>
    <w:lvl w:ilvl="1" w:tplc="3F06328E">
      <w:numFmt w:val="bullet"/>
      <w:lvlText w:val="•"/>
      <w:lvlJc w:val="left"/>
      <w:pPr>
        <w:ind w:left="2644" w:hanging="351"/>
      </w:pPr>
      <w:rPr>
        <w:rFonts w:hint="default"/>
        <w:lang w:val="en-US" w:eastAsia="en-US" w:bidi="en-US"/>
      </w:rPr>
    </w:lvl>
    <w:lvl w:ilvl="2" w:tplc="E0603C82">
      <w:numFmt w:val="bullet"/>
      <w:lvlText w:val="•"/>
      <w:lvlJc w:val="left"/>
      <w:pPr>
        <w:ind w:left="3449" w:hanging="351"/>
      </w:pPr>
      <w:rPr>
        <w:rFonts w:hint="default"/>
        <w:lang w:val="en-US" w:eastAsia="en-US" w:bidi="en-US"/>
      </w:rPr>
    </w:lvl>
    <w:lvl w:ilvl="3" w:tplc="D54A04BE">
      <w:numFmt w:val="bullet"/>
      <w:lvlText w:val="•"/>
      <w:lvlJc w:val="left"/>
      <w:pPr>
        <w:ind w:left="4253" w:hanging="351"/>
      </w:pPr>
      <w:rPr>
        <w:rFonts w:hint="default"/>
        <w:lang w:val="en-US" w:eastAsia="en-US" w:bidi="en-US"/>
      </w:rPr>
    </w:lvl>
    <w:lvl w:ilvl="4" w:tplc="30EE63B0">
      <w:numFmt w:val="bullet"/>
      <w:lvlText w:val="•"/>
      <w:lvlJc w:val="left"/>
      <w:pPr>
        <w:ind w:left="5058" w:hanging="351"/>
      </w:pPr>
      <w:rPr>
        <w:rFonts w:hint="default"/>
        <w:lang w:val="en-US" w:eastAsia="en-US" w:bidi="en-US"/>
      </w:rPr>
    </w:lvl>
    <w:lvl w:ilvl="5" w:tplc="BAFAA33E">
      <w:numFmt w:val="bullet"/>
      <w:lvlText w:val="•"/>
      <w:lvlJc w:val="left"/>
      <w:pPr>
        <w:ind w:left="5863" w:hanging="351"/>
      </w:pPr>
      <w:rPr>
        <w:rFonts w:hint="default"/>
        <w:lang w:val="en-US" w:eastAsia="en-US" w:bidi="en-US"/>
      </w:rPr>
    </w:lvl>
    <w:lvl w:ilvl="6" w:tplc="0E345CC0">
      <w:numFmt w:val="bullet"/>
      <w:lvlText w:val="•"/>
      <w:lvlJc w:val="left"/>
      <w:pPr>
        <w:ind w:left="6667" w:hanging="351"/>
      </w:pPr>
      <w:rPr>
        <w:rFonts w:hint="default"/>
        <w:lang w:val="en-US" w:eastAsia="en-US" w:bidi="en-US"/>
      </w:rPr>
    </w:lvl>
    <w:lvl w:ilvl="7" w:tplc="AFD87A82">
      <w:numFmt w:val="bullet"/>
      <w:lvlText w:val="•"/>
      <w:lvlJc w:val="left"/>
      <w:pPr>
        <w:ind w:left="7472" w:hanging="351"/>
      </w:pPr>
      <w:rPr>
        <w:rFonts w:hint="default"/>
        <w:lang w:val="en-US" w:eastAsia="en-US" w:bidi="en-US"/>
      </w:rPr>
    </w:lvl>
    <w:lvl w:ilvl="8" w:tplc="42A4D890">
      <w:numFmt w:val="bullet"/>
      <w:lvlText w:val="•"/>
      <w:lvlJc w:val="left"/>
      <w:pPr>
        <w:ind w:left="8277" w:hanging="351"/>
      </w:pPr>
      <w:rPr>
        <w:rFonts w:hint="default"/>
        <w:lang w:val="en-US" w:eastAsia="en-US" w:bidi="en-US"/>
      </w:rPr>
    </w:lvl>
  </w:abstractNum>
  <w:abstractNum w:abstractNumId="4">
    <w:nsid w:val="05BA6FF5"/>
    <w:multiLevelType w:val="hybridMultilevel"/>
    <w:tmpl w:val="87148BAE"/>
    <w:lvl w:ilvl="0" w:tplc="3C9EF4AA">
      <w:start w:val="13"/>
      <w:numFmt w:val="decimal"/>
      <w:lvlText w:val="%1"/>
      <w:lvlJc w:val="left"/>
      <w:pPr>
        <w:ind w:left="1252" w:hanging="852"/>
        <w:jc w:val="left"/>
      </w:pPr>
      <w:rPr>
        <w:rFonts w:hint="default"/>
        <w:lang w:val="en-US" w:eastAsia="en-US" w:bidi="en-US"/>
      </w:rPr>
    </w:lvl>
    <w:lvl w:ilvl="1" w:tplc="B6CA04F2">
      <w:numFmt w:val="none"/>
      <w:lvlText w:val=""/>
      <w:lvlJc w:val="left"/>
      <w:pPr>
        <w:tabs>
          <w:tab w:val="num" w:pos="360"/>
        </w:tabs>
      </w:pPr>
    </w:lvl>
    <w:lvl w:ilvl="2" w:tplc="2AC29872">
      <w:numFmt w:val="bullet"/>
      <w:lvlText w:val="•"/>
      <w:lvlJc w:val="left"/>
      <w:pPr>
        <w:ind w:left="2985" w:hanging="852"/>
      </w:pPr>
      <w:rPr>
        <w:rFonts w:hint="default"/>
        <w:lang w:val="en-US" w:eastAsia="en-US" w:bidi="en-US"/>
      </w:rPr>
    </w:lvl>
    <w:lvl w:ilvl="3" w:tplc="E82ED972">
      <w:numFmt w:val="bullet"/>
      <w:lvlText w:val="•"/>
      <w:lvlJc w:val="left"/>
      <w:pPr>
        <w:ind w:left="3847" w:hanging="852"/>
      </w:pPr>
      <w:rPr>
        <w:rFonts w:hint="default"/>
        <w:lang w:val="en-US" w:eastAsia="en-US" w:bidi="en-US"/>
      </w:rPr>
    </w:lvl>
    <w:lvl w:ilvl="4" w:tplc="9328089E">
      <w:numFmt w:val="bullet"/>
      <w:lvlText w:val="•"/>
      <w:lvlJc w:val="left"/>
      <w:pPr>
        <w:ind w:left="4710" w:hanging="852"/>
      </w:pPr>
      <w:rPr>
        <w:rFonts w:hint="default"/>
        <w:lang w:val="en-US" w:eastAsia="en-US" w:bidi="en-US"/>
      </w:rPr>
    </w:lvl>
    <w:lvl w:ilvl="5" w:tplc="EAA8C71C">
      <w:numFmt w:val="bullet"/>
      <w:lvlText w:val="•"/>
      <w:lvlJc w:val="left"/>
      <w:pPr>
        <w:ind w:left="5573" w:hanging="852"/>
      </w:pPr>
      <w:rPr>
        <w:rFonts w:hint="default"/>
        <w:lang w:val="en-US" w:eastAsia="en-US" w:bidi="en-US"/>
      </w:rPr>
    </w:lvl>
    <w:lvl w:ilvl="6" w:tplc="3AA2BDD0">
      <w:numFmt w:val="bullet"/>
      <w:lvlText w:val="•"/>
      <w:lvlJc w:val="left"/>
      <w:pPr>
        <w:ind w:left="6435" w:hanging="852"/>
      </w:pPr>
      <w:rPr>
        <w:rFonts w:hint="default"/>
        <w:lang w:val="en-US" w:eastAsia="en-US" w:bidi="en-US"/>
      </w:rPr>
    </w:lvl>
    <w:lvl w:ilvl="7" w:tplc="67C8DCBE">
      <w:numFmt w:val="bullet"/>
      <w:lvlText w:val="•"/>
      <w:lvlJc w:val="left"/>
      <w:pPr>
        <w:ind w:left="7298" w:hanging="852"/>
      </w:pPr>
      <w:rPr>
        <w:rFonts w:hint="default"/>
        <w:lang w:val="en-US" w:eastAsia="en-US" w:bidi="en-US"/>
      </w:rPr>
    </w:lvl>
    <w:lvl w:ilvl="8" w:tplc="E55CC10C">
      <w:numFmt w:val="bullet"/>
      <w:lvlText w:val="•"/>
      <w:lvlJc w:val="left"/>
      <w:pPr>
        <w:ind w:left="8161" w:hanging="852"/>
      </w:pPr>
      <w:rPr>
        <w:rFonts w:hint="default"/>
        <w:lang w:val="en-US" w:eastAsia="en-US" w:bidi="en-US"/>
      </w:rPr>
    </w:lvl>
  </w:abstractNum>
  <w:abstractNum w:abstractNumId="5">
    <w:nsid w:val="09DF6240"/>
    <w:multiLevelType w:val="hybridMultilevel"/>
    <w:tmpl w:val="A238ACC6"/>
    <w:lvl w:ilvl="0" w:tplc="B3569E5A">
      <w:start w:val="7"/>
      <w:numFmt w:val="decimal"/>
      <w:lvlText w:val="%1"/>
      <w:lvlJc w:val="left"/>
      <w:pPr>
        <w:ind w:left="1252" w:hanging="569"/>
        <w:jc w:val="left"/>
      </w:pPr>
      <w:rPr>
        <w:rFonts w:hint="default"/>
        <w:lang w:val="en-US" w:eastAsia="en-US" w:bidi="en-US"/>
      </w:rPr>
    </w:lvl>
    <w:lvl w:ilvl="1" w:tplc="6FE41000">
      <w:numFmt w:val="none"/>
      <w:lvlText w:val=""/>
      <w:lvlJc w:val="left"/>
      <w:pPr>
        <w:tabs>
          <w:tab w:val="num" w:pos="360"/>
        </w:tabs>
      </w:pPr>
    </w:lvl>
    <w:lvl w:ilvl="2" w:tplc="24788E90">
      <w:start w:val="1"/>
      <w:numFmt w:val="lowerRoman"/>
      <w:lvlText w:val="(%3)"/>
      <w:lvlJc w:val="left"/>
      <w:pPr>
        <w:ind w:left="1818" w:hanging="425"/>
        <w:jc w:val="left"/>
      </w:pPr>
      <w:rPr>
        <w:rFonts w:ascii="Bookman Old Style" w:eastAsia="Bookman Old Style" w:hAnsi="Bookman Old Style" w:cs="Bookman Old Style" w:hint="default"/>
        <w:spacing w:val="-34"/>
        <w:w w:val="100"/>
        <w:sz w:val="24"/>
        <w:szCs w:val="24"/>
        <w:lang w:val="en-US" w:eastAsia="en-US" w:bidi="en-US"/>
      </w:rPr>
    </w:lvl>
    <w:lvl w:ilvl="3" w:tplc="AF6A002E">
      <w:numFmt w:val="bullet"/>
      <w:lvlText w:val="•"/>
      <w:lvlJc w:val="left"/>
      <w:pPr>
        <w:ind w:left="3612" w:hanging="425"/>
      </w:pPr>
      <w:rPr>
        <w:rFonts w:hint="default"/>
        <w:lang w:val="en-US" w:eastAsia="en-US" w:bidi="en-US"/>
      </w:rPr>
    </w:lvl>
    <w:lvl w:ilvl="4" w:tplc="29D419B6">
      <w:numFmt w:val="bullet"/>
      <w:lvlText w:val="•"/>
      <w:lvlJc w:val="left"/>
      <w:pPr>
        <w:ind w:left="4508" w:hanging="425"/>
      </w:pPr>
      <w:rPr>
        <w:rFonts w:hint="default"/>
        <w:lang w:val="en-US" w:eastAsia="en-US" w:bidi="en-US"/>
      </w:rPr>
    </w:lvl>
    <w:lvl w:ilvl="5" w:tplc="B4104A50">
      <w:numFmt w:val="bullet"/>
      <w:lvlText w:val="•"/>
      <w:lvlJc w:val="left"/>
      <w:pPr>
        <w:ind w:left="5405" w:hanging="425"/>
      </w:pPr>
      <w:rPr>
        <w:rFonts w:hint="default"/>
        <w:lang w:val="en-US" w:eastAsia="en-US" w:bidi="en-US"/>
      </w:rPr>
    </w:lvl>
    <w:lvl w:ilvl="6" w:tplc="72AA5922">
      <w:numFmt w:val="bullet"/>
      <w:lvlText w:val="•"/>
      <w:lvlJc w:val="left"/>
      <w:pPr>
        <w:ind w:left="6301" w:hanging="425"/>
      </w:pPr>
      <w:rPr>
        <w:rFonts w:hint="default"/>
        <w:lang w:val="en-US" w:eastAsia="en-US" w:bidi="en-US"/>
      </w:rPr>
    </w:lvl>
    <w:lvl w:ilvl="7" w:tplc="C8145668">
      <w:numFmt w:val="bullet"/>
      <w:lvlText w:val="•"/>
      <w:lvlJc w:val="left"/>
      <w:pPr>
        <w:ind w:left="7197" w:hanging="425"/>
      </w:pPr>
      <w:rPr>
        <w:rFonts w:hint="default"/>
        <w:lang w:val="en-US" w:eastAsia="en-US" w:bidi="en-US"/>
      </w:rPr>
    </w:lvl>
    <w:lvl w:ilvl="8" w:tplc="63F079F2">
      <w:numFmt w:val="bullet"/>
      <w:lvlText w:val="•"/>
      <w:lvlJc w:val="left"/>
      <w:pPr>
        <w:ind w:left="8093" w:hanging="425"/>
      </w:pPr>
      <w:rPr>
        <w:rFonts w:hint="default"/>
        <w:lang w:val="en-US" w:eastAsia="en-US" w:bidi="en-US"/>
      </w:rPr>
    </w:lvl>
  </w:abstractNum>
  <w:abstractNum w:abstractNumId="6">
    <w:nsid w:val="0AFA5760"/>
    <w:multiLevelType w:val="hybridMultilevel"/>
    <w:tmpl w:val="8A2647AC"/>
    <w:lvl w:ilvl="0" w:tplc="E6365E82">
      <w:start w:val="1"/>
      <w:numFmt w:val="lowerLetter"/>
      <w:lvlText w:val="(%1)"/>
      <w:lvlJc w:val="left"/>
      <w:pPr>
        <w:ind w:left="1940" w:hanging="560"/>
        <w:jc w:val="left"/>
      </w:pPr>
      <w:rPr>
        <w:rFonts w:ascii="Bookman Old Style" w:eastAsia="Bookman Old Style" w:hAnsi="Bookman Old Style" w:cs="Bookman Old Style" w:hint="default"/>
        <w:w w:val="100"/>
        <w:sz w:val="28"/>
        <w:szCs w:val="28"/>
        <w:lang w:val="en-US" w:eastAsia="en-US" w:bidi="en-US"/>
      </w:rPr>
    </w:lvl>
    <w:lvl w:ilvl="1" w:tplc="1BEA374C">
      <w:numFmt w:val="bullet"/>
      <w:lvlText w:val="•"/>
      <w:lvlJc w:val="left"/>
      <w:pPr>
        <w:ind w:left="2726" w:hanging="560"/>
      </w:pPr>
      <w:rPr>
        <w:rFonts w:hint="default"/>
        <w:lang w:val="en-US" w:eastAsia="en-US" w:bidi="en-US"/>
      </w:rPr>
    </w:lvl>
    <w:lvl w:ilvl="2" w:tplc="E95AA8C8">
      <w:numFmt w:val="bullet"/>
      <w:lvlText w:val="•"/>
      <w:lvlJc w:val="left"/>
      <w:pPr>
        <w:ind w:left="3513" w:hanging="560"/>
      </w:pPr>
      <w:rPr>
        <w:rFonts w:hint="default"/>
        <w:lang w:val="en-US" w:eastAsia="en-US" w:bidi="en-US"/>
      </w:rPr>
    </w:lvl>
    <w:lvl w:ilvl="3" w:tplc="78908FB8">
      <w:numFmt w:val="bullet"/>
      <w:lvlText w:val="•"/>
      <w:lvlJc w:val="left"/>
      <w:pPr>
        <w:ind w:left="4299" w:hanging="560"/>
      </w:pPr>
      <w:rPr>
        <w:rFonts w:hint="default"/>
        <w:lang w:val="en-US" w:eastAsia="en-US" w:bidi="en-US"/>
      </w:rPr>
    </w:lvl>
    <w:lvl w:ilvl="4" w:tplc="31B672C8">
      <w:numFmt w:val="bullet"/>
      <w:lvlText w:val="•"/>
      <w:lvlJc w:val="left"/>
      <w:pPr>
        <w:ind w:left="5086" w:hanging="560"/>
      </w:pPr>
      <w:rPr>
        <w:rFonts w:hint="default"/>
        <w:lang w:val="en-US" w:eastAsia="en-US" w:bidi="en-US"/>
      </w:rPr>
    </w:lvl>
    <w:lvl w:ilvl="5" w:tplc="D42AED68">
      <w:numFmt w:val="bullet"/>
      <w:lvlText w:val="•"/>
      <w:lvlJc w:val="left"/>
      <w:pPr>
        <w:ind w:left="5873" w:hanging="560"/>
      </w:pPr>
      <w:rPr>
        <w:rFonts w:hint="default"/>
        <w:lang w:val="en-US" w:eastAsia="en-US" w:bidi="en-US"/>
      </w:rPr>
    </w:lvl>
    <w:lvl w:ilvl="6" w:tplc="48E856B6">
      <w:numFmt w:val="bullet"/>
      <w:lvlText w:val="•"/>
      <w:lvlJc w:val="left"/>
      <w:pPr>
        <w:ind w:left="6659" w:hanging="560"/>
      </w:pPr>
      <w:rPr>
        <w:rFonts w:hint="default"/>
        <w:lang w:val="en-US" w:eastAsia="en-US" w:bidi="en-US"/>
      </w:rPr>
    </w:lvl>
    <w:lvl w:ilvl="7" w:tplc="F5206812">
      <w:numFmt w:val="bullet"/>
      <w:lvlText w:val="•"/>
      <w:lvlJc w:val="left"/>
      <w:pPr>
        <w:ind w:left="7446" w:hanging="560"/>
      </w:pPr>
      <w:rPr>
        <w:rFonts w:hint="default"/>
        <w:lang w:val="en-US" w:eastAsia="en-US" w:bidi="en-US"/>
      </w:rPr>
    </w:lvl>
    <w:lvl w:ilvl="8" w:tplc="E698EE22">
      <w:numFmt w:val="bullet"/>
      <w:lvlText w:val="•"/>
      <w:lvlJc w:val="left"/>
      <w:pPr>
        <w:ind w:left="8233" w:hanging="560"/>
      </w:pPr>
      <w:rPr>
        <w:rFonts w:hint="default"/>
        <w:lang w:val="en-US" w:eastAsia="en-US" w:bidi="en-US"/>
      </w:rPr>
    </w:lvl>
  </w:abstractNum>
  <w:abstractNum w:abstractNumId="7">
    <w:nsid w:val="0D0062E7"/>
    <w:multiLevelType w:val="hybridMultilevel"/>
    <w:tmpl w:val="27F67474"/>
    <w:lvl w:ilvl="0" w:tplc="E528B750">
      <w:start w:val="1"/>
      <w:numFmt w:val="decimal"/>
      <w:lvlText w:val="%1)"/>
      <w:lvlJc w:val="left"/>
      <w:pPr>
        <w:ind w:left="760" w:hanging="360"/>
        <w:jc w:val="left"/>
      </w:pPr>
      <w:rPr>
        <w:rFonts w:ascii="Arial" w:eastAsia="Arial" w:hAnsi="Arial" w:cs="Arial" w:hint="default"/>
        <w:spacing w:val="-1"/>
        <w:w w:val="99"/>
        <w:sz w:val="26"/>
        <w:szCs w:val="26"/>
        <w:lang w:val="en-US" w:eastAsia="en-US" w:bidi="en-US"/>
      </w:rPr>
    </w:lvl>
    <w:lvl w:ilvl="1" w:tplc="16B8FEF2">
      <w:numFmt w:val="bullet"/>
      <w:lvlText w:val="•"/>
      <w:lvlJc w:val="left"/>
      <w:pPr>
        <w:ind w:left="1672" w:hanging="360"/>
      </w:pPr>
      <w:rPr>
        <w:rFonts w:hint="default"/>
        <w:lang w:val="en-US" w:eastAsia="en-US" w:bidi="en-US"/>
      </w:rPr>
    </w:lvl>
    <w:lvl w:ilvl="2" w:tplc="3B5A5D8C">
      <w:numFmt w:val="bullet"/>
      <w:lvlText w:val="•"/>
      <w:lvlJc w:val="left"/>
      <w:pPr>
        <w:ind w:left="2585" w:hanging="360"/>
      </w:pPr>
      <w:rPr>
        <w:rFonts w:hint="default"/>
        <w:lang w:val="en-US" w:eastAsia="en-US" w:bidi="en-US"/>
      </w:rPr>
    </w:lvl>
    <w:lvl w:ilvl="3" w:tplc="4536AC08">
      <w:numFmt w:val="bullet"/>
      <w:lvlText w:val="•"/>
      <w:lvlJc w:val="left"/>
      <w:pPr>
        <w:ind w:left="3497" w:hanging="360"/>
      </w:pPr>
      <w:rPr>
        <w:rFonts w:hint="default"/>
        <w:lang w:val="en-US" w:eastAsia="en-US" w:bidi="en-US"/>
      </w:rPr>
    </w:lvl>
    <w:lvl w:ilvl="4" w:tplc="41F815E6">
      <w:numFmt w:val="bullet"/>
      <w:lvlText w:val="•"/>
      <w:lvlJc w:val="left"/>
      <w:pPr>
        <w:ind w:left="4410" w:hanging="360"/>
      </w:pPr>
      <w:rPr>
        <w:rFonts w:hint="default"/>
        <w:lang w:val="en-US" w:eastAsia="en-US" w:bidi="en-US"/>
      </w:rPr>
    </w:lvl>
    <w:lvl w:ilvl="5" w:tplc="66BC94C2">
      <w:numFmt w:val="bullet"/>
      <w:lvlText w:val="•"/>
      <w:lvlJc w:val="left"/>
      <w:pPr>
        <w:ind w:left="5323" w:hanging="360"/>
      </w:pPr>
      <w:rPr>
        <w:rFonts w:hint="default"/>
        <w:lang w:val="en-US" w:eastAsia="en-US" w:bidi="en-US"/>
      </w:rPr>
    </w:lvl>
    <w:lvl w:ilvl="6" w:tplc="51CC83BA">
      <w:numFmt w:val="bullet"/>
      <w:lvlText w:val="•"/>
      <w:lvlJc w:val="left"/>
      <w:pPr>
        <w:ind w:left="6235" w:hanging="360"/>
      </w:pPr>
      <w:rPr>
        <w:rFonts w:hint="default"/>
        <w:lang w:val="en-US" w:eastAsia="en-US" w:bidi="en-US"/>
      </w:rPr>
    </w:lvl>
    <w:lvl w:ilvl="7" w:tplc="F1F26ADC">
      <w:numFmt w:val="bullet"/>
      <w:lvlText w:val="•"/>
      <w:lvlJc w:val="left"/>
      <w:pPr>
        <w:ind w:left="7148" w:hanging="360"/>
      </w:pPr>
      <w:rPr>
        <w:rFonts w:hint="default"/>
        <w:lang w:val="en-US" w:eastAsia="en-US" w:bidi="en-US"/>
      </w:rPr>
    </w:lvl>
    <w:lvl w:ilvl="8" w:tplc="03BE0068">
      <w:numFmt w:val="bullet"/>
      <w:lvlText w:val="•"/>
      <w:lvlJc w:val="left"/>
      <w:pPr>
        <w:ind w:left="8061" w:hanging="360"/>
      </w:pPr>
      <w:rPr>
        <w:rFonts w:hint="default"/>
        <w:lang w:val="en-US" w:eastAsia="en-US" w:bidi="en-US"/>
      </w:rPr>
    </w:lvl>
  </w:abstractNum>
  <w:abstractNum w:abstractNumId="8">
    <w:nsid w:val="0D0A710B"/>
    <w:multiLevelType w:val="hybridMultilevel"/>
    <w:tmpl w:val="E87EC4A0"/>
    <w:lvl w:ilvl="0" w:tplc="D4845A64">
      <w:start w:val="1"/>
      <w:numFmt w:val="decimal"/>
      <w:lvlText w:val="(%1)"/>
      <w:lvlJc w:val="left"/>
      <w:pPr>
        <w:ind w:left="1840" w:hanging="358"/>
        <w:jc w:val="left"/>
      </w:pPr>
      <w:rPr>
        <w:rFonts w:ascii="Arial" w:eastAsia="Arial" w:hAnsi="Arial" w:cs="Arial" w:hint="default"/>
        <w:spacing w:val="-1"/>
        <w:w w:val="100"/>
        <w:sz w:val="21"/>
        <w:szCs w:val="21"/>
        <w:lang w:val="en-US" w:eastAsia="en-US" w:bidi="en-US"/>
      </w:rPr>
    </w:lvl>
    <w:lvl w:ilvl="1" w:tplc="2916A966">
      <w:numFmt w:val="bullet"/>
      <w:lvlText w:val="•"/>
      <w:lvlJc w:val="left"/>
      <w:pPr>
        <w:ind w:left="2644" w:hanging="358"/>
      </w:pPr>
      <w:rPr>
        <w:rFonts w:hint="default"/>
        <w:lang w:val="en-US" w:eastAsia="en-US" w:bidi="en-US"/>
      </w:rPr>
    </w:lvl>
    <w:lvl w:ilvl="2" w:tplc="23668628">
      <w:numFmt w:val="bullet"/>
      <w:lvlText w:val="•"/>
      <w:lvlJc w:val="left"/>
      <w:pPr>
        <w:ind w:left="3449" w:hanging="358"/>
      </w:pPr>
      <w:rPr>
        <w:rFonts w:hint="default"/>
        <w:lang w:val="en-US" w:eastAsia="en-US" w:bidi="en-US"/>
      </w:rPr>
    </w:lvl>
    <w:lvl w:ilvl="3" w:tplc="4C94590C">
      <w:numFmt w:val="bullet"/>
      <w:lvlText w:val="•"/>
      <w:lvlJc w:val="left"/>
      <w:pPr>
        <w:ind w:left="4253" w:hanging="358"/>
      </w:pPr>
      <w:rPr>
        <w:rFonts w:hint="default"/>
        <w:lang w:val="en-US" w:eastAsia="en-US" w:bidi="en-US"/>
      </w:rPr>
    </w:lvl>
    <w:lvl w:ilvl="4" w:tplc="881C2906">
      <w:numFmt w:val="bullet"/>
      <w:lvlText w:val="•"/>
      <w:lvlJc w:val="left"/>
      <w:pPr>
        <w:ind w:left="5058" w:hanging="358"/>
      </w:pPr>
      <w:rPr>
        <w:rFonts w:hint="default"/>
        <w:lang w:val="en-US" w:eastAsia="en-US" w:bidi="en-US"/>
      </w:rPr>
    </w:lvl>
    <w:lvl w:ilvl="5" w:tplc="41FE07D8">
      <w:numFmt w:val="bullet"/>
      <w:lvlText w:val="•"/>
      <w:lvlJc w:val="left"/>
      <w:pPr>
        <w:ind w:left="5863" w:hanging="358"/>
      </w:pPr>
      <w:rPr>
        <w:rFonts w:hint="default"/>
        <w:lang w:val="en-US" w:eastAsia="en-US" w:bidi="en-US"/>
      </w:rPr>
    </w:lvl>
    <w:lvl w:ilvl="6" w:tplc="290640E0">
      <w:numFmt w:val="bullet"/>
      <w:lvlText w:val="•"/>
      <w:lvlJc w:val="left"/>
      <w:pPr>
        <w:ind w:left="6667" w:hanging="358"/>
      </w:pPr>
      <w:rPr>
        <w:rFonts w:hint="default"/>
        <w:lang w:val="en-US" w:eastAsia="en-US" w:bidi="en-US"/>
      </w:rPr>
    </w:lvl>
    <w:lvl w:ilvl="7" w:tplc="65ACFB98">
      <w:numFmt w:val="bullet"/>
      <w:lvlText w:val="•"/>
      <w:lvlJc w:val="left"/>
      <w:pPr>
        <w:ind w:left="7472" w:hanging="358"/>
      </w:pPr>
      <w:rPr>
        <w:rFonts w:hint="default"/>
        <w:lang w:val="en-US" w:eastAsia="en-US" w:bidi="en-US"/>
      </w:rPr>
    </w:lvl>
    <w:lvl w:ilvl="8" w:tplc="B50E77A6">
      <w:numFmt w:val="bullet"/>
      <w:lvlText w:val="•"/>
      <w:lvlJc w:val="left"/>
      <w:pPr>
        <w:ind w:left="8277" w:hanging="358"/>
      </w:pPr>
      <w:rPr>
        <w:rFonts w:hint="default"/>
        <w:lang w:val="en-US" w:eastAsia="en-US" w:bidi="en-US"/>
      </w:rPr>
    </w:lvl>
  </w:abstractNum>
  <w:abstractNum w:abstractNumId="9">
    <w:nsid w:val="0DA52AB9"/>
    <w:multiLevelType w:val="hybridMultilevel"/>
    <w:tmpl w:val="9FF4C8FA"/>
    <w:lvl w:ilvl="0" w:tplc="92BA640E">
      <w:start w:val="11"/>
      <w:numFmt w:val="decimal"/>
      <w:lvlText w:val="%1"/>
      <w:lvlJc w:val="left"/>
      <w:pPr>
        <w:ind w:left="1252" w:hanging="852"/>
        <w:jc w:val="left"/>
      </w:pPr>
      <w:rPr>
        <w:rFonts w:hint="default"/>
        <w:lang w:val="en-US" w:eastAsia="en-US" w:bidi="en-US"/>
      </w:rPr>
    </w:lvl>
    <w:lvl w:ilvl="1" w:tplc="DAD82E0A">
      <w:numFmt w:val="none"/>
      <w:lvlText w:val=""/>
      <w:lvlJc w:val="left"/>
      <w:pPr>
        <w:tabs>
          <w:tab w:val="num" w:pos="360"/>
        </w:tabs>
      </w:pPr>
    </w:lvl>
    <w:lvl w:ilvl="2" w:tplc="BBDEBE60">
      <w:numFmt w:val="bullet"/>
      <w:lvlText w:val="•"/>
      <w:lvlJc w:val="left"/>
      <w:pPr>
        <w:ind w:left="2985" w:hanging="852"/>
      </w:pPr>
      <w:rPr>
        <w:rFonts w:hint="default"/>
        <w:lang w:val="en-US" w:eastAsia="en-US" w:bidi="en-US"/>
      </w:rPr>
    </w:lvl>
    <w:lvl w:ilvl="3" w:tplc="1F7C5090">
      <w:numFmt w:val="bullet"/>
      <w:lvlText w:val="•"/>
      <w:lvlJc w:val="left"/>
      <w:pPr>
        <w:ind w:left="3847" w:hanging="852"/>
      </w:pPr>
      <w:rPr>
        <w:rFonts w:hint="default"/>
        <w:lang w:val="en-US" w:eastAsia="en-US" w:bidi="en-US"/>
      </w:rPr>
    </w:lvl>
    <w:lvl w:ilvl="4" w:tplc="FE9A2886">
      <w:numFmt w:val="bullet"/>
      <w:lvlText w:val="•"/>
      <w:lvlJc w:val="left"/>
      <w:pPr>
        <w:ind w:left="4710" w:hanging="852"/>
      </w:pPr>
      <w:rPr>
        <w:rFonts w:hint="default"/>
        <w:lang w:val="en-US" w:eastAsia="en-US" w:bidi="en-US"/>
      </w:rPr>
    </w:lvl>
    <w:lvl w:ilvl="5" w:tplc="EF5AECFA">
      <w:numFmt w:val="bullet"/>
      <w:lvlText w:val="•"/>
      <w:lvlJc w:val="left"/>
      <w:pPr>
        <w:ind w:left="5573" w:hanging="852"/>
      </w:pPr>
      <w:rPr>
        <w:rFonts w:hint="default"/>
        <w:lang w:val="en-US" w:eastAsia="en-US" w:bidi="en-US"/>
      </w:rPr>
    </w:lvl>
    <w:lvl w:ilvl="6" w:tplc="F51005B0">
      <w:numFmt w:val="bullet"/>
      <w:lvlText w:val="•"/>
      <w:lvlJc w:val="left"/>
      <w:pPr>
        <w:ind w:left="6435" w:hanging="852"/>
      </w:pPr>
      <w:rPr>
        <w:rFonts w:hint="default"/>
        <w:lang w:val="en-US" w:eastAsia="en-US" w:bidi="en-US"/>
      </w:rPr>
    </w:lvl>
    <w:lvl w:ilvl="7" w:tplc="820EE3E0">
      <w:numFmt w:val="bullet"/>
      <w:lvlText w:val="•"/>
      <w:lvlJc w:val="left"/>
      <w:pPr>
        <w:ind w:left="7298" w:hanging="852"/>
      </w:pPr>
      <w:rPr>
        <w:rFonts w:hint="default"/>
        <w:lang w:val="en-US" w:eastAsia="en-US" w:bidi="en-US"/>
      </w:rPr>
    </w:lvl>
    <w:lvl w:ilvl="8" w:tplc="91668134">
      <w:numFmt w:val="bullet"/>
      <w:lvlText w:val="•"/>
      <w:lvlJc w:val="left"/>
      <w:pPr>
        <w:ind w:left="8161" w:hanging="852"/>
      </w:pPr>
      <w:rPr>
        <w:rFonts w:hint="default"/>
        <w:lang w:val="en-US" w:eastAsia="en-US" w:bidi="en-US"/>
      </w:rPr>
    </w:lvl>
  </w:abstractNum>
  <w:abstractNum w:abstractNumId="10">
    <w:nsid w:val="12684A5A"/>
    <w:multiLevelType w:val="hybridMultilevel"/>
    <w:tmpl w:val="447A6EC4"/>
    <w:lvl w:ilvl="0" w:tplc="DEC25036">
      <w:start w:val="1"/>
      <w:numFmt w:val="lowerRoman"/>
      <w:lvlText w:val="%1."/>
      <w:lvlJc w:val="left"/>
      <w:pPr>
        <w:ind w:left="1211" w:hanging="812"/>
        <w:jc w:val="left"/>
      </w:pPr>
      <w:rPr>
        <w:rFonts w:ascii="Arial" w:eastAsia="Arial" w:hAnsi="Arial" w:cs="Arial" w:hint="default"/>
        <w:w w:val="99"/>
        <w:sz w:val="26"/>
        <w:szCs w:val="26"/>
        <w:lang w:val="en-US" w:eastAsia="en-US" w:bidi="en-US"/>
      </w:rPr>
    </w:lvl>
    <w:lvl w:ilvl="1" w:tplc="8A902350">
      <w:numFmt w:val="bullet"/>
      <w:lvlText w:val="•"/>
      <w:lvlJc w:val="left"/>
      <w:pPr>
        <w:ind w:left="2086" w:hanging="812"/>
      </w:pPr>
      <w:rPr>
        <w:rFonts w:hint="default"/>
        <w:lang w:val="en-US" w:eastAsia="en-US" w:bidi="en-US"/>
      </w:rPr>
    </w:lvl>
    <w:lvl w:ilvl="2" w:tplc="F6CC906C">
      <w:numFmt w:val="bullet"/>
      <w:lvlText w:val="•"/>
      <w:lvlJc w:val="left"/>
      <w:pPr>
        <w:ind w:left="2953" w:hanging="812"/>
      </w:pPr>
      <w:rPr>
        <w:rFonts w:hint="default"/>
        <w:lang w:val="en-US" w:eastAsia="en-US" w:bidi="en-US"/>
      </w:rPr>
    </w:lvl>
    <w:lvl w:ilvl="3" w:tplc="050E364C">
      <w:numFmt w:val="bullet"/>
      <w:lvlText w:val="•"/>
      <w:lvlJc w:val="left"/>
      <w:pPr>
        <w:ind w:left="3819" w:hanging="812"/>
      </w:pPr>
      <w:rPr>
        <w:rFonts w:hint="default"/>
        <w:lang w:val="en-US" w:eastAsia="en-US" w:bidi="en-US"/>
      </w:rPr>
    </w:lvl>
    <w:lvl w:ilvl="4" w:tplc="629C8D4A">
      <w:numFmt w:val="bullet"/>
      <w:lvlText w:val="•"/>
      <w:lvlJc w:val="left"/>
      <w:pPr>
        <w:ind w:left="4686" w:hanging="812"/>
      </w:pPr>
      <w:rPr>
        <w:rFonts w:hint="default"/>
        <w:lang w:val="en-US" w:eastAsia="en-US" w:bidi="en-US"/>
      </w:rPr>
    </w:lvl>
    <w:lvl w:ilvl="5" w:tplc="F3C694EE">
      <w:numFmt w:val="bullet"/>
      <w:lvlText w:val="•"/>
      <w:lvlJc w:val="left"/>
      <w:pPr>
        <w:ind w:left="5553" w:hanging="812"/>
      </w:pPr>
      <w:rPr>
        <w:rFonts w:hint="default"/>
        <w:lang w:val="en-US" w:eastAsia="en-US" w:bidi="en-US"/>
      </w:rPr>
    </w:lvl>
    <w:lvl w:ilvl="6" w:tplc="E97A9D82">
      <w:numFmt w:val="bullet"/>
      <w:lvlText w:val="•"/>
      <w:lvlJc w:val="left"/>
      <w:pPr>
        <w:ind w:left="6419" w:hanging="812"/>
      </w:pPr>
      <w:rPr>
        <w:rFonts w:hint="default"/>
        <w:lang w:val="en-US" w:eastAsia="en-US" w:bidi="en-US"/>
      </w:rPr>
    </w:lvl>
    <w:lvl w:ilvl="7" w:tplc="35F8F3DC">
      <w:numFmt w:val="bullet"/>
      <w:lvlText w:val="•"/>
      <w:lvlJc w:val="left"/>
      <w:pPr>
        <w:ind w:left="7286" w:hanging="812"/>
      </w:pPr>
      <w:rPr>
        <w:rFonts w:hint="default"/>
        <w:lang w:val="en-US" w:eastAsia="en-US" w:bidi="en-US"/>
      </w:rPr>
    </w:lvl>
    <w:lvl w:ilvl="8" w:tplc="F3B4CD4E">
      <w:numFmt w:val="bullet"/>
      <w:lvlText w:val="•"/>
      <w:lvlJc w:val="left"/>
      <w:pPr>
        <w:ind w:left="8153" w:hanging="812"/>
      </w:pPr>
      <w:rPr>
        <w:rFonts w:hint="default"/>
        <w:lang w:val="en-US" w:eastAsia="en-US" w:bidi="en-US"/>
      </w:rPr>
    </w:lvl>
  </w:abstractNum>
  <w:abstractNum w:abstractNumId="11">
    <w:nsid w:val="141F18E9"/>
    <w:multiLevelType w:val="hybridMultilevel"/>
    <w:tmpl w:val="9E9EA17E"/>
    <w:lvl w:ilvl="0" w:tplc="F46A48DE">
      <w:start w:val="1"/>
      <w:numFmt w:val="upperLetter"/>
      <w:lvlText w:val="%1"/>
      <w:lvlJc w:val="left"/>
      <w:pPr>
        <w:ind w:left="1127" w:hanging="713"/>
        <w:jc w:val="right"/>
      </w:pPr>
      <w:rPr>
        <w:rFonts w:ascii="Arial" w:eastAsia="Arial" w:hAnsi="Arial" w:cs="Arial" w:hint="default"/>
        <w:b/>
        <w:bCs/>
        <w:w w:val="100"/>
        <w:sz w:val="28"/>
        <w:szCs w:val="28"/>
        <w:lang w:val="en-US" w:eastAsia="en-US" w:bidi="en-US"/>
      </w:rPr>
    </w:lvl>
    <w:lvl w:ilvl="1" w:tplc="F9E217D2">
      <w:numFmt w:val="bullet"/>
      <w:lvlText w:val="•"/>
      <w:lvlJc w:val="left"/>
      <w:pPr>
        <w:ind w:left="1996" w:hanging="713"/>
      </w:pPr>
      <w:rPr>
        <w:rFonts w:hint="default"/>
        <w:lang w:val="en-US" w:eastAsia="en-US" w:bidi="en-US"/>
      </w:rPr>
    </w:lvl>
    <w:lvl w:ilvl="2" w:tplc="4CCE0B42">
      <w:numFmt w:val="bullet"/>
      <w:lvlText w:val="•"/>
      <w:lvlJc w:val="left"/>
      <w:pPr>
        <w:ind w:left="2873" w:hanging="713"/>
      </w:pPr>
      <w:rPr>
        <w:rFonts w:hint="default"/>
        <w:lang w:val="en-US" w:eastAsia="en-US" w:bidi="en-US"/>
      </w:rPr>
    </w:lvl>
    <w:lvl w:ilvl="3" w:tplc="634AAA84">
      <w:numFmt w:val="bullet"/>
      <w:lvlText w:val="•"/>
      <w:lvlJc w:val="left"/>
      <w:pPr>
        <w:ind w:left="3749" w:hanging="713"/>
      </w:pPr>
      <w:rPr>
        <w:rFonts w:hint="default"/>
        <w:lang w:val="en-US" w:eastAsia="en-US" w:bidi="en-US"/>
      </w:rPr>
    </w:lvl>
    <w:lvl w:ilvl="4" w:tplc="FF7A9C0E">
      <w:numFmt w:val="bullet"/>
      <w:lvlText w:val="•"/>
      <w:lvlJc w:val="left"/>
      <w:pPr>
        <w:ind w:left="4626" w:hanging="713"/>
      </w:pPr>
      <w:rPr>
        <w:rFonts w:hint="default"/>
        <w:lang w:val="en-US" w:eastAsia="en-US" w:bidi="en-US"/>
      </w:rPr>
    </w:lvl>
    <w:lvl w:ilvl="5" w:tplc="32BE0292">
      <w:numFmt w:val="bullet"/>
      <w:lvlText w:val="•"/>
      <w:lvlJc w:val="left"/>
      <w:pPr>
        <w:ind w:left="5503" w:hanging="713"/>
      </w:pPr>
      <w:rPr>
        <w:rFonts w:hint="default"/>
        <w:lang w:val="en-US" w:eastAsia="en-US" w:bidi="en-US"/>
      </w:rPr>
    </w:lvl>
    <w:lvl w:ilvl="6" w:tplc="DAF0DAF8">
      <w:numFmt w:val="bullet"/>
      <w:lvlText w:val="•"/>
      <w:lvlJc w:val="left"/>
      <w:pPr>
        <w:ind w:left="6379" w:hanging="713"/>
      </w:pPr>
      <w:rPr>
        <w:rFonts w:hint="default"/>
        <w:lang w:val="en-US" w:eastAsia="en-US" w:bidi="en-US"/>
      </w:rPr>
    </w:lvl>
    <w:lvl w:ilvl="7" w:tplc="ECE6F0B8">
      <w:numFmt w:val="bullet"/>
      <w:lvlText w:val="•"/>
      <w:lvlJc w:val="left"/>
      <w:pPr>
        <w:ind w:left="7256" w:hanging="713"/>
      </w:pPr>
      <w:rPr>
        <w:rFonts w:hint="default"/>
        <w:lang w:val="en-US" w:eastAsia="en-US" w:bidi="en-US"/>
      </w:rPr>
    </w:lvl>
    <w:lvl w:ilvl="8" w:tplc="47224744">
      <w:numFmt w:val="bullet"/>
      <w:lvlText w:val="•"/>
      <w:lvlJc w:val="left"/>
      <w:pPr>
        <w:ind w:left="8133" w:hanging="713"/>
      </w:pPr>
      <w:rPr>
        <w:rFonts w:hint="default"/>
        <w:lang w:val="en-US" w:eastAsia="en-US" w:bidi="en-US"/>
      </w:rPr>
    </w:lvl>
  </w:abstractNum>
  <w:abstractNum w:abstractNumId="12">
    <w:nsid w:val="1A782059"/>
    <w:multiLevelType w:val="hybridMultilevel"/>
    <w:tmpl w:val="79983AD0"/>
    <w:lvl w:ilvl="0" w:tplc="C1EAE7D2">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12AA5CBE">
      <w:numFmt w:val="bullet"/>
      <w:lvlText w:val="•"/>
      <w:lvlJc w:val="left"/>
      <w:pPr>
        <w:ind w:left="1996" w:hanging="720"/>
      </w:pPr>
      <w:rPr>
        <w:rFonts w:hint="default"/>
        <w:lang w:val="en-US" w:eastAsia="en-US" w:bidi="en-US"/>
      </w:rPr>
    </w:lvl>
    <w:lvl w:ilvl="2" w:tplc="3DE28AD2">
      <w:numFmt w:val="bullet"/>
      <w:lvlText w:val="•"/>
      <w:lvlJc w:val="left"/>
      <w:pPr>
        <w:ind w:left="2873" w:hanging="720"/>
      </w:pPr>
      <w:rPr>
        <w:rFonts w:hint="default"/>
        <w:lang w:val="en-US" w:eastAsia="en-US" w:bidi="en-US"/>
      </w:rPr>
    </w:lvl>
    <w:lvl w:ilvl="3" w:tplc="333E5DFA">
      <w:numFmt w:val="bullet"/>
      <w:lvlText w:val="•"/>
      <w:lvlJc w:val="left"/>
      <w:pPr>
        <w:ind w:left="3749" w:hanging="720"/>
      </w:pPr>
      <w:rPr>
        <w:rFonts w:hint="default"/>
        <w:lang w:val="en-US" w:eastAsia="en-US" w:bidi="en-US"/>
      </w:rPr>
    </w:lvl>
    <w:lvl w:ilvl="4" w:tplc="B17EB8FE">
      <w:numFmt w:val="bullet"/>
      <w:lvlText w:val="•"/>
      <w:lvlJc w:val="left"/>
      <w:pPr>
        <w:ind w:left="4626" w:hanging="720"/>
      </w:pPr>
      <w:rPr>
        <w:rFonts w:hint="default"/>
        <w:lang w:val="en-US" w:eastAsia="en-US" w:bidi="en-US"/>
      </w:rPr>
    </w:lvl>
    <w:lvl w:ilvl="5" w:tplc="61FA4DB0">
      <w:numFmt w:val="bullet"/>
      <w:lvlText w:val="•"/>
      <w:lvlJc w:val="left"/>
      <w:pPr>
        <w:ind w:left="5503" w:hanging="720"/>
      </w:pPr>
      <w:rPr>
        <w:rFonts w:hint="default"/>
        <w:lang w:val="en-US" w:eastAsia="en-US" w:bidi="en-US"/>
      </w:rPr>
    </w:lvl>
    <w:lvl w:ilvl="6" w:tplc="D8609772">
      <w:numFmt w:val="bullet"/>
      <w:lvlText w:val="•"/>
      <w:lvlJc w:val="left"/>
      <w:pPr>
        <w:ind w:left="6379" w:hanging="720"/>
      </w:pPr>
      <w:rPr>
        <w:rFonts w:hint="default"/>
        <w:lang w:val="en-US" w:eastAsia="en-US" w:bidi="en-US"/>
      </w:rPr>
    </w:lvl>
    <w:lvl w:ilvl="7" w:tplc="76ACFF4C">
      <w:numFmt w:val="bullet"/>
      <w:lvlText w:val="•"/>
      <w:lvlJc w:val="left"/>
      <w:pPr>
        <w:ind w:left="7256" w:hanging="720"/>
      </w:pPr>
      <w:rPr>
        <w:rFonts w:hint="default"/>
        <w:lang w:val="en-US" w:eastAsia="en-US" w:bidi="en-US"/>
      </w:rPr>
    </w:lvl>
    <w:lvl w:ilvl="8" w:tplc="8F2E5534">
      <w:numFmt w:val="bullet"/>
      <w:lvlText w:val="•"/>
      <w:lvlJc w:val="left"/>
      <w:pPr>
        <w:ind w:left="8133" w:hanging="720"/>
      </w:pPr>
      <w:rPr>
        <w:rFonts w:hint="default"/>
        <w:lang w:val="en-US" w:eastAsia="en-US" w:bidi="en-US"/>
      </w:rPr>
    </w:lvl>
  </w:abstractNum>
  <w:abstractNum w:abstractNumId="13">
    <w:nsid w:val="1C14617D"/>
    <w:multiLevelType w:val="hybridMultilevel"/>
    <w:tmpl w:val="75085036"/>
    <w:lvl w:ilvl="0" w:tplc="A5A4F610">
      <w:start w:val="1"/>
      <w:numFmt w:val="decimal"/>
      <w:lvlText w:val="(%1)"/>
      <w:lvlJc w:val="left"/>
      <w:pPr>
        <w:ind w:left="2526" w:hanging="425"/>
        <w:jc w:val="left"/>
      </w:pPr>
      <w:rPr>
        <w:rFonts w:ascii="Bookman Old Style" w:eastAsia="Bookman Old Style" w:hAnsi="Bookman Old Style" w:cs="Bookman Old Style" w:hint="default"/>
        <w:i/>
        <w:spacing w:val="-34"/>
        <w:w w:val="100"/>
        <w:sz w:val="24"/>
        <w:szCs w:val="24"/>
        <w:lang w:val="en-US" w:eastAsia="en-US" w:bidi="en-US"/>
      </w:rPr>
    </w:lvl>
    <w:lvl w:ilvl="1" w:tplc="77A8C402">
      <w:numFmt w:val="bullet"/>
      <w:lvlText w:val="•"/>
      <w:lvlJc w:val="left"/>
      <w:pPr>
        <w:ind w:left="3256" w:hanging="425"/>
      </w:pPr>
      <w:rPr>
        <w:rFonts w:hint="default"/>
        <w:lang w:val="en-US" w:eastAsia="en-US" w:bidi="en-US"/>
      </w:rPr>
    </w:lvl>
    <w:lvl w:ilvl="2" w:tplc="294491DC">
      <w:numFmt w:val="bullet"/>
      <w:lvlText w:val="•"/>
      <w:lvlJc w:val="left"/>
      <w:pPr>
        <w:ind w:left="3993" w:hanging="425"/>
      </w:pPr>
      <w:rPr>
        <w:rFonts w:hint="default"/>
        <w:lang w:val="en-US" w:eastAsia="en-US" w:bidi="en-US"/>
      </w:rPr>
    </w:lvl>
    <w:lvl w:ilvl="3" w:tplc="170ED17E">
      <w:numFmt w:val="bullet"/>
      <w:lvlText w:val="•"/>
      <w:lvlJc w:val="left"/>
      <w:pPr>
        <w:ind w:left="4729" w:hanging="425"/>
      </w:pPr>
      <w:rPr>
        <w:rFonts w:hint="default"/>
        <w:lang w:val="en-US" w:eastAsia="en-US" w:bidi="en-US"/>
      </w:rPr>
    </w:lvl>
    <w:lvl w:ilvl="4" w:tplc="55DA26B2">
      <w:numFmt w:val="bullet"/>
      <w:lvlText w:val="•"/>
      <w:lvlJc w:val="left"/>
      <w:pPr>
        <w:ind w:left="5466" w:hanging="425"/>
      </w:pPr>
      <w:rPr>
        <w:rFonts w:hint="default"/>
        <w:lang w:val="en-US" w:eastAsia="en-US" w:bidi="en-US"/>
      </w:rPr>
    </w:lvl>
    <w:lvl w:ilvl="5" w:tplc="00622388">
      <w:numFmt w:val="bullet"/>
      <w:lvlText w:val="•"/>
      <w:lvlJc w:val="left"/>
      <w:pPr>
        <w:ind w:left="6203" w:hanging="425"/>
      </w:pPr>
      <w:rPr>
        <w:rFonts w:hint="default"/>
        <w:lang w:val="en-US" w:eastAsia="en-US" w:bidi="en-US"/>
      </w:rPr>
    </w:lvl>
    <w:lvl w:ilvl="6" w:tplc="99968A66">
      <w:numFmt w:val="bullet"/>
      <w:lvlText w:val="•"/>
      <w:lvlJc w:val="left"/>
      <w:pPr>
        <w:ind w:left="6939" w:hanging="425"/>
      </w:pPr>
      <w:rPr>
        <w:rFonts w:hint="default"/>
        <w:lang w:val="en-US" w:eastAsia="en-US" w:bidi="en-US"/>
      </w:rPr>
    </w:lvl>
    <w:lvl w:ilvl="7" w:tplc="0EF2CFF6">
      <w:numFmt w:val="bullet"/>
      <w:lvlText w:val="•"/>
      <w:lvlJc w:val="left"/>
      <w:pPr>
        <w:ind w:left="7676" w:hanging="425"/>
      </w:pPr>
      <w:rPr>
        <w:rFonts w:hint="default"/>
        <w:lang w:val="en-US" w:eastAsia="en-US" w:bidi="en-US"/>
      </w:rPr>
    </w:lvl>
    <w:lvl w:ilvl="8" w:tplc="BA781898">
      <w:numFmt w:val="bullet"/>
      <w:lvlText w:val="•"/>
      <w:lvlJc w:val="left"/>
      <w:pPr>
        <w:ind w:left="8413" w:hanging="425"/>
      </w:pPr>
      <w:rPr>
        <w:rFonts w:hint="default"/>
        <w:lang w:val="en-US" w:eastAsia="en-US" w:bidi="en-US"/>
      </w:rPr>
    </w:lvl>
  </w:abstractNum>
  <w:abstractNum w:abstractNumId="14">
    <w:nsid w:val="1D21321E"/>
    <w:multiLevelType w:val="hybridMultilevel"/>
    <w:tmpl w:val="CF325E86"/>
    <w:lvl w:ilvl="0" w:tplc="C6D68AE0">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4856A0EA">
      <w:numFmt w:val="bullet"/>
      <w:lvlText w:val="•"/>
      <w:lvlJc w:val="left"/>
      <w:pPr>
        <w:ind w:left="1996" w:hanging="720"/>
      </w:pPr>
      <w:rPr>
        <w:rFonts w:hint="default"/>
        <w:lang w:val="en-US" w:eastAsia="en-US" w:bidi="en-US"/>
      </w:rPr>
    </w:lvl>
    <w:lvl w:ilvl="2" w:tplc="DE3AE036">
      <w:numFmt w:val="bullet"/>
      <w:lvlText w:val="•"/>
      <w:lvlJc w:val="left"/>
      <w:pPr>
        <w:ind w:left="2873" w:hanging="720"/>
      </w:pPr>
      <w:rPr>
        <w:rFonts w:hint="default"/>
        <w:lang w:val="en-US" w:eastAsia="en-US" w:bidi="en-US"/>
      </w:rPr>
    </w:lvl>
    <w:lvl w:ilvl="3" w:tplc="16C27822">
      <w:numFmt w:val="bullet"/>
      <w:lvlText w:val="•"/>
      <w:lvlJc w:val="left"/>
      <w:pPr>
        <w:ind w:left="3749" w:hanging="720"/>
      </w:pPr>
      <w:rPr>
        <w:rFonts w:hint="default"/>
        <w:lang w:val="en-US" w:eastAsia="en-US" w:bidi="en-US"/>
      </w:rPr>
    </w:lvl>
    <w:lvl w:ilvl="4" w:tplc="3280D4B2">
      <w:numFmt w:val="bullet"/>
      <w:lvlText w:val="•"/>
      <w:lvlJc w:val="left"/>
      <w:pPr>
        <w:ind w:left="4626" w:hanging="720"/>
      </w:pPr>
      <w:rPr>
        <w:rFonts w:hint="default"/>
        <w:lang w:val="en-US" w:eastAsia="en-US" w:bidi="en-US"/>
      </w:rPr>
    </w:lvl>
    <w:lvl w:ilvl="5" w:tplc="729647AA">
      <w:numFmt w:val="bullet"/>
      <w:lvlText w:val="•"/>
      <w:lvlJc w:val="left"/>
      <w:pPr>
        <w:ind w:left="5503" w:hanging="720"/>
      </w:pPr>
      <w:rPr>
        <w:rFonts w:hint="default"/>
        <w:lang w:val="en-US" w:eastAsia="en-US" w:bidi="en-US"/>
      </w:rPr>
    </w:lvl>
    <w:lvl w:ilvl="6" w:tplc="BAF85DE0">
      <w:numFmt w:val="bullet"/>
      <w:lvlText w:val="•"/>
      <w:lvlJc w:val="left"/>
      <w:pPr>
        <w:ind w:left="6379" w:hanging="720"/>
      </w:pPr>
      <w:rPr>
        <w:rFonts w:hint="default"/>
        <w:lang w:val="en-US" w:eastAsia="en-US" w:bidi="en-US"/>
      </w:rPr>
    </w:lvl>
    <w:lvl w:ilvl="7" w:tplc="CDB062D8">
      <w:numFmt w:val="bullet"/>
      <w:lvlText w:val="•"/>
      <w:lvlJc w:val="left"/>
      <w:pPr>
        <w:ind w:left="7256" w:hanging="720"/>
      </w:pPr>
      <w:rPr>
        <w:rFonts w:hint="default"/>
        <w:lang w:val="en-US" w:eastAsia="en-US" w:bidi="en-US"/>
      </w:rPr>
    </w:lvl>
    <w:lvl w:ilvl="8" w:tplc="4F806D8A">
      <w:numFmt w:val="bullet"/>
      <w:lvlText w:val="•"/>
      <w:lvlJc w:val="left"/>
      <w:pPr>
        <w:ind w:left="8133" w:hanging="720"/>
      </w:pPr>
      <w:rPr>
        <w:rFonts w:hint="default"/>
        <w:lang w:val="en-US" w:eastAsia="en-US" w:bidi="en-US"/>
      </w:rPr>
    </w:lvl>
  </w:abstractNum>
  <w:abstractNum w:abstractNumId="15">
    <w:nsid w:val="22247F7D"/>
    <w:multiLevelType w:val="hybridMultilevel"/>
    <w:tmpl w:val="7518B0E2"/>
    <w:lvl w:ilvl="0" w:tplc="78E2E39A">
      <w:start w:val="1"/>
      <w:numFmt w:val="lowerLetter"/>
      <w:lvlText w:val="(%1)"/>
      <w:lvlJc w:val="left"/>
      <w:pPr>
        <w:ind w:left="1940" w:hanging="442"/>
        <w:jc w:val="left"/>
      </w:pPr>
      <w:rPr>
        <w:rFonts w:ascii="Bookman Old Style" w:eastAsia="Bookman Old Style" w:hAnsi="Bookman Old Style" w:cs="Bookman Old Style" w:hint="default"/>
        <w:w w:val="100"/>
        <w:sz w:val="28"/>
        <w:szCs w:val="28"/>
        <w:lang w:val="en-US" w:eastAsia="en-US" w:bidi="en-US"/>
      </w:rPr>
    </w:lvl>
    <w:lvl w:ilvl="1" w:tplc="476A218C">
      <w:numFmt w:val="bullet"/>
      <w:lvlText w:val="•"/>
      <w:lvlJc w:val="left"/>
      <w:pPr>
        <w:ind w:left="2726" w:hanging="442"/>
      </w:pPr>
      <w:rPr>
        <w:rFonts w:hint="default"/>
        <w:lang w:val="en-US" w:eastAsia="en-US" w:bidi="en-US"/>
      </w:rPr>
    </w:lvl>
    <w:lvl w:ilvl="2" w:tplc="63BEDCC0">
      <w:numFmt w:val="bullet"/>
      <w:lvlText w:val="•"/>
      <w:lvlJc w:val="left"/>
      <w:pPr>
        <w:ind w:left="3513" w:hanging="442"/>
      </w:pPr>
      <w:rPr>
        <w:rFonts w:hint="default"/>
        <w:lang w:val="en-US" w:eastAsia="en-US" w:bidi="en-US"/>
      </w:rPr>
    </w:lvl>
    <w:lvl w:ilvl="3" w:tplc="484C1108">
      <w:numFmt w:val="bullet"/>
      <w:lvlText w:val="•"/>
      <w:lvlJc w:val="left"/>
      <w:pPr>
        <w:ind w:left="4299" w:hanging="442"/>
      </w:pPr>
      <w:rPr>
        <w:rFonts w:hint="default"/>
        <w:lang w:val="en-US" w:eastAsia="en-US" w:bidi="en-US"/>
      </w:rPr>
    </w:lvl>
    <w:lvl w:ilvl="4" w:tplc="D2B4FD34">
      <w:numFmt w:val="bullet"/>
      <w:lvlText w:val="•"/>
      <w:lvlJc w:val="left"/>
      <w:pPr>
        <w:ind w:left="5086" w:hanging="442"/>
      </w:pPr>
      <w:rPr>
        <w:rFonts w:hint="default"/>
        <w:lang w:val="en-US" w:eastAsia="en-US" w:bidi="en-US"/>
      </w:rPr>
    </w:lvl>
    <w:lvl w:ilvl="5" w:tplc="5E648D50">
      <w:numFmt w:val="bullet"/>
      <w:lvlText w:val="•"/>
      <w:lvlJc w:val="left"/>
      <w:pPr>
        <w:ind w:left="5873" w:hanging="442"/>
      </w:pPr>
      <w:rPr>
        <w:rFonts w:hint="default"/>
        <w:lang w:val="en-US" w:eastAsia="en-US" w:bidi="en-US"/>
      </w:rPr>
    </w:lvl>
    <w:lvl w:ilvl="6" w:tplc="A166549A">
      <w:numFmt w:val="bullet"/>
      <w:lvlText w:val="•"/>
      <w:lvlJc w:val="left"/>
      <w:pPr>
        <w:ind w:left="6659" w:hanging="442"/>
      </w:pPr>
      <w:rPr>
        <w:rFonts w:hint="default"/>
        <w:lang w:val="en-US" w:eastAsia="en-US" w:bidi="en-US"/>
      </w:rPr>
    </w:lvl>
    <w:lvl w:ilvl="7" w:tplc="33025E1C">
      <w:numFmt w:val="bullet"/>
      <w:lvlText w:val="•"/>
      <w:lvlJc w:val="left"/>
      <w:pPr>
        <w:ind w:left="7446" w:hanging="442"/>
      </w:pPr>
      <w:rPr>
        <w:rFonts w:hint="default"/>
        <w:lang w:val="en-US" w:eastAsia="en-US" w:bidi="en-US"/>
      </w:rPr>
    </w:lvl>
    <w:lvl w:ilvl="8" w:tplc="DF2897F8">
      <w:numFmt w:val="bullet"/>
      <w:lvlText w:val="•"/>
      <w:lvlJc w:val="left"/>
      <w:pPr>
        <w:ind w:left="8233" w:hanging="442"/>
      </w:pPr>
      <w:rPr>
        <w:rFonts w:hint="default"/>
        <w:lang w:val="en-US" w:eastAsia="en-US" w:bidi="en-US"/>
      </w:rPr>
    </w:lvl>
  </w:abstractNum>
  <w:abstractNum w:abstractNumId="16">
    <w:nsid w:val="22827E0D"/>
    <w:multiLevelType w:val="hybridMultilevel"/>
    <w:tmpl w:val="33CEC9D2"/>
    <w:lvl w:ilvl="0" w:tplc="1FBCEAD4">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4F6C6C06">
      <w:numFmt w:val="bullet"/>
      <w:lvlText w:val="•"/>
      <w:lvlJc w:val="left"/>
      <w:pPr>
        <w:ind w:left="1996" w:hanging="720"/>
      </w:pPr>
      <w:rPr>
        <w:rFonts w:hint="default"/>
        <w:lang w:val="en-US" w:eastAsia="en-US" w:bidi="en-US"/>
      </w:rPr>
    </w:lvl>
    <w:lvl w:ilvl="2" w:tplc="B7C0F1D8">
      <w:numFmt w:val="bullet"/>
      <w:lvlText w:val="•"/>
      <w:lvlJc w:val="left"/>
      <w:pPr>
        <w:ind w:left="2873" w:hanging="720"/>
      </w:pPr>
      <w:rPr>
        <w:rFonts w:hint="default"/>
        <w:lang w:val="en-US" w:eastAsia="en-US" w:bidi="en-US"/>
      </w:rPr>
    </w:lvl>
    <w:lvl w:ilvl="3" w:tplc="AC4A0DE0">
      <w:numFmt w:val="bullet"/>
      <w:lvlText w:val="•"/>
      <w:lvlJc w:val="left"/>
      <w:pPr>
        <w:ind w:left="3749" w:hanging="720"/>
      </w:pPr>
      <w:rPr>
        <w:rFonts w:hint="default"/>
        <w:lang w:val="en-US" w:eastAsia="en-US" w:bidi="en-US"/>
      </w:rPr>
    </w:lvl>
    <w:lvl w:ilvl="4" w:tplc="B3820FA4">
      <w:numFmt w:val="bullet"/>
      <w:lvlText w:val="•"/>
      <w:lvlJc w:val="left"/>
      <w:pPr>
        <w:ind w:left="4626" w:hanging="720"/>
      </w:pPr>
      <w:rPr>
        <w:rFonts w:hint="default"/>
        <w:lang w:val="en-US" w:eastAsia="en-US" w:bidi="en-US"/>
      </w:rPr>
    </w:lvl>
    <w:lvl w:ilvl="5" w:tplc="68948436">
      <w:numFmt w:val="bullet"/>
      <w:lvlText w:val="•"/>
      <w:lvlJc w:val="left"/>
      <w:pPr>
        <w:ind w:left="5503" w:hanging="720"/>
      </w:pPr>
      <w:rPr>
        <w:rFonts w:hint="default"/>
        <w:lang w:val="en-US" w:eastAsia="en-US" w:bidi="en-US"/>
      </w:rPr>
    </w:lvl>
    <w:lvl w:ilvl="6" w:tplc="989E701C">
      <w:numFmt w:val="bullet"/>
      <w:lvlText w:val="•"/>
      <w:lvlJc w:val="left"/>
      <w:pPr>
        <w:ind w:left="6379" w:hanging="720"/>
      </w:pPr>
      <w:rPr>
        <w:rFonts w:hint="default"/>
        <w:lang w:val="en-US" w:eastAsia="en-US" w:bidi="en-US"/>
      </w:rPr>
    </w:lvl>
    <w:lvl w:ilvl="7" w:tplc="6BC85704">
      <w:numFmt w:val="bullet"/>
      <w:lvlText w:val="•"/>
      <w:lvlJc w:val="left"/>
      <w:pPr>
        <w:ind w:left="7256" w:hanging="720"/>
      </w:pPr>
      <w:rPr>
        <w:rFonts w:hint="default"/>
        <w:lang w:val="en-US" w:eastAsia="en-US" w:bidi="en-US"/>
      </w:rPr>
    </w:lvl>
    <w:lvl w:ilvl="8" w:tplc="C4C2E9F0">
      <w:numFmt w:val="bullet"/>
      <w:lvlText w:val="•"/>
      <w:lvlJc w:val="left"/>
      <w:pPr>
        <w:ind w:left="8133" w:hanging="720"/>
      </w:pPr>
      <w:rPr>
        <w:rFonts w:hint="default"/>
        <w:lang w:val="en-US" w:eastAsia="en-US" w:bidi="en-US"/>
      </w:rPr>
    </w:lvl>
  </w:abstractNum>
  <w:abstractNum w:abstractNumId="17">
    <w:nsid w:val="239C6281"/>
    <w:multiLevelType w:val="hybridMultilevel"/>
    <w:tmpl w:val="465A4D4E"/>
    <w:lvl w:ilvl="0" w:tplc="23CEE536">
      <w:start w:val="14"/>
      <w:numFmt w:val="decimal"/>
      <w:lvlText w:val="%1"/>
      <w:lvlJc w:val="left"/>
      <w:pPr>
        <w:ind w:left="1252" w:hanging="852"/>
        <w:jc w:val="left"/>
      </w:pPr>
      <w:rPr>
        <w:rFonts w:hint="default"/>
        <w:lang w:val="en-US" w:eastAsia="en-US" w:bidi="en-US"/>
      </w:rPr>
    </w:lvl>
    <w:lvl w:ilvl="1" w:tplc="03C4AE38">
      <w:numFmt w:val="none"/>
      <w:lvlText w:val=""/>
      <w:lvlJc w:val="left"/>
      <w:pPr>
        <w:tabs>
          <w:tab w:val="num" w:pos="360"/>
        </w:tabs>
      </w:pPr>
    </w:lvl>
    <w:lvl w:ilvl="2" w:tplc="4324251C">
      <w:numFmt w:val="bullet"/>
      <w:lvlText w:val="•"/>
      <w:lvlJc w:val="left"/>
      <w:pPr>
        <w:ind w:left="2985" w:hanging="852"/>
      </w:pPr>
      <w:rPr>
        <w:rFonts w:hint="default"/>
        <w:lang w:val="en-US" w:eastAsia="en-US" w:bidi="en-US"/>
      </w:rPr>
    </w:lvl>
    <w:lvl w:ilvl="3" w:tplc="F3B86696">
      <w:numFmt w:val="bullet"/>
      <w:lvlText w:val="•"/>
      <w:lvlJc w:val="left"/>
      <w:pPr>
        <w:ind w:left="3847" w:hanging="852"/>
      </w:pPr>
      <w:rPr>
        <w:rFonts w:hint="default"/>
        <w:lang w:val="en-US" w:eastAsia="en-US" w:bidi="en-US"/>
      </w:rPr>
    </w:lvl>
    <w:lvl w:ilvl="4" w:tplc="18527F60">
      <w:numFmt w:val="bullet"/>
      <w:lvlText w:val="•"/>
      <w:lvlJc w:val="left"/>
      <w:pPr>
        <w:ind w:left="4710" w:hanging="852"/>
      </w:pPr>
      <w:rPr>
        <w:rFonts w:hint="default"/>
        <w:lang w:val="en-US" w:eastAsia="en-US" w:bidi="en-US"/>
      </w:rPr>
    </w:lvl>
    <w:lvl w:ilvl="5" w:tplc="2B1AD7C2">
      <w:numFmt w:val="bullet"/>
      <w:lvlText w:val="•"/>
      <w:lvlJc w:val="left"/>
      <w:pPr>
        <w:ind w:left="5573" w:hanging="852"/>
      </w:pPr>
      <w:rPr>
        <w:rFonts w:hint="default"/>
        <w:lang w:val="en-US" w:eastAsia="en-US" w:bidi="en-US"/>
      </w:rPr>
    </w:lvl>
    <w:lvl w:ilvl="6" w:tplc="E2068E42">
      <w:numFmt w:val="bullet"/>
      <w:lvlText w:val="•"/>
      <w:lvlJc w:val="left"/>
      <w:pPr>
        <w:ind w:left="6435" w:hanging="852"/>
      </w:pPr>
      <w:rPr>
        <w:rFonts w:hint="default"/>
        <w:lang w:val="en-US" w:eastAsia="en-US" w:bidi="en-US"/>
      </w:rPr>
    </w:lvl>
    <w:lvl w:ilvl="7" w:tplc="1B7814F4">
      <w:numFmt w:val="bullet"/>
      <w:lvlText w:val="•"/>
      <w:lvlJc w:val="left"/>
      <w:pPr>
        <w:ind w:left="7298" w:hanging="852"/>
      </w:pPr>
      <w:rPr>
        <w:rFonts w:hint="default"/>
        <w:lang w:val="en-US" w:eastAsia="en-US" w:bidi="en-US"/>
      </w:rPr>
    </w:lvl>
    <w:lvl w:ilvl="8" w:tplc="3ABA59BA">
      <w:numFmt w:val="bullet"/>
      <w:lvlText w:val="•"/>
      <w:lvlJc w:val="left"/>
      <w:pPr>
        <w:ind w:left="8161" w:hanging="852"/>
      </w:pPr>
      <w:rPr>
        <w:rFonts w:hint="default"/>
        <w:lang w:val="en-US" w:eastAsia="en-US" w:bidi="en-US"/>
      </w:rPr>
    </w:lvl>
  </w:abstractNum>
  <w:abstractNum w:abstractNumId="18">
    <w:nsid w:val="24A92576"/>
    <w:multiLevelType w:val="hybridMultilevel"/>
    <w:tmpl w:val="C4B28AA8"/>
    <w:lvl w:ilvl="0" w:tplc="C73E0BC6">
      <w:start w:val="6"/>
      <w:numFmt w:val="decimal"/>
      <w:lvlText w:val="%1"/>
      <w:lvlJc w:val="left"/>
      <w:pPr>
        <w:ind w:left="1252" w:hanging="569"/>
        <w:jc w:val="left"/>
      </w:pPr>
      <w:rPr>
        <w:rFonts w:hint="default"/>
        <w:lang w:val="en-US" w:eastAsia="en-US" w:bidi="en-US"/>
      </w:rPr>
    </w:lvl>
    <w:lvl w:ilvl="1" w:tplc="E4AAE466">
      <w:numFmt w:val="none"/>
      <w:lvlText w:val=""/>
      <w:lvlJc w:val="left"/>
      <w:pPr>
        <w:tabs>
          <w:tab w:val="num" w:pos="360"/>
        </w:tabs>
      </w:pPr>
    </w:lvl>
    <w:lvl w:ilvl="2" w:tplc="E154CFE4">
      <w:numFmt w:val="bullet"/>
      <w:lvlText w:val="•"/>
      <w:lvlJc w:val="left"/>
      <w:pPr>
        <w:ind w:left="2985" w:hanging="569"/>
      </w:pPr>
      <w:rPr>
        <w:rFonts w:hint="default"/>
        <w:lang w:val="en-US" w:eastAsia="en-US" w:bidi="en-US"/>
      </w:rPr>
    </w:lvl>
    <w:lvl w:ilvl="3" w:tplc="D6A07726">
      <w:numFmt w:val="bullet"/>
      <w:lvlText w:val="•"/>
      <w:lvlJc w:val="left"/>
      <w:pPr>
        <w:ind w:left="3847" w:hanging="569"/>
      </w:pPr>
      <w:rPr>
        <w:rFonts w:hint="default"/>
        <w:lang w:val="en-US" w:eastAsia="en-US" w:bidi="en-US"/>
      </w:rPr>
    </w:lvl>
    <w:lvl w:ilvl="4" w:tplc="7FC8935C">
      <w:numFmt w:val="bullet"/>
      <w:lvlText w:val="•"/>
      <w:lvlJc w:val="left"/>
      <w:pPr>
        <w:ind w:left="4710" w:hanging="569"/>
      </w:pPr>
      <w:rPr>
        <w:rFonts w:hint="default"/>
        <w:lang w:val="en-US" w:eastAsia="en-US" w:bidi="en-US"/>
      </w:rPr>
    </w:lvl>
    <w:lvl w:ilvl="5" w:tplc="D9F40BA2">
      <w:numFmt w:val="bullet"/>
      <w:lvlText w:val="•"/>
      <w:lvlJc w:val="left"/>
      <w:pPr>
        <w:ind w:left="5573" w:hanging="569"/>
      </w:pPr>
      <w:rPr>
        <w:rFonts w:hint="default"/>
        <w:lang w:val="en-US" w:eastAsia="en-US" w:bidi="en-US"/>
      </w:rPr>
    </w:lvl>
    <w:lvl w:ilvl="6" w:tplc="90488F98">
      <w:numFmt w:val="bullet"/>
      <w:lvlText w:val="•"/>
      <w:lvlJc w:val="left"/>
      <w:pPr>
        <w:ind w:left="6435" w:hanging="569"/>
      </w:pPr>
      <w:rPr>
        <w:rFonts w:hint="default"/>
        <w:lang w:val="en-US" w:eastAsia="en-US" w:bidi="en-US"/>
      </w:rPr>
    </w:lvl>
    <w:lvl w:ilvl="7" w:tplc="220CA744">
      <w:numFmt w:val="bullet"/>
      <w:lvlText w:val="•"/>
      <w:lvlJc w:val="left"/>
      <w:pPr>
        <w:ind w:left="7298" w:hanging="569"/>
      </w:pPr>
      <w:rPr>
        <w:rFonts w:hint="default"/>
        <w:lang w:val="en-US" w:eastAsia="en-US" w:bidi="en-US"/>
      </w:rPr>
    </w:lvl>
    <w:lvl w:ilvl="8" w:tplc="6F6283B2">
      <w:numFmt w:val="bullet"/>
      <w:lvlText w:val="•"/>
      <w:lvlJc w:val="left"/>
      <w:pPr>
        <w:ind w:left="8161" w:hanging="569"/>
      </w:pPr>
      <w:rPr>
        <w:rFonts w:hint="default"/>
        <w:lang w:val="en-US" w:eastAsia="en-US" w:bidi="en-US"/>
      </w:rPr>
    </w:lvl>
  </w:abstractNum>
  <w:abstractNum w:abstractNumId="19">
    <w:nsid w:val="24E77E53"/>
    <w:multiLevelType w:val="hybridMultilevel"/>
    <w:tmpl w:val="2AFEAC00"/>
    <w:lvl w:ilvl="0" w:tplc="10E452D4">
      <w:start w:val="2"/>
      <w:numFmt w:val="lowerLetter"/>
      <w:lvlText w:val="(%1)"/>
      <w:lvlJc w:val="left"/>
      <w:pPr>
        <w:ind w:left="1960" w:hanging="420"/>
        <w:jc w:val="left"/>
      </w:pPr>
      <w:rPr>
        <w:rFonts w:ascii="Arial" w:eastAsia="Arial" w:hAnsi="Arial" w:cs="Arial" w:hint="default"/>
        <w:w w:val="100"/>
        <w:sz w:val="28"/>
        <w:szCs w:val="28"/>
        <w:lang w:val="en-US" w:eastAsia="en-US" w:bidi="en-US"/>
      </w:rPr>
    </w:lvl>
    <w:lvl w:ilvl="1" w:tplc="E97CB91A">
      <w:numFmt w:val="bullet"/>
      <w:lvlText w:val="•"/>
      <w:lvlJc w:val="left"/>
      <w:pPr>
        <w:ind w:left="2722" w:hanging="420"/>
      </w:pPr>
      <w:rPr>
        <w:rFonts w:hint="default"/>
        <w:lang w:val="en-US" w:eastAsia="en-US" w:bidi="en-US"/>
      </w:rPr>
    </w:lvl>
    <w:lvl w:ilvl="2" w:tplc="B73AABBE">
      <w:numFmt w:val="bullet"/>
      <w:lvlText w:val="•"/>
      <w:lvlJc w:val="left"/>
      <w:pPr>
        <w:ind w:left="3484" w:hanging="420"/>
      </w:pPr>
      <w:rPr>
        <w:rFonts w:hint="default"/>
        <w:lang w:val="en-US" w:eastAsia="en-US" w:bidi="en-US"/>
      </w:rPr>
    </w:lvl>
    <w:lvl w:ilvl="3" w:tplc="03EE3734">
      <w:numFmt w:val="bullet"/>
      <w:lvlText w:val="•"/>
      <w:lvlJc w:val="left"/>
      <w:pPr>
        <w:ind w:left="4246" w:hanging="420"/>
      </w:pPr>
      <w:rPr>
        <w:rFonts w:hint="default"/>
        <w:lang w:val="en-US" w:eastAsia="en-US" w:bidi="en-US"/>
      </w:rPr>
    </w:lvl>
    <w:lvl w:ilvl="4" w:tplc="227671F4">
      <w:numFmt w:val="bullet"/>
      <w:lvlText w:val="•"/>
      <w:lvlJc w:val="left"/>
      <w:pPr>
        <w:ind w:left="5008" w:hanging="420"/>
      </w:pPr>
      <w:rPr>
        <w:rFonts w:hint="default"/>
        <w:lang w:val="en-US" w:eastAsia="en-US" w:bidi="en-US"/>
      </w:rPr>
    </w:lvl>
    <w:lvl w:ilvl="5" w:tplc="0DA6063E">
      <w:numFmt w:val="bullet"/>
      <w:lvlText w:val="•"/>
      <w:lvlJc w:val="left"/>
      <w:pPr>
        <w:ind w:left="5770" w:hanging="420"/>
      </w:pPr>
      <w:rPr>
        <w:rFonts w:hint="default"/>
        <w:lang w:val="en-US" w:eastAsia="en-US" w:bidi="en-US"/>
      </w:rPr>
    </w:lvl>
    <w:lvl w:ilvl="6" w:tplc="BC3276E6">
      <w:numFmt w:val="bullet"/>
      <w:lvlText w:val="•"/>
      <w:lvlJc w:val="left"/>
      <w:pPr>
        <w:ind w:left="6532" w:hanging="420"/>
      </w:pPr>
      <w:rPr>
        <w:rFonts w:hint="default"/>
        <w:lang w:val="en-US" w:eastAsia="en-US" w:bidi="en-US"/>
      </w:rPr>
    </w:lvl>
    <w:lvl w:ilvl="7" w:tplc="B32E876E">
      <w:numFmt w:val="bullet"/>
      <w:lvlText w:val="•"/>
      <w:lvlJc w:val="left"/>
      <w:pPr>
        <w:ind w:left="7294" w:hanging="420"/>
      </w:pPr>
      <w:rPr>
        <w:rFonts w:hint="default"/>
        <w:lang w:val="en-US" w:eastAsia="en-US" w:bidi="en-US"/>
      </w:rPr>
    </w:lvl>
    <w:lvl w:ilvl="8" w:tplc="3168C6E0">
      <w:numFmt w:val="bullet"/>
      <w:lvlText w:val="•"/>
      <w:lvlJc w:val="left"/>
      <w:pPr>
        <w:ind w:left="8056" w:hanging="420"/>
      </w:pPr>
      <w:rPr>
        <w:rFonts w:hint="default"/>
        <w:lang w:val="en-US" w:eastAsia="en-US" w:bidi="en-US"/>
      </w:rPr>
    </w:lvl>
  </w:abstractNum>
  <w:abstractNum w:abstractNumId="20">
    <w:nsid w:val="265D709A"/>
    <w:multiLevelType w:val="hybridMultilevel"/>
    <w:tmpl w:val="C2F22E84"/>
    <w:lvl w:ilvl="0" w:tplc="E5D00E9A">
      <w:start w:val="9"/>
      <w:numFmt w:val="decimal"/>
      <w:lvlText w:val="%1"/>
      <w:lvlJc w:val="left"/>
      <w:pPr>
        <w:ind w:left="1252" w:hanging="569"/>
        <w:jc w:val="left"/>
      </w:pPr>
      <w:rPr>
        <w:rFonts w:hint="default"/>
        <w:lang w:val="en-US" w:eastAsia="en-US" w:bidi="en-US"/>
      </w:rPr>
    </w:lvl>
    <w:lvl w:ilvl="1" w:tplc="8362B686">
      <w:numFmt w:val="none"/>
      <w:lvlText w:val=""/>
      <w:lvlJc w:val="left"/>
      <w:pPr>
        <w:tabs>
          <w:tab w:val="num" w:pos="360"/>
        </w:tabs>
      </w:pPr>
    </w:lvl>
    <w:lvl w:ilvl="2" w:tplc="E63ADAC6">
      <w:start w:val="1"/>
      <w:numFmt w:val="decimal"/>
      <w:lvlText w:val="(%3)"/>
      <w:lvlJc w:val="left"/>
      <w:pPr>
        <w:ind w:left="2526" w:hanging="358"/>
        <w:jc w:val="left"/>
      </w:pPr>
      <w:rPr>
        <w:rFonts w:ascii="Bookman Old Style" w:eastAsia="Bookman Old Style" w:hAnsi="Bookman Old Style" w:cs="Bookman Old Style" w:hint="default"/>
        <w:i/>
        <w:w w:val="100"/>
        <w:sz w:val="24"/>
        <w:szCs w:val="24"/>
        <w:lang w:val="en-US" w:eastAsia="en-US" w:bidi="en-US"/>
      </w:rPr>
    </w:lvl>
    <w:lvl w:ilvl="3" w:tplc="9BD84C2C">
      <w:start w:val="1"/>
      <w:numFmt w:val="lowerLetter"/>
      <w:lvlText w:val="%4."/>
      <w:lvlJc w:val="left"/>
      <w:pPr>
        <w:ind w:left="2810" w:hanging="284"/>
        <w:jc w:val="left"/>
      </w:pPr>
      <w:rPr>
        <w:rFonts w:ascii="Bookman Old Style" w:eastAsia="Bookman Old Style" w:hAnsi="Bookman Old Style" w:cs="Bookman Old Style" w:hint="default"/>
        <w:i/>
        <w:spacing w:val="-3"/>
        <w:w w:val="100"/>
        <w:sz w:val="24"/>
        <w:szCs w:val="24"/>
        <w:lang w:val="en-US" w:eastAsia="en-US" w:bidi="en-US"/>
      </w:rPr>
    </w:lvl>
    <w:lvl w:ilvl="4" w:tplc="BB345E36">
      <w:numFmt w:val="bullet"/>
      <w:lvlText w:val="•"/>
      <w:lvlJc w:val="left"/>
      <w:pPr>
        <w:ind w:left="4586" w:hanging="284"/>
      </w:pPr>
      <w:rPr>
        <w:rFonts w:hint="default"/>
        <w:lang w:val="en-US" w:eastAsia="en-US" w:bidi="en-US"/>
      </w:rPr>
    </w:lvl>
    <w:lvl w:ilvl="5" w:tplc="AD2E2BAE">
      <w:numFmt w:val="bullet"/>
      <w:lvlText w:val="•"/>
      <w:lvlJc w:val="left"/>
      <w:pPr>
        <w:ind w:left="5469" w:hanging="284"/>
      </w:pPr>
      <w:rPr>
        <w:rFonts w:hint="default"/>
        <w:lang w:val="en-US" w:eastAsia="en-US" w:bidi="en-US"/>
      </w:rPr>
    </w:lvl>
    <w:lvl w:ilvl="6" w:tplc="37C02F1C">
      <w:numFmt w:val="bullet"/>
      <w:lvlText w:val="•"/>
      <w:lvlJc w:val="left"/>
      <w:pPr>
        <w:ind w:left="6353" w:hanging="284"/>
      </w:pPr>
      <w:rPr>
        <w:rFonts w:hint="default"/>
        <w:lang w:val="en-US" w:eastAsia="en-US" w:bidi="en-US"/>
      </w:rPr>
    </w:lvl>
    <w:lvl w:ilvl="7" w:tplc="A59CD5E0">
      <w:numFmt w:val="bullet"/>
      <w:lvlText w:val="•"/>
      <w:lvlJc w:val="left"/>
      <w:pPr>
        <w:ind w:left="7236" w:hanging="284"/>
      </w:pPr>
      <w:rPr>
        <w:rFonts w:hint="default"/>
        <w:lang w:val="en-US" w:eastAsia="en-US" w:bidi="en-US"/>
      </w:rPr>
    </w:lvl>
    <w:lvl w:ilvl="8" w:tplc="A052F778">
      <w:numFmt w:val="bullet"/>
      <w:lvlText w:val="•"/>
      <w:lvlJc w:val="left"/>
      <w:pPr>
        <w:ind w:left="8119" w:hanging="284"/>
      </w:pPr>
      <w:rPr>
        <w:rFonts w:hint="default"/>
        <w:lang w:val="en-US" w:eastAsia="en-US" w:bidi="en-US"/>
      </w:rPr>
    </w:lvl>
  </w:abstractNum>
  <w:abstractNum w:abstractNumId="21">
    <w:nsid w:val="26647900"/>
    <w:multiLevelType w:val="hybridMultilevel"/>
    <w:tmpl w:val="92789146"/>
    <w:lvl w:ilvl="0" w:tplc="BDE8135C">
      <w:start w:val="2"/>
      <w:numFmt w:val="decimal"/>
      <w:lvlText w:val="%1."/>
      <w:lvlJc w:val="left"/>
      <w:pPr>
        <w:ind w:left="500" w:hanging="720"/>
        <w:jc w:val="left"/>
      </w:pPr>
      <w:rPr>
        <w:rFonts w:hint="default"/>
        <w:spacing w:val="0"/>
        <w:w w:val="100"/>
        <w:lang w:val="en-US" w:eastAsia="en-US" w:bidi="en-US"/>
      </w:rPr>
    </w:lvl>
    <w:lvl w:ilvl="1" w:tplc="EFF296A8">
      <w:start w:val="2"/>
      <w:numFmt w:val="decimal"/>
      <w:lvlText w:val="%2."/>
      <w:lvlJc w:val="left"/>
      <w:pPr>
        <w:ind w:left="1350" w:hanging="432"/>
        <w:jc w:val="left"/>
      </w:pPr>
      <w:rPr>
        <w:rFonts w:ascii="Bookman Old Style" w:eastAsia="Bookman Old Style" w:hAnsi="Bookman Old Style" w:cs="Bookman Old Style" w:hint="default"/>
        <w:w w:val="100"/>
        <w:sz w:val="28"/>
        <w:szCs w:val="28"/>
        <w:lang w:val="en-US" w:eastAsia="en-US" w:bidi="en-US"/>
      </w:rPr>
    </w:lvl>
    <w:lvl w:ilvl="2" w:tplc="4364E340">
      <w:numFmt w:val="bullet"/>
      <w:lvlText w:val="•"/>
      <w:lvlJc w:val="left"/>
      <w:pPr>
        <w:ind w:left="2298" w:hanging="432"/>
      </w:pPr>
      <w:rPr>
        <w:rFonts w:hint="default"/>
        <w:lang w:val="en-US" w:eastAsia="en-US" w:bidi="en-US"/>
      </w:rPr>
    </w:lvl>
    <w:lvl w:ilvl="3" w:tplc="A42EED40">
      <w:numFmt w:val="bullet"/>
      <w:lvlText w:val="•"/>
      <w:lvlJc w:val="left"/>
      <w:pPr>
        <w:ind w:left="3236" w:hanging="432"/>
      </w:pPr>
      <w:rPr>
        <w:rFonts w:hint="default"/>
        <w:lang w:val="en-US" w:eastAsia="en-US" w:bidi="en-US"/>
      </w:rPr>
    </w:lvl>
    <w:lvl w:ilvl="4" w:tplc="51C0A5A0">
      <w:numFmt w:val="bullet"/>
      <w:lvlText w:val="•"/>
      <w:lvlJc w:val="left"/>
      <w:pPr>
        <w:ind w:left="4175" w:hanging="432"/>
      </w:pPr>
      <w:rPr>
        <w:rFonts w:hint="default"/>
        <w:lang w:val="en-US" w:eastAsia="en-US" w:bidi="en-US"/>
      </w:rPr>
    </w:lvl>
    <w:lvl w:ilvl="5" w:tplc="89CA9FD8">
      <w:numFmt w:val="bullet"/>
      <w:lvlText w:val="•"/>
      <w:lvlJc w:val="left"/>
      <w:pPr>
        <w:ind w:left="5113" w:hanging="432"/>
      </w:pPr>
      <w:rPr>
        <w:rFonts w:hint="default"/>
        <w:lang w:val="en-US" w:eastAsia="en-US" w:bidi="en-US"/>
      </w:rPr>
    </w:lvl>
    <w:lvl w:ilvl="6" w:tplc="9A6A4C9C">
      <w:numFmt w:val="bullet"/>
      <w:lvlText w:val="•"/>
      <w:lvlJc w:val="left"/>
      <w:pPr>
        <w:ind w:left="6052" w:hanging="432"/>
      </w:pPr>
      <w:rPr>
        <w:rFonts w:hint="default"/>
        <w:lang w:val="en-US" w:eastAsia="en-US" w:bidi="en-US"/>
      </w:rPr>
    </w:lvl>
    <w:lvl w:ilvl="7" w:tplc="507AC6E4">
      <w:numFmt w:val="bullet"/>
      <w:lvlText w:val="•"/>
      <w:lvlJc w:val="left"/>
      <w:pPr>
        <w:ind w:left="6990" w:hanging="432"/>
      </w:pPr>
      <w:rPr>
        <w:rFonts w:hint="default"/>
        <w:lang w:val="en-US" w:eastAsia="en-US" w:bidi="en-US"/>
      </w:rPr>
    </w:lvl>
    <w:lvl w:ilvl="8" w:tplc="D3E697F8">
      <w:numFmt w:val="bullet"/>
      <w:lvlText w:val="•"/>
      <w:lvlJc w:val="left"/>
      <w:pPr>
        <w:ind w:left="7929" w:hanging="432"/>
      </w:pPr>
      <w:rPr>
        <w:rFonts w:hint="default"/>
        <w:lang w:val="en-US" w:eastAsia="en-US" w:bidi="en-US"/>
      </w:rPr>
    </w:lvl>
  </w:abstractNum>
  <w:abstractNum w:abstractNumId="22">
    <w:nsid w:val="2A147334"/>
    <w:multiLevelType w:val="hybridMultilevel"/>
    <w:tmpl w:val="BBE826D8"/>
    <w:lvl w:ilvl="0" w:tplc="9F5E760C">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18724CF0">
      <w:numFmt w:val="bullet"/>
      <w:lvlText w:val="•"/>
      <w:lvlJc w:val="left"/>
      <w:pPr>
        <w:ind w:left="1996" w:hanging="720"/>
      </w:pPr>
      <w:rPr>
        <w:rFonts w:hint="default"/>
        <w:lang w:val="en-US" w:eastAsia="en-US" w:bidi="en-US"/>
      </w:rPr>
    </w:lvl>
    <w:lvl w:ilvl="2" w:tplc="E46C8D9A">
      <w:numFmt w:val="bullet"/>
      <w:lvlText w:val="•"/>
      <w:lvlJc w:val="left"/>
      <w:pPr>
        <w:ind w:left="2873" w:hanging="720"/>
      </w:pPr>
      <w:rPr>
        <w:rFonts w:hint="default"/>
        <w:lang w:val="en-US" w:eastAsia="en-US" w:bidi="en-US"/>
      </w:rPr>
    </w:lvl>
    <w:lvl w:ilvl="3" w:tplc="CCBA879A">
      <w:numFmt w:val="bullet"/>
      <w:lvlText w:val="•"/>
      <w:lvlJc w:val="left"/>
      <w:pPr>
        <w:ind w:left="3749" w:hanging="720"/>
      </w:pPr>
      <w:rPr>
        <w:rFonts w:hint="default"/>
        <w:lang w:val="en-US" w:eastAsia="en-US" w:bidi="en-US"/>
      </w:rPr>
    </w:lvl>
    <w:lvl w:ilvl="4" w:tplc="A6F81B52">
      <w:numFmt w:val="bullet"/>
      <w:lvlText w:val="•"/>
      <w:lvlJc w:val="left"/>
      <w:pPr>
        <w:ind w:left="4626" w:hanging="720"/>
      </w:pPr>
      <w:rPr>
        <w:rFonts w:hint="default"/>
        <w:lang w:val="en-US" w:eastAsia="en-US" w:bidi="en-US"/>
      </w:rPr>
    </w:lvl>
    <w:lvl w:ilvl="5" w:tplc="6B5C232C">
      <w:numFmt w:val="bullet"/>
      <w:lvlText w:val="•"/>
      <w:lvlJc w:val="left"/>
      <w:pPr>
        <w:ind w:left="5503" w:hanging="720"/>
      </w:pPr>
      <w:rPr>
        <w:rFonts w:hint="default"/>
        <w:lang w:val="en-US" w:eastAsia="en-US" w:bidi="en-US"/>
      </w:rPr>
    </w:lvl>
    <w:lvl w:ilvl="6" w:tplc="9B744086">
      <w:numFmt w:val="bullet"/>
      <w:lvlText w:val="•"/>
      <w:lvlJc w:val="left"/>
      <w:pPr>
        <w:ind w:left="6379" w:hanging="720"/>
      </w:pPr>
      <w:rPr>
        <w:rFonts w:hint="default"/>
        <w:lang w:val="en-US" w:eastAsia="en-US" w:bidi="en-US"/>
      </w:rPr>
    </w:lvl>
    <w:lvl w:ilvl="7" w:tplc="B742E69C">
      <w:numFmt w:val="bullet"/>
      <w:lvlText w:val="•"/>
      <w:lvlJc w:val="left"/>
      <w:pPr>
        <w:ind w:left="7256" w:hanging="720"/>
      </w:pPr>
      <w:rPr>
        <w:rFonts w:hint="default"/>
        <w:lang w:val="en-US" w:eastAsia="en-US" w:bidi="en-US"/>
      </w:rPr>
    </w:lvl>
    <w:lvl w:ilvl="8" w:tplc="6CAEEF6A">
      <w:numFmt w:val="bullet"/>
      <w:lvlText w:val="•"/>
      <w:lvlJc w:val="left"/>
      <w:pPr>
        <w:ind w:left="8133" w:hanging="720"/>
      </w:pPr>
      <w:rPr>
        <w:rFonts w:hint="default"/>
        <w:lang w:val="en-US" w:eastAsia="en-US" w:bidi="en-US"/>
      </w:rPr>
    </w:lvl>
  </w:abstractNum>
  <w:abstractNum w:abstractNumId="23">
    <w:nsid w:val="2A1C2EF5"/>
    <w:multiLevelType w:val="hybridMultilevel"/>
    <w:tmpl w:val="430C87F2"/>
    <w:lvl w:ilvl="0" w:tplc="EADCA4FC">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D33431EA">
      <w:numFmt w:val="bullet"/>
      <w:lvlText w:val="•"/>
      <w:lvlJc w:val="left"/>
      <w:pPr>
        <w:ind w:left="1996" w:hanging="720"/>
      </w:pPr>
      <w:rPr>
        <w:rFonts w:hint="default"/>
        <w:lang w:val="en-US" w:eastAsia="en-US" w:bidi="en-US"/>
      </w:rPr>
    </w:lvl>
    <w:lvl w:ilvl="2" w:tplc="387698EE">
      <w:numFmt w:val="bullet"/>
      <w:lvlText w:val="•"/>
      <w:lvlJc w:val="left"/>
      <w:pPr>
        <w:ind w:left="2873" w:hanging="720"/>
      </w:pPr>
      <w:rPr>
        <w:rFonts w:hint="default"/>
        <w:lang w:val="en-US" w:eastAsia="en-US" w:bidi="en-US"/>
      </w:rPr>
    </w:lvl>
    <w:lvl w:ilvl="3" w:tplc="512C633E">
      <w:numFmt w:val="bullet"/>
      <w:lvlText w:val="•"/>
      <w:lvlJc w:val="left"/>
      <w:pPr>
        <w:ind w:left="3749" w:hanging="720"/>
      </w:pPr>
      <w:rPr>
        <w:rFonts w:hint="default"/>
        <w:lang w:val="en-US" w:eastAsia="en-US" w:bidi="en-US"/>
      </w:rPr>
    </w:lvl>
    <w:lvl w:ilvl="4" w:tplc="CFA47AA2">
      <w:numFmt w:val="bullet"/>
      <w:lvlText w:val="•"/>
      <w:lvlJc w:val="left"/>
      <w:pPr>
        <w:ind w:left="4626" w:hanging="720"/>
      </w:pPr>
      <w:rPr>
        <w:rFonts w:hint="default"/>
        <w:lang w:val="en-US" w:eastAsia="en-US" w:bidi="en-US"/>
      </w:rPr>
    </w:lvl>
    <w:lvl w:ilvl="5" w:tplc="3F6EDECA">
      <w:numFmt w:val="bullet"/>
      <w:lvlText w:val="•"/>
      <w:lvlJc w:val="left"/>
      <w:pPr>
        <w:ind w:left="5503" w:hanging="720"/>
      </w:pPr>
      <w:rPr>
        <w:rFonts w:hint="default"/>
        <w:lang w:val="en-US" w:eastAsia="en-US" w:bidi="en-US"/>
      </w:rPr>
    </w:lvl>
    <w:lvl w:ilvl="6" w:tplc="85301A84">
      <w:numFmt w:val="bullet"/>
      <w:lvlText w:val="•"/>
      <w:lvlJc w:val="left"/>
      <w:pPr>
        <w:ind w:left="6379" w:hanging="720"/>
      </w:pPr>
      <w:rPr>
        <w:rFonts w:hint="default"/>
        <w:lang w:val="en-US" w:eastAsia="en-US" w:bidi="en-US"/>
      </w:rPr>
    </w:lvl>
    <w:lvl w:ilvl="7" w:tplc="96F0E730">
      <w:numFmt w:val="bullet"/>
      <w:lvlText w:val="•"/>
      <w:lvlJc w:val="left"/>
      <w:pPr>
        <w:ind w:left="7256" w:hanging="720"/>
      </w:pPr>
      <w:rPr>
        <w:rFonts w:hint="default"/>
        <w:lang w:val="en-US" w:eastAsia="en-US" w:bidi="en-US"/>
      </w:rPr>
    </w:lvl>
    <w:lvl w:ilvl="8" w:tplc="BAFE4FD2">
      <w:numFmt w:val="bullet"/>
      <w:lvlText w:val="•"/>
      <w:lvlJc w:val="left"/>
      <w:pPr>
        <w:ind w:left="8133" w:hanging="720"/>
      </w:pPr>
      <w:rPr>
        <w:rFonts w:hint="default"/>
        <w:lang w:val="en-US" w:eastAsia="en-US" w:bidi="en-US"/>
      </w:rPr>
    </w:lvl>
  </w:abstractNum>
  <w:abstractNum w:abstractNumId="24">
    <w:nsid w:val="2BE123EA"/>
    <w:multiLevelType w:val="hybridMultilevel"/>
    <w:tmpl w:val="0DCCA028"/>
    <w:lvl w:ilvl="0" w:tplc="C0C4D2F2">
      <w:start w:val="1"/>
      <w:numFmt w:val="decimal"/>
      <w:lvlText w:val="%1"/>
      <w:lvlJc w:val="left"/>
      <w:pPr>
        <w:ind w:left="400" w:hanging="720"/>
        <w:jc w:val="left"/>
      </w:pPr>
      <w:rPr>
        <w:rFonts w:ascii="Arial" w:eastAsia="Arial" w:hAnsi="Arial" w:cs="Arial" w:hint="default"/>
        <w:w w:val="99"/>
        <w:sz w:val="26"/>
        <w:szCs w:val="26"/>
        <w:lang w:val="en-US" w:eastAsia="en-US" w:bidi="en-US"/>
      </w:rPr>
    </w:lvl>
    <w:lvl w:ilvl="1" w:tplc="39CC9A7C">
      <w:start w:val="1"/>
      <w:numFmt w:val="lowerLetter"/>
      <w:lvlText w:val="(%2)"/>
      <w:lvlJc w:val="left"/>
      <w:pPr>
        <w:ind w:left="2154" w:hanging="315"/>
        <w:jc w:val="left"/>
      </w:pPr>
      <w:rPr>
        <w:rFonts w:hint="default"/>
        <w:spacing w:val="-1"/>
        <w:w w:val="100"/>
        <w:lang w:val="en-US" w:eastAsia="en-US" w:bidi="en-US"/>
      </w:rPr>
    </w:lvl>
    <w:lvl w:ilvl="2" w:tplc="FE441D76">
      <w:start w:val="1"/>
      <w:numFmt w:val="decimal"/>
      <w:lvlText w:val="(%3)"/>
      <w:lvlJc w:val="left"/>
      <w:pPr>
        <w:ind w:left="1840" w:hanging="315"/>
        <w:jc w:val="left"/>
      </w:pPr>
      <w:rPr>
        <w:rFonts w:ascii="Arial" w:eastAsia="Arial" w:hAnsi="Arial" w:cs="Arial" w:hint="default"/>
        <w:spacing w:val="-1"/>
        <w:w w:val="100"/>
        <w:sz w:val="21"/>
        <w:szCs w:val="21"/>
        <w:lang w:val="en-US" w:eastAsia="en-US" w:bidi="en-US"/>
      </w:rPr>
    </w:lvl>
    <w:lvl w:ilvl="3" w:tplc="A06A855E">
      <w:start w:val="1"/>
      <w:numFmt w:val="lowerRoman"/>
      <w:lvlText w:val="(%4)"/>
      <w:lvlJc w:val="left"/>
      <w:pPr>
        <w:ind w:left="1840" w:hanging="315"/>
        <w:jc w:val="left"/>
      </w:pPr>
      <w:rPr>
        <w:rFonts w:ascii="Arial" w:eastAsia="Arial" w:hAnsi="Arial" w:cs="Arial" w:hint="default"/>
        <w:spacing w:val="-1"/>
        <w:w w:val="100"/>
        <w:sz w:val="21"/>
        <w:szCs w:val="21"/>
        <w:lang w:val="en-US" w:eastAsia="en-US" w:bidi="en-US"/>
      </w:rPr>
    </w:lvl>
    <w:lvl w:ilvl="4" w:tplc="CDE8F8CE">
      <w:numFmt w:val="bullet"/>
      <w:lvlText w:val="•"/>
      <w:lvlJc w:val="left"/>
      <w:pPr>
        <w:ind w:left="4091" w:hanging="315"/>
      </w:pPr>
      <w:rPr>
        <w:rFonts w:hint="default"/>
        <w:lang w:val="en-US" w:eastAsia="en-US" w:bidi="en-US"/>
      </w:rPr>
    </w:lvl>
    <w:lvl w:ilvl="5" w:tplc="95787FD4">
      <w:numFmt w:val="bullet"/>
      <w:lvlText w:val="•"/>
      <w:lvlJc w:val="left"/>
      <w:pPr>
        <w:ind w:left="5057" w:hanging="315"/>
      </w:pPr>
      <w:rPr>
        <w:rFonts w:hint="default"/>
        <w:lang w:val="en-US" w:eastAsia="en-US" w:bidi="en-US"/>
      </w:rPr>
    </w:lvl>
    <w:lvl w:ilvl="6" w:tplc="59FED060">
      <w:numFmt w:val="bullet"/>
      <w:lvlText w:val="•"/>
      <w:lvlJc w:val="left"/>
      <w:pPr>
        <w:ind w:left="6023" w:hanging="315"/>
      </w:pPr>
      <w:rPr>
        <w:rFonts w:hint="default"/>
        <w:lang w:val="en-US" w:eastAsia="en-US" w:bidi="en-US"/>
      </w:rPr>
    </w:lvl>
    <w:lvl w:ilvl="7" w:tplc="9D62427A">
      <w:numFmt w:val="bullet"/>
      <w:lvlText w:val="•"/>
      <w:lvlJc w:val="left"/>
      <w:pPr>
        <w:ind w:left="6989" w:hanging="315"/>
      </w:pPr>
      <w:rPr>
        <w:rFonts w:hint="default"/>
        <w:lang w:val="en-US" w:eastAsia="en-US" w:bidi="en-US"/>
      </w:rPr>
    </w:lvl>
    <w:lvl w:ilvl="8" w:tplc="8D5EE880">
      <w:numFmt w:val="bullet"/>
      <w:lvlText w:val="•"/>
      <w:lvlJc w:val="left"/>
      <w:pPr>
        <w:ind w:left="7954" w:hanging="315"/>
      </w:pPr>
      <w:rPr>
        <w:rFonts w:hint="default"/>
        <w:lang w:val="en-US" w:eastAsia="en-US" w:bidi="en-US"/>
      </w:rPr>
    </w:lvl>
  </w:abstractNum>
  <w:abstractNum w:abstractNumId="25">
    <w:nsid w:val="2CEF0CC1"/>
    <w:multiLevelType w:val="hybridMultilevel"/>
    <w:tmpl w:val="F6640FC4"/>
    <w:lvl w:ilvl="0" w:tplc="1F5463D0">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8F2C3118">
      <w:numFmt w:val="bullet"/>
      <w:lvlText w:val="•"/>
      <w:lvlJc w:val="left"/>
      <w:pPr>
        <w:ind w:left="1996" w:hanging="720"/>
      </w:pPr>
      <w:rPr>
        <w:rFonts w:hint="default"/>
        <w:lang w:val="en-US" w:eastAsia="en-US" w:bidi="en-US"/>
      </w:rPr>
    </w:lvl>
    <w:lvl w:ilvl="2" w:tplc="EE327A0A">
      <w:numFmt w:val="bullet"/>
      <w:lvlText w:val="•"/>
      <w:lvlJc w:val="left"/>
      <w:pPr>
        <w:ind w:left="2873" w:hanging="720"/>
      </w:pPr>
      <w:rPr>
        <w:rFonts w:hint="default"/>
        <w:lang w:val="en-US" w:eastAsia="en-US" w:bidi="en-US"/>
      </w:rPr>
    </w:lvl>
    <w:lvl w:ilvl="3" w:tplc="4E987A26">
      <w:numFmt w:val="bullet"/>
      <w:lvlText w:val="•"/>
      <w:lvlJc w:val="left"/>
      <w:pPr>
        <w:ind w:left="3749" w:hanging="720"/>
      </w:pPr>
      <w:rPr>
        <w:rFonts w:hint="default"/>
        <w:lang w:val="en-US" w:eastAsia="en-US" w:bidi="en-US"/>
      </w:rPr>
    </w:lvl>
    <w:lvl w:ilvl="4" w:tplc="AA0C1298">
      <w:numFmt w:val="bullet"/>
      <w:lvlText w:val="•"/>
      <w:lvlJc w:val="left"/>
      <w:pPr>
        <w:ind w:left="4626" w:hanging="720"/>
      </w:pPr>
      <w:rPr>
        <w:rFonts w:hint="default"/>
        <w:lang w:val="en-US" w:eastAsia="en-US" w:bidi="en-US"/>
      </w:rPr>
    </w:lvl>
    <w:lvl w:ilvl="5" w:tplc="943C6C5C">
      <w:numFmt w:val="bullet"/>
      <w:lvlText w:val="•"/>
      <w:lvlJc w:val="left"/>
      <w:pPr>
        <w:ind w:left="5503" w:hanging="720"/>
      </w:pPr>
      <w:rPr>
        <w:rFonts w:hint="default"/>
        <w:lang w:val="en-US" w:eastAsia="en-US" w:bidi="en-US"/>
      </w:rPr>
    </w:lvl>
    <w:lvl w:ilvl="6" w:tplc="824E7F0E">
      <w:numFmt w:val="bullet"/>
      <w:lvlText w:val="•"/>
      <w:lvlJc w:val="left"/>
      <w:pPr>
        <w:ind w:left="6379" w:hanging="720"/>
      </w:pPr>
      <w:rPr>
        <w:rFonts w:hint="default"/>
        <w:lang w:val="en-US" w:eastAsia="en-US" w:bidi="en-US"/>
      </w:rPr>
    </w:lvl>
    <w:lvl w:ilvl="7" w:tplc="A92C90CC">
      <w:numFmt w:val="bullet"/>
      <w:lvlText w:val="•"/>
      <w:lvlJc w:val="left"/>
      <w:pPr>
        <w:ind w:left="7256" w:hanging="720"/>
      </w:pPr>
      <w:rPr>
        <w:rFonts w:hint="default"/>
        <w:lang w:val="en-US" w:eastAsia="en-US" w:bidi="en-US"/>
      </w:rPr>
    </w:lvl>
    <w:lvl w:ilvl="8" w:tplc="876CB716">
      <w:numFmt w:val="bullet"/>
      <w:lvlText w:val="•"/>
      <w:lvlJc w:val="left"/>
      <w:pPr>
        <w:ind w:left="8133" w:hanging="720"/>
      </w:pPr>
      <w:rPr>
        <w:rFonts w:hint="default"/>
        <w:lang w:val="en-US" w:eastAsia="en-US" w:bidi="en-US"/>
      </w:rPr>
    </w:lvl>
  </w:abstractNum>
  <w:abstractNum w:abstractNumId="26">
    <w:nsid w:val="2F394B19"/>
    <w:multiLevelType w:val="hybridMultilevel"/>
    <w:tmpl w:val="9820750E"/>
    <w:lvl w:ilvl="0" w:tplc="39C48618">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A66870F6">
      <w:numFmt w:val="bullet"/>
      <w:lvlText w:val="•"/>
      <w:lvlJc w:val="left"/>
      <w:pPr>
        <w:ind w:left="1996" w:hanging="720"/>
      </w:pPr>
      <w:rPr>
        <w:rFonts w:hint="default"/>
        <w:lang w:val="en-US" w:eastAsia="en-US" w:bidi="en-US"/>
      </w:rPr>
    </w:lvl>
    <w:lvl w:ilvl="2" w:tplc="27A67474">
      <w:numFmt w:val="bullet"/>
      <w:lvlText w:val="•"/>
      <w:lvlJc w:val="left"/>
      <w:pPr>
        <w:ind w:left="2873" w:hanging="720"/>
      </w:pPr>
      <w:rPr>
        <w:rFonts w:hint="default"/>
        <w:lang w:val="en-US" w:eastAsia="en-US" w:bidi="en-US"/>
      </w:rPr>
    </w:lvl>
    <w:lvl w:ilvl="3" w:tplc="016847D8">
      <w:numFmt w:val="bullet"/>
      <w:lvlText w:val="•"/>
      <w:lvlJc w:val="left"/>
      <w:pPr>
        <w:ind w:left="3749" w:hanging="720"/>
      </w:pPr>
      <w:rPr>
        <w:rFonts w:hint="default"/>
        <w:lang w:val="en-US" w:eastAsia="en-US" w:bidi="en-US"/>
      </w:rPr>
    </w:lvl>
    <w:lvl w:ilvl="4" w:tplc="76F4DBC6">
      <w:numFmt w:val="bullet"/>
      <w:lvlText w:val="•"/>
      <w:lvlJc w:val="left"/>
      <w:pPr>
        <w:ind w:left="4626" w:hanging="720"/>
      </w:pPr>
      <w:rPr>
        <w:rFonts w:hint="default"/>
        <w:lang w:val="en-US" w:eastAsia="en-US" w:bidi="en-US"/>
      </w:rPr>
    </w:lvl>
    <w:lvl w:ilvl="5" w:tplc="B55E5836">
      <w:numFmt w:val="bullet"/>
      <w:lvlText w:val="•"/>
      <w:lvlJc w:val="left"/>
      <w:pPr>
        <w:ind w:left="5503" w:hanging="720"/>
      </w:pPr>
      <w:rPr>
        <w:rFonts w:hint="default"/>
        <w:lang w:val="en-US" w:eastAsia="en-US" w:bidi="en-US"/>
      </w:rPr>
    </w:lvl>
    <w:lvl w:ilvl="6" w:tplc="A73ADE72">
      <w:numFmt w:val="bullet"/>
      <w:lvlText w:val="•"/>
      <w:lvlJc w:val="left"/>
      <w:pPr>
        <w:ind w:left="6379" w:hanging="720"/>
      </w:pPr>
      <w:rPr>
        <w:rFonts w:hint="default"/>
        <w:lang w:val="en-US" w:eastAsia="en-US" w:bidi="en-US"/>
      </w:rPr>
    </w:lvl>
    <w:lvl w:ilvl="7" w:tplc="349A5172">
      <w:numFmt w:val="bullet"/>
      <w:lvlText w:val="•"/>
      <w:lvlJc w:val="left"/>
      <w:pPr>
        <w:ind w:left="7256" w:hanging="720"/>
      </w:pPr>
      <w:rPr>
        <w:rFonts w:hint="default"/>
        <w:lang w:val="en-US" w:eastAsia="en-US" w:bidi="en-US"/>
      </w:rPr>
    </w:lvl>
    <w:lvl w:ilvl="8" w:tplc="E438C646">
      <w:numFmt w:val="bullet"/>
      <w:lvlText w:val="•"/>
      <w:lvlJc w:val="left"/>
      <w:pPr>
        <w:ind w:left="8133" w:hanging="720"/>
      </w:pPr>
      <w:rPr>
        <w:rFonts w:hint="default"/>
        <w:lang w:val="en-US" w:eastAsia="en-US" w:bidi="en-US"/>
      </w:rPr>
    </w:lvl>
  </w:abstractNum>
  <w:abstractNum w:abstractNumId="27">
    <w:nsid w:val="35042489"/>
    <w:multiLevelType w:val="hybridMultilevel"/>
    <w:tmpl w:val="8AE280B8"/>
    <w:lvl w:ilvl="0" w:tplc="A204E822">
      <w:start w:val="7"/>
      <w:numFmt w:val="decimal"/>
      <w:lvlText w:val="%1."/>
      <w:lvlJc w:val="left"/>
      <w:pPr>
        <w:ind w:left="1518" w:hanging="331"/>
        <w:jc w:val="left"/>
      </w:pPr>
      <w:rPr>
        <w:rFonts w:ascii="Arial" w:eastAsia="Arial" w:hAnsi="Arial" w:cs="Arial" w:hint="default"/>
        <w:w w:val="100"/>
        <w:sz w:val="28"/>
        <w:szCs w:val="28"/>
        <w:lang w:val="en-US" w:eastAsia="en-US" w:bidi="en-US"/>
      </w:rPr>
    </w:lvl>
    <w:lvl w:ilvl="1" w:tplc="0A1AD3B2">
      <w:numFmt w:val="bullet"/>
      <w:lvlText w:val="•"/>
      <w:lvlJc w:val="left"/>
      <w:pPr>
        <w:ind w:left="2326" w:hanging="331"/>
      </w:pPr>
      <w:rPr>
        <w:rFonts w:hint="default"/>
        <w:lang w:val="en-US" w:eastAsia="en-US" w:bidi="en-US"/>
      </w:rPr>
    </w:lvl>
    <w:lvl w:ilvl="2" w:tplc="EFE8232E">
      <w:numFmt w:val="bullet"/>
      <w:lvlText w:val="•"/>
      <w:lvlJc w:val="left"/>
      <w:pPr>
        <w:ind w:left="3132" w:hanging="331"/>
      </w:pPr>
      <w:rPr>
        <w:rFonts w:hint="default"/>
        <w:lang w:val="en-US" w:eastAsia="en-US" w:bidi="en-US"/>
      </w:rPr>
    </w:lvl>
    <w:lvl w:ilvl="3" w:tplc="034CCD0A">
      <w:numFmt w:val="bullet"/>
      <w:lvlText w:val="•"/>
      <w:lvlJc w:val="left"/>
      <w:pPr>
        <w:ind w:left="3938" w:hanging="331"/>
      </w:pPr>
      <w:rPr>
        <w:rFonts w:hint="default"/>
        <w:lang w:val="en-US" w:eastAsia="en-US" w:bidi="en-US"/>
      </w:rPr>
    </w:lvl>
    <w:lvl w:ilvl="4" w:tplc="B69CFF5A">
      <w:numFmt w:val="bullet"/>
      <w:lvlText w:val="•"/>
      <w:lvlJc w:val="left"/>
      <w:pPr>
        <w:ind w:left="4744" w:hanging="331"/>
      </w:pPr>
      <w:rPr>
        <w:rFonts w:hint="default"/>
        <w:lang w:val="en-US" w:eastAsia="en-US" w:bidi="en-US"/>
      </w:rPr>
    </w:lvl>
    <w:lvl w:ilvl="5" w:tplc="C6844A18">
      <w:numFmt w:val="bullet"/>
      <w:lvlText w:val="•"/>
      <w:lvlJc w:val="left"/>
      <w:pPr>
        <w:ind w:left="5550" w:hanging="331"/>
      </w:pPr>
      <w:rPr>
        <w:rFonts w:hint="default"/>
        <w:lang w:val="en-US" w:eastAsia="en-US" w:bidi="en-US"/>
      </w:rPr>
    </w:lvl>
    <w:lvl w:ilvl="6" w:tplc="FAA88D10">
      <w:numFmt w:val="bullet"/>
      <w:lvlText w:val="•"/>
      <w:lvlJc w:val="left"/>
      <w:pPr>
        <w:ind w:left="6356" w:hanging="331"/>
      </w:pPr>
      <w:rPr>
        <w:rFonts w:hint="default"/>
        <w:lang w:val="en-US" w:eastAsia="en-US" w:bidi="en-US"/>
      </w:rPr>
    </w:lvl>
    <w:lvl w:ilvl="7" w:tplc="1846A6A4">
      <w:numFmt w:val="bullet"/>
      <w:lvlText w:val="•"/>
      <w:lvlJc w:val="left"/>
      <w:pPr>
        <w:ind w:left="7162" w:hanging="331"/>
      </w:pPr>
      <w:rPr>
        <w:rFonts w:hint="default"/>
        <w:lang w:val="en-US" w:eastAsia="en-US" w:bidi="en-US"/>
      </w:rPr>
    </w:lvl>
    <w:lvl w:ilvl="8" w:tplc="648248C2">
      <w:numFmt w:val="bullet"/>
      <w:lvlText w:val="•"/>
      <w:lvlJc w:val="left"/>
      <w:pPr>
        <w:ind w:left="7968" w:hanging="331"/>
      </w:pPr>
      <w:rPr>
        <w:rFonts w:hint="default"/>
        <w:lang w:val="en-US" w:eastAsia="en-US" w:bidi="en-US"/>
      </w:rPr>
    </w:lvl>
  </w:abstractNum>
  <w:abstractNum w:abstractNumId="28">
    <w:nsid w:val="36E65427"/>
    <w:multiLevelType w:val="hybridMultilevel"/>
    <w:tmpl w:val="6A687F1C"/>
    <w:lvl w:ilvl="0" w:tplc="D136BAAE">
      <w:start w:val="1"/>
      <w:numFmt w:val="decimal"/>
      <w:lvlText w:val="(%1)"/>
      <w:lvlJc w:val="left"/>
      <w:pPr>
        <w:ind w:left="1940" w:hanging="434"/>
        <w:jc w:val="left"/>
      </w:pPr>
      <w:rPr>
        <w:rFonts w:ascii="Bookman Old Style" w:eastAsia="Bookman Old Style" w:hAnsi="Bookman Old Style" w:cs="Bookman Old Style" w:hint="default"/>
        <w:w w:val="100"/>
        <w:sz w:val="28"/>
        <w:szCs w:val="28"/>
        <w:lang w:val="en-US" w:eastAsia="en-US" w:bidi="en-US"/>
      </w:rPr>
    </w:lvl>
    <w:lvl w:ilvl="1" w:tplc="1E60C42A">
      <w:start w:val="2"/>
      <w:numFmt w:val="decimal"/>
      <w:lvlText w:val="(%2)"/>
      <w:lvlJc w:val="left"/>
      <w:pPr>
        <w:ind w:left="2505" w:hanging="421"/>
        <w:jc w:val="left"/>
      </w:pPr>
      <w:rPr>
        <w:rFonts w:ascii="Arial" w:eastAsia="Arial" w:hAnsi="Arial" w:cs="Arial" w:hint="default"/>
        <w:w w:val="100"/>
        <w:sz w:val="28"/>
        <w:szCs w:val="28"/>
        <w:lang w:val="en-US" w:eastAsia="en-US" w:bidi="en-US"/>
      </w:rPr>
    </w:lvl>
    <w:lvl w:ilvl="2" w:tplc="0AB66382">
      <w:numFmt w:val="bullet"/>
      <w:lvlText w:val="•"/>
      <w:lvlJc w:val="left"/>
      <w:pPr>
        <w:ind w:left="3267" w:hanging="421"/>
      </w:pPr>
      <w:rPr>
        <w:rFonts w:hint="default"/>
        <w:lang w:val="en-US" w:eastAsia="en-US" w:bidi="en-US"/>
      </w:rPr>
    </w:lvl>
    <w:lvl w:ilvl="3" w:tplc="0C7684B0">
      <w:numFmt w:val="bullet"/>
      <w:lvlText w:val="•"/>
      <w:lvlJc w:val="left"/>
      <w:pPr>
        <w:ind w:left="4034" w:hanging="421"/>
      </w:pPr>
      <w:rPr>
        <w:rFonts w:hint="default"/>
        <w:lang w:val="en-US" w:eastAsia="en-US" w:bidi="en-US"/>
      </w:rPr>
    </w:lvl>
    <w:lvl w:ilvl="4" w:tplc="FDAE8F10">
      <w:numFmt w:val="bullet"/>
      <w:lvlText w:val="•"/>
      <w:lvlJc w:val="left"/>
      <w:pPr>
        <w:ind w:left="4802" w:hanging="421"/>
      </w:pPr>
      <w:rPr>
        <w:rFonts w:hint="default"/>
        <w:lang w:val="en-US" w:eastAsia="en-US" w:bidi="en-US"/>
      </w:rPr>
    </w:lvl>
    <w:lvl w:ilvl="5" w:tplc="BC74533E">
      <w:numFmt w:val="bullet"/>
      <w:lvlText w:val="•"/>
      <w:lvlJc w:val="left"/>
      <w:pPr>
        <w:ind w:left="5569" w:hanging="421"/>
      </w:pPr>
      <w:rPr>
        <w:rFonts w:hint="default"/>
        <w:lang w:val="en-US" w:eastAsia="en-US" w:bidi="en-US"/>
      </w:rPr>
    </w:lvl>
    <w:lvl w:ilvl="6" w:tplc="0A86F244">
      <w:numFmt w:val="bullet"/>
      <w:lvlText w:val="•"/>
      <w:lvlJc w:val="left"/>
      <w:pPr>
        <w:ind w:left="6336" w:hanging="421"/>
      </w:pPr>
      <w:rPr>
        <w:rFonts w:hint="default"/>
        <w:lang w:val="en-US" w:eastAsia="en-US" w:bidi="en-US"/>
      </w:rPr>
    </w:lvl>
    <w:lvl w:ilvl="7" w:tplc="DFDA3A4E">
      <w:numFmt w:val="bullet"/>
      <w:lvlText w:val="•"/>
      <w:lvlJc w:val="left"/>
      <w:pPr>
        <w:ind w:left="7104" w:hanging="421"/>
      </w:pPr>
      <w:rPr>
        <w:rFonts w:hint="default"/>
        <w:lang w:val="en-US" w:eastAsia="en-US" w:bidi="en-US"/>
      </w:rPr>
    </w:lvl>
    <w:lvl w:ilvl="8" w:tplc="54CEE9B2">
      <w:numFmt w:val="bullet"/>
      <w:lvlText w:val="•"/>
      <w:lvlJc w:val="left"/>
      <w:pPr>
        <w:ind w:left="7871" w:hanging="421"/>
      </w:pPr>
      <w:rPr>
        <w:rFonts w:hint="default"/>
        <w:lang w:val="en-US" w:eastAsia="en-US" w:bidi="en-US"/>
      </w:rPr>
    </w:lvl>
  </w:abstractNum>
  <w:abstractNum w:abstractNumId="29">
    <w:nsid w:val="3A5B0416"/>
    <w:multiLevelType w:val="hybridMultilevel"/>
    <w:tmpl w:val="E402D950"/>
    <w:lvl w:ilvl="0" w:tplc="608A14E2">
      <w:start w:val="5"/>
      <w:numFmt w:val="upperLetter"/>
      <w:lvlText w:val="%1"/>
      <w:lvlJc w:val="left"/>
      <w:pPr>
        <w:ind w:left="1041" w:hanging="641"/>
        <w:jc w:val="left"/>
      </w:pPr>
      <w:rPr>
        <w:rFonts w:ascii="Arial Narrow" w:eastAsia="Arial Narrow" w:hAnsi="Arial Narrow" w:cs="Arial Narrow" w:hint="default"/>
        <w:w w:val="100"/>
        <w:sz w:val="27"/>
        <w:szCs w:val="27"/>
        <w:lang w:val="en-US" w:eastAsia="en-US" w:bidi="en-US"/>
      </w:rPr>
    </w:lvl>
    <w:lvl w:ilvl="1" w:tplc="98A2EBB4">
      <w:numFmt w:val="bullet"/>
      <w:lvlText w:val="•"/>
      <w:lvlJc w:val="left"/>
      <w:pPr>
        <w:ind w:left="1924" w:hanging="641"/>
      </w:pPr>
      <w:rPr>
        <w:rFonts w:hint="default"/>
        <w:lang w:val="en-US" w:eastAsia="en-US" w:bidi="en-US"/>
      </w:rPr>
    </w:lvl>
    <w:lvl w:ilvl="2" w:tplc="12A81C48">
      <w:numFmt w:val="bullet"/>
      <w:lvlText w:val="•"/>
      <w:lvlJc w:val="left"/>
      <w:pPr>
        <w:ind w:left="2809" w:hanging="641"/>
      </w:pPr>
      <w:rPr>
        <w:rFonts w:hint="default"/>
        <w:lang w:val="en-US" w:eastAsia="en-US" w:bidi="en-US"/>
      </w:rPr>
    </w:lvl>
    <w:lvl w:ilvl="3" w:tplc="408C8608">
      <w:numFmt w:val="bullet"/>
      <w:lvlText w:val="•"/>
      <w:lvlJc w:val="left"/>
      <w:pPr>
        <w:ind w:left="3693" w:hanging="641"/>
      </w:pPr>
      <w:rPr>
        <w:rFonts w:hint="default"/>
        <w:lang w:val="en-US" w:eastAsia="en-US" w:bidi="en-US"/>
      </w:rPr>
    </w:lvl>
    <w:lvl w:ilvl="4" w:tplc="58865FE8">
      <w:numFmt w:val="bullet"/>
      <w:lvlText w:val="•"/>
      <w:lvlJc w:val="left"/>
      <w:pPr>
        <w:ind w:left="4578" w:hanging="641"/>
      </w:pPr>
      <w:rPr>
        <w:rFonts w:hint="default"/>
        <w:lang w:val="en-US" w:eastAsia="en-US" w:bidi="en-US"/>
      </w:rPr>
    </w:lvl>
    <w:lvl w:ilvl="5" w:tplc="AE2A0474">
      <w:numFmt w:val="bullet"/>
      <w:lvlText w:val="•"/>
      <w:lvlJc w:val="left"/>
      <w:pPr>
        <w:ind w:left="5463" w:hanging="641"/>
      </w:pPr>
      <w:rPr>
        <w:rFonts w:hint="default"/>
        <w:lang w:val="en-US" w:eastAsia="en-US" w:bidi="en-US"/>
      </w:rPr>
    </w:lvl>
    <w:lvl w:ilvl="6" w:tplc="2A12565E">
      <w:numFmt w:val="bullet"/>
      <w:lvlText w:val="•"/>
      <w:lvlJc w:val="left"/>
      <w:pPr>
        <w:ind w:left="6347" w:hanging="641"/>
      </w:pPr>
      <w:rPr>
        <w:rFonts w:hint="default"/>
        <w:lang w:val="en-US" w:eastAsia="en-US" w:bidi="en-US"/>
      </w:rPr>
    </w:lvl>
    <w:lvl w:ilvl="7" w:tplc="E2C6874E">
      <w:numFmt w:val="bullet"/>
      <w:lvlText w:val="•"/>
      <w:lvlJc w:val="left"/>
      <w:pPr>
        <w:ind w:left="7232" w:hanging="641"/>
      </w:pPr>
      <w:rPr>
        <w:rFonts w:hint="default"/>
        <w:lang w:val="en-US" w:eastAsia="en-US" w:bidi="en-US"/>
      </w:rPr>
    </w:lvl>
    <w:lvl w:ilvl="8" w:tplc="3C60B06C">
      <w:numFmt w:val="bullet"/>
      <w:lvlText w:val="•"/>
      <w:lvlJc w:val="left"/>
      <w:pPr>
        <w:ind w:left="8117" w:hanging="641"/>
      </w:pPr>
      <w:rPr>
        <w:rFonts w:hint="default"/>
        <w:lang w:val="en-US" w:eastAsia="en-US" w:bidi="en-US"/>
      </w:rPr>
    </w:lvl>
  </w:abstractNum>
  <w:abstractNum w:abstractNumId="30">
    <w:nsid w:val="3D7F7B7F"/>
    <w:multiLevelType w:val="hybridMultilevel"/>
    <w:tmpl w:val="1114B018"/>
    <w:lvl w:ilvl="0" w:tplc="013EEC4A">
      <w:start w:val="1"/>
      <w:numFmt w:val="decimal"/>
      <w:lvlText w:val="%1."/>
      <w:lvlJc w:val="left"/>
      <w:pPr>
        <w:ind w:left="383" w:hanging="850"/>
        <w:jc w:val="left"/>
      </w:pPr>
      <w:rPr>
        <w:rFonts w:ascii="Arial" w:eastAsia="Arial" w:hAnsi="Arial" w:cs="Arial" w:hint="default"/>
        <w:spacing w:val="-1"/>
        <w:w w:val="100"/>
        <w:sz w:val="28"/>
        <w:szCs w:val="28"/>
        <w:lang w:val="en-US" w:eastAsia="en-US" w:bidi="en-US"/>
      </w:rPr>
    </w:lvl>
    <w:lvl w:ilvl="1" w:tplc="7BBA182C">
      <w:start w:val="1"/>
      <w:numFmt w:val="lowerLetter"/>
      <w:lvlText w:val="(%2)"/>
      <w:lvlJc w:val="left"/>
      <w:pPr>
        <w:ind w:left="1518" w:hanging="451"/>
        <w:jc w:val="left"/>
      </w:pPr>
      <w:rPr>
        <w:rFonts w:ascii="Arial" w:eastAsia="Arial" w:hAnsi="Arial" w:cs="Arial" w:hint="default"/>
        <w:spacing w:val="-1"/>
        <w:w w:val="100"/>
        <w:sz w:val="28"/>
        <w:szCs w:val="28"/>
        <w:lang w:val="en-US" w:eastAsia="en-US" w:bidi="en-US"/>
      </w:rPr>
    </w:lvl>
    <w:lvl w:ilvl="2" w:tplc="A97813A8">
      <w:numFmt w:val="bullet"/>
      <w:lvlText w:val="•"/>
      <w:lvlJc w:val="left"/>
      <w:pPr>
        <w:ind w:left="2415" w:hanging="451"/>
      </w:pPr>
      <w:rPr>
        <w:rFonts w:hint="default"/>
        <w:lang w:val="en-US" w:eastAsia="en-US" w:bidi="en-US"/>
      </w:rPr>
    </w:lvl>
    <w:lvl w:ilvl="3" w:tplc="7B88A310">
      <w:numFmt w:val="bullet"/>
      <w:lvlText w:val="•"/>
      <w:lvlJc w:val="left"/>
      <w:pPr>
        <w:ind w:left="3311" w:hanging="451"/>
      </w:pPr>
      <w:rPr>
        <w:rFonts w:hint="default"/>
        <w:lang w:val="en-US" w:eastAsia="en-US" w:bidi="en-US"/>
      </w:rPr>
    </w:lvl>
    <w:lvl w:ilvl="4" w:tplc="07A6B930">
      <w:numFmt w:val="bullet"/>
      <w:lvlText w:val="•"/>
      <w:lvlJc w:val="left"/>
      <w:pPr>
        <w:ind w:left="4206" w:hanging="451"/>
      </w:pPr>
      <w:rPr>
        <w:rFonts w:hint="default"/>
        <w:lang w:val="en-US" w:eastAsia="en-US" w:bidi="en-US"/>
      </w:rPr>
    </w:lvl>
    <w:lvl w:ilvl="5" w:tplc="E80E090E">
      <w:numFmt w:val="bullet"/>
      <w:lvlText w:val="•"/>
      <w:lvlJc w:val="left"/>
      <w:pPr>
        <w:ind w:left="5102" w:hanging="451"/>
      </w:pPr>
      <w:rPr>
        <w:rFonts w:hint="default"/>
        <w:lang w:val="en-US" w:eastAsia="en-US" w:bidi="en-US"/>
      </w:rPr>
    </w:lvl>
    <w:lvl w:ilvl="6" w:tplc="CA50F61C">
      <w:numFmt w:val="bullet"/>
      <w:lvlText w:val="•"/>
      <w:lvlJc w:val="left"/>
      <w:pPr>
        <w:ind w:left="5997" w:hanging="451"/>
      </w:pPr>
      <w:rPr>
        <w:rFonts w:hint="default"/>
        <w:lang w:val="en-US" w:eastAsia="en-US" w:bidi="en-US"/>
      </w:rPr>
    </w:lvl>
    <w:lvl w:ilvl="7" w:tplc="384E6862">
      <w:numFmt w:val="bullet"/>
      <w:lvlText w:val="•"/>
      <w:lvlJc w:val="left"/>
      <w:pPr>
        <w:ind w:left="6893" w:hanging="451"/>
      </w:pPr>
      <w:rPr>
        <w:rFonts w:hint="default"/>
        <w:lang w:val="en-US" w:eastAsia="en-US" w:bidi="en-US"/>
      </w:rPr>
    </w:lvl>
    <w:lvl w:ilvl="8" w:tplc="D7440C94">
      <w:numFmt w:val="bullet"/>
      <w:lvlText w:val="•"/>
      <w:lvlJc w:val="left"/>
      <w:pPr>
        <w:ind w:left="7788" w:hanging="451"/>
      </w:pPr>
      <w:rPr>
        <w:rFonts w:hint="default"/>
        <w:lang w:val="en-US" w:eastAsia="en-US" w:bidi="en-US"/>
      </w:rPr>
    </w:lvl>
  </w:abstractNum>
  <w:abstractNum w:abstractNumId="31">
    <w:nsid w:val="41FF1FB0"/>
    <w:multiLevelType w:val="hybridMultilevel"/>
    <w:tmpl w:val="93F4628A"/>
    <w:lvl w:ilvl="0" w:tplc="A254E208">
      <w:start w:val="9"/>
      <w:numFmt w:val="upperLetter"/>
      <w:lvlText w:val="%1"/>
      <w:lvlJc w:val="left"/>
      <w:pPr>
        <w:ind w:left="1120" w:hanging="720"/>
        <w:jc w:val="left"/>
      </w:pPr>
      <w:rPr>
        <w:rFonts w:ascii="Arial Narrow" w:eastAsia="Arial Narrow" w:hAnsi="Arial Narrow" w:cs="Arial Narrow" w:hint="default"/>
        <w:w w:val="100"/>
        <w:sz w:val="27"/>
        <w:szCs w:val="27"/>
        <w:lang w:val="en-US" w:eastAsia="en-US" w:bidi="en-US"/>
      </w:rPr>
    </w:lvl>
    <w:lvl w:ilvl="1" w:tplc="D3C603E6">
      <w:numFmt w:val="bullet"/>
      <w:lvlText w:val="•"/>
      <w:lvlJc w:val="left"/>
      <w:pPr>
        <w:ind w:left="1996" w:hanging="720"/>
      </w:pPr>
      <w:rPr>
        <w:rFonts w:hint="default"/>
        <w:lang w:val="en-US" w:eastAsia="en-US" w:bidi="en-US"/>
      </w:rPr>
    </w:lvl>
    <w:lvl w:ilvl="2" w:tplc="CF00C174">
      <w:numFmt w:val="bullet"/>
      <w:lvlText w:val="•"/>
      <w:lvlJc w:val="left"/>
      <w:pPr>
        <w:ind w:left="2873" w:hanging="720"/>
      </w:pPr>
      <w:rPr>
        <w:rFonts w:hint="default"/>
        <w:lang w:val="en-US" w:eastAsia="en-US" w:bidi="en-US"/>
      </w:rPr>
    </w:lvl>
    <w:lvl w:ilvl="3" w:tplc="2ACEA5B8">
      <w:numFmt w:val="bullet"/>
      <w:lvlText w:val="•"/>
      <w:lvlJc w:val="left"/>
      <w:pPr>
        <w:ind w:left="3749" w:hanging="720"/>
      </w:pPr>
      <w:rPr>
        <w:rFonts w:hint="default"/>
        <w:lang w:val="en-US" w:eastAsia="en-US" w:bidi="en-US"/>
      </w:rPr>
    </w:lvl>
    <w:lvl w:ilvl="4" w:tplc="31DA02F8">
      <w:numFmt w:val="bullet"/>
      <w:lvlText w:val="•"/>
      <w:lvlJc w:val="left"/>
      <w:pPr>
        <w:ind w:left="4626" w:hanging="720"/>
      </w:pPr>
      <w:rPr>
        <w:rFonts w:hint="default"/>
        <w:lang w:val="en-US" w:eastAsia="en-US" w:bidi="en-US"/>
      </w:rPr>
    </w:lvl>
    <w:lvl w:ilvl="5" w:tplc="3780854C">
      <w:numFmt w:val="bullet"/>
      <w:lvlText w:val="•"/>
      <w:lvlJc w:val="left"/>
      <w:pPr>
        <w:ind w:left="5503" w:hanging="720"/>
      </w:pPr>
      <w:rPr>
        <w:rFonts w:hint="default"/>
        <w:lang w:val="en-US" w:eastAsia="en-US" w:bidi="en-US"/>
      </w:rPr>
    </w:lvl>
    <w:lvl w:ilvl="6" w:tplc="15663E76">
      <w:numFmt w:val="bullet"/>
      <w:lvlText w:val="•"/>
      <w:lvlJc w:val="left"/>
      <w:pPr>
        <w:ind w:left="6379" w:hanging="720"/>
      </w:pPr>
      <w:rPr>
        <w:rFonts w:hint="default"/>
        <w:lang w:val="en-US" w:eastAsia="en-US" w:bidi="en-US"/>
      </w:rPr>
    </w:lvl>
    <w:lvl w:ilvl="7" w:tplc="C3983C86">
      <w:numFmt w:val="bullet"/>
      <w:lvlText w:val="•"/>
      <w:lvlJc w:val="left"/>
      <w:pPr>
        <w:ind w:left="7256" w:hanging="720"/>
      </w:pPr>
      <w:rPr>
        <w:rFonts w:hint="default"/>
        <w:lang w:val="en-US" w:eastAsia="en-US" w:bidi="en-US"/>
      </w:rPr>
    </w:lvl>
    <w:lvl w:ilvl="8" w:tplc="431C057A">
      <w:numFmt w:val="bullet"/>
      <w:lvlText w:val="•"/>
      <w:lvlJc w:val="left"/>
      <w:pPr>
        <w:ind w:left="8133" w:hanging="720"/>
      </w:pPr>
      <w:rPr>
        <w:rFonts w:hint="default"/>
        <w:lang w:val="en-US" w:eastAsia="en-US" w:bidi="en-US"/>
      </w:rPr>
    </w:lvl>
  </w:abstractNum>
  <w:abstractNum w:abstractNumId="32">
    <w:nsid w:val="43A55309"/>
    <w:multiLevelType w:val="hybridMultilevel"/>
    <w:tmpl w:val="6AA6DB1E"/>
    <w:lvl w:ilvl="0" w:tplc="B9DA7168">
      <w:start w:val="1"/>
      <w:numFmt w:val="decimal"/>
      <w:lvlText w:val="%1."/>
      <w:lvlJc w:val="left"/>
      <w:pPr>
        <w:ind w:left="760" w:hanging="360"/>
        <w:jc w:val="left"/>
      </w:pPr>
      <w:rPr>
        <w:rFonts w:ascii="Arial" w:eastAsia="Arial" w:hAnsi="Arial" w:cs="Arial" w:hint="default"/>
        <w:spacing w:val="-1"/>
        <w:w w:val="99"/>
        <w:sz w:val="26"/>
        <w:szCs w:val="26"/>
        <w:lang w:val="en-US" w:eastAsia="en-US" w:bidi="en-US"/>
      </w:rPr>
    </w:lvl>
    <w:lvl w:ilvl="1" w:tplc="296676E4">
      <w:start w:val="2"/>
      <w:numFmt w:val="decimal"/>
      <w:lvlText w:val="%2."/>
      <w:lvlJc w:val="left"/>
      <w:pPr>
        <w:ind w:left="1840" w:hanging="243"/>
        <w:jc w:val="left"/>
      </w:pPr>
      <w:rPr>
        <w:rFonts w:ascii="Arial" w:eastAsia="Arial" w:hAnsi="Arial" w:cs="Arial" w:hint="default"/>
        <w:w w:val="100"/>
        <w:sz w:val="21"/>
        <w:szCs w:val="21"/>
        <w:lang w:val="en-US" w:eastAsia="en-US" w:bidi="en-US"/>
      </w:rPr>
    </w:lvl>
    <w:lvl w:ilvl="2" w:tplc="754A2A4A">
      <w:numFmt w:val="bullet"/>
      <w:lvlText w:val="•"/>
      <w:lvlJc w:val="left"/>
      <w:pPr>
        <w:ind w:left="2734" w:hanging="243"/>
      </w:pPr>
      <w:rPr>
        <w:rFonts w:hint="default"/>
        <w:lang w:val="en-US" w:eastAsia="en-US" w:bidi="en-US"/>
      </w:rPr>
    </w:lvl>
    <w:lvl w:ilvl="3" w:tplc="B06ED9BC">
      <w:numFmt w:val="bullet"/>
      <w:lvlText w:val="•"/>
      <w:lvlJc w:val="left"/>
      <w:pPr>
        <w:ind w:left="3628" w:hanging="243"/>
      </w:pPr>
      <w:rPr>
        <w:rFonts w:hint="default"/>
        <w:lang w:val="en-US" w:eastAsia="en-US" w:bidi="en-US"/>
      </w:rPr>
    </w:lvl>
    <w:lvl w:ilvl="4" w:tplc="AA6EB3EC">
      <w:numFmt w:val="bullet"/>
      <w:lvlText w:val="•"/>
      <w:lvlJc w:val="left"/>
      <w:pPr>
        <w:ind w:left="4522" w:hanging="243"/>
      </w:pPr>
      <w:rPr>
        <w:rFonts w:hint="default"/>
        <w:lang w:val="en-US" w:eastAsia="en-US" w:bidi="en-US"/>
      </w:rPr>
    </w:lvl>
    <w:lvl w:ilvl="5" w:tplc="0D9ED5A6">
      <w:numFmt w:val="bullet"/>
      <w:lvlText w:val="•"/>
      <w:lvlJc w:val="left"/>
      <w:pPr>
        <w:ind w:left="5416" w:hanging="243"/>
      </w:pPr>
      <w:rPr>
        <w:rFonts w:hint="default"/>
        <w:lang w:val="en-US" w:eastAsia="en-US" w:bidi="en-US"/>
      </w:rPr>
    </w:lvl>
    <w:lvl w:ilvl="6" w:tplc="F45E81B2">
      <w:numFmt w:val="bullet"/>
      <w:lvlText w:val="•"/>
      <w:lvlJc w:val="left"/>
      <w:pPr>
        <w:ind w:left="6310" w:hanging="243"/>
      </w:pPr>
      <w:rPr>
        <w:rFonts w:hint="default"/>
        <w:lang w:val="en-US" w:eastAsia="en-US" w:bidi="en-US"/>
      </w:rPr>
    </w:lvl>
    <w:lvl w:ilvl="7" w:tplc="2CC4CF28">
      <w:numFmt w:val="bullet"/>
      <w:lvlText w:val="•"/>
      <w:lvlJc w:val="left"/>
      <w:pPr>
        <w:ind w:left="7204" w:hanging="243"/>
      </w:pPr>
      <w:rPr>
        <w:rFonts w:hint="default"/>
        <w:lang w:val="en-US" w:eastAsia="en-US" w:bidi="en-US"/>
      </w:rPr>
    </w:lvl>
    <w:lvl w:ilvl="8" w:tplc="BEAEC81C">
      <w:numFmt w:val="bullet"/>
      <w:lvlText w:val="•"/>
      <w:lvlJc w:val="left"/>
      <w:pPr>
        <w:ind w:left="8098" w:hanging="243"/>
      </w:pPr>
      <w:rPr>
        <w:rFonts w:hint="default"/>
        <w:lang w:val="en-US" w:eastAsia="en-US" w:bidi="en-US"/>
      </w:rPr>
    </w:lvl>
  </w:abstractNum>
  <w:abstractNum w:abstractNumId="33">
    <w:nsid w:val="43ED155E"/>
    <w:multiLevelType w:val="hybridMultilevel"/>
    <w:tmpl w:val="F5AC8436"/>
    <w:lvl w:ilvl="0" w:tplc="A5D67CAE">
      <w:start w:val="12"/>
      <w:numFmt w:val="decimal"/>
      <w:lvlText w:val="%1"/>
      <w:lvlJc w:val="left"/>
      <w:pPr>
        <w:ind w:left="242" w:hanging="226"/>
        <w:jc w:val="left"/>
      </w:pPr>
      <w:rPr>
        <w:rFonts w:ascii="Arial" w:eastAsia="Arial" w:hAnsi="Arial" w:cs="Arial" w:hint="default"/>
        <w:spacing w:val="-1"/>
        <w:w w:val="99"/>
        <w:position w:val="10"/>
        <w:sz w:val="13"/>
        <w:szCs w:val="13"/>
        <w:lang w:val="en-US" w:eastAsia="en-US" w:bidi="en-US"/>
      </w:rPr>
    </w:lvl>
    <w:lvl w:ilvl="1" w:tplc="C512BF2C">
      <w:numFmt w:val="bullet"/>
      <w:lvlText w:val="•"/>
      <w:lvlJc w:val="left"/>
      <w:pPr>
        <w:ind w:left="1174" w:hanging="226"/>
      </w:pPr>
      <w:rPr>
        <w:rFonts w:hint="default"/>
        <w:lang w:val="en-US" w:eastAsia="en-US" w:bidi="en-US"/>
      </w:rPr>
    </w:lvl>
    <w:lvl w:ilvl="2" w:tplc="9F38B5D2">
      <w:numFmt w:val="bullet"/>
      <w:lvlText w:val="•"/>
      <w:lvlJc w:val="left"/>
      <w:pPr>
        <w:ind w:left="2108" w:hanging="226"/>
      </w:pPr>
      <w:rPr>
        <w:rFonts w:hint="default"/>
        <w:lang w:val="en-US" w:eastAsia="en-US" w:bidi="en-US"/>
      </w:rPr>
    </w:lvl>
    <w:lvl w:ilvl="3" w:tplc="AA5E574A">
      <w:numFmt w:val="bullet"/>
      <w:lvlText w:val="•"/>
      <w:lvlJc w:val="left"/>
      <w:pPr>
        <w:ind w:left="3042" w:hanging="226"/>
      </w:pPr>
      <w:rPr>
        <w:rFonts w:hint="default"/>
        <w:lang w:val="en-US" w:eastAsia="en-US" w:bidi="en-US"/>
      </w:rPr>
    </w:lvl>
    <w:lvl w:ilvl="4" w:tplc="1C3CAB3E">
      <w:numFmt w:val="bullet"/>
      <w:lvlText w:val="•"/>
      <w:lvlJc w:val="left"/>
      <w:pPr>
        <w:ind w:left="3976" w:hanging="226"/>
      </w:pPr>
      <w:rPr>
        <w:rFonts w:hint="default"/>
        <w:lang w:val="en-US" w:eastAsia="en-US" w:bidi="en-US"/>
      </w:rPr>
    </w:lvl>
    <w:lvl w:ilvl="5" w:tplc="0FBA9956">
      <w:numFmt w:val="bullet"/>
      <w:lvlText w:val="•"/>
      <w:lvlJc w:val="left"/>
      <w:pPr>
        <w:ind w:left="4910" w:hanging="226"/>
      </w:pPr>
      <w:rPr>
        <w:rFonts w:hint="default"/>
        <w:lang w:val="en-US" w:eastAsia="en-US" w:bidi="en-US"/>
      </w:rPr>
    </w:lvl>
    <w:lvl w:ilvl="6" w:tplc="E2987852">
      <w:numFmt w:val="bullet"/>
      <w:lvlText w:val="•"/>
      <w:lvlJc w:val="left"/>
      <w:pPr>
        <w:ind w:left="5844" w:hanging="226"/>
      </w:pPr>
      <w:rPr>
        <w:rFonts w:hint="default"/>
        <w:lang w:val="en-US" w:eastAsia="en-US" w:bidi="en-US"/>
      </w:rPr>
    </w:lvl>
    <w:lvl w:ilvl="7" w:tplc="3C422FEA">
      <w:numFmt w:val="bullet"/>
      <w:lvlText w:val="•"/>
      <w:lvlJc w:val="left"/>
      <w:pPr>
        <w:ind w:left="6778" w:hanging="226"/>
      </w:pPr>
      <w:rPr>
        <w:rFonts w:hint="default"/>
        <w:lang w:val="en-US" w:eastAsia="en-US" w:bidi="en-US"/>
      </w:rPr>
    </w:lvl>
    <w:lvl w:ilvl="8" w:tplc="7C24FAD6">
      <w:numFmt w:val="bullet"/>
      <w:lvlText w:val="•"/>
      <w:lvlJc w:val="left"/>
      <w:pPr>
        <w:ind w:left="7712" w:hanging="226"/>
      </w:pPr>
      <w:rPr>
        <w:rFonts w:hint="default"/>
        <w:lang w:val="en-US" w:eastAsia="en-US" w:bidi="en-US"/>
      </w:rPr>
    </w:lvl>
  </w:abstractNum>
  <w:abstractNum w:abstractNumId="34">
    <w:nsid w:val="45B906EA"/>
    <w:multiLevelType w:val="hybridMultilevel"/>
    <w:tmpl w:val="DECCE91C"/>
    <w:lvl w:ilvl="0" w:tplc="58E4B17E">
      <w:start w:val="2"/>
      <w:numFmt w:val="decimal"/>
      <w:lvlText w:val="(%1)"/>
      <w:lvlJc w:val="left"/>
      <w:pPr>
        <w:ind w:left="1840" w:hanging="368"/>
        <w:jc w:val="left"/>
      </w:pPr>
      <w:rPr>
        <w:rFonts w:ascii="Arial" w:eastAsia="Arial" w:hAnsi="Arial" w:cs="Arial" w:hint="default"/>
        <w:spacing w:val="-1"/>
        <w:w w:val="100"/>
        <w:sz w:val="21"/>
        <w:szCs w:val="21"/>
        <w:lang w:val="en-US" w:eastAsia="en-US" w:bidi="en-US"/>
      </w:rPr>
    </w:lvl>
    <w:lvl w:ilvl="1" w:tplc="9B824D1C">
      <w:start w:val="1"/>
      <w:numFmt w:val="lowerLetter"/>
      <w:lvlText w:val="(%2)"/>
      <w:lvlJc w:val="left"/>
      <w:pPr>
        <w:ind w:left="1840" w:hanging="315"/>
        <w:jc w:val="left"/>
      </w:pPr>
      <w:rPr>
        <w:rFonts w:ascii="Arial" w:eastAsia="Arial" w:hAnsi="Arial" w:cs="Arial" w:hint="default"/>
        <w:spacing w:val="-1"/>
        <w:w w:val="100"/>
        <w:sz w:val="21"/>
        <w:szCs w:val="21"/>
        <w:lang w:val="en-US" w:eastAsia="en-US" w:bidi="en-US"/>
      </w:rPr>
    </w:lvl>
    <w:lvl w:ilvl="2" w:tplc="B79A0566">
      <w:numFmt w:val="bullet"/>
      <w:lvlText w:val="•"/>
      <w:lvlJc w:val="left"/>
      <w:pPr>
        <w:ind w:left="3449" w:hanging="315"/>
      </w:pPr>
      <w:rPr>
        <w:rFonts w:hint="default"/>
        <w:lang w:val="en-US" w:eastAsia="en-US" w:bidi="en-US"/>
      </w:rPr>
    </w:lvl>
    <w:lvl w:ilvl="3" w:tplc="8CE83430">
      <w:numFmt w:val="bullet"/>
      <w:lvlText w:val="•"/>
      <w:lvlJc w:val="left"/>
      <w:pPr>
        <w:ind w:left="4253" w:hanging="315"/>
      </w:pPr>
      <w:rPr>
        <w:rFonts w:hint="default"/>
        <w:lang w:val="en-US" w:eastAsia="en-US" w:bidi="en-US"/>
      </w:rPr>
    </w:lvl>
    <w:lvl w:ilvl="4" w:tplc="87FEA33A">
      <w:numFmt w:val="bullet"/>
      <w:lvlText w:val="•"/>
      <w:lvlJc w:val="left"/>
      <w:pPr>
        <w:ind w:left="5058" w:hanging="315"/>
      </w:pPr>
      <w:rPr>
        <w:rFonts w:hint="default"/>
        <w:lang w:val="en-US" w:eastAsia="en-US" w:bidi="en-US"/>
      </w:rPr>
    </w:lvl>
    <w:lvl w:ilvl="5" w:tplc="6C661924">
      <w:numFmt w:val="bullet"/>
      <w:lvlText w:val="•"/>
      <w:lvlJc w:val="left"/>
      <w:pPr>
        <w:ind w:left="5863" w:hanging="315"/>
      </w:pPr>
      <w:rPr>
        <w:rFonts w:hint="default"/>
        <w:lang w:val="en-US" w:eastAsia="en-US" w:bidi="en-US"/>
      </w:rPr>
    </w:lvl>
    <w:lvl w:ilvl="6" w:tplc="F1F4DCA4">
      <w:numFmt w:val="bullet"/>
      <w:lvlText w:val="•"/>
      <w:lvlJc w:val="left"/>
      <w:pPr>
        <w:ind w:left="6667" w:hanging="315"/>
      </w:pPr>
      <w:rPr>
        <w:rFonts w:hint="default"/>
        <w:lang w:val="en-US" w:eastAsia="en-US" w:bidi="en-US"/>
      </w:rPr>
    </w:lvl>
    <w:lvl w:ilvl="7" w:tplc="F9142598">
      <w:numFmt w:val="bullet"/>
      <w:lvlText w:val="•"/>
      <w:lvlJc w:val="left"/>
      <w:pPr>
        <w:ind w:left="7472" w:hanging="315"/>
      </w:pPr>
      <w:rPr>
        <w:rFonts w:hint="default"/>
        <w:lang w:val="en-US" w:eastAsia="en-US" w:bidi="en-US"/>
      </w:rPr>
    </w:lvl>
    <w:lvl w:ilvl="8" w:tplc="A2726424">
      <w:numFmt w:val="bullet"/>
      <w:lvlText w:val="•"/>
      <w:lvlJc w:val="left"/>
      <w:pPr>
        <w:ind w:left="8277" w:hanging="315"/>
      </w:pPr>
      <w:rPr>
        <w:rFonts w:hint="default"/>
        <w:lang w:val="en-US" w:eastAsia="en-US" w:bidi="en-US"/>
      </w:rPr>
    </w:lvl>
  </w:abstractNum>
  <w:abstractNum w:abstractNumId="35">
    <w:nsid w:val="47875482"/>
    <w:multiLevelType w:val="hybridMultilevel"/>
    <w:tmpl w:val="9BBCFD72"/>
    <w:lvl w:ilvl="0" w:tplc="ABF4392E">
      <w:start w:val="1"/>
      <w:numFmt w:val="decimal"/>
      <w:lvlText w:val="(%1)"/>
      <w:lvlJc w:val="left"/>
      <w:pPr>
        <w:ind w:left="2085" w:hanging="514"/>
        <w:jc w:val="left"/>
      </w:pPr>
      <w:rPr>
        <w:rFonts w:ascii="Arial" w:eastAsia="Arial" w:hAnsi="Arial" w:cs="Arial" w:hint="default"/>
        <w:w w:val="100"/>
        <w:sz w:val="28"/>
        <w:szCs w:val="28"/>
        <w:lang w:val="en-US" w:eastAsia="en-US" w:bidi="en-US"/>
      </w:rPr>
    </w:lvl>
    <w:lvl w:ilvl="1" w:tplc="EA464656">
      <w:numFmt w:val="bullet"/>
      <w:lvlText w:val="•"/>
      <w:lvlJc w:val="left"/>
      <w:pPr>
        <w:ind w:left="2830" w:hanging="514"/>
      </w:pPr>
      <w:rPr>
        <w:rFonts w:hint="default"/>
        <w:lang w:val="en-US" w:eastAsia="en-US" w:bidi="en-US"/>
      </w:rPr>
    </w:lvl>
    <w:lvl w:ilvl="2" w:tplc="B052EC04">
      <w:numFmt w:val="bullet"/>
      <w:lvlText w:val="•"/>
      <w:lvlJc w:val="left"/>
      <w:pPr>
        <w:ind w:left="3580" w:hanging="514"/>
      </w:pPr>
      <w:rPr>
        <w:rFonts w:hint="default"/>
        <w:lang w:val="en-US" w:eastAsia="en-US" w:bidi="en-US"/>
      </w:rPr>
    </w:lvl>
    <w:lvl w:ilvl="3" w:tplc="0FE63F1E">
      <w:numFmt w:val="bullet"/>
      <w:lvlText w:val="•"/>
      <w:lvlJc w:val="left"/>
      <w:pPr>
        <w:ind w:left="4330" w:hanging="514"/>
      </w:pPr>
      <w:rPr>
        <w:rFonts w:hint="default"/>
        <w:lang w:val="en-US" w:eastAsia="en-US" w:bidi="en-US"/>
      </w:rPr>
    </w:lvl>
    <w:lvl w:ilvl="4" w:tplc="E9DE7552">
      <w:numFmt w:val="bullet"/>
      <w:lvlText w:val="•"/>
      <w:lvlJc w:val="left"/>
      <w:pPr>
        <w:ind w:left="5080" w:hanging="514"/>
      </w:pPr>
      <w:rPr>
        <w:rFonts w:hint="default"/>
        <w:lang w:val="en-US" w:eastAsia="en-US" w:bidi="en-US"/>
      </w:rPr>
    </w:lvl>
    <w:lvl w:ilvl="5" w:tplc="2F88CFE2">
      <w:numFmt w:val="bullet"/>
      <w:lvlText w:val="•"/>
      <w:lvlJc w:val="left"/>
      <w:pPr>
        <w:ind w:left="5830" w:hanging="514"/>
      </w:pPr>
      <w:rPr>
        <w:rFonts w:hint="default"/>
        <w:lang w:val="en-US" w:eastAsia="en-US" w:bidi="en-US"/>
      </w:rPr>
    </w:lvl>
    <w:lvl w:ilvl="6" w:tplc="86E0BA0C">
      <w:numFmt w:val="bullet"/>
      <w:lvlText w:val="•"/>
      <w:lvlJc w:val="left"/>
      <w:pPr>
        <w:ind w:left="6580" w:hanging="514"/>
      </w:pPr>
      <w:rPr>
        <w:rFonts w:hint="default"/>
        <w:lang w:val="en-US" w:eastAsia="en-US" w:bidi="en-US"/>
      </w:rPr>
    </w:lvl>
    <w:lvl w:ilvl="7" w:tplc="F12A6218">
      <w:numFmt w:val="bullet"/>
      <w:lvlText w:val="•"/>
      <w:lvlJc w:val="left"/>
      <w:pPr>
        <w:ind w:left="7330" w:hanging="514"/>
      </w:pPr>
      <w:rPr>
        <w:rFonts w:hint="default"/>
        <w:lang w:val="en-US" w:eastAsia="en-US" w:bidi="en-US"/>
      </w:rPr>
    </w:lvl>
    <w:lvl w:ilvl="8" w:tplc="A7A04358">
      <w:numFmt w:val="bullet"/>
      <w:lvlText w:val="•"/>
      <w:lvlJc w:val="left"/>
      <w:pPr>
        <w:ind w:left="8080" w:hanging="514"/>
      </w:pPr>
      <w:rPr>
        <w:rFonts w:hint="default"/>
        <w:lang w:val="en-US" w:eastAsia="en-US" w:bidi="en-US"/>
      </w:rPr>
    </w:lvl>
  </w:abstractNum>
  <w:abstractNum w:abstractNumId="36">
    <w:nsid w:val="484D06D3"/>
    <w:multiLevelType w:val="hybridMultilevel"/>
    <w:tmpl w:val="F5601CDA"/>
    <w:lvl w:ilvl="0" w:tplc="3052FF5C">
      <w:start w:val="1"/>
      <w:numFmt w:val="lowerRoman"/>
      <w:lvlText w:val="%1."/>
      <w:lvlJc w:val="left"/>
      <w:pPr>
        <w:ind w:left="1480" w:hanging="1080"/>
        <w:jc w:val="left"/>
      </w:pPr>
      <w:rPr>
        <w:rFonts w:ascii="Arial" w:eastAsia="Arial" w:hAnsi="Arial" w:cs="Arial" w:hint="default"/>
        <w:w w:val="99"/>
        <w:sz w:val="26"/>
        <w:szCs w:val="26"/>
        <w:lang w:val="en-US" w:eastAsia="en-US" w:bidi="en-US"/>
      </w:rPr>
    </w:lvl>
    <w:lvl w:ilvl="1" w:tplc="0C3A4DDA">
      <w:numFmt w:val="bullet"/>
      <w:lvlText w:val="•"/>
      <w:lvlJc w:val="left"/>
      <w:pPr>
        <w:ind w:left="1480" w:hanging="1080"/>
      </w:pPr>
      <w:rPr>
        <w:rFonts w:hint="default"/>
        <w:lang w:val="en-US" w:eastAsia="en-US" w:bidi="en-US"/>
      </w:rPr>
    </w:lvl>
    <w:lvl w:ilvl="2" w:tplc="32FECB0C">
      <w:numFmt w:val="bullet"/>
      <w:lvlText w:val="•"/>
      <w:lvlJc w:val="left"/>
      <w:pPr>
        <w:ind w:left="1960" w:hanging="1080"/>
      </w:pPr>
      <w:rPr>
        <w:rFonts w:hint="default"/>
        <w:lang w:val="en-US" w:eastAsia="en-US" w:bidi="en-US"/>
      </w:rPr>
    </w:lvl>
    <w:lvl w:ilvl="3" w:tplc="0C2099AE">
      <w:numFmt w:val="bullet"/>
      <w:lvlText w:val="•"/>
      <w:lvlJc w:val="left"/>
      <w:pPr>
        <w:ind w:left="2950" w:hanging="1080"/>
      </w:pPr>
      <w:rPr>
        <w:rFonts w:hint="default"/>
        <w:lang w:val="en-US" w:eastAsia="en-US" w:bidi="en-US"/>
      </w:rPr>
    </w:lvl>
    <w:lvl w:ilvl="4" w:tplc="42308DE2">
      <w:numFmt w:val="bullet"/>
      <w:lvlText w:val="•"/>
      <w:lvlJc w:val="left"/>
      <w:pPr>
        <w:ind w:left="3941" w:hanging="1080"/>
      </w:pPr>
      <w:rPr>
        <w:rFonts w:hint="default"/>
        <w:lang w:val="en-US" w:eastAsia="en-US" w:bidi="en-US"/>
      </w:rPr>
    </w:lvl>
    <w:lvl w:ilvl="5" w:tplc="7C788E40">
      <w:numFmt w:val="bullet"/>
      <w:lvlText w:val="•"/>
      <w:lvlJc w:val="left"/>
      <w:pPr>
        <w:ind w:left="4932" w:hanging="1080"/>
      </w:pPr>
      <w:rPr>
        <w:rFonts w:hint="default"/>
        <w:lang w:val="en-US" w:eastAsia="en-US" w:bidi="en-US"/>
      </w:rPr>
    </w:lvl>
    <w:lvl w:ilvl="6" w:tplc="CF0EF198">
      <w:numFmt w:val="bullet"/>
      <w:lvlText w:val="•"/>
      <w:lvlJc w:val="left"/>
      <w:pPr>
        <w:ind w:left="5923" w:hanging="1080"/>
      </w:pPr>
      <w:rPr>
        <w:rFonts w:hint="default"/>
        <w:lang w:val="en-US" w:eastAsia="en-US" w:bidi="en-US"/>
      </w:rPr>
    </w:lvl>
    <w:lvl w:ilvl="7" w:tplc="E35276D0">
      <w:numFmt w:val="bullet"/>
      <w:lvlText w:val="•"/>
      <w:lvlJc w:val="left"/>
      <w:pPr>
        <w:ind w:left="6914" w:hanging="1080"/>
      </w:pPr>
      <w:rPr>
        <w:rFonts w:hint="default"/>
        <w:lang w:val="en-US" w:eastAsia="en-US" w:bidi="en-US"/>
      </w:rPr>
    </w:lvl>
    <w:lvl w:ilvl="8" w:tplc="6B82C474">
      <w:numFmt w:val="bullet"/>
      <w:lvlText w:val="•"/>
      <w:lvlJc w:val="left"/>
      <w:pPr>
        <w:ind w:left="7904" w:hanging="1080"/>
      </w:pPr>
      <w:rPr>
        <w:rFonts w:hint="default"/>
        <w:lang w:val="en-US" w:eastAsia="en-US" w:bidi="en-US"/>
      </w:rPr>
    </w:lvl>
  </w:abstractNum>
  <w:abstractNum w:abstractNumId="37">
    <w:nsid w:val="48BD47C2"/>
    <w:multiLevelType w:val="hybridMultilevel"/>
    <w:tmpl w:val="332455E6"/>
    <w:lvl w:ilvl="0" w:tplc="D228054C">
      <w:start w:val="1"/>
      <w:numFmt w:val="lowerRoman"/>
      <w:lvlText w:val="(%1)"/>
      <w:lvlJc w:val="left"/>
      <w:pPr>
        <w:ind w:left="2560" w:hanging="720"/>
        <w:jc w:val="left"/>
      </w:pPr>
      <w:rPr>
        <w:rFonts w:ascii="Arial" w:eastAsia="Arial" w:hAnsi="Arial" w:cs="Arial" w:hint="default"/>
        <w:spacing w:val="-1"/>
        <w:w w:val="100"/>
        <w:sz w:val="21"/>
        <w:szCs w:val="21"/>
        <w:lang w:val="en-US" w:eastAsia="en-US" w:bidi="en-US"/>
      </w:rPr>
    </w:lvl>
    <w:lvl w:ilvl="1" w:tplc="863EA2A2">
      <w:numFmt w:val="bullet"/>
      <w:lvlText w:val="•"/>
      <w:lvlJc w:val="left"/>
      <w:pPr>
        <w:ind w:left="3292" w:hanging="720"/>
      </w:pPr>
      <w:rPr>
        <w:rFonts w:hint="default"/>
        <w:lang w:val="en-US" w:eastAsia="en-US" w:bidi="en-US"/>
      </w:rPr>
    </w:lvl>
    <w:lvl w:ilvl="2" w:tplc="8E3C35A8">
      <w:numFmt w:val="bullet"/>
      <w:lvlText w:val="•"/>
      <w:lvlJc w:val="left"/>
      <w:pPr>
        <w:ind w:left="4025" w:hanging="720"/>
      </w:pPr>
      <w:rPr>
        <w:rFonts w:hint="default"/>
        <w:lang w:val="en-US" w:eastAsia="en-US" w:bidi="en-US"/>
      </w:rPr>
    </w:lvl>
    <w:lvl w:ilvl="3" w:tplc="CE02B076">
      <w:numFmt w:val="bullet"/>
      <w:lvlText w:val="•"/>
      <w:lvlJc w:val="left"/>
      <w:pPr>
        <w:ind w:left="4757" w:hanging="720"/>
      </w:pPr>
      <w:rPr>
        <w:rFonts w:hint="default"/>
        <w:lang w:val="en-US" w:eastAsia="en-US" w:bidi="en-US"/>
      </w:rPr>
    </w:lvl>
    <w:lvl w:ilvl="4" w:tplc="4C6299A4">
      <w:numFmt w:val="bullet"/>
      <w:lvlText w:val="•"/>
      <w:lvlJc w:val="left"/>
      <w:pPr>
        <w:ind w:left="5490" w:hanging="720"/>
      </w:pPr>
      <w:rPr>
        <w:rFonts w:hint="default"/>
        <w:lang w:val="en-US" w:eastAsia="en-US" w:bidi="en-US"/>
      </w:rPr>
    </w:lvl>
    <w:lvl w:ilvl="5" w:tplc="BD7CF324">
      <w:numFmt w:val="bullet"/>
      <w:lvlText w:val="•"/>
      <w:lvlJc w:val="left"/>
      <w:pPr>
        <w:ind w:left="6223" w:hanging="720"/>
      </w:pPr>
      <w:rPr>
        <w:rFonts w:hint="default"/>
        <w:lang w:val="en-US" w:eastAsia="en-US" w:bidi="en-US"/>
      </w:rPr>
    </w:lvl>
    <w:lvl w:ilvl="6" w:tplc="594E9BA6">
      <w:numFmt w:val="bullet"/>
      <w:lvlText w:val="•"/>
      <w:lvlJc w:val="left"/>
      <w:pPr>
        <w:ind w:left="6955" w:hanging="720"/>
      </w:pPr>
      <w:rPr>
        <w:rFonts w:hint="default"/>
        <w:lang w:val="en-US" w:eastAsia="en-US" w:bidi="en-US"/>
      </w:rPr>
    </w:lvl>
    <w:lvl w:ilvl="7" w:tplc="AFFCF096">
      <w:numFmt w:val="bullet"/>
      <w:lvlText w:val="•"/>
      <w:lvlJc w:val="left"/>
      <w:pPr>
        <w:ind w:left="7688" w:hanging="720"/>
      </w:pPr>
      <w:rPr>
        <w:rFonts w:hint="default"/>
        <w:lang w:val="en-US" w:eastAsia="en-US" w:bidi="en-US"/>
      </w:rPr>
    </w:lvl>
    <w:lvl w:ilvl="8" w:tplc="5E48548A">
      <w:numFmt w:val="bullet"/>
      <w:lvlText w:val="•"/>
      <w:lvlJc w:val="left"/>
      <w:pPr>
        <w:ind w:left="8421" w:hanging="720"/>
      </w:pPr>
      <w:rPr>
        <w:rFonts w:hint="default"/>
        <w:lang w:val="en-US" w:eastAsia="en-US" w:bidi="en-US"/>
      </w:rPr>
    </w:lvl>
  </w:abstractNum>
  <w:abstractNum w:abstractNumId="38">
    <w:nsid w:val="4BD325D6"/>
    <w:multiLevelType w:val="hybridMultilevel"/>
    <w:tmpl w:val="9E0841F4"/>
    <w:lvl w:ilvl="0" w:tplc="9476F1AC">
      <w:start w:val="1"/>
      <w:numFmt w:val="lowerLetter"/>
      <w:lvlText w:val="(%1)"/>
      <w:lvlJc w:val="left"/>
      <w:pPr>
        <w:ind w:left="2154" w:hanging="315"/>
        <w:jc w:val="left"/>
      </w:pPr>
      <w:rPr>
        <w:rFonts w:ascii="Arial" w:eastAsia="Arial" w:hAnsi="Arial" w:cs="Arial" w:hint="default"/>
        <w:spacing w:val="-1"/>
        <w:w w:val="100"/>
        <w:sz w:val="21"/>
        <w:szCs w:val="21"/>
        <w:lang w:val="en-US" w:eastAsia="en-US" w:bidi="en-US"/>
      </w:rPr>
    </w:lvl>
    <w:lvl w:ilvl="1" w:tplc="ECF86A0A">
      <w:numFmt w:val="bullet"/>
      <w:lvlText w:val="•"/>
      <w:lvlJc w:val="left"/>
      <w:pPr>
        <w:ind w:left="2932" w:hanging="315"/>
      </w:pPr>
      <w:rPr>
        <w:rFonts w:hint="default"/>
        <w:lang w:val="en-US" w:eastAsia="en-US" w:bidi="en-US"/>
      </w:rPr>
    </w:lvl>
    <w:lvl w:ilvl="2" w:tplc="78F6EB04">
      <w:numFmt w:val="bullet"/>
      <w:lvlText w:val="•"/>
      <w:lvlJc w:val="left"/>
      <w:pPr>
        <w:ind w:left="3705" w:hanging="315"/>
      </w:pPr>
      <w:rPr>
        <w:rFonts w:hint="default"/>
        <w:lang w:val="en-US" w:eastAsia="en-US" w:bidi="en-US"/>
      </w:rPr>
    </w:lvl>
    <w:lvl w:ilvl="3" w:tplc="BC5A3C54">
      <w:numFmt w:val="bullet"/>
      <w:lvlText w:val="•"/>
      <w:lvlJc w:val="left"/>
      <w:pPr>
        <w:ind w:left="4477" w:hanging="315"/>
      </w:pPr>
      <w:rPr>
        <w:rFonts w:hint="default"/>
        <w:lang w:val="en-US" w:eastAsia="en-US" w:bidi="en-US"/>
      </w:rPr>
    </w:lvl>
    <w:lvl w:ilvl="4" w:tplc="F1E6CD94">
      <w:numFmt w:val="bullet"/>
      <w:lvlText w:val="•"/>
      <w:lvlJc w:val="left"/>
      <w:pPr>
        <w:ind w:left="5250" w:hanging="315"/>
      </w:pPr>
      <w:rPr>
        <w:rFonts w:hint="default"/>
        <w:lang w:val="en-US" w:eastAsia="en-US" w:bidi="en-US"/>
      </w:rPr>
    </w:lvl>
    <w:lvl w:ilvl="5" w:tplc="50926F70">
      <w:numFmt w:val="bullet"/>
      <w:lvlText w:val="•"/>
      <w:lvlJc w:val="left"/>
      <w:pPr>
        <w:ind w:left="6023" w:hanging="315"/>
      </w:pPr>
      <w:rPr>
        <w:rFonts w:hint="default"/>
        <w:lang w:val="en-US" w:eastAsia="en-US" w:bidi="en-US"/>
      </w:rPr>
    </w:lvl>
    <w:lvl w:ilvl="6" w:tplc="77D45E1E">
      <w:numFmt w:val="bullet"/>
      <w:lvlText w:val="•"/>
      <w:lvlJc w:val="left"/>
      <w:pPr>
        <w:ind w:left="6795" w:hanging="315"/>
      </w:pPr>
      <w:rPr>
        <w:rFonts w:hint="default"/>
        <w:lang w:val="en-US" w:eastAsia="en-US" w:bidi="en-US"/>
      </w:rPr>
    </w:lvl>
    <w:lvl w:ilvl="7" w:tplc="2EC22586">
      <w:numFmt w:val="bullet"/>
      <w:lvlText w:val="•"/>
      <w:lvlJc w:val="left"/>
      <w:pPr>
        <w:ind w:left="7568" w:hanging="315"/>
      </w:pPr>
      <w:rPr>
        <w:rFonts w:hint="default"/>
        <w:lang w:val="en-US" w:eastAsia="en-US" w:bidi="en-US"/>
      </w:rPr>
    </w:lvl>
    <w:lvl w:ilvl="8" w:tplc="D5EEB976">
      <w:numFmt w:val="bullet"/>
      <w:lvlText w:val="•"/>
      <w:lvlJc w:val="left"/>
      <w:pPr>
        <w:ind w:left="8341" w:hanging="315"/>
      </w:pPr>
      <w:rPr>
        <w:rFonts w:hint="default"/>
        <w:lang w:val="en-US" w:eastAsia="en-US" w:bidi="en-US"/>
      </w:rPr>
    </w:lvl>
  </w:abstractNum>
  <w:abstractNum w:abstractNumId="39">
    <w:nsid w:val="510A3991"/>
    <w:multiLevelType w:val="hybridMultilevel"/>
    <w:tmpl w:val="3AC06908"/>
    <w:lvl w:ilvl="0" w:tplc="E6FE528C">
      <w:start w:val="1"/>
      <w:numFmt w:val="decimal"/>
      <w:lvlText w:val="(%1)"/>
      <w:lvlJc w:val="left"/>
      <w:pPr>
        <w:ind w:left="1916" w:hanging="454"/>
        <w:jc w:val="left"/>
      </w:pPr>
      <w:rPr>
        <w:rFonts w:ascii="Bookman Old Style" w:eastAsia="Bookman Old Style" w:hAnsi="Bookman Old Style" w:cs="Bookman Old Style" w:hint="default"/>
        <w:w w:val="100"/>
        <w:sz w:val="28"/>
        <w:szCs w:val="28"/>
        <w:lang w:val="en-US" w:eastAsia="en-US" w:bidi="en-US"/>
      </w:rPr>
    </w:lvl>
    <w:lvl w:ilvl="1" w:tplc="42E8448C">
      <w:numFmt w:val="bullet"/>
      <w:lvlText w:val="•"/>
      <w:lvlJc w:val="left"/>
      <w:pPr>
        <w:ind w:left="2708" w:hanging="454"/>
      </w:pPr>
      <w:rPr>
        <w:rFonts w:hint="default"/>
        <w:lang w:val="en-US" w:eastAsia="en-US" w:bidi="en-US"/>
      </w:rPr>
    </w:lvl>
    <w:lvl w:ilvl="2" w:tplc="3AC636BC">
      <w:numFmt w:val="bullet"/>
      <w:lvlText w:val="•"/>
      <w:lvlJc w:val="left"/>
      <w:pPr>
        <w:ind w:left="3497" w:hanging="454"/>
      </w:pPr>
      <w:rPr>
        <w:rFonts w:hint="default"/>
        <w:lang w:val="en-US" w:eastAsia="en-US" w:bidi="en-US"/>
      </w:rPr>
    </w:lvl>
    <w:lvl w:ilvl="3" w:tplc="290AC30C">
      <w:numFmt w:val="bullet"/>
      <w:lvlText w:val="•"/>
      <w:lvlJc w:val="left"/>
      <w:pPr>
        <w:ind w:left="4285" w:hanging="454"/>
      </w:pPr>
      <w:rPr>
        <w:rFonts w:hint="default"/>
        <w:lang w:val="en-US" w:eastAsia="en-US" w:bidi="en-US"/>
      </w:rPr>
    </w:lvl>
    <w:lvl w:ilvl="4" w:tplc="528AF19A">
      <w:numFmt w:val="bullet"/>
      <w:lvlText w:val="•"/>
      <w:lvlJc w:val="left"/>
      <w:pPr>
        <w:ind w:left="5074" w:hanging="454"/>
      </w:pPr>
      <w:rPr>
        <w:rFonts w:hint="default"/>
        <w:lang w:val="en-US" w:eastAsia="en-US" w:bidi="en-US"/>
      </w:rPr>
    </w:lvl>
    <w:lvl w:ilvl="5" w:tplc="66A6711A">
      <w:numFmt w:val="bullet"/>
      <w:lvlText w:val="•"/>
      <w:lvlJc w:val="left"/>
      <w:pPr>
        <w:ind w:left="5863" w:hanging="454"/>
      </w:pPr>
      <w:rPr>
        <w:rFonts w:hint="default"/>
        <w:lang w:val="en-US" w:eastAsia="en-US" w:bidi="en-US"/>
      </w:rPr>
    </w:lvl>
    <w:lvl w:ilvl="6" w:tplc="917CAA7C">
      <w:numFmt w:val="bullet"/>
      <w:lvlText w:val="•"/>
      <w:lvlJc w:val="left"/>
      <w:pPr>
        <w:ind w:left="6651" w:hanging="454"/>
      </w:pPr>
      <w:rPr>
        <w:rFonts w:hint="default"/>
        <w:lang w:val="en-US" w:eastAsia="en-US" w:bidi="en-US"/>
      </w:rPr>
    </w:lvl>
    <w:lvl w:ilvl="7" w:tplc="DCA67472">
      <w:numFmt w:val="bullet"/>
      <w:lvlText w:val="•"/>
      <w:lvlJc w:val="left"/>
      <w:pPr>
        <w:ind w:left="7440" w:hanging="454"/>
      </w:pPr>
      <w:rPr>
        <w:rFonts w:hint="default"/>
        <w:lang w:val="en-US" w:eastAsia="en-US" w:bidi="en-US"/>
      </w:rPr>
    </w:lvl>
    <w:lvl w:ilvl="8" w:tplc="CB1ECFF6">
      <w:numFmt w:val="bullet"/>
      <w:lvlText w:val="•"/>
      <w:lvlJc w:val="left"/>
      <w:pPr>
        <w:ind w:left="8229" w:hanging="454"/>
      </w:pPr>
      <w:rPr>
        <w:rFonts w:hint="default"/>
        <w:lang w:val="en-US" w:eastAsia="en-US" w:bidi="en-US"/>
      </w:rPr>
    </w:lvl>
  </w:abstractNum>
  <w:abstractNum w:abstractNumId="40">
    <w:nsid w:val="51876ADC"/>
    <w:multiLevelType w:val="hybridMultilevel"/>
    <w:tmpl w:val="705E376C"/>
    <w:lvl w:ilvl="0" w:tplc="92FC3FDE">
      <w:start w:val="26"/>
      <w:numFmt w:val="decimal"/>
      <w:lvlText w:val="%1."/>
      <w:lvlJc w:val="left"/>
      <w:pPr>
        <w:ind w:left="1518" w:hanging="648"/>
        <w:jc w:val="left"/>
      </w:pPr>
      <w:rPr>
        <w:rFonts w:ascii="Arial" w:eastAsia="Arial" w:hAnsi="Arial" w:cs="Arial" w:hint="default"/>
        <w:spacing w:val="-1"/>
        <w:w w:val="100"/>
        <w:sz w:val="28"/>
        <w:szCs w:val="28"/>
        <w:lang w:val="en-US" w:eastAsia="en-US" w:bidi="en-US"/>
      </w:rPr>
    </w:lvl>
    <w:lvl w:ilvl="1" w:tplc="715A08AC">
      <w:numFmt w:val="bullet"/>
      <w:lvlText w:val="•"/>
      <w:lvlJc w:val="left"/>
      <w:pPr>
        <w:ind w:left="2326" w:hanging="648"/>
      </w:pPr>
      <w:rPr>
        <w:rFonts w:hint="default"/>
        <w:lang w:val="en-US" w:eastAsia="en-US" w:bidi="en-US"/>
      </w:rPr>
    </w:lvl>
    <w:lvl w:ilvl="2" w:tplc="23F8456E">
      <w:numFmt w:val="bullet"/>
      <w:lvlText w:val="•"/>
      <w:lvlJc w:val="left"/>
      <w:pPr>
        <w:ind w:left="3132" w:hanging="648"/>
      </w:pPr>
      <w:rPr>
        <w:rFonts w:hint="default"/>
        <w:lang w:val="en-US" w:eastAsia="en-US" w:bidi="en-US"/>
      </w:rPr>
    </w:lvl>
    <w:lvl w:ilvl="3" w:tplc="F8962612">
      <w:numFmt w:val="bullet"/>
      <w:lvlText w:val="•"/>
      <w:lvlJc w:val="left"/>
      <w:pPr>
        <w:ind w:left="3938" w:hanging="648"/>
      </w:pPr>
      <w:rPr>
        <w:rFonts w:hint="default"/>
        <w:lang w:val="en-US" w:eastAsia="en-US" w:bidi="en-US"/>
      </w:rPr>
    </w:lvl>
    <w:lvl w:ilvl="4" w:tplc="E3FCC1E4">
      <w:numFmt w:val="bullet"/>
      <w:lvlText w:val="•"/>
      <w:lvlJc w:val="left"/>
      <w:pPr>
        <w:ind w:left="4744" w:hanging="648"/>
      </w:pPr>
      <w:rPr>
        <w:rFonts w:hint="default"/>
        <w:lang w:val="en-US" w:eastAsia="en-US" w:bidi="en-US"/>
      </w:rPr>
    </w:lvl>
    <w:lvl w:ilvl="5" w:tplc="F9500EC6">
      <w:numFmt w:val="bullet"/>
      <w:lvlText w:val="•"/>
      <w:lvlJc w:val="left"/>
      <w:pPr>
        <w:ind w:left="5550" w:hanging="648"/>
      </w:pPr>
      <w:rPr>
        <w:rFonts w:hint="default"/>
        <w:lang w:val="en-US" w:eastAsia="en-US" w:bidi="en-US"/>
      </w:rPr>
    </w:lvl>
    <w:lvl w:ilvl="6" w:tplc="2AB4B4B2">
      <w:numFmt w:val="bullet"/>
      <w:lvlText w:val="•"/>
      <w:lvlJc w:val="left"/>
      <w:pPr>
        <w:ind w:left="6356" w:hanging="648"/>
      </w:pPr>
      <w:rPr>
        <w:rFonts w:hint="default"/>
        <w:lang w:val="en-US" w:eastAsia="en-US" w:bidi="en-US"/>
      </w:rPr>
    </w:lvl>
    <w:lvl w:ilvl="7" w:tplc="83C82D98">
      <w:numFmt w:val="bullet"/>
      <w:lvlText w:val="•"/>
      <w:lvlJc w:val="left"/>
      <w:pPr>
        <w:ind w:left="7162" w:hanging="648"/>
      </w:pPr>
      <w:rPr>
        <w:rFonts w:hint="default"/>
        <w:lang w:val="en-US" w:eastAsia="en-US" w:bidi="en-US"/>
      </w:rPr>
    </w:lvl>
    <w:lvl w:ilvl="8" w:tplc="7CF2F292">
      <w:numFmt w:val="bullet"/>
      <w:lvlText w:val="•"/>
      <w:lvlJc w:val="left"/>
      <w:pPr>
        <w:ind w:left="7968" w:hanging="648"/>
      </w:pPr>
      <w:rPr>
        <w:rFonts w:hint="default"/>
        <w:lang w:val="en-US" w:eastAsia="en-US" w:bidi="en-US"/>
      </w:rPr>
    </w:lvl>
  </w:abstractNum>
  <w:abstractNum w:abstractNumId="41">
    <w:nsid w:val="5217131E"/>
    <w:multiLevelType w:val="hybridMultilevel"/>
    <w:tmpl w:val="59A0CE18"/>
    <w:lvl w:ilvl="0" w:tplc="2CC61D08">
      <w:start w:val="1"/>
      <w:numFmt w:val="lowerRoman"/>
      <w:lvlText w:val="%1."/>
      <w:lvlJc w:val="left"/>
      <w:pPr>
        <w:ind w:left="1211" w:hanging="812"/>
        <w:jc w:val="left"/>
      </w:pPr>
      <w:rPr>
        <w:rFonts w:ascii="Arial" w:eastAsia="Arial" w:hAnsi="Arial" w:cs="Arial" w:hint="default"/>
        <w:w w:val="99"/>
        <w:sz w:val="26"/>
        <w:szCs w:val="26"/>
        <w:lang w:val="en-US" w:eastAsia="en-US" w:bidi="en-US"/>
      </w:rPr>
    </w:lvl>
    <w:lvl w:ilvl="1" w:tplc="FF700268">
      <w:numFmt w:val="bullet"/>
      <w:lvlText w:val="•"/>
      <w:lvlJc w:val="left"/>
      <w:pPr>
        <w:ind w:left="2086" w:hanging="812"/>
      </w:pPr>
      <w:rPr>
        <w:rFonts w:hint="default"/>
        <w:lang w:val="en-US" w:eastAsia="en-US" w:bidi="en-US"/>
      </w:rPr>
    </w:lvl>
    <w:lvl w:ilvl="2" w:tplc="CF0485AC">
      <w:numFmt w:val="bullet"/>
      <w:lvlText w:val="•"/>
      <w:lvlJc w:val="left"/>
      <w:pPr>
        <w:ind w:left="2953" w:hanging="812"/>
      </w:pPr>
      <w:rPr>
        <w:rFonts w:hint="default"/>
        <w:lang w:val="en-US" w:eastAsia="en-US" w:bidi="en-US"/>
      </w:rPr>
    </w:lvl>
    <w:lvl w:ilvl="3" w:tplc="7D3CDCAC">
      <w:numFmt w:val="bullet"/>
      <w:lvlText w:val="•"/>
      <w:lvlJc w:val="left"/>
      <w:pPr>
        <w:ind w:left="3819" w:hanging="812"/>
      </w:pPr>
      <w:rPr>
        <w:rFonts w:hint="default"/>
        <w:lang w:val="en-US" w:eastAsia="en-US" w:bidi="en-US"/>
      </w:rPr>
    </w:lvl>
    <w:lvl w:ilvl="4" w:tplc="3210E560">
      <w:numFmt w:val="bullet"/>
      <w:lvlText w:val="•"/>
      <w:lvlJc w:val="left"/>
      <w:pPr>
        <w:ind w:left="4686" w:hanging="812"/>
      </w:pPr>
      <w:rPr>
        <w:rFonts w:hint="default"/>
        <w:lang w:val="en-US" w:eastAsia="en-US" w:bidi="en-US"/>
      </w:rPr>
    </w:lvl>
    <w:lvl w:ilvl="5" w:tplc="2D4289CE">
      <w:numFmt w:val="bullet"/>
      <w:lvlText w:val="•"/>
      <w:lvlJc w:val="left"/>
      <w:pPr>
        <w:ind w:left="5553" w:hanging="812"/>
      </w:pPr>
      <w:rPr>
        <w:rFonts w:hint="default"/>
        <w:lang w:val="en-US" w:eastAsia="en-US" w:bidi="en-US"/>
      </w:rPr>
    </w:lvl>
    <w:lvl w:ilvl="6" w:tplc="3C085A46">
      <w:numFmt w:val="bullet"/>
      <w:lvlText w:val="•"/>
      <w:lvlJc w:val="left"/>
      <w:pPr>
        <w:ind w:left="6419" w:hanging="812"/>
      </w:pPr>
      <w:rPr>
        <w:rFonts w:hint="default"/>
        <w:lang w:val="en-US" w:eastAsia="en-US" w:bidi="en-US"/>
      </w:rPr>
    </w:lvl>
    <w:lvl w:ilvl="7" w:tplc="A314B798">
      <w:numFmt w:val="bullet"/>
      <w:lvlText w:val="•"/>
      <w:lvlJc w:val="left"/>
      <w:pPr>
        <w:ind w:left="7286" w:hanging="812"/>
      </w:pPr>
      <w:rPr>
        <w:rFonts w:hint="default"/>
        <w:lang w:val="en-US" w:eastAsia="en-US" w:bidi="en-US"/>
      </w:rPr>
    </w:lvl>
    <w:lvl w:ilvl="8" w:tplc="BDB420D8">
      <w:numFmt w:val="bullet"/>
      <w:lvlText w:val="•"/>
      <w:lvlJc w:val="left"/>
      <w:pPr>
        <w:ind w:left="8153" w:hanging="812"/>
      </w:pPr>
      <w:rPr>
        <w:rFonts w:hint="default"/>
        <w:lang w:val="en-US" w:eastAsia="en-US" w:bidi="en-US"/>
      </w:rPr>
    </w:lvl>
  </w:abstractNum>
  <w:abstractNum w:abstractNumId="42">
    <w:nsid w:val="540216F6"/>
    <w:multiLevelType w:val="hybridMultilevel"/>
    <w:tmpl w:val="163C82B4"/>
    <w:lvl w:ilvl="0" w:tplc="991EC296">
      <w:start w:val="1"/>
      <w:numFmt w:val="lowerRoman"/>
      <w:lvlText w:val="(%1)"/>
      <w:lvlJc w:val="left"/>
      <w:pPr>
        <w:ind w:left="1940" w:hanging="406"/>
        <w:jc w:val="left"/>
      </w:pPr>
      <w:rPr>
        <w:rFonts w:ascii="Bookman Old Style" w:eastAsia="Bookman Old Style" w:hAnsi="Bookman Old Style" w:cs="Bookman Old Style" w:hint="default"/>
        <w:w w:val="100"/>
        <w:sz w:val="28"/>
        <w:szCs w:val="28"/>
        <w:lang w:val="en-US" w:eastAsia="en-US" w:bidi="en-US"/>
      </w:rPr>
    </w:lvl>
    <w:lvl w:ilvl="1" w:tplc="6C64C642">
      <w:numFmt w:val="bullet"/>
      <w:lvlText w:val="•"/>
      <w:lvlJc w:val="left"/>
      <w:pPr>
        <w:ind w:left="2726" w:hanging="406"/>
      </w:pPr>
      <w:rPr>
        <w:rFonts w:hint="default"/>
        <w:lang w:val="en-US" w:eastAsia="en-US" w:bidi="en-US"/>
      </w:rPr>
    </w:lvl>
    <w:lvl w:ilvl="2" w:tplc="88EC27F4">
      <w:numFmt w:val="bullet"/>
      <w:lvlText w:val="•"/>
      <w:lvlJc w:val="left"/>
      <w:pPr>
        <w:ind w:left="3513" w:hanging="406"/>
      </w:pPr>
      <w:rPr>
        <w:rFonts w:hint="default"/>
        <w:lang w:val="en-US" w:eastAsia="en-US" w:bidi="en-US"/>
      </w:rPr>
    </w:lvl>
    <w:lvl w:ilvl="3" w:tplc="221E61C6">
      <w:numFmt w:val="bullet"/>
      <w:lvlText w:val="•"/>
      <w:lvlJc w:val="left"/>
      <w:pPr>
        <w:ind w:left="4299" w:hanging="406"/>
      </w:pPr>
      <w:rPr>
        <w:rFonts w:hint="default"/>
        <w:lang w:val="en-US" w:eastAsia="en-US" w:bidi="en-US"/>
      </w:rPr>
    </w:lvl>
    <w:lvl w:ilvl="4" w:tplc="7FE844C0">
      <w:numFmt w:val="bullet"/>
      <w:lvlText w:val="•"/>
      <w:lvlJc w:val="left"/>
      <w:pPr>
        <w:ind w:left="5086" w:hanging="406"/>
      </w:pPr>
      <w:rPr>
        <w:rFonts w:hint="default"/>
        <w:lang w:val="en-US" w:eastAsia="en-US" w:bidi="en-US"/>
      </w:rPr>
    </w:lvl>
    <w:lvl w:ilvl="5" w:tplc="FD5A01C0">
      <w:numFmt w:val="bullet"/>
      <w:lvlText w:val="•"/>
      <w:lvlJc w:val="left"/>
      <w:pPr>
        <w:ind w:left="5873" w:hanging="406"/>
      </w:pPr>
      <w:rPr>
        <w:rFonts w:hint="default"/>
        <w:lang w:val="en-US" w:eastAsia="en-US" w:bidi="en-US"/>
      </w:rPr>
    </w:lvl>
    <w:lvl w:ilvl="6" w:tplc="97D0AC80">
      <w:numFmt w:val="bullet"/>
      <w:lvlText w:val="•"/>
      <w:lvlJc w:val="left"/>
      <w:pPr>
        <w:ind w:left="6659" w:hanging="406"/>
      </w:pPr>
      <w:rPr>
        <w:rFonts w:hint="default"/>
        <w:lang w:val="en-US" w:eastAsia="en-US" w:bidi="en-US"/>
      </w:rPr>
    </w:lvl>
    <w:lvl w:ilvl="7" w:tplc="44640642">
      <w:numFmt w:val="bullet"/>
      <w:lvlText w:val="•"/>
      <w:lvlJc w:val="left"/>
      <w:pPr>
        <w:ind w:left="7446" w:hanging="406"/>
      </w:pPr>
      <w:rPr>
        <w:rFonts w:hint="default"/>
        <w:lang w:val="en-US" w:eastAsia="en-US" w:bidi="en-US"/>
      </w:rPr>
    </w:lvl>
    <w:lvl w:ilvl="8" w:tplc="6582AEB8">
      <w:numFmt w:val="bullet"/>
      <w:lvlText w:val="•"/>
      <w:lvlJc w:val="left"/>
      <w:pPr>
        <w:ind w:left="8233" w:hanging="406"/>
      </w:pPr>
      <w:rPr>
        <w:rFonts w:hint="default"/>
        <w:lang w:val="en-US" w:eastAsia="en-US" w:bidi="en-US"/>
      </w:rPr>
    </w:lvl>
  </w:abstractNum>
  <w:abstractNum w:abstractNumId="43">
    <w:nsid w:val="58DA6E55"/>
    <w:multiLevelType w:val="hybridMultilevel"/>
    <w:tmpl w:val="1D3832D4"/>
    <w:lvl w:ilvl="0" w:tplc="40E27AD2">
      <w:start w:val="2"/>
      <w:numFmt w:val="decimal"/>
      <w:lvlText w:val="(%1)"/>
      <w:lvlJc w:val="left"/>
      <w:pPr>
        <w:ind w:left="1350" w:hanging="550"/>
        <w:jc w:val="left"/>
      </w:pPr>
      <w:rPr>
        <w:rFonts w:ascii="Bookman Old Style" w:eastAsia="Bookman Old Style" w:hAnsi="Bookman Old Style" w:cs="Bookman Old Style" w:hint="default"/>
        <w:w w:val="100"/>
        <w:sz w:val="28"/>
        <w:szCs w:val="28"/>
        <w:lang w:val="en-US" w:eastAsia="en-US" w:bidi="en-US"/>
      </w:rPr>
    </w:lvl>
    <w:lvl w:ilvl="1" w:tplc="5B0C495A">
      <w:numFmt w:val="bullet"/>
      <w:lvlText w:val="•"/>
      <w:lvlJc w:val="left"/>
      <w:pPr>
        <w:ind w:left="2204" w:hanging="550"/>
      </w:pPr>
      <w:rPr>
        <w:rFonts w:hint="default"/>
        <w:lang w:val="en-US" w:eastAsia="en-US" w:bidi="en-US"/>
      </w:rPr>
    </w:lvl>
    <w:lvl w:ilvl="2" w:tplc="9A0E9806">
      <w:numFmt w:val="bullet"/>
      <w:lvlText w:val="•"/>
      <w:lvlJc w:val="left"/>
      <w:pPr>
        <w:ind w:left="3049" w:hanging="550"/>
      </w:pPr>
      <w:rPr>
        <w:rFonts w:hint="default"/>
        <w:lang w:val="en-US" w:eastAsia="en-US" w:bidi="en-US"/>
      </w:rPr>
    </w:lvl>
    <w:lvl w:ilvl="3" w:tplc="9C7E0148">
      <w:numFmt w:val="bullet"/>
      <w:lvlText w:val="•"/>
      <w:lvlJc w:val="left"/>
      <w:pPr>
        <w:ind w:left="3893" w:hanging="550"/>
      </w:pPr>
      <w:rPr>
        <w:rFonts w:hint="default"/>
        <w:lang w:val="en-US" w:eastAsia="en-US" w:bidi="en-US"/>
      </w:rPr>
    </w:lvl>
    <w:lvl w:ilvl="4" w:tplc="9564A234">
      <w:numFmt w:val="bullet"/>
      <w:lvlText w:val="•"/>
      <w:lvlJc w:val="left"/>
      <w:pPr>
        <w:ind w:left="4738" w:hanging="550"/>
      </w:pPr>
      <w:rPr>
        <w:rFonts w:hint="default"/>
        <w:lang w:val="en-US" w:eastAsia="en-US" w:bidi="en-US"/>
      </w:rPr>
    </w:lvl>
    <w:lvl w:ilvl="5" w:tplc="363C29AE">
      <w:numFmt w:val="bullet"/>
      <w:lvlText w:val="•"/>
      <w:lvlJc w:val="left"/>
      <w:pPr>
        <w:ind w:left="5583" w:hanging="550"/>
      </w:pPr>
      <w:rPr>
        <w:rFonts w:hint="default"/>
        <w:lang w:val="en-US" w:eastAsia="en-US" w:bidi="en-US"/>
      </w:rPr>
    </w:lvl>
    <w:lvl w:ilvl="6" w:tplc="7A2C464A">
      <w:numFmt w:val="bullet"/>
      <w:lvlText w:val="•"/>
      <w:lvlJc w:val="left"/>
      <w:pPr>
        <w:ind w:left="6427" w:hanging="550"/>
      </w:pPr>
      <w:rPr>
        <w:rFonts w:hint="default"/>
        <w:lang w:val="en-US" w:eastAsia="en-US" w:bidi="en-US"/>
      </w:rPr>
    </w:lvl>
    <w:lvl w:ilvl="7" w:tplc="D4FA26C2">
      <w:numFmt w:val="bullet"/>
      <w:lvlText w:val="•"/>
      <w:lvlJc w:val="left"/>
      <w:pPr>
        <w:ind w:left="7272" w:hanging="550"/>
      </w:pPr>
      <w:rPr>
        <w:rFonts w:hint="default"/>
        <w:lang w:val="en-US" w:eastAsia="en-US" w:bidi="en-US"/>
      </w:rPr>
    </w:lvl>
    <w:lvl w:ilvl="8" w:tplc="2F90EFB4">
      <w:numFmt w:val="bullet"/>
      <w:lvlText w:val="•"/>
      <w:lvlJc w:val="left"/>
      <w:pPr>
        <w:ind w:left="8117" w:hanging="550"/>
      </w:pPr>
      <w:rPr>
        <w:rFonts w:hint="default"/>
        <w:lang w:val="en-US" w:eastAsia="en-US" w:bidi="en-US"/>
      </w:rPr>
    </w:lvl>
  </w:abstractNum>
  <w:abstractNum w:abstractNumId="44">
    <w:nsid w:val="5CBC6718"/>
    <w:multiLevelType w:val="hybridMultilevel"/>
    <w:tmpl w:val="AE209D00"/>
    <w:lvl w:ilvl="0" w:tplc="96A4864C">
      <w:start w:val="1"/>
      <w:numFmt w:val="lowerRoman"/>
      <w:lvlText w:val="(%1)"/>
      <w:lvlJc w:val="left"/>
      <w:pPr>
        <w:ind w:left="760" w:hanging="360"/>
        <w:jc w:val="left"/>
      </w:pPr>
      <w:rPr>
        <w:rFonts w:ascii="Arial" w:eastAsia="Arial" w:hAnsi="Arial" w:cs="Arial" w:hint="default"/>
        <w:w w:val="99"/>
        <w:sz w:val="26"/>
        <w:szCs w:val="26"/>
        <w:lang w:val="en-US" w:eastAsia="en-US" w:bidi="en-US"/>
      </w:rPr>
    </w:lvl>
    <w:lvl w:ilvl="1" w:tplc="AB905D92">
      <w:numFmt w:val="bullet"/>
      <w:lvlText w:val="•"/>
      <w:lvlJc w:val="left"/>
      <w:pPr>
        <w:ind w:left="1672" w:hanging="360"/>
      </w:pPr>
      <w:rPr>
        <w:rFonts w:hint="default"/>
        <w:lang w:val="en-US" w:eastAsia="en-US" w:bidi="en-US"/>
      </w:rPr>
    </w:lvl>
    <w:lvl w:ilvl="2" w:tplc="143698DC">
      <w:numFmt w:val="bullet"/>
      <w:lvlText w:val="•"/>
      <w:lvlJc w:val="left"/>
      <w:pPr>
        <w:ind w:left="2585" w:hanging="360"/>
      </w:pPr>
      <w:rPr>
        <w:rFonts w:hint="default"/>
        <w:lang w:val="en-US" w:eastAsia="en-US" w:bidi="en-US"/>
      </w:rPr>
    </w:lvl>
    <w:lvl w:ilvl="3" w:tplc="B7FAAB10">
      <w:numFmt w:val="bullet"/>
      <w:lvlText w:val="•"/>
      <w:lvlJc w:val="left"/>
      <w:pPr>
        <w:ind w:left="3497" w:hanging="360"/>
      </w:pPr>
      <w:rPr>
        <w:rFonts w:hint="default"/>
        <w:lang w:val="en-US" w:eastAsia="en-US" w:bidi="en-US"/>
      </w:rPr>
    </w:lvl>
    <w:lvl w:ilvl="4" w:tplc="0F102E8E">
      <w:numFmt w:val="bullet"/>
      <w:lvlText w:val="•"/>
      <w:lvlJc w:val="left"/>
      <w:pPr>
        <w:ind w:left="4410" w:hanging="360"/>
      </w:pPr>
      <w:rPr>
        <w:rFonts w:hint="default"/>
        <w:lang w:val="en-US" w:eastAsia="en-US" w:bidi="en-US"/>
      </w:rPr>
    </w:lvl>
    <w:lvl w:ilvl="5" w:tplc="869235B4">
      <w:numFmt w:val="bullet"/>
      <w:lvlText w:val="•"/>
      <w:lvlJc w:val="left"/>
      <w:pPr>
        <w:ind w:left="5323" w:hanging="360"/>
      </w:pPr>
      <w:rPr>
        <w:rFonts w:hint="default"/>
        <w:lang w:val="en-US" w:eastAsia="en-US" w:bidi="en-US"/>
      </w:rPr>
    </w:lvl>
    <w:lvl w:ilvl="6" w:tplc="A028ACDC">
      <w:numFmt w:val="bullet"/>
      <w:lvlText w:val="•"/>
      <w:lvlJc w:val="left"/>
      <w:pPr>
        <w:ind w:left="6235" w:hanging="360"/>
      </w:pPr>
      <w:rPr>
        <w:rFonts w:hint="default"/>
        <w:lang w:val="en-US" w:eastAsia="en-US" w:bidi="en-US"/>
      </w:rPr>
    </w:lvl>
    <w:lvl w:ilvl="7" w:tplc="E028F2FC">
      <w:numFmt w:val="bullet"/>
      <w:lvlText w:val="•"/>
      <w:lvlJc w:val="left"/>
      <w:pPr>
        <w:ind w:left="7148" w:hanging="360"/>
      </w:pPr>
      <w:rPr>
        <w:rFonts w:hint="default"/>
        <w:lang w:val="en-US" w:eastAsia="en-US" w:bidi="en-US"/>
      </w:rPr>
    </w:lvl>
    <w:lvl w:ilvl="8" w:tplc="3F3A13A2">
      <w:numFmt w:val="bullet"/>
      <w:lvlText w:val="•"/>
      <w:lvlJc w:val="left"/>
      <w:pPr>
        <w:ind w:left="8061" w:hanging="360"/>
      </w:pPr>
      <w:rPr>
        <w:rFonts w:hint="default"/>
        <w:lang w:val="en-US" w:eastAsia="en-US" w:bidi="en-US"/>
      </w:rPr>
    </w:lvl>
  </w:abstractNum>
  <w:abstractNum w:abstractNumId="45">
    <w:nsid w:val="5F9D593C"/>
    <w:multiLevelType w:val="hybridMultilevel"/>
    <w:tmpl w:val="49B035F8"/>
    <w:lvl w:ilvl="0" w:tplc="CEC27194">
      <w:start w:val="9"/>
      <w:numFmt w:val="upperLetter"/>
      <w:lvlText w:val="%1"/>
      <w:lvlJc w:val="left"/>
      <w:pPr>
        <w:ind w:left="1120" w:hanging="720"/>
        <w:jc w:val="left"/>
      </w:pPr>
      <w:rPr>
        <w:rFonts w:ascii="Arial" w:eastAsia="Arial" w:hAnsi="Arial" w:cs="Arial" w:hint="default"/>
        <w:b/>
        <w:bCs/>
        <w:w w:val="100"/>
        <w:sz w:val="28"/>
        <w:szCs w:val="28"/>
        <w:lang w:val="en-US" w:eastAsia="en-US" w:bidi="en-US"/>
      </w:rPr>
    </w:lvl>
    <w:lvl w:ilvl="1" w:tplc="D9A8873E">
      <w:numFmt w:val="bullet"/>
      <w:lvlText w:val="•"/>
      <w:lvlJc w:val="left"/>
      <w:pPr>
        <w:ind w:left="1996" w:hanging="720"/>
      </w:pPr>
      <w:rPr>
        <w:rFonts w:hint="default"/>
        <w:lang w:val="en-US" w:eastAsia="en-US" w:bidi="en-US"/>
      </w:rPr>
    </w:lvl>
    <w:lvl w:ilvl="2" w:tplc="F98E4FA2">
      <w:numFmt w:val="bullet"/>
      <w:lvlText w:val="•"/>
      <w:lvlJc w:val="left"/>
      <w:pPr>
        <w:ind w:left="2873" w:hanging="720"/>
      </w:pPr>
      <w:rPr>
        <w:rFonts w:hint="default"/>
        <w:lang w:val="en-US" w:eastAsia="en-US" w:bidi="en-US"/>
      </w:rPr>
    </w:lvl>
    <w:lvl w:ilvl="3" w:tplc="7FE04C3A">
      <w:numFmt w:val="bullet"/>
      <w:lvlText w:val="•"/>
      <w:lvlJc w:val="left"/>
      <w:pPr>
        <w:ind w:left="3749" w:hanging="720"/>
      </w:pPr>
      <w:rPr>
        <w:rFonts w:hint="default"/>
        <w:lang w:val="en-US" w:eastAsia="en-US" w:bidi="en-US"/>
      </w:rPr>
    </w:lvl>
    <w:lvl w:ilvl="4" w:tplc="CE7C0BCC">
      <w:numFmt w:val="bullet"/>
      <w:lvlText w:val="•"/>
      <w:lvlJc w:val="left"/>
      <w:pPr>
        <w:ind w:left="4626" w:hanging="720"/>
      </w:pPr>
      <w:rPr>
        <w:rFonts w:hint="default"/>
        <w:lang w:val="en-US" w:eastAsia="en-US" w:bidi="en-US"/>
      </w:rPr>
    </w:lvl>
    <w:lvl w:ilvl="5" w:tplc="09DEE072">
      <w:numFmt w:val="bullet"/>
      <w:lvlText w:val="•"/>
      <w:lvlJc w:val="left"/>
      <w:pPr>
        <w:ind w:left="5503" w:hanging="720"/>
      </w:pPr>
      <w:rPr>
        <w:rFonts w:hint="default"/>
        <w:lang w:val="en-US" w:eastAsia="en-US" w:bidi="en-US"/>
      </w:rPr>
    </w:lvl>
    <w:lvl w:ilvl="6" w:tplc="2CCC13EE">
      <w:numFmt w:val="bullet"/>
      <w:lvlText w:val="•"/>
      <w:lvlJc w:val="left"/>
      <w:pPr>
        <w:ind w:left="6379" w:hanging="720"/>
      </w:pPr>
      <w:rPr>
        <w:rFonts w:hint="default"/>
        <w:lang w:val="en-US" w:eastAsia="en-US" w:bidi="en-US"/>
      </w:rPr>
    </w:lvl>
    <w:lvl w:ilvl="7" w:tplc="04E2A8F8">
      <w:numFmt w:val="bullet"/>
      <w:lvlText w:val="•"/>
      <w:lvlJc w:val="left"/>
      <w:pPr>
        <w:ind w:left="7256" w:hanging="720"/>
      </w:pPr>
      <w:rPr>
        <w:rFonts w:hint="default"/>
        <w:lang w:val="en-US" w:eastAsia="en-US" w:bidi="en-US"/>
      </w:rPr>
    </w:lvl>
    <w:lvl w:ilvl="8" w:tplc="D4A09BBC">
      <w:numFmt w:val="bullet"/>
      <w:lvlText w:val="•"/>
      <w:lvlJc w:val="left"/>
      <w:pPr>
        <w:ind w:left="8133" w:hanging="720"/>
      </w:pPr>
      <w:rPr>
        <w:rFonts w:hint="default"/>
        <w:lang w:val="en-US" w:eastAsia="en-US" w:bidi="en-US"/>
      </w:rPr>
    </w:lvl>
  </w:abstractNum>
  <w:abstractNum w:abstractNumId="46">
    <w:nsid w:val="66521A4C"/>
    <w:multiLevelType w:val="hybridMultilevel"/>
    <w:tmpl w:val="22127C5E"/>
    <w:lvl w:ilvl="0" w:tplc="B94A0284">
      <w:start w:val="2"/>
      <w:numFmt w:val="decimal"/>
      <w:lvlText w:val="(%1)"/>
      <w:lvlJc w:val="left"/>
      <w:pPr>
        <w:ind w:left="1350" w:hanging="442"/>
        <w:jc w:val="left"/>
      </w:pPr>
      <w:rPr>
        <w:rFonts w:ascii="Bookman Old Style" w:eastAsia="Bookman Old Style" w:hAnsi="Bookman Old Style" w:cs="Bookman Old Style" w:hint="default"/>
        <w:w w:val="100"/>
        <w:sz w:val="28"/>
        <w:szCs w:val="28"/>
        <w:lang w:val="en-US" w:eastAsia="en-US" w:bidi="en-US"/>
      </w:rPr>
    </w:lvl>
    <w:lvl w:ilvl="1" w:tplc="FBD6E154">
      <w:numFmt w:val="bullet"/>
      <w:lvlText w:val="•"/>
      <w:lvlJc w:val="left"/>
      <w:pPr>
        <w:ind w:left="2204" w:hanging="442"/>
      </w:pPr>
      <w:rPr>
        <w:rFonts w:hint="default"/>
        <w:lang w:val="en-US" w:eastAsia="en-US" w:bidi="en-US"/>
      </w:rPr>
    </w:lvl>
    <w:lvl w:ilvl="2" w:tplc="D4F205F8">
      <w:numFmt w:val="bullet"/>
      <w:lvlText w:val="•"/>
      <w:lvlJc w:val="left"/>
      <w:pPr>
        <w:ind w:left="3049" w:hanging="442"/>
      </w:pPr>
      <w:rPr>
        <w:rFonts w:hint="default"/>
        <w:lang w:val="en-US" w:eastAsia="en-US" w:bidi="en-US"/>
      </w:rPr>
    </w:lvl>
    <w:lvl w:ilvl="3" w:tplc="582A9D16">
      <w:numFmt w:val="bullet"/>
      <w:lvlText w:val="•"/>
      <w:lvlJc w:val="left"/>
      <w:pPr>
        <w:ind w:left="3893" w:hanging="442"/>
      </w:pPr>
      <w:rPr>
        <w:rFonts w:hint="default"/>
        <w:lang w:val="en-US" w:eastAsia="en-US" w:bidi="en-US"/>
      </w:rPr>
    </w:lvl>
    <w:lvl w:ilvl="4" w:tplc="BE74DD34">
      <w:numFmt w:val="bullet"/>
      <w:lvlText w:val="•"/>
      <w:lvlJc w:val="left"/>
      <w:pPr>
        <w:ind w:left="4738" w:hanging="442"/>
      </w:pPr>
      <w:rPr>
        <w:rFonts w:hint="default"/>
        <w:lang w:val="en-US" w:eastAsia="en-US" w:bidi="en-US"/>
      </w:rPr>
    </w:lvl>
    <w:lvl w:ilvl="5" w:tplc="96F4A196">
      <w:numFmt w:val="bullet"/>
      <w:lvlText w:val="•"/>
      <w:lvlJc w:val="left"/>
      <w:pPr>
        <w:ind w:left="5583" w:hanging="442"/>
      </w:pPr>
      <w:rPr>
        <w:rFonts w:hint="default"/>
        <w:lang w:val="en-US" w:eastAsia="en-US" w:bidi="en-US"/>
      </w:rPr>
    </w:lvl>
    <w:lvl w:ilvl="6" w:tplc="79E6E912">
      <w:numFmt w:val="bullet"/>
      <w:lvlText w:val="•"/>
      <w:lvlJc w:val="left"/>
      <w:pPr>
        <w:ind w:left="6427" w:hanging="442"/>
      </w:pPr>
      <w:rPr>
        <w:rFonts w:hint="default"/>
        <w:lang w:val="en-US" w:eastAsia="en-US" w:bidi="en-US"/>
      </w:rPr>
    </w:lvl>
    <w:lvl w:ilvl="7" w:tplc="08F643CE">
      <w:numFmt w:val="bullet"/>
      <w:lvlText w:val="•"/>
      <w:lvlJc w:val="left"/>
      <w:pPr>
        <w:ind w:left="7272" w:hanging="442"/>
      </w:pPr>
      <w:rPr>
        <w:rFonts w:hint="default"/>
        <w:lang w:val="en-US" w:eastAsia="en-US" w:bidi="en-US"/>
      </w:rPr>
    </w:lvl>
    <w:lvl w:ilvl="8" w:tplc="810AEAC2">
      <w:numFmt w:val="bullet"/>
      <w:lvlText w:val="•"/>
      <w:lvlJc w:val="left"/>
      <w:pPr>
        <w:ind w:left="8117" w:hanging="442"/>
      </w:pPr>
      <w:rPr>
        <w:rFonts w:hint="default"/>
        <w:lang w:val="en-US" w:eastAsia="en-US" w:bidi="en-US"/>
      </w:rPr>
    </w:lvl>
  </w:abstractNum>
  <w:abstractNum w:abstractNumId="47">
    <w:nsid w:val="67CC4952"/>
    <w:multiLevelType w:val="hybridMultilevel"/>
    <w:tmpl w:val="5FC6BAB0"/>
    <w:lvl w:ilvl="0" w:tplc="6D1EAD9A">
      <w:start w:val="8"/>
      <w:numFmt w:val="decimal"/>
      <w:lvlText w:val="%1"/>
      <w:lvlJc w:val="left"/>
      <w:pPr>
        <w:ind w:left="1252" w:hanging="569"/>
        <w:jc w:val="left"/>
      </w:pPr>
      <w:rPr>
        <w:rFonts w:hint="default"/>
        <w:lang w:val="en-US" w:eastAsia="en-US" w:bidi="en-US"/>
      </w:rPr>
    </w:lvl>
    <w:lvl w:ilvl="1" w:tplc="633A2452">
      <w:numFmt w:val="none"/>
      <w:lvlText w:val=""/>
      <w:lvlJc w:val="left"/>
      <w:pPr>
        <w:tabs>
          <w:tab w:val="num" w:pos="360"/>
        </w:tabs>
      </w:pPr>
    </w:lvl>
    <w:lvl w:ilvl="2" w:tplc="AF606802">
      <w:numFmt w:val="bullet"/>
      <w:lvlText w:val=""/>
      <w:lvlJc w:val="left"/>
      <w:pPr>
        <w:ind w:left="1533" w:hanging="284"/>
      </w:pPr>
      <w:rPr>
        <w:rFonts w:ascii="Symbol" w:eastAsia="Symbol" w:hAnsi="Symbol" w:cs="Symbol" w:hint="default"/>
        <w:w w:val="100"/>
        <w:sz w:val="24"/>
        <w:szCs w:val="24"/>
        <w:lang w:val="en-US" w:eastAsia="en-US" w:bidi="en-US"/>
      </w:rPr>
    </w:lvl>
    <w:lvl w:ilvl="3" w:tplc="B14E80E2">
      <w:numFmt w:val="bullet"/>
      <w:lvlText w:val="•"/>
      <w:lvlJc w:val="left"/>
      <w:pPr>
        <w:ind w:left="3394" w:hanging="284"/>
      </w:pPr>
      <w:rPr>
        <w:rFonts w:hint="default"/>
        <w:lang w:val="en-US" w:eastAsia="en-US" w:bidi="en-US"/>
      </w:rPr>
    </w:lvl>
    <w:lvl w:ilvl="4" w:tplc="D690EE52">
      <w:numFmt w:val="bullet"/>
      <w:lvlText w:val="•"/>
      <w:lvlJc w:val="left"/>
      <w:pPr>
        <w:ind w:left="4322" w:hanging="284"/>
      </w:pPr>
      <w:rPr>
        <w:rFonts w:hint="default"/>
        <w:lang w:val="en-US" w:eastAsia="en-US" w:bidi="en-US"/>
      </w:rPr>
    </w:lvl>
    <w:lvl w:ilvl="5" w:tplc="5CC6A776">
      <w:numFmt w:val="bullet"/>
      <w:lvlText w:val="•"/>
      <w:lvlJc w:val="left"/>
      <w:pPr>
        <w:ind w:left="5249" w:hanging="284"/>
      </w:pPr>
      <w:rPr>
        <w:rFonts w:hint="default"/>
        <w:lang w:val="en-US" w:eastAsia="en-US" w:bidi="en-US"/>
      </w:rPr>
    </w:lvl>
    <w:lvl w:ilvl="6" w:tplc="ED7A20D0">
      <w:numFmt w:val="bullet"/>
      <w:lvlText w:val="•"/>
      <w:lvlJc w:val="left"/>
      <w:pPr>
        <w:ind w:left="6176" w:hanging="284"/>
      </w:pPr>
      <w:rPr>
        <w:rFonts w:hint="default"/>
        <w:lang w:val="en-US" w:eastAsia="en-US" w:bidi="en-US"/>
      </w:rPr>
    </w:lvl>
    <w:lvl w:ilvl="7" w:tplc="24E4BF1C">
      <w:numFmt w:val="bullet"/>
      <w:lvlText w:val="•"/>
      <w:lvlJc w:val="left"/>
      <w:pPr>
        <w:ind w:left="7104" w:hanging="284"/>
      </w:pPr>
      <w:rPr>
        <w:rFonts w:hint="default"/>
        <w:lang w:val="en-US" w:eastAsia="en-US" w:bidi="en-US"/>
      </w:rPr>
    </w:lvl>
    <w:lvl w:ilvl="8" w:tplc="3912BF92">
      <w:numFmt w:val="bullet"/>
      <w:lvlText w:val="•"/>
      <w:lvlJc w:val="left"/>
      <w:pPr>
        <w:ind w:left="8031" w:hanging="284"/>
      </w:pPr>
      <w:rPr>
        <w:rFonts w:hint="default"/>
        <w:lang w:val="en-US" w:eastAsia="en-US" w:bidi="en-US"/>
      </w:rPr>
    </w:lvl>
  </w:abstractNum>
  <w:abstractNum w:abstractNumId="48">
    <w:nsid w:val="68C17496"/>
    <w:multiLevelType w:val="hybridMultilevel"/>
    <w:tmpl w:val="EA3EF344"/>
    <w:lvl w:ilvl="0" w:tplc="0F66FD16">
      <w:start w:val="10"/>
      <w:numFmt w:val="decimal"/>
      <w:lvlText w:val="%1"/>
      <w:lvlJc w:val="left"/>
      <w:pPr>
        <w:ind w:left="1252" w:hanging="711"/>
        <w:jc w:val="left"/>
      </w:pPr>
      <w:rPr>
        <w:rFonts w:hint="default"/>
        <w:lang w:val="en-US" w:eastAsia="en-US" w:bidi="en-US"/>
      </w:rPr>
    </w:lvl>
    <w:lvl w:ilvl="1" w:tplc="C9BCCC60">
      <w:numFmt w:val="none"/>
      <w:lvlText w:val=""/>
      <w:lvlJc w:val="left"/>
      <w:pPr>
        <w:tabs>
          <w:tab w:val="num" w:pos="360"/>
        </w:tabs>
      </w:pPr>
    </w:lvl>
    <w:lvl w:ilvl="2" w:tplc="3BF6D5D6">
      <w:numFmt w:val="bullet"/>
      <w:lvlText w:val=""/>
      <w:lvlJc w:val="left"/>
      <w:pPr>
        <w:ind w:left="1677" w:hanging="360"/>
      </w:pPr>
      <w:rPr>
        <w:rFonts w:ascii="Symbol" w:eastAsia="Symbol" w:hAnsi="Symbol" w:cs="Symbol" w:hint="default"/>
        <w:w w:val="100"/>
        <w:sz w:val="24"/>
        <w:szCs w:val="24"/>
        <w:lang w:val="en-US" w:eastAsia="en-US" w:bidi="en-US"/>
      </w:rPr>
    </w:lvl>
    <w:lvl w:ilvl="3" w:tplc="24C4CE0E">
      <w:numFmt w:val="bullet"/>
      <w:lvlText w:val="•"/>
      <w:lvlJc w:val="left"/>
      <w:pPr>
        <w:ind w:left="3503" w:hanging="360"/>
      </w:pPr>
      <w:rPr>
        <w:rFonts w:hint="default"/>
        <w:lang w:val="en-US" w:eastAsia="en-US" w:bidi="en-US"/>
      </w:rPr>
    </w:lvl>
    <w:lvl w:ilvl="4" w:tplc="92621BC6">
      <w:numFmt w:val="bullet"/>
      <w:lvlText w:val="•"/>
      <w:lvlJc w:val="left"/>
      <w:pPr>
        <w:ind w:left="4415" w:hanging="360"/>
      </w:pPr>
      <w:rPr>
        <w:rFonts w:hint="default"/>
        <w:lang w:val="en-US" w:eastAsia="en-US" w:bidi="en-US"/>
      </w:rPr>
    </w:lvl>
    <w:lvl w:ilvl="5" w:tplc="D8249140">
      <w:numFmt w:val="bullet"/>
      <w:lvlText w:val="•"/>
      <w:lvlJc w:val="left"/>
      <w:pPr>
        <w:ind w:left="5327" w:hanging="360"/>
      </w:pPr>
      <w:rPr>
        <w:rFonts w:hint="default"/>
        <w:lang w:val="en-US" w:eastAsia="en-US" w:bidi="en-US"/>
      </w:rPr>
    </w:lvl>
    <w:lvl w:ilvl="6" w:tplc="DF8EC992">
      <w:numFmt w:val="bullet"/>
      <w:lvlText w:val="•"/>
      <w:lvlJc w:val="left"/>
      <w:pPr>
        <w:ind w:left="6239" w:hanging="360"/>
      </w:pPr>
      <w:rPr>
        <w:rFonts w:hint="default"/>
        <w:lang w:val="en-US" w:eastAsia="en-US" w:bidi="en-US"/>
      </w:rPr>
    </w:lvl>
    <w:lvl w:ilvl="7" w:tplc="637ADAF0">
      <w:numFmt w:val="bullet"/>
      <w:lvlText w:val="•"/>
      <w:lvlJc w:val="left"/>
      <w:pPr>
        <w:ind w:left="7150" w:hanging="360"/>
      </w:pPr>
      <w:rPr>
        <w:rFonts w:hint="default"/>
        <w:lang w:val="en-US" w:eastAsia="en-US" w:bidi="en-US"/>
      </w:rPr>
    </w:lvl>
    <w:lvl w:ilvl="8" w:tplc="C066AFF0">
      <w:numFmt w:val="bullet"/>
      <w:lvlText w:val="•"/>
      <w:lvlJc w:val="left"/>
      <w:pPr>
        <w:ind w:left="8062" w:hanging="360"/>
      </w:pPr>
      <w:rPr>
        <w:rFonts w:hint="default"/>
        <w:lang w:val="en-US" w:eastAsia="en-US" w:bidi="en-US"/>
      </w:rPr>
    </w:lvl>
  </w:abstractNum>
  <w:abstractNum w:abstractNumId="49">
    <w:nsid w:val="6AAB6085"/>
    <w:multiLevelType w:val="hybridMultilevel"/>
    <w:tmpl w:val="4ACE573A"/>
    <w:lvl w:ilvl="0" w:tplc="B218DA0E">
      <w:start w:val="31"/>
      <w:numFmt w:val="decimal"/>
      <w:lvlText w:val="%1."/>
      <w:lvlJc w:val="left"/>
      <w:pPr>
        <w:ind w:left="383" w:hanging="850"/>
        <w:jc w:val="left"/>
      </w:pPr>
      <w:rPr>
        <w:rFonts w:ascii="Arial" w:eastAsia="Arial" w:hAnsi="Arial" w:cs="Arial" w:hint="default"/>
        <w:spacing w:val="-1"/>
        <w:w w:val="100"/>
        <w:sz w:val="28"/>
        <w:szCs w:val="28"/>
        <w:lang w:val="en-US" w:eastAsia="en-US" w:bidi="en-US"/>
      </w:rPr>
    </w:lvl>
    <w:lvl w:ilvl="1" w:tplc="C7C6AC8C">
      <w:numFmt w:val="bullet"/>
      <w:lvlText w:val="•"/>
      <w:lvlJc w:val="left"/>
      <w:pPr>
        <w:ind w:left="1300" w:hanging="850"/>
      </w:pPr>
      <w:rPr>
        <w:rFonts w:hint="default"/>
        <w:lang w:val="en-US" w:eastAsia="en-US" w:bidi="en-US"/>
      </w:rPr>
    </w:lvl>
    <w:lvl w:ilvl="2" w:tplc="F03A82E2">
      <w:numFmt w:val="bullet"/>
      <w:lvlText w:val="•"/>
      <w:lvlJc w:val="left"/>
      <w:pPr>
        <w:ind w:left="2220" w:hanging="850"/>
      </w:pPr>
      <w:rPr>
        <w:rFonts w:hint="default"/>
        <w:lang w:val="en-US" w:eastAsia="en-US" w:bidi="en-US"/>
      </w:rPr>
    </w:lvl>
    <w:lvl w:ilvl="3" w:tplc="9A8A3DAE">
      <w:numFmt w:val="bullet"/>
      <w:lvlText w:val="•"/>
      <w:lvlJc w:val="left"/>
      <w:pPr>
        <w:ind w:left="3140" w:hanging="850"/>
      </w:pPr>
      <w:rPr>
        <w:rFonts w:hint="default"/>
        <w:lang w:val="en-US" w:eastAsia="en-US" w:bidi="en-US"/>
      </w:rPr>
    </w:lvl>
    <w:lvl w:ilvl="4" w:tplc="B268CD7C">
      <w:numFmt w:val="bullet"/>
      <w:lvlText w:val="•"/>
      <w:lvlJc w:val="left"/>
      <w:pPr>
        <w:ind w:left="4060" w:hanging="850"/>
      </w:pPr>
      <w:rPr>
        <w:rFonts w:hint="default"/>
        <w:lang w:val="en-US" w:eastAsia="en-US" w:bidi="en-US"/>
      </w:rPr>
    </w:lvl>
    <w:lvl w:ilvl="5" w:tplc="BD18BF48">
      <w:numFmt w:val="bullet"/>
      <w:lvlText w:val="•"/>
      <w:lvlJc w:val="left"/>
      <w:pPr>
        <w:ind w:left="4980" w:hanging="850"/>
      </w:pPr>
      <w:rPr>
        <w:rFonts w:hint="default"/>
        <w:lang w:val="en-US" w:eastAsia="en-US" w:bidi="en-US"/>
      </w:rPr>
    </w:lvl>
    <w:lvl w:ilvl="6" w:tplc="DFAA26B4">
      <w:numFmt w:val="bullet"/>
      <w:lvlText w:val="•"/>
      <w:lvlJc w:val="left"/>
      <w:pPr>
        <w:ind w:left="5900" w:hanging="850"/>
      </w:pPr>
      <w:rPr>
        <w:rFonts w:hint="default"/>
        <w:lang w:val="en-US" w:eastAsia="en-US" w:bidi="en-US"/>
      </w:rPr>
    </w:lvl>
    <w:lvl w:ilvl="7" w:tplc="379A61A2">
      <w:numFmt w:val="bullet"/>
      <w:lvlText w:val="•"/>
      <w:lvlJc w:val="left"/>
      <w:pPr>
        <w:ind w:left="6820" w:hanging="850"/>
      </w:pPr>
      <w:rPr>
        <w:rFonts w:hint="default"/>
        <w:lang w:val="en-US" w:eastAsia="en-US" w:bidi="en-US"/>
      </w:rPr>
    </w:lvl>
    <w:lvl w:ilvl="8" w:tplc="07F20A1E">
      <w:numFmt w:val="bullet"/>
      <w:lvlText w:val="•"/>
      <w:lvlJc w:val="left"/>
      <w:pPr>
        <w:ind w:left="7740" w:hanging="850"/>
      </w:pPr>
      <w:rPr>
        <w:rFonts w:hint="default"/>
        <w:lang w:val="en-US" w:eastAsia="en-US" w:bidi="en-US"/>
      </w:rPr>
    </w:lvl>
  </w:abstractNum>
  <w:abstractNum w:abstractNumId="50">
    <w:nsid w:val="6DF642AE"/>
    <w:multiLevelType w:val="hybridMultilevel"/>
    <w:tmpl w:val="86DAF7EE"/>
    <w:lvl w:ilvl="0" w:tplc="1D06F762">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F1143ACE">
      <w:numFmt w:val="bullet"/>
      <w:lvlText w:val="•"/>
      <w:lvlJc w:val="left"/>
      <w:pPr>
        <w:ind w:left="1996" w:hanging="720"/>
      </w:pPr>
      <w:rPr>
        <w:rFonts w:hint="default"/>
        <w:lang w:val="en-US" w:eastAsia="en-US" w:bidi="en-US"/>
      </w:rPr>
    </w:lvl>
    <w:lvl w:ilvl="2" w:tplc="5F9C3808">
      <w:numFmt w:val="bullet"/>
      <w:lvlText w:val="•"/>
      <w:lvlJc w:val="left"/>
      <w:pPr>
        <w:ind w:left="2873" w:hanging="720"/>
      </w:pPr>
      <w:rPr>
        <w:rFonts w:hint="default"/>
        <w:lang w:val="en-US" w:eastAsia="en-US" w:bidi="en-US"/>
      </w:rPr>
    </w:lvl>
    <w:lvl w:ilvl="3" w:tplc="127EAB74">
      <w:numFmt w:val="bullet"/>
      <w:lvlText w:val="•"/>
      <w:lvlJc w:val="left"/>
      <w:pPr>
        <w:ind w:left="3749" w:hanging="720"/>
      </w:pPr>
      <w:rPr>
        <w:rFonts w:hint="default"/>
        <w:lang w:val="en-US" w:eastAsia="en-US" w:bidi="en-US"/>
      </w:rPr>
    </w:lvl>
    <w:lvl w:ilvl="4" w:tplc="2B8E5A24">
      <w:numFmt w:val="bullet"/>
      <w:lvlText w:val="•"/>
      <w:lvlJc w:val="left"/>
      <w:pPr>
        <w:ind w:left="4626" w:hanging="720"/>
      </w:pPr>
      <w:rPr>
        <w:rFonts w:hint="default"/>
        <w:lang w:val="en-US" w:eastAsia="en-US" w:bidi="en-US"/>
      </w:rPr>
    </w:lvl>
    <w:lvl w:ilvl="5" w:tplc="7C24CDB4">
      <w:numFmt w:val="bullet"/>
      <w:lvlText w:val="•"/>
      <w:lvlJc w:val="left"/>
      <w:pPr>
        <w:ind w:left="5503" w:hanging="720"/>
      </w:pPr>
      <w:rPr>
        <w:rFonts w:hint="default"/>
        <w:lang w:val="en-US" w:eastAsia="en-US" w:bidi="en-US"/>
      </w:rPr>
    </w:lvl>
    <w:lvl w:ilvl="6" w:tplc="1E82B9DA">
      <w:numFmt w:val="bullet"/>
      <w:lvlText w:val="•"/>
      <w:lvlJc w:val="left"/>
      <w:pPr>
        <w:ind w:left="6379" w:hanging="720"/>
      </w:pPr>
      <w:rPr>
        <w:rFonts w:hint="default"/>
        <w:lang w:val="en-US" w:eastAsia="en-US" w:bidi="en-US"/>
      </w:rPr>
    </w:lvl>
    <w:lvl w:ilvl="7" w:tplc="859AEC68">
      <w:numFmt w:val="bullet"/>
      <w:lvlText w:val="•"/>
      <w:lvlJc w:val="left"/>
      <w:pPr>
        <w:ind w:left="7256" w:hanging="720"/>
      </w:pPr>
      <w:rPr>
        <w:rFonts w:hint="default"/>
        <w:lang w:val="en-US" w:eastAsia="en-US" w:bidi="en-US"/>
      </w:rPr>
    </w:lvl>
    <w:lvl w:ilvl="8" w:tplc="103AFCA0">
      <w:numFmt w:val="bullet"/>
      <w:lvlText w:val="•"/>
      <w:lvlJc w:val="left"/>
      <w:pPr>
        <w:ind w:left="8133" w:hanging="720"/>
      </w:pPr>
      <w:rPr>
        <w:rFonts w:hint="default"/>
        <w:lang w:val="en-US" w:eastAsia="en-US" w:bidi="en-US"/>
      </w:rPr>
    </w:lvl>
  </w:abstractNum>
  <w:abstractNum w:abstractNumId="51">
    <w:nsid w:val="70E84B88"/>
    <w:multiLevelType w:val="hybridMultilevel"/>
    <w:tmpl w:val="A6E4E8FE"/>
    <w:lvl w:ilvl="0" w:tplc="EBEA2F28">
      <w:start w:val="2"/>
      <w:numFmt w:val="decimal"/>
      <w:lvlText w:val="(%1)"/>
      <w:lvlJc w:val="left"/>
      <w:pPr>
        <w:ind w:left="1120" w:hanging="274"/>
        <w:jc w:val="left"/>
      </w:pPr>
      <w:rPr>
        <w:rFonts w:ascii="Arial" w:eastAsia="Arial" w:hAnsi="Arial" w:cs="Arial" w:hint="default"/>
        <w:w w:val="99"/>
        <w:sz w:val="18"/>
        <w:szCs w:val="18"/>
        <w:lang w:val="en-US" w:eastAsia="en-US" w:bidi="en-US"/>
      </w:rPr>
    </w:lvl>
    <w:lvl w:ilvl="1" w:tplc="56149064">
      <w:start w:val="2"/>
      <w:numFmt w:val="decimal"/>
      <w:lvlText w:val="(%2)"/>
      <w:lvlJc w:val="left"/>
      <w:pPr>
        <w:ind w:left="2032" w:hanging="356"/>
        <w:jc w:val="left"/>
      </w:pPr>
      <w:rPr>
        <w:rFonts w:ascii="Bookman Old Style" w:eastAsia="Bookman Old Style" w:hAnsi="Bookman Old Style" w:cs="Bookman Old Style" w:hint="default"/>
        <w:i/>
        <w:spacing w:val="-5"/>
        <w:w w:val="100"/>
        <w:sz w:val="24"/>
        <w:szCs w:val="24"/>
        <w:lang w:val="en-US" w:eastAsia="en-US" w:bidi="en-US"/>
      </w:rPr>
    </w:lvl>
    <w:lvl w:ilvl="2" w:tplc="B00AFD20">
      <w:numFmt w:val="bullet"/>
      <w:lvlText w:val="•"/>
      <w:lvlJc w:val="left"/>
      <w:pPr>
        <w:ind w:left="2911" w:hanging="356"/>
      </w:pPr>
      <w:rPr>
        <w:rFonts w:hint="default"/>
        <w:lang w:val="en-US" w:eastAsia="en-US" w:bidi="en-US"/>
      </w:rPr>
    </w:lvl>
    <w:lvl w:ilvl="3" w:tplc="3A3809BA">
      <w:numFmt w:val="bullet"/>
      <w:lvlText w:val="•"/>
      <w:lvlJc w:val="left"/>
      <w:pPr>
        <w:ind w:left="3783" w:hanging="356"/>
      </w:pPr>
      <w:rPr>
        <w:rFonts w:hint="default"/>
        <w:lang w:val="en-US" w:eastAsia="en-US" w:bidi="en-US"/>
      </w:rPr>
    </w:lvl>
    <w:lvl w:ilvl="4" w:tplc="A854464C">
      <w:numFmt w:val="bullet"/>
      <w:lvlText w:val="•"/>
      <w:lvlJc w:val="left"/>
      <w:pPr>
        <w:ind w:left="4655" w:hanging="356"/>
      </w:pPr>
      <w:rPr>
        <w:rFonts w:hint="default"/>
        <w:lang w:val="en-US" w:eastAsia="en-US" w:bidi="en-US"/>
      </w:rPr>
    </w:lvl>
    <w:lvl w:ilvl="5" w:tplc="1DBC312C">
      <w:numFmt w:val="bullet"/>
      <w:lvlText w:val="•"/>
      <w:lvlJc w:val="left"/>
      <w:pPr>
        <w:ind w:left="5527" w:hanging="356"/>
      </w:pPr>
      <w:rPr>
        <w:rFonts w:hint="default"/>
        <w:lang w:val="en-US" w:eastAsia="en-US" w:bidi="en-US"/>
      </w:rPr>
    </w:lvl>
    <w:lvl w:ilvl="6" w:tplc="DB529940">
      <w:numFmt w:val="bullet"/>
      <w:lvlText w:val="•"/>
      <w:lvlJc w:val="left"/>
      <w:pPr>
        <w:ind w:left="6399" w:hanging="356"/>
      </w:pPr>
      <w:rPr>
        <w:rFonts w:hint="default"/>
        <w:lang w:val="en-US" w:eastAsia="en-US" w:bidi="en-US"/>
      </w:rPr>
    </w:lvl>
    <w:lvl w:ilvl="7" w:tplc="D4CC1224">
      <w:numFmt w:val="bullet"/>
      <w:lvlText w:val="•"/>
      <w:lvlJc w:val="left"/>
      <w:pPr>
        <w:ind w:left="7270" w:hanging="356"/>
      </w:pPr>
      <w:rPr>
        <w:rFonts w:hint="default"/>
        <w:lang w:val="en-US" w:eastAsia="en-US" w:bidi="en-US"/>
      </w:rPr>
    </w:lvl>
    <w:lvl w:ilvl="8" w:tplc="59AEBEBC">
      <w:numFmt w:val="bullet"/>
      <w:lvlText w:val="•"/>
      <w:lvlJc w:val="left"/>
      <w:pPr>
        <w:ind w:left="8142" w:hanging="356"/>
      </w:pPr>
      <w:rPr>
        <w:rFonts w:hint="default"/>
        <w:lang w:val="en-US" w:eastAsia="en-US" w:bidi="en-US"/>
      </w:rPr>
    </w:lvl>
  </w:abstractNum>
  <w:abstractNum w:abstractNumId="52">
    <w:nsid w:val="717E4519"/>
    <w:multiLevelType w:val="hybridMultilevel"/>
    <w:tmpl w:val="1E7013B0"/>
    <w:lvl w:ilvl="0" w:tplc="BB683C24">
      <w:start w:val="1"/>
      <w:numFmt w:val="decimal"/>
      <w:lvlText w:val="(%1)"/>
      <w:lvlJc w:val="left"/>
      <w:pPr>
        <w:ind w:left="2085" w:hanging="506"/>
        <w:jc w:val="left"/>
      </w:pPr>
      <w:rPr>
        <w:rFonts w:ascii="Arial" w:eastAsia="Arial" w:hAnsi="Arial" w:cs="Arial" w:hint="default"/>
        <w:w w:val="100"/>
        <w:sz w:val="28"/>
        <w:szCs w:val="28"/>
        <w:lang w:val="en-US" w:eastAsia="en-US" w:bidi="en-US"/>
      </w:rPr>
    </w:lvl>
    <w:lvl w:ilvl="1" w:tplc="A732A88C">
      <w:numFmt w:val="bullet"/>
      <w:lvlText w:val="•"/>
      <w:lvlJc w:val="left"/>
      <w:pPr>
        <w:ind w:left="2830" w:hanging="506"/>
      </w:pPr>
      <w:rPr>
        <w:rFonts w:hint="default"/>
        <w:lang w:val="en-US" w:eastAsia="en-US" w:bidi="en-US"/>
      </w:rPr>
    </w:lvl>
    <w:lvl w:ilvl="2" w:tplc="6B7E3190">
      <w:numFmt w:val="bullet"/>
      <w:lvlText w:val="•"/>
      <w:lvlJc w:val="left"/>
      <w:pPr>
        <w:ind w:left="3580" w:hanging="506"/>
      </w:pPr>
      <w:rPr>
        <w:rFonts w:hint="default"/>
        <w:lang w:val="en-US" w:eastAsia="en-US" w:bidi="en-US"/>
      </w:rPr>
    </w:lvl>
    <w:lvl w:ilvl="3" w:tplc="D52802BA">
      <w:numFmt w:val="bullet"/>
      <w:lvlText w:val="•"/>
      <w:lvlJc w:val="left"/>
      <w:pPr>
        <w:ind w:left="4330" w:hanging="506"/>
      </w:pPr>
      <w:rPr>
        <w:rFonts w:hint="default"/>
        <w:lang w:val="en-US" w:eastAsia="en-US" w:bidi="en-US"/>
      </w:rPr>
    </w:lvl>
    <w:lvl w:ilvl="4" w:tplc="FF0E5B8A">
      <w:numFmt w:val="bullet"/>
      <w:lvlText w:val="•"/>
      <w:lvlJc w:val="left"/>
      <w:pPr>
        <w:ind w:left="5080" w:hanging="506"/>
      </w:pPr>
      <w:rPr>
        <w:rFonts w:hint="default"/>
        <w:lang w:val="en-US" w:eastAsia="en-US" w:bidi="en-US"/>
      </w:rPr>
    </w:lvl>
    <w:lvl w:ilvl="5" w:tplc="33023422">
      <w:numFmt w:val="bullet"/>
      <w:lvlText w:val="•"/>
      <w:lvlJc w:val="left"/>
      <w:pPr>
        <w:ind w:left="5830" w:hanging="506"/>
      </w:pPr>
      <w:rPr>
        <w:rFonts w:hint="default"/>
        <w:lang w:val="en-US" w:eastAsia="en-US" w:bidi="en-US"/>
      </w:rPr>
    </w:lvl>
    <w:lvl w:ilvl="6" w:tplc="615A496A">
      <w:numFmt w:val="bullet"/>
      <w:lvlText w:val="•"/>
      <w:lvlJc w:val="left"/>
      <w:pPr>
        <w:ind w:left="6580" w:hanging="506"/>
      </w:pPr>
      <w:rPr>
        <w:rFonts w:hint="default"/>
        <w:lang w:val="en-US" w:eastAsia="en-US" w:bidi="en-US"/>
      </w:rPr>
    </w:lvl>
    <w:lvl w:ilvl="7" w:tplc="BFE43CB4">
      <w:numFmt w:val="bullet"/>
      <w:lvlText w:val="•"/>
      <w:lvlJc w:val="left"/>
      <w:pPr>
        <w:ind w:left="7330" w:hanging="506"/>
      </w:pPr>
      <w:rPr>
        <w:rFonts w:hint="default"/>
        <w:lang w:val="en-US" w:eastAsia="en-US" w:bidi="en-US"/>
      </w:rPr>
    </w:lvl>
    <w:lvl w:ilvl="8" w:tplc="468E42F6">
      <w:numFmt w:val="bullet"/>
      <w:lvlText w:val="•"/>
      <w:lvlJc w:val="left"/>
      <w:pPr>
        <w:ind w:left="8080" w:hanging="506"/>
      </w:pPr>
      <w:rPr>
        <w:rFonts w:hint="default"/>
        <w:lang w:val="en-US" w:eastAsia="en-US" w:bidi="en-US"/>
      </w:rPr>
    </w:lvl>
  </w:abstractNum>
  <w:abstractNum w:abstractNumId="53">
    <w:nsid w:val="729D3CC3"/>
    <w:multiLevelType w:val="hybridMultilevel"/>
    <w:tmpl w:val="F650EB9E"/>
    <w:lvl w:ilvl="0" w:tplc="9E34B1E6">
      <w:start w:val="15"/>
      <w:numFmt w:val="decimal"/>
      <w:lvlText w:val="%1"/>
      <w:lvlJc w:val="left"/>
      <w:pPr>
        <w:ind w:left="1252" w:hanging="852"/>
        <w:jc w:val="left"/>
      </w:pPr>
      <w:rPr>
        <w:rFonts w:hint="default"/>
        <w:lang w:val="en-US" w:eastAsia="en-US" w:bidi="en-US"/>
      </w:rPr>
    </w:lvl>
    <w:lvl w:ilvl="1" w:tplc="2FFAEBAA">
      <w:numFmt w:val="none"/>
      <w:lvlText w:val=""/>
      <w:lvlJc w:val="left"/>
      <w:pPr>
        <w:tabs>
          <w:tab w:val="num" w:pos="360"/>
        </w:tabs>
      </w:pPr>
    </w:lvl>
    <w:lvl w:ilvl="2" w:tplc="7554AA70">
      <w:start w:val="1"/>
      <w:numFmt w:val="decimal"/>
      <w:lvlText w:val="(%3)"/>
      <w:lvlJc w:val="left"/>
      <w:pPr>
        <w:ind w:left="1252" w:hanging="286"/>
        <w:jc w:val="left"/>
      </w:pPr>
      <w:rPr>
        <w:rFonts w:ascii="Bookman Old Style" w:eastAsia="Bookman Old Style" w:hAnsi="Bookman Old Style" w:cs="Bookman Old Style" w:hint="default"/>
        <w:i/>
        <w:spacing w:val="-2"/>
        <w:w w:val="99"/>
        <w:sz w:val="20"/>
        <w:szCs w:val="20"/>
        <w:lang w:val="en-US" w:eastAsia="en-US" w:bidi="en-US"/>
      </w:rPr>
    </w:lvl>
    <w:lvl w:ilvl="3" w:tplc="F9F49DAA">
      <w:numFmt w:val="bullet"/>
      <w:lvlText w:val="•"/>
      <w:lvlJc w:val="left"/>
      <w:pPr>
        <w:ind w:left="3847" w:hanging="286"/>
      </w:pPr>
      <w:rPr>
        <w:rFonts w:hint="default"/>
        <w:lang w:val="en-US" w:eastAsia="en-US" w:bidi="en-US"/>
      </w:rPr>
    </w:lvl>
    <w:lvl w:ilvl="4" w:tplc="265ABC3A">
      <w:numFmt w:val="bullet"/>
      <w:lvlText w:val="•"/>
      <w:lvlJc w:val="left"/>
      <w:pPr>
        <w:ind w:left="4710" w:hanging="286"/>
      </w:pPr>
      <w:rPr>
        <w:rFonts w:hint="default"/>
        <w:lang w:val="en-US" w:eastAsia="en-US" w:bidi="en-US"/>
      </w:rPr>
    </w:lvl>
    <w:lvl w:ilvl="5" w:tplc="8F58BA56">
      <w:numFmt w:val="bullet"/>
      <w:lvlText w:val="•"/>
      <w:lvlJc w:val="left"/>
      <w:pPr>
        <w:ind w:left="5573" w:hanging="286"/>
      </w:pPr>
      <w:rPr>
        <w:rFonts w:hint="default"/>
        <w:lang w:val="en-US" w:eastAsia="en-US" w:bidi="en-US"/>
      </w:rPr>
    </w:lvl>
    <w:lvl w:ilvl="6" w:tplc="288CCE68">
      <w:numFmt w:val="bullet"/>
      <w:lvlText w:val="•"/>
      <w:lvlJc w:val="left"/>
      <w:pPr>
        <w:ind w:left="6435" w:hanging="286"/>
      </w:pPr>
      <w:rPr>
        <w:rFonts w:hint="default"/>
        <w:lang w:val="en-US" w:eastAsia="en-US" w:bidi="en-US"/>
      </w:rPr>
    </w:lvl>
    <w:lvl w:ilvl="7" w:tplc="1B0C16E4">
      <w:numFmt w:val="bullet"/>
      <w:lvlText w:val="•"/>
      <w:lvlJc w:val="left"/>
      <w:pPr>
        <w:ind w:left="7298" w:hanging="286"/>
      </w:pPr>
      <w:rPr>
        <w:rFonts w:hint="default"/>
        <w:lang w:val="en-US" w:eastAsia="en-US" w:bidi="en-US"/>
      </w:rPr>
    </w:lvl>
    <w:lvl w:ilvl="8" w:tplc="8C28745C">
      <w:numFmt w:val="bullet"/>
      <w:lvlText w:val="•"/>
      <w:lvlJc w:val="left"/>
      <w:pPr>
        <w:ind w:left="8161" w:hanging="286"/>
      </w:pPr>
      <w:rPr>
        <w:rFonts w:hint="default"/>
        <w:lang w:val="en-US" w:eastAsia="en-US" w:bidi="en-US"/>
      </w:rPr>
    </w:lvl>
  </w:abstractNum>
  <w:abstractNum w:abstractNumId="54">
    <w:nsid w:val="7536576D"/>
    <w:multiLevelType w:val="hybridMultilevel"/>
    <w:tmpl w:val="8B70D340"/>
    <w:lvl w:ilvl="0" w:tplc="C4706E20">
      <w:start w:val="1"/>
      <w:numFmt w:val="lowerLetter"/>
      <w:lvlText w:val="(%1)"/>
      <w:lvlJc w:val="left"/>
      <w:pPr>
        <w:ind w:left="1840" w:hanging="425"/>
        <w:jc w:val="left"/>
      </w:pPr>
      <w:rPr>
        <w:rFonts w:ascii="Arial" w:eastAsia="Arial" w:hAnsi="Arial" w:cs="Arial" w:hint="default"/>
        <w:spacing w:val="-1"/>
        <w:w w:val="100"/>
        <w:sz w:val="21"/>
        <w:szCs w:val="21"/>
        <w:lang w:val="en-US" w:eastAsia="en-US" w:bidi="en-US"/>
      </w:rPr>
    </w:lvl>
    <w:lvl w:ilvl="1" w:tplc="38F0B246">
      <w:numFmt w:val="bullet"/>
      <w:lvlText w:val="•"/>
      <w:lvlJc w:val="left"/>
      <w:pPr>
        <w:ind w:left="2644" w:hanging="425"/>
      </w:pPr>
      <w:rPr>
        <w:rFonts w:hint="default"/>
        <w:lang w:val="en-US" w:eastAsia="en-US" w:bidi="en-US"/>
      </w:rPr>
    </w:lvl>
    <w:lvl w:ilvl="2" w:tplc="BAF60D6C">
      <w:numFmt w:val="bullet"/>
      <w:lvlText w:val="•"/>
      <w:lvlJc w:val="left"/>
      <w:pPr>
        <w:ind w:left="3449" w:hanging="425"/>
      </w:pPr>
      <w:rPr>
        <w:rFonts w:hint="default"/>
        <w:lang w:val="en-US" w:eastAsia="en-US" w:bidi="en-US"/>
      </w:rPr>
    </w:lvl>
    <w:lvl w:ilvl="3" w:tplc="38E88F7A">
      <w:numFmt w:val="bullet"/>
      <w:lvlText w:val="•"/>
      <w:lvlJc w:val="left"/>
      <w:pPr>
        <w:ind w:left="4253" w:hanging="425"/>
      </w:pPr>
      <w:rPr>
        <w:rFonts w:hint="default"/>
        <w:lang w:val="en-US" w:eastAsia="en-US" w:bidi="en-US"/>
      </w:rPr>
    </w:lvl>
    <w:lvl w:ilvl="4" w:tplc="C7FC91EA">
      <w:numFmt w:val="bullet"/>
      <w:lvlText w:val="•"/>
      <w:lvlJc w:val="left"/>
      <w:pPr>
        <w:ind w:left="5058" w:hanging="425"/>
      </w:pPr>
      <w:rPr>
        <w:rFonts w:hint="default"/>
        <w:lang w:val="en-US" w:eastAsia="en-US" w:bidi="en-US"/>
      </w:rPr>
    </w:lvl>
    <w:lvl w:ilvl="5" w:tplc="21E006CE">
      <w:numFmt w:val="bullet"/>
      <w:lvlText w:val="•"/>
      <w:lvlJc w:val="left"/>
      <w:pPr>
        <w:ind w:left="5863" w:hanging="425"/>
      </w:pPr>
      <w:rPr>
        <w:rFonts w:hint="default"/>
        <w:lang w:val="en-US" w:eastAsia="en-US" w:bidi="en-US"/>
      </w:rPr>
    </w:lvl>
    <w:lvl w:ilvl="6" w:tplc="7BB8B244">
      <w:numFmt w:val="bullet"/>
      <w:lvlText w:val="•"/>
      <w:lvlJc w:val="left"/>
      <w:pPr>
        <w:ind w:left="6667" w:hanging="425"/>
      </w:pPr>
      <w:rPr>
        <w:rFonts w:hint="default"/>
        <w:lang w:val="en-US" w:eastAsia="en-US" w:bidi="en-US"/>
      </w:rPr>
    </w:lvl>
    <w:lvl w:ilvl="7" w:tplc="5ED0E206">
      <w:numFmt w:val="bullet"/>
      <w:lvlText w:val="•"/>
      <w:lvlJc w:val="left"/>
      <w:pPr>
        <w:ind w:left="7472" w:hanging="425"/>
      </w:pPr>
      <w:rPr>
        <w:rFonts w:hint="default"/>
        <w:lang w:val="en-US" w:eastAsia="en-US" w:bidi="en-US"/>
      </w:rPr>
    </w:lvl>
    <w:lvl w:ilvl="8" w:tplc="AAA61294">
      <w:numFmt w:val="bullet"/>
      <w:lvlText w:val="•"/>
      <w:lvlJc w:val="left"/>
      <w:pPr>
        <w:ind w:left="8277" w:hanging="425"/>
      </w:pPr>
      <w:rPr>
        <w:rFonts w:hint="default"/>
        <w:lang w:val="en-US" w:eastAsia="en-US" w:bidi="en-US"/>
      </w:rPr>
    </w:lvl>
  </w:abstractNum>
  <w:abstractNum w:abstractNumId="55">
    <w:nsid w:val="78D14EB1"/>
    <w:multiLevelType w:val="hybridMultilevel"/>
    <w:tmpl w:val="3500A8E0"/>
    <w:lvl w:ilvl="0" w:tplc="1B387A26">
      <w:start w:val="1"/>
      <w:numFmt w:val="lowerRoman"/>
      <w:lvlText w:val="%1."/>
      <w:lvlJc w:val="left"/>
      <w:pPr>
        <w:ind w:left="1120" w:hanging="720"/>
        <w:jc w:val="left"/>
      </w:pPr>
      <w:rPr>
        <w:rFonts w:ascii="Arial" w:eastAsia="Arial" w:hAnsi="Arial" w:cs="Arial" w:hint="default"/>
        <w:w w:val="99"/>
        <w:sz w:val="26"/>
        <w:szCs w:val="26"/>
        <w:lang w:val="en-US" w:eastAsia="en-US" w:bidi="en-US"/>
      </w:rPr>
    </w:lvl>
    <w:lvl w:ilvl="1" w:tplc="AA18F37A">
      <w:numFmt w:val="bullet"/>
      <w:lvlText w:val="•"/>
      <w:lvlJc w:val="left"/>
      <w:pPr>
        <w:ind w:left="1996" w:hanging="720"/>
      </w:pPr>
      <w:rPr>
        <w:rFonts w:hint="default"/>
        <w:lang w:val="en-US" w:eastAsia="en-US" w:bidi="en-US"/>
      </w:rPr>
    </w:lvl>
    <w:lvl w:ilvl="2" w:tplc="40382F56">
      <w:numFmt w:val="bullet"/>
      <w:lvlText w:val="•"/>
      <w:lvlJc w:val="left"/>
      <w:pPr>
        <w:ind w:left="2873" w:hanging="720"/>
      </w:pPr>
      <w:rPr>
        <w:rFonts w:hint="default"/>
        <w:lang w:val="en-US" w:eastAsia="en-US" w:bidi="en-US"/>
      </w:rPr>
    </w:lvl>
    <w:lvl w:ilvl="3" w:tplc="66928F9C">
      <w:numFmt w:val="bullet"/>
      <w:lvlText w:val="•"/>
      <w:lvlJc w:val="left"/>
      <w:pPr>
        <w:ind w:left="3749" w:hanging="720"/>
      </w:pPr>
      <w:rPr>
        <w:rFonts w:hint="default"/>
        <w:lang w:val="en-US" w:eastAsia="en-US" w:bidi="en-US"/>
      </w:rPr>
    </w:lvl>
    <w:lvl w:ilvl="4" w:tplc="C3482084">
      <w:numFmt w:val="bullet"/>
      <w:lvlText w:val="•"/>
      <w:lvlJc w:val="left"/>
      <w:pPr>
        <w:ind w:left="4626" w:hanging="720"/>
      </w:pPr>
      <w:rPr>
        <w:rFonts w:hint="default"/>
        <w:lang w:val="en-US" w:eastAsia="en-US" w:bidi="en-US"/>
      </w:rPr>
    </w:lvl>
    <w:lvl w:ilvl="5" w:tplc="EDB4B4E2">
      <w:numFmt w:val="bullet"/>
      <w:lvlText w:val="•"/>
      <w:lvlJc w:val="left"/>
      <w:pPr>
        <w:ind w:left="5503" w:hanging="720"/>
      </w:pPr>
      <w:rPr>
        <w:rFonts w:hint="default"/>
        <w:lang w:val="en-US" w:eastAsia="en-US" w:bidi="en-US"/>
      </w:rPr>
    </w:lvl>
    <w:lvl w:ilvl="6" w:tplc="ED5C8D04">
      <w:numFmt w:val="bullet"/>
      <w:lvlText w:val="•"/>
      <w:lvlJc w:val="left"/>
      <w:pPr>
        <w:ind w:left="6379" w:hanging="720"/>
      </w:pPr>
      <w:rPr>
        <w:rFonts w:hint="default"/>
        <w:lang w:val="en-US" w:eastAsia="en-US" w:bidi="en-US"/>
      </w:rPr>
    </w:lvl>
    <w:lvl w:ilvl="7" w:tplc="790E8894">
      <w:numFmt w:val="bullet"/>
      <w:lvlText w:val="•"/>
      <w:lvlJc w:val="left"/>
      <w:pPr>
        <w:ind w:left="7256" w:hanging="720"/>
      </w:pPr>
      <w:rPr>
        <w:rFonts w:hint="default"/>
        <w:lang w:val="en-US" w:eastAsia="en-US" w:bidi="en-US"/>
      </w:rPr>
    </w:lvl>
    <w:lvl w:ilvl="8" w:tplc="04C683A6">
      <w:numFmt w:val="bullet"/>
      <w:lvlText w:val="•"/>
      <w:lvlJc w:val="left"/>
      <w:pPr>
        <w:ind w:left="8133" w:hanging="720"/>
      </w:pPr>
      <w:rPr>
        <w:rFonts w:hint="default"/>
        <w:lang w:val="en-US" w:eastAsia="en-US" w:bidi="en-US"/>
      </w:rPr>
    </w:lvl>
  </w:abstractNum>
  <w:abstractNum w:abstractNumId="56">
    <w:nsid w:val="79A63022"/>
    <w:multiLevelType w:val="hybridMultilevel"/>
    <w:tmpl w:val="89BEDC4E"/>
    <w:lvl w:ilvl="0" w:tplc="6018CDC8">
      <w:start w:val="16"/>
      <w:numFmt w:val="decimal"/>
      <w:lvlText w:val="%1."/>
      <w:lvlJc w:val="left"/>
      <w:pPr>
        <w:ind w:left="383" w:hanging="850"/>
        <w:jc w:val="left"/>
      </w:pPr>
      <w:rPr>
        <w:rFonts w:ascii="Arial" w:eastAsia="Arial" w:hAnsi="Arial" w:cs="Arial" w:hint="default"/>
        <w:spacing w:val="-1"/>
        <w:w w:val="100"/>
        <w:sz w:val="28"/>
        <w:szCs w:val="28"/>
        <w:lang w:val="en-US" w:eastAsia="en-US" w:bidi="en-US"/>
      </w:rPr>
    </w:lvl>
    <w:lvl w:ilvl="1" w:tplc="14A8E404">
      <w:start w:val="17"/>
      <w:numFmt w:val="decimal"/>
      <w:lvlText w:val="%2."/>
      <w:lvlJc w:val="left"/>
      <w:pPr>
        <w:ind w:left="1518" w:hanging="468"/>
        <w:jc w:val="right"/>
      </w:pPr>
      <w:rPr>
        <w:rFonts w:hint="default"/>
        <w:b/>
        <w:bCs/>
        <w:spacing w:val="-1"/>
        <w:w w:val="100"/>
        <w:lang w:val="en-US" w:eastAsia="en-US" w:bidi="en-US"/>
      </w:rPr>
    </w:lvl>
    <w:lvl w:ilvl="2" w:tplc="EDEC33BA">
      <w:numFmt w:val="none"/>
      <w:lvlText w:val=""/>
      <w:lvlJc w:val="left"/>
      <w:pPr>
        <w:tabs>
          <w:tab w:val="num" w:pos="360"/>
        </w:tabs>
      </w:pPr>
    </w:lvl>
    <w:lvl w:ilvl="3" w:tplc="E5E6260E">
      <w:numFmt w:val="bullet"/>
      <w:lvlText w:val="•"/>
      <w:lvlJc w:val="left"/>
      <w:pPr>
        <w:ind w:left="3311" w:hanging="850"/>
      </w:pPr>
      <w:rPr>
        <w:rFonts w:hint="default"/>
        <w:lang w:val="en-US" w:eastAsia="en-US" w:bidi="en-US"/>
      </w:rPr>
    </w:lvl>
    <w:lvl w:ilvl="4" w:tplc="56ECFD70">
      <w:numFmt w:val="bullet"/>
      <w:lvlText w:val="•"/>
      <w:lvlJc w:val="left"/>
      <w:pPr>
        <w:ind w:left="4206" w:hanging="850"/>
      </w:pPr>
      <w:rPr>
        <w:rFonts w:hint="default"/>
        <w:lang w:val="en-US" w:eastAsia="en-US" w:bidi="en-US"/>
      </w:rPr>
    </w:lvl>
    <w:lvl w:ilvl="5" w:tplc="5CE658D4">
      <w:numFmt w:val="bullet"/>
      <w:lvlText w:val="•"/>
      <w:lvlJc w:val="left"/>
      <w:pPr>
        <w:ind w:left="5102" w:hanging="850"/>
      </w:pPr>
      <w:rPr>
        <w:rFonts w:hint="default"/>
        <w:lang w:val="en-US" w:eastAsia="en-US" w:bidi="en-US"/>
      </w:rPr>
    </w:lvl>
    <w:lvl w:ilvl="6" w:tplc="54B66196">
      <w:numFmt w:val="bullet"/>
      <w:lvlText w:val="•"/>
      <w:lvlJc w:val="left"/>
      <w:pPr>
        <w:ind w:left="5997" w:hanging="850"/>
      </w:pPr>
      <w:rPr>
        <w:rFonts w:hint="default"/>
        <w:lang w:val="en-US" w:eastAsia="en-US" w:bidi="en-US"/>
      </w:rPr>
    </w:lvl>
    <w:lvl w:ilvl="7" w:tplc="46E4F728">
      <w:numFmt w:val="bullet"/>
      <w:lvlText w:val="•"/>
      <w:lvlJc w:val="left"/>
      <w:pPr>
        <w:ind w:left="6893" w:hanging="850"/>
      </w:pPr>
      <w:rPr>
        <w:rFonts w:hint="default"/>
        <w:lang w:val="en-US" w:eastAsia="en-US" w:bidi="en-US"/>
      </w:rPr>
    </w:lvl>
    <w:lvl w:ilvl="8" w:tplc="4C2E0D94">
      <w:numFmt w:val="bullet"/>
      <w:lvlText w:val="•"/>
      <w:lvlJc w:val="left"/>
      <w:pPr>
        <w:ind w:left="7788" w:hanging="850"/>
      </w:pPr>
      <w:rPr>
        <w:rFonts w:hint="default"/>
        <w:lang w:val="en-US" w:eastAsia="en-US" w:bidi="en-US"/>
      </w:rPr>
    </w:lvl>
  </w:abstractNum>
  <w:abstractNum w:abstractNumId="57">
    <w:nsid w:val="7B9C6C21"/>
    <w:multiLevelType w:val="hybridMultilevel"/>
    <w:tmpl w:val="DAF44806"/>
    <w:lvl w:ilvl="0" w:tplc="7D746EAC">
      <w:start w:val="2"/>
      <w:numFmt w:val="decimal"/>
      <w:lvlText w:val="(%1)"/>
      <w:lvlJc w:val="left"/>
      <w:pPr>
        <w:ind w:left="2154" w:hanging="315"/>
        <w:jc w:val="left"/>
      </w:pPr>
      <w:rPr>
        <w:rFonts w:ascii="Arial" w:eastAsia="Arial" w:hAnsi="Arial" w:cs="Arial" w:hint="default"/>
        <w:spacing w:val="-1"/>
        <w:w w:val="100"/>
        <w:sz w:val="21"/>
        <w:szCs w:val="21"/>
        <w:lang w:val="en-US" w:eastAsia="en-US" w:bidi="en-US"/>
      </w:rPr>
    </w:lvl>
    <w:lvl w:ilvl="1" w:tplc="57A6FA20">
      <w:numFmt w:val="bullet"/>
      <w:lvlText w:val="•"/>
      <w:lvlJc w:val="left"/>
      <w:pPr>
        <w:ind w:left="2932" w:hanging="315"/>
      </w:pPr>
      <w:rPr>
        <w:rFonts w:hint="default"/>
        <w:lang w:val="en-US" w:eastAsia="en-US" w:bidi="en-US"/>
      </w:rPr>
    </w:lvl>
    <w:lvl w:ilvl="2" w:tplc="33BE4A56">
      <w:numFmt w:val="bullet"/>
      <w:lvlText w:val="•"/>
      <w:lvlJc w:val="left"/>
      <w:pPr>
        <w:ind w:left="3705" w:hanging="315"/>
      </w:pPr>
      <w:rPr>
        <w:rFonts w:hint="default"/>
        <w:lang w:val="en-US" w:eastAsia="en-US" w:bidi="en-US"/>
      </w:rPr>
    </w:lvl>
    <w:lvl w:ilvl="3" w:tplc="5590CCA8">
      <w:numFmt w:val="bullet"/>
      <w:lvlText w:val="•"/>
      <w:lvlJc w:val="left"/>
      <w:pPr>
        <w:ind w:left="4477" w:hanging="315"/>
      </w:pPr>
      <w:rPr>
        <w:rFonts w:hint="default"/>
        <w:lang w:val="en-US" w:eastAsia="en-US" w:bidi="en-US"/>
      </w:rPr>
    </w:lvl>
    <w:lvl w:ilvl="4" w:tplc="01404356">
      <w:numFmt w:val="bullet"/>
      <w:lvlText w:val="•"/>
      <w:lvlJc w:val="left"/>
      <w:pPr>
        <w:ind w:left="5250" w:hanging="315"/>
      </w:pPr>
      <w:rPr>
        <w:rFonts w:hint="default"/>
        <w:lang w:val="en-US" w:eastAsia="en-US" w:bidi="en-US"/>
      </w:rPr>
    </w:lvl>
    <w:lvl w:ilvl="5" w:tplc="BB0A271C">
      <w:numFmt w:val="bullet"/>
      <w:lvlText w:val="•"/>
      <w:lvlJc w:val="left"/>
      <w:pPr>
        <w:ind w:left="6023" w:hanging="315"/>
      </w:pPr>
      <w:rPr>
        <w:rFonts w:hint="default"/>
        <w:lang w:val="en-US" w:eastAsia="en-US" w:bidi="en-US"/>
      </w:rPr>
    </w:lvl>
    <w:lvl w:ilvl="6" w:tplc="C1F6B40E">
      <w:numFmt w:val="bullet"/>
      <w:lvlText w:val="•"/>
      <w:lvlJc w:val="left"/>
      <w:pPr>
        <w:ind w:left="6795" w:hanging="315"/>
      </w:pPr>
      <w:rPr>
        <w:rFonts w:hint="default"/>
        <w:lang w:val="en-US" w:eastAsia="en-US" w:bidi="en-US"/>
      </w:rPr>
    </w:lvl>
    <w:lvl w:ilvl="7" w:tplc="24B47310">
      <w:numFmt w:val="bullet"/>
      <w:lvlText w:val="•"/>
      <w:lvlJc w:val="left"/>
      <w:pPr>
        <w:ind w:left="7568" w:hanging="315"/>
      </w:pPr>
      <w:rPr>
        <w:rFonts w:hint="default"/>
        <w:lang w:val="en-US" w:eastAsia="en-US" w:bidi="en-US"/>
      </w:rPr>
    </w:lvl>
    <w:lvl w:ilvl="8" w:tplc="AC3AE012">
      <w:numFmt w:val="bullet"/>
      <w:lvlText w:val="•"/>
      <w:lvlJc w:val="left"/>
      <w:pPr>
        <w:ind w:left="8341" w:hanging="315"/>
      </w:pPr>
      <w:rPr>
        <w:rFonts w:hint="default"/>
        <w:lang w:val="en-US" w:eastAsia="en-US" w:bidi="en-US"/>
      </w:rPr>
    </w:lvl>
  </w:abstractNum>
  <w:abstractNum w:abstractNumId="58">
    <w:nsid w:val="7F6C1728"/>
    <w:multiLevelType w:val="hybridMultilevel"/>
    <w:tmpl w:val="213AF9DE"/>
    <w:lvl w:ilvl="0" w:tplc="59CC57C4">
      <w:start w:val="1"/>
      <w:numFmt w:val="lowerRoman"/>
      <w:lvlText w:val="(%1)"/>
      <w:lvlJc w:val="left"/>
      <w:pPr>
        <w:ind w:left="1220" w:hanging="720"/>
        <w:jc w:val="left"/>
      </w:pPr>
      <w:rPr>
        <w:rFonts w:ascii="Bookman Old Style" w:eastAsia="Bookman Old Style" w:hAnsi="Bookman Old Style" w:cs="Bookman Old Style" w:hint="default"/>
        <w:color w:val="000009"/>
        <w:spacing w:val="-1"/>
        <w:w w:val="100"/>
        <w:sz w:val="28"/>
        <w:szCs w:val="28"/>
        <w:lang w:val="en-US" w:eastAsia="en-US" w:bidi="en-US"/>
      </w:rPr>
    </w:lvl>
    <w:lvl w:ilvl="1" w:tplc="4DE002AA">
      <w:numFmt w:val="bullet"/>
      <w:lvlText w:val="•"/>
      <w:lvlJc w:val="left"/>
      <w:pPr>
        <w:ind w:left="2078" w:hanging="720"/>
      </w:pPr>
      <w:rPr>
        <w:rFonts w:hint="default"/>
        <w:lang w:val="en-US" w:eastAsia="en-US" w:bidi="en-US"/>
      </w:rPr>
    </w:lvl>
    <w:lvl w:ilvl="2" w:tplc="720A5CD6">
      <w:numFmt w:val="bullet"/>
      <w:lvlText w:val="•"/>
      <w:lvlJc w:val="left"/>
      <w:pPr>
        <w:ind w:left="2937" w:hanging="720"/>
      </w:pPr>
      <w:rPr>
        <w:rFonts w:hint="default"/>
        <w:lang w:val="en-US" w:eastAsia="en-US" w:bidi="en-US"/>
      </w:rPr>
    </w:lvl>
    <w:lvl w:ilvl="3" w:tplc="ED16F048">
      <w:numFmt w:val="bullet"/>
      <w:lvlText w:val="•"/>
      <w:lvlJc w:val="left"/>
      <w:pPr>
        <w:ind w:left="3795" w:hanging="720"/>
      </w:pPr>
      <w:rPr>
        <w:rFonts w:hint="default"/>
        <w:lang w:val="en-US" w:eastAsia="en-US" w:bidi="en-US"/>
      </w:rPr>
    </w:lvl>
    <w:lvl w:ilvl="4" w:tplc="A95E2520">
      <w:numFmt w:val="bullet"/>
      <w:lvlText w:val="•"/>
      <w:lvlJc w:val="left"/>
      <w:pPr>
        <w:ind w:left="4654" w:hanging="720"/>
      </w:pPr>
      <w:rPr>
        <w:rFonts w:hint="default"/>
        <w:lang w:val="en-US" w:eastAsia="en-US" w:bidi="en-US"/>
      </w:rPr>
    </w:lvl>
    <w:lvl w:ilvl="5" w:tplc="A2D42710">
      <w:numFmt w:val="bullet"/>
      <w:lvlText w:val="•"/>
      <w:lvlJc w:val="left"/>
      <w:pPr>
        <w:ind w:left="5513" w:hanging="720"/>
      </w:pPr>
      <w:rPr>
        <w:rFonts w:hint="default"/>
        <w:lang w:val="en-US" w:eastAsia="en-US" w:bidi="en-US"/>
      </w:rPr>
    </w:lvl>
    <w:lvl w:ilvl="6" w:tplc="0F2089B6">
      <w:numFmt w:val="bullet"/>
      <w:lvlText w:val="•"/>
      <w:lvlJc w:val="left"/>
      <w:pPr>
        <w:ind w:left="6371" w:hanging="720"/>
      </w:pPr>
      <w:rPr>
        <w:rFonts w:hint="default"/>
        <w:lang w:val="en-US" w:eastAsia="en-US" w:bidi="en-US"/>
      </w:rPr>
    </w:lvl>
    <w:lvl w:ilvl="7" w:tplc="72660E38">
      <w:numFmt w:val="bullet"/>
      <w:lvlText w:val="•"/>
      <w:lvlJc w:val="left"/>
      <w:pPr>
        <w:ind w:left="7230" w:hanging="720"/>
      </w:pPr>
      <w:rPr>
        <w:rFonts w:hint="default"/>
        <w:lang w:val="en-US" w:eastAsia="en-US" w:bidi="en-US"/>
      </w:rPr>
    </w:lvl>
    <w:lvl w:ilvl="8" w:tplc="C4AA202C">
      <w:numFmt w:val="bullet"/>
      <w:lvlText w:val="•"/>
      <w:lvlJc w:val="left"/>
      <w:pPr>
        <w:ind w:left="8089" w:hanging="720"/>
      </w:pPr>
      <w:rPr>
        <w:rFonts w:hint="default"/>
        <w:lang w:val="en-US" w:eastAsia="en-US" w:bidi="en-US"/>
      </w:rPr>
    </w:lvl>
  </w:abstractNum>
  <w:abstractNum w:abstractNumId="59">
    <w:nsid w:val="7FA367DF"/>
    <w:multiLevelType w:val="hybridMultilevel"/>
    <w:tmpl w:val="298AFE1C"/>
    <w:lvl w:ilvl="0" w:tplc="02ACF42E">
      <w:start w:val="2"/>
      <w:numFmt w:val="decimal"/>
      <w:lvlText w:val="(%1)"/>
      <w:lvlJc w:val="left"/>
      <w:pPr>
        <w:ind w:left="2032" w:hanging="356"/>
        <w:jc w:val="left"/>
      </w:pPr>
      <w:rPr>
        <w:rFonts w:ascii="Bookman Old Style" w:eastAsia="Bookman Old Style" w:hAnsi="Bookman Old Style" w:cs="Bookman Old Style" w:hint="default"/>
        <w:i/>
        <w:spacing w:val="-5"/>
        <w:w w:val="100"/>
        <w:sz w:val="24"/>
        <w:szCs w:val="24"/>
        <w:lang w:val="en-US" w:eastAsia="en-US" w:bidi="en-US"/>
      </w:rPr>
    </w:lvl>
    <w:lvl w:ilvl="1" w:tplc="0F602342">
      <w:numFmt w:val="bullet"/>
      <w:lvlText w:val="•"/>
      <w:lvlJc w:val="left"/>
      <w:pPr>
        <w:ind w:left="2824" w:hanging="356"/>
      </w:pPr>
      <w:rPr>
        <w:rFonts w:hint="default"/>
        <w:lang w:val="en-US" w:eastAsia="en-US" w:bidi="en-US"/>
      </w:rPr>
    </w:lvl>
    <w:lvl w:ilvl="2" w:tplc="FAEAAF22">
      <w:numFmt w:val="bullet"/>
      <w:lvlText w:val="•"/>
      <w:lvlJc w:val="left"/>
      <w:pPr>
        <w:ind w:left="3609" w:hanging="356"/>
      </w:pPr>
      <w:rPr>
        <w:rFonts w:hint="default"/>
        <w:lang w:val="en-US" w:eastAsia="en-US" w:bidi="en-US"/>
      </w:rPr>
    </w:lvl>
    <w:lvl w:ilvl="3" w:tplc="271EF3C8">
      <w:numFmt w:val="bullet"/>
      <w:lvlText w:val="•"/>
      <w:lvlJc w:val="left"/>
      <w:pPr>
        <w:ind w:left="4393" w:hanging="356"/>
      </w:pPr>
      <w:rPr>
        <w:rFonts w:hint="default"/>
        <w:lang w:val="en-US" w:eastAsia="en-US" w:bidi="en-US"/>
      </w:rPr>
    </w:lvl>
    <w:lvl w:ilvl="4" w:tplc="E6561948">
      <w:numFmt w:val="bullet"/>
      <w:lvlText w:val="•"/>
      <w:lvlJc w:val="left"/>
      <w:pPr>
        <w:ind w:left="5178" w:hanging="356"/>
      </w:pPr>
      <w:rPr>
        <w:rFonts w:hint="default"/>
        <w:lang w:val="en-US" w:eastAsia="en-US" w:bidi="en-US"/>
      </w:rPr>
    </w:lvl>
    <w:lvl w:ilvl="5" w:tplc="252EB904">
      <w:numFmt w:val="bullet"/>
      <w:lvlText w:val="•"/>
      <w:lvlJc w:val="left"/>
      <w:pPr>
        <w:ind w:left="5963" w:hanging="356"/>
      </w:pPr>
      <w:rPr>
        <w:rFonts w:hint="default"/>
        <w:lang w:val="en-US" w:eastAsia="en-US" w:bidi="en-US"/>
      </w:rPr>
    </w:lvl>
    <w:lvl w:ilvl="6" w:tplc="3F6EE5F4">
      <w:numFmt w:val="bullet"/>
      <w:lvlText w:val="•"/>
      <w:lvlJc w:val="left"/>
      <w:pPr>
        <w:ind w:left="6747" w:hanging="356"/>
      </w:pPr>
      <w:rPr>
        <w:rFonts w:hint="default"/>
        <w:lang w:val="en-US" w:eastAsia="en-US" w:bidi="en-US"/>
      </w:rPr>
    </w:lvl>
    <w:lvl w:ilvl="7" w:tplc="5338F904">
      <w:numFmt w:val="bullet"/>
      <w:lvlText w:val="•"/>
      <w:lvlJc w:val="left"/>
      <w:pPr>
        <w:ind w:left="7532" w:hanging="356"/>
      </w:pPr>
      <w:rPr>
        <w:rFonts w:hint="default"/>
        <w:lang w:val="en-US" w:eastAsia="en-US" w:bidi="en-US"/>
      </w:rPr>
    </w:lvl>
    <w:lvl w:ilvl="8" w:tplc="D8E8C0B2">
      <w:numFmt w:val="bullet"/>
      <w:lvlText w:val="•"/>
      <w:lvlJc w:val="left"/>
      <w:pPr>
        <w:ind w:left="8317" w:hanging="356"/>
      </w:pPr>
      <w:rPr>
        <w:rFonts w:hint="default"/>
        <w:lang w:val="en-US" w:eastAsia="en-US" w:bidi="en-US"/>
      </w:rPr>
    </w:lvl>
  </w:abstractNum>
  <w:num w:numId="1">
    <w:abstractNumId w:val="13"/>
  </w:num>
  <w:num w:numId="2">
    <w:abstractNumId w:val="53"/>
  </w:num>
  <w:num w:numId="3">
    <w:abstractNumId w:val="17"/>
  </w:num>
  <w:num w:numId="4">
    <w:abstractNumId w:val="4"/>
  </w:num>
  <w:num w:numId="5">
    <w:abstractNumId w:val="59"/>
  </w:num>
  <w:num w:numId="6">
    <w:abstractNumId w:val="1"/>
  </w:num>
  <w:num w:numId="7">
    <w:abstractNumId w:val="9"/>
  </w:num>
  <w:num w:numId="8">
    <w:abstractNumId w:val="48"/>
  </w:num>
  <w:num w:numId="9">
    <w:abstractNumId w:val="20"/>
  </w:num>
  <w:num w:numId="10">
    <w:abstractNumId w:val="47"/>
  </w:num>
  <w:num w:numId="11">
    <w:abstractNumId w:val="5"/>
  </w:num>
  <w:num w:numId="12">
    <w:abstractNumId w:val="18"/>
  </w:num>
  <w:num w:numId="13">
    <w:abstractNumId w:val="0"/>
  </w:num>
  <w:num w:numId="14">
    <w:abstractNumId w:val="7"/>
  </w:num>
  <w:num w:numId="15">
    <w:abstractNumId w:val="51"/>
  </w:num>
  <w:num w:numId="16">
    <w:abstractNumId w:val="54"/>
  </w:num>
  <w:num w:numId="17">
    <w:abstractNumId w:val="3"/>
  </w:num>
  <w:num w:numId="18">
    <w:abstractNumId w:val="44"/>
  </w:num>
  <w:num w:numId="19">
    <w:abstractNumId w:val="37"/>
  </w:num>
  <w:num w:numId="20">
    <w:abstractNumId w:val="45"/>
  </w:num>
  <w:num w:numId="21">
    <w:abstractNumId w:val="57"/>
  </w:num>
  <w:num w:numId="22">
    <w:abstractNumId w:val="36"/>
  </w:num>
  <w:num w:numId="23">
    <w:abstractNumId w:val="10"/>
  </w:num>
  <w:num w:numId="24">
    <w:abstractNumId w:val="41"/>
  </w:num>
  <w:num w:numId="25">
    <w:abstractNumId w:val="26"/>
  </w:num>
  <w:num w:numId="26">
    <w:abstractNumId w:val="55"/>
  </w:num>
  <w:num w:numId="27">
    <w:abstractNumId w:val="2"/>
  </w:num>
  <w:num w:numId="28">
    <w:abstractNumId w:val="25"/>
  </w:num>
  <w:num w:numId="29">
    <w:abstractNumId w:val="12"/>
  </w:num>
  <w:num w:numId="30">
    <w:abstractNumId w:val="14"/>
  </w:num>
  <w:num w:numId="31">
    <w:abstractNumId w:val="50"/>
  </w:num>
  <w:num w:numId="32">
    <w:abstractNumId w:val="22"/>
  </w:num>
  <w:num w:numId="33">
    <w:abstractNumId w:val="16"/>
  </w:num>
  <w:num w:numId="34">
    <w:abstractNumId w:val="8"/>
  </w:num>
  <w:num w:numId="35">
    <w:abstractNumId w:val="38"/>
  </w:num>
  <w:num w:numId="36">
    <w:abstractNumId w:val="23"/>
  </w:num>
  <w:num w:numId="37">
    <w:abstractNumId w:val="32"/>
  </w:num>
  <w:num w:numId="38">
    <w:abstractNumId w:val="34"/>
  </w:num>
  <w:num w:numId="39">
    <w:abstractNumId w:val="24"/>
  </w:num>
  <w:num w:numId="40">
    <w:abstractNumId w:val="11"/>
  </w:num>
  <w:num w:numId="41">
    <w:abstractNumId w:val="31"/>
  </w:num>
  <w:num w:numId="42">
    <w:abstractNumId w:val="29"/>
  </w:num>
  <w:num w:numId="43">
    <w:abstractNumId w:val="49"/>
  </w:num>
  <w:num w:numId="44">
    <w:abstractNumId w:val="33"/>
  </w:num>
  <w:num w:numId="45">
    <w:abstractNumId w:val="27"/>
  </w:num>
  <w:num w:numId="46">
    <w:abstractNumId w:val="40"/>
  </w:num>
  <w:num w:numId="47">
    <w:abstractNumId w:val="35"/>
  </w:num>
  <w:num w:numId="48">
    <w:abstractNumId w:val="52"/>
  </w:num>
  <w:num w:numId="49">
    <w:abstractNumId w:val="19"/>
  </w:num>
  <w:num w:numId="50">
    <w:abstractNumId w:val="56"/>
  </w:num>
  <w:num w:numId="51">
    <w:abstractNumId w:val="30"/>
  </w:num>
  <w:num w:numId="52">
    <w:abstractNumId w:val="58"/>
  </w:num>
  <w:num w:numId="53">
    <w:abstractNumId w:val="42"/>
  </w:num>
  <w:num w:numId="54">
    <w:abstractNumId w:val="28"/>
  </w:num>
  <w:num w:numId="55">
    <w:abstractNumId w:val="6"/>
  </w:num>
  <w:num w:numId="56">
    <w:abstractNumId w:val="15"/>
  </w:num>
  <w:num w:numId="57">
    <w:abstractNumId w:val="39"/>
  </w:num>
  <w:num w:numId="58">
    <w:abstractNumId w:val="46"/>
  </w:num>
  <w:num w:numId="59">
    <w:abstractNumId w:val="43"/>
  </w:num>
  <w:num w:numId="60">
    <w:abstractNumId w:val="21"/>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savePreviewPicture/>
  <w:hdrShapeDefaults>
    <o:shapedefaults v:ext="edit" spidmax="3074"/>
    <o:shapelayout v:ext="edit">
      <o:idmap v:ext="edit" data="2"/>
    </o:shapelayout>
  </w:hdrShapeDefaults>
  <w:footnotePr>
    <w:footnote w:id="0"/>
    <w:footnote w:id="1"/>
  </w:footnotePr>
  <w:endnotePr>
    <w:endnote w:id="0"/>
    <w:endnote w:id="1"/>
  </w:endnotePr>
  <w:compat>
    <w:ulTrailSpace/>
  </w:compat>
  <w:rsids>
    <w:rsidRoot w:val="003B2FC0"/>
    <w:rsid w:val="00052A49"/>
    <w:rsid w:val="003B2FC0"/>
    <w:rsid w:val="00C81D2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2FC0"/>
    <w:rPr>
      <w:rFonts w:ascii="Arial" w:eastAsia="Arial" w:hAnsi="Arial" w:cs="Arial"/>
      <w:lang w:bidi="en-US"/>
    </w:rPr>
  </w:style>
  <w:style w:type="paragraph" w:styleId="Heading1">
    <w:name w:val="heading 1"/>
    <w:basedOn w:val="Normal"/>
    <w:uiPriority w:val="1"/>
    <w:qFormat/>
    <w:rsid w:val="003B2FC0"/>
    <w:pPr>
      <w:ind w:left="11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B2FC0"/>
    <w:rPr>
      <w:rFonts w:ascii="Bookman Old Style" w:eastAsia="Bookman Old Style" w:hAnsi="Bookman Old Style" w:cs="Bookman Old Style"/>
      <w:sz w:val="28"/>
      <w:szCs w:val="28"/>
    </w:rPr>
  </w:style>
  <w:style w:type="paragraph" w:styleId="ListParagraph">
    <w:name w:val="List Paragraph"/>
    <w:basedOn w:val="Normal"/>
    <w:uiPriority w:val="1"/>
    <w:qFormat/>
    <w:rsid w:val="003B2FC0"/>
    <w:pPr>
      <w:ind w:left="500"/>
      <w:jc w:val="both"/>
    </w:pPr>
  </w:style>
  <w:style w:type="paragraph" w:customStyle="1" w:styleId="TableParagraph">
    <w:name w:val="Table Paragraph"/>
    <w:basedOn w:val="Normal"/>
    <w:uiPriority w:val="1"/>
    <w:qFormat/>
    <w:rsid w:val="003B2FC0"/>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header" Target="header133.xml"/><Relationship Id="rId21" Type="http://schemas.openxmlformats.org/officeDocument/2006/relationships/header" Target="header7.xml"/><Relationship Id="rId63" Type="http://schemas.openxmlformats.org/officeDocument/2006/relationships/header" Target="header21.xml"/><Relationship Id="rId159" Type="http://schemas.openxmlformats.org/officeDocument/2006/relationships/header" Target="header65.xml"/><Relationship Id="rId324" Type="http://schemas.openxmlformats.org/officeDocument/2006/relationships/footer" Target="footer161.xml"/><Relationship Id="rId366" Type="http://schemas.openxmlformats.org/officeDocument/2006/relationships/footer" Target="footer187.xml"/><Relationship Id="rId531" Type="http://schemas.openxmlformats.org/officeDocument/2006/relationships/header" Target="header236.xml"/><Relationship Id="rId170" Type="http://schemas.openxmlformats.org/officeDocument/2006/relationships/footer" Target="footer83.xml"/><Relationship Id="rId226" Type="http://schemas.openxmlformats.org/officeDocument/2006/relationships/header" Target="header97.xml"/><Relationship Id="rId433" Type="http://schemas.openxmlformats.org/officeDocument/2006/relationships/header" Target="header187.xml"/><Relationship Id="rId268" Type="http://schemas.openxmlformats.org/officeDocument/2006/relationships/header" Target="header118.xml"/><Relationship Id="rId475" Type="http://schemas.openxmlformats.org/officeDocument/2006/relationships/header" Target="header208.xml"/><Relationship Id="rId32" Type="http://schemas.openxmlformats.org/officeDocument/2006/relationships/footer" Target="footer14.xml"/><Relationship Id="rId74" Type="http://schemas.openxmlformats.org/officeDocument/2006/relationships/footer" Target="footer31.xml"/><Relationship Id="rId128" Type="http://schemas.openxmlformats.org/officeDocument/2006/relationships/header" Target="header52.xml"/><Relationship Id="rId335" Type="http://schemas.openxmlformats.org/officeDocument/2006/relationships/header" Target="header151.xml"/><Relationship Id="rId377" Type="http://schemas.openxmlformats.org/officeDocument/2006/relationships/footer" Target="footer197.xml"/><Relationship Id="rId500" Type="http://schemas.openxmlformats.org/officeDocument/2006/relationships/footer" Target="footer260.xml"/><Relationship Id="rId542" Type="http://schemas.openxmlformats.org/officeDocument/2006/relationships/footer" Target="footer281.xml"/><Relationship Id="rId5" Type="http://schemas.openxmlformats.org/officeDocument/2006/relationships/footnotes" Target="footnotes.xml"/><Relationship Id="rId181" Type="http://schemas.openxmlformats.org/officeDocument/2006/relationships/footer" Target="footer90.xml"/><Relationship Id="rId237" Type="http://schemas.openxmlformats.org/officeDocument/2006/relationships/footer" Target="footer118.xml"/><Relationship Id="rId402" Type="http://schemas.openxmlformats.org/officeDocument/2006/relationships/footer" Target="footer211.xml"/><Relationship Id="rId279" Type="http://schemas.openxmlformats.org/officeDocument/2006/relationships/footer" Target="footer139.xml"/><Relationship Id="rId444" Type="http://schemas.openxmlformats.org/officeDocument/2006/relationships/footer" Target="footer232.xml"/><Relationship Id="rId486" Type="http://schemas.openxmlformats.org/officeDocument/2006/relationships/footer" Target="footer253.xml"/><Relationship Id="rId43" Type="http://schemas.openxmlformats.org/officeDocument/2006/relationships/hyperlink" Target="https://indiankanoon.org/doc/1759799/" TargetMode="External"/><Relationship Id="rId139" Type="http://schemas.openxmlformats.org/officeDocument/2006/relationships/footer" Target="footer65.xml"/><Relationship Id="rId290" Type="http://schemas.openxmlformats.org/officeDocument/2006/relationships/header" Target="header129.xml"/><Relationship Id="rId304" Type="http://schemas.openxmlformats.org/officeDocument/2006/relationships/footer" Target="footer151.xml"/><Relationship Id="rId346" Type="http://schemas.openxmlformats.org/officeDocument/2006/relationships/footer" Target="footer170.xml"/><Relationship Id="rId388" Type="http://schemas.openxmlformats.org/officeDocument/2006/relationships/footer" Target="footer204.xml"/><Relationship Id="rId511" Type="http://schemas.openxmlformats.org/officeDocument/2006/relationships/header" Target="header226.xml"/><Relationship Id="rId85" Type="http://schemas.openxmlformats.org/officeDocument/2006/relationships/header" Target="header32.xml"/><Relationship Id="rId150" Type="http://schemas.openxmlformats.org/officeDocument/2006/relationships/footer" Target="footer73.xml"/><Relationship Id="rId192" Type="http://schemas.openxmlformats.org/officeDocument/2006/relationships/header" Target="header80.xml"/><Relationship Id="rId206" Type="http://schemas.openxmlformats.org/officeDocument/2006/relationships/header" Target="header87.xml"/><Relationship Id="rId413" Type="http://schemas.openxmlformats.org/officeDocument/2006/relationships/header" Target="header177.xml"/><Relationship Id="rId248" Type="http://schemas.openxmlformats.org/officeDocument/2006/relationships/header" Target="header108.xml"/><Relationship Id="rId455" Type="http://schemas.openxmlformats.org/officeDocument/2006/relationships/header" Target="header198.xml"/><Relationship Id="rId497" Type="http://schemas.openxmlformats.org/officeDocument/2006/relationships/header" Target="header219.xml"/><Relationship Id="rId12" Type="http://schemas.openxmlformats.org/officeDocument/2006/relationships/footer" Target="footer4.xml"/><Relationship Id="rId108" Type="http://schemas.openxmlformats.org/officeDocument/2006/relationships/header" Target="header42.xml"/><Relationship Id="rId315" Type="http://schemas.openxmlformats.org/officeDocument/2006/relationships/header" Target="header141.xml"/><Relationship Id="rId357" Type="http://schemas.openxmlformats.org/officeDocument/2006/relationships/footer" Target="footer180.xml"/><Relationship Id="rId522" Type="http://schemas.openxmlformats.org/officeDocument/2006/relationships/footer" Target="footer271.xml"/><Relationship Id="rId54" Type="http://schemas.openxmlformats.org/officeDocument/2006/relationships/footer" Target="footer21.xml"/><Relationship Id="rId96" Type="http://schemas.openxmlformats.org/officeDocument/2006/relationships/header" Target="header36.xml"/><Relationship Id="rId161" Type="http://schemas.openxmlformats.org/officeDocument/2006/relationships/header" Target="header66.xml"/><Relationship Id="rId217" Type="http://schemas.openxmlformats.org/officeDocument/2006/relationships/footer" Target="footer108.xml"/><Relationship Id="rId399" Type="http://schemas.openxmlformats.org/officeDocument/2006/relationships/header" Target="header170.xml"/><Relationship Id="rId259" Type="http://schemas.openxmlformats.org/officeDocument/2006/relationships/footer" Target="footer129.xml"/><Relationship Id="rId424" Type="http://schemas.openxmlformats.org/officeDocument/2006/relationships/footer" Target="footer222.xml"/><Relationship Id="rId466" Type="http://schemas.openxmlformats.org/officeDocument/2006/relationships/footer" Target="footer243.xml"/><Relationship Id="rId23" Type="http://schemas.openxmlformats.org/officeDocument/2006/relationships/header" Target="header8.xml"/><Relationship Id="rId119" Type="http://schemas.openxmlformats.org/officeDocument/2006/relationships/footer" Target="footer55.xml"/><Relationship Id="rId270" Type="http://schemas.openxmlformats.org/officeDocument/2006/relationships/header" Target="header119.xml"/><Relationship Id="rId326" Type="http://schemas.openxmlformats.org/officeDocument/2006/relationships/footer" Target="footer162.xml"/><Relationship Id="rId533" Type="http://schemas.openxmlformats.org/officeDocument/2006/relationships/header" Target="header237.xml"/><Relationship Id="rId65" Type="http://schemas.openxmlformats.org/officeDocument/2006/relationships/header" Target="header22.xml"/><Relationship Id="rId130" Type="http://schemas.openxmlformats.org/officeDocument/2006/relationships/header" Target="header53.xml"/><Relationship Id="rId368" Type="http://schemas.openxmlformats.org/officeDocument/2006/relationships/header" Target="header162.xml"/><Relationship Id="rId172" Type="http://schemas.openxmlformats.org/officeDocument/2006/relationships/footer" Target="footer85.xml"/><Relationship Id="rId228" Type="http://schemas.openxmlformats.org/officeDocument/2006/relationships/header" Target="header98.xml"/><Relationship Id="rId435" Type="http://schemas.openxmlformats.org/officeDocument/2006/relationships/header" Target="header188.xml"/><Relationship Id="rId477" Type="http://schemas.openxmlformats.org/officeDocument/2006/relationships/header" Target="header209.xml"/><Relationship Id="rId281" Type="http://schemas.openxmlformats.org/officeDocument/2006/relationships/footer" Target="footer140.xml"/><Relationship Id="rId337" Type="http://schemas.openxmlformats.org/officeDocument/2006/relationships/header" Target="header152.xml"/><Relationship Id="rId502" Type="http://schemas.openxmlformats.org/officeDocument/2006/relationships/footer" Target="footer261.xml"/><Relationship Id="rId34" Type="http://schemas.openxmlformats.org/officeDocument/2006/relationships/hyperlink" Target="https://indiankanoon.org/doc/1759799/" TargetMode="External"/><Relationship Id="rId76" Type="http://schemas.openxmlformats.org/officeDocument/2006/relationships/footer" Target="footer32.xml"/><Relationship Id="rId141" Type="http://schemas.openxmlformats.org/officeDocument/2006/relationships/footer" Target="footer66.xml"/><Relationship Id="rId379" Type="http://schemas.openxmlformats.org/officeDocument/2006/relationships/hyperlink" Target="http://www.outlookindia.com/magazine/story/death-for-moustache/299405" TargetMode="External"/><Relationship Id="rId544" Type="http://schemas.openxmlformats.org/officeDocument/2006/relationships/footer" Target="footer282.xml"/><Relationship Id="rId7" Type="http://schemas.openxmlformats.org/officeDocument/2006/relationships/header" Target="header1.xml"/><Relationship Id="rId183" Type="http://schemas.openxmlformats.org/officeDocument/2006/relationships/footer" Target="footer91.xml"/><Relationship Id="rId239" Type="http://schemas.openxmlformats.org/officeDocument/2006/relationships/footer" Target="footer119.xml"/><Relationship Id="rId390" Type="http://schemas.openxmlformats.org/officeDocument/2006/relationships/header" Target="header165.xml"/><Relationship Id="rId404" Type="http://schemas.openxmlformats.org/officeDocument/2006/relationships/footer" Target="footer212.xml"/><Relationship Id="rId446" Type="http://schemas.openxmlformats.org/officeDocument/2006/relationships/footer" Target="footer233.xml"/><Relationship Id="rId250" Type="http://schemas.openxmlformats.org/officeDocument/2006/relationships/header" Target="header109.xml"/><Relationship Id="rId292" Type="http://schemas.openxmlformats.org/officeDocument/2006/relationships/hyperlink" Target="https://indiankanoon.org/doc/272397/" TargetMode="External"/><Relationship Id="rId306" Type="http://schemas.openxmlformats.org/officeDocument/2006/relationships/footer" Target="footer152.xml"/><Relationship Id="rId488" Type="http://schemas.openxmlformats.org/officeDocument/2006/relationships/footer" Target="footer254.xml"/><Relationship Id="rId45" Type="http://schemas.openxmlformats.org/officeDocument/2006/relationships/footer" Target="footer15.xml"/><Relationship Id="rId87" Type="http://schemas.openxmlformats.org/officeDocument/2006/relationships/header" Target="header33.xml"/><Relationship Id="rId110" Type="http://schemas.openxmlformats.org/officeDocument/2006/relationships/header" Target="header43.xml"/><Relationship Id="rId348" Type="http://schemas.openxmlformats.org/officeDocument/2006/relationships/footer" Target="footer172.xml"/><Relationship Id="rId513" Type="http://schemas.openxmlformats.org/officeDocument/2006/relationships/header" Target="header227.xml"/><Relationship Id="rId152" Type="http://schemas.openxmlformats.org/officeDocument/2006/relationships/footer" Target="footer74.xml"/><Relationship Id="rId194" Type="http://schemas.openxmlformats.org/officeDocument/2006/relationships/header" Target="header81.xml"/><Relationship Id="rId208" Type="http://schemas.openxmlformats.org/officeDocument/2006/relationships/header" Target="header88.xml"/><Relationship Id="rId415" Type="http://schemas.openxmlformats.org/officeDocument/2006/relationships/header" Target="header178.xml"/><Relationship Id="rId457" Type="http://schemas.openxmlformats.org/officeDocument/2006/relationships/header" Target="header199.xml"/><Relationship Id="rId261" Type="http://schemas.openxmlformats.org/officeDocument/2006/relationships/footer" Target="footer130.xml"/><Relationship Id="rId499" Type="http://schemas.openxmlformats.org/officeDocument/2006/relationships/header" Target="header220.xml"/><Relationship Id="rId14" Type="http://schemas.openxmlformats.org/officeDocument/2006/relationships/footer" Target="footer5.xml"/><Relationship Id="rId56" Type="http://schemas.openxmlformats.org/officeDocument/2006/relationships/footer" Target="footer22.xml"/><Relationship Id="rId317" Type="http://schemas.openxmlformats.org/officeDocument/2006/relationships/header" Target="header142.xml"/><Relationship Id="rId359" Type="http://schemas.openxmlformats.org/officeDocument/2006/relationships/footer" Target="footer182.xml"/><Relationship Id="rId524" Type="http://schemas.openxmlformats.org/officeDocument/2006/relationships/footer" Target="footer272.xml"/><Relationship Id="rId98" Type="http://schemas.openxmlformats.org/officeDocument/2006/relationships/header" Target="header37.xml"/><Relationship Id="rId121" Type="http://schemas.openxmlformats.org/officeDocument/2006/relationships/footer" Target="footer56.xml"/><Relationship Id="rId163" Type="http://schemas.openxmlformats.org/officeDocument/2006/relationships/header" Target="header67.xml"/><Relationship Id="rId219" Type="http://schemas.openxmlformats.org/officeDocument/2006/relationships/footer" Target="footer109.xml"/><Relationship Id="rId370" Type="http://schemas.openxmlformats.org/officeDocument/2006/relationships/footer" Target="footer190.xml"/><Relationship Id="rId426" Type="http://schemas.openxmlformats.org/officeDocument/2006/relationships/footer" Target="footer223.xml"/><Relationship Id="rId230" Type="http://schemas.openxmlformats.org/officeDocument/2006/relationships/header" Target="header99.xml"/><Relationship Id="rId468" Type="http://schemas.openxmlformats.org/officeDocument/2006/relationships/footer" Target="footer244.xml"/><Relationship Id="rId25" Type="http://schemas.openxmlformats.org/officeDocument/2006/relationships/header" Target="header9.xml"/><Relationship Id="rId67" Type="http://schemas.openxmlformats.org/officeDocument/2006/relationships/header" Target="header23.xml"/><Relationship Id="rId272" Type="http://schemas.openxmlformats.org/officeDocument/2006/relationships/header" Target="header120.xml"/><Relationship Id="rId328" Type="http://schemas.openxmlformats.org/officeDocument/2006/relationships/footer" Target="footer163.xml"/><Relationship Id="rId535" Type="http://schemas.openxmlformats.org/officeDocument/2006/relationships/header" Target="header238.xml"/><Relationship Id="rId88" Type="http://schemas.openxmlformats.org/officeDocument/2006/relationships/footer" Target="footer38.xml"/><Relationship Id="rId111" Type="http://schemas.openxmlformats.org/officeDocument/2006/relationships/footer" Target="footer51.xml"/><Relationship Id="rId132" Type="http://schemas.openxmlformats.org/officeDocument/2006/relationships/header" Target="header54.xml"/><Relationship Id="rId153" Type="http://schemas.openxmlformats.org/officeDocument/2006/relationships/header" Target="header62.xml"/><Relationship Id="rId174" Type="http://schemas.openxmlformats.org/officeDocument/2006/relationships/header" Target="header71.xml"/><Relationship Id="rId195" Type="http://schemas.openxmlformats.org/officeDocument/2006/relationships/footer" Target="footer97.xml"/><Relationship Id="rId209" Type="http://schemas.openxmlformats.org/officeDocument/2006/relationships/footer" Target="footer104.xml"/><Relationship Id="rId360" Type="http://schemas.openxmlformats.org/officeDocument/2006/relationships/footer" Target="footer183.xml"/><Relationship Id="rId381" Type="http://schemas.openxmlformats.org/officeDocument/2006/relationships/footer" Target="footer199.xml"/><Relationship Id="rId416" Type="http://schemas.openxmlformats.org/officeDocument/2006/relationships/footer" Target="footer218.xml"/><Relationship Id="rId220" Type="http://schemas.openxmlformats.org/officeDocument/2006/relationships/header" Target="header94.xml"/><Relationship Id="rId241" Type="http://schemas.openxmlformats.org/officeDocument/2006/relationships/footer" Target="footer120.xml"/><Relationship Id="rId437" Type="http://schemas.openxmlformats.org/officeDocument/2006/relationships/header" Target="header189.xml"/><Relationship Id="rId458" Type="http://schemas.openxmlformats.org/officeDocument/2006/relationships/footer" Target="footer239.xml"/><Relationship Id="rId479" Type="http://schemas.openxmlformats.org/officeDocument/2006/relationships/header" Target="header210.xml"/><Relationship Id="rId15" Type="http://schemas.openxmlformats.org/officeDocument/2006/relationships/header" Target="header4.xml"/><Relationship Id="rId36" Type="http://schemas.openxmlformats.org/officeDocument/2006/relationships/hyperlink" Target="https://indiankanoon.org/doc/1539376/" TargetMode="External"/><Relationship Id="rId57" Type="http://schemas.openxmlformats.org/officeDocument/2006/relationships/header" Target="header18.xml"/><Relationship Id="rId262" Type="http://schemas.openxmlformats.org/officeDocument/2006/relationships/header" Target="header115.xml"/><Relationship Id="rId283" Type="http://schemas.openxmlformats.org/officeDocument/2006/relationships/footer" Target="footer141.xml"/><Relationship Id="rId318" Type="http://schemas.openxmlformats.org/officeDocument/2006/relationships/footer" Target="footer158.xml"/><Relationship Id="rId339" Type="http://schemas.openxmlformats.org/officeDocument/2006/relationships/header" Target="header153.xml"/><Relationship Id="rId490" Type="http://schemas.openxmlformats.org/officeDocument/2006/relationships/footer" Target="footer255.xml"/><Relationship Id="rId504" Type="http://schemas.openxmlformats.org/officeDocument/2006/relationships/footer" Target="footer262.xml"/><Relationship Id="rId525" Type="http://schemas.openxmlformats.org/officeDocument/2006/relationships/header" Target="header233.xml"/><Relationship Id="rId546" Type="http://schemas.openxmlformats.org/officeDocument/2006/relationships/theme" Target="theme/theme1.xml"/><Relationship Id="rId78" Type="http://schemas.openxmlformats.org/officeDocument/2006/relationships/footer" Target="footer33.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eader" Target="header49.xml"/><Relationship Id="rId143" Type="http://schemas.openxmlformats.org/officeDocument/2006/relationships/footer" Target="footer67.xml"/><Relationship Id="rId164" Type="http://schemas.openxmlformats.org/officeDocument/2006/relationships/footer" Target="footer80.xml"/><Relationship Id="rId185" Type="http://schemas.openxmlformats.org/officeDocument/2006/relationships/footer" Target="footer92.xml"/><Relationship Id="rId350" Type="http://schemas.openxmlformats.org/officeDocument/2006/relationships/footer" Target="footer174.xml"/><Relationship Id="rId371" Type="http://schemas.openxmlformats.org/officeDocument/2006/relationships/footer" Target="footer191.xml"/><Relationship Id="rId406" Type="http://schemas.openxmlformats.org/officeDocument/2006/relationships/footer" Target="footer213.xml"/><Relationship Id="rId9" Type="http://schemas.openxmlformats.org/officeDocument/2006/relationships/footer" Target="footer2.xml"/><Relationship Id="rId210" Type="http://schemas.openxmlformats.org/officeDocument/2006/relationships/header" Target="header89.xml"/><Relationship Id="rId392" Type="http://schemas.openxmlformats.org/officeDocument/2006/relationships/footer" Target="footer206.xml"/><Relationship Id="rId427" Type="http://schemas.openxmlformats.org/officeDocument/2006/relationships/header" Target="header184.xml"/><Relationship Id="rId448" Type="http://schemas.openxmlformats.org/officeDocument/2006/relationships/footer" Target="footer234.xml"/><Relationship Id="rId469" Type="http://schemas.openxmlformats.org/officeDocument/2006/relationships/header" Target="header205.xml"/><Relationship Id="rId26" Type="http://schemas.openxmlformats.org/officeDocument/2006/relationships/footer" Target="footer11.xml"/><Relationship Id="rId231" Type="http://schemas.openxmlformats.org/officeDocument/2006/relationships/footer" Target="footer115.xml"/><Relationship Id="rId252" Type="http://schemas.openxmlformats.org/officeDocument/2006/relationships/header" Target="header110.xml"/><Relationship Id="rId273" Type="http://schemas.openxmlformats.org/officeDocument/2006/relationships/footer" Target="footer136.xml"/><Relationship Id="rId294" Type="http://schemas.openxmlformats.org/officeDocument/2006/relationships/footer" Target="footer146.xml"/><Relationship Id="rId308" Type="http://schemas.openxmlformats.org/officeDocument/2006/relationships/footer" Target="footer153.xml"/><Relationship Id="rId329" Type="http://schemas.openxmlformats.org/officeDocument/2006/relationships/header" Target="header148.xml"/><Relationship Id="rId480" Type="http://schemas.openxmlformats.org/officeDocument/2006/relationships/footer" Target="footer250.xml"/><Relationship Id="rId515" Type="http://schemas.openxmlformats.org/officeDocument/2006/relationships/header" Target="header228.xml"/><Relationship Id="rId536" Type="http://schemas.openxmlformats.org/officeDocument/2006/relationships/footer" Target="footer278.xml"/><Relationship Id="rId47" Type="http://schemas.openxmlformats.org/officeDocument/2006/relationships/footer" Target="footer16.xml"/><Relationship Id="rId68" Type="http://schemas.openxmlformats.org/officeDocument/2006/relationships/footer" Target="footer28.xml"/><Relationship Id="rId89" Type="http://schemas.openxmlformats.org/officeDocument/2006/relationships/footer" Target="footer39.xml"/><Relationship Id="rId112" Type="http://schemas.openxmlformats.org/officeDocument/2006/relationships/header" Target="header44.xml"/><Relationship Id="rId133" Type="http://schemas.openxmlformats.org/officeDocument/2006/relationships/footer" Target="footer62.xml"/><Relationship Id="rId154" Type="http://schemas.openxmlformats.org/officeDocument/2006/relationships/footer" Target="footer75.xml"/><Relationship Id="rId175" Type="http://schemas.openxmlformats.org/officeDocument/2006/relationships/footer" Target="footer87.xml"/><Relationship Id="rId340" Type="http://schemas.openxmlformats.org/officeDocument/2006/relationships/footer" Target="footer169.xml"/><Relationship Id="rId361" Type="http://schemas.openxmlformats.org/officeDocument/2006/relationships/footer" Target="footer184.xml"/><Relationship Id="rId196" Type="http://schemas.openxmlformats.org/officeDocument/2006/relationships/header" Target="header82.xml"/><Relationship Id="rId200" Type="http://schemas.openxmlformats.org/officeDocument/2006/relationships/header" Target="header84.xml"/><Relationship Id="rId382" Type="http://schemas.openxmlformats.org/officeDocument/2006/relationships/footer" Target="footer200.xml"/><Relationship Id="rId417" Type="http://schemas.openxmlformats.org/officeDocument/2006/relationships/header" Target="header179.xml"/><Relationship Id="rId438" Type="http://schemas.openxmlformats.org/officeDocument/2006/relationships/footer" Target="footer229.xml"/><Relationship Id="rId459" Type="http://schemas.openxmlformats.org/officeDocument/2006/relationships/header" Target="header200.xml"/><Relationship Id="rId16" Type="http://schemas.openxmlformats.org/officeDocument/2006/relationships/footer" Target="footer6.xml"/><Relationship Id="rId221" Type="http://schemas.openxmlformats.org/officeDocument/2006/relationships/footer" Target="footer110.xml"/><Relationship Id="rId242" Type="http://schemas.openxmlformats.org/officeDocument/2006/relationships/header" Target="header105.xml"/><Relationship Id="rId263" Type="http://schemas.openxmlformats.org/officeDocument/2006/relationships/footer" Target="footer131.xml"/><Relationship Id="rId284" Type="http://schemas.openxmlformats.org/officeDocument/2006/relationships/header" Target="header126.xml"/><Relationship Id="rId319" Type="http://schemas.openxmlformats.org/officeDocument/2006/relationships/header" Target="header143.xml"/><Relationship Id="rId470" Type="http://schemas.openxmlformats.org/officeDocument/2006/relationships/footer" Target="footer245.xml"/><Relationship Id="rId491" Type="http://schemas.openxmlformats.org/officeDocument/2006/relationships/header" Target="header216.xml"/><Relationship Id="rId505" Type="http://schemas.openxmlformats.org/officeDocument/2006/relationships/header" Target="header223.xml"/><Relationship Id="rId526" Type="http://schemas.openxmlformats.org/officeDocument/2006/relationships/footer" Target="footer273.xml"/><Relationship Id="rId37" Type="http://schemas.openxmlformats.org/officeDocument/2006/relationships/hyperlink" Target="https://indiankanoon.org/doc/1539376/" TargetMode="External"/><Relationship Id="rId58" Type="http://schemas.openxmlformats.org/officeDocument/2006/relationships/footer" Target="footer23.xml"/><Relationship Id="rId79" Type="http://schemas.openxmlformats.org/officeDocument/2006/relationships/header" Target="header29.xml"/><Relationship Id="rId102" Type="http://schemas.openxmlformats.org/officeDocument/2006/relationships/header" Target="header39.xml"/><Relationship Id="rId123" Type="http://schemas.openxmlformats.org/officeDocument/2006/relationships/footer" Target="footer57.xml"/><Relationship Id="rId144" Type="http://schemas.openxmlformats.org/officeDocument/2006/relationships/footer" Target="footer68.xml"/><Relationship Id="rId330" Type="http://schemas.openxmlformats.org/officeDocument/2006/relationships/footer" Target="footer164.xml"/><Relationship Id="rId90" Type="http://schemas.openxmlformats.org/officeDocument/2006/relationships/footer" Target="footer40.xml"/><Relationship Id="rId165" Type="http://schemas.openxmlformats.org/officeDocument/2006/relationships/header" Target="header68.xml"/><Relationship Id="rId186" Type="http://schemas.openxmlformats.org/officeDocument/2006/relationships/header" Target="header77.xml"/><Relationship Id="rId351" Type="http://schemas.openxmlformats.org/officeDocument/2006/relationships/footer" Target="footer175.xml"/><Relationship Id="rId372" Type="http://schemas.openxmlformats.org/officeDocument/2006/relationships/footer" Target="footer192.xml"/><Relationship Id="rId393" Type="http://schemas.openxmlformats.org/officeDocument/2006/relationships/header" Target="header167.xml"/><Relationship Id="rId407" Type="http://schemas.openxmlformats.org/officeDocument/2006/relationships/header" Target="header174.xml"/><Relationship Id="rId428" Type="http://schemas.openxmlformats.org/officeDocument/2006/relationships/footer" Target="footer224.xml"/><Relationship Id="rId449" Type="http://schemas.openxmlformats.org/officeDocument/2006/relationships/header" Target="header195.xml"/><Relationship Id="rId211" Type="http://schemas.openxmlformats.org/officeDocument/2006/relationships/footer" Target="footer105.xml"/><Relationship Id="rId232" Type="http://schemas.openxmlformats.org/officeDocument/2006/relationships/header" Target="header100.xml"/><Relationship Id="rId253" Type="http://schemas.openxmlformats.org/officeDocument/2006/relationships/footer" Target="footer126.xml"/><Relationship Id="rId274" Type="http://schemas.openxmlformats.org/officeDocument/2006/relationships/header" Target="header121.xml"/><Relationship Id="rId295" Type="http://schemas.openxmlformats.org/officeDocument/2006/relationships/header" Target="header131.xml"/><Relationship Id="rId309" Type="http://schemas.openxmlformats.org/officeDocument/2006/relationships/header" Target="header138.xml"/><Relationship Id="rId460" Type="http://schemas.openxmlformats.org/officeDocument/2006/relationships/footer" Target="footer240.xml"/><Relationship Id="rId481" Type="http://schemas.openxmlformats.org/officeDocument/2006/relationships/header" Target="header211.xml"/><Relationship Id="rId516" Type="http://schemas.openxmlformats.org/officeDocument/2006/relationships/footer" Target="footer268.xml"/><Relationship Id="rId27" Type="http://schemas.openxmlformats.org/officeDocument/2006/relationships/header" Target="header10.xml"/><Relationship Id="rId48" Type="http://schemas.openxmlformats.org/officeDocument/2006/relationships/header" Target="header15.xml"/><Relationship Id="rId69" Type="http://schemas.openxmlformats.org/officeDocument/2006/relationships/header" Target="header24.xml"/><Relationship Id="rId113" Type="http://schemas.openxmlformats.org/officeDocument/2006/relationships/footer" Target="footer52.xml"/><Relationship Id="rId134" Type="http://schemas.openxmlformats.org/officeDocument/2006/relationships/header" Target="header55.xml"/><Relationship Id="rId320" Type="http://schemas.openxmlformats.org/officeDocument/2006/relationships/footer" Target="footer159.xml"/><Relationship Id="rId537" Type="http://schemas.openxmlformats.org/officeDocument/2006/relationships/header" Target="header239.xml"/><Relationship Id="rId80" Type="http://schemas.openxmlformats.org/officeDocument/2006/relationships/footer" Target="footer34.xml"/><Relationship Id="rId155" Type="http://schemas.openxmlformats.org/officeDocument/2006/relationships/header" Target="header63.xml"/><Relationship Id="rId176" Type="http://schemas.openxmlformats.org/officeDocument/2006/relationships/header" Target="header72.xml"/><Relationship Id="rId197" Type="http://schemas.openxmlformats.org/officeDocument/2006/relationships/footer" Target="footer98.xml"/><Relationship Id="rId341" Type="http://schemas.openxmlformats.org/officeDocument/2006/relationships/header" Target="header154.xml"/><Relationship Id="rId362" Type="http://schemas.openxmlformats.org/officeDocument/2006/relationships/header" Target="header160.xml"/><Relationship Id="rId383" Type="http://schemas.openxmlformats.org/officeDocument/2006/relationships/header" Target="header163.xml"/><Relationship Id="rId418" Type="http://schemas.openxmlformats.org/officeDocument/2006/relationships/footer" Target="footer219.xml"/><Relationship Id="rId439" Type="http://schemas.openxmlformats.org/officeDocument/2006/relationships/header" Target="header190.xml"/><Relationship Id="rId201" Type="http://schemas.openxmlformats.org/officeDocument/2006/relationships/footer" Target="footer100.xml"/><Relationship Id="rId222" Type="http://schemas.openxmlformats.org/officeDocument/2006/relationships/header" Target="header95.xml"/><Relationship Id="rId243" Type="http://schemas.openxmlformats.org/officeDocument/2006/relationships/footer" Target="footer121.xml"/><Relationship Id="rId264" Type="http://schemas.openxmlformats.org/officeDocument/2006/relationships/header" Target="header116.xml"/><Relationship Id="rId285" Type="http://schemas.openxmlformats.org/officeDocument/2006/relationships/footer" Target="footer142.xml"/><Relationship Id="rId450" Type="http://schemas.openxmlformats.org/officeDocument/2006/relationships/footer" Target="footer235.xml"/><Relationship Id="rId471" Type="http://schemas.openxmlformats.org/officeDocument/2006/relationships/header" Target="header206.xml"/><Relationship Id="rId506" Type="http://schemas.openxmlformats.org/officeDocument/2006/relationships/footer" Target="footer263.xml"/><Relationship Id="rId17" Type="http://schemas.openxmlformats.org/officeDocument/2006/relationships/header" Target="header5.xml"/><Relationship Id="rId38" Type="http://schemas.openxmlformats.org/officeDocument/2006/relationships/hyperlink" Target="https://indiankanoon.org/doc/1539376/" TargetMode="External"/><Relationship Id="rId59" Type="http://schemas.openxmlformats.org/officeDocument/2006/relationships/header" Target="header19.xml"/><Relationship Id="rId103" Type="http://schemas.openxmlformats.org/officeDocument/2006/relationships/footer" Target="footer47.xml"/><Relationship Id="rId124" Type="http://schemas.openxmlformats.org/officeDocument/2006/relationships/header" Target="header50.xml"/><Relationship Id="rId310" Type="http://schemas.openxmlformats.org/officeDocument/2006/relationships/footer" Target="footer154.xml"/><Relationship Id="rId492" Type="http://schemas.openxmlformats.org/officeDocument/2006/relationships/footer" Target="footer256.xml"/><Relationship Id="rId527" Type="http://schemas.openxmlformats.org/officeDocument/2006/relationships/header" Target="header234.xml"/><Relationship Id="rId70" Type="http://schemas.openxmlformats.org/officeDocument/2006/relationships/footer" Target="footer29.xml"/><Relationship Id="rId91" Type="http://schemas.openxmlformats.org/officeDocument/2006/relationships/footer" Target="footer41.xml"/><Relationship Id="rId145" Type="http://schemas.openxmlformats.org/officeDocument/2006/relationships/footer" Target="footer69.xml"/><Relationship Id="rId166" Type="http://schemas.openxmlformats.org/officeDocument/2006/relationships/footer" Target="footer81.xml"/><Relationship Id="rId187" Type="http://schemas.openxmlformats.org/officeDocument/2006/relationships/footer" Target="footer93.xml"/><Relationship Id="rId331" Type="http://schemas.openxmlformats.org/officeDocument/2006/relationships/header" Target="header149.xml"/><Relationship Id="rId352" Type="http://schemas.openxmlformats.org/officeDocument/2006/relationships/footer" Target="footer176.xml"/><Relationship Id="rId373" Type="http://schemas.openxmlformats.org/officeDocument/2006/relationships/footer" Target="footer193.xml"/><Relationship Id="rId394" Type="http://schemas.openxmlformats.org/officeDocument/2006/relationships/footer" Target="footer207.xml"/><Relationship Id="rId408" Type="http://schemas.openxmlformats.org/officeDocument/2006/relationships/footer" Target="footer214.xml"/><Relationship Id="rId429" Type="http://schemas.openxmlformats.org/officeDocument/2006/relationships/header" Target="header185.xml"/><Relationship Id="rId1" Type="http://schemas.openxmlformats.org/officeDocument/2006/relationships/numbering" Target="numbering.xml"/><Relationship Id="rId212" Type="http://schemas.openxmlformats.org/officeDocument/2006/relationships/header" Target="header90.xml"/><Relationship Id="rId233" Type="http://schemas.openxmlformats.org/officeDocument/2006/relationships/footer" Target="footer116.xml"/><Relationship Id="rId254" Type="http://schemas.openxmlformats.org/officeDocument/2006/relationships/header" Target="header111.xml"/><Relationship Id="rId440" Type="http://schemas.openxmlformats.org/officeDocument/2006/relationships/footer" Target="footer230.xml"/><Relationship Id="rId28" Type="http://schemas.openxmlformats.org/officeDocument/2006/relationships/footer" Target="footer12.xml"/><Relationship Id="rId49" Type="http://schemas.openxmlformats.org/officeDocument/2006/relationships/footer" Target="footer17.xml"/><Relationship Id="rId114" Type="http://schemas.openxmlformats.org/officeDocument/2006/relationships/header" Target="header45.xml"/><Relationship Id="rId275" Type="http://schemas.openxmlformats.org/officeDocument/2006/relationships/footer" Target="footer137.xml"/><Relationship Id="rId296" Type="http://schemas.openxmlformats.org/officeDocument/2006/relationships/footer" Target="footer147.xml"/><Relationship Id="rId300" Type="http://schemas.openxmlformats.org/officeDocument/2006/relationships/footer" Target="footer149.xml"/><Relationship Id="rId461" Type="http://schemas.openxmlformats.org/officeDocument/2006/relationships/header" Target="header201.xml"/><Relationship Id="rId482" Type="http://schemas.openxmlformats.org/officeDocument/2006/relationships/footer" Target="footer251.xml"/><Relationship Id="rId517" Type="http://schemas.openxmlformats.org/officeDocument/2006/relationships/header" Target="header229.xml"/><Relationship Id="rId538" Type="http://schemas.openxmlformats.org/officeDocument/2006/relationships/footer" Target="footer279.xml"/><Relationship Id="rId60" Type="http://schemas.openxmlformats.org/officeDocument/2006/relationships/footer" Target="footer24.xml"/><Relationship Id="rId81" Type="http://schemas.openxmlformats.org/officeDocument/2006/relationships/header" Target="header30.xml"/><Relationship Id="rId135" Type="http://schemas.openxmlformats.org/officeDocument/2006/relationships/footer" Target="footer63.xml"/><Relationship Id="rId156" Type="http://schemas.openxmlformats.org/officeDocument/2006/relationships/footer" Target="footer76.xml"/><Relationship Id="rId177" Type="http://schemas.openxmlformats.org/officeDocument/2006/relationships/footer" Target="footer88.xml"/><Relationship Id="rId198" Type="http://schemas.openxmlformats.org/officeDocument/2006/relationships/header" Target="header83.xml"/><Relationship Id="rId321" Type="http://schemas.openxmlformats.org/officeDocument/2006/relationships/header" Target="header144.xml"/><Relationship Id="rId342" Type="http://schemas.openxmlformats.org/officeDocument/2006/relationships/header" Target="header155.xml"/><Relationship Id="rId363" Type="http://schemas.openxmlformats.org/officeDocument/2006/relationships/footer" Target="footer185.xml"/><Relationship Id="rId384" Type="http://schemas.openxmlformats.org/officeDocument/2006/relationships/footer" Target="footer201.xml"/><Relationship Id="rId419" Type="http://schemas.openxmlformats.org/officeDocument/2006/relationships/header" Target="header180.xml"/><Relationship Id="rId202" Type="http://schemas.openxmlformats.org/officeDocument/2006/relationships/header" Target="header85.xml"/><Relationship Id="rId223" Type="http://schemas.openxmlformats.org/officeDocument/2006/relationships/footer" Target="footer111.xml"/><Relationship Id="rId244" Type="http://schemas.openxmlformats.org/officeDocument/2006/relationships/header" Target="header106.xml"/><Relationship Id="rId430" Type="http://schemas.openxmlformats.org/officeDocument/2006/relationships/footer" Target="footer225.xml"/><Relationship Id="rId18" Type="http://schemas.openxmlformats.org/officeDocument/2006/relationships/footer" Target="footer7.xml"/><Relationship Id="rId39" Type="http://schemas.openxmlformats.org/officeDocument/2006/relationships/hyperlink" Target="https://indiankanoon.org/doc/1539376/" TargetMode="External"/><Relationship Id="rId265" Type="http://schemas.openxmlformats.org/officeDocument/2006/relationships/footer" Target="footer132.xml"/><Relationship Id="rId286" Type="http://schemas.openxmlformats.org/officeDocument/2006/relationships/header" Target="header127.xml"/><Relationship Id="rId451" Type="http://schemas.openxmlformats.org/officeDocument/2006/relationships/header" Target="header196.xml"/><Relationship Id="rId472" Type="http://schemas.openxmlformats.org/officeDocument/2006/relationships/footer" Target="footer246.xml"/><Relationship Id="rId493" Type="http://schemas.openxmlformats.org/officeDocument/2006/relationships/header" Target="header217.xml"/><Relationship Id="rId507" Type="http://schemas.openxmlformats.org/officeDocument/2006/relationships/header" Target="header224.xml"/><Relationship Id="rId528" Type="http://schemas.openxmlformats.org/officeDocument/2006/relationships/footer" Target="footer274.xml"/><Relationship Id="rId50" Type="http://schemas.openxmlformats.org/officeDocument/2006/relationships/footer" Target="footer18.xml"/><Relationship Id="rId104" Type="http://schemas.openxmlformats.org/officeDocument/2006/relationships/header" Target="header40.xml"/><Relationship Id="rId125" Type="http://schemas.openxmlformats.org/officeDocument/2006/relationships/footer" Target="footer58.xml"/><Relationship Id="rId146" Type="http://schemas.openxmlformats.org/officeDocument/2006/relationships/footer" Target="footer70.xml"/><Relationship Id="rId167" Type="http://schemas.openxmlformats.org/officeDocument/2006/relationships/header" Target="header69.xml"/><Relationship Id="rId188" Type="http://schemas.openxmlformats.org/officeDocument/2006/relationships/header" Target="header78.xml"/><Relationship Id="rId311" Type="http://schemas.openxmlformats.org/officeDocument/2006/relationships/header" Target="header139.xml"/><Relationship Id="rId332" Type="http://schemas.openxmlformats.org/officeDocument/2006/relationships/footer" Target="footer165.xml"/><Relationship Id="rId353" Type="http://schemas.openxmlformats.org/officeDocument/2006/relationships/header" Target="header159.xml"/><Relationship Id="rId374" Type="http://schemas.openxmlformats.org/officeDocument/2006/relationships/footer" Target="footer194.xml"/><Relationship Id="rId395" Type="http://schemas.openxmlformats.org/officeDocument/2006/relationships/header" Target="header168.xml"/><Relationship Id="rId409" Type="http://schemas.openxmlformats.org/officeDocument/2006/relationships/header" Target="header175.xml"/><Relationship Id="rId71" Type="http://schemas.openxmlformats.org/officeDocument/2006/relationships/header" Target="header25.xml"/><Relationship Id="rId92" Type="http://schemas.openxmlformats.org/officeDocument/2006/relationships/header" Target="header34.xml"/><Relationship Id="rId213" Type="http://schemas.openxmlformats.org/officeDocument/2006/relationships/footer" Target="footer106.xml"/><Relationship Id="rId234" Type="http://schemas.openxmlformats.org/officeDocument/2006/relationships/header" Target="header101.xml"/><Relationship Id="rId420" Type="http://schemas.openxmlformats.org/officeDocument/2006/relationships/footer" Target="footer220.xml"/><Relationship Id="rId2" Type="http://schemas.openxmlformats.org/officeDocument/2006/relationships/styles" Target="styles.xml"/><Relationship Id="rId29" Type="http://schemas.openxmlformats.org/officeDocument/2006/relationships/header" Target="header11.xml"/><Relationship Id="rId255" Type="http://schemas.openxmlformats.org/officeDocument/2006/relationships/footer" Target="footer127.xml"/><Relationship Id="rId276" Type="http://schemas.openxmlformats.org/officeDocument/2006/relationships/header" Target="header122.xml"/><Relationship Id="rId297" Type="http://schemas.openxmlformats.org/officeDocument/2006/relationships/header" Target="header132.xml"/><Relationship Id="rId441" Type="http://schemas.openxmlformats.org/officeDocument/2006/relationships/header" Target="header191.xml"/><Relationship Id="rId462" Type="http://schemas.openxmlformats.org/officeDocument/2006/relationships/footer" Target="footer241.xml"/><Relationship Id="rId483" Type="http://schemas.openxmlformats.org/officeDocument/2006/relationships/header" Target="header212.xml"/><Relationship Id="rId518" Type="http://schemas.openxmlformats.org/officeDocument/2006/relationships/footer" Target="footer269.xml"/><Relationship Id="rId539" Type="http://schemas.openxmlformats.org/officeDocument/2006/relationships/header" Target="header240.xml"/><Relationship Id="rId40" Type="http://schemas.openxmlformats.org/officeDocument/2006/relationships/hyperlink" Target="https://indiankanoon.org/doc/1539376/" TargetMode="External"/><Relationship Id="rId115" Type="http://schemas.openxmlformats.org/officeDocument/2006/relationships/footer" Target="footer53.xml"/><Relationship Id="rId136" Type="http://schemas.openxmlformats.org/officeDocument/2006/relationships/header" Target="header56.xml"/><Relationship Id="rId157" Type="http://schemas.openxmlformats.org/officeDocument/2006/relationships/header" Target="header64.xml"/><Relationship Id="rId178" Type="http://schemas.openxmlformats.org/officeDocument/2006/relationships/header" Target="header73.xml"/><Relationship Id="rId301" Type="http://schemas.openxmlformats.org/officeDocument/2006/relationships/header" Target="header134.xml"/><Relationship Id="rId322" Type="http://schemas.openxmlformats.org/officeDocument/2006/relationships/footer" Target="footer160.xml"/><Relationship Id="rId343" Type="http://schemas.openxmlformats.org/officeDocument/2006/relationships/header" Target="header156.xml"/><Relationship Id="rId364" Type="http://schemas.openxmlformats.org/officeDocument/2006/relationships/header" Target="header161.xml"/><Relationship Id="rId61" Type="http://schemas.openxmlformats.org/officeDocument/2006/relationships/header" Target="header20.xml"/><Relationship Id="rId82" Type="http://schemas.openxmlformats.org/officeDocument/2006/relationships/footer" Target="footer35.xml"/><Relationship Id="rId199" Type="http://schemas.openxmlformats.org/officeDocument/2006/relationships/footer" Target="footer99.xml"/><Relationship Id="rId203" Type="http://schemas.openxmlformats.org/officeDocument/2006/relationships/footer" Target="footer101.xml"/><Relationship Id="rId385" Type="http://schemas.openxmlformats.org/officeDocument/2006/relationships/header" Target="header164.xml"/><Relationship Id="rId19" Type="http://schemas.openxmlformats.org/officeDocument/2006/relationships/header" Target="header6.xml"/><Relationship Id="rId224" Type="http://schemas.openxmlformats.org/officeDocument/2006/relationships/header" Target="header96.xml"/><Relationship Id="rId245" Type="http://schemas.openxmlformats.org/officeDocument/2006/relationships/footer" Target="footer122.xml"/><Relationship Id="rId266" Type="http://schemas.openxmlformats.org/officeDocument/2006/relationships/header" Target="header117.xml"/><Relationship Id="rId287" Type="http://schemas.openxmlformats.org/officeDocument/2006/relationships/footer" Target="footer143.xml"/><Relationship Id="rId410" Type="http://schemas.openxmlformats.org/officeDocument/2006/relationships/footer" Target="footer215.xml"/><Relationship Id="rId431" Type="http://schemas.openxmlformats.org/officeDocument/2006/relationships/header" Target="header186.xml"/><Relationship Id="rId452" Type="http://schemas.openxmlformats.org/officeDocument/2006/relationships/footer" Target="footer236.xml"/><Relationship Id="rId473" Type="http://schemas.openxmlformats.org/officeDocument/2006/relationships/header" Target="header207.xml"/><Relationship Id="rId494" Type="http://schemas.openxmlformats.org/officeDocument/2006/relationships/footer" Target="footer257.xml"/><Relationship Id="rId508" Type="http://schemas.openxmlformats.org/officeDocument/2006/relationships/footer" Target="footer264.xml"/><Relationship Id="rId529" Type="http://schemas.openxmlformats.org/officeDocument/2006/relationships/header" Target="header235.xml"/><Relationship Id="rId30" Type="http://schemas.openxmlformats.org/officeDocument/2006/relationships/footer" Target="footer13.xml"/><Relationship Id="rId105" Type="http://schemas.openxmlformats.org/officeDocument/2006/relationships/footer" Target="footer48.xml"/><Relationship Id="rId126" Type="http://schemas.openxmlformats.org/officeDocument/2006/relationships/header" Target="header51.xml"/><Relationship Id="rId147" Type="http://schemas.openxmlformats.org/officeDocument/2006/relationships/footer" Target="footer71.xml"/><Relationship Id="rId168" Type="http://schemas.openxmlformats.org/officeDocument/2006/relationships/footer" Target="footer82.xml"/><Relationship Id="rId312" Type="http://schemas.openxmlformats.org/officeDocument/2006/relationships/footer" Target="footer155.xml"/><Relationship Id="rId333" Type="http://schemas.openxmlformats.org/officeDocument/2006/relationships/header" Target="header150.xml"/><Relationship Id="rId354" Type="http://schemas.openxmlformats.org/officeDocument/2006/relationships/footer" Target="footer177.xml"/><Relationship Id="rId540" Type="http://schemas.openxmlformats.org/officeDocument/2006/relationships/footer" Target="footer280.xml"/><Relationship Id="rId51" Type="http://schemas.openxmlformats.org/officeDocument/2006/relationships/footer" Target="footer19.xml"/><Relationship Id="rId72" Type="http://schemas.openxmlformats.org/officeDocument/2006/relationships/footer" Target="footer30.xml"/><Relationship Id="rId93" Type="http://schemas.openxmlformats.org/officeDocument/2006/relationships/footer" Target="footer42.xml"/><Relationship Id="rId189" Type="http://schemas.openxmlformats.org/officeDocument/2006/relationships/footer" Target="footer94.xml"/><Relationship Id="rId375" Type="http://schemas.openxmlformats.org/officeDocument/2006/relationships/footer" Target="footer195.xml"/><Relationship Id="rId396" Type="http://schemas.openxmlformats.org/officeDocument/2006/relationships/footer" Target="footer208.xml"/><Relationship Id="rId3" Type="http://schemas.openxmlformats.org/officeDocument/2006/relationships/settings" Target="settings.xml"/><Relationship Id="rId214" Type="http://schemas.openxmlformats.org/officeDocument/2006/relationships/header" Target="header91.xml"/><Relationship Id="rId235" Type="http://schemas.openxmlformats.org/officeDocument/2006/relationships/footer" Target="footer117.xml"/><Relationship Id="rId256" Type="http://schemas.openxmlformats.org/officeDocument/2006/relationships/header" Target="header112.xml"/><Relationship Id="rId277" Type="http://schemas.openxmlformats.org/officeDocument/2006/relationships/footer" Target="footer138.xml"/><Relationship Id="rId298" Type="http://schemas.openxmlformats.org/officeDocument/2006/relationships/footer" Target="footer148.xml"/><Relationship Id="rId400" Type="http://schemas.openxmlformats.org/officeDocument/2006/relationships/footer" Target="footer210.xml"/><Relationship Id="rId421" Type="http://schemas.openxmlformats.org/officeDocument/2006/relationships/header" Target="header181.xml"/><Relationship Id="rId442" Type="http://schemas.openxmlformats.org/officeDocument/2006/relationships/footer" Target="footer231.xml"/><Relationship Id="rId463" Type="http://schemas.openxmlformats.org/officeDocument/2006/relationships/header" Target="header202.xml"/><Relationship Id="rId484" Type="http://schemas.openxmlformats.org/officeDocument/2006/relationships/footer" Target="footer252.xml"/><Relationship Id="rId519" Type="http://schemas.openxmlformats.org/officeDocument/2006/relationships/header" Target="header230.xml"/><Relationship Id="rId116" Type="http://schemas.openxmlformats.org/officeDocument/2006/relationships/header" Target="header46.xml"/><Relationship Id="rId137" Type="http://schemas.openxmlformats.org/officeDocument/2006/relationships/footer" Target="footer64.xml"/><Relationship Id="rId158" Type="http://schemas.openxmlformats.org/officeDocument/2006/relationships/footer" Target="footer77.xml"/><Relationship Id="rId302" Type="http://schemas.openxmlformats.org/officeDocument/2006/relationships/footer" Target="footer150.xml"/><Relationship Id="rId323" Type="http://schemas.openxmlformats.org/officeDocument/2006/relationships/header" Target="header145.xml"/><Relationship Id="rId344" Type="http://schemas.openxmlformats.org/officeDocument/2006/relationships/header" Target="header157.xml"/><Relationship Id="rId530" Type="http://schemas.openxmlformats.org/officeDocument/2006/relationships/footer" Target="footer275.xml"/><Relationship Id="rId20" Type="http://schemas.openxmlformats.org/officeDocument/2006/relationships/footer" Target="footer8.xml"/><Relationship Id="rId41" Type="http://schemas.openxmlformats.org/officeDocument/2006/relationships/hyperlink" Target="https://indiankanoon.org/doc/1759799/" TargetMode="External"/><Relationship Id="rId62" Type="http://schemas.openxmlformats.org/officeDocument/2006/relationships/footer" Target="footer25.xml"/><Relationship Id="rId83" Type="http://schemas.openxmlformats.org/officeDocument/2006/relationships/header" Target="header31.xml"/><Relationship Id="rId179" Type="http://schemas.openxmlformats.org/officeDocument/2006/relationships/footer" Target="footer89.xml"/><Relationship Id="rId365" Type="http://schemas.openxmlformats.org/officeDocument/2006/relationships/footer" Target="footer186.xml"/><Relationship Id="rId386" Type="http://schemas.openxmlformats.org/officeDocument/2006/relationships/footer" Target="footer202.xml"/><Relationship Id="rId190" Type="http://schemas.openxmlformats.org/officeDocument/2006/relationships/header" Target="header79.xml"/><Relationship Id="rId204" Type="http://schemas.openxmlformats.org/officeDocument/2006/relationships/header" Target="header86.xml"/><Relationship Id="rId225" Type="http://schemas.openxmlformats.org/officeDocument/2006/relationships/footer" Target="footer112.xml"/><Relationship Id="rId246" Type="http://schemas.openxmlformats.org/officeDocument/2006/relationships/header" Target="header107.xml"/><Relationship Id="rId267" Type="http://schemas.openxmlformats.org/officeDocument/2006/relationships/footer" Target="footer133.xml"/><Relationship Id="rId288" Type="http://schemas.openxmlformats.org/officeDocument/2006/relationships/header" Target="header128.xml"/><Relationship Id="rId411" Type="http://schemas.openxmlformats.org/officeDocument/2006/relationships/header" Target="header176.xml"/><Relationship Id="rId432" Type="http://schemas.openxmlformats.org/officeDocument/2006/relationships/footer" Target="footer226.xml"/><Relationship Id="rId453" Type="http://schemas.openxmlformats.org/officeDocument/2006/relationships/header" Target="header197.xml"/><Relationship Id="rId474" Type="http://schemas.openxmlformats.org/officeDocument/2006/relationships/footer" Target="footer247.xml"/><Relationship Id="rId509" Type="http://schemas.openxmlformats.org/officeDocument/2006/relationships/header" Target="header225.xml"/><Relationship Id="rId106" Type="http://schemas.openxmlformats.org/officeDocument/2006/relationships/header" Target="header41.xml"/><Relationship Id="rId127" Type="http://schemas.openxmlformats.org/officeDocument/2006/relationships/footer" Target="footer59.xml"/><Relationship Id="rId313" Type="http://schemas.openxmlformats.org/officeDocument/2006/relationships/header" Target="header140.xml"/><Relationship Id="rId495" Type="http://schemas.openxmlformats.org/officeDocument/2006/relationships/header" Target="header218.xml"/><Relationship Id="rId10" Type="http://schemas.openxmlformats.org/officeDocument/2006/relationships/footer" Target="footer3.xml"/><Relationship Id="rId31" Type="http://schemas.openxmlformats.org/officeDocument/2006/relationships/header" Target="header12.xml"/><Relationship Id="rId52" Type="http://schemas.openxmlformats.org/officeDocument/2006/relationships/footer" Target="footer20.xml"/><Relationship Id="rId73" Type="http://schemas.openxmlformats.org/officeDocument/2006/relationships/header" Target="header26.xml"/><Relationship Id="rId94" Type="http://schemas.openxmlformats.org/officeDocument/2006/relationships/header" Target="header35.xml"/><Relationship Id="rId148" Type="http://schemas.openxmlformats.org/officeDocument/2006/relationships/footer" Target="footer72.xml"/><Relationship Id="rId169" Type="http://schemas.openxmlformats.org/officeDocument/2006/relationships/header" Target="header70.xml"/><Relationship Id="rId334" Type="http://schemas.openxmlformats.org/officeDocument/2006/relationships/footer" Target="footer166.xml"/><Relationship Id="rId355" Type="http://schemas.openxmlformats.org/officeDocument/2006/relationships/footer" Target="footer178.xml"/><Relationship Id="rId376" Type="http://schemas.openxmlformats.org/officeDocument/2006/relationships/footer" Target="footer196.xml"/><Relationship Id="rId397" Type="http://schemas.openxmlformats.org/officeDocument/2006/relationships/header" Target="header169.xml"/><Relationship Id="rId520" Type="http://schemas.openxmlformats.org/officeDocument/2006/relationships/footer" Target="footer270.xml"/><Relationship Id="rId541" Type="http://schemas.openxmlformats.org/officeDocument/2006/relationships/header" Target="header241.xml"/><Relationship Id="rId4" Type="http://schemas.openxmlformats.org/officeDocument/2006/relationships/webSettings" Target="webSettings.xml"/><Relationship Id="rId180" Type="http://schemas.openxmlformats.org/officeDocument/2006/relationships/header" Target="header74.xml"/><Relationship Id="rId215" Type="http://schemas.openxmlformats.org/officeDocument/2006/relationships/footer" Target="footer107.xml"/><Relationship Id="rId236" Type="http://schemas.openxmlformats.org/officeDocument/2006/relationships/header" Target="header102.xml"/><Relationship Id="rId257" Type="http://schemas.openxmlformats.org/officeDocument/2006/relationships/footer" Target="footer128.xml"/><Relationship Id="rId278" Type="http://schemas.openxmlformats.org/officeDocument/2006/relationships/header" Target="header123.xml"/><Relationship Id="rId401" Type="http://schemas.openxmlformats.org/officeDocument/2006/relationships/header" Target="header171.xml"/><Relationship Id="rId422" Type="http://schemas.openxmlformats.org/officeDocument/2006/relationships/footer" Target="footer221.xml"/><Relationship Id="rId443" Type="http://schemas.openxmlformats.org/officeDocument/2006/relationships/header" Target="header192.xml"/><Relationship Id="rId464" Type="http://schemas.openxmlformats.org/officeDocument/2006/relationships/footer" Target="footer242.xml"/><Relationship Id="rId303" Type="http://schemas.openxmlformats.org/officeDocument/2006/relationships/header" Target="header135.xml"/><Relationship Id="rId485" Type="http://schemas.openxmlformats.org/officeDocument/2006/relationships/header" Target="header213.xml"/><Relationship Id="rId42" Type="http://schemas.openxmlformats.org/officeDocument/2006/relationships/hyperlink" Target="https://indiankanoon.org/doc/1539376/" TargetMode="External"/><Relationship Id="rId84" Type="http://schemas.openxmlformats.org/officeDocument/2006/relationships/footer" Target="footer36.xml"/><Relationship Id="rId138" Type="http://schemas.openxmlformats.org/officeDocument/2006/relationships/header" Target="header57.xml"/><Relationship Id="rId345" Type="http://schemas.openxmlformats.org/officeDocument/2006/relationships/header" Target="header158.xml"/><Relationship Id="rId387" Type="http://schemas.openxmlformats.org/officeDocument/2006/relationships/footer" Target="footer203.xml"/><Relationship Id="rId510" Type="http://schemas.openxmlformats.org/officeDocument/2006/relationships/footer" Target="footer265.xml"/><Relationship Id="rId191" Type="http://schemas.openxmlformats.org/officeDocument/2006/relationships/footer" Target="footer95.xml"/><Relationship Id="rId205" Type="http://schemas.openxmlformats.org/officeDocument/2006/relationships/footer" Target="footer102.xml"/><Relationship Id="rId247" Type="http://schemas.openxmlformats.org/officeDocument/2006/relationships/footer" Target="footer123.xml"/><Relationship Id="rId412" Type="http://schemas.openxmlformats.org/officeDocument/2006/relationships/footer" Target="footer216.xml"/><Relationship Id="rId107" Type="http://schemas.openxmlformats.org/officeDocument/2006/relationships/footer" Target="footer49.xml"/><Relationship Id="rId289" Type="http://schemas.openxmlformats.org/officeDocument/2006/relationships/footer" Target="footer144.xml"/><Relationship Id="rId454" Type="http://schemas.openxmlformats.org/officeDocument/2006/relationships/footer" Target="footer237.xml"/><Relationship Id="rId496" Type="http://schemas.openxmlformats.org/officeDocument/2006/relationships/footer" Target="footer258.xml"/><Relationship Id="rId11" Type="http://schemas.openxmlformats.org/officeDocument/2006/relationships/header" Target="header2.xml"/><Relationship Id="rId53" Type="http://schemas.openxmlformats.org/officeDocument/2006/relationships/header" Target="header16.xml"/><Relationship Id="rId149" Type="http://schemas.openxmlformats.org/officeDocument/2006/relationships/header" Target="header60.xml"/><Relationship Id="rId314" Type="http://schemas.openxmlformats.org/officeDocument/2006/relationships/footer" Target="footer156.xml"/><Relationship Id="rId356" Type="http://schemas.openxmlformats.org/officeDocument/2006/relationships/footer" Target="footer179.xml"/><Relationship Id="rId398" Type="http://schemas.openxmlformats.org/officeDocument/2006/relationships/footer" Target="footer209.xml"/><Relationship Id="rId521" Type="http://schemas.openxmlformats.org/officeDocument/2006/relationships/header" Target="header231.xml"/><Relationship Id="rId95" Type="http://schemas.openxmlformats.org/officeDocument/2006/relationships/footer" Target="footer43.xml"/><Relationship Id="rId160" Type="http://schemas.openxmlformats.org/officeDocument/2006/relationships/footer" Target="footer78.xml"/><Relationship Id="rId216" Type="http://schemas.openxmlformats.org/officeDocument/2006/relationships/header" Target="header92.xml"/><Relationship Id="rId423" Type="http://schemas.openxmlformats.org/officeDocument/2006/relationships/header" Target="header182.xml"/><Relationship Id="rId258" Type="http://schemas.openxmlformats.org/officeDocument/2006/relationships/header" Target="header113.xml"/><Relationship Id="rId465" Type="http://schemas.openxmlformats.org/officeDocument/2006/relationships/header" Target="header203.xml"/><Relationship Id="rId22" Type="http://schemas.openxmlformats.org/officeDocument/2006/relationships/footer" Target="footer9.xml"/><Relationship Id="rId64" Type="http://schemas.openxmlformats.org/officeDocument/2006/relationships/footer" Target="footer26.xml"/><Relationship Id="rId118" Type="http://schemas.openxmlformats.org/officeDocument/2006/relationships/header" Target="header47.xml"/><Relationship Id="rId325" Type="http://schemas.openxmlformats.org/officeDocument/2006/relationships/header" Target="header146.xml"/><Relationship Id="rId367" Type="http://schemas.openxmlformats.org/officeDocument/2006/relationships/footer" Target="footer188.xml"/><Relationship Id="rId532" Type="http://schemas.openxmlformats.org/officeDocument/2006/relationships/footer" Target="footer276.xml"/><Relationship Id="rId171" Type="http://schemas.openxmlformats.org/officeDocument/2006/relationships/footer" Target="footer84.xml"/><Relationship Id="rId227" Type="http://schemas.openxmlformats.org/officeDocument/2006/relationships/footer" Target="footer113.xml"/><Relationship Id="rId269" Type="http://schemas.openxmlformats.org/officeDocument/2006/relationships/footer" Target="footer134.xml"/><Relationship Id="rId434" Type="http://schemas.openxmlformats.org/officeDocument/2006/relationships/footer" Target="footer227.xml"/><Relationship Id="rId476" Type="http://schemas.openxmlformats.org/officeDocument/2006/relationships/footer" Target="footer248.xml"/><Relationship Id="rId33" Type="http://schemas.openxmlformats.org/officeDocument/2006/relationships/hyperlink" Target="https://indiankanoon.org/doc/1759799/" TargetMode="External"/><Relationship Id="rId129" Type="http://schemas.openxmlformats.org/officeDocument/2006/relationships/footer" Target="footer60.xml"/><Relationship Id="rId280" Type="http://schemas.openxmlformats.org/officeDocument/2006/relationships/header" Target="header124.xml"/><Relationship Id="rId336" Type="http://schemas.openxmlformats.org/officeDocument/2006/relationships/footer" Target="footer167.xml"/><Relationship Id="rId501" Type="http://schemas.openxmlformats.org/officeDocument/2006/relationships/header" Target="header221.xml"/><Relationship Id="rId543" Type="http://schemas.openxmlformats.org/officeDocument/2006/relationships/header" Target="header242.xml"/><Relationship Id="rId75" Type="http://schemas.openxmlformats.org/officeDocument/2006/relationships/header" Target="header27.xml"/><Relationship Id="rId140" Type="http://schemas.openxmlformats.org/officeDocument/2006/relationships/header" Target="header58.xml"/><Relationship Id="rId182" Type="http://schemas.openxmlformats.org/officeDocument/2006/relationships/header" Target="header75.xml"/><Relationship Id="rId378" Type="http://schemas.openxmlformats.org/officeDocument/2006/relationships/hyperlink" Target="http://www.outlookindia.com/magazine/story/death-for-moustache/299405" TargetMode="External"/><Relationship Id="rId403" Type="http://schemas.openxmlformats.org/officeDocument/2006/relationships/header" Target="header172.xml"/><Relationship Id="rId6" Type="http://schemas.openxmlformats.org/officeDocument/2006/relationships/endnotes" Target="endnotes.xml"/><Relationship Id="rId238" Type="http://schemas.openxmlformats.org/officeDocument/2006/relationships/header" Target="header103.xml"/><Relationship Id="rId445" Type="http://schemas.openxmlformats.org/officeDocument/2006/relationships/header" Target="header193.xml"/><Relationship Id="rId487" Type="http://schemas.openxmlformats.org/officeDocument/2006/relationships/header" Target="header214.xml"/><Relationship Id="rId291" Type="http://schemas.openxmlformats.org/officeDocument/2006/relationships/footer" Target="footer145.xml"/><Relationship Id="rId305" Type="http://schemas.openxmlformats.org/officeDocument/2006/relationships/header" Target="header136.xml"/><Relationship Id="rId347" Type="http://schemas.openxmlformats.org/officeDocument/2006/relationships/footer" Target="footer171.xml"/><Relationship Id="rId512" Type="http://schemas.openxmlformats.org/officeDocument/2006/relationships/footer" Target="footer266.xml"/><Relationship Id="rId44" Type="http://schemas.openxmlformats.org/officeDocument/2006/relationships/header" Target="header13.xml"/><Relationship Id="rId86" Type="http://schemas.openxmlformats.org/officeDocument/2006/relationships/footer" Target="footer37.xml"/><Relationship Id="rId151" Type="http://schemas.openxmlformats.org/officeDocument/2006/relationships/header" Target="header61.xml"/><Relationship Id="rId389" Type="http://schemas.openxmlformats.org/officeDocument/2006/relationships/footer" Target="footer205.xml"/><Relationship Id="rId193" Type="http://schemas.openxmlformats.org/officeDocument/2006/relationships/footer" Target="footer96.xml"/><Relationship Id="rId207" Type="http://schemas.openxmlformats.org/officeDocument/2006/relationships/footer" Target="footer103.xml"/><Relationship Id="rId249" Type="http://schemas.openxmlformats.org/officeDocument/2006/relationships/footer" Target="footer124.xml"/><Relationship Id="rId414" Type="http://schemas.openxmlformats.org/officeDocument/2006/relationships/footer" Target="footer217.xml"/><Relationship Id="rId456" Type="http://schemas.openxmlformats.org/officeDocument/2006/relationships/footer" Target="footer238.xml"/><Relationship Id="rId498" Type="http://schemas.openxmlformats.org/officeDocument/2006/relationships/footer" Target="footer259.xml"/><Relationship Id="rId13" Type="http://schemas.openxmlformats.org/officeDocument/2006/relationships/header" Target="header3.xml"/><Relationship Id="rId109" Type="http://schemas.openxmlformats.org/officeDocument/2006/relationships/footer" Target="footer50.xml"/><Relationship Id="rId260" Type="http://schemas.openxmlformats.org/officeDocument/2006/relationships/header" Target="header114.xml"/><Relationship Id="rId316" Type="http://schemas.openxmlformats.org/officeDocument/2006/relationships/footer" Target="footer157.xml"/><Relationship Id="rId523" Type="http://schemas.openxmlformats.org/officeDocument/2006/relationships/header" Target="header232.xml"/><Relationship Id="rId55" Type="http://schemas.openxmlformats.org/officeDocument/2006/relationships/header" Target="header17.xml"/><Relationship Id="rId97" Type="http://schemas.openxmlformats.org/officeDocument/2006/relationships/footer" Target="footer44.xml"/><Relationship Id="rId120" Type="http://schemas.openxmlformats.org/officeDocument/2006/relationships/header" Target="header48.xml"/><Relationship Id="rId358" Type="http://schemas.openxmlformats.org/officeDocument/2006/relationships/footer" Target="footer181.xml"/><Relationship Id="rId162" Type="http://schemas.openxmlformats.org/officeDocument/2006/relationships/footer" Target="footer79.xml"/><Relationship Id="rId218" Type="http://schemas.openxmlformats.org/officeDocument/2006/relationships/header" Target="header93.xml"/><Relationship Id="rId425" Type="http://schemas.openxmlformats.org/officeDocument/2006/relationships/header" Target="header183.xml"/><Relationship Id="rId467" Type="http://schemas.openxmlformats.org/officeDocument/2006/relationships/header" Target="header204.xml"/><Relationship Id="rId271" Type="http://schemas.openxmlformats.org/officeDocument/2006/relationships/footer" Target="footer135.xml"/><Relationship Id="rId24" Type="http://schemas.openxmlformats.org/officeDocument/2006/relationships/footer" Target="footer10.xml"/><Relationship Id="rId66" Type="http://schemas.openxmlformats.org/officeDocument/2006/relationships/footer" Target="footer27.xml"/><Relationship Id="rId131" Type="http://schemas.openxmlformats.org/officeDocument/2006/relationships/footer" Target="footer61.xml"/><Relationship Id="rId327" Type="http://schemas.openxmlformats.org/officeDocument/2006/relationships/header" Target="header147.xml"/><Relationship Id="rId369" Type="http://schemas.openxmlformats.org/officeDocument/2006/relationships/footer" Target="footer189.xml"/><Relationship Id="rId534" Type="http://schemas.openxmlformats.org/officeDocument/2006/relationships/footer" Target="footer277.xml"/><Relationship Id="rId173" Type="http://schemas.openxmlformats.org/officeDocument/2006/relationships/footer" Target="footer86.xml"/><Relationship Id="rId229" Type="http://schemas.openxmlformats.org/officeDocument/2006/relationships/footer" Target="footer114.xml"/><Relationship Id="rId380" Type="http://schemas.openxmlformats.org/officeDocument/2006/relationships/footer" Target="footer198.xml"/><Relationship Id="rId436" Type="http://schemas.openxmlformats.org/officeDocument/2006/relationships/footer" Target="footer228.xml"/><Relationship Id="rId240" Type="http://schemas.openxmlformats.org/officeDocument/2006/relationships/header" Target="header104.xml"/><Relationship Id="rId478" Type="http://schemas.openxmlformats.org/officeDocument/2006/relationships/footer" Target="footer249.xml"/><Relationship Id="rId35" Type="http://schemas.openxmlformats.org/officeDocument/2006/relationships/hyperlink" Target="https://indiankanoon.org/doc/1539376/" TargetMode="External"/><Relationship Id="rId77" Type="http://schemas.openxmlformats.org/officeDocument/2006/relationships/header" Target="header28.xml"/><Relationship Id="rId100" Type="http://schemas.openxmlformats.org/officeDocument/2006/relationships/header" Target="header38.xml"/><Relationship Id="rId282" Type="http://schemas.openxmlformats.org/officeDocument/2006/relationships/header" Target="header125.xml"/><Relationship Id="rId338" Type="http://schemas.openxmlformats.org/officeDocument/2006/relationships/footer" Target="footer168.xml"/><Relationship Id="rId503" Type="http://schemas.openxmlformats.org/officeDocument/2006/relationships/header" Target="header222.xml"/><Relationship Id="rId545" Type="http://schemas.openxmlformats.org/officeDocument/2006/relationships/fontTable" Target="fontTable.xml"/><Relationship Id="rId8" Type="http://schemas.openxmlformats.org/officeDocument/2006/relationships/footer" Target="footer1.xml"/><Relationship Id="rId142" Type="http://schemas.openxmlformats.org/officeDocument/2006/relationships/header" Target="header59.xml"/><Relationship Id="rId184" Type="http://schemas.openxmlformats.org/officeDocument/2006/relationships/header" Target="header76.xml"/><Relationship Id="rId391" Type="http://schemas.openxmlformats.org/officeDocument/2006/relationships/header" Target="header166.xml"/><Relationship Id="rId405" Type="http://schemas.openxmlformats.org/officeDocument/2006/relationships/header" Target="header173.xml"/><Relationship Id="rId447" Type="http://schemas.openxmlformats.org/officeDocument/2006/relationships/header" Target="header194.xml"/><Relationship Id="rId251" Type="http://schemas.openxmlformats.org/officeDocument/2006/relationships/footer" Target="footer125.xml"/><Relationship Id="rId489" Type="http://schemas.openxmlformats.org/officeDocument/2006/relationships/header" Target="header215.xml"/><Relationship Id="rId46" Type="http://schemas.openxmlformats.org/officeDocument/2006/relationships/header" Target="header14.xml"/><Relationship Id="rId293" Type="http://schemas.openxmlformats.org/officeDocument/2006/relationships/header" Target="header130.xml"/><Relationship Id="rId307" Type="http://schemas.openxmlformats.org/officeDocument/2006/relationships/header" Target="header137.xml"/><Relationship Id="rId349" Type="http://schemas.openxmlformats.org/officeDocument/2006/relationships/footer" Target="footer173.xml"/><Relationship Id="rId514" Type="http://schemas.openxmlformats.org/officeDocument/2006/relationships/footer" Target="footer26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95108</Words>
  <Characters>542121</Characters>
  <Application>Microsoft Office Word</Application>
  <DocSecurity>0</DocSecurity>
  <Lines>4517</Lines>
  <Paragraphs>1271</Paragraphs>
  <ScaleCrop>false</ScaleCrop>
  <Company/>
  <LinksUpToDate>false</LinksUpToDate>
  <CharactersWithSpaces>635958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Mantu</dc:creator>
  <cp:lastModifiedBy>Mantu</cp:lastModifiedBy>
  <cp:revision>2</cp:revision>
  <dcterms:created xsi:type="dcterms:W3CDTF">2018-10-15T12:13:00Z</dcterms:created>
  <dcterms:modified xsi:type="dcterms:W3CDTF">2018-10-15T12:13:00Z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2018-09-28T00:00:00Z</vt:filetime>
  </property>
  <property fmtid="{D5CDD505-2E9C-101B-9397-08002B2CF9AE}" pid="3" name="Creator">
    <vt:lpwstr>pdftk 2.02 - www.pdftk.com</vt:lpwstr>
  </property>
  <property fmtid="{D5CDD505-2E9C-101B-9397-08002B2CF9AE}" pid="4" name="LastSaved">
    <vt:filetime>2018-10-15T00:00:00Z</vt:filetime>
  </property>
</Properties>
</file>