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80D" w:rsidRPr="005F280D" w:rsidRDefault="005F280D" w:rsidP="005F280D">
      <w:pPr>
        <w:tabs>
          <w:tab w:val="left" w:pos="1935"/>
        </w:tabs>
        <w:jc w:val="center"/>
        <w:rPr>
          <w:b/>
          <w:bCs/>
          <w:szCs w:val="20"/>
        </w:rPr>
      </w:pPr>
      <w:r w:rsidRPr="005F280D">
        <w:rPr>
          <w:b/>
          <w:bCs/>
          <w:szCs w:val="20"/>
        </w:rPr>
        <w:t>SUPREME COURT OF INDIA</w:t>
      </w:r>
    </w:p>
    <w:p w:rsidR="005F280D" w:rsidRPr="005F280D" w:rsidRDefault="005F280D" w:rsidP="005F280D">
      <w:pPr>
        <w:tabs>
          <w:tab w:val="left" w:pos="1935"/>
        </w:tabs>
        <w:jc w:val="center"/>
        <w:rPr>
          <w:szCs w:val="20"/>
        </w:rPr>
      </w:pPr>
    </w:p>
    <w:p w:rsidR="005F280D" w:rsidRDefault="005F280D" w:rsidP="005F280D">
      <w:pPr>
        <w:tabs>
          <w:tab w:val="left" w:pos="1935"/>
        </w:tabs>
        <w:jc w:val="center"/>
        <w:rPr>
          <w:szCs w:val="20"/>
        </w:rPr>
      </w:pPr>
      <w:r>
        <w:rPr>
          <w:szCs w:val="20"/>
        </w:rPr>
        <w:t>M.</w:t>
      </w:r>
      <w:r w:rsidRPr="005F280D">
        <w:rPr>
          <w:szCs w:val="20"/>
        </w:rPr>
        <w:t>Arjunan</w:t>
      </w:r>
    </w:p>
    <w:p w:rsidR="005F280D" w:rsidRPr="005F280D" w:rsidRDefault="005F280D" w:rsidP="005F280D">
      <w:pPr>
        <w:tabs>
          <w:tab w:val="left" w:pos="1935"/>
        </w:tabs>
        <w:jc w:val="center"/>
        <w:rPr>
          <w:szCs w:val="20"/>
        </w:rPr>
      </w:pPr>
    </w:p>
    <w:p w:rsidR="005F280D" w:rsidRDefault="005F280D" w:rsidP="005F280D">
      <w:pPr>
        <w:tabs>
          <w:tab w:val="left" w:pos="1935"/>
        </w:tabs>
        <w:jc w:val="center"/>
        <w:rPr>
          <w:szCs w:val="20"/>
        </w:rPr>
      </w:pPr>
      <w:r>
        <w:rPr>
          <w:szCs w:val="20"/>
        </w:rPr>
        <w:t>Vs.</w:t>
      </w:r>
    </w:p>
    <w:p w:rsidR="005F280D" w:rsidRPr="005F280D" w:rsidRDefault="005F280D" w:rsidP="005F280D">
      <w:pPr>
        <w:tabs>
          <w:tab w:val="left" w:pos="1935"/>
        </w:tabs>
        <w:jc w:val="center"/>
        <w:rPr>
          <w:szCs w:val="20"/>
        </w:rPr>
      </w:pPr>
    </w:p>
    <w:p w:rsidR="005F280D" w:rsidRDefault="005F280D" w:rsidP="005F280D">
      <w:pPr>
        <w:tabs>
          <w:tab w:val="left" w:pos="1935"/>
        </w:tabs>
        <w:jc w:val="center"/>
        <w:rPr>
          <w:szCs w:val="20"/>
        </w:rPr>
      </w:pPr>
      <w:r>
        <w:rPr>
          <w:szCs w:val="20"/>
        </w:rPr>
        <w:t>The State Rep.by Its Inspector o</w:t>
      </w:r>
      <w:r w:rsidRPr="005F280D">
        <w:rPr>
          <w:szCs w:val="20"/>
        </w:rPr>
        <w:t>f Police</w:t>
      </w:r>
    </w:p>
    <w:p w:rsidR="005F280D" w:rsidRPr="005F280D" w:rsidRDefault="005F280D" w:rsidP="005F280D">
      <w:pPr>
        <w:tabs>
          <w:tab w:val="left" w:pos="1935"/>
        </w:tabs>
        <w:jc w:val="center"/>
        <w:rPr>
          <w:szCs w:val="20"/>
        </w:rPr>
      </w:pPr>
    </w:p>
    <w:p w:rsidR="005F280D" w:rsidRDefault="005F280D" w:rsidP="005F280D">
      <w:pPr>
        <w:tabs>
          <w:tab w:val="left" w:pos="1935"/>
        </w:tabs>
        <w:jc w:val="center"/>
        <w:rPr>
          <w:szCs w:val="20"/>
        </w:rPr>
      </w:pPr>
      <w:r>
        <w:rPr>
          <w:szCs w:val="20"/>
        </w:rPr>
        <w:t>Crl.A.No.1550 of</w:t>
      </w:r>
      <w:r w:rsidRPr="005F280D">
        <w:rPr>
          <w:szCs w:val="20"/>
        </w:rPr>
        <w:t xml:space="preserve"> 2018</w:t>
      </w:r>
    </w:p>
    <w:p w:rsidR="005F280D" w:rsidRDefault="005F280D" w:rsidP="005F280D">
      <w:pPr>
        <w:tabs>
          <w:tab w:val="left" w:pos="1935"/>
        </w:tabs>
        <w:jc w:val="center"/>
        <w:rPr>
          <w:szCs w:val="20"/>
        </w:rPr>
      </w:pPr>
    </w:p>
    <w:p w:rsidR="005F280D" w:rsidRDefault="005F280D" w:rsidP="005F280D">
      <w:pPr>
        <w:tabs>
          <w:tab w:val="left" w:pos="1935"/>
        </w:tabs>
        <w:jc w:val="center"/>
        <w:rPr>
          <w:szCs w:val="20"/>
        </w:rPr>
      </w:pPr>
      <w:r>
        <w:rPr>
          <w:szCs w:val="20"/>
        </w:rPr>
        <w:t>(R.Banumathi and Indira Banerjee,JJ.,)</w:t>
      </w:r>
    </w:p>
    <w:p w:rsidR="005F280D" w:rsidRDefault="005F280D" w:rsidP="005F280D">
      <w:pPr>
        <w:tabs>
          <w:tab w:val="left" w:pos="1935"/>
        </w:tabs>
        <w:jc w:val="center"/>
        <w:rPr>
          <w:szCs w:val="20"/>
        </w:rPr>
      </w:pPr>
    </w:p>
    <w:p w:rsidR="005F280D" w:rsidRDefault="005F280D" w:rsidP="005F280D">
      <w:pPr>
        <w:tabs>
          <w:tab w:val="left" w:pos="1935"/>
        </w:tabs>
        <w:jc w:val="center"/>
        <w:rPr>
          <w:szCs w:val="20"/>
        </w:rPr>
      </w:pPr>
      <w:r>
        <w:rPr>
          <w:szCs w:val="20"/>
        </w:rPr>
        <w:t>04.12.2018</w:t>
      </w:r>
    </w:p>
    <w:p w:rsidR="005F280D" w:rsidRDefault="005F280D" w:rsidP="005F280D">
      <w:pPr>
        <w:tabs>
          <w:tab w:val="left" w:pos="1935"/>
        </w:tabs>
        <w:jc w:val="center"/>
        <w:rPr>
          <w:szCs w:val="20"/>
        </w:rPr>
      </w:pPr>
    </w:p>
    <w:p w:rsidR="005F280D" w:rsidRPr="005F280D" w:rsidRDefault="005F280D" w:rsidP="005F280D">
      <w:pPr>
        <w:tabs>
          <w:tab w:val="left" w:pos="1935"/>
        </w:tabs>
        <w:jc w:val="center"/>
        <w:rPr>
          <w:b/>
          <w:bCs/>
          <w:szCs w:val="20"/>
        </w:rPr>
      </w:pPr>
      <w:r w:rsidRPr="005F280D">
        <w:rPr>
          <w:b/>
          <w:bCs/>
          <w:szCs w:val="20"/>
        </w:rPr>
        <w:t>JUDGMENT</w:t>
      </w:r>
    </w:p>
    <w:p w:rsidR="005F280D" w:rsidRPr="005F280D" w:rsidRDefault="005F280D" w:rsidP="005F280D">
      <w:pPr>
        <w:tabs>
          <w:tab w:val="left" w:pos="1935"/>
        </w:tabs>
        <w:jc w:val="both"/>
        <w:rPr>
          <w:b/>
          <w:bCs/>
          <w:szCs w:val="20"/>
        </w:rPr>
      </w:pPr>
    </w:p>
    <w:p w:rsidR="005F280D" w:rsidRPr="005F280D" w:rsidRDefault="005F280D" w:rsidP="005F280D">
      <w:pPr>
        <w:tabs>
          <w:tab w:val="left" w:pos="1935"/>
        </w:tabs>
        <w:jc w:val="both"/>
        <w:rPr>
          <w:b/>
          <w:bCs/>
          <w:szCs w:val="20"/>
        </w:rPr>
      </w:pPr>
      <w:r w:rsidRPr="005F280D">
        <w:rPr>
          <w:b/>
          <w:bCs/>
          <w:szCs w:val="20"/>
        </w:rPr>
        <w:t>R.Banumathi,J.,</w:t>
      </w:r>
    </w:p>
    <w:p w:rsidR="005F280D" w:rsidRDefault="005F280D" w:rsidP="005F280D">
      <w:pPr>
        <w:tabs>
          <w:tab w:val="left" w:pos="1935"/>
        </w:tabs>
        <w:jc w:val="both"/>
        <w:rPr>
          <w:szCs w:val="20"/>
        </w:rPr>
      </w:pPr>
    </w:p>
    <w:p w:rsidR="005F280D" w:rsidRPr="005F280D" w:rsidRDefault="005F280D" w:rsidP="005F280D">
      <w:pPr>
        <w:tabs>
          <w:tab w:val="left" w:pos="1935"/>
        </w:tabs>
        <w:jc w:val="both"/>
        <w:rPr>
          <w:szCs w:val="20"/>
        </w:rPr>
      </w:pPr>
      <w:r>
        <w:rPr>
          <w:szCs w:val="20"/>
        </w:rPr>
        <w:t>SLP(Crl.)No.382 of 2016</w:t>
      </w:r>
    </w:p>
    <w:p w:rsidR="005F280D" w:rsidRPr="005F280D" w:rsidRDefault="005F280D" w:rsidP="005F280D">
      <w:pPr>
        <w:tabs>
          <w:tab w:val="left" w:pos="1935"/>
        </w:tabs>
        <w:jc w:val="both"/>
        <w:rPr>
          <w:szCs w:val="20"/>
        </w:rPr>
      </w:pPr>
    </w:p>
    <w:p w:rsidR="005F280D" w:rsidRPr="005F280D" w:rsidRDefault="005F280D" w:rsidP="005F280D">
      <w:pPr>
        <w:tabs>
          <w:tab w:val="left" w:pos="1935"/>
        </w:tabs>
        <w:jc w:val="both"/>
        <w:rPr>
          <w:szCs w:val="20"/>
        </w:rPr>
      </w:pPr>
      <w:r>
        <w:rPr>
          <w:szCs w:val="20"/>
        </w:rPr>
        <w:t>1.</w:t>
      </w:r>
      <w:r w:rsidRPr="005F280D">
        <w:rPr>
          <w:szCs w:val="20"/>
        </w:rPr>
        <w:t xml:space="preserve"> Leave granted.</w:t>
      </w:r>
    </w:p>
    <w:p w:rsidR="005F280D" w:rsidRDefault="005F280D" w:rsidP="005F280D">
      <w:pPr>
        <w:tabs>
          <w:tab w:val="left" w:pos="1935"/>
        </w:tabs>
        <w:jc w:val="both"/>
        <w:rPr>
          <w:szCs w:val="20"/>
        </w:rPr>
      </w:pPr>
      <w:r>
        <w:rPr>
          <w:szCs w:val="20"/>
        </w:rPr>
        <w:t>2.</w:t>
      </w:r>
      <w:r w:rsidRPr="005F280D">
        <w:rPr>
          <w:szCs w:val="20"/>
        </w:rPr>
        <w:t xml:space="preserve"> Thi</w:t>
      </w:r>
      <w:r>
        <w:rPr>
          <w:szCs w:val="20"/>
        </w:rPr>
        <w:t xml:space="preserve">s appeal arises out of judgment of the </w:t>
      </w:r>
      <w:r w:rsidRPr="005F280D">
        <w:rPr>
          <w:szCs w:val="20"/>
        </w:rPr>
        <w:t>High</w:t>
      </w:r>
      <w:r w:rsidRPr="005F280D">
        <w:rPr>
          <w:szCs w:val="20"/>
        </w:rPr>
        <w:tab/>
      </w:r>
      <w:r>
        <w:rPr>
          <w:szCs w:val="20"/>
        </w:rPr>
        <w:t xml:space="preserve"> </w:t>
      </w:r>
      <w:r w:rsidRPr="005F280D">
        <w:rPr>
          <w:szCs w:val="20"/>
        </w:rPr>
        <w:t>Court</w:t>
      </w:r>
      <w:r w:rsidRPr="005F280D">
        <w:rPr>
          <w:szCs w:val="20"/>
        </w:rPr>
        <w:tab/>
        <w:t>of</w:t>
      </w:r>
      <w:r>
        <w:rPr>
          <w:szCs w:val="20"/>
        </w:rPr>
        <w:t xml:space="preserve"> </w:t>
      </w:r>
      <w:r w:rsidRPr="005F280D">
        <w:rPr>
          <w:szCs w:val="20"/>
        </w:rPr>
        <w:t>Judicature at Madras in</w:t>
      </w:r>
      <w:r>
        <w:rPr>
          <w:szCs w:val="20"/>
        </w:rPr>
        <w:t xml:space="preserve"> Criminal Appeal No.375 of</w:t>
      </w:r>
      <w:r>
        <w:rPr>
          <w:szCs w:val="20"/>
        </w:rPr>
        <w:tab/>
        <w:t xml:space="preserve">2007 dated </w:t>
      </w:r>
      <w:r w:rsidRPr="005F280D">
        <w:rPr>
          <w:szCs w:val="20"/>
        </w:rPr>
        <w:t>7</w:t>
      </w:r>
      <w:r w:rsidRPr="005F280D">
        <w:rPr>
          <w:szCs w:val="20"/>
          <w:vertAlign w:val="superscript"/>
        </w:rPr>
        <w:t>th</w:t>
      </w:r>
      <w:r>
        <w:rPr>
          <w:szCs w:val="20"/>
        </w:rPr>
        <w:t xml:space="preserve"> </w:t>
      </w:r>
      <w:r w:rsidRPr="005F280D">
        <w:rPr>
          <w:szCs w:val="20"/>
        </w:rPr>
        <w:t>September, 2015 in and by which the High Court affirmed the conviction of the appellant-accused under Section 306 I.P.C. and reduc</w:t>
      </w:r>
      <w:r>
        <w:rPr>
          <w:szCs w:val="20"/>
        </w:rPr>
        <w:t xml:space="preserve">ed the sentence of imprisonment of </w:t>
      </w:r>
      <w:r w:rsidRPr="005F280D">
        <w:rPr>
          <w:szCs w:val="20"/>
        </w:rPr>
        <w:t>the</w:t>
      </w:r>
      <w:r w:rsidRPr="005F280D">
        <w:rPr>
          <w:szCs w:val="20"/>
        </w:rPr>
        <w:tab/>
        <w:t>appellant from</w:t>
      </w:r>
      <w:r>
        <w:rPr>
          <w:szCs w:val="20"/>
        </w:rPr>
        <w:t xml:space="preserve"> </w:t>
      </w:r>
      <w:r w:rsidRPr="005F280D">
        <w:rPr>
          <w:szCs w:val="20"/>
        </w:rPr>
        <w:t>three years to three months.</w:t>
      </w:r>
      <w:r>
        <w:rPr>
          <w:szCs w:val="20"/>
        </w:rPr>
        <w:t xml:space="preserve"> </w:t>
      </w:r>
      <w:r w:rsidRPr="005F280D">
        <w:rPr>
          <w:szCs w:val="20"/>
        </w:rPr>
        <w:t>accused demanded Rs.50,000/- towards the interest and</w:t>
      </w:r>
      <w:r>
        <w:rPr>
          <w:szCs w:val="20"/>
        </w:rPr>
        <w:t xml:space="preserve"> </w:t>
      </w:r>
      <w:r w:rsidRPr="005F280D">
        <w:rPr>
          <w:szCs w:val="20"/>
        </w:rPr>
        <w:t>Date</w:t>
      </w:r>
      <w:r w:rsidRPr="005F280D">
        <w:rPr>
          <w:szCs w:val="20"/>
        </w:rPr>
        <w:tab/>
        <w:t>'</w:t>
      </w:r>
      <w:r>
        <w:rPr>
          <w:szCs w:val="20"/>
        </w:rPr>
        <w:t xml:space="preserve"> </w:t>
      </w:r>
      <w:r w:rsidRPr="005F280D">
        <w:rPr>
          <w:szCs w:val="20"/>
        </w:rPr>
        <w:t>another Rs.50,000/- towards principal amount. On 21st June, 2003, in the presence of some witnesses, the deceased stated</w:t>
      </w:r>
    </w:p>
    <w:p w:rsidR="005F280D" w:rsidRPr="005F280D" w:rsidRDefault="005F280D" w:rsidP="005F280D">
      <w:pPr>
        <w:tabs>
          <w:tab w:val="left" w:pos="1935"/>
        </w:tabs>
        <w:jc w:val="both"/>
        <w:rPr>
          <w:szCs w:val="20"/>
        </w:rPr>
      </w:pPr>
    </w:p>
    <w:p w:rsidR="005F280D" w:rsidRDefault="005F280D" w:rsidP="005F280D">
      <w:pPr>
        <w:tabs>
          <w:tab w:val="left" w:pos="1935"/>
        </w:tabs>
        <w:jc w:val="both"/>
        <w:rPr>
          <w:szCs w:val="20"/>
        </w:rPr>
      </w:pPr>
      <w:r>
        <w:rPr>
          <w:szCs w:val="20"/>
        </w:rPr>
        <w:t>3.</w:t>
      </w:r>
      <w:r w:rsidRPr="005F280D">
        <w:rPr>
          <w:szCs w:val="20"/>
        </w:rPr>
        <w:t xml:space="preserve"> Case of the prosecution is that on 2nd December, 2001, the appellant-accused advanced a sum of Rs.80,000/- by way of debt to the deceased, by name - Rajagopal, and to that effect he obtained a promissory note. On 7th December, 2002, the</w:t>
      </w:r>
      <w:r>
        <w:rPr>
          <w:szCs w:val="20"/>
        </w:rPr>
        <w:t xml:space="preserve">  </w:t>
      </w:r>
      <w:r w:rsidRPr="005F280D">
        <w:rPr>
          <w:szCs w:val="20"/>
        </w:rPr>
        <w:t>that he would discharge the</w:t>
      </w:r>
      <w:r>
        <w:rPr>
          <w:szCs w:val="20"/>
        </w:rPr>
        <w:t xml:space="preserve"> entire loan amount; but he was </w:t>
      </w:r>
      <w:r w:rsidRPr="005F280D">
        <w:rPr>
          <w:szCs w:val="20"/>
        </w:rPr>
        <w:t>not</w:t>
      </w:r>
      <w:r>
        <w:rPr>
          <w:szCs w:val="20"/>
        </w:rPr>
        <w:t xml:space="preserve"> </w:t>
      </w:r>
      <w:r w:rsidRPr="005F280D">
        <w:rPr>
          <w:szCs w:val="20"/>
        </w:rPr>
        <w:t>able to keep up his promise.</w:t>
      </w:r>
      <w:r w:rsidRPr="005F280D">
        <w:rPr>
          <w:szCs w:val="20"/>
        </w:rPr>
        <w:tab/>
      </w:r>
      <w:r>
        <w:rPr>
          <w:szCs w:val="20"/>
        </w:rPr>
        <w:t xml:space="preserve"> Due to the </w:t>
      </w:r>
      <w:r w:rsidRPr="005F280D">
        <w:rPr>
          <w:szCs w:val="20"/>
        </w:rPr>
        <w:t>alleged torture by</w:t>
      </w:r>
      <w:r>
        <w:rPr>
          <w:szCs w:val="20"/>
        </w:rPr>
        <w:t xml:space="preserve"> </w:t>
      </w:r>
      <w:r w:rsidRPr="005F280D">
        <w:rPr>
          <w:szCs w:val="20"/>
        </w:rPr>
        <w:t>the</w:t>
      </w:r>
      <w:r>
        <w:rPr>
          <w:szCs w:val="20"/>
        </w:rPr>
        <w:t xml:space="preserve"> </w:t>
      </w:r>
      <w:r w:rsidRPr="005F280D">
        <w:rPr>
          <w:szCs w:val="20"/>
        </w:rPr>
        <w:t>appellant-accused, on 21st June, 2003 at about 11:50 p.m. the deceased committed suicide. The deceased is said to have left suicide note (M.O.1) stating that he is unable to repay the loan and taking the extreme step.</w:t>
      </w:r>
    </w:p>
    <w:p w:rsidR="005F280D" w:rsidRPr="005F280D" w:rsidRDefault="005F280D" w:rsidP="005F280D">
      <w:pPr>
        <w:tabs>
          <w:tab w:val="left" w:pos="1935"/>
        </w:tabs>
        <w:jc w:val="both"/>
        <w:rPr>
          <w:szCs w:val="20"/>
        </w:rPr>
      </w:pPr>
    </w:p>
    <w:p w:rsidR="005F280D" w:rsidRDefault="005F280D" w:rsidP="005F280D">
      <w:pPr>
        <w:tabs>
          <w:tab w:val="left" w:pos="1935"/>
        </w:tabs>
        <w:jc w:val="both"/>
        <w:rPr>
          <w:szCs w:val="20"/>
        </w:rPr>
      </w:pPr>
      <w:r>
        <w:rPr>
          <w:szCs w:val="20"/>
        </w:rPr>
        <w:t xml:space="preserve">4. Upon consideration of oral </w:t>
      </w:r>
      <w:r w:rsidRPr="005F280D">
        <w:rPr>
          <w:szCs w:val="20"/>
        </w:rPr>
        <w:t>evidence and suicide note</w:t>
      </w:r>
      <w:r>
        <w:rPr>
          <w:szCs w:val="20"/>
        </w:rPr>
        <w:t xml:space="preserve"> </w:t>
      </w:r>
      <w:r w:rsidRPr="005F280D">
        <w:rPr>
          <w:szCs w:val="20"/>
        </w:rPr>
        <w:t>(M.O.1), the Trial Court</w:t>
      </w:r>
      <w:r w:rsidRPr="005F280D">
        <w:rPr>
          <w:szCs w:val="20"/>
        </w:rPr>
        <w:tab/>
        <w:t>held</w:t>
      </w:r>
      <w:r>
        <w:rPr>
          <w:szCs w:val="20"/>
        </w:rPr>
        <w:t xml:space="preserve"> that </w:t>
      </w:r>
      <w:r w:rsidRPr="005F280D">
        <w:rPr>
          <w:szCs w:val="20"/>
        </w:rPr>
        <w:t>the prosecution</w:t>
      </w:r>
      <w:r w:rsidRPr="005F280D">
        <w:rPr>
          <w:szCs w:val="20"/>
        </w:rPr>
        <w:tab/>
        <w:t>has</w:t>
      </w:r>
      <w:r>
        <w:rPr>
          <w:szCs w:val="20"/>
        </w:rPr>
        <w:t xml:space="preserve"> </w:t>
      </w:r>
      <w:r w:rsidRPr="005F280D">
        <w:rPr>
          <w:szCs w:val="20"/>
        </w:rPr>
        <w:t>established the guilt of the accused under Section 306 I.P.C. and sentenced him to undergo rigorous imprisonment for three years and also imposed fine of Rs.500/-.</w:t>
      </w:r>
    </w:p>
    <w:p w:rsidR="005F280D" w:rsidRPr="005F280D" w:rsidRDefault="005F280D" w:rsidP="005F280D">
      <w:pPr>
        <w:tabs>
          <w:tab w:val="left" w:pos="1935"/>
        </w:tabs>
        <w:jc w:val="both"/>
        <w:rPr>
          <w:szCs w:val="20"/>
        </w:rPr>
      </w:pPr>
    </w:p>
    <w:p w:rsidR="005F280D" w:rsidRPr="005F280D" w:rsidRDefault="005F280D" w:rsidP="005F280D">
      <w:pPr>
        <w:tabs>
          <w:tab w:val="left" w:pos="1935"/>
        </w:tabs>
        <w:jc w:val="both"/>
        <w:rPr>
          <w:szCs w:val="20"/>
        </w:rPr>
      </w:pPr>
      <w:r>
        <w:rPr>
          <w:szCs w:val="20"/>
        </w:rPr>
        <w:t>5.</w:t>
      </w:r>
      <w:r w:rsidRPr="005F280D">
        <w:rPr>
          <w:szCs w:val="20"/>
        </w:rPr>
        <w:t xml:space="preserve"> In the appeal filed by the appellant-accused, the High Court held that the receipt of money and the execution of the promissory note and the alleged torture committed by the appellant has been proved by the prosecution. Referring to the evidence of PW-1 to PW-5, who are the wife, daughters and the sons of the deceased, and also suicide note (M.O.1), the High Court </w:t>
      </w:r>
      <w:r w:rsidRPr="005F280D">
        <w:rPr>
          <w:szCs w:val="20"/>
        </w:rPr>
        <w:lastRenderedPageBreak/>
        <w:t>has held that the prosecution has clearly established the guilt of the appellant-accused under Section 306 I.P.C. and on those findings affirmed the conviction of the appellant- accused; but reduced the sentence of imprisonment, as aforesaid in para '2'.</w:t>
      </w:r>
    </w:p>
    <w:p w:rsidR="005F280D" w:rsidRDefault="005F280D" w:rsidP="005F280D">
      <w:pPr>
        <w:tabs>
          <w:tab w:val="left" w:pos="1935"/>
        </w:tabs>
        <w:jc w:val="both"/>
        <w:rPr>
          <w:szCs w:val="20"/>
        </w:rPr>
      </w:pPr>
    </w:p>
    <w:p w:rsidR="005F280D" w:rsidRPr="005F280D" w:rsidRDefault="005F280D" w:rsidP="005F280D">
      <w:pPr>
        <w:tabs>
          <w:tab w:val="left" w:pos="1935"/>
        </w:tabs>
        <w:jc w:val="both"/>
        <w:rPr>
          <w:szCs w:val="20"/>
        </w:rPr>
      </w:pPr>
      <w:r>
        <w:rPr>
          <w:szCs w:val="20"/>
        </w:rPr>
        <w:t>6.</w:t>
      </w:r>
      <w:r w:rsidRPr="005F280D">
        <w:rPr>
          <w:szCs w:val="20"/>
        </w:rPr>
        <w:t xml:space="preserve"> We have heard Mr. S. Hari Haran, learned counsel appearing for the appellant, and Mr. M. Yogesh Kanna, learned counsel appearing for the respondent-State of Tamil Nadu and also perused the impugned judgment and the evidence/materials on record.</w:t>
      </w:r>
    </w:p>
    <w:p w:rsidR="005F280D" w:rsidRDefault="005F280D" w:rsidP="005F280D">
      <w:pPr>
        <w:tabs>
          <w:tab w:val="left" w:pos="1935"/>
        </w:tabs>
        <w:jc w:val="both"/>
        <w:rPr>
          <w:szCs w:val="20"/>
        </w:rPr>
      </w:pPr>
    </w:p>
    <w:p w:rsidR="005F280D" w:rsidRDefault="005F280D" w:rsidP="005F280D">
      <w:pPr>
        <w:tabs>
          <w:tab w:val="left" w:pos="1935"/>
        </w:tabs>
        <w:jc w:val="both"/>
        <w:rPr>
          <w:szCs w:val="20"/>
        </w:rPr>
      </w:pPr>
      <w:r>
        <w:rPr>
          <w:szCs w:val="20"/>
        </w:rPr>
        <w:t>7.</w:t>
      </w:r>
      <w:r w:rsidRPr="005F280D">
        <w:rPr>
          <w:szCs w:val="20"/>
        </w:rPr>
        <w:t xml:space="preserve"> As pointed out by the High Court, of course PW-1 to PW-5 have spoken about the borrowing of money by the deceased and also the execution of the promissory note. The sheet anchor of the prosecution's case to prove the guilt of the accused is the suicide note (M.O.1)-written by the deceased. On perusal of suicide note (M.O.1), it is seen that in M.O.1 the deceased has written about the financial difficulties faced by him and his inability to meet the financial crunch and also his inability to repay the same. The tenor of M.O.1 only shows that the deceased was subjected to pressure for payment and was facing the financial difficulty. In M.O.1 (letter) there is nothing to indicate that there was instigation by the appellant-accused which had driven the deceased to take the extreme step of committing suicide.</w:t>
      </w:r>
    </w:p>
    <w:p w:rsidR="005F280D" w:rsidRPr="005F280D" w:rsidRDefault="005F280D" w:rsidP="005F280D">
      <w:pPr>
        <w:tabs>
          <w:tab w:val="left" w:pos="1935"/>
        </w:tabs>
        <w:jc w:val="both"/>
        <w:rPr>
          <w:szCs w:val="20"/>
        </w:rPr>
      </w:pPr>
    </w:p>
    <w:p w:rsidR="005F280D" w:rsidRPr="005F280D" w:rsidRDefault="005F280D" w:rsidP="005F280D">
      <w:pPr>
        <w:tabs>
          <w:tab w:val="left" w:pos="1935"/>
        </w:tabs>
        <w:jc w:val="both"/>
        <w:rPr>
          <w:szCs w:val="20"/>
        </w:rPr>
      </w:pPr>
      <w:r>
        <w:rPr>
          <w:szCs w:val="20"/>
        </w:rPr>
        <w:t>8.</w:t>
      </w:r>
      <w:r w:rsidRPr="005F280D">
        <w:rPr>
          <w:szCs w:val="20"/>
        </w:rPr>
        <w:t xml:space="preserve"> The essential ingredients of the offence under Section 306 I.P.C. are: (i) the abetment; (ii) the intention of the accused to aid or instigate or abet the deceased to commit suicide. The act of the accused, however, insulting the deceased by using abusive language will not, by itself, constitute the abetment of suicide. There should be evidence capable of suggesting that the accused intended by such act to instigate the deceased to commit suicide. Unless the ingredients of instigation/abetment to commit suicide are satisfied, accused cannot be convicted under Section 306 I.P.C.</w:t>
      </w:r>
    </w:p>
    <w:p w:rsidR="005F280D" w:rsidRDefault="005F280D" w:rsidP="005F280D">
      <w:pPr>
        <w:tabs>
          <w:tab w:val="left" w:pos="1935"/>
        </w:tabs>
        <w:jc w:val="both"/>
        <w:rPr>
          <w:szCs w:val="20"/>
        </w:rPr>
      </w:pPr>
    </w:p>
    <w:p w:rsidR="005F280D" w:rsidRDefault="005F280D" w:rsidP="005F280D">
      <w:pPr>
        <w:tabs>
          <w:tab w:val="left" w:pos="1935"/>
        </w:tabs>
        <w:jc w:val="both"/>
        <w:rPr>
          <w:szCs w:val="20"/>
        </w:rPr>
      </w:pPr>
      <w:r>
        <w:rPr>
          <w:szCs w:val="20"/>
        </w:rPr>
        <w:t>9.</w:t>
      </w:r>
      <w:r w:rsidRPr="005F280D">
        <w:rPr>
          <w:szCs w:val="20"/>
        </w:rPr>
        <w:t xml:space="preserve"> In our considered view, in the case at hand, M.O.1-letter and the oral evidence of PW-1 to PW-5, would not be sufficient to establish that the suicide by the deceased was directly linked to the instigation or abetment by the appellant- deceased. Having advanced the money to the deceased, the appellant-accused might have uttered some abusive words; but that by itself is not sufficient to constitute the offence under Section 306 I.P.C. From the evidence brought on record and in the facts and circumstances of the case, in our view the ingredients of Section 306 I.P.C. are not established and the conviction of the appellant-accused under Section 306 I.P.C. cannot be sustained.</w:t>
      </w:r>
    </w:p>
    <w:p w:rsidR="005F280D" w:rsidRPr="005F280D" w:rsidRDefault="005F280D" w:rsidP="005F280D">
      <w:pPr>
        <w:tabs>
          <w:tab w:val="left" w:pos="1935"/>
        </w:tabs>
        <w:jc w:val="both"/>
        <w:rPr>
          <w:szCs w:val="20"/>
        </w:rPr>
      </w:pPr>
    </w:p>
    <w:p w:rsidR="005F280D" w:rsidRDefault="005F280D" w:rsidP="005F280D">
      <w:pPr>
        <w:tabs>
          <w:tab w:val="left" w:pos="1935"/>
        </w:tabs>
        <w:jc w:val="both"/>
        <w:rPr>
          <w:szCs w:val="20"/>
        </w:rPr>
      </w:pPr>
      <w:r>
        <w:rPr>
          <w:szCs w:val="20"/>
        </w:rPr>
        <w:t>10. In the result, the</w:t>
      </w:r>
      <w:r>
        <w:rPr>
          <w:szCs w:val="20"/>
        </w:rPr>
        <w:tab/>
        <w:t xml:space="preserve">impugned order is </w:t>
      </w:r>
      <w:r w:rsidRPr="005F280D">
        <w:rPr>
          <w:szCs w:val="20"/>
        </w:rPr>
        <w:t>set</w:t>
      </w:r>
      <w:r w:rsidRPr="005F280D">
        <w:rPr>
          <w:szCs w:val="20"/>
        </w:rPr>
        <w:tab/>
      </w:r>
      <w:r>
        <w:rPr>
          <w:szCs w:val="20"/>
        </w:rPr>
        <w:t xml:space="preserve"> </w:t>
      </w:r>
      <w:r w:rsidRPr="005F280D">
        <w:rPr>
          <w:szCs w:val="20"/>
        </w:rPr>
        <w:t>aside</w:t>
      </w:r>
      <w:r w:rsidRPr="005F280D">
        <w:rPr>
          <w:szCs w:val="20"/>
        </w:rPr>
        <w:tab/>
        <w:t>and</w:t>
      </w:r>
      <w:r>
        <w:rPr>
          <w:szCs w:val="20"/>
        </w:rPr>
        <w:t xml:space="preserve"> </w:t>
      </w:r>
      <w:r w:rsidRPr="005F280D">
        <w:rPr>
          <w:szCs w:val="20"/>
        </w:rPr>
        <w:t>the appeal is allowed.</w:t>
      </w:r>
    </w:p>
    <w:p w:rsidR="005F280D" w:rsidRPr="005F280D" w:rsidRDefault="005F280D" w:rsidP="005F280D">
      <w:pPr>
        <w:tabs>
          <w:tab w:val="left" w:pos="1935"/>
        </w:tabs>
        <w:jc w:val="both"/>
        <w:rPr>
          <w:szCs w:val="20"/>
        </w:rPr>
      </w:pPr>
    </w:p>
    <w:p w:rsidR="005F280D" w:rsidRPr="005F280D" w:rsidRDefault="005F280D" w:rsidP="0076732C">
      <w:pPr>
        <w:jc w:val="both"/>
        <w:rPr>
          <w:i/>
          <w:iCs/>
          <w:sz w:val="20"/>
          <w:szCs w:val="20"/>
        </w:rPr>
      </w:pPr>
    </w:p>
    <w:sectPr w:rsidR="005F280D" w:rsidRPr="005F280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0125" w:rsidRDefault="00DC0125" w:rsidP="00CF3BB7">
      <w:r>
        <w:separator/>
      </w:r>
    </w:p>
  </w:endnote>
  <w:endnote w:type="continuationSeparator" w:id="1">
    <w:p w:rsidR="00DC0125" w:rsidRDefault="00DC012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A732C" w:rsidRPr="00CF3BB7" w:rsidRDefault="000A732C">
        <w:pPr>
          <w:pStyle w:val="Footer"/>
          <w:jc w:val="center"/>
          <w:rPr>
            <w:sz w:val="22"/>
            <w:szCs w:val="22"/>
          </w:rPr>
        </w:pPr>
        <w:r>
          <w:rPr>
            <w:sz w:val="22"/>
            <w:szCs w:val="22"/>
          </w:rPr>
          <w:t xml:space="preserve">                                                                        </w:t>
        </w:r>
        <w:r w:rsidR="007E67CC" w:rsidRPr="00CF3BB7">
          <w:rPr>
            <w:sz w:val="22"/>
            <w:szCs w:val="22"/>
          </w:rPr>
          <w:fldChar w:fldCharType="begin"/>
        </w:r>
        <w:r w:rsidRPr="00CF3BB7">
          <w:rPr>
            <w:sz w:val="22"/>
            <w:szCs w:val="22"/>
          </w:rPr>
          <w:instrText xml:space="preserve"> PAGE   \* MERGEFORMAT </w:instrText>
        </w:r>
        <w:r w:rsidR="007E67CC" w:rsidRPr="00CF3BB7">
          <w:rPr>
            <w:sz w:val="22"/>
            <w:szCs w:val="22"/>
          </w:rPr>
          <w:fldChar w:fldCharType="separate"/>
        </w:r>
        <w:r w:rsidR="00DC0125">
          <w:rPr>
            <w:noProof/>
            <w:sz w:val="22"/>
            <w:szCs w:val="22"/>
          </w:rPr>
          <w:t>1</w:t>
        </w:r>
        <w:r w:rsidR="007E67C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A732C" w:rsidRPr="00CF3BB7" w:rsidRDefault="000A732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0125" w:rsidRDefault="00DC0125" w:rsidP="00CF3BB7">
      <w:r>
        <w:separator/>
      </w:r>
    </w:p>
  </w:footnote>
  <w:footnote w:type="continuationSeparator" w:id="1">
    <w:p w:rsidR="00DC0125" w:rsidRDefault="00DC012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90B4B"/>
    <w:multiLevelType w:val="hybridMultilevel"/>
    <w:tmpl w:val="64301646"/>
    <w:lvl w:ilvl="0" w:tplc="54FE0F6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11DC4CC5"/>
    <w:multiLevelType w:val="hybridMultilevel"/>
    <w:tmpl w:val="76FC3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74C0051"/>
    <w:multiLevelType w:val="hybridMultilevel"/>
    <w:tmpl w:val="D63AF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7"/>
  </w:num>
  <w:num w:numId="3">
    <w:abstractNumId w:val="5"/>
  </w:num>
  <w:num w:numId="4">
    <w:abstractNumId w:val="12"/>
  </w:num>
  <w:num w:numId="5">
    <w:abstractNumId w:val="13"/>
  </w:num>
  <w:num w:numId="6">
    <w:abstractNumId w:val="3"/>
  </w:num>
  <w:num w:numId="7">
    <w:abstractNumId w:val="6"/>
  </w:num>
  <w:num w:numId="8">
    <w:abstractNumId w:val="9"/>
  </w:num>
  <w:num w:numId="9">
    <w:abstractNumId w:val="0"/>
  </w:num>
  <w:num w:numId="10">
    <w:abstractNumId w:val="10"/>
  </w:num>
  <w:num w:numId="11">
    <w:abstractNumId w:val="8"/>
  </w:num>
  <w:num w:numId="12">
    <w:abstractNumId w:val="2"/>
  </w:num>
  <w:num w:numId="13">
    <w:abstractNumId w:val="1"/>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79E8"/>
    <w:rsid w:val="000102B5"/>
    <w:rsid w:val="00012152"/>
    <w:rsid w:val="00012E1C"/>
    <w:rsid w:val="00012FA6"/>
    <w:rsid w:val="0001339C"/>
    <w:rsid w:val="00014586"/>
    <w:rsid w:val="00016A86"/>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32C"/>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6C99"/>
    <w:rsid w:val="000E7146"/>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45DC"/>
    <w:rsid w:val="00127F1A"/>
    <w:rsid w:val="00127FB9"/>
    <w:rsid w:val="00130C2A"/>
    <w:rsid w:val="001313F1"/>
    <w:rsid w:val="001314D7"/>
    <w:rsid w:val="00132CB5"/>
    <w:rsid w:val="00133A60"/>
    <w:rsid w:val="00133D98"/>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56EBC"/>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51DC"/>
    <w:rsid w:val="001A7217"/>
    <w:rsid w:val="001B0E1E"/>
    <w:rsid w:val="001B3087"/>
    <w:rsid w:val="001B5481"/>
    <w:rsid w:val="001B5A72"/>
    <w:rsid w:val="001B7E52"/>
    <w:rsid w:val="001C1B92"/>
    <w:rsid w:val="001C323F"/>
    <w:rsid w:val="001C38F4"/>
    <w:rsid w:val="001C7BC9"/>
    <w:rsid w:val="001D1CFE"/>
    <w:rsid w:val="001D3044"/>
    <w:rsid w:val="001D3ED1"/>
    <w:rsid w:val="001D5A57"/>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280E"/>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2AEC"/>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1EE6"/>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3FF6"/>
    <w:rsid w:val="003A6369"/>
    <w:rsid w:val="003A7858"/>
    <w:rsid w:val="003A79F7"/>
    <w:rsid w:val="003B05AB"/>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6757"/>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46CFC"/>
    <w:rsid w:val="00451F9F"/>
    <w:rsid w:val="00451FF5"/>
    <w:rsid w:val="00453B95"/>
    <w:rsid w:val="00454852"/>
    <w:rsid w:val="00454EEE"/>
    <w:rsid w:val="00455430"/>
    <w:rsid w:val="00455902"/>
    <w:rsid w:val="00456A2A"/>
    <w:rsid w:val="004579D4"/>
    <w:rsid w:val="00457D40"/>
    <w:rsid w:val="004602BF"/>
    <w:rsid w:val="00462029"/>
    <w:rsid w:val="00463B7B"/>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234B"/>
    <w:rsid w:val="00493760"/>
    <w:rsid w:val="00495473"/>
    <w:rsid w:val="00496102"/>
    <w:rsid w:val="00496ABB"/>
    <w:rsid w:val="00496DA4"/>
    <w:rsid w:val="004A0A67"/>
    <w:rsid w:val="004A2554"/>
    <w:rsid w:val="004A2DC8"/>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24F"/>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6B6"/>
    <w:rsid w:val="00521884"/>
    <w:rsid w:val="00522BAA"/>
    <w:rsid w:val="005263EB"/>
    <w:rsid w:val="005269DC"/>
    <w:rsid w:val="00527212"/>
    <w:rsid w:val="005272ED"/>
    <w:rsid w:val="00530341"/>
    <w:rsid w:val="00533557"/>
    <w:rsid w:val="00534C31"/>
    <w:rsid w:val="005413EE"/>
    <w:rsid w:val="00541E52"/>
    <w:rsid w:val="005431BE"/>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4C"/>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D762A"/>
    <w:rsid w:val="005E635A"/>
    <w:rsid w:val="005F0D5D"/>
    <w:rsid w:val="005F0EF0"/>
    <w:rsid w:val="005F11E7"/>
    <w:rsid w:val="005F280D"/>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2D96"/>
    <w:rsid w:val="00644DF6"/>
    <w:rsid w:val="006459DA"/>
    <w:rsid w:val="00650832"/>
    <w:rsid w:val="00650B25"/>
    <w:rsid w:val="006513C5"/>
    <w:rsid w:val="0065318B"/>
    <w:rsid w:val="006541CE"/>
    <w:rsid w:val="006556E4"/>
    <w:rsid w:val="006564FF"/>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8B"/>
    <w:rsid w:val="006834EA"/>
    <w:rsid w:val="00683616"/>
    <w:rsid w:val="00683653"/>
    <w:rsid w:val="0068456E"/>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0A2"/>
    <w:rsid w:val="006E3C68"/>
    <w:rsid w:val="006E6333"/>
    <w:rsid w:val="006F1694"/>
    <w:rsid w:val="006F6617"/>
    <w:rsid w:val="006F7D55"/>
    <w:rsid w:val="00701C07"/>
    <w:rsid w:val="007066F1"/>
    <w:rsid w:val="007074D9"/>
    <w:rsid w:val="00707B2A"/>
    <w:rsid w:val="0071137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6732C"/>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2AE8"/>
    <w:rsid w:val="007E35E0"/>
    <w:rsid w:val="007E5BD9"/>
    <w:rsid w:val="007E60FA"/>
    <w:rsid w:val="007E67CC"/>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5F00"/>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665EA"/>
    <w:rsid w:val="008711EE"/>
    <w:rsid w:val="008715EE"/>
    <w:rsid w:val="00872FB1"/>
    <w:rsid w:val="00873681"/>
    <w:rsid w:val="00874263"/>
    <w:rsid w:val="0087498E"/>
    <w:rsid w:val="00877033"/>
    <w:rsid w:val="00877068"/>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2A86"/>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106"/>
    <w:rsid w:val="009464B5"/>
    <w:rsid w:val="0094668C"/>
    <w:rsid w:val="009467F2"/>
    <w:rsid w:val="0094746A"/>
    <w:rsid w:val="00952B47"/>
    <w:rsid w:val="0095415E"/>
    <w:rsid w:val="00955903"/>
    <w:rsid w:val="00955BA2"/>
    <w:rsid w:val="0096009B"/>
    <w:rsid w:val="009618AE"/>
    <w:rsid w:val="00961E34"/>
    <w:rsid w:val="00963D44"/>
    <w:rsid w:val="00964F36"/>
    <w:rsid w:val="00966A81"/>
    <w:rsid w:val="0097037F"/>
    <w:rsid w:val="00972723"/>
    <w:rsid w:val="00973494"/>
    <w:rsid w:val="00973F2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32F6"/>
    <w:rsid w:val="00A14D59"/>
    <w:rsid w:val="00A15AE4"/>
    <w:rsid w:val="00A1627F"/>
    <w:rsid w:val="00A16ADC"/>
    <w:rsid w:val="00A20899"/>
    <w:rsid w:val="00A2321F"/>
    <w:rsid w:val="00A23242"/>
    <w:rsid w:val="00A23F82"/>
    <w:rsid w:val="00A251CE"/>
    <w:rsid w:val="00A25BB2"/>
    <w:rsid w:val="00A25C75"/>
    <w:rsid w:val="00A303EF"/>
    <w:rsid w:val="00A30FD7"/>
    <w:rsid w:val="00A3207C"/>
    <w:rsid w:val="00A33976"/>
    <w:rsid w:val="00A342FB"/>
    <w:rsid w:val="00A356C0"/>
    <w:rsid w:val="00A3735D"/>
    <w:rsid w:val="00A37FD5"/>
    <w:rsid w:val="00A4013E"/>
    <w:rsid w:val="00A4042C"/>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398C"/>
    <w:rsid w:val="00A856EC"/>
    <w:rsid w:val="00A90537"/>
    <w:rsid w:val="00A90A30"/>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055A"/>
    <w:rsid w:val="00AE35F2"/>
    <w:rsid w:val="00AE7368"/>
    <w:rsid w:val="00AE7618"/>
    <w:rsid w:val="00AF04B1"/>
    <w:rsid w:val="00AF04E5"/>
    <w:rsid w:val="00AF1985"/>
    <w:rsid w:val="00AF1B8C"/>
    <w:rsid w:val="00AF272C"/>
    <w:rsid w:val="00AF35C6"/>
    <w:rsid w:val="00AF3F6D"/>
    <w:rsid w:val="00AF45DB"/>
    <w:rsid w:val="00AF486A"/>
    <w:rsid w:val="00B02851"/>
    <w:rsid w:val="00B02A67"/>
    <w:rsid w:val="00B0331E"/>
    <w:rsid w:val="00B03E1C"/>
    <w:rsid w:val="00B03FCE"/>
    <w:rsid w:val="00B0503A"/>
    <w:rsid w:val="00B05DDA"/>
    <w:rsid w:val="00B05E8A"/>
    <w:rsid w:val="00B07DBC"/>
    <w:rsid w:val="00B119A3"/>
    <w:rsid w:val="00B15B58"/>
    <w:rsid w:val="00B16AFB"/>
    <w:rsid w:val="00B177A2"/>
    <w:rsid w:val="00B20A8F"/>
    <w:rsid w:val="00B21208"/>
    <w:rsid w:val="00B218F3"/>
    <w:rsid w:val="00B22611"/>
    <w:rsid w:val="00B235DB"/>
    <w:rsid w:val="00B24D97"/>
    <w:rsid w:val="00B26169"/>
    <w:rsid w:val="00B27786"/>
    <w:rsid w:val="00B279AA"/>
    <w:rsid w:val="00B307BE"/>
    <w:rsid w:val="00B31A07"/>
    <w:rsid w:val="00B31ED5"/>
    <w:rsid w:val="00B332A9"/>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6C44"/>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A48"/>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2751"/>
    <w:rsid w:val="00C73A5F"/>
    <w:rsid w:val="00C73C08"/>
    <w:rsid w:val="00C73FA1"/>
    <w:rsid w:val="00C743CA"/>
    <w:rsid w:val="00C7481F"/>
    <w:rsid w:val="00C80987"/>
    <w:rsid w:val="00C824CF"/>
    <w:rsid w:val="00C82507"/>
    <w:rsid w:val="00C83277"/>
    <w:rsid w:val="00C8369A"/>
    <w:rsid w:val="00C8627B"/>
    <w:rsid w:val="00C865D8"/>
    <w:rsid w:val="00C87EEC"/>
    <w:rsid w:val="00C919F0"/>
    <w:rsid w:val="00C91FF5"/>
    <w:rsid w:val="00C92B38"/>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B61C2"/>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268"/>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1E5D"/>
    <w:rsid w:val="00D3313E"/>
    <w:rsid w:val="00D3352B"/>
    <w:rsid w:val="00D34634"/>
    <w:rsid w:val="00D346EC"/>
    <w:rsid w:val="00D3646E"/>
    <w:rsid w:val="00D36A31"/>
    <w:rsid w:val="00D3742A"/>
    <w:rsid w:val="00D379B8"/>
    <w:rsid w:val="00D4134C"/>
    <w:rsid w:val="00D42ACA"/>
    <w:rsid w:val="00D45999"/>
    <w:rsid w:val="00D45C06"/>
    <w:rsid w:val="00D47666"/>
    <w:rsid w:val="00D476A3"/>
    <w:rsid w:val="00D47A49"/>
    <w:rsid w:val="00D51296"/>
    <w:rsid w:val="00D51576"/>
    <w:rsid w:val="00D5157C"/>
    <w:rsid w:val="00D52166"/>
    <w:rsid w:val="00D52CA9"/>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4984"/>
    <w:rsid w:val="00D957A3"/>
    <w:rsid w:val="00D963D8"/>
    <w:rsid w:val="00D976B8"/>
    <w:rsid w:val="00D976DF"/>
    <w:rsid w:val="00DA0974"/>
    <w:rsid w:val="00DA33B6"/>
    <w:rsid w:val="00DA48D2"/>
    <w:rsid w:val="00DA6C39"/>
    <w:rsid w:val="00DB01EC"/>
    <w:rsid w:val="00DB1C6C"/>
    <w:rsid w:val="00DB32AC"/>
    <w:rsid w:val="00DC0125"/>
    <w:rsid w:val="00DC0F3E"/>
    <w:rsid w:val="00DC42D3"/>
    <w:rsid w:val="00DC4BDB"/>
    <w:rsid w:val="00DC5F9C"/>
    <w:rsid w:val="00DC65B9"/>
    <w:rsid w:val="00DD0333"/>
    <w:rsid w:val="00DD187F"/>
    <w:rsid w:val="00DD1C78"/>
    <w:rsid w:val="00DD20A4"/>
    <w:rsid w:val="00DD3B2F"/>
    <w:rsid w:val="00DD62E3"/>
    <w:rsid w:val="00DE3129"/>
    <w:rsid w:val="00DE520C"/>
    <w:rsid w:val="00DE703F"/>
    <w:rsid w:val="00DE788E"/>
    <w:rsid w:val="00DF167A"/>
    <w:rsid w:val="00DF3A19"/>
    <w:rsid w:val="00DF7D70"/>
    <w:rsid w:val="00E00CFB"/>
    <w:rsid w:val="00E00D69"/>
    <w:rsid w:val="00E06649"/>
    <w:rsid w:val="00E1195F"/>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67F3"/>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09B2"/>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83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695</Words>
  <Characters>3967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2018-12-18T06:28:00Z</cp:lastPrinted>
  <dcterms:created xsi:type="dcterms:W3CDTF">2018-12-29T08:22:00Z</dcterms:created>
  <dcterms:modified xsi:type="dcterms:W3CDTF">2018-12-29T08:22:00Z</dcterms:modified>
</cp:coreProperties>
</file>