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A28" w:rsidRDefault="00350526">
      <w:pPr>
        <w:pStyle w:val="Bodytext20"/>
        <w:shd w:val="clear" w:color="auto" w:fill="auto"/>
        <w:spacing w:after="377"/>
        <w:ind w:right="100"/>
      </w:pPr>
      <w:r>
        <w:t>IN THE SUPREME COURT OF INDIA CIVIL APPELLATE JURISDICTION</w:t>
      </w:r>
    </w:p>
    <w:p w:rsidR="00884A28" w:rsidRDefault="00350526">
      <w:pPr>
        <w:pStyle w:val="Bodytext20"/>
        <w:shd w:val="clear" w:color="auto" w:fill="auto"/>
        <w:tabs>
          <w:tab w:val="left" w:pos="4953"/>
          <w:tab w:val="center" w:pos="6570"/>
        </w:tabs>
        <w:spacing w:after="0" w:line="322" w:lineRule="exact"/>
        <w:ind w:left="1780"/>
        <w:jc w:val="both"/>
      </w:pPr>
      <w:r>
        <w:rPr>
          <w:rStyle w:val="Bodytext21"/>
          <w:b/>
          <w:bCs/>
        </w:rPr>
        <w:t>CIVIL APPEAL NO(S).</w:t>
      </w:r>
      <w:r>
        <w:rPr>
          <w:rStyle w:val="Bodytext21"/>
          <w:b/>
          <w:bCs/>
        </w:rPr>
        <w:tab/>
        <w:t>11843</w:t>
      </w:r>
      <w:r>
        <w:rPr>
          <w:rStyle w:val="Bodytext21"/>
          <w:b/>
          <w:bCs/>
        </w:rPr>
        <w:tab/>
        <w:t>OF 2018</w:t>
      </w:r>
    </w:p>
    <w:p w:rsidR="00884A28" w:rsidRDefault="00350526">
      <w:pPr>
        <w:pStyle w:val="Bodytext20"/>
        <w:shd w:val="clear" w:color="auto" w:fill="auto"/>
        <w:spacing w:after="343" w:line="322" w:lineRule="exact"/>
        <w:ind w:right="100"/>
      </w:pPr>
      <w:r>
        <w:t>(ARISING OUT OF SLP (C) NO. 35574 OF 2017)</w:t>
      </w:r>
    </w:p>
    <w:p w:rsidR="00884A28" w:rsidRDefault="00350526">
      <w:pPr>
        <w:pStyle w:val="Bodytext0"/>
        <w:shd w:val="clear" w:color="auto" w:fill="auto"/>
        <w:tabs>
          <w:tab w:val="right" w:pos="6174"/>
          <w:tab w:val="right" w:leader="dot" w:pos="8521"/>
        </w:tabs>
        <w:spacing w:before="0"/>
        <w:ind w:left="20" w:firstLine="0"/>
      </w:pPr>
      <w:r>
        <w:t>COMPETITION COMMISSION OF INDIA</w:t>
      </w:r>
      <w:r>
        <w:tab/>
      </w:r>
      <w:r>
        <w:tab/>
        <w:t>APPELLANT(S)</w:t>
      </w:r>
    </w:p>
    <w:p w:rsidR="00884A28" w:rsidRDefault="00350526">
      <w:pPr>
        <w:pStyle w:val="Bodytext0"/>
        <w:shd w:val="clear" w:color="auto" w:fill="auto"/>
        <w:spacing w:before="0"/>
        <w:ind w:left="2840" w:firstLine="0"/>
        <w:jc w:val="left"/>
      </w:pPr>
      <w:r>
        <w:t>VERSUS</w:t>
      </w:r>
    </w:p>
    <w:p w:rsidR="00884A28" w:rsidRDefault="00350526">
      <w:pPr>
        <w:pStyle w:val="Bodytext0"/>
        <w:shd w:val="clear" w:color="auto" w:fill="auto"/>
        <w:spacing w:before="0"/>
        <w:ind w:left="20" w:firstLine="0"/>
      </w:pPr>
      <w:r>
        <w:t>BHARTI AIRTEL LIMITED AND OTHERS  RESPONDENT(S)</w:t>
      </w:r>
    </w:p>
    <w:p w:rsidR="00884A28" w:rsidRDefault="00350526">
      <w:pPr>
        <w:pStyle w:val="Bodytext20"/>
        <w:shd w:val="clear" w:color="auto" w:fill="auto"/>
        <w:spacing w:after="0"/>
        <w:ind w:right="100"/>
      </w:pPr>
      <w:r>
        <w:rPr>
          <w:rStyle w:val="Bodytext21"/>
          <w:b/>
          <w:bCs/>
        </w:rPr>
        <w:t>W I T H</w:t>
      </w:r>
    </w:p>
    <w:p w:rsidR="00884A28" w:rsidRDefault="00350526">
      <w:pPr>
        <w:pStyle w:val="Bodytext20"/>
        <w:shd w:val="clear" w:color="auto" w:fill="auto"/>
        <w:spacing w:after="244" w:line="326" w:lineRule="exact"/>
        <w:ind w:right="100"/>
      </w:pPr>
      <w:r>
        <w:rPr>
          <w:rStyle w:val="Bodytext21"/>
          <w:b/>
          <w:bCs/>
        </w:rPr>
        <w:t xml:space="preserve">CIVIL </w:t>
      </w:r>
      <w:r>
        <w:rPr>
          <w:rStyle w:val="Bodytext21"/>
          <w:b/>
          <w:bCs/>
        </w:rPr>
        <w:t>APPEAL NO(S). 11844-11845 OF 2018</w:t>
      </w:r>
      <w:r>
        <w:t xml:space="preserve"> (ARISING OUT OF SLP (C) NOS. 35532-35533 OF 2017)</w:t>
      </w:r>
    </w:p>
    <w:p w:rsidR="00884A28" w:rsidRDefault="00350526">
      <w:pPr>
        <w:pStyle w:val="Bodytext20"/>
        <w:shd w:val="clear" w:color="auto" w:fill="auto"/>
        <w:tabs>
          <w:tab w:val="left" w:pos="4953"/>
          <w:tab w:val="center" w:pos="6570"/>
        </w:tabs>
        <w:spacing w:after="0" w:line="322" w:lineRule="exact"/>
        <w:ind w:left="1780"/>
        <w:jc w:val="both"/>
      </w:pPr>
      <w:r>
        <w:rPr>
          <w:rStyle w:val="Bodytext21"/>
          <w:b/>
          <w:bCs/>
        </w:rPr>
        <w:t>CIVIL APPEAL NO(S).</w:t>
      </w:r>
      <w:r>
        <w:rPr>
          <w:rStyle w:val="Bodytext21"/>
          <w:b/>
          <w:bCs/>
        </w:rPr>
        <w:tab/>
        <w:t>11846</w:t>
      </w:r>
      <w:r>
        <w:rPr>
          <w:rStyle w:val="Bodytext21"/>
          <w:b/>
          <w:bCs/>
        </w:rPr>
        <w:tab/>
        <w:t>OF 2018</w:t>
      </w:r>
    </w:p>
    <w:p w:rsidR="00884A28" w:rsidRDefault="00350526">
      <w:pPr>
        <w:pStyle w:val="Bodytext20"/>
        <w:shd w:val="clear" w:color="auto" w:fill="auto"/>
        <w:spacing w:after="240" w:line="322" w:lineRule="exact"/>
        <w:ind w:right="100"/>
      </w:pPr>
      <w:r>
        <w:t>(ARISING OUT OF SLP (C) NO. 35497 OF 2017)</w:t>
      </w:r>
    </w:p>
    <w:p w:rsidR="00884A28" w:rsidRDefault="00350526">
      <w:pPr>
        <w:pStyle w:val="Bodytext20"/>
        <w:shd w:val="clear" w:color="auto" w:fill="auto"/>
        <w:tabs>
          <w:tab w:val="left" w:pos="4953"/>
          <w:tab w:val="center" w:pos="6570"/>
        </w:tabs>
        <w:spacing w:after="0" w:line="322" w:lineRule="exact"/>
        <w:ind w:left="1780"/>
        <w:jc w:val="both"/>
      </w:pPr>
      <w:r>
        <w:rPr>
          <w:rStyle w:val="Bodytext21"/>
          <w:b/>
          <w:bCs/>
        </w:rPr>
        <w:t>CIVIL APPEAL NO(S).</w:t>
      </w:r>
      <w:r>
        <w:rPr>
          <w:rStyle w:val="Bodytext21"/>
          <w:b/>
          <w:bCs/>
        </w:rPr>
        <w:tab/>
        <w:t>11852</w:t>
      </w:r>
      <w:r>
        <w:rPr>
          <w:rStyle w:val="Bodytext21"/>
          <w:b/>
          <w:bCs/>
        </w:rPr>
        <w:tab/>
        <w:t>OF 2018</w:t>
      </w:r>
    </w:p>
    <w:p w:rsidR="00884A28" w:rsidRDefault="00350526">
      <w:pPr>
        <w:pStyle w:val="Bodytext20"/>
        <w:shd w:val="clear" w:color="auto" w:fill="auto"/>
        <w:spacing w:after="305" w:line="322" w:lineRule="exact"/>
        <w:ind w:right="100"/>
      </w:pPr>
      <w:r>
        <w:t>(ARISING OUT OF SLP (C) NO. 115 OF 2018)</w:t>
      </w:r>
    </w:p>
    <w:p w:rsidR="00884A28" w:rsidRDefault="00350526">
      <w:pPr>
        <w:pStyle w:val="Bodytext20"/>
        <w:shd w:val="clear" w:color="auto" w:fill="auto"/>
        <w:spacing w:after="321" w:line="240" w:lineRule="exact"/>
        <w:ind w:right="100"/>
      </w:pPr>
      <w:r>
        <w:t>A N D</w:t>
      </w:r>
    </w:p>
    <w:p w:rsidR="00884A28" w:rsidRDefault="00350526">
      <w:pPr>
        <w:pStyle w:val="Bodytext20"/>
        <w:shd w:val="clear" w:color="auto" w:fill="auto"/>
        <w:spacing w:after="695" w:line="322" w:lineRule="exact"/>
        <w:ind w:right="100"/>
      </w:pPr>
      <w:r>
        <w:rPr>
          <w:rStyle w:val="Bodytext21"/>
          <w:b/>
          <w:bCs/>
        </w:rPr>
        <w:t xml:space="preserve">CIVIL APPEAL </w:t>
      </w:r>
      <w:r>
        <w:rPr>
          <w:rStyle w:val="Bodytext21"/>
          <w:b/>
          <w:bCs/>
        </w:rPr>
        <w:t>NO(S). 11847-11851 OF 2018</w:t>
      </w:r>
      <w:r>
        <w:t xml:space="preserve"> (ARISING OUT OF SLP (C) NOS. 37285-37289 OF 2017)</w:t>
      </w:r>
    </w:p>
    <w:p w:rsidR="00884A28" w:rsidRDefault="00350526">
      <w:pPr>
        <w:pStyle w:val="Heading10"/>
        <w:keepNext/>
        <w:keepLines/>
        <w:shd w:val="clear" w:color="auto" w:fill="auto"/>
        <w:spacing w:before="0"/>
        <w:ind w:right="100"/>
      </w:pPr>
      <w:bookmarkStart w:id="0" w:name="bookmark18"/>
      <w:r>
        <w:rPr>
          <w:rStyle w:val="Heading11"/>
          <w:b/>
          <w:bCs/>
        </w:rPr>
        <w:t>J U D G M E N T</w:t>
      </w:r>
      <w:bookmarkEnd w:id="0"/>
    </w:p>
    <w:p w:rsidR="00884A28" w:rsidRDefault="00350526">
      <w:pPr>
        <w:framePr w:h="691" w:wrap="around" w:vAnchor="text" w:hAnchor="margin" w:x="-973" w:y="572"/>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5.25pt">
            <v:imagedata r:id="rId7" r:href="rId8"/>
          </v:shape>
        </w:pict>
      </w:r>
    </w:p>
    <w:p w:rsidR="00884A28" w:rsidRDefault="00350526">
      <w:pPr>
        <w:pStyle w:val="Bodytext20"/>
        <w:shd w:val="clear" w:color="auto" w:fill="auto"/>
        <w:spacing w:after="0" w:line="653" w:lineRule="exact"/>
        <w:ind w:left="20"/>
        <w:jc w:val="both"/>
      </w:pPr>
      <w:r>
        <w:rPr>
          <w:rStyle w:val="Bodytext21"/>
          <w:b/>
          <w:bCs/>
        </w:rPr>
        <w:t>A.K. SIKRI. J.</w:t>
      </w:r>
    </w:p>
    <w:p w:rsidR="00884A28" w:rsidRDefault="00350526">
      <w:pPr>
        <w:pStyle w:val="Bodytext0"/>
        <w:shd w:val="clear" w:color="auto" w:fill="auto"/>
        <w:spacing w:before="0" w:line="653" w:lineRule="exact"/>
        <w:ind w:left="1400" w:firstLine="0"/>
        <w:jc w:val="left"/>
        <w:sectPr w:rsidR="00884A28">
          <w:footerReference w:type="even" r:id="rId9"/>
          <w:footerReference w:type="default" r:id="rId10"/>
          <w:headerReference w:type="first" r:id="rId11"/>
          <w:footerReference w:type="first" r:id="rId12"/>
          <w:type w:val="continuous"/>
          <w:pgSz w:w="12240" w:h="15840"/>
          <w:pgMar w:top="1247" w:right="1303" w:bottom="2495" w:left="2157" w:header="0" w:footer="3" w:gutter="0"/>
          <w:cols w:space="720"/>
          <w:noEndnote/>
          <w:titlePg/>
          <w:docGrid w:linePitch="360"/>
        </w:sectPr>
      </w:pPr>
      <w:r>
        <w:t>Leave granted.</w:t>
      </w:r>
    </w:p>
    <w:p w:rsidR="00884A28" w:rsidRDefault="00350526">
      <w:pPr>
        <w:pStyle w:val="Bodytext0"/>
        <w:numPr>
          <w:ilvl w:val="0"/>
          <w:numId w:val="1"/>
        </w:numPr>
        <w:shd w:val="clear" w:color="auto" w:fill="auto"/>
        <w:tabs>
          <w:tab w:val="left" w:pos="730"/>
        </w:tabs>
        <w:spacing w:before="0"/>
        <w:ind w:left="720" w:right="20" w:hanging="720"/>
      </w:pPr>
      <w:r>
        <w:lastRenderedPageBreak/>
        <w:t xml:space="preserve">Reliance Jio Infocomm Limited (hereinafter referred to as 'RJIL') has filed information under Section </w:t>
      </w:r>
      <w:r>
        <w:t>19(1) of the Competition Act, 2002 (hereinafter referred to as the 'Competition Act') before the Competition Commission of India (for short, 'CCI') alleging anti</w:t>
      </w:r>
      <w:r>
        <w:softHyphen/>
        <w:t>competitive agreement/cartel having been formed by three major telecom operators, namely, Bhar</w:t>
      </w:r>
      <w:r>
        <w:t>ti Airtel Limited, Vodafone India Limited and Idea Cellular Limited (Incumbent Dominant Operators) (hereinafter referred to as the ‘IDOs’). Similar Informations under Section 19 of the Competition Act were also filed by one Mr. Ranjan Sardana, Chartered Ac</w:t>
      </w:r>
      <w:r>
        <w:t>countant, and Mr. Justice Kantilal Ambalal Puj (Retd.). These were registered by the CCI as Case Nos. 80-81, 83 and 95 respectively. As per Section 26 of the Competition Act, on receipt of such an information, the CCI has to form an opinion as to whether t</w:t>
      </w:r>
      <w:r>
        <w:t xml:space="preserve">here exists a </w:t>
      </w:r>
      <w:r>
        <w:rPr>
          <w:rStyle w:val="BodytextItalic"/>
        </w:rPr>
        <w:t>prima facie</w:t>
      </w:r>
      <w:r>
        <w:t xml:space="preserve"> case or not. If it is of the opinion that there exists a </w:t>
      </w:r>
      <w:r>
        <w:rPr>
          <w:rStyle w:val="BodytextItalic"/>
        </w:rPr>
        <w:t>prima facie</w:t>
      </w:r>
      <w:r>
        <w:t xml:space="preserve"> case, the CCI directs the Director General to cause an investigation to be made into the matter. Apart from the IDOs, certain allegations were also made against </w:t>
      </w:r>
      <w:r>
        <w:t>the Cellular Operators Association of India (for short, 'COAI'). The CCI issued notice to these parties and after hearing the RJIL, the aforesaid cellular companies and COAI, it passed a common order dated April 21, 2017 in all these cases (by clubbing the</w:t>
      </w:r>
      <w:r>
        <w:t xml:space="preserve">m together) holding a view that </w:t>
      </w:r>
      <w:r>
        <w:rPr>
          <w:rStyle w:val="BodytextItalic"/>
        </w:rPr>
        <w:t>prima facie</w:t>
      </w:r>
      <w:r>
        <w:t xml:space="preserve"> case exists and an investigation is warranted into the matter. It, accordingly, directed the Director General to cause investigation in the case.</w:t>
      </w:r>
    </w:p>
    <w:p w:rsidR="00884A28" w:rsidRDefault="00350526">
      <w:pPr>
        <w:pStyle w:val="Bodytext30"/>
        <w:shd w:val="clear" w:color="auto" w:fill="auto"/>
        <w:ind w:firstLine="0"/>
      </w:pPr>
      <w:r>
        <w:t>Introduction:</w:t>
      </w:r>
    </w:p>
    <w:p w:rsidR="00884A28" w:rsidRDefault="00350526">
      <w:pPr>
        <w:pStyle w:val="Bodytext0"/>
        <w:numPr>
          <w:ilvl w:val="0"/>
          <w:numId w:val="1"/>
        </w:numPr>
        <w:shd w:val="clear" w:color="auto" w:fill="auto"/>
        <w:tabs>
          <w:tab w:val="left" w:pos="734"/>
        </w:tabs>
        <w:spacing w:before="0" w:line="638" w:lineRule="exact"/>
        <w:ind w:right="20" w:firstLine="0"/>
      </w:pPr>
      <w:r>
        <w:t>Four writ petitions came to be filed by the Bharti A</w:t>
      </w:r>
      <w:r>
        <w:t>irtel Limited, Vodafone India Limited, Idea Cellular Limited and COAI respectively. The prayed for quashing of the aforesaid order and consequential action/proceedings on the ground that the CCI did not have any jurisdiction to deal with such a matter. Sho</w:t>
      </w:r>
      <w:r>
        <w:t>w-cause notices were issued pursuant to which the CCI as well as RJIL filed their counter affidavits. The mater was heard and vide judgment dated September 21, 2017 the High Court has allowed these writ petitions and quashed/set aside the order dated April</w:t>
      </w:r>
      <w:r>
        <w:t xml:space="preserve"> 21, 2017 passed by the CCI and consequently notices issued by the Director General of the CCI have also been quashed. We may reproduce the conclusions and operative portion of the order passed by the Bombay High Court here itself, which are as under: "130</w:t>
      </w:r>
      <w:r>
        <w:t xml:space="preserve">. </w:t>
      </w:r>
      <w:r>
        <w:rPr>
          <w:rStyle w:val="Bodytext1"/>
        </w:rPr>
        <w:t>Conclusions</w:t>
      </w:r>
      <w:r>
        <w:t>:</w:t>
      </w:r>
    </w:p>
    <w:p w:rsidR="00884A28" w:rsidRDefault="00350526">
      <w:pPr>
        <w:pStyle w:val="Bodytext0"/>
        <w:numPr>
          <w:ilvl w:val="0"/>
          <w:numId w:val="2"/>
        </w:numPr>
        <w:shd w:val="clear" w:color="auto" w:fill="auto"/>
        <w:tabs>
          <w:tab w:val="left" w:pos="2174"/>
        </w:tabs>
        <w:spacing w:before="0" w:line="298" w:lineRule="exact"/>
        <w:ind w:left="1420" w:right="700" w:firstLine="0"/>
      </w:pPr>
      <w:r>
        <w:t>All the Writ Petitions are maintainable and entertainable. This Court has territorial jurisdiction to deal and decide the challenges so raised against impugned order (majority decision) dated 21 April 2017, passed by the Competition Commissi</w:t>
      </w:r>
      <w:r>
        <w:t>on of India (CCI) under the provisions of Section 26(1) of the Competition Act, 2002 in case Nos. 81 of 2016, 83 of 2016 and 95 of 2016 and all</w:t>
      </w:r>
    </w:p>
    <w:p w:rsidR="00884A28" w:rsidRDefault="00350526">
      <w:pPr>
        <w:pStyle w:val="Bodytext0"/>
        <w:shd w:val="clear" w:color="auto" w:fill="auto"/>
        <w:spacing w:before="0" w:after="240" w:line="298" w:lineRule="exact"/>
        <w:ind w:left="20" w:right="20" w:firstLine="0"/>
      </w:pPr>
      <w:r>
        <w:t>the consequential actions/notices of the Director General under Section 41 of the Competition Act arising out of</w:t>
      </w:r>
      <w:r>
        <w:t xml:space="preserve"> it.</w:t>
      </w:r>
    </w:p>
    <w:p w:rsidR="00884A28" w:rsidRDefault="00350526">
      <w:pPr>
        <w:pStyle w:val="Bodytext0"/>
        <w:numPr>
          <w:ilvl w:val="0"/>
          <w:numId w:val="2"/>
        </w:numPr>
        <w:shd w:val="clear" w:color="auto" w:fill="auto"/>
        <w:spacing w:before="0" w:after="240" w:line="298" w:lineRule="exact"/>
        <w:ind w:left="20" w:right="20" w:firstLine="0"/>
      </w:pPr>
      <w:r>
        <w:t xml:space="preserve"> The telecommunication Sector/Industry/Market is governed, regulated, controlled and developed by the Authorities under the Telegraph Act, the Telecom Regulatory Authority of India Act (TRAI Act) and related Regulations, Rules, Circulars, including al</w:t>
      </w:r>
      <w:r>
        <w:t>l government policies. All the “parties”, “persons”, “stakeholders”, “service providers”, “consumers” and “enterprise” are bound by the statutory agreements/contracts, apart from related policy, usage, custom, practice so announced by the Government/Author</w:t>
      </w:r>
      <w:r>
        <w:t>ity, from time to time.</w:t>
      </w:r>
    </w:p>
    <w:p w:rsidR="00884A28" w:rsidRDefault="00350526">
      <w:pPr>
        <w:pStyle w:val="Bodytext0"/>
        <w:numPr>
          <w:ilvl w:val="0"/>
          <w:numId w:val="2"/>
        </w:numPr>
        <w:shd w:val="clear" w:color="auto" w:fill="auto"/>
        <w:spacing w:before="0" w:after="240" w:line="298" w:lineRule="exact"/>
        <w:ind w:left="20" w:right="20" w:firstLine="0"/>
      </w:pPr>
      <w:r>
        <w:t xml:space="preserve"> The question of interpretation of clarification of any “contract clauses”, “unified license”, “interconnection agreements”, “quality of service regulations”, “rights and obligations of TSP between and related to the above provision</w:t>
      </w:r>
      <w:r>
        <w:t>s”, are to be settled by the Authorities/TDSAT and not by the Authorities under the Competition Act.</w:t>
      </w:r>
    </w:p>
    <w:p w:rsidR="00884A28" w:rsidRDefault="00350526">
      <w:pPr>
        <w:pStyle w:val="Bodytext0"/>
        <w:numPr>
          <w:ilvl w:val="0"/>
          <w:numId w:val="2"/>
        </w:numPr>
        <w:shd w:val="clear" w:color="auto" w:fill="auto"/>
        <w:spacing w:before="0" w:after="240" w:line="298" w:lineRule="exact"/>
        <w:ind w:left="20" w:right="20" w:firstLine="0"/>
      </w:pPr>
      <w:r>
        <w:t xml:space="preserve"> The concepts of “subscriber”, “test period”, “reasonable demand”, “test phase and commercial phase rights and obligations”, “reciprocal obligations of ser</w:t>
      </w:r>
      <w:r>
        <w:t>vice providers” or “breaches of any contract and/or practice”, arising out of TRAI Act and the policy so declared, are the matters within the jurisdiction of the Authority/TDSAT under the TRAI Act only.</w:t>
      </w:r>
    </w:p>
    <w:p w:rsidR="00884A28" w:rsidRDefault="00350526">
      <w:pPr>
        <w:pStyle w:val="Bodytext0"/>
        <w:numPr>
          <w:ilvl w:val="0"/>
          <w:numId w:val="2"/>
        </w:numPr>
        <w:shd w:val="clear" w:color="auto" w:fill="auto"/>
        <w:spacing w:before="0" w:after="240" w:line="298" w:lineRule="exact"/>
        <w:ind w:left="20" w:right="20" w:firstLine="0"/>
      </w:pPr>
      <w:r>
        <w:t xml:space="preserve"> The Competition Act and the TRAI Act are independent</w:t>
      </w:r>
      <w:r>
        <w:t xml:space="preserve"> statutes. The statutory authorities under the respective Acts are to discharge their power and jurisdiction in the light of the object, for which they are established. There is no conflict of the jurisdiction to be exercised by them. But the Competition A</w:t>
      </w:r>
      <w:r>
        <w:t>ct itself is not sufficient to decide and deal with the issues, arising out of the provisions of the TRAI Act and the contract conditions, under the Regulations.</w:t>
      </w:r>
    </w:p>
    <w:p w:rsidR="00884A28" w:rsidRDefault="00350526">
      <w:pPr>
        <w:pStyle w:val="Bodytext0"/>
        <w:numPr>
          <w:ilvl w:val="0"/>
          <w:numId w:val="2"/>
        </w:numPr>
        <w:shd w:val="clear" w:color="auto" w:fill="auto"/>
        <w:spacing w:before="0" w:line="298" w:lineRule="exact"/>
        <w:ind w:left="20" w:right="20" w:firstLine="0"/>
      </w:pPr>
      <w:r>
        <w:t xml:space="preserve"> The Competition Act governs the anti-competitive agreements and its effect - the issues about “abuse of dominant position and combinations”. It cannot be used and utilized to interpret the contract conditions/policies of telecom Sector/Industry/Market, ar</w:t>
      </w:r>
      <w:r>
        <w:t>ising out of the Telegraph Act and the TRAI Act.</w:t>
      </w:r>
    </w:p>
    <w:p w:rsidR="00884A28" w:rsidRDefault="00350526">
      <w:pPr>
        <w:pStyle w:val="Bodytext0"/>
        <w:numPr>
          <w:ilvl w:val="0"/>
          <w:numId w:val="2"/>
        </w:numPr>
        <w:shd w:val="clear" w:color="auto" w:fill="auto"/>
        <w:tabs>
          <w:tab w:val="left" w:pos="3729"/>
          <w:tab w:val="center" w:pos="5583"/>
          <w:tab w:val="right" w:pos="6786"/>
        </w:tabs>
        <w:spacing w:before="0" w:line="298" w:lineRule="exact"/>
        <w:ind w:left="20" w:right="20" w:firstLine="0"/>
      </w:pPr>
      <w:r>
        <w:t xml:space="preserve"> The Authority under the Competition Act has no jurisdiction to decide and deal with the various statutory agreements, contracts,</w:t>
      </w:r>
      <w:r>
        <w:tab/>
        <w:t>including</w:t>
      </w:r>
      <w:r>
        <w:tab/>
        <w:t>the</w:t>
      </w:r>
      <w:r>
        <w:tab/>
        <w:t>rival</w:t>
      </w:r>
    </w:p>
    <w:p w:rsidR="00884A28" w:rsidRDefault="00350526">
      <w:pPr>
        <w:pStyle w:val="Bodytext0"/>
        <w:shd w:val="clear" w:color="auto" w:fill="auto"/>
        <w:spacing w:before="0" w:after="240" w:line="298" w:lineRule="exact"/>
        <w:ind w:left="20" w:right="20" w:firstLine="0"/>
      </w:pPr>
      <w:r>
        <w:t>rights/obligations, of its own. Every aspects of developm</w:t>
      </w:r>
      <w:r>
        <w:t>ent of telecommunication market are to be regulated and controlled by the concerned Department/ Government, based upon the policy so declared from time to time, keeping in mind the need and the technology, under the TRAI Act.</w:t>
      </w:r>
    </w:p>
    <w:p w:rsidR="00884A28" w:rsidRDefault="00350526">
      <w:pPr>
        <w:pStyle w:val="Bodytext0"/>
        <w:numPr>
          <w:ilvl w:val="0"/>
          <w:numId w:val="2"/>
        </w:numPr>
        <w:shd w:val="clear" w:color="auto" w:fill="auto"/>
        <w:tabs>
          <w:tab w:val="right" w:pos="3657"/>
          <w:tab w:val="center" w:pos="5583"/>
          <w:tab w:val="right" w:pos="6786"/>
        </w:tabs>
        <w:spacing w:before="0" w:line="298" w:lineRule="exact"/>
        <w:ind w:left="20" w:right="20" w:firstLine="0"/>
      </w:pPr>
      <w:r>
        <w:t xml:space="preserve"> Impugned order dated 21 April</w:t>
      </w:r>
      <w:r>
        <w:t xml:space="preserve"> 2017 passed by the Competition Commission of India (CCI) under the provisions of Section 26(1) of the Competition Act, 2002 and all the consequential</w:t>
      </w:r>
      <w:r>
        <w:tab/>
        <w:t>actions/notices of</w:t>
      </w:r>
      <w:r>
        <w:tab/>
        <w:t>the</w:t>
      </w:r>
      <w:r>
        <w:tab/>
        <w:t>Director</w:t>
      </w:r>
    </w:p>
    <w:p w:rsidR="00884A28" w:rsidRDefault="00350526">
      <w:pPr>
        <w:pStyle w:val="Bodytext0"/>
        <w:shd w:val="clear" w:color="auto" w:fill="auto"/>
        <w:tabs>
          <w:tab w:val="left" w:pos="3794"/>
          <w:tab w:val="left" w:pos="3716"/>
        </w:tabs>
        <w:spacing w:before="0" w:line="298" w:lineRule="exact"/>
        <w:ind w:left="20" w:firstLine="0"/>
      </w:pPr>
      <w:r>
        <w:t>General under Section</w:t>
      </w:r>
      <w:r>
        <w:tab/>
        <w:t>41</w:t>
      </w:r>
      <w:r>
        <w:tab/>
        <w:t>of the Competition Act</w:t>
      </w:r>
    </w:p>
    <w:p w:rsidR="00884A28" w:rsidRDefault="00350526">
      <w:pPr>
        <w:pStyle w:val="Bodytext0"/>
        <w:shd w:val="clear" w:color="auto" w:fill="auto"/>
        <w:tabs>
          <w:tab w:val="right" w:pos="3657"/>
          <w:tab w:val="left" w:pos="3813"/>
          <w:tab w:val="center" w:pos="5583"/>
          <w:tab w:val="right" w:pos="6786"/>
        </w:tabs>
        <w:spacing w:before="0" w:line="298" w:lineRule="exact"/>
        <w:ind w:left="20" w:right="20" w:firstLine="0"/>
      </w:pPr>
      <w:r>
        <w:t xml:space="preserve">proceeded on wrong </w:t>
      </w:r>
      <w:r>
        <w:t xml:space="preserve">presumption of law and usurpation of jurisdiction, unless the contract agreements, terms and clauses and/or the related issues are settled by the Authority under the TRAI Act, there is no question to initiating any proceedings under the Competition Act as </w:t>
      </w:r>
      <w:r>
        <w:t>contracts/agreements go</w:t>
      </w:r>
      <w:r>
        <w:tab/>
        <w:t>to</w:t>
      </w:r>
      <w:r>
        <w:tab/>
        <w:t>the root of</w:t>
      </w:r>
      <w:r>
        <w:tab/>
        <w:t>the</w:t>
      </w:r>
      <w:r>
        <w:tab/>
        <w:t>alleged</w:t>
      </w:r>
    </w:p>
    <w:p w:rsidR="00884A28" w:rsidRDefault="00350526">
      <w:pPr>
        <w:pStyle w:val="Bodytext0"/>
        <w:shd w:val="clear" w:color="auto" w:fill="auto"/>
        <w:spacing w:before="0" w:after="240" w:line="298" w:lineRule="exact"/>
        <w:ind w:left="20" w:firstLine="0"/>
      </w:pPr>
      <w:r>
        <w:t>controversy, even under the Competition Act.</w:t>
      </w:r>
    </w:p>
    <w:p w:rsidR="00884A28" w:rsidRDefault="00350526">
      <w:pPr>
        <w:pStyle w:val="Bodytext0"/>
        <w:numPr>
          <w:ilvl w:val="0"/>
          <w:numId w:val="2"/>
        </w:numPr>
        <w:shd w:val="clear" w:color="auto" w:fill="auto"/>
        <w:spacing w:before="0" w:after="240" w:line="298" w:lineRule="exact"/>
        <w:ind w:left="20" w:right="20" w:firstLine="0"/>
      </w:pPr>
      <w:r>
        <w:t xml:space="preserve"> The Authority, like the Commission and/or Director General, has no power to deal and decide the stated breaches including of “delay, “denial”, and “congestion” of POIs unless settled finally by the Authorities/TDSAT under the TRAI Act. Therefore, there is</w:t>
      </w:r>
      <w:r>
        <w:t xml:space="preserve"> no question to initiate any inquiry and investigations under Section 26(1) of the Competition Act. It is without jurisdiction. Even at the time of passing of final order, the Commission and the Authority, will not be in a position to deal with the contrac</w:t>
      </w:r>
      <w:r>
        <w:t xml:space="preserve">tual terms and conditions and/or any breaches, if any. The uncleared and vague information are not sufficient to initiate inquiry and/or investigation under the Competition Act, unless the governing law and the policy of the concerned “market” has clearly </w:t>
      </w:r>
      <w:r>
        <w:t>defined the respective rights and obligations of the concerned parties/persons.</w:t>
      </w:r>
    </w:p>
    <w:p w:rsidR="00884A28" w:rsidRDefault="00350526">
      <w:pPr>
        <w:pStyle w:val="Bodytext0"/>
        <w:shd w:val="clear" w:color="auto" w:fill="auto"/>
        <w:spacing w:before="0" w:after="233" w:line="298" w:lineRule="exact"/>
        <w:ind w:left="20" w:right="20" w:firstLine="0"/>
      </w:pPr>
      <w:r>
        <w:t>j) Impugned order dated 21 April 2017 and all the consequential actions/notices of the Director General under the Competition Act, therefore, in the present facts and circumsta</w:t>
      </w:r>
      <w:r>
        <w:t>nces, are not mere “administrative directions”.</w:t>
      </w:r>
    </w:p>
    <w:p w:rsidR="00884A28" w:rsidRDefault="00350526">
      <w:pPr>
        <w:pStyle w:val="Bodytext0"/>
        <w:shd w:val="clear" w:color="auto" w:fill="auto"/>
        <w:spacing w:before="0" w:line="307" w:lineRule="exact"/>
        <w:ind w:left="20" w:right="20" w:firstLine="0"/>
        <w:sectPr w:rsidR="00884A28">
          <w:pgSz w:w="12240" w:h="15840"/>
          <w:pgMar w:top="585" w:right="972" w:bottom="1166" w:left="2402" w:header="0" w:footer="3" w:gutter="0"/>
          <w:cols w:space="720"/>
          <w:noEndnote/>
          <w:docGrid w:linePitch="360"/>
        </w:sectPr>
      </w:pPr>
      <w:r>
        <w:t>k) Impugned order dated 21 April 2017 and all the consequential actions/notices of the Director General</w:t>
      </w:r>
    </w:p>
    <w:p w:rsidR="00884A28" w:rsidRDefault="00350526">
      <w:pPr>
        <w:pStyle w:val="Bodytext0"/>
        <w:shd w:val="clear" w:color="auto" w:fill="auto"/>
        <w:spacing w:before="0" w:after="240" w:line="298" w:lineRule="exact"/>
        <w:ind w:left="1420" w:right="680" w:firstLine="0"/>
      </w:pPr>
      <w:r>
        <w:t>under the Competition Act are, therefore, illegal, perverse and also in view of the fac</w:t>
      </w:r>
      <w:r>
        <w:t>t that it takes into consideration irrelevant material and ignores the relevant material and the law.</w:t>
      </w:r>
    </w:p>
    <w:p w:rsidR="00884A28" w:rsidRDefault="00350526">
      <w:pPr>
        <w:pStyle w:val="Bodytext0"/>
        <w:numPr>
          <w:ilvl w:val="0"/>
          <w:numId w:val="3"/>
        </w:numPr>
        <w:shd w:val="clear" w:color="auto" w:fill="auto"/>
        <w:tabs>
          <w:tab w:val="left" w:pos="2073"/>
        </w:tabs>
        <w:spacing w:before="0" w:after="286" w:line="298" w:lineRule="exact"/>
        <w:ind w:left="1420" w:right="680" w:firstLine="0"/>
      </w:pPr>
      <w:r>
        <w:t>Every majority decision cannot be termed as “cartelisation”. Even ex-facie service providers and its Association COAI have not committed any breaches of a</w:t>
      </w:r>
      <w:r>
        <w:t>ny provisions of the Competition Act.</w:t>
      </w:r>
    </w:p>
    <w:p w:rsidR="00884A28" w:rsidRDefault="00350526">
      <w:pPr>
        <w:pStyle w:val="Bodytext0"/>
        <w:shd w:val="clear" w:color="auto" w:fill="auto"/>
        <w:spacing w:before="0" w:after="302" w:line="240" w:lineRule="exact"/>
        <w:ind w:left="1420" w:firstLine="0"/>
      </w:pPr>
      <w:r>
        <w:t>131. Hence the following</w:t>
      </w:r>
    </w:p>
    <w:p w:rsidR="00884A28" w:rsidRDefault="00350526">
      <w:pPr>
        <w:pStyle w:val="Bodytext20"/>
        <w:shd w:val="clear" w:color="auto" w:fill="auto"/>
        <w:spacing w:after="266" w:line="240" w:lineRule="exact"/>
        <w:ind w:left="4340"/>
        <w:jc w:val="left"/>
      </w:pPr>
      <w:r>
        <w:t>ORDER</w:t>
      </w:r>
    </w:p>
    <w:p w:rsidR="00884A28" w:rsidRDefault="00350526">
      <w:pPr>
        <w:pStyle w:val="Bodytext0"/>
        <w:numPr>
          <w:ilvl w:val="0"/>
          <w:numId w:val="4"/>
        </w:numPr>
        <w:shd w:val="clear" w:color="auto" w:fill="auto"/>
        <w:spacing w:before="0" w:after="286" w:line="298" w:lineRule="exact"/>
        <w:ind w:left="1420" w:right="680" w:firstLine="0"/>
      </w:pPr>
      <w:r>
        <w:t xml:space="preserve"> Impugned order dated 21 April 2017, passed by the Competition Commission of India (CCI) under the provisions of Section 26(1) of the Competition Act, 2002 in case Nos. 81 of 2016, 83 of 2016 and 95 of 2016 and all the consequential actions/notices of the </w:t>
      </w:r>
      <w:r>
        <w:t>Director General under Section 41 of the Competition Act, are liable to be quashed and set aside, in exercise of power under Article 226 of the Constitution of India. Order accordingly.</w:t>
      </w:r>
    </w:p>
    <w:p w:rsidR="00884A28" w:rsidRDefault="00350526">
      <w:pPr>
        <w:pStyle w:val="Bodytext0"/>
        <w:numPr>
          <w:ilvl w:val="0"/>
          <w:numId w:val="4"/>
        </w:numPr>
        <w:shd w:val="clear" w:color="auto" w:fill="auto"/>
        <w:spacing w:before="0" w:after="312" w:line="240" w:lineRule="exact"/>
        <w:ind w:left="1420" w:firstLine="0"/>
      </w:pPr>
      <w:r>
        <w:t xml:space="preserve"> All the Writ Petitions are allowed.</w:t>
      </w:r>
    </w:p>
    <w:p w:rsidR="00884A28" w:rsidRDefault="00350526">
      <w:pPr>
        <w:pStyle w:val="Bodytext0"/>
        <w:numPr>
          <w:ilvl w:val="0"/>
          <w:numId w:val="4"/>
        </w:numPr>
        <w:shd w:val="clear" w:color="auto" w:fill="auto"/>
        <w:spacing w:before="0" w:after="262" w:line="240" w:lineRule="exact"/>
        <w:ind w:left="1420" w:firstLine="0"/>
      </w:pPr>
      <w:r>
        <w:t xml:space="preserve"> There shall be no order as to co</w:t>
      </w:r>
      <w:r>
        <w:t>sts.</w:t>
      </w:r>
    </w:p>
    <w:p w:rsidR="00884A28" w:rsidRDefault="00350526">
      <w:pPr>
        <w:pStyle w:val="Bodytext0"/>
        <w:numPr>
          <w:ilvl w:val="0"/>
          <w:numId w:val="4"/>
        </w:numPr>
        <w:shd w:val="clear" w:color="auto" w:fill="auto"/>
        <w:spacing w:before="0" w:after="328" w:line="302" w:lineRule="exact"/>
        <w:ind w:left="1420" w:right="680" w:firstLine="0"/>
      </w:pPr>
      <w:r>
        <w:t xml:space="preserve"> In view of the above, nothing survives in Civil Application (Stamp) No. 17736 of 2017 in Writ Petition No. 7164 of 2017 and the same is also disposed of. No costs.”</w:t>
      </w:r>
    </w:p>
    <w:p w:rsidR="00884A28" w:rsidRDefault="00350526">
      <w:pPr>
        <w:pStyle w:val="Bodytext0"/>
        <w:numPr>
          <w:ilvl w:val="0"/>
          <w:numId w:val="1"/>
        </w:numPr>
        <w:shd w:val="clear" w:color="auto" w:fill="auto"/>
        <w:tabs>
          <w:tab w:val="left" w:pos="730"/>
        </w:tabs>
        <w:spacing w:before="0"/>
        <w:ind w:left="740" w:right="20"/>
      </w:pPr>
      <w:r>
        <w:t xml:space="preserve">Gist of the aforesaid order, as per the High Court, is that insofar as the telecom </w:t>
      </w:r>
      <w:r>
        <w:t>sector/industry/market is concerned, same is governed, regulated, controlled and developed by the authorities under the India Telegraph Act, 1885 (hereinafter referred to as the ‘Telegraph Act’), the Telecom Regulatory Authority of India Act, 1997 (for sho</w:t>
      </w:r>
      <w:r>
        <w:t>rt, ‘TRAI Act’), and as well as the related Regulations, Rules, Circulars, etc. Therefore, the question of</w:t>
      </w:r>
    </w:p>
    <w:p w:rsidR="00884A28" w:rsidRDefault="00350526">
      <w:pPr>
        <w:pStyle w:val="Bodytext0"/>
        <w:shd w:val="clear" w:color="auto" w:fill="auto"/>
        <w:spacing w:before="0"/>
        <w:ind w:left="20" w:right="20" w:firstLine="0"/>
      </w:pPr>
      <w:r>
        <w:t>interpretation or clarification of any “contract clauses”, “unified license”, “interconnection agreements”, “quality of service regulations”, “rights</w:t>
      </w:r>
      <w:r>
        <w:t xml:space="preserve"> and obligations of TSP between and related to the above provisions”, are to be settled by the Authorities/Telecom Disputes Settlement and Appellate Tribunal (TDSAT) and not by the Authorities under the Act. It has also held that the Competition Act and th</w:t>
      </w:r>
      <w:r>
        <w:t xml:space="preserve">e TRAI Act are independent statutes and the statutory authorities under the respective Acts are to discharge their power and jurisdiction in the light of the objectives for which they are established. The Competition Act is itself not sufficient to decide </w:t>
      </w:r>
      <w:r>
        <w:t>and deal with the issues arising out of the provisions of the TRAI Act etc. Thus, the CCI has no jurisdiction to decide and deal with the various statutory agreements, contracts, including rival rights/obligations, of its own. The issues arising out of con</w:t>
      </w:r>
      <w:r>
        <w:t xml:space="preserve">tract agreements, terms and clauses and/or the related issues are to be settled by the authority under the TRAI Act in the first instance and unless these issues are decided, there is no question of initiating any proceedings under the Act. In a nutshell, </w:t>
      </w:r>
      <w:r>
        <w:t>it is held that insofar as contracts, etc. which are regulated by the TRAI Act are concerned, in the first instance, it is the authority under the TRAI Act which has to decide these questions. Once there is a</w:t>
      </w:r>
    </w:p>
    <w:p w:rsidR="00884A28" w:rsidRDefault="00350526">
      <w:pPr>
        <w:pStyle w:val="Bodytext0"/>
        <w:shd w:val="clear" w:color="auto" w:fill="auto"/>
        <w:spacing w:before="0" w:after="300"/>
        <w:ind w:left="720" w:right="20" w:firstLine="0"/>
      </w:pPr>
      <w:r>
        <w:t>determination of the respective rights and obli</w:t>
      </w:r>
      <w:r>
        <w:t>gations under these licenses by the authority under the TRAI Act, which provided an information to the effect that the particular act appears to be anti</w:t>
      </w:r>
      <w:r>
        <w:softHyphen/>
        <w:t>competitive, only thereafter the CCI gets jurisdiction to go into the question of such anti-competitive</w:t>
      </w:r>
      <w:r>
        <w:t xml:space="preserve"> practice. Primarily the message behind the decision of the High Court is that jurisdictional facts are to be decided by the authorities under the TRAI Act which has the exclusive jurisdiction to determine those issues as the TRAI is the statutory authorit</w:t>
      </w:r>
      <w:r>
        <w:t>y established for this very purpose, and unless there is a determination of these facts, the machinery under the Competition Act cannot be invoked. To put it otherwise, the judgment proceeds to decide that it was premature for the CCI to entertain the Info</w:t>
      </w:r>
      <w:r>
        <w:t>rmation for want of determination of such issues that fall within the domain of the TRAI Act.</w:t>
      </w:r>
    </w:p>
    <w:p w:rsidR="00884A28" w:rsidRDefault="00350526">
      <w:pPr>
        <w:pStyle w:val="Bodytext0"/>
        <w:numPr>
          <w:ilvl w:val="0"/>
          <w:numId w:val="1"/>
        </w:numPr>
        <w:shd w:val="clear" w:color="auto" w:fill="auto"/>
        <w:tabs>
          <w:tab w:val="left" w:pos="674"/>
          <w:tab w:val="right" w:pos="7098"/>
          <w:tab w:val="right" w:pos="8837"/>
        </w:tabs>
        <w:spacing w:before="0"/>
        <w:ind w:firstLine="0"/>
      </w:pPr>
      <w:r>
        <w:t>It is obvious that the</w:t>
      </w:r>
      <w:r>
        <w:tab/>
        <w:t>RJIL is not happy with</w:t>
      </w:r>
      <w:r>
        <w:tab/>
        <w:t>the aforesaid</w:t>
      </w:r>
    </w:p>
    <w:p w:rsidR="00884A28" w:rsidRDefault="00350526">
      <w:pPr>
        <w:pStyle w:val="Bodytext0"/>
        <w:shd w:val="clear" w:color="auto" w:fill="auto"/>
        <w:tabs>
          <w:tab w:val="right" w:pos="7098"/>
          <w:tab w:val="right" w:pos="8837"/>
        </w:tabs>
        <w:spacing w:before="0"/>
        <w:ind w:left="720" w:firstLine="0"/>
      </w:pPr>
      <w:r>
        <w:t>outcome. Even the CCI</w:t>
      </w:r>
      <w:r>
        <w:tab/>
        <w:t>feels aggrieved. CCI has</w:t>
      </w:r>
      <w:r>
        <w:tab/>
        <w:t>impugned this</w:t>
      </w:r>
    </w:p>
    <w:p w:rsidR="00884A28" w:rsidRDefault="00350526">
      <w:pPr>
        <w:pStyle w:val="Bodytext0"/>
        <w:shd w:val="clear" w:color="auto" w:fill="auto"/>
        <w:spacing w:before="0" w:after="300"/>
        <w:ind w:left="720" w:right="20" w:firstLine="0"/>
      </w:pPr>
      <w:r>
        <w:t>decision by filing four special leave pet</w:t>
      </w:r>
      <w:r>
        <w:t>itions, while the other one has been filed by the RJIL.</w:t>
      </w:r>
    </w:p>
    <w:p w:rsidR="00884A28" w:rsidRDefault="00350526">
      <w:pPr>
        <w:pStyle w:val="Bodytext0"/>
        <w:numPr>
          <w:ilvl w:val="0"/>
          <w:numId w:val="1"/>
        </w:numPr>
        <w:shd w:val="clear" w:color="auto" w:fill="auto"/>
        <w:tabs>
          <w:tab w:val="left" w:pos="674"/>
          <w:tab w:val="right" w:pos="7098"/>
          <w:tab w:val="right" w:pos="8837"/>
        </w:tabs>
        <w:spacing w:before="0"/>
        <w:ind w:firstLine="0"/>
      </w:pPr>
      <w:r>
        <w:t>The material facts which</w:t>
      </w:r>
      <w:r>
        <w:tab/>
        <w:t>are absolutely essential to</w:t>
      </w:r>
      <w:r>
        <w:tab/>
        <w:t>determine the</w:t>
      </w:r>
    </w:p>
    <w:p w:rsidR="00884A28" w:rsidRDefault="00350526">
      <w:pPr>
        <w:pStyle w:val="Bodytext0"/>
        <w:shd w:val="clear" w:color="auto" w:fill="auto"/>
        <w:tabs>
          <w:tab w:val="right" w:pos="7098"/>
          <w:tab w:val="right" w:pos="8837"/>
        </w:tabs>
        <w:spacing w:before="0"/>
        <w:ind w:left="720" w:firstLine="0"/>
      </w:pPr>
      <w:r>
        <w:t>controversy, eschewing</w:t>
      </w:r>
      <w:r>
        <w:tab/>
        <w:t>the unnecessary details,</w:t>
      </w:r>
      <w:r>
        <w:tab/>
        <w:t>may now be</w:t>
      </w:r>
    </w:p>
    <w:p w:rsidR="00884A28" w:rsidRDefault="00350526">
      <w:pPr>
        <w:pStyle w:val="Bodytext0"/>
        <w:shd w:val="clear" w:color="auto" w:fill="auto"/>
        <w:spacing w:before="0"/>
        <w:ind w:left="720" w:firstLine="0"/>
      </w:pPr>
      <w:r>
        <w:t>recapitulated:</w:t>
      </w:r>
    </w:p>
    <w:p w:rsidR="00884A28" w:rsidRDefault="00350526">
      <w:pPr>
        <w:pStyle w:val="Bodytext30"/>
        <w:shd w:val="clear" w:color="auto" w:fill="auto"/>
        <w:spacing w:line="643" w:lineRule="exact"/>
        <w:ind w:left="20" w:firstLine="0"/>
        <w:jc w:val="left"/>
      </w:pPr>
      <w:r>
        <w:t>Factual Background:</w:t>
      </w:r>
    </w:p>
    <w:p w:rsidR="00884A28" w:rsidRDefault="00350526">
      <w:pPr>
        <w:pStyle w:val="Bodytext0"/>
        <w:shd w:val="clear" w:color="auto" w:fill="auto"/>
        <w:spacing w:before="0"/>
        <w:ind w:left="20" w:right="20" w:firstLine="700"/>
      </w:pPr>
      <w:r>
        <w:t xml:space="preserve">With the decision of the Government of </w:t>
      </w:r>
      <w:r>
        <w:t>India, more than 25 years ago, ushering into era of globalisation and liberalisation, lot of avenues opened up. It led to the privatisation of business in many sectors which were, hitherto, monopolistic domain of the Government. These included aviation, in</w:t>
      </w:r>
      <w:r>
        <w:t xml:space="preserve">surance, telecommunication etc. With the opening of the industrial and other activities in all spheres by placing it in the hands of private sector led to a significant economic development. The absolute control of the Government through public enterprise </w:t>
      </w:r>
      <w:r>
        <w:t>or otherwise, which had seen licence and quota raj, virtually withered away, thereby reverting back to laissez faire economy to a great extent, though not completely. It led to two significant developments:</w:t>
      </w:r>
    </w:p>
    <w:p w:rsidR="00884A28" w:rsidRDefault="00350526">
      <w:pPr>
        <w:pStyle w:val="Bodytext0"/>
        <w:shd w:val="clear" w:color="auto" w:fill="auto"/>
        <w:spacing w:before="0"/>
        <w:ind w:left="20" w:right="20" w:firstLine="700"/>
      </w:pPr>
      <w:r>
        <w:t xml:space="preserve">In the first instance, though the private sector </w:t>
      </w:r>
      <w:r>
        <w:t>was given full freedom to do the business without any shackles in the form of controls etc., it was also deemed necessary at the same time that in public interest, some of the aspects of the business need to be regulated, of course, not by the Government b</w:t>
      </w:r>
      <w:r>
        <w:t>ut by an independent regulatory authority. This necessity prompted the Government to come out with regulatory regime in different sectors. For example, in insurance sector, we have regulatory authority constituted under Insurance Regulatory and</w:t>
      </w:r>
    </w:p>
    <w:p w:rsidR="00884A28" w:rsidRDefault="00350526">
      <w:pPr>
        <w:pStyle w:val="Bodytext0"/>
        <w:shd w:val="clear" w:color="auto" w:fill="auto"/>
        <w:spacing w:before="0"/>
        <w:ind w:left="20" w:right="20" w:firstLine="0"/>
      </w:pPr>
      <w:r>
        <w:t>Development</w:t>
      </w:r>
      <w:r>
        <w:t xml:space="preserve"> Authority Act, 1999; for industries generating electricity, there is an electricity regulatory authority constituted under the Electricity Act, 2003; and for telecom sector, with which we are concerned, the TRAI is constituted under the provisions of TRAI</w:t>
      </w:r>
      <w:r>
        <w:t xml:space="preserve"> Act.</w:t>
      </w:r>
    </w:p>
    <w:p w:rsidR="00884A28" w:rsidRDefault="00350526">
      <w:pPr>
        <w:pStyle w:val="Bodytext0"/>
        <w:shd w:val="clear" w:color="auto" w:fill="auto"/>
        <w:spacing w:before="0"/>
        <w:ind w:left="20" w:right="20" w:firstLine="700"/>
      </w:pPr>
      <w:r>
        <w:t xml:space="preserve">Secondly, this requirement to do business thereby allowing free entry to private enterprise led to competition between different players in the private sector. Competition is perceived as a phenomena which is in best public interest in so many ways. </w:t>
      </w:r>
      <w:r>
        <w:t>Therefore, it becomes necessary to encourage competition. At the same time, tendency of the business enterprises to adopt practices which retard healthy competition needed to be curbed. There was a governing law in the field known as Monopolistic and Restr</w:t>
      </w:r>
      <w:r>
        <w:t>ictive Trade Practice Act, 1969. However, it was felt that a new robust statutory regime is required to take care of the needs of the present day. This necessity prompted the Parliament to come out with a new Act on the subject and the Competition Act, 200</w:t>
      </w:r>
      <w:r>
        <w:t xml:space="preserve">2 was passed by the Parliament. Under this Act, the CCI is constituted as a statutory body which is to ensure healthy competition in markets thereby preventing the practice of having adverse effect on competition; to promote and sustain the competition in </w:t>
      </w:r>
      <w:r>
        <w:t>markets; to protect the interest of consumers and</w:t>
      </w:r>
    </w:p>
    <w:p w:rsidR="00884A28" w:rsidRDefault="00350526">
      <w:pPr>
        <w:pStyle w:val="Bodytext0"/>
        <w:shd w:val="clear" w:color="auto" w:fill="auto"/>
        <w:spacing w:before="0" w:after="300"/>
        <w:ind w:left="720" w:right="20" w:firstLine="0"/>
      </w:pPr>
      <w:r>
        <w:t>to ensure freedom of trade. In that sense, the CCI is also a regulator. But a unique feature of the CCI is that it is not sector based body but has the jurisdiction across which transcends sectoral boundari</w:t>
      </w:r>
      <w:r>
        <w:t>es, thereby covering all the industries, with focus on the aforesaid object and purpose behind the Competition Act, 2002.</w:t>
      </w:r>
    </w:p>
    <w:p w:rsidR="00884A28" w:rsidRDefault="00350526">
      <w:pPr>
        <w:pStyle w:val="Bodytext0"/>
        <w:numPr>
          <w:ilvl w:val="0"/>
          <w:numId w:val="1"/>
        </w:numPr>
        <w:shd w:val="clear" w:color="auto" w:fill="auto"/>
        <w:tabs>
          <w:tab w:val="left" w:pos="730"/>
        </w:tabs>
        <w:spacing w:before="0"/>
        <w:ind w:left="720" w:right="20" w:hanging="720"/>
      </w:pPr>
      <w:r>
        <w:t xml:space="preserve">In the instant appeals, width and scope of the powers of the CCI under the Competition Act, 2002 pertaining to telecom sector i.e. in </w:t>
      </w:r>
      <w:r>
        <w:t>respect of the companies in telecom industry providing telecom services is to be defined vis-a-vis the scope of the powers of TRAI under the TRAI Act, 1997. It has arisen in these appeals, in the following background:</w:t>
      </w:r>
    </w:p>
    <w:p w:rsidR="00884A28" w:rsidRDefault="00350526">
      <w:pPr>
        <w:pStyle w:val="Bodytext0"/>
        <w:shd w:val="clear" w:color="auto" w:fill="auto"/>
        <w:spacing w:before="0" w:after="300"/>
        <w:ind w:left="720" w:right="20" w:firstLine="680"/>
      </w:pPr>
      <w:r>
        <w:t>As mentioned above, TRAI is the regula</w:t>
      </w:r>
      <w:r>
        <w:t>tory which regulates the functioning of the telecom service provider i.e. the telecom sector. Section 11 of the TRAI Act enumerates various functions which TRAI is supposed to perform under the Act. Section 13, likewise, empowers the TRAI to issue directio</w:t>
      </w:r>
      <w:r>
        <w:t>ns, from time to time, to the service provider. In exercise of powers under Section 13 read with Section 11 of the TRAI Act, the TRAI issued directions dated June 07, 2005 to all the telecom service providers to provide interconnection within ninety days o</w:t>
      </w:r>
      <w:r>
        <w:t>f the applicable payments made by the interconnection seeker. The purpose behind providing interconnection by one service provider to the other service provider is to ensure smooth communication by a subscriber of one service provider to the cell number wh</w:t>
      </w:r>
      <w:r>
        <w:t>ich is provided by another service provider. In that sense, this direction facilitates smooth functioning of the cell phone network even when it is managed by different companies as it ensures interconnectivity i.e. connectivity from one service provider t</w:t>
      </w:r>
      <w:r>
        <w:t>o other service provider.</w:t>
      </w:r>
    </w:p>
    <w:p w:rsidR="00884A28" w:rsidRDefault="00350526">
      <w:pPr>
        <w:pStyle w:val="Bodytext0"/>
        <w:numPr>
          <w:ilvl w:val="0"/>
          <w:numId w:val="1"/>
        </w:numPr>
        <w:shd w:val="clear" w:color="auto" w:fill="auto"/>
        <w:tabs>
          <w:tab w:val="left" w:pos="720"/>
        </w:tabs>
        <w:spacing w:before="0"/>
        <w:ind w:left="720" w:right="20" w:hanging="720"/>
      </w:pPr>
      <w:r>
        <w:t>On October 21, 2013, RJIL was granted Unified License and Unified Access Service License under Section 4 of the Telegraph Act by the Department of Telecom (DoT) for providing telecommunication services in all 22 circles/licensed service areas in India. Soo</w:t>
      </w:r>
      <w:r>
        <w:t xml:space="preserve">n thereafter, RJIL executed interconnection agreements (ICA) with existing telecom operators </w:t>
      </w:r>
      <w:r>
        <w:rPr>
          <w:rStyle w:val="BodytextItalic"/>
        </w:rPr>
        <w:t xml:space="preserve">inter alia </w:t>
      </w:r>
      <w:r>
        <w:t>including, Bharti Airtel Limited and Bharti Hexagon Limited (hereinafter collectively referred to as the ‘Airtel’), Idea Cellular Limited (hereinafter r</w:t>
      </w:r>
      <w:r>
        <w:t>eferred to as the ‘Idea’); Vodafone India Limited/Vodafone Mobile Services Limited (hereinafter collectively referred to as the ‘Vodafone’). RJIL commenced test trial of its services after intimation and approval of the DoT and TRAI.</w:t>
      </w:r>
    </w:p>
    <w:p w:rsidR="00884A28" w:rsidRDefault="00350526">
      <w:pPr>
        <w:pStyle w:val="Bodytext0"/>
        <w:numPr>
          <w:ilvl w:val="0"/>
          <w:numId w:val="1"/>
        </w:numPr>
        <w:shd w:val="clear" w:color="auto" w:fill="auto"/>
        <w:tabs>
          <w:tab w:val="left" w:pos="730"/>
        </w:tabs>
        <w:spacing w:before="0" w:after="240"/>
        <w:ind w:left="720" w:right="20" w:hanging="720"/>
      </w:pPr>
      <w:r>
        <w:t>By its ‘firm demand’ l</w:t>
      </w:r>
      <w:r>
        <w:t>etter of June 21, 2016, RJIL vide separate letters requested IDOs to augment Point of Interconnection (POIs) for access, National Long Distance (NLD) and International Long Distance (ILD) services, as according to it, the capacity already provided to it wa</w:t>
      </w:r>
      <w:r>
        <w:t>s causing huge POI congestion, resulting in call failures on its network. According to RJIL, these companies intentionally ignored the aforesaid request. Accordingly, RJIL sent a letter dated July 14, 2016 to TRAI stating that the POIs provided by IDOs are</w:t>
      </w:r>
      <w:r>
        <w:t xml:space="preserve"> substantially inadequate and leading to congestion/call failures on its network in all circles. Hence, TRAI was requested to intervene and direct these telecom operators to augment the POI capacities as per the demands made by RJIL. TRAI vide separate let</w:t>
      </w:r>
      <w:r>
        <w:t xml:space="preserve">ters dated July 19, 2014 requested </w:t>
      </w:r>
      <w:r>
        <w:rPr>
          <w:rStyle w:val="BodytextItalic"/>
        </w:rPr>
        <w:t>inter alia</w:t>
      </w:r>
      <w:r>
        <w:t xml:space="preserve"> the aforementioned telecom operators to augment POIs as per the RJIL’s request. Further, responses of the respective companies were also sought on the issues raised by RJIL, within seven days. Idea responded by</w:t>
      </w:r>
      <w:r>
        <w:t xml:space="preserve"> sending letter dated July 26, 2016 to RJIL denying that there had been any delay in augmentation of POIs and further stated that it is willing to fully support RJIL and that it had instructed its circle teams to augment the POIs on the basis of traffic co</w:t>
      </w:r>
      <w:r>
        <w:t xml:space="preserve">ngestion as per the ICA. Likewise, Airtel also sent reply dated August 03, 2016 to TRAI, </w:t>
      </w:r>
      <w:r>
        <w:rPr>
          <w:rStyle w:val="BodytextItalic"/>
        </w:rPr>
        <w:t>inter alia</w:t>
      </w:r>
      <w:r>
        <w:t xml:space="preserve"> stating that augmentation of POIs shall be undertaken as per the terms and conditions of the ICA and on the basis of traffic trends post their commercial la</w:t>
      </w:r>
      <w:r>
        <w:t xml:space="preserve">unch. RJIL was not satisfied with such responses. It sent another letter dated August 04, 2016 to TRAI reiterating its earlier request for augmentation of POIs by the subject telecom operators. In the meantime, even Cellular Operators Association of India </w:t>
      </w:r>
      <w:r>
        <w:t>(COAI) intervened by addressing communication dated August 08, 2016 to TRAI wherein it took a stand by stating that the RJIL was providing free service to millions of users under the guise of testing which led to choking of POIs. It was further suggested t</w:t>
      </w:r>
      <w:r>
        <w:t>hat due to the free service provided by RJIL, a substantial imbalance in voice traffic had occurred for which the existing operators were not adequately compensated under the Interconnection Usage Charges regulations (IUC) in place.</w:t>
      </w:r>
    </w:p>
    <w:p w:rsidR="00884A28" w:rsidRDefault="00350526">
      <w:pPr>
        <w:pStyle w:val="Bodytext0"/>
        <w:numPr>
          <w:ilvl w:val="0"/>
          <w:numId w:val="1"/>
        </w:numPr>
        <w:shd w:val="clear" w:color="auto" w:fill="auto"/>
        <w:tabs>
          <w:tab w:val="left" w:pos="721"/>
        </w:tabs>
        <w:spacing w:before="0" w:after="240"/>
        <w:ind w:left="720" w:right="20" w:hanging="700"/>
      </w:pPr>
      <w:r>
        <w:t>There was further excha</w:t>
      </w:r>
      <w:r>
        <w:t xml:space="preserve">nge of correspondence between the parties and even by the parties to the TRAI which shows that the parties stuck to their respective positions and it may not be necessary to refer to those communications in detail. Suffice it is to mention that RJIL fixed </w:t>
      </w:r>
      <w:r>
        <w:t>September 05, 2016 as the launch date, which fact was informed to other service providers as well who were also told that the subscriber base was expected to substantially and swiftly increase resulting in even more POI congestion. On that basis, request w</w:t>
      </w:r>
      <w:r>
        <w:t>as made for urgent POI augmentation vide letter dated September 02, 2016. The TRAI even facilitated a meeting between the representatives of RJIL and other service providers (respondents herein) to sort out and resolve the differences in the interest of th</w:t>
      </w:r>
      <w:r>
        <w:t>e consumers. At the same time, in the said meeting, the three telecom operators (respondents herein) also raised a grievance that free calls being provided by RJIL has resulted in an unprecedented traffic congestion on their respective networks and the cur</w:t>
      </w:r>
      <w:r>
        <w:t xml:space="preserve">rent IUC regime is inadequate to cover the cost of efficiently maintaining such high traffic. Thereafter, vide letter dated September 14, 2016, addressed by Airtel to RJIL, it stated that the POIs (also known as E1s) would be converted into 50:50 ratio to </w:t>
      </w:r>
      <w:r>
        <w:t>outgoing and incoming E1s. In other words, the E1s provided would be converted to ‘only outgoing’ or ‘only incoming’ i.e. one-way E1s. RJIL replied by stating that it was acceptable to them.</w:t>
      </w:r>
    </w:p>
    <w:p w:rsidR="00884A28" w:rsidRDefault="00350526">
      <w:pPr>
        <w:pStyle w:val="Bodytext0"/>
        <w:numPr>
          <w:ilvl w:val="0"/>
          <w:numId w:val="1"/>
        </w:numPr>
        <w:shd w:val="clear" w:color="auto" w:fill="auto"/>
        <w:tabs>
          <w:tab w:val="left" w:pos="730"/>
        </w:tabs>
        <w:spacing w:before="0"/>
        <w:ind w:left="720" w:right="20" w:hanging="700"/>
        <w:jc w:val="left"/>
      </w:pPr>
      <w:r>
        <w:t>Soon thereafter, i.e. in September 2016 itself, Mr. Rajan Sardana</w:t>
      </w:r>
      <w:r>
        <w:t>, a Chartered Accountant, filed information under Section 19 of the</w:t>
      </w:r>
    </w:p>
    <w:p w:rsidR="00884A28" w:rsidRDefault="00350526">
      <w:pPr>
        <w:pStyle w:val="Bodytext0"/>
        <w:shd w:val="clear" w:color="auto" w:fill="auto"/>
        <w:spacing w:before="0" w:after="300"/>
        <w:ind w:left="720" w:right="20" w:firstLine="0"/>
      </w:pPr>
      <w:r>
        <w:t>Competition Act (registered as Case No. 81 of 2016) and similar application was filed by Justice K.A. Puj (retired) (registered as Case No. 83 of 2016). Then, it was followed by informatio</w:t>
      </w:r>
      <w:r>
        <w:t>n under Section 19 of the Competition Act by RJIL in November, 2016 (registered as Case No. 95 of 2016).</w:t>
      </w:r>
    </w:p>
    <w:p w:rsidR="00884A28" w:rsidRDefault="00350526">
      <w:pPr>
        <w:pStyle w:val="Bodytext30"/>
        <w:shd w:val="clear" w:color="auto" w:fill="auto"/>
        <w:spacing w:line="643" w:lineRule="exact"/>
        <w:ind w:left="720" w:hanging="720"/>
      </w:pPr>
      <w:r>
        <w:t>Proceedings before TRAI:</w:t>
      </w:r>
    </w:p>
    <w:p w:rsidR="00884A28" w:rsidRDefault="00350526">
      <w:pPr>
        <w:pStyle w:val="Bodytext0"/>
        <w:numPr>
          <w:ilvl w:val="0"/>
          <w:numId w:val="1"/>
        </w:numPr>
        <w:shd w:val="clear" w:color="auto" w:fill="auto"/>
        <w:tabs>
          <w:tab w:val="left" w:pos="696"/>
        </w:tabs>
        <w:spacing w:before="0"/>
        <w:ind w:left="720" w:right="20" w:hanging="720"/>
      </w:pPr>
      <w:r>
        <w:t>As the matter was with the TRAI as well, it issued show cause notices dated September 27, 2016 to IDOs and RJIL for violation of Standard of Quality of Service of Basic Telephone Service (Wireline) and Cellular Mobile Telephone Service Regulations, 2009 (h</w:t>
      </w:r>
      <w:r>
        <w:t>ereinafter referred to as the ‘QoS’) and for provision of the License Agreements. Similar show cause notices were also sent to other telecom operators. On October 21, 2016, TRAI issued recommendations to DoT after finding that IDOs have violated conditions</w:t>
      </w:r>
      <w:r>
        <w:t xml:space="preserve"> under the QoS, interconnection agreements and Unified License. The TRAI </w:t>
      </w:r>
      <w:r>
        <w:rPr>
          <w:rStyle w:val="BodytextItalic"/>
        </w:rPr>
        <w:t>inter alia</w:t>
      </w:r>
      <w:r>
        <w:t xml:space="preserve"> stated in its recommendation as under:</w:t>
      </w:r>
    </w:p>
    <w:p w:rsidR="00884A28" w:rsidRDefault="00350526">
      <w:pPr>
        <w:pStyle w:val="Bodytext0"/>
        <w:shd w:val="clear" w:color="auto" w:fill="auto"/>
        <w:spacing w:before="0" w:line="298" w:lineRule="exact"/>
        <w:ind w:left="1420" w:right="680" w:firstLine="0"/>
      </w:pPr>
      <w:r>
        <w:t>"21. ... (vii) It is evident from the above clauses that the licensees are mandated to provide interconnection to all eligible teleco</w:t>
      </w:r>
      <w:r>
        <w:t>m service provider. However, as mentioned in para 6 above, Airtel along with other service providers have jointly through their association (COAI), declined Point of Interconnection to RJIL which is willful violation of the above mentioned license conditio</w:t>
      </w:r>
      <w:r>
        <w:t>ns.</w:t>
      </w:r>
    </w:p>
    <w:p w:rsidR="00884A28" w:rsidRDefault="00350526">
      <w:pPr>
        <w:pStyle w:val="Bodytext0"/>
        <w:shd w:val="clear" w:color="auto" w:fill="auto"/>
        <w:spacing w:before="0" w:line="298" w:lineRule="exact"/>
        <w:ind w:left="1420" w:right="700" w:firstLine="0"/>
      </w:pPr>
      <w:r>
        <w:t>...(x) COAI’s letter dated 2</w:t>
      </w:r>
      <w:r>
        <w:rPr>
          <w:vertAlign w:val="superscript"/>
        </w:rPr>
        <w:t>nd</w:t>
      </w:r>
      <w:r>
        <w:t xml:space="preserve"> September, 2016 which was confirmed by Airtel in the meeting held on 9</w:t>
      </w:r>
      <w:r>
        <w:rPr>
          <w:vertAlign w:val="superscript"/>
        </w:rPr>
        <w:t>th</w:t>
      </w:r>
      <w:r>
        <w:t xml:space="preserve"> September,</w:t>
      </w:r>
    </w:p>
    <w:p w:rsidR="00884A28" w:rsidRDefault="00350526">
      <w:pPr>
        <w:pStyle w:val="Bodytext0"/>
        <w:shd w:val="clear" w:color="auto" w:fill="auto"/>
        <w:spacing w:before="0" w:after="300" w:line="298" w:lineRule="exact"/>
        <w:ind w:left="1420" w:right="700" w:firstLine="0"/>
      </w:pPr>
      <w:r>
        <w:t xml:space="preserve">2016 clearly indicates attempt by three service providers namely, Airtel, Vodafone India Limited and Idea Cellular Limited to stifle </w:t>
      </w:r>
      <w:r>
        <w:t>competition in the market and willfully violate the license conditions;...</w:t>
      </w:r>
    </w:p>
    <w:p w:rsidR="00884A28" w:rsidRDefault="00350526">
      <w:pPr>
        <w:pStyle w:val="Bodytext0"/>
        <w:numPr>
          <w:ilvl w:val="0"/>
          <w:numId w:val="5"/>
        </w:numPr>
        <w:shd w:val="clear" w:color="auto" w:fill="auto"/>
        <w:tabs>
          <w:tab w:val="left" w:pos="1977"/>
        </w:tabs>
        <w:spacing w:before="0" w:after="24" w:line="298" w:lineRule="exact"/>
        <w:ind w:left="1420" w:right="700" w:firstLine="0"/>
      </w:pPr>
      <w:r>
        <w:t>While the Authority has been taking necessary steps to ensure effective interconnection between Airtel and RJIL, it is evident from Para 21 that Airtel is in non</w:t>
      </w:r>
      <w:r>
        <w:softHyphen/>
        <w:t>compliance of the t</w:t>
      </w:r>
      <w:r>
        <w:t>erms and conditions of license and denial of interconnection to RJIL appears to be with ulterior motive to stifle competition and is anti-consumer.”</w:t>
      </w:r>
    </w:p>
    <w:p w:rsidR="00884A28" w:rsidRDefault="00350526">
      <w:pPr>
        <w:pStyle w:val="Bodytext0"/>
        <w:numPr>
          <w:ilvl w:val="0"/>
          <w:numId w:val="1"/>
        </w:numPr>
        <w:shd w:val="clear" w:color="auto" w:fill="auto"/>
        <w:tabs>
          <w:tab w:val="left" w:pos="721"/>
        </w:tabs>
        <w:spacing w:before="0" w:after="240"/>
        <w:ind w:left="720" w:right="20" w:hanging="700"/>
      </w:pPr>
      <w:r>
        <w:t>TRAI recommended that Rs. 50 crore per local service area (LSA) be imposed on all the above three telecom o</w:t>
      </w:r>
      <w:r>
        <w:t>perators for failure to adhere to TRAI norms and regulations. Similar recommendations were also issued to DoT against other telecom operators. Against the recommendations dated October 21, 2016 of TRAI, Vodafone filed a Writ Petition being Writ Petition (C</w:t>
      </w:r>
      <w:r>
        <w:t>) No. 11740 of 2016 before the High Court at Delhi. Meanwhile, on January 17, 2017, TRAI also recommended imposition of penalty of Rs. 1,90,000/- on Idea for its rejection of mobile number portability (MNP) requests to RJIL’s network. Against the aforesaid</w:t>
      </w:r>
      <w:r>
        <w:t xml:space="preserve"> recommendation, Idea has preferred a Writ Petition being Writ Petition (C) No. 685 of 2017 before the High Court at Delhi. The DoT after examining the matter referred it back to TRAI for fresh consideration vide DoT’s reference dated April 05, 2017 whereb</w:t>
      </w:r>
      <w:r>
        <w:t>y its recommendations imposing penalty upon IDOs were sent back for reconsideration. The TRAI sent its response dated May 24, 2017 to the DoT, wherein it took a categorical stand that telecom operators have intentionally denied and delayed the augmentation</w:t>
      </w:r>
      <w:r>
        <w:t xml:space="preserve"> of POIs to RJIL.</w:t>
      </w:r>
    </w:p>
    <w:p w:rsidR="00884A28" w:rsidRDefault="00350526">
      <w:pPr>
        <w:pStyle w:val="Bodytext30"/>
        <w:shd w:val="clear" w:color="auto" w:fill="auto"/>
        <w:spacing w:line="643" w:lineRule="exact"/>
        <w:ind w:left="20" w:firstLine="0"/>
      </w:pPr>
      <w:r>
        <w:t>Proceedings before CCI:</w:t>
      </w:r>
    </w:p>
    <w:p w:rsidR="00884A28" w:rsidRDefault="00350526">
      <w:pPr>
        <w:pStyle w:val="Bodytext0"/>
        <w:numPr>
          <w:ilvl w:val="0"/>
          <w:numId w:val="1"/>
        </w:numPr>
        <w:shd w:val="clear" w:color="auto" w:fill="auto"/>
        <w:tabs>
          <w:tab w:val="left" w:pos="721"/>
        </w:tabs>
        <w:spacing w:before="0"/>
        <w:ind w:left="20" w:firstLine="0"/>
      </w:pPr>
      <w:r>
        <w:t>The CCI took the cognizance of the three informations given to it</w:t>
      </w:r>
    </w:p>
    <w:p w:rsidR="00884A28" w:rsidRDefault="00350526">
      <w:pPr>
        <w:pStyle w:val="Bodytext0"/>
        <w:shd w:val="clear" w:color="auto" w:fill="auto"/>
        <w:spacing w:before="0"/>
        <w:ind w:left="720" w:firstLine="0"/>
      </w:pPr>
      <w:r>
        <w:t>under Section 19 of the Competition Act which were registered as</w:t>
      </w:r>
    </w:p>
    <w:p w:rsidR="00884A28" w:rsidRDefault="00350526">
      <w:pPr>
        <w:pStyle w:val="Bodytext0"/>
        <w:shd w:val="clear" w:color="auto" w:fill="auto"/>
        <w:spacing w:before="0"/>
        <w:ind w:left="720" w:firstLine="0"/>
      </w:pPr>
      <w:r>
        <w:t>Case Nos. 81, 83 and 95 of 2016. It gave hearing to the</w:t>
      </w:r>
    </w:p>
    <w:p w:rsidR="00884A28" w:rsidRDefault="00350526">
      <w:pPr>
        <w:pStyle w:val="Bodytext0"/>
        <w:shd w:val="clear" w:color="auto" w:fill="auto"/>
        <w:spacing w:before="0"/>
        <w:ind w:left="720" w:firstLine="0"/>
      </w:pPr>
      <w:r>
        <w:t xml:space="preserve">respondents service </w:t>
      </w:r>
      <w:r>
        <w:t>providers as well as COAI and passed order</w:t>
      </w:r>
    </w:p>
    <w:p w:rsidR="00884A28" w:rsidRDefault="00350526">
      <w:pPr>
        <w:pStyle w:val="Bodytext0"/>
        <w:shd w:val="clear" w:color="auto" w:fill="auto"/>
        <w:spacing w:before="0"/>
        <w:ind w:left="720" w:firstLine="0"/>
      </w:pPr>
      <w:r>
        <w:t>dated April 21, 2017 under Section 26(1) of the Competition Act</w:t>
      </w:r>
    </w:p>
    <w:p w:rsidR="00884A28" w:rsidRDefault="00350526">
      <w:pPr>
        <w:pStyle w:val="Bodytext0"/>
        <w:shd w:val="clear" w:color="auto" w:fill="auto"/>
        <w:spacing w:before="0"/>
        <w:ind w:left="720" w:firstLine="0"/>
      </w:pPr>
      <w:r>
        <w:t xml:space="preserve">as per which it came to a </w:t>
      </w:r>
      <w:r>
        <w:rPr>
          <w:rStyle w:val="BodytextItalic"/>
        </w:rPr>
        <w:t>prima facie</w:t>
      </w:r>
      <w:r>
        <w:t xml:space="preserve"> conclusion that case for</w:t>
      </w:r>
    </w:p>
    <w:p w:rsidR="00884A28" w:rsidRDefault="00350526">
      <w:pPr>
        <w:pStyle w:val="Bodytext0"/>
        <w:shd w:val="clear" w:color="auto" w:fill="auto"/>
        <w:spacing w:before="0"/>
        <w:ind w:left="720" w:firstLine="0"/>
      </w:pPr>
      <w:r>
        <w:t>investigation was made out and directed the Director General to</w:t>
      </w:r>
    </w:p>
    <w:p w:rsidR="00884A28" w:rsidRDefault="00350526">
      <w:pPr>
        <w:pStyle w:val="Bodytext0"/>
        <w:shd w:val="clear" w:color="auto" w:fill="auto"/>
        <w:spacing w:before="0"/>
        <w:ind w:left="720" w:firstLine="0"/>
      </w:pPr>
      <w:r>
        <w:t>cause investigation in</w:t>
      </w:r>
      <w:r>
        <w:t xml:space="preserve"> the case. This order was passed by</w:t>
      </w:r>
    </w:p>
    <w:p w:rsidR="00884A28" w:rsidRDefault="00350526">
      <w:pPr>
        <w:pStyle w:val="Bodytext0"/>
        <w:shd w:val="clear" w:color="auto" w:fill="auto"/>
        <w:spacing w:before="0"/>
        <w:ind w:left="720" w:firstLine="0"/>
      </w:pPr>
      <w:r>
        <w:t>majority of 3:2 as two members of CCI dissented from the said</w:t>
      </w:r>
    </w:p>
    <w:p w:rsidR="00884A28" w:rsidRDefault="00350526">
      <w:pPr>
        <w:pStyle w:val="Bodytext0"/>
        <w:shd w:val="clear" w:color="auto" w:fill="auto"/>
        <w:spacing w:before="0"/>
        <w:ind w:left="720" w:firstLine="0"/>
      </w:pPr>
      <w:r>
        <w:t>order. Operative portion of the majority order holds as under:</w:t>
      </w:r>
    </w:p>
    <w:p w:rsidR="00884A28" w:rsidRDefault="00350526">
      <w:pPr>
        <w:pStyle w:val="Bodytext0"/>
        <w:shd w:val="clear" w:color="auto" w:fill="auto"/>
        <w:spacing w:before="0" w:after="240" w:line="298" w:lineRule="exact"/>
        <w:ind w:left="1420" w:right="680" w:firstLine="0"/>
      </w:pPr>
      <w:r>
        <w:t>"23. The Commission notes that allegations of anti</w:t>
      </w:r>
      <w:r>
        <w:softHyphen/>
        <w:t>competitive agreement as well as abuse of do</w:t>
      </w:r>
      <w:r>
        <w:t xml:space="preserve">minant position have been made for the same conduct of refusal to facilitate call termination services and denial of mobile number portability. As discussed earlier, the Commission is satisfied that there exist a </w:t>
      </w:r>
      <w:r>
        <w:rPr>
          <w:rStyle w:val="BodytextItalic"/>
        </w:rPr>
        <w:t>prima facie</w:t>
      </w:r>
      <w:r>
        <w:t xml:space="preserve"> contravention of Section 3(3)(b</w:t>
      </w:r>
      <w:r>
        <w:t xml:space="preserve">) of Act, as the ITOs appear to have entered into an agreement amongst themselves through the platform of COAI, to deny POIs to RJIL. Having been </w:t>
      </w:r>
      <w:r>
        <w:rPr>
          <w:rStyle w:val="BodytextItalic"/>
        </w:rPr>
        <w:t>prima facie</w:t>
      </w:r>
      <w:r>
        <w:t xml:space="preserve"> convinced that the impugned conduct is an outcome of the anti-competitive agreement amongst ITOs, </w:t>
      </w:r>
      <w:r>
        <w:t>Commission does not find it appropriate to consider the same impugned conduct as unilateral action by each of the ITOs. The Commission therefore at this stage does not find it necessary to deal with the allegations and submissions regarding abuse of domina</w:t>
      </w:r>
      <w:r>
        <w:t>nce in contravention of the provisions of Section 4 of Act.</w:t>
      </w:r>
    </w:p>
    <w:p w:rsidR="00884A28" w:rsidRDefault="00350526">
      <w:pPr>
        <w:pStyle w:val="Bodytext0"/>
        <w:numPr>
          <w:ilvl w:val="0"/>
          <w:numId w:val="5"/>
        </w:numPr>
        <w:shd w:val="clear" w:color="auto" w:fill="auto"/>
        <w:spacing w:before="0" w:after="240" w:line="298" w:lineRule="exact"/>
        <w:ind w:left="1400" w:right="680" w:firstLine="0"/>
      </w:pPr>
      <w:r>
        <w:t xml:space="preserve"> In view of the foregoing, the Commission directs the DG to cause an investigation into the matter under the provisions of Section 26(1) of the Act. Considering the substantial similarity of alleg</w:t>
      </w:r>
      <w:r>
        <w:t xml:space="preserve">ations in all the informations, the Commission clubs them in terms of the </w:t>
      </w:r>
      <w:r>
        <w:rPr>
          <w:rStyle w:val="BodytextItalic"/>
        </w:rPr>
        <w:t>proviso</w:t>
      </w:r>
      <w:r>
        <w:t xml:space="preserve"> to Section 26(1) of the Act read with Regulation 27 of the Competition Commission of India (General) Regulations, 2009. The DO is directed to complete the investigation and s</w:t>
      </w:r>
      <w:r>
        <w:t>ubmit investigation report within a period of 60 days from the date of receipt of this Order, if the DG finds contravention, he shall also investigate the role of the persons who at the time of such contravention were in</w:t>
      </w:r>
      <w:r>
        <w:softHyphen/>
        <w:t>charge of and responsible for the c</w:t>
      </w:r>
      <w:r>
        <w:t>onduct of the business of the contravening entity/entities. During the course of investigation, if involvement of any other party is found, DG shall investigate the conduct of such other parties also who may have indulged in the said contravention. In case</w:t>
      </w:r>
      <w:r>
        <w:t xml:space="preserve"> the DG finds the conduct of the Opposite Parties in violation of the Act, the DG shall also investigate the role of the persons who were responsible for the conduct of the Opposite Parties so as to proceed against them in accordance with Section 48 of the</w:t>
      </w:r>
      <w:r>
        <w:t xml:space="preserve"> Act.</w:t>
      </w:r>
    </w:p>
    <w:p w:rsidR="00884A28" w:rsidRDefault="00350526">
      <w:pPr>
        <w:pStyle w:val="Bodytext0"/>
        <w:numPr>
          <w:ilvl w:val="0"/>
          <w:numId w:val="5"/>
        </w:numPr>
        <w:shd w:val="clear" w:color="auto" w:fill="auto"/>
        <w:spacing w:before="0" w:after="646" w:line="298" w:lineRule="exact"/>
        <w:ind w:left="1400" w:right="680" w:firstLine="0"/>
      </w:pPr>
      <w:r>
        <w:t xml:space="preserve"> The Commission makes it clear that nothing stated in this order shall tantamount to final expression of opinion on the merits of the case and DG shall conduct the investigation without being swayed in any manner whatsoever by the observations made herein.</w:t>
      </w:r>
      <w:r>
        <w:t>”</w:t>
      </w:r>
    </w:p>
    <w:p w:rsidR="00884A28" w:rsidRDefault="00350526">
      <w:pPr>
        <w:pStyle w:val="Bodytext0"/>
        <w:numPr>
          <w:ilvl w:val="0"/>
          <w:numId w:val="1"/>
        </w:numPr>
        <w:shd w:val="clear" w:color="auto" w:fill="auto"/>
        <w:tabs>
          <w:tab w:val="left" w:pos="720"/>
        </w:tabs>
        <w:spacing w:before="0" w:after="266" w:line="240" w:lineRule="exact"/>
        <w:ind w:firstLine="0"/>
      </w:pPr>
      <w:r>
        <w:t xml:space="preserve">Likewise, two members who dissented </w:t>
      </w:r>
      <w:r>
        <w:rPr>
          <w:rStyle w:val="BodytextItalic"/>
        </w:rPr>
        <w:t>inter alia</w:t>
      </w:r>
      <w:r>
        <w:t xml:space="preserve"> held as follows:</w:t>
      </w:r>
    </w:p>
    <w:p w:rsidR="00884A28" w:rsidRDefault="00350526">
      <w:pPr>
        <w:pStyle w:val="Bodytext0"/>
        <w:shd w:val="clear" w:color="auto" w:fill="auto"/>
        <w:spacing w:before="0" w:after="240" w:line="298" w:lineRule="exact"/>
        <w:ind w:left="1400" w:right="680" w:firstLine="0"/>
      </w:pPr>
      <w:r>
        <w:t>"...As stated above, from the various charts placed on record by the ITOs showing the number of POIs provided by them to RJIL, the respective learned senior counsel for Ops have tried to sho</w:t>
      </w:r>
      <w:r>
        <w:t>w that the number of POIs provided to RJIL by 08.11.2016 i.e. within the first quarter itself, were much more than what was demanded. In fact, the charts filed by RJIL itself corroborate this fact. The charts show that even if some of the POIs provided (on</w:t>
      </w:r>
      <w:r>
        <w:t>e-way POIs for connecting outgoing calls from ITOs to RJIL) are not taken into consideration, the number of POIs provided by OP-5 and OP-7 were much more than what was demanded by RJIL. Even in case of OP-2, the same were approximately 64% (NLD POIs) and 8</w:t>
      </w:r>
      <w:r>
        <w:t>5.53% (Access POIs) as on 08.11.2016. However, as we have already observed above, we are not expected to go into the question of providing adequate number of POIs. Yet there is ample material on record to show that RJIL was more to be blamed for congestion</w:t>
      </w:r>
      <w:r>
        <w:t xml:space="preserve"> in its traffic than the ITOs...”</w:t>
      </w:r>
    </w:p>
    <w:p w:rsidR="00884A28" w:rsidRDefault="00350526">
      <w:pPr>
        <w:pStyle w:val="Bodytext0"/>
        <w:shd w:val="clear" w:color="auto" w:fill="auto"/>
        <w:spacing w:before="0" w:after="324" w:line="298" w:lineRule="exact"/>
        <w:ind w:left="1420" w:right="680" w:firstLine="0"/>
      </w:pPr>
      <w:r>
        <w:t>“...we are of the considered opinion that on the basis of material available with the Commission, it is difficult to say that there is a prima facie case...” made out against the Petitioner and others and accordingly, “...</w:t>
      </w:r>
      <w:r>
        <w:t>the instant cases ought to be closed under Section 26(2) of the Act...” (hereafter “Dissent Note”).”</w:t>
      </w:r>
    </w:p>
    <w:p w:rsidR="00884A28" w:rsidRDefault="00350526">
      <w:pPr>
        <w:pStyle w:val="Bodytext0"/>
        <w:numPr>
          <w:ilvl w:val="0"/>
          <w:numId w:val="1"/>
        </w:numPr>
        <w:shd w:val="clear" w:color="auto" w:fill="auto"/>
        <w:tabs>
          <w:tab w:val="left" w:pos="730"/>
        </w:tabs>
        <w:spacing w:before="0"/>
        <w:ind w:left="720" w:right="20" w:hanging="700"/>
      </w:pPr>
      <w:r>
        <w:t xml:space="preserve">On June 08, 2017, the Director General issued a letter of investigation to the appellant seeking call data records in respect of certain identified mobile </w:t>
      </w:r>
      <w:r>
        <w:t>numbers by June 19, 2017. On June 19, 2017, respondent No. 2 issued a letter of investigation to the appellant seeking detailed information/documents to be furnished by June 30, 2017. Immediately thereafter, writ petitions were filed challenging the afores</w:t>
      </w:r>
      <w:r>
        <w:t>aid order of the CCI as well as action of the Director General seeking information for holding inquiry. After preliminary hearing, the High Court passed interim orders dated June 30, 2017 on the basis of statement of the counsel for CCI that they shall not</w:t>
      </w:r>
      <w:r>
        <w:t xml:space="preserve"> proceed with the investigation, which order continued till the disposal of the writ petitions. The High Court after hearing the matter finally allowed the writ petitions, as already mentioned.</w:t>
      </w:r>
    </w:p>
    <w:p w:rsidR="00884A28" w:rsidRDefault="00350526">
      <w:pPr>
        <w:pStyle w:val="Bodytext0"/>
        <w:numPr>
          <w:ilvl w:val="0"/>
          <w:numId w:val="1"/>
        </w:numPr>
        <w:shd w:val="clear" w:color="auto" w:fill="auto"/>
        <w:tabs>
          <w:tab w:val="left" w:pos="720"/>
        </w:tabs>
        <w:spacing w:before="0"/>
        <w:ind w:left="720" w:right="20" w:hanging="720"/>
      </w:pPr>
      <w:r>
        <w:t>It is clear from the above that as per RJIL, the respondent se</w:t>
      </w:r>
      <w:r>
        <w:t>rvice providers, along with COAI, entered into an anti-competitive agreement/formed a cartel and acted in an anti-competitive manner which is prohibited by the Act. On these allegations, it approached the CCI for initiating inquiry into this anti-competiti</w:t>
      </w:r>
      <w:r>
        <w:t>ve practices. Insofar as the nature of alleged anti-competitive agreement is concerned, the allegations of RJIL are the following:</w:t>
      </w:r>
    </w:p>
    <w:p w:rsidR="00884A28" w:rsidRDefault="00350526">
      <w:pPr>
        <w:pStyle w:val="Bodytext0"/>
        <w:numPr>
          <w:ilvl w:val="0"/>
          <w:numId w:val="6"/>
        </w:numPr>
        <w:shd w:val="clear" w:color="auto" w:fill="auto"/>
        <w:spacing w:before="0"/>
        <w:ind w:left="720" w:right="20" w:firstLine="0"/>
      </w:pPr>
      <w:r>
        <w:t xml:space="preserve"> Delay in provisioning or denial in provisioning of POIs, also known as ‘E1’ in telecom parlance, to RJIL by IDOs during the testing phase and after commercial launch of RJIL services. POIs are the points where the networks of telecom operators connect. Wi</w:t>
      </w:r>
      <w:r>
        <w:t>thout sufficient POIs it is not possible for subscribers of one service provider to make calls to subscribers of another service provider.</w:t>
      </w:r>
    </w:p>
    <w:p w:rsidR="00884A28" w:rsidRDefault="00350526">
      <w:pPr>
        <w:pStyle w:val="Bodytext0"/>
        <w:numPr>
          <w:ilvl w:val="0"/>
          <w:numId w:val="6"/>
        </w:numPr>
        <w:shd w:val="clear" w:color="auto" w:fill="auto"/>
        <w:spacing w:before="0"/>
        <w:ind w:left="720" w:right="20" w:firstLine="0"/>
      </w:pPr>
      <w:r>
        <w:t xml:space="preserve"> It was also alleged, </w:t>
      </w:r>
      <w:r>
        <w:rPr>
          <w:rStyle w:val="BodytextItalic"/>
        </w:rPr>
        <w:t>inter alia,</w:t>
      </w:r>
      <w:r>
        <w:t xml:space="preserve"> that IDOs are denying Mobile Number Portability (MNP) requests of customers who wan</w:t>
      </w:r>
      <w:r>
        <w:t>ted to switch to RJIL competing service.</w:t>
      </w:r>
    </w:p>
    <w:p w:rsidR="00884A28" w:rsidRDefault="00350526">
      <w:pPr>
        <w:pStyle w:val="Bodytext0"/>
        <w:numPr>
          <w:ilvl w:val="0"/>
          <w:numId w:val="6"/>
        </w:numPr>
        <w:shd w:val="clear" w:color="auto" w:fill="auto"/>
        <w:spacing w:before="0"/>
        <w:ind w:left="720" w:right="20" w:firstLine="0"/>
      </w:pPr>
      <w:r>
        <w:t xml:space="preserve"> It was also alleged that COAI was acting at the behest of IDOs against the interest of a competing member, i.e. RJIL, and not for the common interest of the industry and consumers as a whole.</w:t>
      </w:r>
    </w:p>
    <w:p w:rsidR="00884A28" w:rsidRDefault="00350526">
      <w:pPr>
        <w:pStyle w:val="Bodytext30"/>
        <w:shd w:val="clear" w:color="auto" w:fill="auto"/>
        <w:spacing w:after="4" w:line="240" w:lineRule="exact"/>
        <w:ind w:left="720" w:hanging="700"/>
      </w:pPr>
      <w:r>
        <w:t>Proceedings before the</w:t>
      </w:r>
      <w:r>
        <w:t xml:space="preserve"> High Court:</w:t>
      </w:r>
    </w:p>
    <w:p w:rsidR="00884A28" w:rsidRDefault="00350526">
      <w:pPr>
        <w:pStyle w:val="Bodytext0"/>
        <w:numPr>
          <w:ilvl w:val="0"/>
          <w:numId w:val="1"/>
        </w:numPr>
        <w:shd w:val="clear" w:color="auto" w:fill="auto"/>
        <w:spacing w:before="0" w:after="300"/>
        <w:ind w:left="720" w:right="20" w:hanging="700"/>
      </w:pPr>
      <w:r>
        <w:t xml:space="preserve"> Against the order passed by the CCI directing investigation into the aforesaid allegations, in the writ petitions filed by the IDOs and also by COAI, challenge laid to the aforesaid order was premised on the ground that the CCI lacked jurisdi</w:t>
      </w:r>
      <w:r>
        <w:t>ction to entertain such complaints/information filed under Section 19 of the Competition Act as such a matter falls within the exclusive jurisdiction of another regulatory authority, namely, TRAI.</w:t>
      </w:r>
    </w:p>
    <w:p w:rsidR="00884A28" w:rsidRDefault="00350526">
      <w:pPr>
        <w:pStyle w:val="Bodytext0"/>
        <w:numPr>
          <w:ilvl w:val="0"/>
          <w:numId w:val="1"/>
        </w:numPr>
        <w:shd w:val="clear" w:color="auto" w:fill="auto"/>
        <w:spacing w:before="0" w:after="300"/>
        <w:ind w:left="720" w:right="20" w:hanging="700"/>
      </w:pPr>
      <w:r>
        <w:t xml:space="preserve"> In nutshell, it was pleaded that the violation alleged by </w:t>
      </w:r>
      <w:r>
        <w:t>RJIL, namely, whether there was a delay or denial in provisioning POIs, comes within the domain of TRAI as it is the TRAI which has the exclusive jurisdiction to deal with such a matter under the TRAI Act and, in fact, the complaint was also made by TRAI a</w:t>
      </w:r>
      <w:r>
        <w:t>s well which was seized of the matter.</w:t>
      </w:r>
    </w:p>
    <w:p w:rsidR="00884A28" w:rsidRDefault="00350526">
      <w:pPr>
        <w:pStyle w:val="Bodytext0"/>
        <w:numPr>
          <w:ilvl w:val="0"/>
          <w:numId w:val="1"/>
        </w:numPr>
        <w:shd w:val="clear" w:color="auto" w:fill="auto"/>
        <w:spacing w:before="0" w:after="563"/>
        <w:ind w:left="720" w:right="20" w:hanging="700"/>
      </w:pPr>
      <w:r>
        <w:t xml:space="preserve"> The plea of the appellants, on the other hand, was that violation of telecom regulations, etc. was undoubtedly a matter which could be looked into by the TRAI for which RJIL has approached the TRAI. However, the subj</w:t>
      </w:r>
      <w:r>
        <w:t>ect matter of inquiry before the CCI was entirely different, namely, formation of cartel and a concerted effort on the part of the service providers, in collusion with COAI, to curb the competition in the market and, thus, the CCI was competent and had req</w:t>
      </w:r>
      <w:r>
        <w:t>uisite jurisdiction to look into this aspect. To put it otherwise, according to the appellants, the CCI had decided to examine the facts purely from the stand point as to whether the alleged Act constituted anti-competitive practice on the part of the resp</w:t>
      </w:r>
      <w:r>
        <w:t>ondents and, therefore, contravened the provisions contained in Section 3 or Section 4 of the Act. This aspect, they had argued, could not be gone into by the TRAI as the CCI was the only statutory authority constituted under the Act to examine such an iss</w:t>
      </w:r>
      <w:r>
        <w:t>ue.</w:t>
      </w:r>
    </w:p>
    <w:p w:rsidR="00884A28" w:rsidRDefault="00350526">
      <w:pPr>
        <w:pStyle w:val="Bodytext0"/>
        <w:numPr>
          <w:ilvl w:val="0"/>
          <w:numId w:val="1"/>
        </w:numPr>
        <w:shd w:val="clear" w:color="auto" w:fill="auto"/>
        <w:tabs>
          <w:tab w:val="left" w:pos="710"/>
        </w:tabs>
        <w:spacing w:before="0" w:after="326" w:line="240" w:lineRule="exact"/>
        <w:ind w:firstLine="0"/>
      </w:pPr>
      <w:r>
        <w:t>The Bombay High Court in the impugned judgment has, thus,</w:t>
      </w:r>
    </w:p>
    <w:p w:rsidR="00884A28" w:rsidRDefault="00350526">
      <w:pPr>
        <w:pStyle w:val="Bodytext0"/>
        <w:shd w:val="clear" w:color="auto" w:fill="auto"/>
        <w:spacing w:before="0" w:after="266" w:line="240" w:lineRule="exact"/>
        <w:ind w:left="720" w:firstLine="0"/>
      </w:pPr>
      <w:r>
        <w:rPr>
          <w:rStyle w:val="BodytextItalic"/>
        </w:rPr>
        <w:t>inter alia</w:t>
      </w:r>
      <w:r>
        <w:t>, held as under:</w:t>
      </w:r>
    </w:p>
    <w:p w:rsidR="00884A28" w:rsidRDefault="00350526">
      <w:pPr>
        <w:pStyle w:val="Bodytext0"/>
        <w:shd w:val="clear" w:color="auto" w:fill="auto"/>
        <w:spacing w:before="0" w:after="240" w:line="298" w:lineRule="exact"/>
        <w:ind w:left="1420" w:right="680" w:firstLine="0"/>
      </w:pPr>
      <w:r>
        <w:t xml:space="preserve">"(i) the Competition Commission of India (CCI) had no jurisdiction in view of the Telecom Regulatory Authority of India Act, 1997 and the authorities and regulations </w:t>
      </w:r>
      <w:r>
        <w:t>made thereunder;</w:t>
      </w:r>
    </w:p>
    <w:p w:rsidR="00884A28" w:rsidRDefault="00350526">
      <w:pPr>
        <w:pStyle w:val="Bodytext0"/>
        <w:numPr>
          <w:ilvl w:val="0"/>
          <w:numId w:val="7"/>
        </w:numPr>
        <w:shd w:val="clear" w:color="auto" w:fill="auto"/>
        <w:spacing w:before="0" w:after="240" w:line="298" w:lineRule="exact"/>
        <w:ind w:left="1420" w:right="680" w:firstLine="0"/>
      </w:pPr>
      <w:r>
        <w:t xml:space="preserve"> the CCI could exercise jurisdiction only after proceedings under the TRAI Act had concluded/attained finality;</w:t>
      </w:r>
    </w:p>
    <w:p w:rsidR="00884A28" w:rsidRDefault="00350526">
      <w:pPr>
        <w:pStyle w:val="Bodytext0"/>
        <w:numPr>
          <w:ilvl w:val="0"/>
          <w:numId w:val="7"/>
        </w:numPr>
        <w:shd w:val="clear" w:color="auto" w:fill="auto"/>
        <w:spacing w:before="0" w:after="236" w:line="298" w:lineRule="exact"/>
        <w:ind w:left="1420" w:right="680" w:firstLine="0"/>
      </w:pPr>
      <w:r>
        <w:t xml:space="preserve"> the order dated 21.04.2017 passed under section 26(1) of the Competition Act was not an administrative direction, but rather a quasi judicial one that finally decided the rights of parties and caused serious adverse consequences, because a detailed hearin</w:t>
      </w:r>
      <w:r>
        <w:t>g had been given and many materials had been tendered in the courts of the hearings;</w:t>
      </w:r>
    </w:p>
    <w:p w:rsidR="00884A28" w:rsidRDefault="00350526">
      <w:pPr>
        <w:pStyle w:val="Bodytext0"/>
        <w:numPr>
          <w:ilvl w:val="0"/>
          <w:numId w:val="7"/>
        </w:numPr>
        <w:shd w:val="clear" w:color="auto" w:fill="auto"/>
        <w:spacing w:before="0" w:after="248" w:line="302" w:lineRule="exact"/>
        <w:ind w:left="1420" w:right="680" w:firstLine="0"/>
      </w:pPr>
      <w:r>
        <w:t xml:space="preserve"> on the merits of the matter, there was no cartelisation as alleged and COAI was exonerated; and</w:t>
      </w:r>
    </w:p>
    <w:p w:rsidR="00884A28" w:rsidRDefault="00350526">
      <w:pPr>
        <w:pStyle w:val="Bodytext0"/>
        <w:numPr>
          <w:ilvl w:val="0"/>
          <w:numId w:val="7"/>
        </w:numPr>
        <w:shd w:val="clear" w:color="auto" w:fill="auto"/>
        <w:spacing w:before="0" w:line="293" w:lineRule="exact"/>
        <w:ind w:left="1420" w:right="680" w:firstLine="0"/>
      </w:pPr>
      <w:r>
        <w:t xml:space="preserve"> the order of the CCI was perverse and liable to be interfered with under </w:t>
      </w:r>
      <w:r>
        <w:t>writ jurisdiction.”</w:t>
      </w:r>
    </w:p>
    <w:p w:rsidR="00884A28" w:rsidRDefault="00350526">
      <w:pPr>
        <w:pStyle w:val="Bodytext30"/>
        <w:shd w:val="clear" w:color="auto" w:fill="auto"/>
        <w:spacing w:line="643" w:lineRule="exact"/>
        <w:ind w:left="760" w:hanging="720"/>
      </w:pPr>
      <w:r>
        <w:t>Arguments: The appellants:</w:t>
      </w:r>
    </w:p>
    <w:p w:rsidR="00884A28" w:rsidRDefault="00350526">
      <w:pPr>
        <w:pStyle w:val="Bodytext0"/>
        <w:numPr>
          <w:ilvl w:val="0"/>
          <w:numId w:val="1"/>
        </w:numPr>
        <w:shd w:val="clear" w:color="auto" w:fill="auto"/>
        <w:spacing w:before="0"/>
        <w:ind w:left="760" w:right="20" w:hanging="720"/>
      </w:pPr>
      <w:r>
        <w:t xml:space="preserve"> Mr. P.S. Narasimha, learned Additional Solicitor General, appeared on behalf of the CCI and submitted that the impugned judgment is contrary to the law. His attack was premised on three principal propositions, which are follows:</w:t>
      </w:r>
    </w:p>
    <w:p w:rsidR="00884A28" w:rsidRDefault="00350526">
      <w:pPr>
        <w:pStyle w:val="Bodytext0"/>
        <w:numPr>
          <w:ilvl w:val="0"/>
          <w:numId w:val="8"/>
        </w:numPr>
        <w:shd w:val="clear" w:color="auto" w:fill="auto"/>
        <w:spacing w:before="0"/>
        <w:ind w:left="760" w:right="20" w:firstLine="0"/>
      </w:pPr>
      <w:r>
        <w:t xml:space="preserve"> </w:t>
      </w:r>
      <w:r>
        <w:rPr>
          <w:rStyle w:val="BodytextItalic"/>
        </w:rPr>
        <w:t>Jurisdiction of the CCI:</w:t>
      </w:r>
      <w:r>
        <w:t xml:space="preserve"> </w:t>
      </w:r>
      <w:r>
        <w:t>The CCI has jurisdiction in the present case and it need not wait till the conclusion of proceedings under the TRAI Act to conclude.</w:t>
      </w:r>
    </w:p>
    <w:p w:rsidR="00884A28" w:rsidRDefault="00350526">
      <w:pPr>
        <w:pStyle w:val="Bodytext0"/>
        <w:numPr>
          <w:ilvl w:val="0"/>
          <w:numId w:val="8"/>
        </w:numPr>
        <w:shd w:val="clear" w:color="auto" w:fill="auto"/>
        <w:spacing w:before="0"/>
        <w:ind w:left="760" w:right="20" w:firstLine="0"/>
      </w:pPr>
      <w:r>
        <w:t xml:space="preserve"> </w:t>
      </w:r>
      <w:r>
        <w:rPr>
          <w:rStyle w:val="BodytextItalic"/>
        </w:rPr>
        <w:t>Scope of Judicial Interference under Article 226:</w:t>
      </w:r>
      <w:r>
        <w:t xml:space="preserve"> The High Court erred in holding that the order passed under section 26(1</w:t>
      </w:r>
      <w:r>
        <w:t>) was an order resulting in serious adverse consequences merely because the CCI had granted a hearing.</w:t>
      </w:r>
    </w:p>
    <w:p w:rsidR="00884A28" w:rsidRDefault="00350526">
      <w:pPr>
        <w:pStyle w:val="Bodytext0"/>
        <w:numPr>
          <w:ilvl w:val="0"/>
          <w:numId w:val="8"/>
        </w:numPr>
        <w:shd w:val="clear" w:color="auto" w:fill="auto"/>
        <w:spacing w:before="0" w:after="300"/>
        <w:ind w:left="760" w:right="20" w:firstLine="0"/>
      </w:pPr>
      <w:r>
        <w:t xml:space="preserve"> The order of CCI was not perverse and the High Court erred in giving findings on merits. The High Court erroneously exercised writ jurisdiction.</w:t>
      </w:r>
    </w:p>
    <w:p w:rsidR="00884A28" w:rsidRDefault="00350526">
      <w:pPr>
        <w:pStyle w:val="Bodytext0"/>
        <w:numPr>
          <w:ilvl w:val="0"/>
          <w:numId w:val="1"/>
        </w:numPr>
        <w:shd w:val="clear" w:color="auto" w:fill="auto"/>
        <w:spacing w:before="0" w:after="300"/>
        <w:ind w:left="760" w:right="20" w:hanging="720"/>
      </w:pPr>
      <w:r>
        <w:t xml:space="preserve"> With r</w:t>
      </w:r>
      <w:r>
        <w:t xml:space="preserve">espect to the first proposition, his argument was that the High Court had failed to appreciate that issues before the CCI are altogether different than the issues before the TRAI and they necessarily be treated differently. He argued that the CCI and TRAI </w:t>
      </w:r>
      <w:r>
        <w:t>operate in entirely different fields, which is discernible from the Preambles of the respective legislations. The TRAI Act was supposed to enable it to regulate the telecommunication services, adjudicate dispute, dispose of appeals and protect the interest</w:t>
      </w:r>
      <w:r>
        <w:t>s of service providers and consumers of the telecom sector, to promote and ensure orderly growth of the telecom sector. The CCI, on the other hand, is a body that has been established to prevent practices having an adverse effect on competition, to promote</w:t>
      </w:r>
      <w:r>
        <w:t xml:space="preserve"> and sustain competition in markets, to protect the interests of consumers and to ensure freedom of trade carried on by other participants in markets, in India.</w:t>
      </w:r>
    </w:p>
    <w:p w:rsidR="00884A28" w:rsidRDefault="00350526">
      <w:pPr>
        <w:pStyle w:val="Bodytext0"/>
        <w:numPr>
          <w:ilvl w:val="0"/>
          <w:numId w:val="1"/>
        </w:numPr>
        <w:shd w:val="clear" w:color="auto" w:fill="auto"/>
        <w:tabs>
          <w:tab w:val="left" w:pos="730"/>
        </w:tabs>
        <w:spacing w:before="0"/>
        <w:ind w:left="720" w:right="20" w:hanging="720"/>
      </w:pPr>
      <w:r>
        <w:t>Mr. Narasimha emphasised that the issue before the CCI was whether the opposite parties/respond</w:t>
      </w:r>
      <w:r>
        <w:t>ents, i.e. the IDOs, were acting in concert and colluding (forming a cartel) so as to block or hinder the entry of RJIL in the market in violation of section 3(3)</w:t>
      </w:r>
    </w:p>
    <w:p w:rsidR="00884A28" w:rsidRDefault="00350526">
      <w:pPr>
        <w:pStyle w:val="Bodytext0"/>
        <w:numPr>
          <w:ilvl w:val="0"/>
          <w:numId w:val="9"/>
        </w:numPr>
        <w:shd w:val="clear" w:color="auto" w:fill="auto"/>
        <w:tabs>
          <w:tab w:val="left" w:pos="1229"/>
        </w:tabs>
        <w:spacing w:before="0" w:after="300"/>
        <w:ind w:left="720" w:right="20" w:firstLine="0"/>
      </w:pPr>
      <w:r>
        <w:t>of the Act. The key issue is whether there was an anti</w:t>
      </w:r>
      <w:r>
        <w:softHyphen/>
        <w:t>competitive agreement between the IDOs</w:t>
      </w:r>
      <w:r>
        <w:t>, using the platform of COAI. The issue before the TRAI, on the other hand, is whether the delay/denial of POIs has violated terms of the licence agreement and QoS regulations. The learned ASG pointed out that all the opposite parties have argued that they</w:t>
      </w:r>
      <w:r>
        <w:t xml:space="preserve"> were justified in declining POIs to RJIL. However, the question before the CCI is whether the conduct of the parties was </w:t>
      </w:r>
      <w:r>
        <w:rPr>
          <w:rStyle w:val="Bodytext1"/>
        </w:rPr>
        <w:t>unilateral</w:t>
      </w:r>
      <w:r>
        <w:t xml:space="preserve"> or </w:t>
      </w:r>
      <w:r>
        <w:rPr>
          <w:rStyle w:val="Bodytext1"/>
        </w:rPr>
        <w:t>collective</w:t>
      </w:r>
      <w:r>
        <w:t xml:space="preserve"> action based on an agreement? It is precisely this issue that requires investigation by the Director General.</w:t>
      </w:r>
      <w:r>
        <w:t xml:space="preserve"> If the conduct of the respondents in delaying/denying POIs was unilateral (i.e. an independent decision made by each of them), then the conduct cannot be faulted under Section 3 of the Act since Section 3 is premised on existence of an ‘agreement’ as defi</w:t>
      </w:r>
      <w:r>
        <w:t xml:space="preserve">ned in Section 2(b). However, if the conduct of the respondents was based on an ‘agreement’, it would become illegal under Section 3(3)(b) of the Act because its intent and effect is to ‘limit or control production, supply, markets, technical development, </w:t>
      </w:r>
      <w:r>
        <w:t xml:space="preserve">investment or provision of services”. It was contended that the conduct may well be legal under the TRAI Act and regulations or other laws. However, it is the collusive/concerted nature of the action coupled with the effect that makes it illegal under the </w:t>
      </w:r>
      <w:r>
        <w:t>Competition Act.</w:t>
      </w:r>
    </w:p>
    <w:p w:rsidR="00884A28" w:rsidRDefault="00350526">
      <w:pPr>
        <w:pStyle w:val="Bodytext0"/>
        <w:numPr>
          <w:ilvl w:val="0"/>
          <w:numId w:val="1"/>
        </w:numPr>
        <w:shd w:val="clear" w:color="auto" w:fill="auto"/>
        <w:tabs>
          <w:tab w:val="left" w:pos="730"/>
        </w:tabs>
        <w:spacing w:before="0"/>
        <w:ind w:firstLine="0"/>
      </w:pPr>
      <w:r>
        <w:t>He adverted to the order dated April 21, 2017 of the CCI, while</w:t>
      </w:r>
    </w:p>
    <w:p w:rsidR="00884A28" w:rsidRDefault="00350526">
      <w:pPr>
        <w:pStyle w:val="Bodytext0"/>
        <w:shd w:val="clear" w:color="auto" w:fill="auto"/>
        <w:spacing w:before="0"/>
        <w:ind w:left="720" w:firstLine="0"/>
      </w:pPr>
      <w:r>
        <w:t xml:space="preserve">taking its </w:t>
      </w:r>
      <w:r>
        <w:rPr>
          <w:rStyle w:val="BodytextItalic"/>
        </w:rPr>
        <w:t>prima facie</w:t>
      </w:r>
      <w:r>
        <w:t xml:space="preserve"> view and submitted that the CCI has</w:t>
      </w:r>
    </w:p>
    <w:p w:rsidR="00884A28" w:rsidRDefault="00350526">
      <w:pPr>
        <w:pStyle w:val="Bodytext0"/>
        <w:shd w:val="clear" w:color="auto" w:fill="auto"/>
        <w:spacing w:before="0"/>
        <w:ind w:left="720" w:firstLine="0"/>
      </w:pPr>
      <w:r>
        <w:t>recognised the distinction between the issues before the TRAI</w:t>
      </w:r>
    </w:p>
    <w:p w:rsidR="00884A28" w:rsidRDefault="00350526">
      <w:pPr>
        <w:pStyle w:val="Bodytext0"/>
        <w:shd w:val="clear" w:color="auto" w:fill="auto"/>
        <w:spacing w:before="0"/>
        <w:ind w:left="720" w:firstLine="0"/>
      </w:pPr>
      <w:r>
        <w:t>and the issues arising under the Act, as follows:</w:t>
      </w:r>
    </w:p>
    <w:p w:rsidR="00884A28" w:rsidRDefault="00350526">
      <w:pPr>
        <w:pStyle w:val="Bodytext0"/>
        <w:shd w:val="clear" w:color="auto" w:fill="auto"/>
        <w:spacing w:before="0" w:line="298" w:lineRule="exact"/>
        <w:ind w:left="1420" w:right="680" w:firstLine="0"/>
      </w:pPr>
      <w:r>
        <w:t xml:space="preserve">"9. </w:t>
      </w:r>
      <w:r>
        <w:t>It is observed that telecom sector is regulated by TRAI as the sectoral regulator. On the allegation of insufficient POIs being provided to RJIL, the Commission notes from the information available on TRAI’s website that, on 21</w:t>
      </w:r>
      <w:r>
        <w:rPr>
          <w:vertAlign w:val="superscript"/>
        </w:rPr>
        <w:t>st</w:t>
      </w:r>
      <w:r>
        <w:t xml:space="preserve"> October 2016, TRAI had rec</w:t>
      </w:r>
      <w:r>
        <w:t>ommended, through three separate communications to the Department of Telecommunications, imposition of penalty of Rs.50</w:t>
      </w:r>
    </w:p>
    <w:p w:rsidR="00884A28" w:rsidRDefault="00350526">
      <w:pPr>
        <w:pStyle w:val="Bodytext0"/>
        <w:shd w:val="clear" w:color="auto" w:fill="auto"/>
        <w:tabs>
          <w:tab w:val="center" w:pos="3506"/>
          <w:tab w:val="right" w:pos="4649"/>
          <w:tab w:val="left" w:pos="4802"/>
          <w:tab w:val="center" w:pos="5988"/>
          <w:tab w:val="right" w:pos="6777"/>
        </w:tabs>
        <w:spacing w:before="0" w:line="298" w:lineRule="exact"/>
        <w:ind w:left="20" w:right="20" w:firstLine="0"/>
      </w:pPr>
      <w:r>
        <w:t>crore per License Service Area (LSA) against Airtel, Vodafone and Idea, for violation of the provisions of License Agreements and the St</w:t>
      </w:r>
      <w:r>
        <w:t>andards of QoS of Basic Telephone Service (Wireline) and Cellular Mobile Telephone Service Regulations, 2009. Thus, TRAI as a sectoral regulator, has held the said conduct of ITOs in violation of relevant TRAI regulations and recommended penal action again</w:t>
      </w:r>
      <w:r>
        <w:t>st them. However, the recommendations of TRAI is in respect of violations of the provisions of License Agreements and the Standards of QoS of Basic Telephone Service (Wireline) and Cellular Mobile Telephone Service Regulations, 2009 by these OPs. Against t</w:t>
      </w:r>
      <w:r>
        <w:t>his, mandate of the Commission under Section 18 of the Act is ‘...to eliminate practices having adverse effect on competition, promote and sustain competition, protect the interests of consumers and ensure freedom of trade carried on by other participants,</w:t>
      </w:r>
      <w:r>
        <w:t xml:space="preserve"> in markets in India.’ Accordingly, it becomes the duty and responsibility of the Commission to eliminate practices in the market that have an adverse effect on competition and promote and sustain competition so as to protect the interest of consumers and </w:t>
      </w:r>
      <w:r>
        <w:t>ensure freedom of trade. Further, as per Section 62 of the Act, provisions of the Act are in addition to and not in derogation of the provisions of any other law for the time being in force. Section 61 of the Act grants exclusive power to the Commission an</w:t>
      </w:r>
      <w:r>
        <w:t>d the Competition Appellate Tribunal to exercise its jurisdiction in respect of any matter which the Act empowers the Commission or the Competition Appellate Tribunal to determine to the exclusion of civil courts. A careful reading of these provisions show</w:t>
      </w:r>
      <w:r>
        <w:t xml:space="preserve"> that the Commission has the jurisdiction to inquire into the issues alleged in the present information insofar as</w:t>
      </w:r>
      <w:r>
        <w:tab/>
        <w:t>the</w:t>
      </w:r>
      <w:r>
        <w:tab/>
        <w:t>same</w:t>
      </w:r>
      <w:r>
        <w:tab/>
        <w:t>may</w:t>
      </w:r>
      <w:r>
        <w:tab/>
        <w:t>result</w:t>
      </w:r>
      <w:r>
        <w:tab/>
        <w:t>in</w:t>
      </w:r>
    </w:p>
    <w:p w:rsidR="00884A28" w:rsidRDefault="00350526">
      <w:pPr>
        <w:pStyle w:val="Bodytext0"/>
        <w:shd w:val="clear" w:color="auto" w:fill="auto"/>
        <w:spacing w:before="0" w:after="300" w:line="298" w:lineRule="exact"/>
        <w:ind w:left="20" w:firstLine="0"/>
      </w:pPr>
      <w:r>
        <w:t>contravention of the provisions of the Act.</w:t>
      </w:r>
    </w:p>
    <w:p w:rsidR="00884A28" w:rsidRDefault="00350526">
      <w:pPr>
        <w:pStyle w:val="Bodytext20"/>
        <w:numPr>
          <w:ilvl w:val="0"/>
          <w:numId w:val="10"/>
        </w:numPr>
        <w:shd w:val="clear" w:color="auto" w:fill="auto"/>
        <w:tabs>
          <w:tab w:val="center" w:pos="3506"/>
          <w:tab w:val="left" w:pos="4787"/>
          <w:tab w:val="left" w:pos="4710"/>
          <w:tab w:val="center" w:pos="5988"/>
          <w:tab w:val="left" w:pos="735"/>
        </w:tabs>
        <w:spacing w:after="0" w:line="298" w:lineRule="exact"/>
        <w:ind w:left="20" w:right="20"/>
        <w:jc w:val="both"/>
      </w:pPr>
      <w:r>
        <w:t>It may be noted that the primary grievance of the Informants relates to ca</w:t>
      </w:r>
      <w:r>
        <w:t>rtelization by the Opposite Parties, amounting to violation of the provisions of Section 3 of the Act. In</w:t>
      </w:r>
      <w:r>
        <w:tab/>
        <w:t>this</w:t>
      </w:r>
      <w:r>
        <w:tab/>
        <w:t>regard,</w:t>
      </w:r>
      <w:r>
        <w:tab/>
        <w:t>it must</w:t>
      </w:r>
      <w:r>
        <w:tab/>
        <w:t>be noted</w:t>
      </w:r>
    </w:p>
    <w:p w:rsidR="00884A28" w:rsidRDefault="00350526">
      <w:pPr>
        <w:pStyle w:val="Bodytext20"/>
        <w:shd w:val="clear" w:color="auto" w:fill="auto"/>
        <w:tabs>
          <w:tab w:val="right" w:pos="6777"/>
        </w:tabs>
        <w:spacing w:after="0" w:line="298" w:lineRule="exact"/>
        <w:ind w:left="20"/>
        <w:jc w:val="both"/>
      </w:pPr>
      <w:r>
        <w:t>that none of the areas covered under Section 3 of</w:t>
      </w:r>
      <w:r>
        <w:tab/>
        <w:t>the</w:t>
      </w:r>
    </w:p>
    <w:p w:rsidR="00884A28" w:rsidRDefault="00350526">
      <w:pPr>
        <w:pStyle w:val="Bodytext20"/>
        <w:shd w:val="clear" w:color="auto" w:fill="auto"/>
        <w:tabs>
          <w:tab w:val="center" w:pos="3506"/>
          <w:tab w:val="right" w:pos="4649"/>
          <w:tab w:val="left" w:pos="4792"/>
          <w:tab w:val="center" w:pos="5988"/>
          <w:tab w:val="right" w:pos="6777"/>
        </w:tabs>
        <w:spacing w:after="0" w:line="298" w:lineRule="exact"/>
        <w:ind w:left="20" w:right="20"/>
        <w:jc w:val="both"/>
      </w:pPr>
      <w:r>
        <w:t xml:space="preserve">Act are covered by TRAI in its mandate as a sector regulator for </w:t>
      </w:r>
      <w:r>
        <w:t>TSPs.</w:t>
      </w:r>
      <w:r>
        <w:tab/>
        <w:t>No</w:t>
      </w:r>
      <w:r>
        <w:tab/>
        <w:t>doubt,</w:t>
      </w:r>
      <w:r>
        <w:tab/>
        <w:t>TRAI</w:t>
      </w:r>
      <w:r>
        <w:tab/>
        <w:t>has</w:t>
      </w:r>
      <w:r>
        <w:tab/>
        <w:t>the</w:t>
      </w:r>
    </w:p>
    <w:p w:rsidR="00884A28" w:rsidRDefault="00350526">
      <w:pPr>
        <w:pStyle w:val="Bodytext20"/>
        <w:shd w:val="clear" w:color="auto" w:fill="auto"/>
        <w:spacing w:after="0" w:line="298" w:lineRule="exact"/>
        <w:ind w:left="20" w:right="20"/>
        <w:jc w:val="both"/>
      </w:pPr>
      <w:r>
        <w:t>responsibility/obligation to determine whether Quality of Service regulations and interconnection norms on the levels of congestion at the points of interconnection are complied with it not. But apart from that, none of the oth</w:t>
      </w:r>
      <w:r>
        <w:t>er issues as envisaged under</w:t>
      </w:r>
    </w:p>
    <w:p w:rsidR="00884A28" w:rsidRDefault="00350526">
      <w:pPr>
        <w:pStyle w:val="Bodytext20"/>
        <w:shd w:val="clear" w:color="auto" w:fill="auto"/>
        <w:spacing w:after="300" w:line="298" w:lineRule="exact"/>
        <w:ind w:left="20" w:right="20"/>
        <w:jc w:val="both"/>
      </w:pPr>
      <w:r>
        <w:t xml:space="preserve">Section 3 of the Act are looked into by TRAI. Specifically, TRAI cannot arrive at a determination as to whether the ITOs have colluded and cartelized to deny POIs to the detriment of RJIL in violation of Section 3(3) read with </w:t>
      </w:r>
      <w:r>
        <w:t>Section 3(1) of the Act. The scope of the Section 3 allegation is not whether the ITOs have breached the terms of their respective License agreement or ICA, rather, the scope of the Section 3 allegations pertains to whether the ITOs have entered into an an</w:t>
      </w:r>
      <w:r>
        <w:t xml:space="preserve">ti-competitive agreement to provide insufficient POIs or delay the provisions of POIs to RJIL. </w:t>
      </w:r>
      <w:r>
        <w:rPr>
          <w:rStyle w:val="Bodytext2NotBold"/>
        </w:rPr>
        <w:t>It is within the mandate of the Commission which can adjudicate on the issue of cartelization amongst enterprises/associations and arrive at a finding on the all</w:t>
      </w:r>
      <w:r>
        <w:rPr>
          <w:rStyle w:val="Bodytext2NotBold"/>
        </w:rPr>
        <w:t>eged cartelization. The Commission accordingly holds that the issue of whether such conduct on the part of ITOs (including COAI) has resulted in any anti-competitive effect in the market in violation of the provisions of the Act can and needs to be examine</w:t>
      </w:r>
      <w:r>
        <w:rPr>
          <w:rStyle w:val="Bodytext2NotBold"/>
        </w:rPr>
        <w:t>d by it.</w:t>
      </w:r>
    </w:p>
    <w:p w:rsidR="00884A28" w:rsidRDefault="00350526">
      <w:pPr>
        <w:pStyle w:val="Bodytext20"/>
        <w:numPr>
          <w:ilvl w:val="0"/>
          <w:numId w:val="10"/>
        </w:numPr>
        <w:shd w:val="clear" w:color="auto" w:fill="auto"/>
        <w:spacing w:after="300" w:line="298" w:lineRule="exact"/>
        <w:ind w:left="20" w:right="20"/>
        <w:jc w:val="both"/>
      </w:pPr>
      <w:r>
        <w:rPr>
          <w:rStyle w:val="Bodytext2NotBold"/>
        </w:rPr>
        <w:t xml:space="preserve"> The Commission recognizes the role and importance of sectoral regulators and exercises its jurisdiction keeping in mind their role and responsibilities. </w:t>
      </w:r>
      <w:r>
        <w:t>The Commission is a market regulator and has the jurisdiction to look at those issues which a</w:t>
      </w:r>
      <w:r>
        <w:t>ffect competition in markets in India, including that of an alleged cartelization amongst enterprises/ associations. The nature of the proceedings before TRAI involving ITOs on the other hand different and related to whether interconnection norms and quali</w:t>
      </w:r>
      <w:r>
        <w:t>ty of service regulations are complied with or whether the contractual terms of ICAs have been breached or met. Palpably, these issues are not relevant for determination in the current proceedings before the Commission.</w:t>
      </w:r>
    </w:p>
    <w:p w:rsidR="00884A28" w:rsidRDefault="00350526">
      <w:pPr>
        <w:pStyle w:val="Bodytext20"/>
        <w:numPr>
          <w:ilvl w:val="0"/>
          <w:numId w:val="10"/>
        </w:numPr>
        <w:shd w:val="clear" w:color="auto" w:fill="auto"/>
        <w:spacing w:after="0" w:line="298" w:lineRule="exact"/>
        <w:ind w:left="20" w:right="20"/>
        <w:jc w:val="both"/>
      </w:pPr>
      <w:r>
        <w:rPr>
          <w:rStyle w:val="Bodytext2NotBold"/>
        </w:rPr>
        <w:t xml:space="preserve"> </w:t>
      </w:r>
      <w:r>
        <w:t>The informants have alleged that th</w:t>
      </w:r>
      <w:r>
        <w:t>e conduct of ITOs amounts to a “cartel” in relation to denial of POIs</w:t>
      </w:r>
    </w:p>
    <w:p w:rsidR="00884A28" w:rsidRDefault="00350526">
      <w:pPr>
        <w:pStyle w:val="Bodytext0"/>
        <w:shd w:val="clear" w:color="auto" w:fill="auto"/>
        <w:spacing w:before="0" w:line="298" w:lineRule="exact"/>
        <w:ind w:left="20" w:right="20" w:firstLine="0"/>
        <w:sectPr w:rsidR="00884A28">
          <w:type w:val="continuous"/>
          <w:pgSz w:w="12240" w:h="15840"/>
          <w:pgMar w:top="556" w:right="962" w:bottom="1108" w:left="2388" w:header="0" w:footer="3" w:gutter="0"/>
          <w:cols w:space="720"/>
          <w:noEndnote/>
          <w:docGrid w:linePitch="360"/>
        </w:sectPr>
      </w:pPr>
      <w:r>
        <w:rPr>
          <w:rStyle w:val="BodytextBold"/>
        </w:rPr>
        <w:t xml:space="preserve">to RJIL. </w:t>
      </w:r>
      <w:r>
        <w:t xml:space="preserve">The definition of cartel has been provided under Section 2(c) of the Act which reads as follows: ‘cartel includes an association of producers, sellers, </w:t>
      </w:r>
      <w:r>
        <w:t>distributors, traders or service providers who by agreement amongst themselves limit, control or attempt to control the production, distribution, sale or price of or, trade in goods or provision of services.’ Further, any alleged agreement amongst enterpri</w:t>
      </w:r>
      <w:r>
        <w:t>ses and an association of enterprises, engaged in identical or similar trade or provision of</w:t>
      </w:r>
    </w:p>
    <w:p w:rsidR="00884A28" w:rsidRDefault="00350526">
      <w:pPr>
        <w:pStyle w:val="Bodytext0"/>
        <w:shd w:val="clear" w:color="auto" w:fill="auto"/>
        <w:spacing w:before="0" w:line="298" w:lineRule="exact"/>
        <w:ind w:left="1420" w:right="700" w:firstLine="0"/>
      </w:pPr>
      <w:r>
        <w:t>services is covered under Section 3(3) of the act which states that:</w:t>
      </w:r>
    </w:p>
    <w:p w:rsidR="00884A28" w:rsidRDefault="00350526">
      <w:pPr>
        <w:pStyle w:val="Bodytext0"/>
        <w:shd w:val="clear" w:color="auto" w:fill="auto"/>
        <w:spacing w:before="0" w:after="296" w:line="298" w:lineRule="exact"/>
        <w:ind w:left="1700" w:right="1040" w:firstLine="0"/>
      </w:pPr>
      <w:r>
        <w:t>Any agreement entered into between enterprises or associations of enterprises or persons or as</w:t>
      </w:r>
      <w:r>
        <w:t>sociations of persons or between any person and enterprise or practice carried on, or decision taken by, any association of enterprises or association of persons, including cartels, engaged in identical or similar trade of goods or provision of services, w</w:t>
      </w:r>
      <w:r>
        <w:t>hich-</w:t>
      </w:r>
    </w:p>
    <w:p w:rsidR="00884A28" w:rsidRDefault="00350526">
      <w:pPr>
        <w:pStyle w:val="Bodytext0"/>
        <w:numPr>
          <w:ilvl w:val="0"/>
          <w:numId w:val="11"/>
        </w:numPr>
        <w:shd w:val="clear" w:color="auto" w:fill="auto"/>
        <w:spacing w:before="0" w:after="304" w:line="302" w:lineRule="exact"/>
        <w:ind w:left="1700" w:right="1040" w:firstLine="0"/>
      </w:pPr>
      <w:r>
        <w:t xml:space="preserve"> directly or indirectly determines purchase or sale prices;</w:t>
      </w:r>
    </w:p>
    <w:p w:rsidR="00884A28" w:rsidRDefault="00350526">
      <w:pPr>
        <w:pStyle w:val="Bodytext0"/>
        <w:numPr>
          <w:ilvl w:val="0"/>
          <w:numId w:val="11"/>
        </w:numPr>
        <w:shd w:val="clear" w:color="auto" w:fill="auto"/>
        <w:spacing w:before="0" w:after="346" w:line="298" w:lineRule="exact"/>
        <w:ind w:left="1700" w:right="1040" w:firstLine="0"/>
      </w:pPr>
      <w:r>
        <w:t xml:space="preserve"> limits or controls production, supply, markets, technical development, investment or provision of services;</w:t>
      </w:r>
    </w:p>
    <w:p w:rsidR="00884A28" w:rsidRDefault="00350526">
      <w:pPr>
        <w:pStyle w:val="Bodytext0"/>
        <w:numPr>
          <w:ilvl w:val="0"/>
          <w:numId w:val="11"/>
        </w:numPr>
        <w:shd w:val="clear" w:color="auto" w:fill="auto"/>
        <w:tabs>
          <w:tab w:val="left" w:leader="dot" w:pos="2492"/>
        </w:tabs>
        <w:spacing w:before="0" w:after="281" w:line="240" w:lineRule="exact"/>
        <w:ind w:left="1700" w:firstLine="0"/>
      </w:pPr>
      <w:r>
        <w:t xml:space="preserve"> </w:t>
      </w:r>
      <w:r>
        <w:tab/>
      </w:r>
    </w:p>
    <w:p w:rsidR="00884A28" w:rsidRDefault="00350526">
      <w:pPr>
        <w:pStyle w:val="Bodytext0"/>
        <w:numPr>
          <w:ilvl w:val="0"/>
          <w:numId w:val="11"/>
        </w:numPr>
        <w:shd w:val="clear" w:color="auto" w:fill="auto"/>
        <w:tabs>
          <w:tab w:val="left" w:leader="dot" w:pos="2492"/>
        </w:tabs>
        <w:spacing w:before="0" w:after="202" w:line="240" w:lineRule="exact"/>
        <w:ind w:left="1700" w:firstLine="0"/>
      </w:pPr>
      <w:r>
        <w:t xml:space="preserve"> </w:t>
      </w:r>
      <w:r>
        <w:tab/>
      </w:r>
    </w:p>
    <w:p w:rsidR="00884A28" w:rsidRDefault="00350526">
      <w:pPr>
        <w:pStyle w:val="Bodytext0"/>
        <w:shd w:val="clear" w:color="auto" w:fill="auto"/>
        <w:spacing w:before="0" w:after="304" w:line="302" w:lineRule="exact"/>
        <w:ind w:left="1700" w:right="1040" w:firstLine="0"/>
      </w:pPr>
      <w:r>
        <w:t>shall be presumed to have an appreciable adverse effect on competition.</w:t>
      </w:r>
    </w:p>
    <w:p w:rsidR="00884A28" w:rsidRDefault="00350526">
      <w:pPr>
        <w:pStyle w:val="Bodytext0"/>
        <w:numPr>
          <w:ilvl w:val="0"/>
          <w:numId w:val="10"/>
        </w:numPr>
        <w:shd w:val="clear" w:color="auto" w:fill="auto"/>
        <w:tabs>
          <w:tab w:val="left" w:pos="2140"/>
        </w:tabs>
        <w:spacing w:before="0" w:line="298" w:lineRule="exact"/>
        <w:ind w:left="1420" w:right="700" w:firstLine="0"/>
      </w:pPr>
      <w:r>
        <w:t xml:space="preserve">On </w:t>
      </w:r>
      <w:r>
        <w:t>the basis of the above, the Commission notes that in addition to ITOs, conduct of COAI also needs to be examined under the provisions of Section 3(3) of the Act.”</w:t>
      </w:r>
    </w:p>
    <w:p w:rsidR="00884A28" w:rsidRDefault="00350526">
      <w:pPr>
        <w:pStyle w:val="Bodytext0"/>
        <w:shd w:val="clear" w:color="auto" w:fill="auto"/>
        <w:spacing w:before="0" w:after="364" w:line="240" w:lineRule="exact"/>
        <w:ind w:left="6120" w:firstLine="0"/>
        <w:jc w:val="left"/>
      </w:pPr>
      <w:r>
        <w:t>(emphasis added)</w:t>
      </w:r>
    </w:p>
    <w:p w:rsidR="00884A28" w:rsidRDefault="00350526">
      <w:pPr>
        <w:pStyle w:val="Bodytext0"/>
        <w:numPr>
          <w:ilvl w:val="0"/>
          <w:numId w:val="1"/>
        </w:numPr>
        <w:shd w:val="clear" w:color="auto" w:fill="auto"/>
        <w:tabs>
          <w:tab w:val="left" w:pos="730"/>
        </w:tabs>
        <w:spacing w:before="0"/>
        <w:ind w:left="720" w:right="20" w:hanging="720"/>
      </w:pPr>
      <w:r>
        <w:t>He submitted that it was the statutory duty of the CCI, enumerated in Sectio</w:t>
      </w:r>
      <w:r>
        <w:t xml:space="preserve">n 18 of the Act, to eliminate anti-competitive practices and the focus of the CCI was confined to this Court’s judgment in the case of </w:t>
      </w:r>
      <w:r>
        <w:rPr>
          <w:rStyle w:val="BodytextItalic"/>
        </w:rPr>
        <w:t>Haridas Exports</w:t>
      </w:r>
      <w:r>
        <w:t xml:space="preserve"> v. </w:t>
      </w:r>
      <w:r>
        <w:rPr>
          <w:rStyle w:val="BodytextItalic"/>
        </w:rPr>
        <w:t>All India Float Glass Manufacturers’ Assn. &amp; Ors.</w:t>
      </w:r>
      <w:hyperlink w:anchor="bookmark0" w:tooltip="Current Document">
        <w:r>
          <w:rPr>
            <w:rStyle w:val="BodytextItalic"/>
            <w:vertAlign w:val="superscript"/>
          </w:rPr>
          <w:footnoteReference w:id="2"/>
        </w:r>
        <w:r>
          <w:t xml:space="preserve"> </w:t>
        </w:r>
      </w:hyperlink>
      <w:r>
        <w:t>wherein it was held that where statutes operate in different fields and have different purposes, it cannot be said that there is implied repeal by one, of</w:t>
      </w:r>
    </w:p>
    <w:p w:rsidR="00884A28" w:rsidRDefault="00350526">
      <w:pPr>
        <w:pStyle w:val="Bodytext0"/>
        <w:shd w:val="clear" w:color="auto" w:fill="auto"/>
        <w:spacing w:before="0"/>
        <w:ind w:firstLine="0"/>
        <w:jc w:val="left"/>
      </w:pPr>
      <w:r>
        <w:t>the other. In the said case, this Court was considering alleged</w:t>
      </w:r>
    </w:p>
    <w:p w:rsidR="00884A28" w:rsidRDefault="00350526">
      <w:pPr>
        <w:pStyle w:val="Bodytext0"/>
        <w:shd w:val="clear" w:color="auto" w:fill="auto"/>
        <w:spacing w:before="0"/>
        <w:ind w:firstLine="0"/>
        <w:jc w:val="left"/>
      </w:pPr>
      <w:r>
        <w:t>conflict between the Monopolies &amp; Re</w:t>
      </w:r>
      <w:r>
        <w:t>strictive Trade Practices</w:t>
      </w:r>
    </w:p>
    <w:p w:rsidR="00884A28" w:rsidRDefault="00350526">
      <w:pPr>
        <w:pStyle w:val="Bodytext0"/>
        <w:shd w:val="clear" w:color="auto" w:fill="auto"/>
        <w:spacing w:before="0"/>
        <w:ind w:firstLine="0"/>
        <w:jc w:val="left"/>
      </w:pPr>
      <w:r>
        <w:t>Act, 1969 and the Anti-Dumping Rules under the Customs</w:t>
      </w:r>
    </w:p>
    <w:p w:rsidR="00884A28" w:rsidRDefault="00350526">
      <w:pPr>
        <w:pStyle w:val="Bodytext0"/>
        <w:shd w:val="clear" w:color="auto" w:fill="auto"/>
        <w:spacing w:before="0"/>
        <w:ind w:firstLine="0"/>
        <w:jc w:val="left"/>
      </w:pPr>
      <w:r>
        <w:t>Act/Customs Tariff Act. It was held:</w:t>
      </w:r>
    </w:p>
    <w:p w:rsidR="00884A28" w:rsidRDefault="00350526">
      <w:pPr>
        <w:pStyle w:val="Bodytext0"/>
        <w:shd w:val="clear" w:color="auto" w:fill="auto"/>
        <w:spacing w:before="0" w:after="286" w:line="298" w:lineRule="exact"/>
        <w:ind w:left="720" w:right="940" w:firstLine="0"/>
      </w:pPr>
      <w:r>
        <w:t xml:space="preserve">"48. The jurisdiction of the MRTP Commission, in our opinion, is not ousted by the anti-dumping provisions in the Customs Act. </w:t>
      </w:r>
      <w:r>
        <w:rPr>
          <w:rStyle w:val="Bodytext1"/>
        </w:rPr>
        <w:t xml:space="preserve">The two </w:t>
      </w:r>
      <w:r>
        <w:rPr>
          <w:rStyle w:val="Bodytext1"/>
        </w:rPr>
        <w:t>Acts operate in different fields and</w:t>
      </w:r>
      <w:r>
        <w:t xml:space="preserve"> </w:t>
      </w:r>
      <w:r>
        <w:rPr>
          <w:rStyle w:val="Bodytext1"/>
        </w:rPr>
        <w:t>have different purposes.</w:t>
      </w:r>
      <w:r>
        <w:t xml:space="preserve"> The Import Control Act and the Customs Tariff Act are concerned with import of goods into India and the duty which could be imposed on the imported items. Import may be allowed on the basis of a</w:t>
      </w:r>
      <w:r>
        <w:t>n import licence or, depending upon the policy, import may be allowed under OGL — open general licence — where no specific licence for import is required. Whether to allow import or not and the terms on which an item may be imported is a matter of policy a</w:t>
      </w:r>
      <w:r>
        <w:t>nd regulated by law.</w:t>
      </w:r>
    </w:p>
    <w:p w:rsidR="00884A28" w:rsidRDefault="00350526">
      <w:pPr>
        <w:pStyle w:val="Bodytext0"/>
        <w:shd w:val="clear" w:color="auto" w:fill="auto"/>
        <w:tabs>
          <w:tab w:val="center" w:pos="4086"/>
          <w:tab w:val="right" w:pos="5626"/>
        </w:tabs>
        <w:spacing w:before="0" w:after="561" w:line="240" w:lineRule="exact"/>
        <w:ind w:left="2540" w:firstLine="0"/>
      </w:pPr>
      <w:r>
        <w:t>xx</w:t>
      </w:r>
      <w:r>
        <w:tab/>
        <w:t>xx</w:t>
      </w:r>
      <w:r>
        <w:tab/>
        <w:t>xx</w:t>
      </w:r>
    </w:p>
    <w:p w:rsidR="00884A28" w:rsidRDefault="00350526">
      <w:pPr>
        <w:pStyle w:val="Bodytext0"/>
        <w:numPr>
          <w:ilvl w:val="0"/>
          <w:numId w:val="12"/>
        </w:numPr>
        <w:shd w:val="clear" w:color="auto" w:fill="auto"/>
        <w:spacing w:before="0" w:line="298" w:lineRule="exact"/>
        <w:ind w:left="720" w:right="940" w:firstLine="0"/>
      </w:pPr>
      <w:r>
        <w:t xml:space="preserve"> The levy or non-levy of anti-dumping or other duty being a legislative act pursuant to the exercise of powers under the Customs Tariff Act can also not be a subject- matter of judicial review by the MRTP Commission. The two A</w:t>
      </w:r>
      <w:r>
        <w:t>cts substantially operate in different fields and the following table brings out some of the distinctions between the MRTP Act and the anti-dumping provisions:</w:t>
      </w:r>
    </w:p>
    <w:p w:rsidR="00884A28" w:rsidRDefault="00350526">
      <w:pPr>
        <w:pStyle w:val="Bodytext0"/>
        <w:shd w:val="clear" w:color="auto" w:fill="auto"/>
        <w:spacing w:before="0" w:line="298" w:lineRule="exact"/>
        <w:ind w:left="720" w:firstLine="0"/>
      </w:pPr>
      <w:r>
        <w:t>[table omitted]</w:t>
      </w:r>
    </w:p>
    <w:p w:rsidR="00884A28" w:rsidRDefault="00350526">
      <w:pPr>
        <w:pStyle w:val="Bodytext0"/>
        <w:shd w:val="clear" w:color="auto" w:fill="auto"/>
        <w:spacing w:before="0" w:after="240" w:line="298" w:lineRule="exact"/>
        <w:ind w:left="720" w:right="940" w:firstLine="0"/>
      </w:pPr>
      <w:r>
        <w:t>A perusal of the above chart indicates that the two statutes and regimes operate</w:t>
      </w:r>
      <w:r>
        <w:t xml:space="preserve"> in different and distinct spheres and there is no conflict between the two regimes/statutes. Hence, the question of implied repeal of the provisions of Section 33(1)(/) of the MRTP Act, 1969 on account of the provisions of Section 9-A of the Customs Tarif</w:t>
      </w:r>
      <w:r>
        <w:t>f Act, 1975 does not arise.</w:t>
      </w:r>
    </w:p>
    <w:p w:rsidR="00884A28" w:rsidRDefault="00350526">
      <w:pPr>
        <w:pStyle w:val="Bodytext0"/>
        <w:numPr>
          <w:ilvl w:val="0"/>
          <w:numId w:val="12"/>
        </w:numPr>
        <w:shd w:val="clear" w:color="auto" w:fill="auto"/>
        <w:spacing w:before="0" w:line="298" w:lineRule="exact"/>
        <w:ind w:left="720" w:right="940" w:firstLine="0"/>
      </w:pPr>
      <w:r>
        <w:t xml:space="preserve"> </w:t>
      </w:r>
      <w:r>
        <w:rPr>
          <w:rStyle w:val="Bodytext1"/>
        </w:rPr>
        <w:t>It is thus seen that the provisions relating to anti</w:t>
      </w:r>
      <w:r>
        <w:rPr>
          <w:rStyle w:val="Bodytext1"/>
        </w:rPr>
        <w:softHyphen/>
        <w:t>dumping contained in the Customs Tariff Act do not in any</w:t>
      </w:r>
      <w:r>
        <w:t xml:space="preserve"> </w:t>
      </w:r>
      <w:r>
        <w:rPr>
          <w:rStyle w:val="Bodytext1"/>
        </w:rPr>
        <w:t>way affect the power or jurisdiction of the MRTP</w:t>
      </w:r>
      <w:r>
        <w:t xml:space="preserve"> </w:t>
      </w:r>
      <w:r>
        <w:rPr>
          <w:rStyle w:val="Bodytext1"/>
        </w:rPr>
        <w:t>Commission. The Import Control Act and the Customs</w:t>
      </w:r>
      <w:r>
        <w:t xml:space="preserve"> </w:t>
      </w:r>
      <w:r>
        <w:rPr>
          <w:rStyle w:val="Bodytext1"/>
        </w:rPr>
        <w:t>Tariff Act on th</w:t>
      </w:r>
      <w:r>
        <w:rPr>
          <w:rStyle w:val="Bodytext1"/>
        </w:rPr>
        <w:t>e one hand and the MRTP Act on the other</w:t>
      </w:r>
      <w:r>
        <w:t xml:space="preserve"> </w:t>
      </w:r>
      <w:r>
        <w:rPr>
          <w:rStyle w:val="Bodytext1"/>
        </w:rPr>
        <w:t>operate in different independent fields and the authority</w:t>
      </w:r>
    </w:p>
    <w:p w:rsidR="00884A28" w:rsidRDefault="00350526">
      <w:pPr>
        <w:pStyle w:val="Bodytext0"/>
        <w:shd w:val="clear" w:color="auto" w:fill="auto"/>
        <w:spacing w:before="0" w:after="324" w:line="298" w:lineRule="exact"/>
        <w:ind w:left="1420" w:right="700" w:firstLine="0"/>
      </w:pPr>
      <w:r>
        <w:rPr>
          <w:rStyle w:val="Bodytext1"/>
        </w:rPr>
        <w:t>under one has no jurisdiction over the other.</w:t>
      </w:r>
      <w:r>
        <w:t xml:space="preserve"> In other words, their paths do not cross each other. While the provisions of the Anti-Dumping Act are concerned</w:t>
      </w:r>
      <w:r>
        <w:t xml:space="preserve"> with the levy of anti-dumping duty, the MRTP Act in the present case would be concerned with the agreements between the parties which relate to the restrictive trade practices. </w:t>
      </w:r>
      <w:r>
        <w:rPr>
          <w:rStyle w:val="Bodytext1"/>
        </w:rPr>
        <w:t>Therefore, it would be incorrect to say that the</w:t>
      </w:r>
      <w:r>
        <w:t xml:space="preserve"> </w:t>
      </w:r>
      <w:r>
        <w:rPr>
          <w:rStyle w:val="Bodytext1"/>
        </w:rPr>
        <w:t>incorporation of the anti-dum</w:t>
      </w:r>
      <w:r>
        <w:rPr>
          <w:rStyle w:val="Bodytext1"/>
        </w:rPr>
        <w:t>ping provisions ousts the</w:t>
      </w:r>
      <w:r>
        <w:t xml:space="preserve"> </w:t>
      </w:r>
      <w:r>
        <w:rPr>
          <w:rStyle w:val="Bodytext1"/>
        </w:rPr>
        <w:t>jurisdiction of the MRTP Commission to inquire and pass</w:t>
      </w:r>
      <w:r>
        <w:t xml:space="preserve"> </w:t>
      </w:r>
      <w:r>
        <w:rPr>
          <w:rStyle w:val="Bodytext1"/>
        </w:rPr>
        <w:t xml:space="preserve">orders, </w:t>
      </w:r>
      <w:r>
        <w:rPr>
          <w:rStyle w:val="BodytextItalic0"/>
        </w:rPr>
        <w:t>inter alia</w:t>
      </w:r>
      <w:r>
        <w:rPr>
          <w:rStyle w:val="Bodytext1"/>
        </w:rPr>
        <w:t>, with regard to restrictive trade practice in</w:t>
      </w:r>
      <w:r>
        <w:t xml:space="preserve"> India.”</w:t>
      </w:r>
    </w:p>
    <w:p w:rsidR="00884A28" w:rsidRDefault="00350526">
      <w:pPr>
        <w:pStyle w:val="Bodytext0"/>
        <w:shd w:val="clear" w:color="auto" w:fill="auto"/>
        <w:spacing w:before="0" w:after="300"/>
        <w:ind w:left="720" w:right="20" w:firstLine="700"/>
      </w:pPr>
      <w:r>
        <w:t xml:space="preserve">The learned ASG pointed out that the allegation against the respondents i.e. IDOs is that they have </w:t>
      </w:r>
      <w:r>
        <w:t>through an anti</w:t>
      </w:r>
      <w:r>
        <w:softHyphen/>
        <w:t>competitive agreement/cartel, limited the provision of services by delaying or denying POIs to RJIL, with a view to block its entry in the market. As per him, such an agreement would raise a presumption of ‘appreciable adverse effect’ on co</w:t>
      </w:r>
      <w:r>
        <w:t>mpetition.</w:t>
      </w:r>
    </w:p>
    <w:p w:rsidR="00884A28" w:rsidRDefault="00350526">
      <w:pPr>
        <w:pStyle w:val="Bodytext0"/>
        <w:numPr>
          <w:ilvl w:val="0"/>
          <w:numId w:val="1"/>
        </w:numPr>
        <w:shd w:val="clear" w:color="auto" w:fill="auto"/>
        <w:tabs>
          <w:tab w:val="left" w:pos="730"/>
        </w:tabs>
        <w:spacing w:before="0"/>
        <w:ind w:left="720" w:right="20" w:hanging="720"/>
      </w:pPr>
      <w:r>
        <w:t>Explaining the scheme of the Act, Mr. Narasimha referred to the provisions of Section 3 which prohibits anti-competitive agreements of the nature mentioned therein. He also referred to the definitions of ‘agreement’, ‘cartel’, ‘enterprise’ and ‘</w:t>
      </w:r>
      <w:r>
        <w:t>service’ contained in Section 2 of the Act and submitted that the definition of ‘agreement’ is not restricted to written agreements, but even extends to ‘action in concert’, which, according to him, is wide enough to allegations of RJIL, if proved correct,</w:t>
      </w:r>
      <w:r>
        <w:t xml:space="preserve"> within the mischief of Section 3 of the Act. He also referred to Section 19(3)</w:t>
      </w:r>
    </w:p>
    <w:p w:rsidR="00884A28" w:rsidRDefault="00350526">
      <w:pPr>
        <w:pStyle w:val="Bodytext0"/>
        <w:shd w:val="clear" w:color="auto" w:fill="auto"/>
        <w:spacing w:before="0"/>
        <w:ind w:left="20" w:right="20" w:firstLine="0"/>
      </w:pPr>
      <w:r>
        <w:t>of the Act which lists certain factors to be considered in analysing adverse effect on competition and submitted that creation of barriers to new entrants in the market and for</w:t>
      </w:r>
      <w:r>
        <w:t>eclosure of competition by hindering entry into the market are to be perceived as having adverse effect on competition. He, thus, submitted that having regard to the aforesaid provisions, the CCI wanted to investigate the matter with focus on the aspect as</w:t>
      </w:r>
      <w:r>
        <w:t xml:space="preserve"> to whether there was an agreement between the respondent service providers and they acted in concert pursuant to the said agreement; whether it amounted to anti-competitive act on the part of these respondents and had adverse effect on the competition. In</w:t>
      </w:r>
      <w:r>
        <w:t xml:space="preserve"> the process, the CCI was also supposed to examine as to whether the respondents colluded with COAI and abused their dominant position. His further argument was that inquiry into these aspects was within the exclusive domain of the CCI as it is the CCI whi</w:t>
      </w:r>
      <w:r>
        <w:t>ch is supposed to ensure that no such anti-competitive practices are adopted by anybody and if that has happened, the CCI is empowered to issue directions in terms of Section 27 of the Act and also impose penalties. It has power to impose even lesser penal</w:t>
      </w:r>
      <w:r>
        <w:t>ties as provided in Section 46 of the Act.</w:t>
      </w:r>
    </w:p>
    <w:p w:rsidR="00884A28" w:rsidRDefault="00350526">
      <w:pPr>
        <w:pStyle w:val="Bodytext0"/>
        <w:numPr>
          <w:ilvl w:val="0"/>
          <w:numId w:val="1"/>
        </w:numPr>
        <w:shd w:val="clear" w:color="auto" w:fill="auto"/>
        <w:tabs>
          <w:tab w:val="left" w:pos="730"/>
        </w:tabs>
        <w:spacing w:before="0" w:after="326" w:line="240" w:lineRule="exact"/>
        <w:ind w:firstLine="0"/>
      </w:pPr>
      <w:r>
        <w:t>Mr. Narasimha also referred to Section 60 of the Act which</w:t>
      </w:r>
    </w:p>
    <w:p w:rsidR="00884A28" w:rsidRDefault="00350526">
      <w:pPr>
        <w:pStyle w:val="Bodytext0"/>
        <w:shd w:val="clear" w:color="auto" w:fill="auto"/>
        <w:spacing w:before="0" w:after="266" w:line="240" w:lineRule="exact"/>
        <w:ind w:left="20" w:firstLine="0"/>
        <w:jc w:val="center"/>
      </w:pPr>
      <w:r>
        <w:t>provides for overriding effect for the Act and reads as under:</w:t>
      </w:r>
    </w:p>
    <w:p w:rsidR="00884A28" w:rsidRDefault="00350526">
      <w:pPr>
        <w:pStyle w:val="Bodytext0"/>
        <w:shd w:val="clear" w:color="auto" w:fill="auto"/>
        <w:spacing w:before="0" w:after="24" w:line="298" w:lineRule="exact"/>
        <w:ind w:left="1420" w:right="700" w:firstLine="0"/>
      </w:pPr>
      <w:r>
        <w:t>"60. Act to have overriding effect. - The provisions of this Act shall have effect notwiths</w:t>
      </w:r>
      <w:r>
        <w:t>tanding anything inconsistent therewith contained in any other law for the time being in force.”</w:t>
      </w:r>
    </w:p>
    <w:p w:rsidR="00884A28" w:rsidRDefault="00350526">
      <w:pPr>
        <w:pStyle w:val="Bodytext0"/>
        <w:shd w:val="clear" w:color="auto" w:fill="auto"/>
        <w:spacing w:before="0"/>
        <w:ind w:left="720" w:right="20" w:firstLine="700"/>
      </w:pPr>
      <w:r>
        <w:t xml:space="preserve">It was emphasised that the case of the CCI is not that the TRAI does not have power to exercise jurisdiction at all in the present factual matrix and there is </w:t>
      </w:r>
      <w:r>
        <w:t>no conflict of jurisdiction or legal regimes. Rather, both the TRAI and the CCI exercise their jurisdiction in their respective fields. Exercise of jurisdiction by the CCI to investigate an alleged cartel does not impinge upon TRAI’s jurisdiction to regula</w:t>
      </w:r>
      <w:r>
        <w:t>te the industry in any way. Submission in this behalf was that the TRAI exercises its jurisdiction by ensuring compliance with the interconnect agreements, license conditions, interconnection regulations, quality of service norms and regulations etc. Based</w:t>
      </w:r>
      <w:r>
        <w:t xml:space="preserve"> on past experience, the TRAI frames regulations for the improvement of the telecom industry in the future. For instance, the June 07, 2005 direction of TRAI which provided for a 90-day period for interconnection has now been replaced by the interconnectio</w:t>
      </w:r>
      <w:r>
        <w:t>n regulations of 2018, by which the time period for provision of POIs has been reduced to 30 days, because it was found that due to technical advancements, it was possible to give POIs in a</w:t>
      </w:r>
    </w:p>
    <w:p w:rsidR="00884A28" w:rsidRDefault="00350526">
      <w:pPr>
        <w:pStyle w:val="Bodytext0"/>
        <w:shd w:val="clear" w:color="auto" w:fill="auto"/>
        <w:spacing w:before="0" w:after="517"/>
        <w:ind w:left="20" w:right="20" w:firstLine="0"/>
      </w:pPr>
      <w:r>
        <w:t xml:space="preserve">much shorter time frame, and parties were using the 90-day period to delay the provision of POIs, as in the case of RJIL. However, the TRAI does not have the power to penalize for past conduct which was of anti-competitive nature. It was further submitted </w:t>
      </w:r>
      <w:r>
        <w:t xml:space="preserve">that while the competition law seeks to promote efficient allocation and utilization of resources by </w:t>
      </w:r>
      <w:r>
        <w:rPr>
          <w:rStyle w:val="BodytextItalic"/>
        </w:rPr>
        <w:t xml:space="preserve">inter alia </w:t>
      </w:r>
      <w:r>
        <w:t>lowering the entry barriers in the market, the primary objective of the sectoral regulators like the TRAI is development of their respective sec</w:t>
      </w:r>
      <w:r>
        <w:t>tor. However, what is important to bear in mind is that the promotion of competition and prevention of competitive behaviour may not be high on the agenda of a sectoral regulator which makes it prone to ‘regulatory capture’. The position has been very succ</w:t>
      </w:r>
      <w:r>
        <w:t>inctly captured by the Report of the Working Group on Competition Policy, Planning Commission of India, Government of India, February 2007 which states as follows:</w:t>
      </w:r>
    </w:p>
    <w:p w:rsidR="00884A28" w:rsidRDefault="00350526">
      <w:pPr>
        <w:pStyle w:val="Bodytext30"/>
        <w:shd w:val="clear" w:color="auto" w:fill="auto"/>
        <w:spacing w:line="298" w:lineRule="exact"/>
        <w:ind w:left="700" w:right="700" w:firstLine="0"/>
      </w:pPr>
      <w:r>
        <w:t>”7.2.3 The objective of a sectoral regulator is to provide good quality service at affordabl</w:t>
      </w:r>
      <w:r>
        <w:t>e rates, but the promotion of competition and prevention of anti-competitive behaviour may not be high on its agenda or the laws governing the regulator may be silent on this aspect. It is not uncommon for sectoral regulators to be more closely aligned wit</w:t>
      </w:r>
      <w:r>
        <w:t xml:space="preserve">h the interest of the firms being regulated, which is also known as ‘regulatory capture’. </w:t>
      </w:r>
      <w:r>
        <w:rPr>
          <w:rStyle w:val="Bodytext31"/>
          <w:i/>
          <w:iCs/>
        </w:rPr>
        <w:t>Besides, a</w:t>
      </w:r>
      <w:r>
        <w:t xml:space="preserve"> </w:t>
      </w:r>
      <w:r>
        <w:rPr>
          <w:rStyle w:val="Bodytext31"/>
          <w:i/>
          <w:iCs/>
        </w:rPr>
        <w:t>sectoral regulator may not have an overall view of the</w:t>
      </w:r>
      <w:r>
        <w:t xml:space="preserve"> </w:t>
      </w:r>
      <w:r>
        <w:rPr>
          <w:rStyle w:val="Bodytext31"/>
          <w:i/>
          <w:iCs/>
        </w:rPr>
        <w:t>economy as a whole and may tend to apply yardsticks</w:t>
      </w:r>
      <w:r>
        <w:t xml:space="preserve"> </w:t>
      </w:r>
      <w:r>
        <w:rPr>
          <w:rStyle w:val="Bodytext31"/>
          <w:i/>
          <w:iCs/>
        </w:rPr>
        <w:t>which are different from the ones used by the ot</w:t>
      </w:r>
      <w:r>
        <w:rPr>
          <w:rStyle w:val="Bodytext31"/>
          <w:i/>
          <w:iCs/>
        </w:rPr>
        <w:t>her</w:t>
      </w:r>
      <w:r>
        <w:t xml:space="preserve"> </w:t>
      </w:r>
      <w:r>
        <w:rPr>
          <w:rStyle w:val="Bodytext31"/>
          <w:i/>
          <w:iCs/>
        </w:rPr>
        <w:t>sectoral regulators. In other words, there is a possibility of</w:t>
      </w:r>
      <w:r>
        <w:t xml:space="preserve"> </w:t>
      </w:r>
      <w:r>
        <w:rPr>
          <w:rStyle w:val="Bodytext31"/>
          <w:i/>
          <w:iCs/>
        </w:rPr>
        <w:t>the lack of consistency across sectors. On the other hand,</w:t>
      </w:r>
    </w:p>
    <w:p w:rsidR="00884A28" w:rsidRDefault="00350526">
      <w:pPr>
        <w:pStyle w:val="Bodytext30"/>
        <w:shd w:val="clear" w:color="auto" w:fill="auto"/>
        <w:spacing w:line="302" w:lineRule="exact"/>
        <w:ind w:left="1420" w:right="700" w:firstLine="0"/>
      </w:pPr>
      <w:r>
        <w:rPr>
          <w:rStyle w:val="Bodytext31"/>
          <w:i/>
          <w:iCs/>
        </w:rPr>
        <w:t>CCI will be able to apply uniform competition principles</w:t>
      </w:r>
      <w:r>
        <w:t xml:space="preserve"> </w:t>
      </w:r>
      <w:r>
        <w:rPr>
          <w:rStyle w:val="Bodytext31"/>
          <w:i/>
          <w:iCs/>
        </w:rPr>
        <w:t>across all sectors of economy.</w:t>
      </w:r>
      <w:r>
        <w:rPr>
          <w:rStyle w:val="Bodytext3NotItalic"/>
        </w:rPr>
        <w:t xml:space="preserve"> ”</w:t>
      </w:r>
    </w:p>
    <w:p w:rsidR="00884A28" w:rsidRDefault="00350526">
      <w:pPr>
        <w:pStyle w:val="Bodytext0"/>
        <w:shd w:val="clear" w:color="auto" w:fill="auto"/>
        <w:spacing w:before="0" w:after="331" w:line="302" w:lineRule="exact"/>
        <w:ind w:left="6120" w:firstLine="0"/>
        <w:jc w:val="left"/>
      </w:pPr>
      <w:r>
        <w:t>(emphasis added)</w:t>
      </w:r>
    </w:p>
    <w:p w:rsidR="00884A28" w:rsidRDefault="00350526">
      <w:pPr>
        <w:pStyle w:val="Bodytext0"/>
        <w:shd w:val="clear" w:color="auto" w:fill="auto"/>
        <w:spacing w:before="0" w:line="638" w:lineRule="exact"/>
        <w:ind w:left="720" w:right="20" w:firstLine="700"/>
        <w:jc w:val="left"/>
      </w:pPr>
      <w:r>
        <w:t>The National Competitio</w:t>
      </w:r>
      <w:r>
        <w:t>n Policy 2011 has also observed as following:</w:t>
      </w:r>
    </w:p>
    <w:p w:rsidR="00884A28" w:rsidRDefault="00350526">
      <w:pPr>
        <w:pStyle w:val="Bodytext30"/>
        <w:shd w:val="clear" w:color="auto" w:fill="auto"/>
        <w:spacing w:line="298" w:lineRule="exact"/>
        <w:ind w:left="1420" w:right="700" w:firstLine="0"/>
      </w:pPr>
      <w:r>
        <w:t xml:space="preserve">”8.3 The objective of a sectoral regulator is to provide good quality service at affordable rates, but the promotion of competition and prevention of anti-competitive behaviour may not be high on its agenda or </w:t>
      </w:r>
      <w:r>
        <w:t>the laws governing the regulator may be silent on this aspect. Besides, a sectoral regulator may not have an overall view of the economy as a whole and may tend to apply yardsticks which are different from the ones used by the other sectoral regulators. In</w:t>
      </w:r>
      <w:r>
        <w:t xml:space="preserve"> other words, there is a possibility of the lack of consistency across sectors as regards competition issues. On the other hand, the CCI, which is expected to have developed the core competence, expertise and capacity in competition related issues, will be</w:t>
      </w:r>
      <w:r>
        <w:t xml:space="preserve"> able to apply uniform competition principles across all sectors of economy. </w:t>
      </w:r>
      <w:r>
        <w:rPr>
          <w:rStyle w:val="Bodytext3Bold"/>
          <w:i/>
          <w:iCs/>
        </w:rPr>
        <w:t xml:space="preserve">Besides, enforcement and penalizing violations of Competition Act is the exclusive area of the CCI. </w:t>
      </w:r>
      <w:r>
        <w:t>Even otherwise, the general principle for economic efficiency would be, whoever</w:t>
      </w:r>
      <w:r>
        <w:t xml:space="preserve"> can do a thing in best and most professional manner should do it.”</w:t>
      </w:r>
    </w:p>
    <w:p w:rsidR="00884A28" w:rsidRDefault="00350526">
      <w:pPr>
        <w:pStyle w:val="Bodytext0"/>
        <w:shd w:val="clear" w:color="auto" w:fill="auto"/>
        <w:spacing w:before="0" w:after="324" w:line="298" w:lineRule="exact"/>
        <w:ind w:left="6120" w:firstLine="0"/>
        <w:jc w:val="left"/>
      </w:pPr>
      <w:r>
        <w:t>(emphasis added)</w:t>
      </w:r>
    </w:p>
    <w:p w:rsidR="00884A28" w:rsidRDefault="00350526">
      <w:pPr>
        <w:pStyle w:val="Bodytext0"/>
        <w:numPr>
          <w:ilvl w:val="0"/>
          <w:numId w:val="1"/>
        </w:numPr>
        <w:shd w:val="clear" w:color="auto" w:fill="auto"/>
        <w:tabs>
          <w:tab w:val="left" w:pos="710"/>
        </w:tabs>
        <w:spacing w:before="0"/>
        <w:ind w:left="720" w:right="20" w:hanging="720"/>
      </w:pPr>
      <w:r>
        <w:t>The learned ASG, on taking support from the above, submitted that the sectoral regulators, by contrast, will not be as experienced in conducting competition analysis as the competition authorities. Being susceptible to regulatory capture, the day-to-day in</w:t>
      </w:r>
      <w:r>
        <w:t>teractions between industry officials and regulatory agency may lead to a commonality of interests that can interfere with the perspective necessary to evaluate competitive harms and to construct remedies that will protect competition for the benefit of th</w:t>
      </w:r>
      <w:r>
        <w:t>e economy as a whole. While the sector specific regulators typically impose and monitor various behavioral conditions, the competition agencies are more likely to opt for structural remedies which would lead the sector to evolve to a point where sufficient</w:t>
      </w:r>
      <w:r>
        <w:t xml:space="preserve"> new entry is induced thereby promoting genuine competition. According to him, keeping in view the aforesaid respective roles in mind, the Parliament in its wisdom and foresight has built in a mechanism within the Act to address apparent conflicts of juris</w:t>
      </w:r>
      <w:r>
        <w:t>diction. The ‘comity’ between the sectoral regulator (TRAI) and the market regulator (CCI) is entirely addressed by a reading of Section 21 and Section 21A of the Act. In any case, Section 60 of the Act had an overriding effect. To support his argument, th</w:t>
      </w:r>
      <w:r>
        <w:t xml:space="preserve">e learned ASG relied upon </w:t>
      </w:r>
      <w:r>
        <w:rPr>
          <w:rStyle w:val="BodytextItalic"/>
        </w:rPr>
        <w:t>State (NCT of Delhi)</w:t>
      </w:r>
      <w:r>
        <w:t xml:space="preserve"> v. </w:t>
      </w:r>
      <w:r>
        <w:rPr>
          <w:rStyle w:val="BodytextItalic"/>
        </w:rPr>
        <w:t>Sanja</w:t>
      </w:r>
      <w:hyperlink w:anchor="bookmark1" w:tooltip="Current Document">
        <w:r>
          <w:rPr>
            <w:rStyle w:val="BodytextItalic"/>
          </w:rPr>
          <w:t>y</w:t>
        </w:r>
        <w:r>
          <w:rPr>
            <w:rStyle w:val="BodytextItalic"/>
            <w:vertAlign w:val="superscript"/>
          </w:rPr>
          <w:footnoteReference w:id="3"/>
        </w:r>
        <w:r>
          <w:t xml:space="preserve"> </w:t>
        </w:r>
      </w:hyperlink>
      <w:r>
        <w:t xml:space="preserve">wherein this Court dealt with the issue of whether a prescription of offence under the Mines &amp; Minerals Development &amp; Regulation (MMDR) Act would </w:t>
      </w:r>
      <w:r>
        <w:t>exclude the application of the Indian Penal Code. The Court held that due to the absence of a non-obstante clause, the application of the Indian Penal Code was not excluded. In the present case, the TRAI Act does not apply notwithstanding any other laws, a</w:t>
      </w:r>
      <w:r>
        <w:t>nd it</w:t>
      </w:r>
    </w:p>
    <w:p w:rsidR="00884A28" w:rsidRDefault="00350526">
      <w:pPr>
        <w:pStyle w:val="Bodytext0"/>
        <w:shd w:val="clear" w:color="auto" w:fill="auto"/>
        <w:spacing w:before="0"/>
        <w:ind w:left="720" w:firstLine="0"/>
        <w:jc w:val="left"/>
      </w:pPr>
      <w:r>
        <w:t>does not contain an overriding effect provision containing a non-</w:t>
      </w:r>
    </w:p>
    <w:p w:rsidR="00884A28" w:rsidRDefault="00350526">
      <w:pPr>
        <w:pStyle w:val="Bodytext0"/>
        <w:shd w:val="clear" w:color="auto" w:fill="auto"/>
        <w:spacing w:before="0"/>
        <w:ind w:left="720" w:firstLine="0"/>
        <w:jc w:val="left"/>
      </w:pPr>
      <w:r>
        <w:t>obstante clause. The relevant paragraphs of the judgment have</w:t>
      </w:r>
    </w:p>
    <w:p w:rsidR="00884A28" w:rsidRDefault="00350526">
      <w:pPr>
        <w:pStyle w:val="Bodytext0"/>
        <w:shd w:val="clear" w:color="auto" w:fill="auto"/>
        <w:spacing w:before="0"/>
        <w:ind w:left="720" w:firstLine="0"/>
        <w:jc w:val="left"/>
      </w:pPr>
      <w:r>
        <w:t>been extracted below:</w:t>
      </w:r>
    </w:p>
    <w:p w:rsidR="00884A28" w:rsidRDefault="00350526">
      <w:pPr>
        <w:pStyle w:val="Bodytext0"/>
        <w:shd w:val="clear" w:color="auto" w:fill="auto"/>
        <w:spacing w:before="0" w:after="240" w:line="298" w:lineRule="exact"/>
        <w:ind w:left="1420" w:right="680" w:firstLine="0"/>
      </w:pPr>
      <w:r>
        <w:t>"62. Sub-section (1-A) of Section 4 of the MMDR Act puts a restriction in transporting and storing a</w:t>
      </w:r>
      <w:r>
        <w:t>ny mineral otherwise than in accordance with the provisions of the Act and the Rules made thereunder. In other words no person will do mining activity without a valid lease or licence. Section 21 is a penal provision according to which if a person contrave</w:t>
      </w:r>
      <w:r>
        <w:t>nes the provisions of sub-section (1-A) of Section 4, he shall be prosecuted and punished in the manner and procedure provided in the Act. Sub-section (6) has been inserted in Section 4 by amendment making the offence cognizable notwithstanding anything co</w:t>
      </w:r>
      <w:r>
        <w:t>ntained in the Code of Criminal Procedure, 1973. Section 22 of the Act puts a restriction on the court to take cognizance of any offence punishable under the Act or any Rule made thereunder except upon a complaint made by a person authorised in this behalf</w:t>
      </w:r>
      <w:r>
        <w:t>. It is very important to note that Section 21 does not begin with a non obstante clause. Instead of the words “notwithstanding anything contained in any law for the time being in force no court shall take cognizance....”, the section begins with the words</w:t>
      </w:r>
      <w:r>
        <w:t xml:space="preserve"> “no court shall take cognizance of any offence.</w:t>
      </w:r>
    </w:p>
    <w:p w:rsidR="00884A28" w:rsidRDefault="00350526">
      <w:pPr>
        <w:pStyle w:val="Bodytext0"/>
        <w:numPr>
          <w:ilvl w:val="0"/>
          <w:numId w:val="13"/>
        </w:numPr>
        <w:shd w:val="clear" w:color="auto" w:fill="auto"/>
        <w:tabs>
          <w:tab w:val="left" w:pos="1958"/>
        </w:tabs>
        <w:spacing w:before="0" w:after="324" w:line="298" w:lineRule="exact"/>
        <w:ind w:left="1420" w:right="680" w:firstLine="0"/>
      </w:pPr>
      <w:r>
        <w:rPr>
          <w:rStyle w:val="Bodytext1"/>
        </w:rPr>
        <w:t>It is well known that a non obstante clause is a</w:t>
      </w:r>
      <w:r>
        <w:t xml:space="preserve"> </w:t>
      </w:r>
      <w:r>
        <w:rPr>
          <w:rStyle w:val="Bodytext1"/>
        </w:rPr>
        <w:t>legislative device which is usually employed to give</w:t>
      </w:r>
      <w:r>
        <w:t xml:space="preserve"> </w:t>
      </w:r>
      <w:r>
        <w:rPr>
          <w:rStyle w:val="Bodytext1"/>
        </w:rPr>
        <w:t>overriding effect to certain provisions over some contrary</w:t>
      </w:r>
      <w:r>
        <w:t xml:space="preserve"> </w:t>
      </w:r>
      <w:r>
        <w:rPr>
          <w:rStyle w:val="Bodytext1"/>
        </w:rPr>
        <w:t>provisions that may be found either in the sam</w:t>
      </w:r>
      <w:r>
        <w:rPr>
          <w:rStyle w:val="Bodytext1"/>
        </w:rPr>
        <w:t>e enactment</w:t>
      </w:r>
      <w:r>
        <w:t xml:space="preserve"> </w:t>
      </w:r>
      <w:r>
        <w:rPr>
          <w:rStyle w:val="Bodytext1"/>
        </w:rPr>
        <w:t>or some other enactment, that is to say, to avoid the</w:t>
      </w:r>
      <w:r>
        <w:t xml:space="preserve"> </w:t>
      </w:r>
      <w:r>
        <w:rPr>
          <w:rStyle w:val="Bodytext1"/>
        </w:rPr>
        <w:t>operation and effect of all contrary provisions.</w:t>
      </w:r>
      <w:r>
        <w:t>”</w:t>
      </w:r>
    </w:p>
    <w:p w:rsidR="00884A28" w:rsidRDefault="00350526">
      <w:pPr>
        <w:pStyle w:val="Bodytext0"/>
        <w:numPr>
          <w:ilvl w:val="0"/>
          <w:numId w:val="1"/>
        </w:numPr>
        <w:shd w:val="clear" w:color="auto" w:fill="auto"/>
        <w:tabs>
          <w:tab w:val="left" w:pos="734"/>
        </w:tabs>
        <w:spacing w:before="0"/>
        <w:ind w:left="720" w:right="20" w:hanging="720"/>
        <w:sectPr w:rsidR="00884A28">
          <w:type w:val="continuous"/>
          <w:pgSz w:w="12240" w:h="15840"/>
          <w:pgMar w:top="571" w:right="1571" w:bottom="1113" w:left="1571" w:header="0" w:footer="3" w:gutter="235"/>
          <w:cols w:space="720"/>
          <w:noEndnote/>
          <w:rtlGutter/>
          <w:docGrid w:linePitch="360"/>
        </w:sectPr>
      </w:pPr>
      <w:r>
        <w:t>He also premised his argument on the basis that the Act is a special statute in the field of telecommunications regula</w:t>
      </w:r>
      <w:r>
        <w:t>tion, including technical aspects connected thereto, and in case of conflict between two special legislations, the later enactment</w:t>
      </w:r>
    </w:p>
    <w:p w:rsidR="00884A28" w:rsidRDefault="00350526">
      <w:pPr>
        <w:pStyle w:val="Bodytext0"/>
        <w:shd w:val="clear" w:color="auto" w:fill="auto"/>
        <w:spacing w:before="0" w:after="266" w:line="240" w:lineRule="exact"/>
        <w:ind w:left="720" w:firstLine="0"/>
        <w:jc w:val="left"/>
      </w:pPr>
      <w:r>
        <w:rPr>
          <w:rStyle w:val="BodytextItalic"/>
        </w:rPr>
        <w:t>Services Ltd. &amp; Ors.</w:t>
      </w:r>
      <w:hyperlink w:anchor="bookmark2" w:tooltip="Current Document">
        <w:r>
          <w:rPr>
            <w:rStyle w:val="BodytextItalic"/>
            <w:vertAlign w:val="superscript"/>
          </w:rPr>
          <w:footnoteReference w:id="4"/>
        </w:r>
      </w:hyperlink>
      <w:r>
        <w:rPr>
          <w:rStyle w:val="BodytextItalic"/>
        </w:rPr>
        <w:t>,</w:t>
      </w:r>
      <w:r>
        <w:t xml:space="preserve"> this Court held as under:</w:t>
      </w:r>
    </w:p>
    <w:p w:rsidR="00884A28" w:rsidRDefault="00350526">
      <w:pPr>
        <w:pStyle w:val="Bodytext0"/>
        <w:shd w:val="clear" w:color="auto" w:fill="auto"/>
        <w:spacing w:before="0" w:line="298" w:lineRule="exact"/>
        <w:ind w:left="1420" w:right="20" w:firstLine="0"/>
      </w:pPr>
      <w:r>
        <w:t>"7. Coming to the second</w:t>
      </w:r>
      <w:r>
        <w:t xml:space="preserve"> question, there is no doubt that the 1985 Act is a special Act. Section 32(1) of the said Act reads as follows:</w:t>
      </w:r>
    </w:p>
    <w:p w:rsidR="00884A28" w:rsidRDefault="00350526">
      <w:pPr>
        <w:pStyle w:val="Bodytext0"/>
        <w:shd w:val="clear" w:color="auto" w:fill="auto"/>
        <w:spacing w:before="0" w:after="240" w:line="298" w:lineRule="exact"/>
        <w:ind w:left="1700" w:right="360" w:firstLine="0"/>
      </w:pPr>
      <w:r>
        <w:t xml:space="preserve">“32. </w:t>
      </w:r>
      <w:r>
        <w:rPr>
          <w:rStyle w:val="BodytextItalic"/>
        </w:rPr>
        <w:t>Effect of the Act on other laws.</w:t>
      </w:r>
      <w:r>
        <w:t xml:space="preserve">—(1) The provisions of this Act and of any rules or schemes made thereunder shall have effect </w:t>
      </w:r>
      <w:r>
        <w:t xml:space="preserve">notwithstanding anything inconsistent therewith contained in any other law except the provisions of the Foreign Exchange Regulation Act, 1973 (46 of 1973) and the Urban Land (Ceiling and Regulation) Act, 1976 (33 of 1976) for the time being in force or in </w:t>
      </w:r>
      <w:r>
        <w:t>the Memorandum or Articles of Association of an industrial company or in any other instrument having effect by virtue of any law other than this Act.”</w:t>
      </w:r>
    </w:p>
    <w:p w:rsidR="00884A28" w:rsidRDefault="00350526">
      <w:pPr>
        <w:pStyle w:val="Bodytext0"/>
        <w:numPr>
          <w:ilvl w:val="0"/>
          <w:numId w:val="14"/>
        </w:numPr>
        <w:shd w:val="clear" w:color="auto" w:fill="auto"/>
        <w:spacing w:before="0" w:after="60" w:line="298" w:lineRule="exact"/>
        <w:ind w:left="1420" w:right="20" w:firstLine="0"/>
      </w:pPr>
      <w:r>
        <w:t xml:space="preserve"> The effect of this provision is that the said Act will have effect notwithstanding anything inconsistent</w:t>
      </w:r>
      <w:r>
        <w:t xml:space="preserve"> therewith contained in any other law except to the provisions of the Foreign Exchange Regulation Act, 1973 and the Urban Land (Ceiling and Regulation) Act, 1976. A similar non obstante provision is contained in Section 13 of the Special Court Act which re</w:t>
      </w:r>
      <w:r>
        <w:t>ads as follows:</w:t>
      </w:r>
    </w:p>
    <w:p w:rsidR="00884A28" w:rsidRDefault="00350526">
      <w:pPr>
        <w:pStyle w:val="Bodytext0"/>
        <w:shd w:val="clear" w:color="auto" w:fill="auto"/>
        <w:spacing w:before="0" w:after="240" w:line="298" w:lineRule="exact"/>
        <w:ind w:left="1700" w:right="360" w:firstLine="0"/>
      </w:pPr>
      <w:r>
        <w:t xml:space="preserve">“13. </w:t>
      </w:r>
      <w:r>
        <w:rPr>
          <w:rStyle w:val="BodytextItalic"/>
        </w:rPr>
        <w:t>Act to have overriding effect.</w:t>
      </w:r>
      <w:r>
        <w:t>—The provisions of this Act shall have effect notwithstanding anything inconsistent therewith contained in any other law for the time being in force or in any instrument having effect by virtue of any law,</w:t>
      </w:r>
      <w:r>
        <w:t xml:space="preserve"> other than this Act, or in any decree or order of any court, tribunal or other authority.”</w:t>
      </w:r>
    </w:p>
    <w:p w:rsidR="00884A28" w:rsidRDefault="00350526">
      <w:pPr>
        <w:pStyle w:val="Bodytext0"/>
        <w:numPr>
          <w:ilvl w:val="0"/>
          <w:numId w:val="14"/>
        </w:numPr>
        <w:shd w:val="clear" w:color="auto" w:fill="auto"/>
        <w:spacing w:before="0" w:line="298" w:lineRule="exact"/>
        <w:ind w:left="1420" w:right="20" w:firstLine="0"/>
        <w:sectPr w:rsidR="00884A28">
          <w:footerReference w:type="even" r:id="rId13"/>
          <w:footerReference w:type="default" r:id="rId14"/>
          <w:headerReference w:type="first" r:id="rId15"/>
          <w:footerReference w:type="first" r:id="rId16"/>
          <w:type w:val="continuous"/>
          <w:pgSz w:w="12240" w:h="15840"/>
          <w:pgMar w:top="1226" w:right="2355" w:bottom="1116" w:left="1697" w:header="0" w:footer="3" w:gutter="0"/>
          <w:cols w:space="720"/>
          <w:noEndnote/>
          <w:titlePg/>
          <w:docGrid w:linePitch="360"/>
        </w:sectPr>
      </w:pPr>
      <w:r>
        <w:t xml:space="preserve"> It is clear that both these Acts are special Acts. This Court has laid down in no uncertain terms that in such an event it is the later Act which must prevail. The decisions cited in the above context are as follows: </w:t>
      </w:r>
      <w:r>
        <w:rPr>
          <w:rStyle w:val="BodytextItalic"/>
        </w:rPr>
        <w:t>Maharashtra Tubes Ltd.</w:t>
      </w:r>
      <w:r>
        <w:t xml:space="preserve"> v. </w:t>
      </w:r>
      <w:r>
        <w:rPr>
          <w:rStyle w:val="BodytextItalic"/>
        </w:rPr>
        <w:t>State Indust</w:t>
      </w:r>
      <w:r>
        <w:rPr>
          <w:rStyle w:val="BodytextItalic"/>
        </w:rPr>
        <w:t>rial &amp; Investment Corpn. of Maharashtra Ltd.</w:t>
      </w:r>
      <w:r>
        <w:t xml:space="preserve"> [(1993) 2 SCC 144]; </w:t>
      </w:r>
      <w:r>
        <w:rPr>
          <w:rStyle w:val="BodytextItalic"/>
        </w:rPr>
        <w:t>Sarwan Singh</w:t>
      </w:r>
      <w:r>
        <w:t xml:space="preserve"> v. </w:t>
      </w:r>
      <w:r>
        <w:rPr>
          <w:rStyle w:val="BodytextItalic"/>
        </w:rPr>
        <w:t>Kasturi Lal</w:t>
      </w:r>
      <w:r>
        <w:t xml:space="preserve"> [(1977) 1 SCC 750 : (1977) 2 SCR 421]; </w:t>
      </w:r>
      <w:r>
        <w:rPr>
          <w:rStyle w:val="BodytextItalic"/>
        </w:rPr>
        <w:t>Allahabad Bank</w:t>
      </w:r>
      <w:r>
        <w:t xml:space="preserve"> v. </w:t>
      </w:r>
      <w:r>
        <w:rPr>
          <w:rStyle w:val="BodytextItalic"/>
        </w:rPr>
        <w:t>Canara Bank</w:t>
      </w:r>
      <w:r>
        <w:t xml:space="preserve"> [(2000) 4 SCC 406] and </w:t>
      </w:r>
      <w:r>
        <w:rPr>
          <w:rStyle w:val="BodytextItalic"/>
        </w:rPr>
        <w:t>Ram Narain</w:t>
      </w:r>
      <w:r>
        <w:t xml:space="preserve"> v. </w:t>
      </w:r>
      <w:r>
        <w:rPr>
          <w:rStyle w:val="BodytextItalic"/>
        </w:rPr>
        <w:t>Simla Banking &amp; Industrial Co. Ltd.</w:t>
      </w:r>
      <w:r>
        <w:t xml:space="preserve"> [AIR 1956 SC 614 : 1956 SCR 603]”</w:t>
      </w:r>
    </w:p>
    <w:p w:rsidR="00884A28" w:rsidRDefault="00350526">
      <w:pPr>
        <w:pStyle w:val="Bodytext0"/>
        <w:numPr>
          <w:ilvl w:val="0"/>
          <w:numId w:val="1"/>
        </w:numPr>
        <w:shd w:val="clear" w:color="auto" w:fill="auto"/>
        <w:spacing w:before="0" w:after="240"/>
        <w:ind w:left="720" w:right="20" w:hanging="720"/>
      </w:pPr>
      <w:r>
        <w:t xml:space="preserve"> The learned ASG endeavoured to support his proposition by referring to the contrasting provision contained in Section 14 of the TRAI Act which provides for dispute resolution in respect of various categories of persons b</w:t>
      </w:r>
      <w:r>
        <w:t xml:space="preserve">efore the TDSAT, which specifically carves out an exception in respect of monopolistic trade practice, restrictive trade practice and unfair trade practice, which was subject to the jurisdiction of the Monopolies and Restrictive Trade Practices Commission </w:t>
      </w:r>
      <w:r>
        <w:t>(MRTP Commission). He submitted that this was another indicator in the TRAI Act itself from which it can be inferred that when it comes to anti</w:t>
      </w:r>
      <w:r>
        <w:softHyphen/>
        <w:t>competitive practices, an embargo is put on the TRAI to deal with such practices, inasmuch as the Competition Ac</w:t>
      </w:r>
      <w:r>
        <w:t>t is enacted to repeal and replace the obsolete regime of the MRTP Act. In this behalf, he drew sustenance from Section 8 of the General Clauses Act to submit that the Competition Act could be read in place of MRTP Act while construing the provisions of Se</w:t>
      </w:r>
      <w:r>
        <w:t>ction 14 of the TRAI Act.</w:t>
      </w:r>
    </w:p>
    <w:p w:rsidR="00884A28" w:rsidRDefault="00350526">
      <w:pPr>
        <w:pStyle w:val="Bodytext0"/>
        <w:numPr>
          <w:ilvl w:val="0"/>
          <w:numId w:val="1"/>
        </w:numPr>
        <w:shd w:val="clear" w:color="auto" w:fill="auto"/>
        <w:spacing w:before="0" w:after="300"/>
        <w:ind w:left="720" w:right="20" w:hanging="720"/>
      </w:pPr>
      <w:r>
        <w:t xml:space="preserve"> His another submission, in this hue, was that a distinction needs to be drawn between facilitating competition (as provided in Section 11 of the TRAI Act) on the one hand and curbing and deterring anti-competitive conduct and pra</w:t>
      </w:r>
      <w:r>
        <w:t xml:space="preserve">ctices on the other hand. His submission in this behalf was that the function of the TRAI under Section 11(1)(a)(iv) was to facilitate competition which was purely recommendatory in nature and not part of regulatory function of the TRAI, as held in </w:t>
      </w:r>
      <w:r>
        <w:rPr>
          <w:rStyle w:val="BodytextItalic"/>
        </w:rPr>
        <w:t>Union o</w:t>
      </w:r>
      <w:r>
        <w:rPr>
          <w:rStyle w:val="BodytextItalic"/>
        </w:rPr>
        <w:t>f India and Another</w:t>
      </w:r>
      <w:r>
        <w:t xml:space="preserve"> v. </w:t>
      </w:r>
      <w:r>
        <w:rPr>
          <w:rStyle w:val="BodytextItalic"/>
        </w:rPr>
        <w:t>Association of Unified Telecom Service Providers of India and Others</w:t>
      </w:r>
      <w:hyperlink w:anchor="bookmark3" w:tooltip="Current Document">
        <w:r>
          <w:rPr>
            <w:rStyle w:val="BodytextItalic"/>
            <w:vertAlign w:val="superscript"/>
          </w:rPr>
          <w:footnoteReference w:id="5"/>
        </w:r>
      </w:hyperlink>
      <w:r>
        <w:rPr>
          <w:rStyle w:val="BodytextItalic"/>
        </w:rPr>
        <w:t>.</w:t>
      </w:r>
      <w:r>
        <w:t xml:space="preserve"> He also argued that TRAI has no power to enforce compliance, pass orders, or give directions of the nature env</w:t>
      </w:r>
      <w:r>
        <w:t>isaged under the Act to curb anti-competitive conduct.</w:t>
      </w:r>
    </w:p>
    <w:p w:rsidR="00884A28" w:rsidRDefault="00350526">
      <w:pPr>
        <w:pStyle w:val="Bodytext0"/>
        <w:numPr>
          <w:ilvl w:val="0"/>
          <w:numId w:val="1"/>
        </w:numPr>
        <w:shd w:val="clear" w:color="auto" w:fill="auto"/>
        <w:tabs>
          <w:tab w:val="left" w:pos="715"/>
        </w:tabs>
        <w:spacing w:before="0"/>
        <w:ind w:firstLine="0"/>
      </w:pPr>
      <w:r>
        <w:t>The learned ASG also relied upon the judgment of the European</w:t>
      </w:r>
    </w:p>
    <w:p w:rsidR="00884A28" w:rsidRDefault="00350526">
      <w:pPr>
        <w:pStyle w:val="Bodytext30"/>
        <w:shd w:val="clear" w:color="auto" w:fill="auto"/>
        <w:spacing w:line="643" w:lineRule="exact"/>
        <w:ind w:left="720" w:firstLine="0"/>
      </w:pPr>
      <w:r>
        <w:rPr>
          <w:rStyle w:val="Bodytext3NotItalic0"/>
        </w:rPr>
        <w:t xml:space="preserve">Commission in </w:t>
      </w:r>
      <w:r>
        <w:t>Deutsche Telekom</w:t>
      </w:r>
      <w:r>
        <w:rPr>
          <w:rStyle w:val="Bodytext3NotItalic0"/>
        </w:rPr>
        <w:t xml:space="preserve"> v. </w:t>
      </w:r>
      <w:r>
        <w:t>European Commission</w:t>
      </w:r>
      <w:hyperlink w:anchor="bookmark4" w:tooltip="Current Document">
        <w:r>
          <w:rPr>
            <w:vertAlign w:val="superscript"/>
          </w:rPr>
          <w:footnoteReference w:id="6"/>
        </w:r>
      </w:hyperlink>
    </w:p>
    <w:p w:rsidR="00884A28" w:rsidRDefault="00350526">
      <w:pPr>
        <w:pStyle w:val="Bodytext0"/>
        <w:shd w:val="clear" w:color="auto" w:fill="auto"/>
        <w:spacing w:before="0"/>
        <w:ind w:left="720" w:firstLine="0"/>
      </w:pPr>
      <w:r>
        <w:t xml:space="preserve">wherein it was held that it is </w:t>
      </w:r>
      <w:r>
        <w:t>only if the legislative framework</w:t>
      </w:r>
    </w:p>
    <w:p w:rsidR="00884A28" w:rsidRDefault="00350526">
      <w:pPr>
        <w:pStyle w:val="Bodytext0"/>
        <w:shd w:val="clear" w:color="auto" w:fill="auto"/>
        <w:spacing w:before="0"/>
        <w:ind w:left="720" w:firstLine="0"/>
      </w:pPr>
      <w:r>
        <w:t>eliminates the possibility of competition (for example, a statutory</w:t>
      </w:r>
    </w:p>
    <w:p w:rsidR="00884A28" w:rsidRDefault="00350526">
      <w:pPr>
        <w:pStyle w:val="Bodytext0"/>
        <w:shd w:val="clear" w:color="auto" w:fill="auto"/>
        <w:spacing w:before="0"/>
        <w:ind w:left="720" w:firstLine="0"/>
      </w:pPr>
      <w:r>
        <w:t>monopoly) that the jurisdiction of the Commission would be</w:t>
      </w:r>
    </w:p>
    <w:p w:rsidR="00884A28" w:rsidRDefault="00350526">
      <w:pPr>
        <w:pStyle w:val="Bodytext0"/>
        <w:shd w:val="clear" w:color="auto" w:fill="auto"/>
        <w:spacing w:before="0"/>
        <w:ind w:left="720" w:firstLine="0"/>
      </w:pPr>
      <w:r>
        <w:t>excluded. Following passage from the said judgment was</w:t>
      </w:r>
    </w:p>
    <w:p w:rsidR="00884A28" w:rsidRDefault="00350526">
      <w:pPr>
        <w:pStyle w:val="Bodytext0"/>
        <w:shd w:val="clear" w:color="auto" w:fill="auto"/>
        <w:spacing w:before="0"/>
        <w:ind w:left="720" w:firstLine="0"/>
      </w:pPr>
      <w:r>
        <w:t>specifically referred to:</w:t>
      </w:r>
    </w:p>
    <w:p w:rsidR="00884A28" w:rsidRDefault="00350526">
      <w:pPr>
        <w:pStyle w:val="Bodytext0"/>
        <w:shd w:val="clear" w:color="auto" w:fill="auto"/>
        <w:spacing w:before="0" w:after="324" w:line="298" w:lineRule="exact"/>
        <w:ind w:left="1420" w:right="700" w:firstLine="0"/>
        <w:sectPr w:rsidR="00884A28">
          <w:type w:val="continuous"/>
          <w:pgSz w:w="12240" w:h="15840"/>
          <w:pgMar w:top="743" w:right="1327" w:bottom="813" w:left="1327" w:header="0" w:footer="3" w:gutter="706"/>
          <w:cols w:space="720"/>
          <w:noEndnote/>
          <w:docGrid w:linePitch="360"/>
        </w:sectPr>
      </w:pPr>
      <w:r>
        <w:t xml:space="preserve">"80. According to the case-law of the Court of Justice, it is </w:t>
      </w:r>
      <w:r>
        <w:rPr>
          <w:rStyle w:val="Bodytext1"/>
        </w:rPr>
        <w:t>only if anti-competitive conduct is required of undertakings</w:t>
      </w:r>
      <w:r>
        <w:t xml:space="preserve"> </w:t>
      </w:r>
      <w:r>
        <w:rPr>
          <w:rStyle w:val="Bodytext1"/>
        </w:rPr>
        <w:t>by national legislation, or if the latter creates a legal</w:t>
      </w:r>
      <w:r>
        <w:t xml:space="preserve"> </w:t>
      </w:r>
      <w:r>
        <w:rPr>
          <w:rStyle w:val="Bodytext1"/>
        </w:rPr>
        <w:t>framework which itself eliminates any possibility of</w:t>
      </w:r>
      <w:r>
        <w:t xml:space="preserve"> </w:t>
      </w:r>
      <w:r>
        <w:rPr>
          <w:rStyle w:val="Bodytext1"/>
        </w:rPr>
        <w:t>c</w:t>
      </w:r>
      <w:r>
        <w:rPr>
          <w:rStyle w:val="Bodytext1"/>
        </w:rPr>
        <w:t>ompetitive activity on their part,</w:t>
      </w:r>
      <w:r>
        <w:t xml:space="preserve"> that Articles 81 EC and 82 EC do not apply. In such a situation, the restriction of competition is not attributable, as those provisions implicitly require, to the autonomous conduct of the understandings. </w:t>
      </w:r>
      <w:r>
        <w:rPr>
          <w:rStyle w:val="Bodytext1"/>
        </w:rPr>
        <w:t xml:space="preserve">Articles 81 EC </w:t>
      </w:r>
      <w:r>
        <w:rPr>
          <w:rStyle w:val="Bodytext1"/>
        </w:rPr>
        <w:t>and 82 EC may apply,</w:t>
      </w:r>
      <w:r>
        <w:t xml:space="preserve"> </w:t>
      </w:r>
      <w:r>
        <w:rPr>
          <w:rStyle w:val="Bodytext1"/>
        </w:rPr>
        <w:t>however, if it is found that the national legislation leaves</w:t>
      </w:r>
      <w:r>
        <w:t xml:space="preserve"> </w:t>
      </w:r>
      <w:r>
        <w:rPr>
          <w:rStyle w:val="Bodytext1"/>
        </w:rPr>
        <w:t>open the possibility of competition which may be</w:t>
      </w:r>
      <w:r>
        <w:t xml:space="preserve"> </w:t>
      </w:r>
    </w:p>
    <w:p w:rsidR="00884A28" w:rsidRDefault="00350526">
      <w:pPr>
        <w:pStyle w:val="Bodytext0"/>
        <w:shd w:val="clear" w:color="auto" w:fill="auto"/>
        <w:spacing w:before="0" w:after="324" w:line="298" w:lineRule="exact"/>
        <w:ind w:left="1420" w:right="700" w:firstLine="0"/>
      </w:pPr>
      <w:r>
        <w:rPr>
          <w:rStyle w:val="Bodytext1"/>
        </w:rPr>
        <w:t>conduct of undertakings</w:t>
      </w:r>
      <w:r>
        <w:t xml:space="preserve"> (Joined Cases C-359/95P and C- 379/95P Commission and France v. Ladbroke Racing (1997) ECR I-6265, p</w:t>
      </w:r>
      <w:r>
        <w:t>aragraphs 33 and 34 and the case- law cited).”</w:t>
      </w:r>
    </w:p>
    <w:p w:rsidR="00884A28" w:rsidRDefault="00350526">
      <w:pPr>
        <w:pStyle w:val="Bodytext0"/>
        <w:numPr>
          <w:ilvl w:val="0"/>
          <w:numId w:val="1"/>
        </w:numPr>
        <w:shd w:val="clear" w:color="auto" w:fill="auto"/>
        <w:spacing w:before="0" w:after="300"/>
        <w:ind w:left="720" w:right="20" w:hanging="720"/>
      </w:pPr>
      <w:r>
        <w:t xml:space="preserve"> Mr. Narasimha also referred to another judgment of the General Court of the European Union in </w:t>
      </w:r>
      <w:r>
        <w:rPr>
          <w:rStyle w:val="BodytextItalic"/>
        </w:rPr>
        <w:t>Telefonica SA</w:t>
      </w:r>
      <w:r>
        <w:t xml:space="preserve"> v. </w:t>
      </w:r>
      <w:r>
        <w:rPr>
          <w:rStyle w:val="BodytextItalic"/>
        </w:rPr>
        <w:t>European Commission</w:t>
      </w:r>
      <w:r>
        <w:t xml:space="preserve"> (T-336/07) wherein it was held that the European Commission could intervene i</w:t>
      </w:r>
      <w:r>
        <w:t>n the telecommunications market, even though the entry was regulated through a sectorial regulator. He pointed out that this decision of the General Court was upheld in appeal by the European Court of Justice vide its judgment dated July 10, 2014.</w:t>
      </w:r>
    </w:p>
    <w:p w:rsidR="00884A28" w:rsidRDefault="00350526">
      <w:pPr>
        <w:pStyle w:val="Bodytext0"/>
        <w:numPr>
          <w:ilvl w:val="0"/>
          <w:numId w:val="1"/>
        </w:numPr>
        <w:shd w:val="clear" w:color="auto" w:fill="auto"/>
        <w:spacing w:before="0" w:after="300"/>
        <w:ind w:left="720" w:right="20" w:hanging="720"/>
      </w:pPr>
      <w:r>
        <w:t xml:space="preserve"> Mr. Nar</w:t>
      </w:r>
      <w:r>
        <w:t xml:space="preserve">asimha also contrasted the investigative regime under the two Acts, i.e. Section 12 of the TRAI Act vis-a-vis Section 41 read with Section 36(2) of the Competition Act and submitted that the Director General under the Competition Act is better equipped to </w:t>
      </w:r>
      <w:r>
        <w:t>deal with detection and investigation of anti-competitive agreements.</w:t>
      </w:r>
    </w:p>
    <w:p w:rsidR="00884A28" w:rsidRDefault="00350526">
      <w:pPr>
        <w:pStyle w:val="Bodytext0"/>
        <w:numPr>
          <w:ilvl w:val="0"/>
          <w:numId w:val="1"/>
        </w:numPr>
        <w:shd w:val="clear" w:color="auto" w:fill="auto"/>
        <w:spacing w:before="0" w:after="300"/>
        <w:ind w:left="720" w:right="20" w:hanging="720"/>
      </w:pPr>
      <w:r>
        <w:t xml:space="preserve"> Labelling as erroneous, the approach of the High Court that CCI should await the outcome of the proceedings before TRAI to attain finality, answer given by Mr. Narasimha was that this approach was erroneous for three reasons. First, the High Court has fai</w:t>
      </w:r>
      <w:r>
        <w:t>led to appreciate the different fields/domains in which the CCI and the TRAI operate. Secondly, the course of action proposed by the High Court would result in considerable delay defeating the CCI’s investigation. Thirdly, the High Court has failed to noti</w:t>
      </w:r>
      <w:r>
        <w:t>ce the role played by Section 21A of the Act.</w:t>
      </w:r>
    </w:p>
    <w:p w:rsidR="00884A28" w:rsidRDefault="00350526">
      <w:pPr>
        <w:pStyle w:val="Bodytext0"/>
        <w:numPr>
          <w:ilvl w:val="0"/>
          <w:numId w:val="1"/>
        </w:numPr>
        <w:shd w:val="clear" w:color="auto" w:fill="auto"/>
        <w:spacing w:before="0" w:after="300"/>
        <w:ind w:left="720" w:right="20" w:hanging="720"/>
      </w:pPr>
      <w:r>
        <w:t xml:space="preserve"> He again emphasised that CCI is not inquiring into the adequacy of POIs provided to RJIL by the respondents, or compliance with the QoS standards of TRAI and licence conditions, but was examining whether the c</w:t>
      </w:r>
      <w:r>
        <w:t>onduct of the respondents was unilateral or it was the result of anti-competitive agreement. Insofar as requirement of speedy investigation by the CCI is concerned, he submitted that such a requirement has already been acknowledged and mandated by this Cou</w:t>
      </w:r>
      <w:r>
        <w:t xml:space="preserve">rt in </w:t>
      </w:r>
      <w:r>
        <w:rPr>
          <w:rStyle w:val="BodytextItalic"/>
        </w:rPr>
        <w:t>Competition Commission of India</w:t>
      </w:r>
      <w:r>
        <w:t xml:space="preserve"> v. </w:t>
      </w:r>
      <w:r>
        <w:rPr>
          <w:rStyle w:val="BodytextItalic"/>
        </w:rPr>
        <w:t>Steel Authority of India Limited and Anothe</w:t>
      </w:r>
      <w:hyperlink w:anchor="bookmark5" w:tooltip="Current Document">
        <w:r>
          <w:rPr>
            <w:rStyle w:val="BodytextItalic"/>
          </w:rPr>
          <w:t>r</w:t>
        </w:r>
        <w:r>
          <w:rPr>
            <w:rStyle w:val="BodytextItalic"/>
            <w:vertAlign w:val="superscript"/>
          </w:rPr>
          <w:footnoteReference w:id="7"/>
        </w:r>
      </w:hyperlink>
      <w:r>
        <w:rPr>
          <w:rStyle w:val="BodytextItalic"/>
        </w:rPr>
        <w:t>.</w:t>
      </w:r>
      <w:r>
        <w:t xml:space="preserve"> Further, if at any stage, prior to or after taking a decision, the CCI is of the view that opinion of TRAI is requir</w:t>
      </w:r>
      <w:r>
        <w:t>ed, it could always make reference under Section 21A of the Competition Act.</w:t>
      </w:r>
    </w:p>
    <w:p w:rsidR="00884A28" w:rsidRDefault="00350526">
      <w:pPr>
        <w:pStyle w:val="Bodytext0"/>
        <w:numPr>
          <w:ilvl w:val="0"/>
          <w:numId w:val="1"/>
        </w:numPr>
        <w:shd w:val="clear" w:color="auto" w:fill="auto"/>
        <w:spacing w:before="0"/>
        <w:ind w:left="720" w:right="20" w:hanging="720"/>
      </w:pPr>
      <w:r>
        <w:t xml:space="preserve"> On the second proposition, namely, the High Court could not have entertained writ jurisdiction in respect of an order passed</w:t>
      </w:r>
    </w:p>
    <w:p w:rsidR="00884A28" w:rsidRDefault="00350526">
      <w:pPr>
        <w:pStyle w:val="Bodytext0"/>
        <w:shd w:val="clear" w:color="auto" w:fill="auto"/>
        <w:spacing w:before="0"/>
        <w:ind w:left="20" w:firstLine="0"/>
        <w:jc w:val="left"/>
      </w:pPr>
      <w:r>
        <w:t>under Section 26(1) of the Competition Act, Mr. Naras</w:t>
      </w:r>
      <w:r>
        <w:t>imha</w:t>
      </w:r>
    </w:p>
    <w:p w:rsidR="00884A28" w:rsidRDefault="00350526">
      <w:pPr>
        <w:pStyle w:val="Bodytext0"/>
        <w:shd w:val="clear" w:color="auto" w:fill="auto"/>
        <w:spacing w:before="0"/>
        <w:ind w:left="20" w:firstLine="0"/>
        <w:jc w:val="left"/>
      </w:pPr>
      <w:r>
        <w:t>clarified that he was not taking the position that the High Court ,in</w:t>
      </w:r>
    </w:p>
    <w:p w:rsidR="00884A28" w:rsidRDefault="00350526">
      <w:pPr>
        <w:pStyle w:val="Bodytext0"/>
        <w:shd w:val="clear" w:color="auto" w:fill="auto"/>
        <w:spacing w:before="0"/>
        <w:ind w:left="20" w:firstLine="0"/>
        <w:jc w:val="left"/>
      </w:pPr>
      <w:r>
        <w:t>no circumstance/situation, exercise its extraordinary jurisdiction</w:t>
      </w:r>
    </w:p>
    <w:p w:rsidR="00884A28" w:rsidRDefault="00350526">
      <w:pPr>
        <w:pStyle w:val="Bodytext0"/>
        <w:shd w:val="clear" w:color="auto" w:fill="auto"/>
        <w:spacing w:before="0"/>
        <w:ind w:left="20" w:firstLine="0"/>
        <w:jc w:val="left"/>
      </w:pPr>
      <w:r>
        <w:t>under the said provision, in spite of an order passed under</w:t>
      </w:r>
    </w:p>
    <w:p w:rsidR="00884A28" w:rsidRDefault="00350526">
      <w:pPr>
        <w:pStyle w:val="Bodytext0"/>
        <w:shd w:val="clear" w:color="auto" w:fill="auto"/>
        <w:spacing w:before="0"/>
        <w:ind w:left="20" w:firstLine="0"/>
        <w:jc w:val="left"/>
      </w:pPr>
      <w:r>
        <w:t xml:space="preserve">Section 26 of the Competition Act. His submission, </w:t>
      </w:r>
      <w:r>
        <w:t>however, was</w:t>
      </w:r>
    </w:p>
    <w:p w:rsidR="00884A28" w:rsidRDefault="00350526">
      <w:pPr>
        <w:pStyle w:val="Bodytext30"/>
        <w:shd w:val="clear" w:color="auto" w:fill="auto"/>
        <w:spacing w:line="643" w:lineRule="exact"/>
        <w:ind w:left="20" w:firstLine="0"/>
        <w:jc w:val="left"/>
      </w:pPr>
      <w:r>
        <w:rPr>
          <w:rStyle w:val="Bodytext3NotItalic0"/>
        </w:rPr>
        <w:t xml:space="preserve">that as per the judgment in </w:t>
      </w:r>
      <w:r>
        <w:t>Steel Authority of India Limited</w:t>
      </w:r>
    </w:p>
    <w:p w:rsidR="00884A28" w:rsidRDefault="00350526">
      <w:pPr>
        <w:pStyle w:val="Bodytext0"/>
        <w:shd w:val="clear" w:color="auto" w:fill="auto"/>
        <w:spacing w:before="0"/>
        <w:ind w:left="20" w:firstLine="0"/>
        <w:jc w:val="left"/>
      </w:pPr>
      <w:r>
        <w:t>case, such jurisdiction would be very narrow and is to be</w:t>
      </w:r>
    </w:p>
    <w:p w:rsidR="00884A28" w:rsidRDefault="00350526">
      <w:pPr>
        <w:pStyle w:val="Bodytext0"/>
        <w:shd w:val="clear" w:color="auto" w:fill="auto"/>
        <w:spacing w:before="0"/>
        <w:ind w:left="20" w:firstLine="0"/>
        <w:jc w:val="left"/>
      </w:pPr>
      <w:r>
        <w:t>exercised in exceptional cases. According to him, no such</w:t>
      </w:r>
    </w:p>
    <w:p w:rsidR="00884A28" w:rsidRDefault="00350526">
      <w:pPr>
        <w:pStyle w:val="Bodytext0"/>
        <w:shd w:val="clear" w:color="auto" w:fill="auto"/>
        <w:spacing w:before="0"/>
        <w:ind w:left="20" w:firstLine="0"/>
        <w:jc w:val="left"/>
      </w:pPr>
      <w:r>
        <w:t>exceptional circumstance arises in the instant case as order in</w:t>
      </w:r>
    </w:p>
    <w:p w:rsidR="00884A28" w:rsidRDefault="00350526">
      <w:pPr>
        <w:pStyle w:val="Bodytext0"/>
        <w:shd w:val="clear" w:color="auto" w:fill="auto"/>
        <w:spacing w:before="0"/>
        <w:ind w:left="20" w:firstLine="0"/>
        <w:jc w:val="left"/>
      </w:pPr>
      <w:r>
        <w:t>qu</w:t>
      </w:r>
      <w:r>
        <w:t xml:space="preserve">estion was only a </w:t>
      </w:r>
      <w:r>
        <w:rPr>
          <w:rStyle w:val="BodytextItalic"/>
        </w:rPr>
        <w:t>prima facie</w:t>
      </w:r>
      <w:r>
        <w:t xml:space="preserve"> view of the CCI and such an</w:t>
      </w:r>
    </w:p>
    <w:p w:rsidR="00884A28" w:rsidRDefault="00350526">
      <w:pPr>
        <w:pStyle w:val="Bodytext0"/>
        <w:shd w:val="clear" w:color="auto" w:fill="auto"/>
        <w:spacing w:before="0"/>
        <w:ind w:left="20" w:firstLine="0"/>
        <w:jc w:val="left"/>
      </w:pPr>
      <w:r>
        <w:t>order was administrative in nature. Learned ASG specifically</w:t>
      </w:r>
    </w:p>
    <w:p w:rsidR="00884A28" w:rsidRDefault="00350526">
      <w:pPr>
        <w:pStyle w:val="Bodytext0"/>
        <w:shd w:val="clear" w:color="auto" w:fill="auto"/>
        <w:spacing w:before="0"/>
        <w:ind w:left="20" w:firstLine="0"/>
        <w:jc w:val="left"/>
      </w:pPr>
      <w:r>
        <w:t xml:space="preserve">referred to the following discussion in the case of </w:t>
      </w:r>
      <w:r>
        <w:rPr>
          <w:rStyle w:val="BodytextItalic"/>
        </w:rPr>
        <w:t>Steel Authority</w:t>
      </w:r>
    </w:p>
    <w:p w:rsidR="00884A28" w:rsidRDefault="00350526">
      <w:pPr>
        <w:pStyle w:val="Bodytext30"/>
        <w:shd w:val="clear" w:color="auto" w:fill="auto"/>
        <w:spacing w:line="643" w:lineRule="exact"/>
        <w:ind w:left="20" w:firstLine="0"/>
        <w:jc w:val="left"/>
      </w:pPr>
      <w:r>
        <w:t>of India Limited</w:t>
      </w:r>
      <w:r>
        <w:rPr>
          <w:rStyle w:val="Bodytext3NotItalic0"/>
        </w:rPr>
        <w:t>:</w:t>
      </w:r>
    </w:p>
    <w:p w:rsidR="00884A28" w:rsidRDefault="00350526">
      <w:pPr>
        <w:pStyle w:val="Bodytext0"/>
        <w:shd w:val="clear" w:color="auto" w:fill="auto"/>
        <w:spacing w:before="0" w:line="298" w:lineRule="exact"/>
        <w:ind w:left="720" w:right="680" w:firstLine="0"/>
        <w:sectPr w:rsidR="00884A28">
          <w:footerReference w:type="even" r:id="rId17"/>
          <w:footerReference w:type="default" r:id="rId18"/>
          <w:headerReference w:type="first" r:id="rId19"/>
          <w:footerReference w:type="first" r:id="rId20"/>
          <w:pgSz w:w="12240" w:h="15840"/>
          <w:pgMar w:top="743" w:right="1327" w:bottom="813" w:left="1327" w:header="0" w:footer="3" w:gutter="706"/>
          <w:cols w:space="720"/>
          <w:noEndnote/>
          <w:titlePg/>
          <w:docGrid w:linePitch="360"/>
        </w:sectPr>
      </w:pPr>
      <w:r>
        <w:t>"38. In contradistinction, the direction under Section 26(1) after formation of a prima facie opinion is a direction simpliciter to cause an investigation into the matt</w:t>
      </w:r>
      <w:r>
        <w:t>er. Issuance of such a direction, at the face of it, is an administrative direction to one of its own wings departmentally and is without entering upon any adjudicatory process. It does not effectively determine any right or obligation of the parties to th</w:t>
      </w:r>
      <w:r>
        <w:t>e lis. Closure of the case causes determination of rights and affects a party i.e. the informant; resultantly, the said party has a right to appeal against such closure of case under Section 26(2) of the Act. On the other hand, mere direction for investiga</w:t>
      </w:r>
      <w:r>
        <w:t>tion to one of the wings of the Commission is akin to a departmental proceeding which does not entail civil consequences for any person, particularly, in light of the strict confidentiality that is expected to be maintained by the Commission in terms of Se</w:t>
      </w:r>
      <w:r>
        <w:t>ction 57 of the Act and Regulation 35 of the Regulations.</w:t>
      </w:r>
    </w:p>
    <w:p w:rsidR="00884A28" w:rsidRDefault="00350526">
      <w:pPr>
        <w:pStyle w:val="Bodytext0"/>
        <w:shd w:val="clear" w:color="auto" w:fill="auto"/>
        <w:spacing w:before="0" w:after="324" w:line="298" w:lineRule="exact"/>
        <w:ind w:left="1420" w:right="680" w:firstLine="0"/>
      </w:pPr>
      <w:r>
        <w:t>97. The above reasoning and the principles enunciated, which are consistent with the settled canons of law, we would adopt even in this case. In the backdrop of these determinants, we may refer to t</w:t>
      </w:r>
      <w:r>
        <w:t>he provisions of the Act. Section 26, under its different sub-sections, requires the Commission to issue various directions, take decisions and pass orders, some of which are even appealable before the Tribunal. Even if it is a direction under any of the p</w:t>
      </w:r>
      <w:r>
        <w:t xml:space="preserve">rovisions and not a decision, conclusion or order passed on merits by the Commission, it is expected that the same would be supported by some reasoning. At the stage of forming a prima facie view, as required under Section 26(1) of the Act, the Commission </w:t>
      </w:r>
      <w:r>
        <w:t>may not really record detailed reasons, but must express its mind in no uncertain terms that it is of the view that prima facie case exists, requiring issuance of direction for investigation to the Director General. Such view should be recorded with refere</w:t>
      </w:r>
      <w:r>
        <w:t>nce to the information furnished to the Commission. Such opinion should be formed on the basis of the records, including the information furnished and reference made to the Commission under the various provisions of the Act, as aforereferred. However, othe</w:t>
      </w:r>
      <w:r>
        <w:t>r decisions and orders, which are not directions simpliciter and determining the rights of the parties, should be well reasoned analysing and deciding the rival contentions raised before the Commission by the parties. In other words, the Commission is expe</w:t>
      </w:r>
      <w:r>
        <w:t>cted to express prima facie view in terms of Section 26(1) of the Act, without entering into any adjudicatory or determinative process and by recording minimum reasons substantiating the formation of such opinion, while all its other orders and decisions s</w:t>
      </w:r>
      <w:r>
        <w:t>hould be well reasoned.”</w:t>
      </w:r>
    </w:p>
    <w:p w:rsidR="00884A28" w:rsidRDefault="00350526">
      <w:pPr>
        <w:pStyle w:val="Bodytext0"/>
        <w:numPr>
          <w:ilvl w:val="0"/>
          <w:numId w:val="1"/>
        </w:numPr>
        <w:shd w:val="clear" w:color="auto" w:fill="auto"/>
        <w:tabs>
          <w:tab w:val="left" w:pos="850"/>
        </w:tabs>
        <w:spacing w:before="0"/>
        <w:ind w:left="720" w:right="20" w:hanging="720"/>
        <w:sectPr w:rsidR="00884A28">
          <w:footerReference w:type="even" r:id="rId21"/>
          <w:footerReference w:type="default" r:id="rId22"/>
          <w:headerReference w:type="first" r:id="rId23"/>
          <w:footerReference w:type="first" r:id="rId24"/>
          <w:type w:val="continuous"/>
          <w:pgSz w:w="12240" w:h="15840"/>
          <w:pgMar w:top="1176" w:right="1689" w:bottom="1613" w:left="1689" w:header="0" w:footer="3" w:gutter="0"/>
          <w:cols w:space="720"/>
          <w:noEndnote/>
          <w:titlePg/>
          <w:docGrid w:linePitch="360"/>
        </w:sectPr>
      </w:pPr>
      <w:r>
        <w:t>He also drew the attention of the Court to paragraph 25 of the CCI’s order dated April 21, 2017 as per which the Director General was a</w:t>
      </w:r>
      <w:r>
        <w:t>sked to conduct the investigation without being swayed in any manner whatsoever by the observations made by the CCI in the said order. He submitted that in these</w:t>
      </w:r>
    </w:p>
    <w:p w:rsidR="00884A28" w:rsidRDefault="00350526">
      <w:pPr>
        <w:pStyle w:val="Bodytext0"/>
        <w:shd w:val="clear" w:color="auto" w:fill="auto"/>
        <w:spacing w:before="0" w:after="300"/>
        <w:ind w:left="720" w:right="20" w:firstLine="0"/>
      </w:pPr>
      <w:r>
        <w:t xml:space="preserve">circumstances the said order was merely administrative in nature and could not be labelled as </w:t>
      </w:r>
      <w:r>
        <w:t>quasi-judicial order. In the same vein his further submission was that the observations of the High Court that the CCI has decided several issues and elements with clear adverse consequences was clearly erroneous and contrary to the well-established princi</w:t>
      </w:r>
      <w:r>
        <w:t>ple of law. In support, he also referred to the judgments of the Bombay and the Allahabad High Courts.</w:t>
      </w:r>
    </w:p>
    <w:p w:rsidR="00884A28" w:rsidRDefault="00350526">
      <w:pPr>
        <w:pStyle w:val="Bodytext0"/>
        <w:numPr>
          <w:ilvl w:val="0"/>
          <w:numId w:val="1"/>
        </w:numPr>
        <w:shd w:val="clear" w:color="auto" w:fill="auto"/>
        <w:tabs>
          <w:tab w:val="left" w:pos="739"/>
        </w:tabs>
        <w:spacing w:before="0"/>
        <w:ind w:left="720" w:right="20" w:hanging="720"/>
      </w:pPr>
      <w:r>
        <w:t>Dilating on his third proposition, namely, the CCI order was not perverse, he submitted that there was sufficient material before the CCI for formation o</w:t>
      </w:r>
      <w:r>
        <w:t xml:space="preserve">f a </w:t>
      </w:r>
      <w:r>
        <w:rPr>
          <w:rStyle w:val="BodytextItalic"/>
        </w:rPr>
        <w:t>prima facie</w:t>
      </w:r>
      <w:r>
        <w:t xml:space="preserve"> opinion that the conduct of the respondents was violative of Section 3(3)(b) of the Competition Act. He submitted that such material was taken into consideration and discussed in the order itself and he referred to certain paragraphs of the</w:t>
      </w:r>
      <w:r>
        <w:t xml:space="preserve"> order dated April 21, 2017 in this behalf. In the process, he again emphasised that none of the observations made in the said order are conclusive findings in any way and not binding on the Director General and this was only the starting point, as held in</w:t>
      </w:r>
      <w:r>
        <w:t xml:space="preserve"> the case of </w:t>
      </w:r>
      <w:r>
        <w:rPr>
          <w:rStyle w:val="BodytextItalic"/>
        </w:rPr>
        <w:t>Excel Crop Care Limited.</w:t>
      </w:r>
    </w:p>
    <w:p w:rsidR="00884A28" w:rsidRDefault="00350526">
      <w:pPr>
        <w:pStyle w:val="Bodytext0"/>
        <w:numPr>
          <w:ilvl w:val="0"/>
          <w:numId w:val="1"/>
        </w:numPr>
        <w:shd w:val="clear" w:color="auto" w:fill="auto"/>
        <w:spacing w:before="0" w:after="300"/>
        <w:ind w:left="740" w:right="20" w:hanging="720"/>
      </w:pPr>
      <w:r>
        <w:t xml:space="preserve"> M/s. Harish Salve, Dr. A.M. Singhvi, Ramji Srinivasan and Amit Sibal, learned senior advocates, argued on behalf of RJIL. Their detailed submissions were almost on the lines on which Mr. Narasimha, learned ASG, had argued on behalf of the CCI.</w:t>
      </w:r>
    </w:p>
    <w:p w:rsidR="00884A28" w:rsidRDefault="00350526">
      <w:pPr>
        <w:pStyle w:val="Bodytext0"/>
        <w:numPr>
          <w:ilvl w:val="0"/>
          <w:numId w:val="1"/>
        </w:numPr>
        <w:shd w:val="clear" w:color="auto" w:fill="auto"/>
        <w:spacing w:before="0" w:after="300"/>
        <w:ind w:left="740" w:right="20" w:hanging="720"/>
      </w:pPr>
      <w:r>
        <w:t xml:space="preserve"> In the fir</w:t>
      </w:r>
      <w:r>
        <w:t xml:space="preserve">st place, it was emphasised that insofar as dragging of COAI into this investigation is concerned, it was sought to be justified by placing reliance on Section 3 of the Act which specifically recognises possible mischief by an association of persons or an </w:t>
      </w:r>
      <w:r>
        <w:t xml:space="preserve">association of enterprises. It was stressed that Section 3(3) recognises certain agreements as </w:t>
      </w:r>
      <w:r>
        <w:rPr>
          <w:rStyle w:val="BodytextItalic"/>
        </w:rPr>
        <w:t>per se</w:t>
      </w:r>
      <w:r>
        <w:t xml:space="preserve"> violations, and shall be presumed to have appreciable adverse effect on competition. Submission was that associations of enterprises, after the operation </w:t>
      </w:r>
      <w:r>
        <w:t>of the Act are now liable to be viewed with great suspicion in view of the fact that by its very nature an association of competing enterprises provides a convenient platform for such competitors to assemble together.</w:t>
      </w:r>
    </w:p>
    <w:p w:rsidR="00884A28" w:rsidRDefault="00350526">
      <w:pPr>
        <w:pStyle w:val="Bodytext0"/>
        <w:numPr>
          <w:ilvl w:val="0"/>
          <w:numId w:val="1"/>
        </w:numPr>
        <w:shd w:val="clear" w:color="auto" w:fill="auto"/>
        <w:spacing w:before="0"/>
        <w:ind w:left="740" w:right="20" w:hanging="720"/>
      </w:pPr>
      <w:r>
        <w:t xml:space="preserve"> The involvement of COAI was sought to</w:t>
      </w:r>
      <w:r>
        <w:t xml:space="preserve"> be proved by arguing that the IDOs have not argued that COAI letters must be ignored since the decision to provide or not to provide POIs to its competitor was taken by each of them independently either Airtel by itself, or Vodafone by itself, or Idea by </w:t>
      </w:r>
      <w:r>
        <w:t>itself. But the facts of</w:t>
      </w:r>
    </w:p>
    <w:p w:rsidR="00884A28" w:rsidRDefault="00350526">
      <w:pPr>
        <w:pStyle w:val="Bodytext0"/>
        <w:shd w:val="clear" w:color="auto" w:fill="auto"/>
        <w:spacing w:before="0"/>
        <w:ind w:left="20" w:right="20" w:firstLine="0"/>
      </w:pPr>
      <w:r>
        <w:t>the case disclose active involvement by that common platform called COAI. As per the Reliance Jio, the COAI admittedly facilitated exchange of information between the three IDOs. It draws references in its response to private lette</w:t>
      </w:r>
      <w:r>
        <w:t>rs exchanged between Reliance Jio and each of the IDOs separately. The decisions of the COAI are not decisions of a majority comprising of a large and diverse pool of members that could suggest a democratic decision making. By its very constitution, the CO</w:t>
      </w:r>
      <w:r>
        <w:t>AI’s majority views were nothing but the common views of the three IDOs that controlled it. It was also argued that in the preliminary conference and in the High Court defence raised was that COAI was not a front for these three IDOs but was merely espousi</w:t>
      </w:r>
      <w:r>
        <w:t>ng general industry issues. It does not explain how it chanced upon private documents and correspondence exchanged bilaterally between RJIL with each of the IDOs separately. It does not explain how it voiced the common decisions on behalf of those three ID</w:t>
      </w:r>
      <w:r>
        <w:t>Os. The COAI was not the fourth voice but was the prohibited chorus of those three colluding competitors. Thus, no legitimacy can be attributed to actions of the COAI. Attention of the Court was drawn to the letter dated August 08, 2016 (before the announc</w:t>
      </w:r>
      <w:r>
        <w:t>ement of launch of services by Reliance Jio dated September 01, 2016) and the letter dated September 02, 2016</w:t>
      </w:r>
    </w:p>
    <w:p w:rsidR="00884A28" w:rsidRDefault="00350526">
      <w:pPr>
        <w:pStyle w:val="Bodytext0"/>
        <w:shd w:val="clear" w:color="auto" w:fill="auto"/>
        <w:spacing w:before="0"/>
        <w:ind w:left="720" w:right="20" w:firstLine="0"/>
      </w:pPr>
      <w:r>
        <w:t>(after the launch of Reliance Jio) which, according to Reliance Jio, expose the common collusive conduct of these competitors to first delay the l</w:t>
      </w:r>
      <w:r>
        <w:t>aunch and secondly to scuttle the launch. It was also contended that the concerted, collusive conspiracy by the three existing IDOs (having a collective market share of 65%) to meet with each other under auspices of their association called Cellular Operat</w:t>
      </w:r>
      <w:r>
        <w:t>ors Association of India (COAI) and evolve a common strategy to respond to challenge posed by a new entrant RJIL, is by itself violative of Section 3 of the Act. The learned senior counsel pointed out that the defence of the COAI is that it was merely lobb</w:t>
      </w:r>
      <w:r>
        <w:t>ying the Government for enacting a change in law or regulation to stop Reliance Jio from carrying out test on such a large scale by introducing limits on number of Test- subscribers. However, the letters of COAI revealed an active participation of taking s</w:t>
      </w:r>
      <w:r>
        <w:t>ides of certain operators whose interest was to hinder, or at least slowdown the entry of the new operator. COAI announced unilateral decisions like virtual boycott (which is not the same as lobbying for change of regulation). To support this argument, ref</w:t>
      </w:r>
      <w:r>
        <w:t xml:space="preserve">erence was made to the decisions of Supreme Court of United States in </w:t>
      </w:r>
      <w:r>
        <w:rPr>
          <w:rStyle w:val="BodytextItalic"/>
        </w:rPr>
        <w:t>FTC</w:t>
      </w:r>
      <w:r>
        <w:t xml:space="preserve"> v. </w:t>
      </w:r>
      <w:r>
        <w:rPr>
          <w:rStyle w:val="BodytextItalic"/>
        </w:rPr>
        <w:t>Supreme Court Trial Lawyers Association</w:t>
      </w:r>
      <w:hyperlink w:anchor="bookmark6" w:tooltip="Current Document">
        <w:r>
          <w:rPr>
            <w:rStyle w:val="BodytextItalic"/>
            <w:vertAlign w:val="superscript"/>
          </w:rPr>
          <w:footnoteReference w:id="8"/>
        </w:r>
      </w:hyperlink>
      <w:r>
        <w:t xml:space="preserve"> wherein it has observed that:</w:t>
      </w:r>
    </w:p>
    <w:p w:rsidR="00884A28" w:rsidRDefault="00350526">
      <w:pPr>
        <w:pStyle w:val="Bodytext0"/>
        <w:shd w:val="clear" w:color="auto" w:fill="auto"/>
        <w:spacing w:before="0" w:after="324" w:line="298" w:lineRule="exact"/>
        <w:ind w:left="1420" w:right="680" w:firstLine="0"/>
      </w:pPr>
      <w:r>
        <w:t>"no violation of the Act can be predicated upon mere att</w:t>
      </w:r>
      <w:r>
        <w:t>empts to influence the passage or enforcement of laws,” even if the defendants’ sole purpose is to impose a restraint upon the trade of their competitors. But in the Noerr case the alleged restraint of trade was the intended consequence of public action; i</w:t>
      </w:r>
      <w:r>
        <w:t>n this case the boycott was the mans by which respondents sought to obtain favourable legislation. The restraint of trade that was implemented while the boycott lasted would have had precisely the same anticompetitive consequences during that period even i</w:t>
      </w:r>
      <w:r>
        <w:t>f no legislation had been enacted. In Noerr, the desired legislation would have created the restraint on the truckers’ competition; in this case the emergency legislative response to the boycott put an end to the restraint.”</w:t>
      </w:r>
    </w:p>
    <w:p w:rsidR="00884A28" w:rsidRDefault="00350526">
      <w:pPr>
        <w:pStyle w:val="Bodytext0"/>
        <w:numPr>
          <w:ilvl w:val="0"/>
          <w:numId w:val="1"/>
        </w:numPr>
        <w:shd w:val="clear" w:color="auto" w:fill="auto"/>
        <w:tabs>
          <w:tab w:val="left" w:pos="730"/>
        </w:tabs>
        <w:spacing w:before="0"/>
        <w:ind w:firstLine="0"/>
      </w:pPr>
      <w:r>
        <w:t>On the submission that the dang</w:t>
      </w:r>
      <w:r>
        <w:t>ers of a trade association being</w:t>
      </w:r>
    </w:p>
    <w:p w:rsidR="00884A28" w:rsidRDefault="00350526">
      <w:pPr>
        <w:pStyle w:val="Bodytext0"/>
        <w:shd w:val="clear" w:color="auto" w:fill="auto"/>
        <w:spacing w:before="0"/>
        <w:ind w:left="740" w:firstLine="0"/>
        <w:jc w:val="left"/>
      </w:pPr>
      <w:r>
        <w:t>hijacked to further the cause of only a few competitors and yet</w:t>
      </w:r>
    </w:p>
    <w:p w:rsidR="00884A28" w:rsidRDefault="00350526">
      <w:pPr>
        <w:pStyle w:val="Bodytext0"/>
        <w:shd w:val="clear" w:color="auto" w:fill="auto"/>
        <w:spacing w:before="0"/>
        <w:ind w:left="740" w:firstLine="0"/>
        <w:jc w:val="left"/>
      </w:pPr>
      <w:r>
        <w:t>attempt to give the entire exercise a veneer of respectability has</w:t>
      </w:r>
    </w:p>
    <w:p w:rsidR="00884A28" w:rsidRDefault="00350526">
      <w:pPr>
        <w:pStyle w:val="Bodytext0"/>
        <w:shd w:val="clear" w:color="auto" w:fill="auto"/>
        <w:spacing w:before="0"/>
        <w:ind w:left="740" w:firstLine="0"/>
        <w:jc w:val="left"/>
      </w:pPr>
      <w:r>
        <w:t>been also commented upon in the recent decision of this Court in</w:t>
      </w:r>
    </w:p>
    <w:p w:rsidR="00884A28" w:rsidRDefault="00350526">
      <w:pPr>
        <w:pStyle w:val="Bodytext30"/>
        <w:shd w:val="clear" w:color="auto" w:fill="auto"/>
        <w:spacing w:line="643" w:lineRule="exact"/>
        <w:ind w:left="740" w:firstLine="0"/>
        <w:jc w:val="left"/>
      </w:pPr>
      <w:r>
        <w:t xml:space="preserve">Competition Commission of </w:t>
      </w:r>
      <w:r>
        <w:t>India</w:t>
      </w:r>
      <w:r>
        <w:rPr>
          <w:rStyle w:val="Bodytext3NotItalic0"/>
        </w:rPr>
        <w:t xml:space="preserve"> v. </w:t>
      </w:r>
      <w:r>
        <w:t>Coordination Committee</w:t>
      </w:r>
    </w:p>
    <w:p w:rsidR="00884A28" w:rsidRDefault="00350526">
      <w:pPr>
        <w:pStyle w:val="Bodytext30"/>
        <w:shd w:val="clear" w:color="auto" w:fill="auto"/>
        <w:spacing w:line="643" w:lineRule="exact"/>
        <w:ind w:left="740" w:firstLine="0"/>
        <w:jc w:val="left"/>
      </w:pPr>
      <w:r>
        <w:t>of Artistes and Technicians of West Bengal Film and</w:t>
      </w:r>
    </w:p>
    <w:p w:rsidR="00884A28" w:rsidRDefault="00350526">
      <w:pPr>
        <w:pStyle w:val="Bodytext0"/>
        <w:shd w:val="clear" w:color="auto" w:fill="auto"/>
        <w:spacing w:before="0"/>
        <w:ind w:left="740" w:firstLine="0"/>
        <w:jc w:val="left"/>
      </w:pPr>
      <w:r>
        <w:rPr>
          <w:rStyle w:val="BodytextItalic"/>
        </w:rPr>
        <w:t>Television &amp; Ors.</w:t>
      </w:r>
      <w:hyperlink w:anchor="bookmark7" w:tooltip="Current Document">
        <w:r>
          <w:rPr>
            <w:rStyle w:val="BodytextItalic"/>
            <w:vertAlign w:val="superscript"/>
          </w:rPr>
          <w:footnoteReference w:id="9"/>
        </w:r>
        <w:r>
          <w:t xml:space="preserve"> </w:t>
        </w:r>
      </w:hyperlink>
      <w:r>
        <w:t>wherein it has been observed that:</w:t>
      </w:r>
    </w:p>
    <w:p w:rsidR="00884A28" w:rsidRDefault="00350526">
      <w:pPr>
        <w:pStyle w:val="Bodytext0"/>
        <w:shd w:val="clear" w:color="auto" w:fill="auto"/>
        <w:spacing w:before="0" w:line="298" w:lineRule="exact"/>
        <w:ind w:left="1420" w:right="680" w:firstLine="0"/>
      </w:pPr>
      <w:r>
        <w:t>"</w:t>
      </w:r>
      <w:r>
        <w:t xml:space="preserve">47. In the instant case, admittedly the Coordination Committee, which may be a “person” as per the definition contained in Section </w:t>
      </w:r>
      <w:r>
        <w:rPr>
          <w:rStyle w:val="BodytextItalic"/>
        </w:rPr>
        <w:t>2(l)</w:t>
      </w:r>
      <w:r>
        <w:t xml:space="preserve"> of the Act, is not undertaking any economic activity by itself. Therefore, if we were to look into the “agreement” of su</w:t>
      </w:r>
      <w:r>
        <w:t>ch a “person” i.e. Coordination Committee, it may not fall under Section 3(1) of the Act as it is not in respect of any production, supply, distribution, storage, acquisition or control of goods or provision of services. The Coordination Committee, which a</w:t>
      </w:r>
      <w:r>
        <w:t>s a trade union acting by itself, and without conjunction with any other, would not be treated as an “enterprise” or the kind of “association of persons” described in Section 3. A trade union acts as on behalf of its members in collective</w:t>
      </w:r>
    </w:p>
    <w:p w:rsidR="00884A28" w:rsidRDefault="00350526">
      <w:pPr>
        <w:pStyle w:val="Bodytext0"/>
        <w:shd w:val="clear" w:color="auto" w:fill="auto"/>
        <w:spacing w:before="0" w:line="298" w:lineRule="exact"/>
        <w:ind w:left="1440" w:right="940" w:firstLine="0"/>
      </w:pPr>
      <w:r>
        <w:t>bargaining and is</w:t>
      </w:r>
      <w:r>
        <w:t xml:space="preserve"> not engaged in economic activity. in </w:t>
      </w:r>
      <w:r>
        <w:rPr>
          <w:rStyle w:val="Bodytext1"/>
        </w:rPr>
        <w:t>such circumstances, had the Coordination Committee</w:t>
      </w:r>
      <w:r>
        <w:t xml:space="preserve"> </w:t>
      </w:r>
      <w:r>
        <w:rPr>
          <w:rStyle w:val="Bodytext1"/>
        </w:rPr>
        <w:t>acted only as trade unionists, things would have been</w:t>
      </w:r>
      <w:r>
        <w:t xml:space="preserve"> </w:t>
      </w:r>
      <w:r>
        <w:rPr>
          <w:rStyle w:val="Bodytext1"/>
        </w:rPr>
        <w:t>different.</w:t>
      </w:r>
      <w:r>
        <w:t xml:space="preserve"> Then, perhaps, the view taken by the Tribunal could be sustained. However, what is lost in translation</w:t>
      </w:r>
      <w:r>
        <w:t xml:space="preserve"> by the Tribunal i.e. in applying the aforesaid principle of the activity of the trade union, is a very pertinent and significant fact, which was taken note of by the DG as well as CCI in its majority opinion. </w:t>
      </w:r>
      <w:r>
        <w:rPr>
          <w:rStyle w:val="Bodytext1"/>
        </w:rPr>
        <w:t>It is this: the Coordination</w:t>
      </w:r>
      <w:r>
        <w:t xml:space="preserve"> </w:t>
      </w:r>
      <w:r>
        <w:rPr>
          <w:rStyle w:val="Bodytext1"/>
        </w:rPr>
        <w:t>Committee (or for</w:t>
      </w:r>
      <w:r>
        <w:rPr>
          <w:rStyle w:val="Bodytext1"/>
        </w:rPr>
        <w:t xml:space="preserve"> that matter even E</w:t>
      </w:r>
      <w:r>
        <w:rPr>
          <w:rStyle w:val="Bodytext9pt"/>
        </w:rPr>
        <w:t>impa</w:t>
      </w:r>
      <w:r>
        <w:rPr>
          <w:rStyle w:val="Bodytext1"/>
        </w:rPr>
        <w:t>) are, in fact,</w:t>
      </w:r>
      <w:r>
        <w:t xml:space="preserve"> </w:t>
      </w:r>
      <w:r>
        <w:rPr>
          <w:rStyle w:val="Bodytext1"/>
        </w:rPr>
        <w:t>association of enterprises (constituent members) and</w:t>
      </w:r>
      <w:r>
        <w:t xml:space="preserve"> </w:t>
      </w:r>
      <w:r>
        <w:rPr>
          <w:rStyle w:val="Bodytext1"/>
        </w:rPr>
        <w:t>these members are engaged in production, distribution</w:t>
      </w:r>
      <w:r>
        <w:t xml:space="preserve"> </w:t>
      </w:r>
      <w:r>
        <w:rPr>
          <w:rStyle w:val="Bodytext1"/>
        </w:rPr>
        <w:t>and exhibition of films.</w:t>
      </w:r>
      <w:r>
        <w:t xml:space="preserve"> E</w:t>
      </w:r>
      <w:r>
        <w:rPr>
          <w:rStyle w:val="Bodytext9pt0"/>
        </w:rPr>
        <w:t xml:space="preserve">impa </w:t>
      </w:r>
      <w:r>
        <w:t>is an association of film producers, distributors and exhibitors, operating mai</w:t>
      </w:r>
      <w:r>
        <w:t xml:space="preserve">nly in the State of West Bengal. Likewise, the Coordination Committee is the joint platform of Federation of Senior Technician and Workers of Eastern India and West Bengal Motion Pictures Artistes' Forum. </w:t>
      </w:r>
      <w:r>
        <w:rPr>
          <w:rStyle w:val="Bodytext1"/>
        </w:rPr>
        <w:t>Both E</w:t>
      </w:r>
      <w:r>
        <w:rPr>
          <w:rStyle w:val="Bodytext9pt"/>
        </w:rPr>
        <w:t xml:space="preserve">impa </w:t>
      </w:r>
      <w:r>
        <w:rPr>
          <w:rStyle w:val="Bodytext1"/>
        </w:rPr>
        <w:t>as well as the</w:t>
      </w:r>
      <w:r>
        <w:t xml:space="preserve"> </w:t>
      </w:r>
      <w:r>
        <w:rPr>
          <w:rStyle w:val="Bodytext1"/>
        </w:rPr>
        <w:t>Coordination Committee ac</w:t>
      </w:r>
      <w:r>
        <w:rPr>
          <w:rStyle w:val="Bodytext1"/>
        </w:rPr>
        <w:t>ted in a concerted and</w:t>
      </w:r>
      <w:r>
        <w:t xml:space="preserve"> </w:t>
      </w:r>
      <w:r>
        <w:rPr>
          <w:rStyle w:val="Bodytext1"/>
        </w:rPr>
        <w:t>coordinated manner. They joined together in giving call of</w:t>
      </w:r>
      <w:r>
        <w:t xml:space="preserve"> </w:t>
      </w:r>
      <w:r>
        <w:rPr>
          <w:rStyle w:val="Bodytext1"/>
        </w:rPr>
        <w:t>boycott of the competing members i.e. the informant in the</w:t>
      </w:r>
      <w:r>
        <w:t xml:space="preserve"> </w:t>
      </w:r>
      <w:r>
        <w:rPr>
          <w:rStyle w:val="Bodytext1"/>
        </w:rPr>
        <w:t>instant case and, therefore, the matter cannot be viewed</w:t>
      </w:r>
      <w:r>
        <w:t xml:space="preserve"> </w:t>
      </w:r>
      <w:r>
        <w:rPr>
          <w:rStyle w:val="Bodytext1"/>
        </w:rPr>
        <w:t>narrowly by treating Coordination Committee as a trade</w:t>
      </w:r>
      <w:r>
        <w:t xml:space="preserve"> </w:t>
      </w:r>
      <w:r>
        <w:rPr>
          <w:rStyle w:val="Bodytext1"/>
        </w:rPr>
        <w:t>uni</w:t>
      </w:r>
      <w:r>
        <w:rPr>
          <w:rStyle w:val="Bodytext1"/>
        </w:rPr>
        <w:t>on, ignoring the fact that it is backing the cause of those</w:t>
      </w:r>
      <w:r>
        <w:t xml:space="preserve"> </w:t>
      </w:r>
      <w:r>
        <w:rPr>
          <w:rStyle w:val="Bodytext1"/>
        </w:rPr>
        <w:t>which are “enterprises”.</w:t>
      </w:r>
      <w:r>
        <w:t xml:space="preserve"> The constituent members of these bodies take decision relating to production or distribution or exhibition on behalf of the members who are engaged in the similar or ident</w:t>
      </w:r>
      <w:r>
        <w:t xml:space="preserve">ical business of production, distribution or exhibition of the films. </w:t>
      </w:r>
      <w:r>
        <w:rPr>
          <w:rStyle w:val="Bodytext1"/>
        </w:rPr>
        <w:t>Decision of these two bodies</w:t>
      </w:r>
      <w:r>
        <w:t xml:space="preserve"> </w:t>
      </w:r>
      <w:r>
        <w:rPr>
          <w:rStyle w:val="Bodytext1"/>
        </w:rPr>
        <w:t>reflected collective intent of the members. When some of</w:t>
      </w:r>
      <w:r>
        <w:t xml:space="preserve"> </w:t>
      </w:r>
      <w:r>
        <w:rPr>
          <w:rStyle w:val="Bodytext1"/>
        </w:rPr>
        <w:t>the members are found to be in the production, distribution</w:t>
      </w:r>
      <w:r>
        <w:t xml:space="preserve"> </w:t>
      </w:r>
      <w:r>
        <w:rPr>
          <w:rStyle w:val="Bodytext1"/>
        </w:rPr>
        <w:t>or exhibition line, the matter could not</w:t>
      </w:r>
      <w:r>
        <w:rPr>
          <w:rStyle w:val="Bodytext1"/>
        </w:rPr>
        <w:t xml:space="preserve"> have been brushed</w:t>
      </w:r>
      <w:r>
        <w:t xml:space="preserve"> </w:t>
      </w:r>
      <w:r>
        <w:rPr>
          <w:rStyle w:val="Bodytext1"/>
        </w:rPr>
        <w:t>aside by merely giving it a cloak of trade unionism. For this</w:t>
      </w:r>
      <w:r>
        <w:t xml:space="preserve"> </w:t>
      </w:r>
      <w:r>
        <w:rPr>
          <w:rStyle w:val="Bodytext1"/>
        </w:rPr>
        <w:t>reason, the argument predicated on the right of trade</w:t>
      </w:r>
      <w:r>
        <w:t xml:space="preserve"> </w:t>
      </w:r>
      <w:r>
        <w:rPr>
          <w:rStyle w:val="Bodytext1"/>
        </w:rPr>
        <w:t>union under Article 19 of the Constitution, as professed by</w:t>
      </w:r>
      <w:r>
        <w:t xml:space="preserve"> </w:t>
      </w:r>
      <w:r>
        <w:rPr>
          <w:rStyle w:val="Bodytext1"/>
        </w:rPr>
        <w:t>the Coordination Committee, is also not available.</w:t>
      </w:r>
      <w:r>
        <w:t>”</w:t>
      </w:r>
    </w:p>
    <w:p w:rsidR="00884A28" w:rsidRDefault="00350526">
      <w:pPr>
        <w:pStyle w:val="Bodytext0"/>
        <w:shd w:val="clear" w:color="auto" w:fill="auto"/>
        <w:spacing w:before="0" w:after="324" w:line="298" w:lineRule="exact"/>
        <w:ind w:left="5900" w:firstLine="0"/>
        <w:jc w:val="left"/>
      </w:pPr>
      <w:r>
        <w:t>(emphasis</w:t>
      </w:r>
      <w:r>
        <w:t xml:space="preserve"> supplied)</w:t>
      </w:r>
    </w:p>
    <w:p w:rsidR="00884A28" w:rsidRDefault="00350526">
      <w:pPr>
        <w:pStyle w:val="Bodytext30"/>
        <w:shd w:val="clear" w:color="auto" w:fill="auto"/>
        <w:spacing w:line="643" w:lineRule="exact"/>
        <w:ind w:left="760"/>
      </w:pPr>
      <w:r>
        <w:t>Arguments: The respondents:</w:t>
      </w:r>
    </w:p>
    <w:p w:rsidR="00884A28" w:rsidRDefault="00350526">
      <w:pPr>
        <w:pStyle w:val="Bodytext0"/>
        <w:numPr>
          <w:ilvl w:val="0"/>
          <w:numId w:val="1"/>
        </w:numPr>
        <w:shd w:val="clear" w:color="auto" w:fill="auto"/>
        <w:tabs>
          <w:tab w:val="left" w:pos="759"/>
        </w:tabs>
        <w:spacing w:before="0"/>
        <w:ind w:left="760" w:right="260"/>
      </w:pPr>
      <w:r>
        <w:t>Mr. Darius J. Khambata, senior advocate, appeared on behalf of Idea Cellular Ltd. Mr. Gopal Jain and Mr. Navroz Seervai, senior advocates, appeared on behalf of Bharti Airtel Ltd. Mr. Ranjit</w:t>
      </w:r>
    </w:p>
    <w:p w:rsidR="00884A28" w:rsidRDefault="00350526">
      <w:pPr>
        <w:pStyle w:val="Bodytext0"/>
        <w:shd w:val="clear" w:color="auto" w:fill="auto"/>
        <w:spacing w:before="0" w:after="300"/>
        <w:ind w:left="740" w:right="20" w:firstLine="0"/>
      </w:pPr>
      <w:r>
        <w:t xml:space="preserve">Kumar, Mr. Arvind Datar </w:t>
      </w:r>
      <w:r>
        <w:t>and Mr. Sidharth Luthra, senior advocates, appeared on behalf of Vodafone India Ltd. Mr. P. Chidambaram, senior advocate, appeared on behalf of the COAI. TRAI had also intervened in the matter and supported the legal submission of the IDOs, namely, that TR</w:t>
      </w:r>
      <w:r>
        <w:t>AI had the exclusive jurisdiction to deal with the matter, i.e. there was a complete absence of jurisdiction in CCI to deal with the issue at hand. Instead of taking note of the submissions of these counsel separately, we are taking note of the submissions</w:t>
      </w:r>
      <w:r>
        <w:t xml:space="preserve"> in a consolidated manner as that would avoid repetition.</w:t>
      </w:r>
    </w:p>
    <w:p w:rsidR="00884A28" w:rsidRDefault="00350526">
      <w:pPr>
        <w:pStyle w:val="Bodytext0"/>
        <w:numPr>
          <w:ilvl w:val="0"/>
          <w:numId w:val="1"/>
        </w:numPr>
        <w:shd w:val="clear" w:color="auto" w:fill="auto"/>
        <w:tabs>
          <w:tab w:val="left" w:pos="740"/>
        </w:tabs>
        <w:spacing w:before="0"/>
        <w:ind w:left="740" w:right="20" w:hanging="720"/>
        <w:jc w:val="left"/>
      </w:pPr>
      <w:r>
        <w:t>The submissions of the respondents can be paraphrased as under:</w:t>
      </w:r>
    </w:p>
    <w:p w:rsidR="00884A28" w:rsidRDefault="00350526">
      <w:pPr>
        <w:pStyle w:val="Bodytext0"/>
        <w:numPr>
          <w:ilvl w:val="0"/>
          <w:numId w:val="15"/>
        </w:numPr>
        <w:shd w:val="clear" w:color="auto" w:fill="auto"/>
        <w:spacing w:before="0"/>
        <w:ind w:left="740" w:right="20" w:firstLine="0"/>
      </w:pPr>
      <w:r>
        <w:t xml:space="preserve"> The TRAI Act, being a special law, ousts the jurisdiction of CCI to examine the telecom sector. In that sense, exclusive jurisdiction</w:t>
      </w:r>
      <w:r>
        <w:t xml:space="preserve"> vests in TRAI to regulate the telecom sector, including competition related issues, thereby ousting the jurisdiction of the CCI altogether.</w:t>
      </w:r>
    </w:p>
    <w:p w:rsidR="00884A28" w:rsidRDefault="00350526">
      <w:pPr>
        <w:pStyle w:val="Bodytext0"/>
        <w:numPr>
          <w:ilvl w:val="0"/>
          <w:numId w:val="15"/>
        </w:numPr>
        <w:shd w:val="clear" w:color="auto" w:fill="auto"/>
        <w:spacing w:before="0"/>
        <w:ind w:left="740" w:right="20" w:firstLine="0"/>
      </w:pPr>
      <w:r>
        <w:t xml:space="preserve"> Even if the CCI has the jurisdiction, TRAI’s jurisdiction will prevail.</w:t>
      </w:r>
    </w:p>
    <w:p w:rsidR="00884A28" w:rsidRDefault="00350526">
      <w:pPr>
        <w:pStyle w:val="Bodytext0"/>
        <w:numPr>
          <w:ilvl w:val="0"/>
          <w:numId w:val="15"/>
        </w:numPr>
        <w:shd w:val="clear" w:color="auto" w:fill="auto"/>
        <w:spacing w:before="0"/>
        <w:ind w:left="740" w:right="20" w:firstLine="0"/>
      </w:pPr>
      <w:r>
        <w:t xml:space="preserve"> In the alternative, the jurisdictional fa</w:t>
      </w:r>
      <w:r>
        <w:t>cts, in any case, had to be determined by the TRAI in the first place. Since there was absence of jurisdictional facts, the CCI could not have proceeded with the matter and ordered the investigation. Thus, the CCI’s order for carry out investigation is pre</w:t>
      </w:r>
      <w:r>
        <w:t>mature.</w:t>
      </w:r>
    </w:p>
    <w:p w:rsidR="00884A28" w:rsidRDefault="00350526">
      <w:pPr>
        <w:pStyle w:val="Bodytext0"/>
        <w:numPr>
          <w:ilvl w:val="0"/>
          <w:numId w:val="15"/>
        </w:numPr>
        <w:shd w:val="clear" w:color="auto" w:fill="auto"/>
        <w:spacing w:before="0"/>
        <w:ind w:left="740" w:right="20" w:firstLine="0"/>
      </w:pPr>
      <w:r>
        <w:t xml:space="preserve"> The impugned order passed by the CCI under Section 26(1) of the Competition Act applies the </w:t>
      </w:r>
      <w:r>
        <w:rPr>
          <w:rStyle w:val="BodytextItalic"/>
        </w:rPr>
        <w:t>‘prima facie</w:t>
      </w:r>
      <w:r>
        <w:t xml:space="preserve"> test’ and consequences of such an order are grave. Such an order was quasi-judicial in nature and, therefore, amenable to judicial review unde</w:t>
      </w:r>
      <w:r>
        <w:t>r Article 226 of the Constitution of India. Thus, the writ petitions filed by the IDOs challenging this order were maintainable.</w:t>
      </w:r>
    </w:p>
    <w:p w:rsidR="00884A28" w:rsidRDefault="00350526">
      <w:pPr>
        <w:pStyle w:val="Bodytext0"/>
        <w:numPr>
          <w:ilvl w:val="0"/>
          <w:numId w:val="15"/>
        </w:numPr>
        <w:shd w:val="clear" w:color="auto" w:fill="auto"/>
        <w:spacing w:before="0" w:after="300"/>
        <w:ind w:left="740" w:right="20" w:firstLine="0"/>
      </w:pPr>
      <w:r>
        <w:t xml:space="preserve"> On merits, the </w:t>
      </w:r>
      <w:r>
        <w:rPr>
          <w:rStyle w:val="BodytextItalic"/>
        </w:rPr>
        <w:t>prima facie</w:t>
      </w:r>
      <w:r>
        <w:t xml:space="preserve"> order passed by the CCI was without considering the material submitted by the IDOs. In this behalf </w:t>
      </w:r>
      <w:r>
        <w:t>it was argued that the IDOs had provided sufficient POIs and given ample proof thereof, which was not taken into consideration by the CCI while passing the impugned order under Section 26(1) of the Competition Act. This also becomes a valid ground to chall</w:t>
      </w:r>
      <w:r>
        <w:t>enge the order by filing writ petition under Article 226 of the Constitution of India.</w:t>
      </w:r>
    </w:p>
    <w:p w:rsidR="00884A28" w:rsidRDefault="00350526">
      <w:pPr>
        <w:pStyle w:val="Bodytext0"/>
        <w:numPr>
          <w:ilvl w:val="0"/>
          <w:numId w:val="1"/>
        </w:numPr>
        <w:shd w:val="clear" w:color="auto" w:fill="auto"/>
        <w:tabs>
          <w:tab w:val="left" w:pos="759"/>
        </w:tabs>
        <w:spacing w:before="0"/>
        <w:ind w:left="740" w:right="20" w:hanging="720"/>
      </w:pPr>
      <w:r>
        <w:t xml:space="preserve">Insofar as the argument of the respondents that the TRAI Act is a complete code and the jurisdiction of CCI is totally ousted, the argument proceeded on the following </w:t>
      </w:r>
      <w:r>
        <w:t>basis:</w:t>
      </w:r>
    </w:p>
    <w:p w:rsidR="00884A28" w:rsidRDefault="00350526">
      <w:pPr>
        <w:pStyle w:val="Bodytext0"/>
        <w:shd w:val="clear" w:color="auto" w:fill="auto"/>
        <w:spacing w:before="0"/>
        <w:ind w:left="20" w:right="20" w:firstLine="680"/>
      </w:pPr>
      <w:r>
        <w:t xml:space="preserve">The real issue which arises is comparison of two regimes - one regulated by TRAI under the Indian Telegraph Act, 1885, Wireless Telegraphy Act, 1933 and the TRAI Act, 1997 which together forms a comprehensive and complete code; and the other being </w:t>
      </w:r>
      <w:r>
        <w:t xml:space="preserve">CCI under the Competition Act. The various provisions under these legislations seen with the terms of the License Agreement show that the issues arising out of interconnection between different operators shall be determined within the overall framework of </w:t>
      </w:r>
      <w:r>
        <w:t>the interconnection regulations/directions/orders issued by TRAI from time to time. The Object and Reasons of the TRAI Act itself lays down that it is mandated to make arrangements for protection and promotion of consumer interest and ensuring fair competi</w:t>
      </w:r>
      <w:r>
        <w:t>tion and to ensure orderly and healthy growth of telecommunication infrastructure. Moreover, the competition in the telecom sector is of a different kind as it has to function under the constant monitoring and regulation of TRAI. TRAI effectively plays the</w:t>
      </w:r>
      <w:r>
        <w:t xml:space="preserve"> role of a watchdog of the sector as otherwise the entire sector would collapse if there is no interdependence between the telecom operators. Moreover, under Section 11(1)(a)(iv) of the TRAI Act, the authority is required to take measures to facilitate com</w:t>
      </w:r>
      <w:r>
        <w:t>petition in the market. CCI can ensure competition only in an unregulated sector and not</w:t>
      </w:r>
    </w:p>
    <w:p w:rsidR="00884A28" w:rsidRDefault="00350526">
      <w:pPr>
        <w:pStyle w:val="Bodytext0"/>
        <w:shd w:val="clear" w:color="auto" w:fill="auto"/>
        <w:spacing w:before="0" w:after="623"/>
        <w:ind w:left="740" w:right="20" w:firstLine="0"/>
      </w:pPr>
      <w:r>
        <w:t>in the likes of the telecom sector wherein even the tariffs are capped/determined by TRAI.</w:t>
      </w:r>
    </w:p>
    <w:p w:rsidR="00884A28" w:rsidRDefault="00350526">
      <w:pPr>
        <w:pStyle w:val="Bodytext0"/>
        <w:numPr>
          <w:ilvl w:val="0"/>
          <w:numId w:val="1"/>
        </w:numPr>
        <w:shd w:val="clear" w:color="auto" w:fill="auto"/>
        <w:tabs>
          <w:tab w:val="left" w:pos="730"/>
        </w:tabs>
        <w:spacing w:before="0" w:after="326" w:line="240" w:lineRule="exact"/>
        <w:ind w:firstLine="0"/>
      </w:pPr>
      <w:r>
        <w:t>On the aforesaid basis, the submission was that:</w:t>
      </w:r>
    </w:p>
    <w:p w:rsidR="00884A28" w:rsidRDefault="00350526">
      <w:pPr>
        <w:pStyle w:val="Bodytext0"/>
        <w:numPr>
          <w:ilvl w:val="0"/>
          <w:numId w:val="16"/>
        </w:numPr>
        <w:shd w:val="clear" w:color="auto" w:fill="auto"/>
        <w:spacing w:before="0" w:after="4" w:line="240" w:lineRule="exact"/>
        <w:ind w:left="740" w:firstLine="0"/>
      </w:pPr>
      <w:r>
        <w:t xml:space="preserve"> The TRAI Act is a complete</w:t>
      </w:r>
      <w:r>
        <w:t xml:space="preserve"> code.</w:t>
      </w:r>
    </w:p>
    <w:p w:rsidR="00884A28" w:rsidRDefault="00350526">
      <w:pPr>
        <w:pStyle w:val="Bodytext0"/>
        <w:numPr>
          <w:ilvl w:val="0"/>
          <w:numId w:val="16"/>
        </w:numPr>
        <w:shd w:val="clear" w:color="auto" w:fill="auto"/>
        <w:spacing w:before="0"/>
        <w:ind w:left="740" w:right="20" w:firstLine="0"/>
      </w:pPr>
      <w:r>
        <w:t xml:space="preserve"> Exclusive jurisdiction vests in TRAI to regulate the telecom sector including competition related issues.</w:t>
      </w:r>
    </w:p>
    <w:p w:rsidR="00884A28" w:rsidRDefault="00350526">
      <w:pPr>
        <w:pStyle w:val="Bodytext0"/>
        <w:numPr>
          <w:ilvl w:val="0"/>
          <w:numId w:val="16"/>
        </w:numPr>
        <w:shd w:val="clear" w:color="auto" w:fill="auto"/>
        <w:spacing w:before="0"/>
        <w:ind w:left="740" w:right="20" w:firstLine="0"/>
      </w:pPr>
      <w:r>
        <w:t xml:space="preserve"> The TDSAT has the exclusive jurisdiction to examine the disputes between licensees including the one raised by RJIL before CCI.</w:t>
      </w:r>
    </w:p>
    <w:p w:rsidR="00884A28" w:rsidRDefault="00350526">
      <w:pPr>
        <w:pStyle w:val="Bodytext0"/>
        <w:numPr>
          <w:ilvl w:val="0"/>
          <w:numId w:val="16"/>
        </w:numPr>
        <w:shd w:val="clear" w:color="auto" w:fill="auto"/>
        <w:spacing w:before="0" w:after="300"/>
        <w:ind w:left="740" w:right="20" w:firstLine="0"/>
      </w:pPr>
      <w:r>
        <w:t xml:space="preserve"> CCI has no jurisdiction to decide disputes pertaining to the telecom sector.</w:t>
      </w:r>
    </w:p>
    <w:p w:rsidR="00884A28" w:rsidRDefault="00350526">
      <w:pPr>
        <w:pStyle w:val="Bodytext0"/>
        <w:shd w:val="clear" w:color="auto" w:fill="auto"/>
        <w:spacing w:before="0"/>
        <w:ind w:left="740" w:right="20" w:firstLine="700"/>
      </w:pPr>
      <w:r>
        <w:t>In this hue it was submitted that the Statement of Objects and Reasons of the TRAI Act made it abundantly clear by satisfying that TRAI was supposed to make "arrangements for pro</w:t>
      </w:r>
      <w:r>
        <w:t>tection and promotion of consumer interest and ensuring fair competition...". It was, thus, clear that even the competition aspects of the telecom sector were within the domain of TRAI. The respondents also drew comparison of the Preamble of the Competitio</w:t>
      </w:r>
      <w:r>
        <w:t>n Act with that of the TRAI Act to point out that insofar as dealing with the issue of fair competition in telecom sector is</w:t>
      </w:r>
    </w:p>
    <w:p w:rsidR="00884A28" w:rsidRDefault="00350526">
      <w:pPr>
        <w:pStyle w:val="Bodytext0"/>
        <w:shd w:val="clear" w:color="auto" w:fill="auto"/>
        <w:spacing w:before="0" w:after="334" w:line="240" w:lineRule="exact"/>
        <w:ind w:left="740" w:firstLine="0"/>
        <w:jc w:val="left"/>
      </w:pPr>
      <w:r>
        <w:t>concerned, it was overlapping to a great extent in the following</w:t>
      </w:r>
    </w:p>
    <w:p w:rsidR="00884A28" w:rsidRDefault="00350526">
      <w:pPr>
        <w:pStyle w:val="Bodytext0"/>
        <w:shd w:val="clear" w:color="auto" w:fill="auto"/>
        <w:spacing w:before="0" w:after="252" w:line="240" w:lineRule="exact"/>
        <w:ind w:left="740" w:firstLine="0"/>
        <w:jc w:val="left"/>
      </w:pPr>
      <w:r>
        <w:t>manner:</w:t>
      </w:r>
    </w:p>
    <w:tbl>
      <w:tblPr>
        <w:tblOverlap w:val="never"/>
        <w:tblW w:w="0" w:type="auto"/>
        <w:jc w:val="right"/>
        <w:tblLayout w:type="fixed"/>
        <w:tblCellMar>
          <w:left w:w="10" w:type="dxa"/>
          <w:right w:w="10" w:type="dxa"/>
        </w:tblCellMar>
        <w:tblLook w:val="04A0"/>
      </w:tblPr>
      <w:tblGrid>
        <w:gridCol w:w="4430"/>
        <w:gridCol w:w="3730"/>
      </w:tblGrid>
      <w:tr w:rsidR="00884A28">
        <w:tblPrEx>
          <w:tblCellMar>
            <w:top w:w="0" w:type="dxa"/>
            <w:bottom w:w="0" w:type="dxa"/>
          </w:tblCellMar>
        </w:tblPrEx>
        <w:trPr>
          <w:trHeight w:hRule="exact" w:val="398"/>
          <w:jc w:val="right"/>
        </w:trPr>
        <w:tc>
          <w:tcPr>
            <w:tcW w:w="4430" w:type="dxa"/>
            <w:tcBorders>
              <w:top w:val="single" w:sz="4" w:space="0" w:color="auto"/>
              <w:left w:val="single" w:sz="4" w:space="0" w:color="auto"/>
            </w:tcBorders>
            <w:shd w:val="clear" w:color="auto" w:fill="FFFFFF"/>
            <w:vAlign w:val="bottom"/>
          </w:tcPr>
          <w:p w:rsidR="00884A28" w:rsidRDefault="00350526">
            <w:pPr>
              <w:pStyle w:val="Bodytext0"/>
              <w:framePr w:w="8160" w:wrap="notBeside" w:vAnchor="text" w:hAnchor="text" w:xAlign="right" w:y="1"/>
              <w:shd w:val="clear" w:color="auto" w:fill="auto"/>
              <w:spacing w:before="0" w:line="220" w:lineRule="exact"/>
              <w:ind w:firstLine="0"/>
              <w:jc w:val="center"/>
            </w:pPr>
            <w:r>
              <w:rPr>
                <w:rStyle w:val="Bodytext11pt"/>
              </w:rPr>
              <w:t>Competition Act</w:t>
            </w:r>
          </w:p>
        </w:tc>
        <w:tc>
          <w:tcPr>
            <w:tcW w:w="3730" w:type="dxa"/>
            <w:tcBorders>
              <w:top w:val="single" w:sz="4" w:space="0" w:color="auto"/>
              <w:left w:val="single" w:sz="4" w:space="0" w:color="auto"/>
              <w:right w:val="single" w:sz="4" w:space="0" w:color="auto"/>
            </w:tcBorders>
            <w:shd w:val="clear" w:color="auto" w:fill="FFFFFF"/>
            <w:vAlign w:val="bottom"/>
          </w:tcPr>
          <w:p w:rsidR="00884A28" w:rsidRDefault="00350526">
            <w:pPr>
              <w:pStyle w:val="Bodytext0"/>
              <w:framePr w:w="8160" w:wrap="notBeside" w:vAnchor="text" w:hAnchor="text" w:xAlign="right" w:y="1"/>
              <w:shd w:val="clear" w:color="auto" w:fill="auto"/>
              <w:spacing w:before="0" w:line="220" w:lineRule="exact"/>
              <w:ind w:firstLine="0"/>
              <w:jc w:val="center"/>
            </w:pPr>
            <w:r>
              <w:rPr>
                <w:rStyle w:val="Bodytext11pt"/>
              </w:rPr>
              <w:t>TRAI Act</w:t>
            </w:r>
          </w:p>
        </w:tc>
      </w:tr>
      <w:tr w:rsidR="00884A28">
        <w:tblPrEx>
          <w:tblCellMar>
            <w:top w:w="0" w:type="dxa"/>
            <w:bottom w:w="0" w:type="dxa"/>
          </w:tblCellMar>
        </w:tblPrEx>
        <w:trPr>
          <w:trHeight w:hRule="exact" w:val="7018"/>
          <w:jc w:val="right"/>
        </w:trPr>
        <w:tc>
          <w:tcPr>
            <w:tcW w:w="4430" w:type="dxa"/>
            <w:tcBorders>
              <w:top w:val="single" w:sz="4" w:space="0" w:color="auto"/>
              <w:left w:val="single" w:sz="4" w:space="0" w:color="auto"/>
              <w:bottom w:val="single" w:sz="4" w:space="0" w:color="auto"/>
            </w:tcBorders>
            <w:shd w:val="clear" w:color="auto" w:fill="FFFFFF"/>
          </w:tcPr>
          <w:p w:rsidR="00884A28" w:rsidRDefault="00350526">
            <w:pPr>
              <w:pStyle w:val="Bodytext0"/>
              <w:framePr w:w="8160" w:wrap="notBeside" w:vAnchor="text" w:hAnchor="text" w:xAlign="right" w:y="1"/>
              <w:shd w:val="clear" w:color="auto" w:fill="auto"/>
              <w:spacing w:before="0" w:after="780" w:line="278" w:lineRule="exact"/>
              <w:ind w:firstLine="0"/>
            </w:pPr>
            <w:r>
              <w:rPr>
                <w:rStyle w:val="Bodytext105pt"/>
              </w:rPr>
              <w:t xml:space="preserve">An Act to provide, keeping in </w:t>
            </w:r>
            <w:r>
              <w:rPr>
                <w:rStyle w:val="Bodytext105pt"/>
              </w:rPr>
              <w:t>view the economic development of the country, for the establishment of a Commission to</w:t>
            </w:r>
          </w:p>
          <w:p w:rsidR="00884A28" w:rsidRDefault="00350526">
            <w:pPr>
              <w:pStyle w:val="Bodytext0"/>
              <w:framePr w:w="8160" w:wrap="notBeside" w:vAnchor="text" w:hAnchor="text" w:xAlign="right" w:y="1"/>
              <w:shd w:val="clear" w:color="auto" w:fill="auto"/>
              <w:spacing w:before="780" w:after="240" w:line="274" w:lineRule="exact"/>
              <w:ind w:firstLine="0"/>
            </w:pPr>
            <w:r>
              <w:rPr>
                <w:rStyle w:val="Bodytext105pt"/>
              </w:rPr>
              <w:t>“prevent practices having adverse effect on competition</w:t>
            </w:r>
          </w:p>
          <w:p w:rsidR="00884A28" w:rsidRDefault="00350526">
            <w:pPr>
              <w:pStyle w:val="Bodytext0"/>
              <w:framePr w:w="8160" w:wrap="notBeside" w:vAnchor="text" w:hAnchor="text" w:xAlign="right" w:y="1"/>
              <w:shd w:val="clear" w:color="auto" w:fill="auto"/>
              <w:spacing w:before="240" w:after="780" w:line="278" w:lineRule="exact"/>
              <w:ind w:firstLine="0"/>
            </w:pPr>
            <w:r>
              <w:rPr>
                <w:rStyle w:val="Bodytext105pt"/>
              </w:rPr>
              <w:t>to promote and sustain competition in markets</w:t>
            </w:r>
          </w:p>
          <w:p w:rsidR="00884A28" w:rsidRDefault="00350526">
            <w:pPr>
              <w:pStyle w:val="Bodytext0"/>
              <w:framePr w:w="8160" w:wrap="notBeside" w:vAnchor="text" w:hAnchor="text" w:xAlign="right" w:y="1"/>
              <w:shd w:val="clear" w:color="auto" w:fill="auto"/>
              <w:spacing w:before="780" w:after="900" w:line="210" w:lineRule="exact"/>
              <w:ind w:firstLine="0"/>
            </w:pPr>
            <w:r>
              <w:rPr>
                <w:rStyle w:val="Bodytext105pt"/>
              </w:rPr>
              <w:t>to protect interests of consumers and</w:t>
            </w:r>
          </w:p>
          <w:p w:rsidR="00884A28" w:rsidRDefault="00350526">
            <w:pPr>
              <w:pStyle w:val="Bodytext0"/>
              <w:framePr w:w="8160" w:wrap="notBeside" w:vAnchor="text" w:hAnchor="text" w:xAlign="right" w:y="1"/>
              <w:shd w:val="clear" w:color="auto" w:fill="auto"/>
              <w:spacing w:before="900" w:after="240" w:line="274" w:lineRule="exact"/>
              <w:ind w:firstLine="0"/>
            </w:pPr>
            <w:r>
              <w:rPr>
                <w:rStyle w:val="Bodytext105pt"/>
              </w:rPr>
              <w:t xml:space="preserve">to ensure freedom of trade </w:t>
            </w:r>
            <w:r>
              <w:rPr>
                <w:rStyle w:val="Bodytext105pt"/>
              </w:rPr>
              <w:t>carried on by other participants in the markets, in India</w:t>
            </w:r>
          </w:p>
          <w:p w:rsidR="00884A28" w:rsidRDefault="00350526">
            <w:pPr>
              <w:pStyle w:val="Bodytext0"/>
              <w:framePr w:w="8160" w:wrap="notBeside" w:vAnchor="text" w:hAnchor="text" w:xAlign="right" w:y="1"/>
              <w:shd w:val="clear" w:color="auto" w:fill="auto"/>
              <w:spacing w:before="240" w:line="274" w:lineRule="exact"/>
              <w:ind w:firstLine="0"/>
            </w:pPr>
            <w:r>
              <w:rPr>
                <w:rStyle w:val="Bodytext105pt"/>
              </w:rPr>
              <w:t>for matters connected therewith or incidental thereto”</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884A28" w:rsidRDefault="00350526">
            <w:pPr>
              <w:pStyle w:val="Bodytext0"/>
              <w:framePr w:w="8160" w:wrap="notBeside" w:vAnchor="text" w:hAnchor="text" w:xAlign="right" w:y="1"/>
              <w:shd w:val="clear" w:color="auto" w:fill="auto"/>
              <w:spacing w:before="0" w:after="240" w:line="274" w:lineRule="exact"/>
              <w:ind w:firstLine="0"/>
            </w:pPr>
            <w:r>
              <w:rPr>
                <w:rStyle w:val="Bodytext105pt"/>
              </w:rPr>
              <w:t xml:space="preserve">An Act to provide for the establishment of the Telecom Regulatory Authority of India and the Telecom Dispute Settlement and Appellate Tribunal </w:t>
            </w:r>
            <w:r>
              <w:rPr>
                <w:rStyle w:val="Bodytext105pt"/>
              </w:rPr>
              <w:t>(“TDSAT”) to</w:t>
            </w:r>
          </w:p>
          <w:p w:rsidR="00884A28" w:rsidRDefault="00350526">
            <w:pPr>
              <w:pStyle w:val="Bodytext0"/>
              <w:framePr w:w="8160" w:wrap="notBeside" w:vAnchor="text" w:hAnchor="text" w:xAlign="right" w:y="1"/>
              <w:shd w:val="clear" w:color="auto" w:fill="auto"/>
              <w:spacing w:before="240" w:after="540" w:line="210" w:lineRule="exact"/>
              <w:ind w:firstLine="0"/>
            </w:pPr>
            <w:r>
              <w:rPr>
                <w:rStyle w:val="Bodytext105pt"/>
              </w:rPr>
              <w:t>[-]</w:t>
            </w:r>
          </w:p>
          <w:p w:rsidR="00884A28" w:rsidRDefault="00350526">
            <w:pPr>
              <w:pStyle w:val="Bodytext0"/>
              <w:framePr w:w="8160" w:wrap="notBeside" w:vAnchor="text" w:hAnchor="text" w:xAlign="right" w:y="1"/>
              <w:shd w:val="clear" w:color="auto" w:fill="auto"/>
              <w:spacing w:before="540" w:after="240" w:line="274" w:lineRule="exact"/>
              <w:ind w:firstLine="0"/>
            </w:pPr>
            <w:r>
              <w:rPr>
                <w:rStyle w:val="Bodytext105pt"/>
              </w:rPr>
              <w:t>[for protection and promotion of consumer interest and ensuring fair competition (Statement of Object and Reasons)]</w:t>
            </w:r>
          </w:p>
          <w:p w:rsidR="00884A28" w:rsidRDefault="00350526">
            <w:pPr>
              <w:pStyle w:val="Bodytext0"/>
              <w:framePr w:w="8160" w:wrap="notBeside" w:vAnchor="text" w:hAnchor="text" w:xAlign="right" w:y="1"/>
              <w:shd w:val="clear" w:color="auto" w:fill="auto"/>
              <w:spacing w:before="240" w:after="240" w:line="274" w:lineRule="exact"/>
              <w:ind w:firstLine="0"/>
            </w:pPr>
            <w:r>
              <w:rPr>
                <w:rStyle w:val="Bodytext105pt"/>
              </w:rPr>
              <w:t>to protect the interest of the service providers and consumers of the telecom sector (Preamble)</w:t>
            </w:r>
          </w:p>
          <w:p w:rsidR="00884A28" w:rsidRDefault="00350526">
            <w:pPr>
              <w:pStyle w:val="Bodytext0"/>
              <w:framePr w:w="8160" w:wrap="notBeside" w:vAnchor="text" w:hAnchor="text" w:xAlign="right" w:y="1"/>
              <w:shd w:val="clear" w:color="auto" w:fill="auto"/>
              <w:spacing w:before="240" w:after="540" w:line="274" w:lineRule="exact"/>
              <w:ind w:firstLine="0"/>
            </w:pPr>
            <w:r>
              <w:rPr>
                <w:rStyle w:val="Bodytext105pt"/>
              </w:rPr>
              <w:t xml:space="preserve">to promote and ensure </w:t>
            </w:r>
            <w:r>
              <w:rPr>
                <w:rStyle w:val="Bodytext105pt"/>
              </w:rPr>
              <w:t>orderly growth of the telecom sectoral</w:t>
            </w:r>
          </w:p>
          <w:p w:rsidR="00884A28" w:rsidRDefault="00350526">
            <w:pPr>
              <w:pStyle w:val="Bodytext0"/>
              <w:framePr w:w="8160" w:wrap="notBeside" w:vAnchor="text" w:hAnchor="text" w:xAlign="right" w:y="1"/>
              <w:shd w:val="clear" w:color="auto" w:fill="auto"/>
              <w:spacing w:before="540" w:line="274" w:lineRule="exact"/>
              <w:ind w:firstLine="0"/>
            </w:pPr>
            <w:r>
              <w:rPr>
                <w:rStyle w:val="Bodytext105pt"/>
              </w:rPr>
              <w:t>For matters connected therewith and incidental thereto</w:t>
            </w:r>
          </w:p>
        </w:tc>
      </w:tr>
    </w:tbl>
    <w:p w:rsidR="00884A28" w:rsidRDefault="00884A28">
      <w:pPr>
        <w:rPr>
          <w:sz w:val="2"/>
          <w:szCs w:val="2"/>
        </w:rPr>
      </w:pPr>
    </w:p>
    <w:p w:rsidR="00884A28" w:rsidRDefault="00350526">
      <w:pPr>
        <w:pStyle w:val="Bodytext0"/>
        <w:numPr>
          <w:ilvl w:val="0"/>
          <w:numId w:val="1"/>
        </w:numPr>
        <w:shd w:val="clear" w:color="auto" w:fill="auto"/>
        <w:tabs>
          <w:tab w:val="left" w:pos="739"/>
        </w:tabs>
        <w:spacing w:before="352" w:after="300"/>
        <w:ind w:left="740" w:right="40"/>
      </w:pPr>
      <w:r>
        <w:t xml:space="preserve">It was submitted that pursuant to Section 11(1)(a)(iv) read with Section 11(1)(b)(ii), (iii), (iv) of the TRAI Act (including directions and regulations issued </w:t>
      </w:r>
      <w:r>
        <w:t>by TRAI), the TRAI has been statutorily mandated to perform functions on a variety of matters including measures aimed at facilitating competition and regulated interconnection between service providers. Reliance was also placed on Section 12 of the TRAI A</w:t>
      </w:r>
      <w:r>
        <w:t>ct which empowers TRAI with vast powers to discharge its functions, including to call for information, conduct investigations and issue such necessary directions as it may deem necessary for the discharge of its functions. Moreover, TRAI has also been empo</w:t>
      </w:r>
      <w:r>
        <w:t xml:space="preserve">wered to issue appropriate directions under Section 12 and make regulations under Section 36 of the TRAI Act. Section 29 of the TRAI Act provides for penalties for contravention of directions of the TRAI. Further, under Section 14A of the TRAI Act, it has </w:t>
      </w:r>
      <w:r>
        <w:t>been provided that any person may make an application before the TDSAT. With regard to the jurisdiction, Section 15 and 27 of the TRAI Act provide for explicit bar on jurisdiction of the civil courts to determine any matter with regard to which TDSAT or TR</w:t>
      </w:r>
      <w:r>
        <w:t>AI have been empowered by or under the TRAI Act.</w:t>
      </w:r>
    </w:p>
    <w:p w:rsidR="00884A28" w:rsidRDefault="00350526">
      <w:pPr>
        <w:pStyle w:val="Bodytext0"/>
        <w:numPr>
          <w:ilvl w:val="0"/>
          <w:numId w:val="1"/>
        </w:numPr>
        <w:shd w:val="clear" w:color="auto" w:fill="auto"/>
        <w:tabs>
          <w:tab w:val="left" w:pos="734"/>
        </w:tabs>
        <w:spacing w:before="0" w:after="300"/>
        <w:ind w:left="720" w:right="20" w:hanging="720"/>
      </w:pPr>
      <w:r>
        <w:t xml:space="preserve">It was submitted that in the present case, at the time RJIL filed its Information before the CCI on November 08, 2016 as also when the </w:t>
      </w:r>
      <w:r>
        <w:rPr>
          <w:rStyle w:val="BodytextItalic"/>
        </w:rPr>
        <w:t>prima facie</w:t>
      </w:r>
      <w:r>
        <w:t xml:space="preserve"> order was passed on April 21, 2017, TRAI was seized of the m</w:t>
      </w:r>
      <w:r>
        <w:t xml:space="preserve">atter pertaining to provisioning of POIs and even made certain recommendations to the DoT on October 21, 2016. Accordingly, TRAI had assumed jurisdiction and was exercising the same. Thus, the dispute was being dealt with and was addressed by the TRAI and </w:t>
      </w:r>
      <w:r>
        <w:t>even on this ground, the jurisdiction of the CCI stands ousted.</w:t>
      </w:r>
    </w:p>
    <w:p w:rsidR="00884A28" w:rsidRDefault="00350526">
      <w:pPr>
        <w:pStyle w:val="Bodytext0"/>
        <w:numPr>
          <w:ilvl w:val="0"/>
          <w:numId w:val="1"/>
        </w:numPr>
        <w:shd w:val="clear" w:color="auto" w:fill="auto"/>
        <w:tabs>
          <w:tab w:val="left" w:pos="715"/>
        </w:tabs>
        <w:spacing w:before="0"/>
        <w:ind w:left="720" w:right="20" w:hanging="720"/>
      </w:pPr>
      <w:r>
        <w:t xml:space="preserve">The TDSAT has the exclusive jurisdiction to examine the disputes between licensees including the one raised by RJIL before CCI. This very submission on the exclusion of CCI’s jurisdiction was </w:t>
      </w:r>
      <w:r>
        <w:t>sought to be projected from another angle. It was submitted that in the Information filed by RJIL before the CCI, Reliance Jio stressed:</w:t>
      </w:r>
    </w:p>
    <w:p w:rsidR="00884A28" w:rsidRDefault="00350526">
      <w:pPr>
        <w:pStyle w:val="Bodytext0"/>
        <w:numPr>
          <w:ilvl w:val="0"/>
          <w:numId w:val="17"/>
        </w:numPr>
        <w:shd w:val="clear" w:color="auto" w:fill="auto"/>
        <w:spacing w:before="0"/>
        <w:ind w:left="720" w:right="20" w:firstLine="0"/>
      </w:pPr>
      <w:r>
        <w:t xml:space="preserve"> The dispute raised by RJIL before the CCI pertains to the specific performance of the Interconnect Agreement and the rights and liabilities arising therefrom;</w:t>
      </w:r>
    </w:p>
    <w:p w:rsidR="00884A28" w:rsidRDefault="00350526">
      <w:pPr>
        <w:pStyle w:val="Bodytext0"/>
        <w:numPr>
          <w:ilvl w:val="0"/>
          <w:numId w:val="17"/>
        </w:numPr>
        <w:shd w:val="clear" w:color="auto" w:fill="auto"/>
        <w:spacing w:before="0"/>
        <w:ind w:left="720" w:right="20" w:firstLine="0"/>
      </w:pPr>
      <w:r>
        <w:t xml:space="preserve"> The Interconnect Agreement is completely regulated by the TRAI </w:t>
      </w:r>
      <w:r>
        <w:rPr>
          <w:rStyle w:val="BodytextItalic"/>
        </w:rPr>
        <w:t>inter alia</w:t>
      </w:r>
      <w:r>
        <w:t xml:space="preserve"> under Section 11(1)(b</w:t>
      </w:r>
      <w:r>
        <w:t>)(ii), (iii), (iv) of the TRAI Act read with the Quality of Service Regulations, 2009 issued thereunder.</w:t>
      </w:r>
    </w:p>
    <w:p w:rsidR="00884A28" w:rsidRDefault="00350526">
      <w:pPr>
        <w:pStyle w:val="Bodytext0"/>
        <w:shd w:val="clear" w:color="auto" w:fill="auto"/>
        <w:spacing w:before="0"/>
        <w:ind w:left="720" w:right="20" w:firstLine="680"/>
      </w:pPr>
      <w:r>
        <w:t>The argument was that the prayers sought by RJIL in the Information filed before the CCI clearly demonstrate that RJIL was seeking specific performance</w:t>
      </w:r>
      <w:r>
        <w:t xml:space="preserve"> of the Interconnect Agreement. Hence, RJIL has dressed up what is essentially a contractual complaint into anti-competition clothing. In the present dispute, upon a meaningful reading of the Information it can clearly be</w:t>
      </w:r>
    </w:p>
    <w:p w:rsidR="00884A28" w:rsidRDefault="00350526">
      <w:pPr>
        <w:pStyle w:val="Bodytext0"/>
        <w:shd w:val="clear" w:color="auto" w:fill="auto"/>
        <w:spacing w:before="0" w:after="4" w:line="240" w:lineRule="exact"/>
        <w:ind w:left="720" w:firstLine="0"/>
        <w:jc w:val="left"/>
      </w:pPr>
      <w:r>
        <w:t>seen that through clever drafting,</w:t>
      </w:r>
      <w:r>
        <w:t xml:space="preserve"> RJIL has dressed up the</w:t>
      </w:r>
    </w:p>
    <w:p w:rsidR="00884A28" w:rsidRDefault="00350526">
      <w:pPr>
        <w:pStyle w:val="Bodytext0"/>
        <w:shd w:val="clear" w:color="auto" w:fill="auto"/>
        <w:spacing w:before="0"/>
        <w:ind w:left="720" w:firstLine="0"/>
        <w:jc w:val="left"/>
      </w:pPr>
      <w:r>
        <w:t>allegations of delay/denial of the POIs as alleged anti-competitive</w:t>
      </w:r>
    </w:p>
    <w:p w:rsidR="00884A28" w:rsidRDefault="00350526">
      <w:pPr>
        <w:pStyle w:val="Bodytext0"/>
        <w:shd w:val="clear" w:color="auto" w:fill="auto"/>
        <w:spacing w:before="0"/>
        <w:ind w:left="720" w:firstLine="0"/>
        <w:jc w:val="left"/>
      </w:pPr>
      <w:r>
        <w:t>behaviour. In this behalf, reliance was placed on the decision of</w:t>
      </w:r>
    </w:p>
    <w:p w:rsidR="00884A28" w:rsidRDefault="00350526">
      <w:pPr>
        <w:pStyle w:val="Bodytext30"/>
        <w:shd w:val="clear" w:color="auto" w:fill="auto"/>
        <w:spacing w:line="643" w:lineRule="exact"/>
        <w:ind w:left="720" w:firstLine="0"/>
        <w:jc w:val="left"/>
      </w:pPr>
      <w:r>
        <w:rPr>
          <w:rStyle w:val="Bodytext3NotItalic0"/>
        </w:rPr>
        <w:t xml:space="preserve">this Court in </w:t>
      </w:r>
      <w:r>
        <w:t>Begum Sabiha Sultan</w:t>
      </w:r>
      <w:r>
        <w:rPr>
          <w:rStyle w:val="Bodytext3NotItalic0"/>
        </w:rPr>
        <w:t xml:space="preserve"> v. </w:t>
      </w:r>
      <w:r>
        <w:t>Nawab Mohd. Mansur Ali</w:t>
      </w:r>
    </w:p>
    <w:p w:rsidR="00884A28" w:rsidRDefault="00350526">
      <w:pPr>
        <w:pStyle w:val="Bodytext0"/>
        <w:shd w:val="clear" w:color="auto" w:fill="auto"/>
        <w:spacing w:before="0"/>
        <w:ind w:left="720" w:firstLine="0"/>
        <w:jc w:val="left"/>
      </w:pPr>
      <w:r>
        <w:rPr>
          <w:rStyle w:val="BodytextItalic"/>
        </w:rPr>
        <w:t>Khan &amp; Ors.</w:t>
      </w:r>
      <w:hyperlink w:anchor="bookmark8" w:tooltip="Current Document">
        <w:r>
          <w:rPr>
            <w:rStyle w:val="BodytextItalic"/>
            <w:vertAlign w:val="superscript"/>
          </w:rPr>
          <w:footnoteReference w:id="10"/>
        </w:r>
      </w:hyperlink>
      <w:r>
        <w:rPr>
          <w:rStyle w:val="BodytextItalic"/>
        </w:rPr>
        <w:t>,</w:t>
      </w:r>
      <w:r>
        <w:t xml:space="preserve"> wherein it was held:</w:t>
      </w:r>
    </w:p>
    <w:p w:rsidR="00884A28" w:rsidRDefault="00350526">
      <w:pPr>
        <w:pStyle w:val="Bodytext0"/>
        <w:shd w:val="clear" w:color="auto" w:fill="auto"/>
        <w:spacing w:before="0" w:after="236" w:line="298" w:lineRule="exact"/>
        <w:ind w:left="1420" w:right="680" w:firstLine="0"/>
      </w:pPr>
      <w:r>
        <w:t>"10. There is no doubt that at the stage of consideration of the return of the plaint under Order 7 Rule 10 of the Code, what is to be looked into is the plaint and the averments the</w:t>
      </w:r>
      <w:r>
        <w:t xml:space="preserve">rein. At the same time, it is also necessary to read the plaint in a meaningful manner to find out the real intention behind the suit. In </w:t>
      </w:r>
      <w:r>
        <w:rPr>
          <w:rStyle w:val="BodytextItalic"/>
        </w:rPr>
        <w:t>Moolji Jaitha and Co.</w:t>
      </w:r>
      <w:r>
        <w:t xml:space="preserve"> v. </w:t>
      </w:r>
      <w:r>
        <w:rPr>
          <w:rStyle w:val="BodytextItalic"/>
        </w:rPr>
        <w:t>Khandesh Spg. and Wvg. Mills Co. Ltd.</w:t>
      </w:r>
      <w:r>
        <w:t xml:space="preserve"> [AIR 1950 FC 83] the Federal Court observed that: (AIR </w:t>
      </w:r>
      <w:r>
        <w:t>p. 92, para 24)</w:t>
      </w:r>
    </w:p>
    <w:p w:rsidR="00884A28" w:rsidRDefault="00350526">
      <w:pPr>
        <w:pStyle w:val="Bodytext0"/>
        <w:shd w:val="clear" w:color="auto" w:fill="auto"/>
        <w:spacing w:before="0" w:after="290" w:line="302" w:lineRule="exact"/>
        <w:ind w:left="1700" w:right="1020" w:firstLine="0"/>
      </w:pPr>
      <w:r>
        <w:t>“The nature of the suit and its purpose have to be determined by reading the plaint as a whole.”</w:t>
      </w:r>
    </w:p>
    <w:p w:rsidR="00884A28" w:rsidRDefault="00350526">
      <w:pPr>
        <w:pStyle w:val="Bodytext0"/>
        <w:shd w:val="clear" w:color="auto" w:fill="auto"/>
        <w:spacing w:before="0" w:after="266" w:line="240" w:lineRule="exact"/>
        <w:ind w:left="1420" w:firstLine="0"/>
      </w:pPr>
      <w:r>
        <w:t>It was further observed: (AIR p. 92, para 25)</w:t>
      </w:r>
    </w:p>
    <w:p w:rsidR="00884A28" w:rsidRDefault="00350526">
      <w:pPr>
        <w:pStyle w:val="Bodytext0"/>
        <w:shd w:val="clear" w:color="auto" w:fill="auto"/>
        <w:spacing w:before="0" w:after="286" w:line="298" w:lineRule="exact"/>
        <w:ind w:left="1700" w:right="1020" w:firstLine="0"/>
      </w:pPr>
      <w:r>
        <w:t xml:space="preserve">“The inclusion or absence of a prayer is not decisive of the true nature of the suit, nor is the </w:t>
      </w:r>
      <w:r>
        <w:t>order in which the prayers are arrayed in the plaint. The substance or object of the suit has to be gathered from the averments made in the plaint and on which the reliefs asked in the prayers are based.”</w:t>
      </w:r>
    </w:p>
    <w:p w:rsidR="00884A28" w:rsidRDefault="00350526">
      <w:pPr>
        <w:pStyle w:val="Bodytext0"/>
        <w:shd w:val="clear" w:color="auto" w:fill="auto"/>
        <w:spacing w:before="0" w:after="266" w:line="240" w:lineRule="exact"/>
        <w:ind w:left="1420" w:firstLine="0"/>
      </w:pPr>
      <w:r>
        <w:t>It was further observed: (AIR p. 98, para 59)</w:t>
      </w:r>
    </w:p>
    <w:p w:rsidR="00884A28" w:rsidRDefault="00350526">
      <w:pPr>
        <w:pStyle w:val="Bodytext0"/>
        <w:shd w:val="clear" w:color="auto" w:fill="auto"/>
        <w:spacing w:before="0" w:after="324" w:line="298" w:lineRule="exact"/>
        <w:ind w:left="1700" w:right="1020" w:firstLine="0"/>
      </w:pPr>
      <w:r>
        <w:t>“It m</w:t>
      </w:r>
      <w:r>
        <w:t>ust be borne in mind that the function of a pleading is only to state material facts and it is for the court to determine the legal result of those facts and to mould the relief in accordance with that result.”</w:t>
      </w:r>
    </w:p>
    <w:p w:rsidR="00884A28" w:rsidRDefault="00350526">
      <w:pPr>
        <w:pStyle w:val="Bodytext0"/>
        <w:numPr>
          <w:ilvl w:val="0"/>
          <w:numId w:val="1"/>
        </w:numPr>
        <w:shd w:val="clear" w:color="auto" w:fill="auto"/>
        <w:tabs>
          <w:tab w:val="left" w:pos="734"/>
        </w:tabs>
        <w:spacing w:before="0"/>
        <w:ind w:left="720" w:right="20" w:hanging="720"/>
      </w:pPr>
      <w:r>
        <w:t>In support of the submission that a special l</w:t>
      </w:r>
      <w:r>
        <w:t>egislation i.e. the TRAI Act, will prevail over the provisions of the Competition Act, which according to the respondents is general in nature, reliance</w:t>
      </w:r>
    </w:p>
    <w:p w:rsidR="00884A28" w:rsidRDefault="00350526">
      <w:pPr>
        <w:pStyle w:val="Bodytext0"/>
        <w:shd w:val="clear" w:color="auto" w:fill="auto"/>
        <w:spacing w:before="0"/>
        <w:ind w:right="20" w:firstLine="0"/>
        <w:jc w:val="right"/>
      </w:pPr>
      <w:r>
        <w:t xml:space="preserve">has been placed on the decisions of this Court in </w:t>
      </w:r>
      <w:r>
        <w:rPr>
          <w:rStyle w:val="BodytextItalic"/>
        </w:rPr>
        <w:t>State of</w:t>
      </w:r>
    </w:p>
    <w:p w:rsidR="00884A28" w:rsidRDefault="00350526">
      <w:pPr>
        <w:pStyle w:val="Bodytext30"/>
        <w:shd w:val="clear" w:color="auto" w:fill="auto"/>
        <w:spacing w:line="643" w:lineRule="exact"/>
        <w:ind w:right="20" w:firstLine="0"/>
        <w:jc w:val="right"/>
      </w:pPr>
      <w:r>
        <w:t>Punjab</w:t>
      </w:r>
      <w:r>
        <w:rPr>
          <w:rStyle w:val="Bodytext3NotItalic0"/>
        </w:rPr>
        <w:t xml:space="preserve"> v. </w:t>
      </w:r>
      <w:r>
        <w:t>Labour Court, Jullundur &amp; Ors.</w:t>
      </w:r>
      <w:hyperlink w:anchor="bookmark9" w:tooltip="Current Document">
        <w:r>
          <w:rPr>
            <w:vertAlign w:val="superscript"/>
          </w:rPr>
          <w:footnoteReference w:id="11"/>
        </w:r>
      </w:hyperlink>
      <w:r>
        <w:t>.</w:t>
      </w:r>
      <w:r>
        <w:rPr>
          <w:rStyle w:val="Bodytext3NotItalic0"/>
        </w:rPr>
        <w:t xml:space="preserve"> In the said matter,</w:t>
      </w:r>
    </w:p>
    <w:p w:rsidR="00884A28" w:rsidRDefault="00350526">
      <w:pPr>
        <w:pStyle w:val="Bodytext0"/>
        <w:shd w:val="clear" w:color="auto" w:fill="auto"/>
        <w:spacing w:before="0"/>
        <w:ind w:right="20" w:firstLine="0"/>
        <w:jc w:val="right"/>
      </w:pPr>
      <w:r>
        <w:t xml:space="preserve">the Court was </w:t>
      </w:r>
      <w:r>
        <w:rPr>
          <w:rStyle w:val="BodytextItalic"/>
        </w:rPr>
        <w:t>inter alia</w:t>
      </w:r>
      <w:r>
        <w:t xml:space="preserve"> seized of the issue whether the</w:t>
      </w:r>
    </w:p>
    <w:p w:rsidR="00884A28" w:rsidRDefault="00350526">
      <w:pPr>
        <w:pStyle w:val="Bodytext0"/>
        <w:shd w:val="clear" w:color="auto" w:fill="auto"/>
        <w:spacing w:before="0"/>
        <w:ind w:right="20" w:firstLine="0"/>
        <w:jc w:val="right"/>
      </w:pPr>
      <w:r>
        <w:t>employee-respondents were at liberty to seek the payment of</w:t>
      </w:r>
    </w:p>
    <w:p w:rsidR="00884A28" w:rsidRDefault="00350526">
      <w:pPr>
        <w:pStyle w:val="Bodytext0"/>
        <w:shd w:val="clear" w:color="auto" w:fill="auto"/>
        <w:spacing w:before="0"/>
        <w:ind w:right="20" w:firstLine="0"/>
        <w:jc w:val="right"/>
      </w:pPr>
      <w:r>
        <w:t>gratuity by invoking the remedy available under Section 33-C(2)</w:t>
      </w:r>
    </w:p>
    <w:p w:rsidR="00884A28" w:rsidRDefault="00350526">
      <w:pPr>
        <w:pStyle w:val="Bodytext0"/>
        <w:shd w:val="clear" w:color="auto" w:fill="auto"/>
        <w:spacing w:before="0"/>
        <w:ind w:right="20" w:firstLine="0"/>
        <w:jc w:val="right"/>
      </w:pPr>
      <w:r>
        <w:t>of</w:t>
      </w:r>
      <w:r>
        <w:t xml:space="preserve"> the Industrial Disputes Act, 1947 as opposed to the Payment of</w:t>
      </w:r>
    </w:p>
    <w:p w:rsidR="00884A28" w:rsidRDefault="00350526">
      <w:pPr>
        <w:pStyle w:val="Bodytext0"/>
        <w:shd w:val="clear" w:color="auto" w:fill="auto"/>
        <w:spacing w:before="0"/>
        <w:ind w:right="240" w:firstLine="0"/>
        <w:jc w:val="right"/>
      </w:pPr>
      <w:r>
        <w:t>Gratuity Act, 1972. In deciding the said dispute, it was held that:</w:t>
      </w:r>
    </w:p>
    <w:p w:rsidR="00884A28" w:rsidRDefault="00350526">
      <w:pPr>
        <w:pStyle w:val="Bodytext0"/>
        <w:shd w:val="clear" w:color="auto" w:fill="auto"/>
        <w:spacing w:before="0" w:line="298" w:lineRule="exact"/>
        <w:ind w:left="1400" w:right="700" w:firstLine="0"/>
      </w:pPr>
      <w:r>
        <w:t xml:space="preserve">"7. </w:t>
      </w:r>
      <w:r>
        <w:rPr>
          <w:rStyle w:val="Bodytext1"/>
        </w:rPr>
        <w:t>It is apparent that the Payment of Gratuity Act enacts a</w:t>
      </w:r>
      <w:r>
        <w:t xml:space="preserve"> </w:t>
      </w:r>
      <w:r>
        <w:rPr>
          <w:rStyle w:val="Bodytext1"/>
        </w:rPr>
        <w:t>complete code containing detailed provisions covering all</w:t>
      </w:r>
      <w:r>
        <w:t xml:space="preserve"> </w:t>
      </w:r>
      <w:r>
        <w:rPr>
          <w:rStyle w:val="Bodytext1"/>
        </w:rPr>
        <w:t>the e</w:t>
      </w:r>
      <w:r>
        <w:rPr>
          <w:rStyle w:val="Bodytext1"/>
        </w:rPr>
        <w:t>ssential features of a scheme for payment of gratuity.</w:t>
      </w:r>
    </w:p>
    <w:p w:rsidR="00884A28" w:rsidRDefault="00350526">
      <w:pPr>
        <w:pStyle w:val="Bodytext0"/>
        <w:shd w:val="clear" w:color="auto" w:fill="auto"/>
        <w:spacing w:before="0" w:after="240" w:line="298" w:lineRule="exact"/>
        <w:ind w:left="1400" w:right="700" w:firstLine="0"/>
      </w:pPr>
      <w:r>
        <w:t>It creates the right of payment of gratuity, indicates when the right will accrue, and lays down the principles for quantification of the gratuity. It provides further for recovery of the amount, and c</w:t>
      </w:r>
      <w:r>
        <w:t>ontains an especial provision that compound interest at nine per cent per annum will be payable on delayed payment. For the enforcement of its provisions, the Act provides for the appointment of a controlling authority, who is entrusted with the task of ad</w:t>
      </w:r>
      <w:r>
        <w:t xml:space="preserve">ministering the Act. The fulfilment of the rights and obligations of the parties are made his responsibility, and he has been invested with an amplitude of power for the full discharge of that responsibility. Any error committed by him can be corrected in </w:t>
      </w:r>
      <w:r>
        <w:t>appeal by the appropriate Government or an Appellate Authority particularly constituted under the Act.</w:t>
      </w:r>
    </w:p>
    <w:p w:rsidR="00884A28" w:rsidRDefault="00350526">
      <w:pPr>
        <w:pStyle w:val="Bodytext0"/>
        <w:shd w:val="clear" w:color="auto" w:fill="auto"/>
        <w:spacing w:before="0" w:line="298" w:lineRule="exact"/>
        <w:ind w:left="1400" w:right="700" w:firstLine="0"/>
      </w:pPr>
      <w:r>
        <w:t xml:space="preserve">8. Upon all these considerations, </w:t>
      </w:r>
      <w:r>
        <w:rPr>
          <w:rStyle w:val="Bodytext1"/>
        </w:rPr>
        <w:t>the conclusion is</w:t>
      </w:r>
      <w:r>
        <w:t xml:space="preserve"> </w:t>
      </w:r>
      <w:r>
        <w:rPr>
          <w:rStyle w:val="Bodytext1"/>
        </w:rPr>
        <w:t>inescapable that Parliament intended that proceedings for</w:t>
      </w:r>
      <w:r>
        <w:t xml:space="preserve"> </w:t>
      </w:r>
      <w:r>
        <w:rPr>
          <w:rStyle w:val="Bodytext1"/>
        </w:rPr>
        <w:t>payment of gratuity due under the Payment o</w:t>
      </w:r>
      <w:r>
        <w:rPr>
          <w:rStyle w:val="Bodytext1"/>
        </w:rPr>
        <w:t>f Gratuity Act</w:t>
      </w:r>
      <w:r>
        <w:t xml:space="preserve"> </w:t>
      </w:r>
      <w:r>
        <w:rPr>
          <w:rStyle w:val="Bodytext1"/>
        </w:rPr>
        <w:t>must be taken under that Act and not under any other.</w:t>
      </w:r>
    </w:p>
    <w:p w:rsidR="00884A28" w:rsidRDefault="00350526">
      <w:pPr>
        <w:pStyle w:val="Bodytext0"/>
        <w:shd w:val="clear" w:color="auto" w:fill="auto"/>
        <w:spacing w:before="0" w:line="298" w:lineRule="exact"/>
        <w:ind w:left="1400" w:right="700" w:firstLine="0"/>
      </w:pPr>
      <w:r>
        <w:rPr>
          <w:rStyle w:val="Bodytext1"/>
        </w:rPr>
        <w:t>That being so, it must be held that the applications filed by</w:t>
      </w:r>
      <w:r>
        <w:t xml:space="preserve"> </w:t>
      </w:r>
      <w:r>
        <w:rPr>
          <w:rStyle w:val="Bodytext1"/>
        </w:rPr>
        <w:t>the employee respondents under Section 33-C(2) of the</w:t>
      </w:r>
      <w:r>
        <w:t xml:space="preserve"> </w:t>
      </w:r>
      <w:r>
        <w:rPr>
          <w:rStyle w:val="Bodytext1"/>
        </w:rPr>
        <w:t>Industrial Disputes Act did not lie, and the Labour Court</w:t>
      </w:r>
      <w:r>
        <w:t xml:space="preserve"> </w:t>
      </w:r>
      <w:r>
        <w:rPr>
          <w:rStyle w:val="Bodytext1"/>
        </w:rPr>
        <w:t xml:space="preserve">had no </w:t>
      </w:r>
      <w:r>
        <w:rPr>
          <w:rStyle w:val="Bodytext1"/>
        </w:rPr>
        <w:t>jurisdiction to entertain and dispose of them. On</w:t>
      </w:r>
      <w:r>
        <w:t xml:space="preserve"> </w:t>
      </w:r>
      <w:r>
        <w:rPr>
          <w:rStyle w:val="Bodytext1"/>
        </w:rPr>
        <w:t>that ground, this appeal must succeed.</w:t>
      </w:r>
      <w:r>
        <w:t>”</w:t>
      </w:r>
    </w:p>
    <w:p w:rsidR="00884A28" w:rsidRDefault="00350526">
      <w:pPr>
        <w:pStyle w:val="Bodytext0"/>
        <w:shd w:val="clear" w:color="auto" w:fill="auto"/>
        <w:spacing w:before="0" w:line="298" w:lineRule="exact"/>
        <w:ind w:left="5860" w:firstLine="0"/>
        <w:jc w:val="left"/>
      </w:pPr>
      <w:r>
        <w:t>(emphasis supplied)</w:t>
      </w:r>
    </w:p>
    <w:p w:rsidR="00884A28" w:rsidRDefault="00350526">
      <w:pPr>
        <w:pStyle w:val="Bodytext0"/>
        <w:numPr>
          <w:ilvl w:val="0"/>
          <w:numId w:val="1"/>
        </w:numPr>
        <w:shd w:val="clear" w:color="auto" w:fill="auto"/>
        <w:spacing w:before="0"/>
        <w:ind w:left="720" w:right="20" w:hanging="720"/>
      </w:pPr>
      <w:r>
        <w:t xml:space="preserve"> Applying the aforesaid tests to the present case, the submission of the respondents is that:</w:t>
      </w:r>
    </w:p>
    <w:p w:rsidR="00884A28" w:rsidRDefault="00350526">
      <w:pPr>
        <w:pStyle w:val="Bodytext0"/>
        <w:numPr>
          <w:ilvl w:val="0"/>
          <w:numId w:val="18"/>
        </w:numPr>
        <w:shd w:val="clear" w:color="auto" w:fill="auto"/>
        <w:spacing w:before="0" w:after="300"/>
        <w:ind w:left="720" w:right="20" w:firstLine="0"/>
      </w:pPr>
      <w:r>
        <w:t xml:space="preserve"> The subject area of competition law is dealt with by the Competition Act, 2002.</w:t>
      </w:r>
    </w:p>
    <w:p w:rsidR="00884A28" w:rsidRDefault="00350526">
      <w:pPr>
        <w:pStyle w:val="Bodytext0"/>
        <w:numPr>
          <w:ilvl w:val="0"/>
          <w:numId w:val="18"/>
        </w:numPr>
        <w:shd w:val="clear" w:color="auto" w:fill="auto"/>
        <w:spacing w:before="0" w:after="300"/>
        <w:ind w:left="720" w:right="20" w:firstLine="0"/>
      </w:pPr>
      <w:r>
        <w:t xml:space="preserve"> The TRAI Act, 1997 is a complete code in itself and regulates the Telecom Sector.</w:t>
      </w:r>
    </w:p>
    <w:p w:rsidR="00884A28" w:rsidRDefault="00350526">
      <w:pPr>
        <w:pStyle w:val="Bodytext0"/>
        <w:numPr>
          <w:ilvl w:val="0"/>
          <w:numId w:val="18"/>
        </w:numPr>
        <w:shd w:val="clear" w:color="auto" w:fill="auto"/>
        <w:spacing w:before="0" w:after="300"/>
        <w:ind w:left="720" w:right="20" w:firstLine="0"/>
      </w:pPr>
      <w:r>
        <w:t xml:space="preserve"> The Preamble, the Statement of Objects and Reasons and Section </w:t>
      </w:r>
      <w:r>
        <w:rPr>
          <w:rStyle w:val="BodytextSpacing-1pt"/>
        </w:rPr>
        <w:t>11(1)</w:t>
      </w:r>
      <w:r>
        <w:t xml:space="preserve"> of the TRAI Act provid</w:t>
      </w:r>
      <w:r>
        <w:t xml:space="preserve">e the TRAI with the power to </w:t>
      </w:r>
      <w:r>
        <w:rPr>
          <w:rStyle w:val="BodytextItalic"/>
        </w:rPr>
        <w:t>inter alia</w:t>
      </w:r>
      <w:r>
        <w:t xml:space="preserve"> regulate competition in the telecom sector.</w:t>
      </w:r>
    </w:p>
    <w:p w:rsidR="00884A28" w:rsidRDefault="00350526">
      <w:pPr>
        <w:pStyle w:val="Bodytext0"/>
        <w:numPr>
          <w:ilvl w:val="0"/>
          <w:numId w:val="18"/>
        </w:numPr>
        <w:shd w:val="clear" w:color="auto" w:fill="auto"/>
        <w:spacing w:before="0" w:after="300"/>
        <w:ind w:left="720" w:right="20" w:firstLine="0"/>
      </w:pPr>
      <w:r>
        <w:t xml:space="preserve"> Accordingly, being the special law regarding the telecom sector, as regards competition issues arising in the telecom sector, the TRAI Act would prevail over the Competiti</w:t>
      </w:r>
      <w:r>
        <w:t>on Act.</w:t>
      </w:r>
    </w:p>
    <w:p w:rsidR="00884A28" w:rsidRDefault="00350526">
      <w:pPr>
        <w:pStyle w:val="Bodytext0"/>
        <w:numPr>
          <w:ilvl w:val="0"/>
          <w:numId w:val="1"/>
        </w:numPr>
        <w:shd w:val="clear" w:color="auto" w:fill="auto"/>
        <w:spacing w:before="0"/>
        <w:ind w:left="720" w:right="20" w:hanging="720"/>
      </w:pPr>
      <w:r>
        <w:t xml:space="preserve"> Replying to the argument of the appellants that the TRAI Act as well as the Competition Act are both special statutes and hence, the rule of statutory interpretation of special law prevailing over the general law will be inapplicable in the presen</w:t>
      </w:r>
      <w:r>
        <w:t xml:space="preserve">t dispute, the respondents referred to the decision of this Court in </w:t>
      </w:r>
      <w:r>
        <w:rPr>
          <w:rStyle w:val="BodytextItalic"/>
        </w:rPr>
        <w:t>Ashoka Marketing Ltd. &amp; Anr.</w:t>
      </w:r>
      <w:r>
        <w:t xml:space="preserve"> v. </w:t>
      </w:r>
      <w:r>
        <w:rPr>
          <w:rStyle w:val="BodytextItalic"/>
        </w:rPr>
        <w:t>Punjab National Bank &amp; Ors.</w:t>
      </w:r>
      <w:hyperlink w:anchor="bookmark10" w:tooltip="Current Document">
        <w:r>
          <w:rPr>
            <w:rStyle w:val="BodytextItalic"/>
            <w:vertAlign w:val="superscript"/>
          </w:rPr>
          <w:footnoteReference w:id="12"/>
        </w:r>
      </w:hyperlink>
      <w:r>
        <w:rPr>
          <w:rStyle w:val="BodytextItalic"/>
        </w:rPr>
        <w:t>.</w:t>
      </w:r>
      <w:r>
        <w:t xml:space="preserve"> In the said case, the Court was seized of an issue on whether the</w:t>
      </w:r>
    </w:p>
    <w:p w:rsidR="00884A28" w:rsidRDefault="00350526">
      <w:pPr>
        <w:pStyle w:val="Bodytext0"/>
        <w:shd w:val="clear" w:color="auto" w:fill="auto"/>
        <w:spacing w:before="0"/>
        <w:ind w:left="20" w:right="20" w:firstLine="0"/>
      </w:pPr>
      <w:r>
        <w:rPr>
          <w:rStyle w:val="Bodytext4"/>
        </w:rPr>
        <w:t>provis</w:t>
      </w:r>
      <w:r>
        <w:rPr>
          <w:rStyle w:val="Bodytext4"/>
        </w:rPr>
        <w:t>ions of the Public Premises (Eviction of Unauthorised Occupants) Act, 1971 would override the provisions of the Delhi Rent Control Act, 1958 in relation to the premises belonging to Punjab National Bank Ltd., a body corporate under the Banking Companies (A</w:t>
      </w:r>
      <w:r>
        <w:rPr>
          <w:rStyle w:val="Bodytext4"/>
        </w:rPr>
        <w:t xml:space="preserve">cquisition and Transfer of Undertakings) Act, 1970. Each side argued that the enactment relied upon by it is a special statute and the other enactment is general. The Court held that the Rent Control Act is a special statute regulating the relationship of </w:t>
      </w:r>
      <w:r>
        <w:rPr>
          <w:rStyle w:val="Bodytext4"/>
        </w:rPr>
        <w:t>landlord and tenant in the Union Territory of Delhi and even the Public Premises Act is a special statute relating to eviction of unauthorised occupants from public premises. While concluding that both the enactments are special statutes, the Court held:</w:t>
      </w:r>
    </w:p>
    <w:p w:rsidR="00884A28" w:rsidRDefault="00350526">
      <w:pPr>
        <w:pStyle w:val="Bodytext0"/>
        <w:shd w:val="clear" w:color="auto" w:fill="auto"/>
        <w:spacing w:before="0" w:after="240" w:line="298" w:lineRule="exact"/>
        <w:ind w:left="720" w:right="680" w:firstLine="0"/>
      </w:pPr>
      <w:r>
        <w:rPr>
          <w:rStyle w:val="Bodytext4"/>
        </w:rPr>
        <w:t>"</w:t>
      </w:r>
      <w:r>
        <w:rPr>
          <w:rStyle w:val="Bodytext4"/>
        </w:rPr>
        <w:t xml:space="preserve">"61. ...in the case of inconsistency between the provisions of two enactments, both of which can be regarded as special in nature, the conflict </w:t>
      </w:r>
      <w:r>
        <w:rPr>
          <w:rStyle w:val="Bodytext5"/>
        </w:rPr>
        <w:t>has to be</w:t>
      </w:r>
      <w:r>
        <w:rPr>
          <w:rStyle w:val="Bodytext4"/>
        </w:rPr>
        <w:t xml:space="preserve"> </w:t>
      </w:r>
      <w:r>
        <w:rPr>
          <w:rStyle w:val="Bodytext5"/>
        </w:rPr>
        <w:t>resolved by reference to the purpose and policy underlying</w:t>
      </w:r>
      <w:r>
        <w:rPr>
          <w:rStyle w:val="Bodytext4"/>
        </w:rPr>
        <w:t xml:space="preserve"> </w:t>
      </w:r>
      <w:r>
        <w:rPr>
          <w:rStyle w:val="Bodytext5"/>
        </w:rPr>
        <w:t>the two enactments and the clear intendment</w:t>
      </w:r>
      <w:r>
        <w:rPr>
          <w:rStyle w:val="Bodytext5"/>
        </w:rPr>
        <w:t xml:space="preserve"> conveyed by</w:t>
      </w:r>
      <w:r>
        <w:rPr>
          <w:rStyle w:val="Bodytext4"/>
        </w:rPr>
        <w:t xml:space="preserve"> </w:t>
      </w:r>
      <w:r>
        <w:rPr>
          <w:rStyle w:val="Bodytext5"/>
        </w:rPr>
        <w:t>the language of the relevant provisions therein.</w:t>
      </w:r>
    </w:p>
    <w:p w:rsidR="00884A28" w:rsidRDefault="00350526">
      <w:pPr>
        <w:pStyle w:val="Bodytext0"/>
        <w:numPr>
          <w:ilvl w:val="0"/>
          <w:numId w:val="19"/>
        </w:numPr>
        <w:shd w:val="clear" w:color="auto" w:fill="auto"/>
        <w:tabs>
          <w:tab w:val="left" w:pos="1439"/>
          <w:tab w:val="left" w:pos="1440"/>
        </w:tabs>
        <w:spacing w:before="0" w:line="298" w:lineRule="exact"/>
        <w:ind w:left="720" w:firstLine="0"/>
      </w:pPr>
      <w:r>
        <w:rPr>
          <w:rStyle w:val="Bodytext4"/>
        </w:rPr>
        <w:t xml:space="preserve">...In our opinion, therefore, </w:t>
      </w:r>
      <w:r>
        <w:rPr>
          <w:rStyle w:val="Bodytext5"/>
        </w:rPr>
        <w:t>keeping in view the</w:t>
      </w:r>
    </w:p>
    <w:p w:rsidR="00884A28" w:rsidRDefault="00350526">
      <w:pPr>
        <w:pStyle w:val="Bodytext0"/>
        <w:shd w:val="clear" w:color="auto" w:fill="auto"/>
        <w:spacing w:before="0" w:line="298" w:lineRule="exact"/>
        <w:ind w:left="720" w:right="680" w:firstLine="0"/>
      </w:pPr>
      <w:r>
        <w:rPr>
          <w:rStyle w:val="Bodytext5"/>
        </w:rPr>
        <w:t>object and purpose underlying both the enactments</w:t>
      </w:r>
      <w:r>
        <w:rPr>
          <w:rStyle w:val="Bodytext4"/>
        </w:rPr>
        <w:t xml:space="preserve"> viz. the Rent Control Act and the Public Premises Act, the provisions of the Public Premises Act have to be construed as overriding the provisions contained in the Rent Control Act.”</w:t>
      </w:r>
    </w:p>
    <w:p w:rsidR="00884A28" w:rsidRDefault="00350526">
      <w:pPr>
        <w:pStyle w:val="Bodytext0"/>
        <w:shd w:val="clear" w:color="auto" w:fill="auto"/>
        <w:spacing w:before="0" w:line="240" w:lineRule="exact"/>
        <w:ind w:left="5160" w:firstLine="0"/>
        <w:jc w:val="left"/>
      </w:pPr>
      <w:r>
        <w:rPr>
          <w:rStyle w:val="Bodytext4"/>
        </w:rPr>
        <w:t>(emphasis supplied)</w:t>
      </w:r>
    </w:p>
    <w:p w:rsidR="00884A28" w:rsidRDefault="00350526">
      <w:pPr>
        <w:pStyle w:val="Bodytext0"/>
        <w:numPr>
          <w:ilvl w:val="0"/>
          <w:numId w:val="20"/>
        </w:numPr>
        <w:shd w:val="clear" w:color="auto" w:fill="auto"/>
        <w:spacing w:before="0"/>
        <w:ind w:left="720" w:right="20" w:hanging="720"/>
      </w:pPr>
      <w:r>
        <w:rPr>
          <w:rStyle w:val="Bodytext4"/>
        </w:rPr>
        <w:t xml:space="preserve"> Heavy reliance was placed on the judgment of the Un</w:t>
      </w:r>
      <w:r>
        <w:rPr>
          <w:rStyle w:val="Bodytext4"/>
        </w:rPr>
        <w:t xml:space="preserve">ited States Supreme Court in the case of </w:t>
      </w:r>
      <w:r>
        <w:rPr>
          <w:rStyle w:val="BodytextItalic1"/>
        </w:rPr>
        <w:t>Credit Suisse</w:t>
      </w:r>
      <w:r>
        <w:rPr>
          <w:rStyle w:val="Bodytext4"/>
        </w:rPr>
        <w:t xml:space="preserve"> v. </w:t>
      </w:r>
      <w:r>
        <w:rPr>
          <w:rStyle w:val="BodytextItalic1"/>
        </w:rPr>
        <w:t>Billing et a</w:t>
      </w:r>
      <w:hyperlink w:anchor="bookmark11" w:tooltip="Current Document">
        <w:r>
          <w:rPr>
            <w:rStyle w:val="BodytextItalic1"/>
          </w:rPr>
          <w:t>l</w:t>
        </w:r>
        <w:r>
          <w:rPr>
            <w:rStyle w:val="BodytextItalic1"/>
            <w:vertAlign w:val="superscript"/>
          </w:rPr>
          <w:footnoteReference w:id="13"/>
        </w:r>
      </w:hyperlink>
      <w:r>
        <w:rPr>
          <w:rStyle w:val="BodytextItalic1"/>
        </w:rPr>
        <w:t xml:space="preserve">. </w:t>
      </w:r>
      <w:r>
        <w:rPr>
          <w:rStyle w:val="Bodytext4"/>
        </w:rPr>
        <w:t>Here the submission was that if the CCI is permitted to examine the information of RJIL that it was to be provided POIs immediate</w:t>
      </w:r>
      <w:r>
        <w:rPr>
          <w:rStyle w:val="Bodytext4"/>
        </w:rPr>
        <w:t>ly despite there being a period of 90 days in the ICA, the following would be the consequences:</w:t>
      </w:r>
    </w:p>
    <w:p w:rsidR="00884A28" w:rsidRDefault="00350526">
      <w:pPr>
        <w:pStyle w:val="Bodytext0"/>
        <w:numPr>
          <w:ilvl w:val="0"/>
          <w:numId w:val="21"/>
        </w:numPr>
        <w:shd w:val="clear" w:color="auto" w:fill="auto"/>
        <w:spacing w:before="0"/>
        <w:ind w:left="720" w:right="20" w:firstLine="0"/>
      </w:pPr>
      <w:r>
        <w:rPr>
          <w:rStyle w:val="Bodytext4"/>
        </w:rPr>
        <w:t xml:space="preserve"> The same may cause a threat and may alter the functioning of telecom sector on account of threat of intervention of CCI even where the acts are in accordance w</w:t>
      </w:r>
      <w:r>
        <w:rPr>
          <w:rStyle w:val="Bodytext4"/>
        </w:rPr>
        <w:t>ith TRAI’s Regulations. The same would threaten efficient functioning of the telecom sector.</w:t>
      </w:r>
    </w:p>
    <w:p w:rsidR="00884A28" w:rsidRDefault="00350526">
      <w:pPr>
        <w:pStyle w:val="Bodytext0"/>
        <w:numPr>
          <w:ilvl w:val="0"/>
          <w:numId w:val="21"/>
        </w:numPr>
        <w:shd w:val="clear" w:color="auto" w:fill="auto"/>
        <w:spacing w:before="0"/>
        <w:ind w:left="720" w:right="20" w:firstLine="0"/>
      </w:pPr>
      <w:r>
        <w:rPr>
          <w:rStyle w:val="Bodytext4"/>
        </w:rPr>
        <w:t xml:space="preserve"> The additional benefits to competition would be very small as the TRAI Regulations anyway have been framed keeping in mind “facilitation of competition” in teleco</w:t>
      </w:r>
      <w:r>
        <w:rPr>
          <w:rStyle w:val="Bodytext4"/>
        </w:rPr>
        <w:t>m sector.</w:t>
      </w:r>
    </w:p>
    <w:p w:rsidR="00884A28" w:rsidRDefault="00350526">
      <w:pPr>
        <w:pStyle w:val="Bodytext0"/>
        <w:numPr>
          <w:ilvl w:val="0"/>
          <w:numId w:val="21"/>
        </w:numPr>
        <w:shd w:val="clear" w:color="auto" w:fill="auto"/>
        <w:spacing w:before="0"/>
        <w:ind w:left="720" w:right="20" w:firstLine="0"/>
      </w:pPr>
      <w:r>
        <w:rPr>
          <w:rStyle w:val="Bodytext4"/>
        </w:rPr>
        <w:t xml:space="preserve"> The same would encourage future actions before CCI when telecom related issues will be dressed up as competition issues.</w:t>
      </w:r>
    </w:p>
    <w:p w:rsidR="00884A28" w:rsidRDefault="00350526">
      <w:pPr>
        <w:pStyle w:val="Bodytext0"/>
        <w:shd w:val="clear" w:color="auto" w:fill="auto"/>
        <w:spacing w:before="0" w:after="300"/>
        <w:ind w:left="720" w:right="20" w:firstLine="700"/>
      </w:pPr>
      <w:r>
        <w:rPr>
          <w:rStyle w:val="Bodytext4"/>
        </w:rPr>
        <w:t>It was the fervent plea that in order to avoid such conflict of standards and norms, the TRAI Act being the sectoral law and</w:t>
      </w:r>
      <w:r>
        <w:rPr>
          <w:rStyle w:val="Bodytext4"/>
        </w:rPr>
        <w:t xml:space="preserve"> the TRAI is already seized of the matter, the CCI should not be allowed to proceed.</w:t>
      </w:r>
    </w:p>
    <w:p w:rsidR="00884A28" w:rsidRDefault="00350526">
      <w:pPr>
        <w:pStyle w:val="Bodytext0"/>
        <w:numPr>
          <w:ilvl w:val="0"/>
          <w:numId w:val="20"/>
        </w:numPr>
        <w:shd w:val="clear" w:color="auto" w:fill="auto"/>
        <w:spacing w:before="0"/>
        <w:ind w:left="720" w:right="20" w:hanging="720"/>
      </w:pPr>
      <w:r>
        <w:rPr>
          <w:rStyle w:val="Bodytext4"/>
        </w:rPr>
        <w:t xml:space="preserve"> According to the respondents, the jurisdictional facts in the present matter would be:</w:t>
      </w:r>
    </w:p>
    <w:p w:rsidR="00884A28" w:rsidRDefault="00350526">
      <w:pPr>
        <w:pStyle w:val="Bodytext0"/>
        <w:numPr>
          <w:ilvl w:val="0"/>
          <w:numId w:val="22"/>
        </w:numPr>
        <w:shd w:val="clear" w:color="auto" w:fill="auto"/>
        <w:tabs>
          <w:tab w:val="left" w:pos="1354"/>
        </w:tabs>
        <w:spacing w:before="0"/>
        <w:ind w:left="720" w:firstLine="0"/>
      </w:pPr>
      <w:r>
        <w:rPr>
          <w:rStyle w:val="Bodytext4"/>
        </w:rPr>
        <w:t>Failure to provide adequate POIs in the test phase; or</w:t>
      </w:r>
    </w:p>
    <w:p w:rsidR="00884A28" w:rsidRDefault="00350526">
      <w:pPr>
        <w:pStyle w:val="Bodytext0"/>
        <w:numPr>
          <w:ilvl w:val="0"/>
          <w:numId w:val="22"/>
        </w:numPr>
        <w:shd w:val="clear" w:color="auto" w:fill="auto"/>
        <w:tabs>
          <w:tab w:val="left" w:pos="1354"/>
        </w:tabs>
        <w:spacing w:before="0"/>
        <w:ind w:left="720" w:firstLine="0"/>
      </w:pPr>
      <w:r>
        <w:rPr>
          <w:rStyle w:val="Bodytext4"/>
        </w:rPr>
        <w:t>Delay in providing POIs; or</w:t>
      </w:r>
    </w:p>
    <w:p w:rsidR="00884A28" w:rsidRDefault="00350526">
      <w:pPr>
        <w:pStyle w:val="Bodytext0"/>
        <w:numPr>
          <w:ilvl w:val="0"/>
          <w:numId w:val="22"/>
        </w:numPr>
        <w:shd w:val="clear" w:color="auto" w:fill="auto"/>
        <w:spacing w:before="0" w:after="300"/>
        <w:ind w:left="720" w:firstLine="0"/>
      </w:pPr>
      <w:r>
        <w:rPr>
          <w:rStyle w:val="Bodytext4"/>
        </w:rPr>
        <w:t xml:space="preserve"> Providing inadequate POIs.</w:t>
      </w:r>
    </w:p>
    <w:p w:rsidR="00884A28" w:rsidRDefault="00350526">
      <w:pPr>
        <w:pStyle w:val="Bodytext0"/>
        <w:numPr>
          <w:ilvl w:val="0"/>
          <w:numId w:val="20"/>
        </w:numPr>
        <w:shd w:val="clear" w:color="auto" w:fill="auto"/>
        <w:tabs>
          <w:tab w:val="left" w:pos="734"/>
        </w:tabs>
        <w:spacing w:before="0"/>
        <w:ind w:left="720" w:right="20" w:hanging="720"/>
      </w:pPr>
      <w:r>
        <w:rPr>
          <w:rStyle w:val="Bodytext4"/>
        </w:rPr>
        <w:t>Mr. Datar, in particular, submitted that from a perusal of the extensive pleadings and findings of the High Court, it is manifest that the above issues are pending consideration before the TRAI/DoT as well as in connected writ p</w:t>
      </w:r>
      <w:r>
        <w:rPr>
          <w:rStyle w:val="Bodytext4"/>
        </w:rPr>
        <w:t>etitions pending adjudication before the Delhi High Court. The emphasis was that there must first be clear findings on the above issues in the context of the TRAI Act, Rules and Regulations. According to him, that alone is not enough. It is necessary to es</w:t>
      </w:r>
      <w:r>
        <w:rPr>
          <w:rStyle w:val="Bodytext4"/>
        </w:rPr>
        <w:t>tablish that violation of the provisions of TRAI Act amounts to “abuse of dominance” or “anti-competitive agreements”. As per him, Section 21 and 21A of the Competition Act make it clear that jurisdiction of the CCI is divided into parts, viz:</w:t>
      </w:r>
    </w:p>
    <w:p w:rsidR="00884A28" w:rsidRDefault="00350526">
      <w:pPr>
        <w:pStyle w:val="Bodytext0"/>
        <w:numPr>
          <w:ilvl w:val="0"/>
          <w:numId w:val="23"/>
        </w:numPr>
        <w:shd w:val="clear" w:color="auto" w:fill="auto"/>
        <w:spacing w:before="0"/>
        <w:ind w:left="720" w:firstLine="0"/>
      </w:pPr>
      <w:r>
        <w:rPr>
          <w:rStyle w:val="Bodytext4"/>
        </w:rPr>
        <w:t xml:space="preserve"> Economic ac</w:t>
      </w:r>
      <w:r>
        <w:rPr>
          <w:rStyle w:val="Bodytext4"/>
        </w:rPr>
        <w:t>tivity not regulated by any statutory authority.</w:t>
      </w:r>
    </w:p>
    <w:p w:rsidR="00884A28" w:rsidRDefault="00350526">
      <w:pPr>
        <w:pStyle w:val="Bodytext0"/>
        <w:numPr>
          <w:ilvl w:val="0"/>
          <w:numId w:val="23"/>
        </w:numPr>
        <w:shd w:val="clear" w:color="auto" w:fill="auto"/>
        <w:spacing w:before="0"/>
        <w:ind w:left="720" w:firstLine="0"/>
      </w:pPr>
      <w:r>
        <w:rPr>
          <w:rStyle w:val="Bodytext4"/>
        </w:rPr>
        <w:t xml:space="preserve"> Economic activity regulated by a statutory authority.</w:t>
      </w:r>
    </w:p>
    <w:p w:rsidR="00884A28" w:rsidRDefault="00350526">
      <w:pPr>
        <w:pStyle w:val="Bodytext0"/>
        <w:shd w:val="clear" w:color="auto" w:fill="auto"/>
        <w:spacing w:before="0" w:after="300"/>
        <w:ind w:left="720" w:right="20" w:firstLine="700"/>
      </w:pPr>
      <w:r>
        <w:rPr>
          <w:rStyle w:val="Bodytext4"/>
        </w:rPr>
        <w:t>In the latter case, Section 21A is mandatory and the CCI can act only in accordance with Sections 21A(1) and (2). Submission was that in economic activi</w:t>
      </w:r>
      <w:r>
        <w:rPr>
          <w:rStyle w:val="Bodytext4"/>
        </w:rPr>
        <w:t>ty that is regulated by a statutory authority, CCI can exercise powers under Section 26 only after complying with Section 21A. It was predicated on the principle that when the law prescribes things to be done in a particular manner, all other modes of acti</w:t>
      </w:r>
      <w:r>
        <w:rPr>
          <w:rStyle w:val="Bodytext4"/>
        </w:rPr>
        <w:t xml:space="preserve">on are prohibited. </w:t>
      </w:r>
      <w:r>
        <w:rPr>
          <w:rStyle w:val="BodytextItalic1"/>
        </w:rPr>
        <w:t>(Bhavnagar University</w:t>
      </w:r>
      <w:r>
        <w:rPr>
          <w:rStyle w:val="Bodytext4"/>
        </w:rPr>
        <w:t xml:space="preserve"> v. </w:t>
      </w:r>
      <w:r>
        <w:rPr>
          <w:rStyle w:val="BodytextItalic1"/>
        </w:rPr>
        <w:t>Palitana Sugar Mill (P) Ltd. &amp; Ors.</w:t>
      </w:r>
      <w:hyperlink w:anchor="bookmark12" w:tooltip="Current Document">
        <w:r>
          <w:rPr>
            <w:rStyle w:val="BodytextItalic1"/>
            <w:vertAlign w:val="superscript"/>
          </w:rPr>
          <w:footnoteReference w:id="14"/>
        </w:r>
        <w:r>
          <w:rPr>
            <w:rStyle w:val="BodytextItalic1"/>
          </w:rPr>
          <w:t>)</w:t>
        </w:r>
      </w:hyperlink>
    </w:p>
    <w:p w:rsidR="00884A28" w:rsidRDefault="00350526">
      <w:pPr>
        <w:pStyle w:val="Bodytext0"/>
        <w:numPr>
          <w:ilvl w:val="0"/>
          <w:numId w:val="20"/>
        </w:numPr>
        <w:shd w:val="clear" w:color="auto" w:fill="auto"/>
        <w:spacing w:before="0" w:after="300"/>
        <w:ind w:left="720" w:right="20" w:hanging="720"/>
      </w:pPr>
      <w:r>
        <w:rPr>
          <w:rStyle w:val="Bodytext4"/>
        </w:rPr>
        <w:t xml:space="preserve"> In this hue, it was also argued that the decision of this Court in </w:t>
      </w:r>
      <w:r>
        <w:rPr>
          <w:rStyle w:val="BodytextItalic1"/>
        </w:rPr>
        <w:t>Competition Commission of India</w:t>
      </w:r>
      <w:r>
        <w:rPr>
          <w:rStyle w:val="Bodytext4"/>
        </w:rPr>
        <w:t xml:space="preserve"> v. </w:t>
      </w:r>
      <w:r>
        <w:rPr>
          <w:rStyle w:val="BodytextItalic1"/>
        </w:rPr>
        <w:t>Steel Authority of</w:t>
      </w:r>
      <w:r>
        <w:rPr>
          <w:rStyle w:val="BodytextItalic1"/>
        </w:rPr>
        <w:t xml:space="preserve"> India Ltd. &amp; Anr</w:t>
      </w:r>
      <w:hyperlink w:anchor="bookmark13" w:tooltip="Current Document">
        <w:r>
          <w:rPr>
            <w:rStyle w:val="BodytextItalic1"/>
            <w:vertAlign w:val="superscript"/>
          </w:rPr>
          <w:footnoteReference w:id="15"/>
        </w:r>
        <w:r>
          <w:rPr>
            <w:rStyle w:val="Bodytext4"/>
          </w:rPr>
          <w:t xml:space="preserve"> </w:t>
        </w:r>
      </w:hyperlink>
      <w:r>
        <w:rPr>
          <w:rStyle w:val="Bodytext4"/>
        </w:rPr>
        <w:t xml:space="preserve">has no application to the present case because it does not deal with a sector that is regulated by a statutory authority. On the other hand, reliance was placed on the judgment in the </w:t>
      </w:r>
      <w:r>
        <w:rPr>
          <w:rStyle w:val="Bodytext4"/>
        </w:rPr>
        <w:t xml:space="preserve">case of </w:t>
      </w:r>
      <w:r>
        <w:rPr>
          <w:rStyle w:val="BodytextItalic1"/>
        </w:rPr>
        <w:t>Carona Ltd.</w:t>
      </w:r>
      <w:r>
        <w:rPr>
          <w:rStyle w:val="Bodytext4"/>
        </w:rPr>
        <w:t xml:space="preserve"> v. </w:t>
      </w:r>
      <w:r>
        <w:rPr>
          <w:rStyle w:val="BodytextItalic1"/>
        </w:rPr>
        <w:t>Parvathy Swaminathan &amp; Sons</w:t>
      </w:r>
      <w:hyperlink w:anchor="bookmark14" w:tooltip="Current Document">
        <w:r>
          <w:rPr>
            <w:rStyle w:val="BodytextItalic1"/>
            <w:vertAlign w:val="superscript"/>
          </w:rPr>
          <w:footnoteReference w:id="16"/>
        </w:r>
      </w:hyperlink>
      <w:r>
        <w:rPr>
          <w:rStyle w:val="Bodytext4"/>
        </w:rPr>
        <w:t>.</w:t>
      </w:r>
    </w:p>
    <w:p w:rsidR="00884A28" w:rsidRDefault="00350526">
      <w:pPr>
        <w:pStyle w:val="Bodytext0"/>
        <w:numPr>
          <w:ilvl w:val="0"/>
          <w:numId w:val="20"/>
        </w:numPr>
        <w:shd w:val="clear" w:color="auto" w:fill="auto"/>
        <w:spacing w:before="0"/>
        <w:ind w:left="720" w:right="20" w:hanging="720"/>
      </w:pPr>
      <w:r>
        <w:rPr>
          <w:rStyle w:val="Bodytext4"/>
        </w:rPr>
        <w:t xml:space="preserve"> It was submitted that the facts of the SAIL case are clearly distinguishable from the present case as the main issue before the Supreme Court in SAIL</w:t>
      </w:r>
      <w:r>
        <w:rPr>
          <w:rStyle w:val="Bodytext4"/>
        </w:rPr>
        <w:t xml:space="preserve"> was whether an appeal can be filed against an order passed under Section 26(1) of the Competition Act. Distinction was sought to be drawn on the basis of the following facts:</w:t>
      </w:r>
    </w:p>
    <w:p w:rsidR="00884A28" w:rsidRDefault="00350526">
      <w:pPr>
        <w:pStyle w:val="Bodytext0"/>
        <w:numPr>
          <w:ilvl w:val="0"/>
          <w:numId w:val="24"/>
        </w:numPr>
        <w:shd w:val="clear" w:color="auto" w:fill="auto"/>
        <w:tabs>
          <w:tab w:val="left" w:pos="1416"/>
        </w:tabs>
        <w:spacing w:before="0"/>
        <w:ind w:left="720" w:right="20" w:firstLine="0"/>
      </w:pPr>
      <w:r>
        <w:rPr>
          <w:rStyle w:val="Bodytext4"/>
        </w:rPr>
        <w:t xml:space="preserve">in the present case, CCI issued notice and called the TSPs including Vodafone </w:t>
      </w:r>
      <w:r>
        <w:rPr>
          <w:rStyle w:val="Bodytext4"/>
        </w:rPr>
        <w:t>for a preliminary conference to be held on</w:t>
      </w:r>
    </w:p>
    <w:p w:rsidR="00884A28" w:rsidRDefault="00350526">
      <w:pPr>
        <w:pStyle w:val="Bodytext0"/>
        <w:shd w:val="clear" w:color="auto" w:fill="auto"/>
        <w:spacing w:before="0"/>
        <w:ind w:left="720" w:right="20" w:firstLine="0"/>
      </w:pPr>
      <w:r>
        <w:rPr>
          <w:rStyle w:val="Bodytext4"/>
        </w:rPr>
        <w:t>January 31, 2017 and the parties were heard on January 31, 2017, February 07, 2017 and February 08, 2017;</w:t>
      </w:r>
    </w:p>
    <w:p w:rsidR="00884A28" w:rsidRDefault="00350526">
      <w:pPr>
        <w:pStyle w:val="Bodytext0"/>
        <w:numPr>
          <w:ilvl w:val="0"/>
          <w:numId w:val="24"/>
        </w:numPr>
        <w:shd w:val="clear" w:color="auto" w:fill="auto"/>
        <w:spacing w:before="0"/>
        <w:ind w:left="720" w:right="20" w:firstLine="0"/>
      </w:pPr>
      <w:r>
        <w:rPr>
          <w:rStyle w:val="Bodytext4"/>
        </w:rPr>
        <w:t xml:space="preserve"> hearing was held before CCI and detailed notes on arguments were submitted with supporting documents by th</w:t>
      </w:r>
      <w:r>
        <w:rPr>
          <w:rStyle w:val="Bodytext4"/>
        </w:rPr>
        <w:t>e TSPs including Vodafone;</w:t>
      </w:r>
    </w:p>
    <w:p w:rsidR="00884A28" w:rsidRDefault="00350526">
      <w:pPr>
        <w:pStyle w:val="Bodytext0"/>
        <w:numPr>
          <w:ilvl w:val="0"/>
          <w:numId w:val="24"/>
        </w:numPr>
        <w:shd w:val="clear" w:color="auto" w:fill="auto"/>
        <w:spacing w:before="0"/>
        <w:ind w:left="720" w:right="20" w:firstLine="0"/>
      </w:pPr>
      <w:r>
        <w:rPr>
          <w:rStyle w:val="Bodytext4"/>
        </w:rPr>
        <w:t xml:space="preserve"> the </w:t>
      </w:r>
      <w:r>
        <w:rPr>
          <w:rStyle w:val="BodytextItalic1"/>
        </w:rPr>
        <w:t>prima facie</w:t>
      </w:r>
      <w:r>
        <w:rPr>
          <w:rStyle w:val="Bodytext4"/>
        </w:rPr>
        <w:t xml:space="preserve"> order has been passed after hearing the submissions of the TSPs holding that a </w:t>
      </w:r>
      <w:r>
        <w:rPr>
          <w:rStyle w:val="BodytextItalic1"/>
        </w:rPr>
        <w:t>prima facie</w:t>
      </w:r>
      <w:r>
        <w:rPr>
          <w:rStyle w:val="Bodytext4"/>
        </w:rPr>
        <w:t xml:space="preserve"> case of violation of the Competition Act has been made out; and</w:t>
      </w:r>
    </w:p>
    <w:p w:rsidR="00884A28" w:rsidRDefault="00350526">
      <w:pPr>
        <w:pStyle w:val="Bodytext0"/>
        <w:numPr>
          <w:ilvl w:val="0"/>
          <w:numId w:val="24"/>
        </w:numPr>
        <w:shd w:val="clear" w:color="auto" w:fill="auto"/>
        <w:spacing w:before="0" w:after="300"/>
        <w:ind w:left="720" w:right="20" w:firstLine="0"/>
      </w:pPr>
      <w:r>
        <w:rPr>
          <w:rStyle w:val="Bodytext4"/>
        </w:rPr>
        <w:t xml:space="preserve"> the </w:t>
      </w:r>
      <w:r>
        <w:rPr>
          <w:rStyle w:val="BodytextItalic1"/>
        </w:rPr>
        <w:t>prima facie</w:t>
      </w:r>
      <w:r>
        <w:rPr>
          <w:rStyle w:val="Bodytext4"/>
        </w:rPr>
        <w:t xml:space="preserve"> order also provide for reasons in suppor</w:t>
      </w:r>
      <w:r>
        <w:rPr>
          <w:rStyle w:val="Bodytext4"/>
        </w:rPr>
        <w:t>t of the decision arrived at by the CCI.</w:t>
      </w:r>
    </w:p>
    <w:p w:rsidR="00884A28" w:rsidRDefault="00350526">
      <w:pPr>
        <w:pStyle w:val="Bodytext0"/>
        <w:numPr>
          <w:ilvl w:val="0"/>
          <w:numId w:val="20"/>
        </w:numPr>
        <w:shd w:val="clear" w:color="auto" w:fill="auto"/>
        <w:tabs>
          <w:tab w:val="left" w:pos="710"/>
        </w:tabs>
        <w:spacing w:before="0"/>
        <w:ind w:left="720" w:right="20" w:hanging="720"/>
      </w:pPr>
      <w:r>
        <w:rPr>
          <w:rStyle w:val="Bodytext4"/>
        </w:rPr>
        <w:t>Justifying the observations of the High Court that the order of the CCI cannot be treated as an 'administrative order', it was submitted that the order was passed by the CCI after collecting the detailed information</w:t>
      </w:r>
      <w:r>
        <w:rPr>
          <w:rStyle w:val="Bodytext4"/>
        </w:rPr>
        <w:t xml:space="preserve"> from the parties and by holding the conferences, calling material details, documents, affidavits and by recording the opinion. It was also submitted that the High Court had rightly noted that majority decision of the CCI has given reasons by overlooking t</w:t>
      </w:r>
      <w:r>
        <w:rPr>
          <w:rStyle w:val="Bodytext4"/>
        </w:rPr>
        <w:t>he law and the record. It was a reasoned order/direction and, therefore, judicial review is permissible. In this behalf it was submitted that the aforesaid view was taken on the basis of the following:</w:t>
      </w:r>
    </w:p>
    <w:p w:rsidR="00884A28" w:rsidRDefault="00350526">
      <w:pPr>
        <w:pStyle w:val="Bodytext0"/>
        <w:numPr>
          <w:ilvl w:val="0"/>
          <w:numId w:val="25"/>
        </w:numPr>
        <w:shd w:val="clear" w:color="auto" w:fill="auto"/>
        <w:spacing w:before="0"/>
        <w:ind w:left="720" w:right="20" w:firstLine="0"/>
      </w:pPr>
      <w:r>
        <w:rPr>
          <w:rStyle w:val="Bodytext4"/>
        </w:rPr>
        <w:t xml:space="preserve"> whilst an order under Section 26(2) has been made app</w:t>
      </w:r>
      <w:r>
        <w:rPr>
          <w:rStyle w:val="Bodytext4"/>
        </w:rPr>
        <w:t>ealable, an order under Section 26(1) is not appealable;</w:t>
      </w:r>
    </w:p>
    <w:p w:rsidR="00884A28" w:rsidRDefault="00350526">
      <w:pPr>
        <w:pStyle w:val="Bodytext0"/>
        <w:numPr>
          <w:ilvl w:val="0"/>
          <w:numId w:val="25"/>
        </w:numPr>
        <w:shd w:val="clear" w:color="auto" w:fill="auto"/>
        <w:spacing w:before="0"/>
        <w:ind w:left="720" w:right="20" w:firstLine="0"/>
      </w:pPr>
      <w:r>
        <w:rPr>
          <w:rStyle w:val="Bodytext4"/>
        </w:rPr>
        <w:t xml:space="preserve"> an order under Section 26(1) of the Competition Act is a direction simpliciter to the Director General to cause an investigation;</w:t>
      </w:r>
    </w:p>
    <w:p w:rsidR="00884A28" w:rsidRDefault="00350526">
      <w:pPr>
        <w:pStyle w:val="Bodytext0"/>
        <w:numPr>
          <w:ilvl w:val="0"/>
          <w:numId w:val="25"/>
        </w:numPr>
        <w:shd w:val="clear" w:color="auto" w:fill="auto"/>
        <w:spacing w:before="0"/>
        <w:ind w:left="720" w:right="20" w:firstLine="0"/>
      </w:pPr>
      <w:r>
        <w:rPr>
          <w:rStyle w:val="Bodytext4"/>
        </w:rPr>
        <w:t xml:space="preserve"> at the stage of passing of the order under Section 26(1), there is </w:t>
      </w:r>
      <w:r>
        <w:rPr>
          <w:rStyle w:val="Bodytext4"/>
        </w:rPr>
        <w:t xml:space="preserve">no adjudicatory process undertaken by the CCI as there is no determination of any right or obligation of the parties to the </w:t>
      </w:r>
      <w:r>
        <w:rPr>
          <w:rStyle w:val="BodytextItalic1"/>
        </w:rPr>
        <w:t>lis;</w:t>
      </w:r>
      <w:r>
        <w:rPr>
          <w:rStyle w:val="Bodytext4"/>
        </w:rPr>
        <w:t xml:space="preserve"> and</w:t>
      </w:r>
    </w:p>
    <w:p w:rsidR="00884A28" w:rsidRDefault="00350526">
      <w:pPr>
        <w:pStyle w:val="Bodytext0"/>
        <w:numPr>
          <w:ilvl w:val="0"/>
          <w:numId w:val="25"/>
        </w:numPr>
        <w:shd w:val="clear" w:color="auto" w:fill="auto"/>
        <w:spacing w:before="0" w:after="300"/>
        <w:ind w:left="720" w:right="20" w:firstLine="0"/>
      </w:pPr>
      <w:r>
        <w:rPr>
          <w:rStyle w:val="Bodytext4"/>
        </w:rPr>
        <w:t xml:space="preserve"> the order passed under Section 26(1) does not entail civil consequences for any person as against a Section 26(2) order wherein rights of the informant are affected.</w:t>
      </w:r>
    </w:p>
    <w:p w:rsidR="00884A28" w:rsidRDefault="00350526">
      <w:pPr>
        <w:pStyle w:val="Bodytext0"/>
        <w:numPr>
          <w:ilvl w:val="0"/>
          <w:numId w:val="20"/>
        </w:numPr>
        <w:shd w:val="clear" w:color="auto" w:fill="auto"/>
        <w:spacing w:before="0" w:after="300"/>
        <w:ind w:left="720" w:right="20" w:hanging="720"/>
      </w:pPr>
      <w:r>
        <w:rPr>
          <w:rStyle w:val="Bodytext4"/>
        </w:rPr>
        <w:t xml:space="preserve"> In the alternative, it was argued that the observations of the Court limited to the exte</w:t>
      </w:r>
      <w:r>
        <w:rPr>
          <w:rStyle w:val="Bodytext4"/>
        </w:rPr>
        <w:t>nt of the nature of powers vested in the CCI under Section 26(1) needs reconsideration by this Court.</w:t>
      </w:r>
    </w:p>
    <w:p w:rsidR="00884A28" w:rsidRDefault="00350526">
      <w:pPr>
        <w:pStyle w:val="Bodytext30"/>
        <w:shd w:val="clear" w:color="auto" w:fill="auto"/>
        <w:spacing w:line="643" w:lineRule="exact"/>
        <w:ind w:left="720" w:hanging="720"/>
      </w:pPr>
      <w:r>
        <w:rPr>
          <w:rStyle w:val="Bodytext32"/>
          <w:i/>
          <w:iCs/>
        </w:rPr>
        <w:t>Our discussion:</w:t>
      </w:r>
    </w:p>
    <w:p w:rsidR="00884A28" w:rsidRDefault="00350526">
      <w:pPr>
        <w:pStyle w:val="Bodytext0"/>
        <w:numPr>
          <w:ilvl w:val="0"/>
          <w:numId w:val="20"/>
        </w:numPr>
        <w:shd w:val="clear" w:color="auto" w:fill="auto"/>
        <w:spacing w:before="0" w:after="563"/>
        <w:ind w:left="720" w:right="20" w:hanging="720"/>
      </w:pPr>
      <w:r>
        <w:rPr>
          <w:rStyle w:val="Bodytext4"/>
        </w:rPr>
        <w:t xml:space="preserve"> We have noted of three propositions which were advanced by Mr. Narasimha, learned Additional Solicitor General. These are the main issues</w:t>
      </w:r>
      <w:r>
        <w:rPr>
          <w:rStyle w:val="Bodytext4"/>
        </w:rPr>
        <w:t xml:space="preserve"> which arise for consideration. In fact, other counsel for the parties have also made their submissions on these aspects. We would, therefore, focus our discussion on the said propositions. We would like to mention that while analysing the arguments of all</w:t>
      </w:r>
      <w:r>
        <w:rPr>
          <w:rStyle w:val="Bodytext4"/>
        </w:rPr>
        <w:t xml:space="preserve"> the parties, we have kept in mind their detailed submissions as well as the principles laid down in various judgments cited by them, even if we have not made specific mention to these judgments in our discussion.</w:t>
      </w:r>
    </w:p>
    <w:p w:rsidR="00884A28" w:rsidRDefault="00350526">
      <w:pPr>
        <w:pStyle w:val="Bodytext30"/>
        <w:numPr>
          <w:ilvl w:val="0"/>
          <w:numId w:val="26"/>
        </w:numPr>
        <w:shd w:val="clear" w:color="auto" w:fill="auto"/>
        <w:tabs>
          <w:tab w:val="left" w:pos="704"/>
          <w:tab w:val="left" w:pos="740"/>
        </w:tabs>
        <w:spacing w:after="386" w:line="240" w:lineRule="exact"/>
        <w:ind w:left="740" w:hanging="720"/>
      </w:pPr>
      <w:r>
        <w:rPr>
          <w:rStyle w:val="Bodytext32"/>
          <w:i/>
          <w:iCs/>
        </w:rPr>
        <w:t>Jurisdiction of the CCI</w:t>
      </w:r>
    </w:p>
    <w:p w:rsidR="00884A28" w:rsidRDefault="00350526">
      <w:pPr>
        <w:pStyle w:val="Bodytext0"/>
        <w:numPr>
          <w:ilvl w:val="0"/>
          <w:numId w:val="20"/>
        </w:numPr>
        <w:shd w:val="clear" w:color="auto" w:fill="auto"/>
        <w:tabs>
          <w:tab w:val="left" w:pos="704"/>
        </w:tabs>
        <w:spacing w:before="0" w:after="364" w:line="240" w:lineRule="exact"/>
        <w:ind w:left="740" w:hanging="720"/>
      </w:pPr>
      <w:r>
        <w:rPr>
          <w:rStyle w:val="Bodytext4"/>
        </w:rPr>
        <w:t>This is the princi</w:t>
      </w:r>
      <w:r>
        <w:rPr>
          <w:rStyle w:val="Bodytext4"/>
        </w:rPr>
        <w:t>pal issue which is the bone of contention.</w:t>
      </w:r>
    </w:p>
    <w:p w:rsidR="00884A28" w:rsidRDefault="00350526">
      <w:pPr>
        <w:pStyle w:val="Bodytext0"/>
        <w:numPr>
          <w:ilvl w:val="0"/>
          <w:numId w:val="20"/>
        </w:numPr>
        <w:shd w:val="clear" w:color="auto" w:fill="auto"/>
        <w:tabs>
          <w:tab w:val="left" w:pos="704"/>
        </w:tabs>
        <w:spacing w:before="0" w:after="240"/>
        <w:ind w:left="740" w:right="20" w:hanging="720"/>
      </w:pPr>
      <w:r>
        <w:rPr>
          <w:rStyle w:val="Bodytext4"/>
        </w:rPr>
        <w:t xml:space="preserve">In order to discuss and analyse this aspect, it would be apt to take note of the salient provisions of the Competition Act as well as the TRAI Act inasmuch as that would facilitate appreciating the arguments so </w:t>
      </w:r>
      <w:r>
        <w:rPr>
          <w:rStyle w:val="Bodytext4"/>
        </w:rPr>
        <w:t>advanced.</w:t>
      </w:r>
    </w:p>
    <w:p w:rsidR="00884A28" w:rsidRDefault="00350526">
      <w:pPr>
        <w:pStyle w:val="Bodytext0"/>
        <w:numPr>
          <w:ilvl w:val="0"/>
          <w:numId w:val="20"/>
        </w:numPr>
        <w:shd w:val="clear" w:color="auto" w:fill="auto"/>
        <w:spacing w:before="0"/>
        <w:ind w:left="740" w:right="20" w:hanging="720"/>
      </w:pPr>
      <w:r>
        <w:rPr>
          <w:rStyle w:val="Bodytext4"/>
        </w:rPr>
        <w:t xml:space="preserve"> In the wake of globalisation and keeping in view the economic development of the country, responding to opening of its economy and resorting to liberalisation, need was felt to enact a law that ensures fair competition in India by prohibiting tr</w:t>
      </w:r>
      <w:r>
        <w:rPr>
          <w:rStyle w:val="Bodytext4"/>
        </w:rPr>
        <w:t>ade practices which cause an appreciable adverse effect on competition within markets in India and for establishment of an expert body in the form of Competition Commission of India, which would discharge the duty of curbing negative aspects of</w:t>
      </w:r>
    </w:p>
    <w:p w:rsidR="00884A28" w:rsidRDefault="00350526">
      <w:pPr>
        <w:pStyle w:val="Bodytext0"/>
        <w:shd w:val="clear" w:color="auto" w:fill="auto"/>
        <w:spacing w:before="0" w:after="326" w:line="240" w:lineRule="exact"/>
        <w:ind w:left="720" w:firstLine="0"/>
        <w:jc w:val="left"/>
      </w:pPr>
      <w:r>
        <w:rPr>
          <w:rStyle w:val="Bodytext4"/>
        </w:rPr>
        <w:t>competition</w:t>
      </w:r>
      <w:r>
        <w:rPr>
          <w:rStyle w:val="Bodytext4"/>
        </w:rPr>
        <w:t>, the Competition Act, 2002 has been enacted by the</w:t>
      </w:r>
    </w:p>
    <w:p w:rsidR="00884A28" w:rsidRDefault="00350526">
      <w:pPr>
        <w:pStyle w:val="Bodytext0"/>
        <w:shd w:val="clear" w:color="auto" w:fill="auto"/>
        <w:spacing w:before="0" w:after="364" w:line="240" w:lineRule="exact"/>
        <w:ind w:left="720" w:firstLine="0"/>
        <w:jc w:val="left"/>
      </w:pPr>
      <w:r>
        <w:rPr>
          <w:rStyle w:val="Bodytext4"/>
        </w:rPr>
        <w:t>Parliament.</w:t>
      </w:r>
    </w:p>
    <w:p w:rsidR="00884A28" w:rsidRDefault="00350526">
      <w:pPr>
        <w:pStyle w:val="Bodytext0"/>
        <w:numPr>
          <w:ilvl w:val="0"/>
          <w:numId w:val="20"/>
        </w:numPr>
        <w:shd w:val="clear" w:color="auto" w:fill="auto"/>
        <w:tabs>
          <w:tab w:val="left" w:pos="730"/>
        </w:tabs>
        <w:spacing w:before="0"/>
        <w:ind w:left="720" w:right="280" w:hanging="720"/>
      </w:pPr>
      <w:r>
        <w:rPr>
          <w:rStyle w:val="Bodytext4"/>
        </w:rPr>
        <w:t>Having regard to this specific objective which the Act seeks to achieve, provisions contained therein, which are relevant for deciding the instant appeals, are reproduced below:</w:t>
      </w:r>
    </w:p>
    <w:p w:rsidR="00884A28" w:rsidRDefault="00350526">
      <w:pPr>
        <w:pStyle w:val="Heading20"/>
        <w:keepNext/>
        <w:keepLines/>
        <w:shd w:val="clear" w:color="auto" w:fill="auto"/>
        <w:spacing w:after="259" w:line="240" w:lineRule="exact"/>
        <w:ind w:left="1420"/>
      </w:pPr>
      <w:bookmarkStart w:id="16" w:name="bookmark19"/>
      <w:r>
        <w:rPr>
          <w:rStyle w:val="Heading2NotBold"/>
        </w:rPr>
        <w:t>"</w:t>
      </w:r>
      <w:r>
        <w:t xml:space="preserve">2. </w:t>
      </w:r>
      <w:r>
        <w:t>Definitions. -</w:t>
      </w:r>
      <w:bookmarkEnd w:id="16"/>
    </w:p>
    <w:p w:rsidR="00884A28" w:rsidRDefault="00350526">
      <w:pPr>
        <w:pStyle w:val="Bodytext0"/>
        <w:shd w:val="clear" w:color="auto" w:fill="auto"/>
        <w:tabs>
          <w:tab w:val="left" w:pos="4642"/>
          <w:tab w:val="right" w:pos="6346"/>
        </w:tabs>
        <w:spacing w:before="0" w:after="266" w:line="240" w:lineRule="exact"/>
        <w:ind w:left="3260" w:firstLine="0"/>
      </w:pPr>
      <w:r>
        <w:rPr>
          <w:rStyle w:val="Bodytext4"/>
        </w:rPr>
        <w:t>xx</w:t>
      </w:r>
      <w:r>
        <w:rPr>
          <w:rStyle w:val="Bodytext4"/>
        </w:rPr>
        <w:tab/>
        <w:t>xx</w:t>
      </w:r>
      <w:r>
        <w:rPr>
          <w:rStyle w:val="Bodytext4"/>
        </w:rPr>
        <w:tab/>
        <w:t>xx</w:t>
      </w:r>
    </w:p>
    <w:p w:rsidR="00884A28" w:rsidRDefault="00350526">
      <w:pPr>
        <w:pStyle w:val="Bodytext0"/>
        <w:numPr>
          <w:ilvl w:val="0"/>
          <w:numId w:val="27"/>
        </w:numPr>
        <w:shd w:val="clear" w:color="auto" w:fill="auto"/>
        <w:spacing w:before="0" w:after="240" w:line="298" w:lineRule="exact"/>
        <w:ind w:left="1420" w:right="940" w:firstLine="0"/>
      </w:pPr>
      <w:r>
        <w:rPr>
          <w:rStyle w:val="Bodytext4"/>
        </w:rPr>
        <w:t xml:space="preserve"> “agreement” includes any arrangement or understanding or action in concert, -</w:t>
      </w:r>
    </w:p>
    <w:p w:rsidR="00884A28" w:rsidRDefault="00350526">
      <w:pPr>
        <w:pStyle w:val="Bodytext0"/>
        <w:numPr>
          <w:ilvl w:val="0"/>
          <w:numId w:val="28"/>
        </w:numPr>
        <w:shd w:val="clear" w:color="auto" w:fill="auto"/>
        <w:spacing w:before="0" w:after="240" w:line="298" w:lineRule="exact"/>
        <w:ind w:left="1700" w:right="1280" w:firstLine="0"/>
      </w:pPr>
      <w:r>
        <w:rPr>
          <w:rStyle w:val="Bodytext4"/>
        </w:rPr>
        <w:t xml:space="preserve"> whether or not, such arrangement, understanding or action is formal or in writing; or</w:t>
      </w:r>
    </w:p>
    <w:p w:rsidR="00884A28" w:rsidRDefault="00350526">
      <w:pPr>
        <w:pStyle w:val="Bodytext0"/>
        <w:numPr>
          <w:ilvl w:val="0"/>
          <w:numId w:val="28"/>
        </w:numPr>
        <w:shd w:val="clear" w:color="auto" w:fill="auto"/>
        <w:spacing w:before="0" w:after="286" w:line="298" w:lineRule="exact"/>
        <w:ind w:left="1700" w:right="1280" w:firstLine="0"/>
      </w:pPr>
      <w:r>
        <w:rPr>
          <w:rStyle w:val="Bodytext4"/>
        </w:rPr>
        <w:t xml:space="preserve"> whether or not such arrangement, understanding or action is intended to be enforceable by legal proceedings;</w:t>
      </w:r>
    </w:p>
    <w:p w:rsidR="00884A28" w:rsidRDefault="00350526">
      <w:pPr>
        <w:pStyle w:val="Bodytext0"/>
        <w:shd w:val="clear" w:color="auto" w:fill="auto"/>
        <w:tabs>
          <w:tab w:val="left" w:pos="4642"/>
          <w:tab w:val="right" w:pos="6346"/>
        </w:tabs>
        <w:spacing w:before="0" w:after="266" w:line="240" w:lineRule="exact"/>
        <w:ind w:left="3260" w:firstLine="0"/>
      </w:pPr>
      <w:r>
        <w:rPr>
          <w:rStyle w:val="Bodytext4"/>
        </w:rPr>
        <w:t>xx</w:t>
      </w:r>
      <w:r>
        <w:rPr>
          <w:rStyle w:val="Bodytext4"/>
        </w:rPr>
        <w:tab/>
        <w:t>xx</w:t>
      </w:r>
      <w:r>
        <w:rPr>
          <w:rStyle w:val="Bodytext4"/>
        </w:rPr>
        <w:tab/>
        <w:t>xx</w:t>
      </w:r>
    </w:p>
    <w:p w:rsidR="00884A28" w:rsidRDefault="00350526">
      <w:pPr>
        <w:pStyle w:val="Bodytext0"/>
        <w:numPr>
          <w:ilvl w:val="0"/>
          <w:numId w:val="27"/>
        </w:numPr>
        <w:shd w:val="clear" w:color="auto" w:fill="auto"/>
        <w:spacing w:before="0" w:after="286" w:line="298" w:lineRule="exact"/>
        <w:ind w:left="1420" w:right="940" w:firstLine="0"/>
      </w:pPr>
      <w:r>
        <w:rPr>
          <w:rStyle w:val="Bodytext4"/>
        </w:rPr>
        <w:t xml:space="preserve"> “cartel” includes an association of producers, sellers, distributors, traders or service providers who, by agreement amongst themselves,</w:t>
      </w:r>
      <w:r>
        <w:rPr>
          <w:rStyle w:val="Bodytext4"/>
        </w:rPr>
        <w:t xml:space="preserve"> limit control or attempt to control the production, distribution, sale or price of, or, trade in goods or provision of services;</w:t>
      </w:r>
    </w:p>
    <w:p w:rsidR="00884A28" w:rsidRDefault="00350526">
      <w:pPr>
        <w:pStyle w:val="Bodytext0"/>
        <w:shd w:val="clear" w:color="auto" w:fill="auto"/>
        <w:tabs>
          <w:tab w:val="left" w:pos="4642"/>
          <w:tab w:val="right" w:pos="6346"/>
        </w:tabs>
        <w:spacing w:before="0" w:after="266" w:line="240" w:lineRule="exact"/>
        <w:ind w:left="3260" w:firstLine="0"/>
      </w:pPr>
      <w:r>
        <w:rPr>
          <w:rStyle w:val="Bodytext4"/>
        </w:rPr>
        <w:t>xx</w:t>
      </w:r>
      <w:r>
        <w:rPr>
          <w:rStyle w:val="Bodytext4"/>
        </w:rPr>
        <w:tab/>
        <w:t>xx</w:t>
      </w:r>
      <w:r>
        <w:rPr>
          <w:rStyle w:val="Bodytext4"/>
        </w:rPr>
        <w:tab/>
        <w:t>xx</w:t>
      </w:r>
    </w:p>
    <w:p w:rsidR="00884A28" w:rsidRDefault="00350526">
      <w:pPr>
        <w:pStyle w:val="Bodytext0"/>
        <w:numPr>
          <w:ilvl w:val="0"/>
          <w:numId w:val="29"/>
        </w:numPr>
        <w:shd w:val="clear" w:color="auto" w:fill="auto"/>
        <w:tabs>
          <w:tab w:val="left" w:pos="2202"/>
        </w:tabs>
        <w:spacing w:before="0" w:after="286" w:line="298" w:lineRule="exact"/>
        <w:ind w:left="1420" w:right="940" w:firstLine="0"/>
      </w:pPr>
      <w:r>
        <w:rPr>
          <w:rStyle w:val="Bodytext4"/>
        </w:rPr>
        <w:t xml:space="preserve">“Director General” means the Director-General appointed under sub-section (1) of section 16 and includes any </w:t>
      </w:r>
      <w:r>
        <w:rPr>
          <w:rStyle w:val="Bodytext4"/>
        </w:rPr>
        <w:t>Additional, Joint, Deputy or Assistant Directors General appointed under that section;</w:t>
      </w:r>
    </w:p>
    <w:p w:rsidR="00884A28" w:rsidRDefault="00350526">
      <w:pPr>
        <w:pStyle w:val="Bodytext0"/>
        <w:shd w:val="clear" w:color="auto" w:fill="auto"/>
        <w:tabs>
          <w:tab w:val="left" w:pos="4642"/>
          <w:tab w:val="right" w:pos="6346"/>
        </w:tabs>
        <w:spacing w:before="0" w:after="262" w:line="240" w:lineRule="exact"/>
        <w:ind w:left="3260" w:firstLine="0"/>
      </w:pPr>
      <w:r>
        <w:rPr>
          <w:rStyle w:val="Bodytext4"/>
        </w:rPr>
        <w:t>xx</w:t>
      </w:r>
      <w:r>
        <w:rPr>
          <w:rStyle w:val="Bodytext4"/>
        </w:rPr>
        <w:tab/>
        <w:t>xx</w:t>
      </w:r>
      <w:r>
        <w:rPr>
          <w:rStyle w:val="Bodytext4"/>
        </w:rPr>
        <w:tab/>
        <w:t>xx</w:t>
      </w:r>
    </w:p>
    <w:p w:rsidR="00884A28" w:rsidRDefault="00350526">
      <w:pPr>
        <w:pStyle w:val="Bodytext0"/>
        <w:shd w:val="clear" w:color="auto" w:fill="auto"/>
        <w:spacing w:before="0" w:after="290" w:line="302" w:lineRule="exact"/>
        <w:ind w:left="1420" w:right="940" w:firstLine="0"/>
      </w:pPr>
      <w:r>
        <w:rPr>
          <w:rStyle w:val="Bodytext4"/>
        </w:rPr>
        <w:t>(m) “practice” includes any practice relating to the carrying on of any trade by a person or an enterprise;</w:t>
      </w:r>
    </w:p>
    <w:p w:rsidR="00884A28" w:rsidRDefault="00350526">
      <w:pPr>
        <w:pStyle w:val="Bodytext0"/>
        <w:shd w:val="clear" w:color="auto" w:fill="auto"/>
        <w:tabs>
          <w:tab w:val="left" w:pos="4642"/>
          <w:tab w:val="right" w:pos="6346"/>
        </w:tabs>
        <w:spacing w:before="0" w:line="240" w:lineRule="exact"/>
        <w:ind w:left="3260" w:firstLine="0"/>
        <w:sectPr w:rsidR="00884A28">
          <w:type w:val="continuous"/>
          <w:pgSz w:w="12240" w:h="15840"/>
          <w:pgMar w:top="570" w:right="1195" w:bottom="1084" w:left="1195" w:header="0" w:footer="3" w:gutter="706"/>
          <w:cols w:space="720"/>
          <w:noEndnote/>
          <w:docGrid w:linePitch="360"/>
        </w:sectPr>
      </w:pPr>
      <w:r>
        <w:rPr>
          <w:rStyle w:val="Bodytext4"/>
        </w:rPr>
        <w:t>xx</w:t>
      </w:r>
      <w:r>
        <w:rPr>
          <w:rStyle w:val="Bodytext4"/>
        </w:rPr>
        <w:tab/>
        <w:t>xx</w:t>
      </w:r>
      <w:r>
        <w:rPr>
          <w:rStyle w:val="Bodytext4"/>
        </w:rPr>
        <w:tab/>
        <w:t>xx</w:t>
      </w:r>
    </w:p>
    <w:p w:rsidR="00884A28" w:rsidRDefault="00350526">
      <w:pPr>
        <w:pStyle w:val="Bodytext0"/>
        <w:shd w:val="clear" w:color="auto" w:fill="auto"/>
        <w:spacing w:before="0" w:after="286" w:line="298" w:lineRule="exact"/>
        <w:ind w:left="20" w:right="20" w:firstLine="0"/>
      </w:pPr>
      <w:r>
        <w:rPr>
          <w:rStyle w:val="Bodytext4"/>
        </w:rPr>
        <w:t>(u) “service” means ser</w:t>
      </w:r>
      <w:r>
        <w:rPr>
          <w:rStyle w:val="Bodytext4"/>
        </w:rPr>
        <w:t xml:space="preserve">vice of any description which is made available to potential users and includes the provision of services in connection with business of any industrial or commercial matters such as banking, communication, education, financing, insurance, chit funds, real </w:t>
      </w:r>
      <w:r>
        <w:rPr>
          <w:rStyle w:val="Bodytext4"/>
        </w:rPr>
        <w:t>estate, transport, storage, material treatment, processing, supply of electrical or other energy, boarding, lodging, entertainment, amusement, construction, repair, conveying of news or information and advertising;</w:t>
      </w:r>
    </w:p>
    <w:p w:rsidR="00884A28" w:rsidRDefault="00350526">
      <w:pPr>
        <w:pStyle w:val="Bodytext0"/>
        <w:shd w:val="clear" w:color="auto" w:fill="auto"/>
        <w:tabs>
          <w:tab w:val="right" w:pos="3510"/>
          <w:tab w:val="right" w:pos="4926"/>
        </w:tabs>
        <w:spacing w:before="0" w:after="266" w:line="240" w:lineRule="exact"/>
        <w:ind w:left="1840" w:firstLine="0"/>
      </w:pPr>
      <w:r>
        <w:rPr>
          <w:rStyle w:val="Bodytext4"/>
        </w:rPr>
        <w:t>xx</w:t>
      </w:r>
      <w:r>
        <w:rPr>
          <w:rStyle w:val="Bodytext4"/>
        </w:rPr>
        <w:tab/>
        <w:t>xx</w:t>
      </w:r>
      <w:r>
        <w:rPr>
          <w:rStyle w:val="Bodytext4"/>
        </w:rPr>
        <w:tab/>
        <w:t>xx</w:t>
      </w:r>
    </w:p>
    <w:p w:rsidR="00884A28" w:rsidRDefault="00350526">
      <w:pPr>
        <w:pStyle w:val="Bodytext0"/>
        <w:numPr>
          <w:ilvl w:val="0"/>
          <w:numId w:val="30"/>
        </w:numPr>
        <w:shd w:val="clear" w:color="auto" w:fill="auto"/>
        <w:tabs>
          <w:tab w:val="left" w:pos="409"/>
        </w:tabs>
        <w:spacing w:before="0" w:after="236" w:line="298" w:lineRule="exact"/>
        <w:ind w:left="20" w:right="20" w:firstLine="0"/>
      </w:pPr>
      <w:r>
        <w:rPr>
          <w:rStyle w:val="BodytextBold0"/>
        </w:rPr>
        <w:t xml:space="preserve">Anti-competitive agreements. - </w:t>
      </w:r>
      <w:r>
        <w:rPr>
          <w:rStyle w:val="Bodytext4"/>
        </w:rPr>
        <w:t xml:space="preserve">(1) No enterprise or association of enterprises or person or association of persons shall enter into any agreement in respect of production, supply, distribution, storage, acquisition or control of goods or provision of services, which causes or is likely </w:t>
      </w:r>
      <w:r>
        <w:rPr>
          <w:rStyle w:val="Bodytext4"/>
        </w:rPr>
        <w:t>to case an appreciable adverse effect on competition within India.</w:t>
      </w:r>
    </w:p>
    <w:p w:rsidR="00884A28" w:rsidRDefault="00350526">
      <w:pPr>
        <w:pStyle w:val="Bodytext0"/>
        <w:numPr>
          <w:ilvl w:val="0"/>
          <w:numId w:val="31"/>
        </w:numPr>
        <w:shd w:val="clear" w:color="auto" w:fill="auto"/>
        <w:spacing w:before="0" w:after="244" w:line="302" w:lineRule="exact"/>
        <w:ind w:left="20" w:right="20" w:firstLine="0"/>
      </w:pPr>
      <w:r>
        <w:rPr>
          <w:rStyle w:val="Bodytext4"/>
        </w:rPr>
        <w:t xml:space="preserve"> Any agreement entered into in contravention of the provisions contained in sub-section (1) shall be void.</w:t>
      </w:r>
    </w:p>
    <w:p w:rsidR="00884A28" w:rsidRDefault="00350526">
      <w:pPr>
        <w:pStyle w:val="Bodytext0"/>
        <w:numPr>
          <w:ilvl w:val="0"/>
          <w:numId w:val="31"/>
        </w:numPr>
        <w:shd w:val="clear" w:color="auto" w:fill="auto"/>
        <w:spacing w:before="0" w:after="240" w:line="298" w:lineRule="exact"/>
        <w:ind w:left="20" w:right="20" w:firstLine="0"/>
      </w:pPr>
      <w:r>
        <w:rPr>
          <w:rStyle w:val="Bodytext4"/>
        </w:rPr>
        <w:t xml:space="preserve"> Any agreement entered into between enterprises or associations of enterprises or </w:t>
      </w:r>
      <w:r>
        <w:rPr>
          <w:rStyle w:val="Bodytext4"/>
        </w:rPr>
        <w:t>persons or associations of persons or between any person and enterprise or practice carried on, or decision taken by, any association of enterprises or association of persons, including cartels, engaged in identical or similar trade of goods or provision o</w:t>
      </w:r>
      <w:r>
        <w:rPr>
          <w:rStyle w:val="Bodytext4"/>
        </w:rPr>
        <w:t>f services, which -</w:t>
      </w:r>
    </w:p>
    <w:p w:rsidR="00884A28" w:rsidRDefault="00350526">
      <w:pPr>
        <w:pStyle w:val="Bodytext0"/>
        <w:numPr>
          <w:ilvl w:val="0"/>
          <w:numId w:val="32"/>
        </w:numPr>
        <w:shd w:val="clear" w:color="auto" w:fill="auto"/>
        <w:spacing w:before="0" w:after="240" w:line="298" w:lineRule="exact"/>
        <w:ind w:left="300" w:right="360" w:firstLine="0"/>
      </w:pPr>
      <w:r>
        <w:rPr>
          <w:rStyle w:val="Bodytext4"/>
        </w:rPr>
        <w:t xml:space="preserve"> directly or indirectly determines purchase or sale prices;</w:t>
      </w:r>
    </w:p>
    <w:p w:rsidR="00884A28" w:rsidRDefault="00350526">
      <w:pPr>
        <w:pStyle w:val="Bodytext0"/>
        <w:numPr>
          <w:ilvl w:val="0"/>
          <w:numId w:val="32"/>
        </w:numPr>
        <w:shd w:val="clear" w:color="auto" w:fill="auto"/>
        <w:spacing w:before="0" w:after="240" w:line="298" w:lineRule="exact"/>
        <w:ind w:left="300" w:right="360" w:firstLine="0"/>
      </w:pPr>
      <w:r>
        <w:rPr>
          <w:rStyle w:val="Bodytext4"/>
        </w:rPr>
        <w:t xml:space="preserve"> limits or controls production, supply, markets, technical development, investment or provision of services;</w:t>
      </w:r>
    </w:p>
    <w:p w:rsidR="00884A28" w:rsidRDefault="00350526">
      <w:pPr>
        <w:pStyle w:val="Bodytext0"/>
        <w:numPr>
          <w:ilvl w:val="0"/>
          <w:numId w:val="32"/>
        </w:numPr>
        <w:shd w:val="clear" w:color="auto" w:fill="auto"/>
        <w:spacing w:before="0" w:line="298" w:lineRule="exact"/>
        <w:ind w:left="300" w:right="360" w:firstLine="0"/>
      </w:pPr>
      <w:r>
        <w:rPr>
          <w:rStyle w:val="Bodytext4"/>
        </w:rPr>
        <w:t xml:space="preserve"> shares the market or source of production or provision of services</w:t>
      </w:r>
      <w:r>
        <w:rPr>
          <w:rStyle w:val="Bodytext4"/>
        </w:rPr>
        <w:t xml:space="preserve"> by way of allocation of geographical area of market, or type of goods or services, or number of customers in the market or any other similar way;</w:t>
      </w:r>
    </w:p>
    <w:p w:rsidR="00884A28" w:rsidRDefault="00350526">
      <w:pPr>
        <w:pStyle w:val="Bodytext0"/>
        <w:numPr>
          <w:ilvl w:val="0"/>
          <w:numId w:val="32"/>
        </w:numPr>
        <w:shd w:val="clear" w:color="auto" w:fill="auto"/>
        <w:tabs>
          <w:tab w:val="left" w:pos="934"/>
        </w:tabs>
        <w:spacing w:before="0" w:after="244" w:line="302" w:lineRule="exact"/>
        <w:ind w:left="300" w:right="360" w:firstLine="0"/>
      </w:pPr>
      <w:r>
        <w:rPr>
          <w:rStyle w:val="Bodytext4"/>
        </w:rPr>
        <w:t xml:space="preserve">directly or indirectly results in bid rigging or collusive bidding, shall be presumed to have an appreciable </w:t>
      </w:r>
      <w:r>
        <w:rPr>
          <w:rStyle w:val="Bodytext4"/>
        </w:rPr>
        <w:t>adverse effect on competition:</w:t>
      </w:r>
    </w:p>
    <w:p w:rsidR="00884A28" w:rsidRDefault="00350526">
      <w:pPr>
        <w:pStyle w:val="Bodytext0"/>
        <w:shd w:val="clear" w:color="auto" w:fill="auto"/>
        <w:spacing w:before="0" w:after="240" w:line="298" w:lineRule="exact"/>
        <w:ind w:left="20" w:right="20" w:firstLine="0"/>
      </w:pPr>
      <w:r>
        <w:rPr>
          <w:rStyle w:val="Bodytext4"/>
        </w:rPr>
        <w:t>Provided that nothing contained in this sub-section shall apply to any agreement entered into by way of joint ventures if such agreement increases efficiency in production, supply, distribution, storage, acquisition or contro</w:t>
      </w:r>
      <w:r>
        <w:rPr>
          <w:rStyle w:val="Bodytext4"/>
        </w:rPr>
        <w:t>l of goods or provisions of services.</w:t>
      </w:r>
    </w:p>
    <w:p w:rsidR="00884A28" w:rsidRDefault="00350526">
      <w:pPr>
        <w:pStyle w:val="Bodytext0"/>
        <w:shd w:val="clear" w:color="auto" w:fill="auto"/>
        <w:spacing w:before="0" w:after="286" w:line="298" w:lineRule="exact"/>
        <w:ind w:left="20" w:right="20" w:firstLine="0"/>
      </w:pPr>
      <w:r>
        <w:rPr>
          <w:rStyle w:val="BodytextItalic1"/>
        </w:rPr>
        <w:t>Explanation. -</w:t>
      </w:r>
      <w:r>
        <w:rPr>
          <w:rStyle w:val="Bodytext4"/>
        </w:rPr>
        <w:t xml:space="preserve"> For the purpose of this sub-section, “bid rigging” means by agreement, between enterprises or persons referred to in sub-section (3) engaged in identical or similar production or trading of goods or prov</w:t>
      </w:r>
      <w:r>
        <w:rPr>
          <w:rStyle w:val="Bodytext4"/>
        </w:rPr>
        <w:t>ision of services, which has the effect of eliminating or reducing competition for bids or adversely affecting or manipulating the process for bidding.</w:t>
      </w:r>
    </w:p>
    <w:p w:rsidR="00884A28" w:rsidRDefault="00350526">
      <w:pPr>
        <w:pStyle w:val="Bodytext0"/>
        <w:shd w:val="clear" w:color="auto" w:fill="auto"/>
        <w:tabs>
          <w:tab w:val="center" w:pos="3406"/>
          <w:tab w:val="center" w:pos="4822"/>
        </w:tabs>
        <w:spacing w:before="0" w:after="266" w:line="240" w:lineRule="exact"/>
        <w:ind w:left="1860" w:firstLine="0"/>
      </w:pPr>
      <w:r>
        <w:rPr>
          <w:rStyle w:val="Bodytext4"/>
        </w:rPr>
        <w:t>xx</w:t>
      </w:r>
      <w:r>
        <w:rPr>
          <w:rStyle w:val="Bodytext4"/>
        </w:rPr>
        <w:tab/>
        <w:t>xx</w:t>
      </w:r>
      <w:r>
        <w:rPr>
          <w:rStyle w:val="Bodytext4"/>
        </w:rPr>
        <w:tab/>
        <w:t>xx</w:t>
      </w:r>
    </w:p>
    <w:p w:rsidR="00884A28" w:rsidRDefault="00350526">
      <w:pPr>
        <w:pStyle w:val="Bodytext0"/>
        <w:shd w:val="clear" w:color="auto" w:fill="auto"/>
        <w:spacing w:before="0" w:after="240" w:line="298" w:lineRule="exact"/>
        <w:ind w:left="20" w:right="20" w:firstLine="0"/>
      </w:pPr>
      <w:r>
        <w:rPr>
          <w:rStyle w:val="BodytextBold0"/>
        </w:rPr>
        <w:t xml:space="preserve">19. Inquiry into certain agreements and dominant position of enterprise. - </w:t>
      </w:r>
      <w:r>
        <w:rPr>
          <w:rStyle w:val="Bodytext4"/>
        </w:rPr>
        <w:t>(1) The Commission m</w:t>
      </w:r>
      <w:r>
        <w:rPr>
          <w:rStyle w:val="Bodytext4"/>
        </w:rPr>
        <w:t>ay inquire into any alleged contravention of the provisions contained in sub-section (1) of section 3 or sub-section (1) of section 4 either on its own motion or on -</w:t>
      </w:r>
    </w:p>
    <w:p w:rsidR="00884A28" w:rsidRDefault="00350526">
      <w:pPr>
        <w:pStyle w:val="Bodytext0"/>
        <w:shd w:val="clear" w:color="auto" w:fill="auto"/>
        <w:spacing w:before="0" w:after="240" w:line="298" w:lineRule="exact"/>
        <w:ind w:left="300" w:right="360" w:firstLine="0"/>
      </w:pPr>
      <w:r>
        <w:rPr>
          <w:rStyle w:val="Bodytext4"/>
        </w:rPr>
        <w:t>“(a) receipt of any information, in such manner and accompanied by such fee as may be det</w:t>
      </w:r>
      <w:r>
        <w:rPr>
          <w:rStyle w:val="Bodytext4"/>
        </w:rPr>
        <w:t>ermined by regulations, from any person, consumer or their association or trade association; or</w:t>
      </w:r>
    </w:p>
    <w:p w:rsidR="00884A28" w:rsidRDefault="00350526">
      <w:pPr>
        <w:pStyle w:val="Bodytext0"/>
        <w:numPr>
          <w:ilvl w:val="0"/>
          <w:numId w:val="33"/>
        </w:numPr>
        <w:shd w:val="clear" w:color="auto" w:fill="auto"/>
        <w:tabs>
          <w:tab w:val="left" w:pos="1092"/>
        </w:tabs>
        <w:spacing w:before="0" w:after="240" w:line="298" w:lineRule="exact"/>
        <w:ind w:left="300" w:right="360" w:firstLine="0"/>
      </w:pPr>
      <w:r>
        <w:rPr>
          <w:rStyle w:val="Bodytext4"/>
        </w:rPr>
        <w:t>a reference made to it by the Central Government or a State Government or a statutory authority.</w:t>
      </w:r>
    </w:p>
    <w:p w:rsidR="00884A28" w:rsidRDefault="00350526">
      <w:pPr>
        <w:pStyle w:val="Bodytext0"/>
        <w:numPr>
          <w:ilvl w:val="0"/>
          <w:numId w:val="34"/>
        </w:numPr>
        <w:shd w:val="clear" w:color="auto" w:fill="auto"/>
        <w:spacing w:before="0" w:after="240" w:line="298" w:lineRule="exact"/>
        <w:ind w:left="20" w:right="20" w:firstLine="0"/>
      </w:pPr>
      <w:r>
        <w:rPr>
          <w:rStyle w:val="Bodytext4"/>
        </w:rPr>
        <w:t xml:space="preserve"> Without prejudice to the provisions contained in sub</w:t>
      </w:r>
      <w:r>
        <w:rPr>
          <w:rStyle w:val="Bodytext4"/>
        </w:rPr>
        <w:softHyphen/>
        <w:t xml:space="preserve">section </w:t>
      </w:r>
      <w:r>
        <w:rPr>
          <w:rStyle w:val="Bodytext4"/>
        </w:rPr>
        <w:t>(1), the powers and functions of the Commission shall include the powers and functions specified in sub</w:t>
      </w:r>
      <w:r>
        <w:rPr>
          <w:rStyle w:val="Bodytext4"/>
        </w:rPr>
        <w:softHyphen/>
        <w:t>sections (3) to (7).</w:t>
      </w:r>
    </w:p>
    <w:p w:rsidR="00884A28" w:rsidRDefault="00350526">
      <w:pPr>
        <w:pStyle w:val="Bodytext0"/>
        <w:numPr>
          <w:ilvl w:val="0"/>
          <w:numId w:val="34"/>
        </w:numPr>
        <w:shd w:val="clear" w:color="auto" w:fill="auto"/>
        <w:spacing w:before="0" w:after="286" w:line="298" w:lineRule="exact"/>
        <w:ind w:left="20" w:right="20" w:firstLine="0"/>
      </w:pPr>
      <w:r>
        <w:rPr>
          <w:rStyle w:val="Bodytext4"/>
        </w:rPr>
        <w:t xml:space="preserve"> The Commission shall, while determining whether an agreement has an appreciable adverse effect on competition under section 3, hav</w:t>
      </w:r>
      <w:r>
        <w:rPr>
          <w:rStyle w:val="Bodytext4"/>
        </w:rPr>
        <w:t>e due regard to all or any of the following factors, namely:</w:t>
      </w:r>
    </w:p>
    <w:p w:rsidR="00884A28" w:rsidRDefault="00350526">
      <w:pPr>
        <w:pStyle w:val="Bodytext0"/>
        <w:numPr>
          <w:ilvl w:val="0"/>
          <w:numId w:val="35"/>
        </w:numPr>
        <w:shd w:val="clear" w:color="auto" w:fill="auto"/>
        <w:tabs>
          <w:tab w:val="left" w:pos="761"/>
        </w:tabs>
        <w:spacing w:before="0" w:line="240" w:lineRule="exact"/>
        <w:ind w:left="300" w:firstLine="0"/>
      </w:pPr>
      <w:r>
        <w:rPr>
          <w:rStyle w:val="Bodytext4"/>
        </w:rPr>
        <w:t>creation of barriers to new entrants in the market;</w:t>
      </w:r>
    </w:p>
    <w:p w:rsidR="00884A28" w:rsidRDefault="00350526">
      <w:pPr>
        <w:pStyle w:val="Bodytext0"/>
        <w:numPr>
          <w:ilvl w:val="0"/>
          <w:numId w:val="35"/>
        </w:numPr>
        <w:shd w:val="clear" w:color="auto" w:fill="auto"/>
        <w:spacing w:before="0" w:after="261" w:line="240" w:lineRule="exact"/>
        <w:ind w:left="300" w:firstLine="0"/>
      </w:pPr>
      <w:r>
        <w:rPr>
          <w:rStyle w:val="Bodytext4"/>
        </w:rPr>
        <w:t xml:space="preserve"> driving existing competitors out of the market;</w:t>
      </w:r>
    </w:p>
    <w:p w:rsidR="00884A28" w:rsidRDefault="00350526">
      <w:pPr>
        <w:pStyle w:val="Bodytext0"/>
        <w:numPr>
          <w:ilvl w:val="0"/>
          <w:numId w:val="35"/>
        </w:numPr>
        <w:shd w:val="clear" w:color="auto" w:fill="auto"/>
        <w:spacing w:before="0" w:after="286" w:line="298" w:lineRule="exact"/>
        <w:ind w:left="300" w:right="360" w:firstLine="0"/>
      </w:pPr>
      <w:r>
        <w:rPr>
          <w:rStyle w:val="Bodytext4"/>
        </w:rPr>
        <w:t xml:space="preserve"> foreclosure of competition by hindering entry into the market;</w:t>
      </w:r>
    </w:p>
    <w:p w:rsidR="00884A28" w:rsidRDefault="00350526">
      <w:pPr>
        <w:pStyle w:val="Bodytext0"/>
        <w:numPr>
          <w:ilvl w:val="0"/>
          <w:numId w:val="35"/>
        </w:numPr>
        <w:shd w:val="clear" w:color="auto" w:fill="auto"/>
        <w:spacing w:before="0" w:after="257" w:line="240" w:lineRule="exact"/>
        <w:ind w:left="300" w:firstLine="0"/>
      </w:pPr>
      <w:r>
        <w:rPr>
          <w:rStyle w:val="Bodytext4"/>
        </w:rPr>
        <w:t xml:space="preserve"> accrual of benefits to consum</w:t>
      </w:r>
      <w:r>
        <w:rPr>
          <w:rStyle w:val="Bodytext4"/>
        </w:rPr>
        <w:t>ers;</w:t>
      </w:r>
    </w:p>
    <w:p w:rsidR="00884A28" w:rsidRDefault="00350526">
      <w:pPr>
        <w:pStyle w:val="Bodytext0"/>
        <w:numPr>
          <w:ilvl w:val="0"/>
          <w:numId w:val="35"/>
        </w:numPr>
        <w:shd w:val="clear" w:color="auto" w:fill="auto"/>
        <w:spacing w:before="0" w:after="244" w:line="302" w:lineRule="exact"/>
        <w:ind w:left="300" w:right="360" w:firstLine="0"/>
      </w:pPr>
      <w:r>
        <w:rPr>
          <w:rStyle w:val="Bodytext4"/>
        </w:rPr>
        <w:t xml:space="preserve"> improvements in production or distribution of goods or provision of services;</w:t>
      </w:r>
    </w:p>
    <w:p w:rsidR="00884A28" w:rsidRDefault="00350526">
      <w:pPr>
        <w:pStyle w:val="Bodytext0"/>
        <w:numPr>
          <w:ilvl w:val="0"/>
          <w:numId w:val="35"/>
        </w:numPr>
        <w:shd w:val="clear" w:color="auto" w:fill="auto"/>
        <w:spacing w:before="0" w:after="286" w:line="298" w:lineRule="exact"/>
        <w:ind w:left="300" w:right="360" w:firstLine="0"/>
      </w:pPr>
      <w:r>
        <w:rPr>
          <w:rStyle w:val="Bodytext4"/>
        </w:rPr>
        <w:t xml:space="preserve"> promotion of technical, scientific and economic development by means of production or distribution of goods or provision of services.</w:t>
      </w:r>
    </w:p>
    <w:p w:rsidR="00884A28" w:rsidRDefault="00350526">
      <w:pPr>
        <w:pStyle w:val="Bodytext0"/>
        <w:shd w:val="clear" w:color="auto" w:fill="auto"/>
        <w:tabs>
          <w:tab w:val="right" w:pos="4763"/>
        </w:tabs>
        <w:spacing w:before="0" w:after="261" w:line="240" w:lineRule="exact"/>
        <w:ind w:left="1960" w:firstLine="0"/>
      </w:pPr>
      <w:r>
        <w:rPr>
          <w:rStyle w:val="Bodytext4"/>
        </w:rPr>
        <w:t>xx xx</w:t>
      </w:r>
      <w:r>
        <w:rPr>
          <w:rStyle w:val="Bodytext4"/>
        </w:rPr>
        <w:tab/>
        <w:t>xx</w:t>
      </w:r>
    </w:p>
    <w:p w:rsidR="00884A28" w:rsidRDefault="00350526">
      <w:pPr>
        <w:pStyle w:val="Bodytext0"/>
        <w:shd w:val="clear" w:color="auto" w:fill="auto"/>
        <w:spacing w:before="0" w:after="236" w:line="298" w:lineRule="exact"/>
        <w:ind w:left="20" w:right="20" w:firstLine="0"/>
      </w:pPr>
      <w:r>
        <w:rPr>
          <w:rStyle w:val="BodytextBold0"/>
        </w:rPr>
        <w:t xml:space="preserve">21A. Reference by Commission. - </w:t>
      </w:r>
      <w:r>
        <w:rPr>
          <w:rStyle w:val="Bodytext4"/>
        </w:rPr>
        <w:t>(1) Where in the course of a proceeding before the Commission an issue is raised by any party that any decision, which the Commission has taken during such proceeding or proposes to take, is or would be contrary to any provi</w:t>
      </w:r>
      <w:r>
        <w:rPr>
          <w:rStyle w:val="Bodytext4"/>
        </w:rPr>
        <w:t>sion of this Act whose implementation is entrusted to a statutory authority, then the Commission may make a reference in respect of such issue to the statutory authority:</w:t>
      </w:r>
    </w:p>
    <w:p w:rsidR="00884A28" w:rsidRDefault="00350526">
      <w:pPr>
        <w:pStyle w:val="Bodytext0"/>
        <w:shd w:val="clear" w:color="auto" w:fill="auto"/>
        <w:spacing w:before="0" w:after="244" w:line="302" w:lineRule="exact"/>
        <w:ind w:left="20" w:right="20" w:firstLine="0"/>
      </w:pPr>
      <w:r>
        <w:rPr>
          <w:rStyle w:val="Bodytext4"/>
        </w:rPr>
        <w:t xml:space="preserve">Provided that the Commission, may, </w:t>
      </w:r>
      <w:r>
        <w:rPr>
          <w:rStyle w:val="BodytextItalic1"/>
        </w:rPr>
        <w:t>suo motu,</w:t>
      </w:r>
      <w:r>
        <w:rPr>
          <w:rStyle w:val="Bodytext4"/>
        </w:rPr>
        <w:t xml:space="preserve"> make such a reference to the statutory a</w:t>
      </w:r>
      <w:r>
        <w:rPr>
          <w:rStyle w:val="Bodytext4"/>
        </w:rPr>
        <w:t>uthority.</w:t>
      </w:r>
    </w:p>
    <w:p w:rsidR="00884A28" w:rsidRDefault="00350526">
      <w:pPr>
        <w:pStyle w:val="Bodytext0"/>
        <w:numPr>
          <w:ilvl w:val="0"/>
          <w:numId w:val="36"/>
        </w:numPr>
        <w:shd w:val="clear" w:color="auto" w:fill="auto"/>
        <w:tabs>
          <w:tab w:val="left" w:pos="594"/>
        </w:tabs>
        <w:spacing w:before="0" w:after="286" w:line="298" w:lineRule="exact"/>
        <w:ind w:left="20" w:right="20" w:firstLine="0"/>
      </w:pPr>
      <w:r>
        <w:rPr>
          <w:rStyle w:val="Bodytext4"/>
        </w:rPr>
        <w:t>On receipt of a reference under sub-section (1), the statutory authority shall give its opinion, within sixty days of receipt of such reference, to the Commission which shall consider the opinion of the statutory authority, and thereafter give it</w:t>
      </w:r>
      <w:r>
        <w:rPr>
          <w:rStyle w:val="Bodytext4"/>
        </w:rPr>
        <w:t>s findings recording reasons therefor on the issues referred to in the said opinion.</w:t>
      </w:r>
    </w:p>
    <w:p w:rsidR="00884A28" w:rsidRDefault="00350526">
      <w:pPr>
        <w:pStyle w:val="Bodytext0"/>
        <w:shd w:val="clear" w:color="auto" w:fill="auto"/>
        <w:tabs>
          <w:tab w:val="left" w:pos="3256"/>
          <w:tab w:val="center" w:pos="4802"/>
        </w:tabs>
        <w:spacing w:before="0" w:after="307" w:line="240" w:lineRule="exact"/>
        <w:ind w:left="1840" w:firstLine="0"/>
      </w:pPr>
      <w:r>
        <w:rPr>
          <w:rStyle w:val="Bodytext4"/>
        </w:rPr>
        <w:t>xx</w:t>
      </w:r>
      <w:r>
        <w:rPr>
          <w:rStyle w:val="Bodytext4"/>
        </w:rPr>
        <w:tab/>
        <w:t>xx</w:t>
      </w:r>
      <w:r>
        <w:rPr>
          <w:rStyle w:val="Bodytext4"/>
        </w:rPr>
        <w:tab/>
        <w:t>xx</w:t>
      </w:r>
    </w:p>
    <w:p w:rsidR="00884A28" w:rsidRDefault="00350526">
      <w:pPr>
        <w:pStyle w:val="Heading20"/>
        <w:keepNext/>
        <w:keepLines/>
        <w:numPr>
          <w:ilvl w:val="0"/>
          <w:numId w:val="37"/>
        </w:numPr>
        <w:shd w:val="clear" w:color="auto" w:fill="auto"/>
        <w:tabs>
          <w:tab w:val="left" w:pos="594"/>
        </w:tabs>
        <w:spacing w:after="0" w:line="240" w:lineRule="exact"/>
        <w:ind w:left="20"/>
      </w:pPr>
      <w:bookmarkStart w:id="17" w:name="bookmark20"/>
      <w:r>
        <w:t xml:space="preserve">Procedure for inquiry under section 19. - </w:t>
      </w:r>
      <w:r>
        <w:rPr>
          <w:rStyle w:val="Heading2NotBold"/>
        </w:rPr>
        <w:t>(1) On</w:t>
      </w:r>
      <w:bookmarkEnd w:id="17"/>
    </w:p>
    <w:p w:rsidR="00884A28" w:rsidRDefault="00350526">
      <w:pPr>
        <w:pStyle w:val="Bodytext0"/>
        <w:shd w:val="clear" w:color="auto" w:fill="auto"/>
        <w:spacing w:before="0" w:after="236" w:line="298" w:lineRule="exact"/>
        <w:ind w:left="20" w:right="20" w:firstLine="0"/>
      </w:pPr>
      <w:r>
        <w:rPr>
          <w:rStyle w:val="Bodytext4"/>
        </w:rPr>
        <w:t xml:space="preserve">receipt of a reference from the Central Government or a State Government or a statutory authority or on its own knowledge or information received under section 19, if the Commission is of the opinion that there exists a </w:t>
      </w:r>
      <w:r>
        <w:rPr>
          <w:rStyle w:val="BodytextItalic1"/>
        </w:rPr>
        <w:t>prima facie</w:t>
      </w:r>
      <w:r>
        <w:rPr>
          <w:rStyle w:val="Bodytext4"/>
        </w:rPr>
        <w:t xml:space="preserve"> case, it shall direct th</w:t>
      </w:r>
      <w:r>
        <w:rPr>
          <w:rStyle w:val="Bodytext4"/>
        </w:rPr>
        <w:t>e Director General to cause an investigation to be made into the matter:</w:t>
      </w:r>
    </w:p>
    <w:p w:rsidR="00884A28" w:rsidRDefault="00350526">
      <w:pPr>
        <w:pStyle w:val="Bodytext0"/>
        <w:shd w:val="clear" w:color="auto" w:fill="auto"/>
        <w:spacing w:before="0" w:after="244" w:line="302" w:lineRule="exact"/>
        <w:ind w:left="20" w:right="20" w:firstLine="0"/>
      </w:pPr>
      <w:r>
        <w:rPr>
          <w:rStyle w:val="Bodytext4"/>
        </w:rPr>
        <w:t>Provided that if the subject matter of an information received is, in the opinion of the Commission, substantially the same as or has been covered by any previous information received</w:t>
      </w:r>
      <w:r>
        <w:rPr>
          <w:rStyle w:val="Bodytext4"/>
        </w:rPr>
        <w:t>, then the new information may be clubbed with the previous information.</w:t>
      </w:r>
    </w:p>
    <w:p w:rsidR="00884A28" w:rsidRDefault="00350526">
      <w:pPr>
        <w:pStyle w:val="Bodytext0"/>
        <w:numPr>
          <w:ilvl w:val="0"/>
          <w:numId w:val="38"/>
        </w:numPr>
        <w:shd w:val="clear" w:color="auto" w:fill="auto"/>
        <w:spacing w:before="0" w:after="240" w:line="298" w:lineRule="exact"/>
        <w:ind w:left="20" w:right="20" w:firstLine="0"/>
      </w:pPr>
      <w:r>
        <w:rPr>
          <w:rStyle w:val="Bodytext4"/>
        </w:rPr>
        <w:t xml:space="preserve"> Where on receipt of a reference from the Central Government or a State Government or a statutory authority or information received under section 19,the Commission is of the opinion t</w:t>
      </w:r>
      <w:r>
        <w:rPr>
          <w:rStyle w:val="Bodytext4"/>
        </w:rPr>
        <w:t>hat there exists no prima facie case, it shall close the matter forthwith and pass such orders as it deems fit and send a copy of its order to the Central Government or the State Government or the statutory authority or the parties concerned, as the case m</w:t>
      </w:r>
      <w:r>
        <w:rPr>
          <w:rStyle w:val="Bodytext4"/>
        </w:rPr>
        <w:t>ay be.</w:t>
      </w:r>
    </w:p>
    <w:p w:rsidR="00884A28" w:rsidRDefault="00350526">
      <w:pPr>
        <w:pStyle w:val="Bodytext0"/>
        <w:numPr>
          <w:ilvl w:val="0"/>
          <w:numId w:val="38"/>
        </w:numPr>
        <w:shd w:val="clear" w:color="auto" w:fill="auto"/>
        <w:spacing w:before="0" w:after="240" w:line="298" w:lineRule="exact"/>
        <w:ind w:left="20" w:right="20" w:firstLine="0"/>
      </w:pPr>
      <w:r>
        <w:rPr>
          <w:rStyle w:val="Bodytext4"/>
        </w:rPr>
        <w:t xml:space="preserve"> The Director-General shall, on receipt of direction under sub-section (1), submit a report on his findings within such period as may be specified by the Commission.</w:t>
      </w:r>
    </w:p>
    <w:p w:rsidR="00884A28" w:rsidRDefault="00350526">
      <w:pPr>
        <w:pStyle w:val="Bodytext0"/>
        <w:numPr>
          <w:ilvl w:val="0"/>
          <w:numId w:val="38"/>
        </w:numPr>
        <w:shd w:val="clear" w:color="auto" w:fill="auto"/>
        <w:spacing w:before="0" w:after="240" w:line="298" w:lineRule="exact"/>
        <w:ind w:left="20" w:right="20" w:firstLine="0"/>
      </w:pPr>
      <w:r>
        <w:rPr>
          <w:rStyle w:val="Bodytext4"/>
        </w:rPr>
        <w:t xml:space="preserve"> The Commission may forward a copy of the report referred to in sub-section (3) to </w:t>
      </w:r>
      <w:r>
        <w:rPr>
          <w:rStyle w:val="Bodytext4"/>
        </w:rPr>
        <w:t>the parties concerned: Provided that in case the investigation is caused to be made based on reference received from the Central Government or the State Government or the statutory authority, the Commission shall forward a copy of the report referred to in</w:t>
      </w:r>
      <w:r>
        <w:rPr>
          <w:rStyle w:val="Bodytext4"/>
        </w:rPr>
        <w:t xml:space="preserve"> sub-section (3) to the Central Government or the State Government or the statutory authority, as the case may be.</w:t>
      </w:r>
    </w:p>
    <w:p w:rsidR="00884A28" w:rsidRDefault="00350526">
      <w:pPr>
        <w:pStyle w:val="Bodytext0"/>
        <w:numPr>
          <w:ilvl w:val="0"/>
          <w:numId w:val="38"/>
        </w:numPr>
        <w:shd w:val="clear" w:color="auto" w:fill="auto"/>
        <w:spacing w:before="0" w:after="240" w:line="298" w:lineRule="exact"/>
        <w:ind w:left="20" w:right="20" w:firstLine="0"/>
      </w:pPr>
      <w:r>
        <w:rPr>
          <w:rStyle w:val="Bodytext4"/>
        </w:rPr>
        <w:t xml:space="preserve"> If the report of the Director General referred to in sub</w:t>
      </w:r>
      <w:r>
        <w:rPr>
          <w:rStyle w:val="Bodytext4"/>
        </w:rPr>
        <w:softHyphen/>
        <w:t>section (3) recommends that there is no contravention of the provisions of this Act</w:t>
      </w:r>
      <w:r>
        <w:rPr>
          <w:rStyle w:val="Bodytext4"/>
        </w:rPr>
        <w:t>, the Commission shall invite objections or suggestions from the Central Government or the State Government or the statutory authority or the parties concerned, as the case may be, on such report of the Director-General.</w:t>
      </w:r>
    </w:p>
    <w:p w:rsidR="00884A28" w:rsidRDefault="00350526">
      <w:pPr>
        <w:pStyle w:val="Bodytext0"/>
        <w:numPr>
          <w:ilvl w:val="0"/>
          <w:numId w:val="38"/>
        </w:numPr>
        <w:shd w:val="clear" w:color="auto" w:fill="auto"/>
        <w:spacing w:before="0" w:after="236" w:line="298" w:lineRule="exact"/>
        <w:ind w:left="20" w:right="20" w:firstLine="0"/>
      </w:pPr>
      <w:r>
        <w:rPr>
          <w:rStyle w:val="Bodytext4"/>
        </w:rPr>
        <w:t xml:space="preserve"> If, after consideration of the objections and suggestions referred to in sub section (5), if any, the Commission agrees with the recommendation of the Director General, it shall close the matter forthwith and pass such orders as it deems fit and communica</w:t>
      </w:r>
      <w:r>
        <w:rPr>
          <w:rStyle w:val="Bodytext4"/>
        </w:rPr>
        <w:t>te its order to the Central Government or the State Government or the statutory authority or the parties concerned, as the case may be.</w:t>
      </w:r>
    </w:p>
    <w:p w:rsidR="00884A28" w:rsidRDefault="00350526">
      <w:pPr>
        <w:pStyle w:val="Bodytext0"/>
        <w:numPr>
          <w:ilvl w:val="0"/>
          <w:numId w:val="38"/>
        </w:numPr>
        <w:shd w:val="clear" w:color="auto" w:fill="auto"/>
        <w:spacing w:before="0" w:after="244" w:line="302" w:lineRule="exact"/>
        <w:ind w:left="20" w:right="20" w:firstLine="0"/>
      </w:pPr>
      <w:r>
        <w:rPr>
          <w:rStyle w:val="Bodytext4"/>
        </w:rPr>
        <w:t xml:space="preserve"> If, after consideration of the objections or suggestions referred to in sub section (5), if any, the Commission is of t</w:t>
      </w:r>
      <w:r>
        <w:rPr>
          <w:rStyle w:val="Bodytext4"/>
        </w:rPr>
        <w:t>he opinion that further investigations is called for, it may direct further investigation in the matter by the Director General or cause further inquiry to be made by in the matter or itself proceed with further inquiry in the matter in accordance with the</w:t>
      </w:r>
      <w:r>
        <w:rPr>
          <w:rStyle w:val="Bodytext4"/>
        </w:rPr>
        <w:t xml:space="preserve"> provisions of this Act.</w:t>
      </w:r>
    </w:p>
    <w:p w:rsidR="00884A28" w:rsidRDefault="00350526">
      <w:pPr>
        <w:pStyle w:val="Bodytext0"/>
        <w:numPr>
          <w:ilvl w:val="0"/>
          <w:numId w:val="38"/>
        </w:numPr>
        <w:shd w:val="clear" w:color="auto" w:fill="auto"/>
        <w:tabs>
          <w:tab w:val="left" w:pos="495"/>
        </w:tabs>
        <w:spacing w:before="0" w:after="286" w:line="298" w:lineRule="exact"/>
        <w:ind w:left="20" w:right="20" w:firstLine="0"/>
      </w:pPr>
      <w:r>
        <w:rPr>
          <w:rStyle w:val="Bodytext4"/>
        </w:rPr>
        <w:t>If the report of the Director-General referred to in sub</w:t>
      </w:r>
      <w:r>
        <w:rPr>
          <w:rStyle w:val="Bodytext4"/>
        </w:rPr>
        <w:softHyphen/>
        <w:t>section (3) recommends that there is contravention of any of the provisions of this Act, and the Commission is of the opinion that further inquiry is called for, it shall inq</w:t>
      </w:r>
      <w:r>
        <w:rPr>
          <w:rStyle w:val="Bodytext4"/>
        </w:rPr>
        <w:t>uire into such contravention in accordance with the provisions of this Act.</w:t>
      </w:r>
    </w:p>
    <w:p w:rsidR="00884A28" w:rsidRDefault="00350526">
      <w:pPr>
        <w:pStyle w:val="Bodytext0"/>
        <w:shd w:val="clear" w:color="auto" w:fill="auto"/>
        <w:tabs>
          <w:tab w:val="center" w:pos="3357"/>
          <w:tab w:val="left" w:pos="4640"/>
        </w:tabs>
        <w:spacing w:before="0" w:after="262" w:line="240" w:lineRule="exact"/>
        <w:ind w:left="1840" w:firstLine="0"/>
      </w:pPr>
      <w:r>
        <w:rPr>
          <w:rStyle w:val="Bodytext4"/>
        </w:rPr>
        <w:t>xx</w:t>
      </w:r>
      <w:r>
        <w:rPr>
          <w:rStyle w:val="Bodytext4"/>
        </w:rPr>
        <w:tab/>
        <w:t>xx</w:t>
      </w:r>
      <w:r>
        <w:rPr>
          <w:rStyle w:val="Bodytext4"/>
        </w:rPr>
        <w:tab/>
        <w:t>xx</w:t>
      </w:r>
    </w:p>
    <w:p w:rsidR="00884A28" w:rsidRDefault="00350526">
      <w:pPr>
        <w:pStyle w:val="Heading20"/>
        <w:keepNext/>
        <w:keepLines/>
        <w:shd w:val="clear" w:color="auto" w:fill="auto"/>
        <w:spacing w:after="290" w:line="302" w:lineRule="exact"/>
        <w:ind w:left="20" w:right="20"/>
      </w:pPr>
      <w:bookmarkStart w:id="18" w:name="bookmark21"/>
      <w:r>
        <w:t>36. Power of Commission to regulate its own procedure. -</w:t>
      </w:r>
      <w:bookmarkEnd w:id="18"/>
    </w:p>
    <w:p w:rsidR="00884A28" w:rsidRDefault="00350526">
      <w:pPr>
        <w:pStyle w:val="Bodytext0"/>
        <w:shd w:val="clear" w:color="auto" w:fill="auto"/>
        <w:tabs>
          <w:tab w:val="center" w:pos="3357"/>
          <w:tab w:val="left" w:pos="4640"/>
        </w:tabs>
        <w:spacing w:before="0" w:after="266" w:line="240" w:lineRule="exact"/>
        <w:ind w:left="1840" w:firstLine="0"/>
      </w:pPr>
      <w:r>
        <w:rPr>
          <w:rStyle w:val="Bodytext4"/>
        </w:rPr>
        <w:t>xx</w:t>
      </w:r>
      <w:r>
        <w:rPr>
          <w:rStyle w:val="Bodytext4"/>
        </w:rPr>
        <w:tab/>
        <w:t>xx</w:t>
      </w:r>
      <w:r>
        <w:rPr>
          <w:rStyle w:val="Bodytext4"/>
        </w:rPr>
        <w:tab/>
        <w:t>xx</w:t>
      </w:r>
    </w:p>
    <w:p w:rsidR="00884A28" w:rsidRDefault="00350526">
      <w:pPr>
        <w:pStyle w:val="Bodytext0"/>
        <w:numPr>
          <w:ilvl w:val="0"/>
          <w:numId w:val="39"/>
        </w:numPr>
        <w:shd w:val="clear" w:color="auto" w:fill="auto"/>
        <w:tabs>
          <w:tab w:val="left" w:pos="654"/>
        </w:tabs>
        <w:spacing w:before="0" w:after="244" w:line="298" w:lineRule="exact"/>
        <w:ind w:left="20" w:right="20" w:firstLine="0"/>
      </w:pPr>
      <w:r>
        <w:rPr>
          <w:rStyle w:val="Bodytext4"/>
        </w:rPr>
        <w:t xml:space="preserve">The Commission shall have, for the purposes of discharging its functions under this Act, the same powers </w:t>
      </w:r>
      <w:r>
        <w:rPr>
          <w:rStyle w:val="Bodytext4"/>
        </w:rPr>
        <w:t>as are vested in a Civil Court under the Code of Civil Procedure, 1908 (5 of 1908), while trying a suit, in respect of the following matters, namely:-</w:t>
      </w:r>
    </w:p>
    <w:p w:rsidR="00884A28" w:rsidRDefault="00350526">
      <w:pPr>
        <w:pStyle w:val="Bodytext0"/>
        <w:numPr>
          <w:ilvl w:val="0"/>
          <w:numId w:val="40"/>
        </w:numPr>
        <w:shd w:val="clear" w:color="auto" w:fill="auto"/>
        <w:spacing w:before="0" w:after="233" w:line="293" w:lineRule="exact"/>
        <w:ind w:left="300" w:right="360" w:firstLine="0"/>
      </w:pPr>
      <w:r>
        <w:rPr>
          <w:rStyle w:val="Bodytext4"/>
        </w:rPr>
        <w:t xml:space="preserve"> summoning and enforcing the attendance of any person and examining him on oath;</w:t>
      </w:r>
    </w:p>
    <w:p w:rsidR="00884A28" w:rsidRDefault="00884A28">
      <w:pPr>
        <w:pStyle w:val="Tableofcontents0"/>
        <w:numPr>
          <w:ilvl w:val="0"/>
          <w:numId w:val="40"/>
        </w:numPr>
        <w:shd w:val="clear" w:color="auto" w:fill="auto"/>
        <w:tabs>
          <w:tab w:val="left" w:pos="895"/>
          <w:tab w:val="right" w:pos="6444"/>
        </w:tabs>
        <w:spacing w:before="0"/>
        <w:ind w:left="300"/>
      </w:pPr>
      <w:r>
        <w:fldChar w:fldCharType="begin"/>
      </w:r>
      <w:r w:rsidR="00350526">
        <w:instrText xml:space="preserve"> TOC \o "1-5" \h \z </w:instrText>
      </w:r>
      <w:r>
        <w:fldChar w:fldCharType="separate"/>
      </w:r>
      <w:r w:rsidR="00350526">
        <w:t>requ</w:t>
      </w:r>
      <w:r w:rsidR="00350526">
        <w:t>iring the discovery and production</w:t>
      </w:r>
      <w:r w:rsidR="00350526">
        <w:tab/>
        <w:t>of</w:t>
      </w:r>
    </w:p>
    <w:p w:rsidR="00884A28" w:rsidRDefault="00350526">
      <w:pPr>
        <w:pStyle w:val="Tableofcontents0"/>
        <w:shd w:val="clear" w:color="auto" w:fill="auto"/>
        <w:spacing w:before="0" w:after="290"/>
        <w:ind w:left="300"/>
      </w:pPr>
      <w:r>
        <w:t>documents;</w:t>
      </w:r>
    </w:p>
    <w:p w:rsidR="00884A28" w:rsidRDefault="00350526">
      <w:pPr>
        <w:pStyle w:val="Tableofcontents0"/>
        <w:numPr>
          <w:ilvl w:val="0"/>
          <w:numId w:val="40"/>
        </w:numPr>
        <w:shd w:val="clear" w:color="auto" w:fill="auto"/>
        <w:spacing w:before="0" w:after="261" w:line="240" w:lineRule="exact"/>
        <w:ind w:left="300"/>
      </w:pPr>
      <w:r>
        <w:t xml:space="preserve"> receiving evidence on affidavit;</w:t>
      </w:r>
    </w:p>
    <w:p w:rsidR="00884A28" w:rsidRDefault="00350526">
      <w:pPr>
        <w:pStyle w:val="Tableofcontents0"/>
        <w:numPr>
          <w:ilvl w:val="0"/>
          <w:numId w:val="40"/>
        </w:numPr>
        <w:shd w:val="clear" w:color="auto" w:fill="auto"/>
        <w:tabs>
          <w:tab w:val="left" w:pos="895"/>
          <w:tab w:val="right" w:pos="6444"/>
        </w:tabs>
        <w:spacing w:before="0" w:line="298" w:lineRule="exact"/>
        <w:ind w:left="300"/>
      </w:pPr>
      <w:r>
        <w:t>issuing commissions for the examination</w:t>
      </w:r>
      <w:r>
        <w:tab/>
        <w:t>of</w:t>
      </w:r>
    </w:p>
    <w:p w:rsidR="00884A28" w:rsidRDefault="00350526">
      <w:pPr>
        <w:pStyle w:val="Tableofcontents0"/>
        <w:shd w:val="clear" w:color="auto" w:fill="auto"/>
        <w:spacing w:before="0" w:after="240" w:line="298" w:lineRule="exact"/>
        <w:ind w:left="300"/>
      </w:pPr>
      <w:r>
        <w:t>witnesses or documents;</w:t>
      </w:r>
    </w:p>
    <w:p w:rsidR="00884A28" w:rsidRDefault="00350526">
      <w:pPr>
        <w:pStyle w:val="Tableofcontents0"/>
        <w:numPr>
          <w:ilvl w:val="0"/>
          <w:numId w:val="40"/>
        </w:numPr>
        <w:shd w:val="clear" w:color="auto" w:fill="auto"/>
        <w:tabs>
          <w:tab w:val="left" w:pos="895"/>
          <w:tab w:val="right" w:pos="6444"/>
        </w:tabs>
        <w:spacing w:before="0" w:line="298" w:lineRule="exact"/>
        <w:ind w:left="300"/>
      </w:pPr>
      <w:r>
        <w:t>requisitioning, subject to the provisions</w:t>
      </w:r>
      <w:r>
        <w:tab/>
        <w:t>of</w:t>
      </w:r>
    </w:p>
    <w:p w:rsidR="00884A28" w:rsidRDefault="00350526">
      <w:pPr>
        <w:pStyle w:val="Tableofcontents0"/>
        <w:shd w:val="clear" w:color="auto" w:fill="auto"/>
        <w:spacing w:before="0" w:after="286" w:line="298" w:lineRule="exact"/>
        <w:ind w:left="300" w:right="360"/>
      </w:pPr>
      <w:r>
        <w:t xml:space="preserve">sections 123 and 124 of the Indian Evidence Act, 1872 (1 of </w:t>
      </w:r>
      <w:r>
        <w:t>1972), any public record or document or copy of such record or document from any office.</w:t>
      </w:r>
    </w:p>
    <w:p w:rsidR="00884A28" w:rsidRDefault="00350526">
      <w:pPr>
        <w:pStyle w:val="Tableofcontents0"/>
        <w:shd w:val="clear" w:color="auto" w:fill="auto"/>
        <w:tabs>
          <w:tab w:val="left" w:pos="3256"/>
          <w:tab w:val="left" w:pos="4640"/>
        </w:tabs>
        <w:spacing w:before="0" w:after="266" w:line="240" w:lineRule="exact"/>
        <w:ind w:left="1840"/>
      </w:pPr>
      <w:r>
        <w:t>xx</w:t>
      </w:r>
      <w:r>
        <w:tab/>
        <w:t>xx</w:t>
      </w:r>
      <w:r>
        <w:tab/>
        <w:t>xx</w:t>
      </w:r>
      <w:r w:rsidR="00884A28">
        <w:fldChar w:fldCharType="end"/>
      </w:r>
    </w:p>
    <w:p w:rsidR="00884A28" w:rsidRDefault="00350526">
      <w:pPr>
        <w:pStyle w:val="Heading20"/>
        <w:keepNext/>
        <w:keepLines/>
        <w:shd w:val="clear" w:color="auto" w:fill="auto"/>
        <w:spacing w:after="0" w:line="298" w:lineRule="exact"/>
        <w:ind w:left="20"/>
      </w:pPr>
      <w:bookmarkStart w:id="19" w:name="bookmark22"/>
      <w:r>
        <w:t>41. Director General to investigate contraventions. -</w:t>
      </w:r>
      <w:bookmarkEnd w:id="19"/>
    </w:p>
    <w:p w:rsidR="00884A28" w:rsidRDefault="00350526">
      <w:pPr>
        <w:pStyle w:val="Bodytext0"/>
        <w:numPr>
          <w:ilvl w:val="0"/>
          <w:numId w:val="41"/>
        </w:numPr>
        <w:shd w:val="clear" w:color="auto" w:fill="auto"/>
        <w:tabs>
          <w:tab w:val="left" w:pos="486"/>
        </w:tabs>
        <w:spacing w:before="0" w:after="240" w:line="298" w:lineRule="exact"/>
        <w:ind w:left="20" w:right="20" w:firstLine="0"/>
      </w:pPr>
      <w:r>
        <w:rPr>
          <w:rStyle w:val="Bodytext4"/>
        </w:rPr>
        <w:t>The Director General shall, when so directed by the Commission, assist the Commission in investigatin</w:t>
      </w:r>
      <w:r>
        <w:rPr>
          <w:rStyle w:val="Bodytext4"/>
        </w:rPr>
        <w:t>g into any contravention of the provisions of this Act or any rules or regulations made thereunder.</w:t>
      </w:r>
    </w:p>
    <w:p w:rsidR="00884A28" w:rsidRDefault="00350526">
      <w:pPr>
        <w:pStyle w:val="Bodytext0"/>
        <w:numPr>
          <w:ilvl w:val="0"/>
          <w:numId w:val="41"/>
        </w:numPr>
        <w:shd w:val="clear" w:color="auto" w:fill="auto"/>
        <w:spacing w:before="0" w:after="240" w:line="298" w:lineRule="exact"/>
        <w:ind w:left="20" w:right="20" w:firstLine="0"/>
      </w:pPr>
      <w:r>
        <w:rPr>
          <w:rStyle w:val="Bodytext4"/>
        </w:rPr>
        <w:t xml:space="preserve"> The Director General shall have all the powers as are conferred upon the Commission under sub-section (2) of section 36.</w:t>
      </w:r>
    </w:p>
    <w:p w:rsidR="00884A28" w:rsidRDefault="00350526">
      <w:pPr>
        <w:pStyle w:val="Bodytext0"/>
        <w:numPr>
          <w:ilvl w:val="0"/>
          <w:numId w:val="41"/>
        </w:numPr>
        <w:shd w:val="clear" w:color="auto" w:fill="auto"/>
        <w:spacing w:before="0" w:after="286" w:line="298" w:lineRule="exact"/>
        <w:ind w:left="20" w:right="20" w:firstLine="0"/>
      </w:pPr>
      <w:r>
        <w:rPr>
          <w:rStyle w:val="Bodytext4"/>
        </w:rPr>
        <w:t xml:space="preserve"> Without prejudice to the provisions of sub-section (2), sections 240 and 240A of the Companies Act, 1956 (1 of 1956), so far as may be, shall apply to an investigation made by the Director General or any other person investigating under his authority, as </w:t>
      </w:r>
      <w:r>
        <w:rPr>
          <w:rStyle w:val="Bodytext4"/>
        </w:rPr>
        <w:t>the apply to an inspector appointed under that Act.</w:t>
      </w:r>
    </w:p>
    <w:p w:rsidR="00884A28" w:rsidRDefault="00350526">
      <w:pPr>
        <w:pStyle w:val="Bodytext0"/>
        <w:shd w:val="clear" w:color="auto" w:fill="auto"/>
        <w:spacing w:before="0" w:after="266" w:line="240" w:lineRule="exact"/>
        <w:ind w:left="20" w:firstLine="0"/>
      </w:pPr>
      <w:r>
        <w:rPr>
          <w:rStyle w:val="BodytextItalic1"/>
        </w:rPr>
        <w:t>Explanation. -</w:t>
      </w:r>
      <w:r>
        <w:rPr>
          <w:rStyle w:val="Bodytext4"/>
        </w:rPr>
        <w:t xml:space="preserve"> For the purposes of this section, -</w:t>
      </w:r>
    </w:p>
    <w:p w:rsidR="00884A28" w:rsidRDefault="00350526">
      <w:pPr>
        <w:pStyle w:val="Bodytext0"/>
        <w:numPr>
          <w:ilvl w:val="0"/>
          <w:numId w:val="42"/>
        </w:numPr>
        <w:shd w:val="clear" w:color="auto" w:fill="auto"/>
        <w:spacing w:before="0" w:after="240" w:line="298" w:lineRule="exact"/>
        <w:ind w:left="300" w:right="360" w:firstLine="0"/>
      </w:pPr>
      <w:r>
        <w:rPr>
          <w:rStyle w:val="Bodytext4"/>
        </w:rPr>
        <w:t xml:space="preserve"> the words “the Central Government” under section 240 of the Companies Act, 1956 (1 of 1956) shall be construed as “the Commission”;</w:t>
      </w:r>
    </w:p>
    <w:p w:rsidR="00884A28" w:rsidRDefault="00350526">
      <w:pPr>
        <w:pStyle w:val="Bodytext0"/>
        <w:numPr>
          <w:ilvl w:val="0"/>
          <w:numId w:val="42"/>
        </w:numPr>
        <w:shd w:val="clear" w:color="auto" w:fill="auto"/>
        <w:spacing w:before="0" w:after="286" w:line="298" w:lineRule="exact"/>
        <w:ind w:left="300" w:right="360" w:firstLine="0"/>
      </w:pPr>
      <w:r>
        <w:rPr>
          <w:rStyle w:val="Bodytext4"/>
        </w:rPr>
        <w:t xml:space="preserve"> the word “Magistrat</w:t>
      </w:r>
      <w:r>
        <w:rPr>
          <w:rStyle w:val="Bodytext4"/>
        </w:rPr>
        <w:t>e” under Section 240A of the Companies Act, 1956 (1 of 1956) shall be construed as “the Chief Metropolitan Magistrate, Delhi”.</w:t>
      </w:r>
    </w:p>
    <w:p w:rsidR="00884A28" w:rsidRDefault="00350526">
      <w:pPr>
        <w:pStyle w:val="Bodytext0"/>
        <w:shd w:val="clear" w:color="auto" w:fill="auto"/>
        <w:tabs>
          <w:tab w:val="center" w:pos="3386"/>
          <w:tab w:val="left" w:pos="4672"/>
        </w:tabs>
        <w:spacing w:before="0" w:after="261" w:line="240" w:lineRule="exact"/>
        <w:ind w:left="1840" w:firstLine="0"/>
      </w:pPr>
      <w:r>
        <w:rPr>
          <w:rStyle w:val="Bodytext4"/>
        </w:rPr>
        <w:t>xx</w:t>
      </w:r>
      <w:r>
        <w:rPr>
          <w:rStyle w:val="Bodytext4"/>
        </w:rPr>
        <w:tab/>
        <w:t>xx</w:t>
      </w:r>
      <w:r>
        <w:rPr>
          <w:rStyle w:val="Bodytext4"/>
        </w:rPr>
        <w:tab/>
        <w:t>xx</w:t>
      </w:r>
    </w:p>
    <w:p w:rsidR="00884A28" w:rsidRDefault="00350526">
      <w:pPr>
        <w:pStyle w:val="Bodytext0"/>
        <w:shd w:val="clear" w:color="auto" w:fill="auto"/>
        <w:spacing w:before="0" w:after="240" w:line="298" w:lineRule="exact"/>
        <w:ind w:left="20" w:right="20" w:firstLine="0"/>
      </w:pPr>
      <w:r>
        <w:rPr>
          <w:rStyle w:val="BodytextBold0"/>
        </w:rPr>
        <w:t xml:space="preserve">45. Penalty for offences in relation to furnishing of information. - </w:t>
      </w:r>
      <w:r>
        <w:rPr>
          <w:rStyle w:val="Bodytext4"/>
        </w:rPr>
        <w:t xml:space="preserve">(1) Without prejudice to the provisions of section </w:t>
      </w:r>
      <w:r>
        <w:rPr>
          <w:rStyle w:val="Bodytext4"/>
        </w:rPr>
        <w:t>44, if a person, who furnishes or is required to furnish under this act any particulars, documents or any information, -</w:t>
      </w:r>
    </w:p>
    <w:p w:rsidR="00884A28" w:rsidRDefault="00350526">
      <w:pPr>
        <w:pStyle w:val="Bodytext0"/>
        <w:numPr>
          <w:ilvl w:val="0"/>
          <w:numId w:val="43"/>
        </w:numPr>
        <w:shd w:val="clear" w:color="auto" w:fill="auto"/>
        <w:spacing w:before="0" w:after="240" w:line="298" w:lineRule="exact"/>
        <w:ind w:left="300" w:right="360" w:firstLine="0"/>
      </w:pPr>
      <w:r>
        <w:rPr>
          <w:rStyle w:val="Bodytext4"/>
        </w:rPr>
        <w:t xml:space="preserve"> makes any statement or furnishes any document which he knows or has reason to believe to be false in any material particular; or</w:t>
      </w:r>
    </w:p>
    <w:p w:rsidR="00884A28" w:rsidRDefault="00350526">
      <w:pPr>
        <w:pStyle w:val="Bodytext0"/>
        <w:numPr>
          <w:ilvl w:val="0"/>
          <w:numId w:val="43"/>
        </w:numPr>
        <w:shd w:val="clear" w:color="auto" w:fill="auto"/>
        <w:spacing w:before="0" w:after="240" w:line="298" w:lineRule="exact"/>
        <w:ind w:left="300" w:right="360" w:firstLine="0"/>
      </w:pPr>
      <w:r>
        <w:rPr>
          <w:rStyle w:val="Bodytext4"/>
        </w:rPr>
        <w:t xml:space="preserve"> omits to state any material fact knowing it to be material; or</w:t>
      </w:r>
    </w:p>
    <w:p w:rsidR="00884A28" w:rsidRDefault="00350526">
      <w:pPr>
        <w:pStyle w:val="Bodytext0"/>
        <w:numPr>
          <w:ilvl w:val="0"/>
          <w:numId w:val="43"/>
        </w:numPr>
        <w:shd w:val="clear" w:color="auto" w:fill="auto"/>
        <w:spacing w:before="0" w:after="240" w:line="298" w:lineRule="exact"/>
        <w:ind w:left="300" w:right="360" w:firstLine="0"/>
      </w:pPr>
      <w:r>
        <w:rPr>
          <w:rStyle w:val="Bodytext4"/>
        </w:rPr>
        <w:t xml:space="preserve"> wilfully alters, suppresses or destroys any document which is required to be furnished as aforesaid,</w:t>
      </w:r>
    </w:p>
    <w:p w:rsidR="00884A28" w:rsidRDefault="00350526">
      <w:pPr>
        <w:pStyle w:val="Bodytext0"/>
        <w:shd w:val="clear" w:color="auto" w:fill="auto"/>
        <w:spacing w:before="0" w:line="298" w:lineRule="exact"/>
        <w:ind w:left="20" w:right="20" w:firstLine="0"/>
        <w:sectPr w:rsidR="00884A28">
          <w:type w:val="continuous"/>
          <w:pgSz w:w="12240" w:h="15840"/>
          <w:pgMar w:top="600" w:right="2345" w:bottom="1181" w:left="3103" w:header="0" w:footer="3" w:gutter="0"/>
          <w:cols w:space="720"/>
          <w:noEndnote/>
          <w:docGrid w:linePitch="360"/>
        </w:sectPr>
      </w:pPr>
      <w:r>
        <w:rPr>
          <w:rStyle w:val="Bodytext4"/>
        </w:rPr>
        <w:t>such person shall be punishable with fine which may extend to rupees one</w:t>
      </w:r>
      <w:r>
        <w:rPr>
          <w:rStyle w:val="Bodytext4"/>
        </w:rPr>
        <w:t xml:space="preserve"> crore as may be determined by the Commission.</w:t>
      </w:r>
    </w:p>
    <w:p w:rsidR="00884A28" w:rsidRDefault="00350526">
      <w:pPr>
        <w:pStyle w:val="Bodytext0"/>
        <w:numPr>
          <w:ilvl w:val="0"/>
          <w:numId w:val="44"/>
        </w:numPr>
        <w:shd w:val="clear" w:color="auto" w:fill="auto"/>
        <w:tabs>
          <w:tab w:val="left" w:pos="1919"/>
        </w:tabs>
        <w:spacing w:before="0" w:after="286" w:line="298" w:lineRule="exact"/>
        <w:ind w:left="1420" w:right="700" w:firstLine="0"/>
      </w:pPr>
      <w:r>
        <w:rPr>
          <w:rStyle w:val="Bodytext4"/>
        </w:rPr>
        <w:t>Without prejudice to the provisions of sub-section (1), the Commission may also pass such other order as it deems fit.</w:t>
      </w:r>
    </w:p>
    <w:p w:rsidR="00884A28" w:rsidRDefault="00350526">
      <w:pPr>
        <w:pStyle w:val="Bodytext0"/>
        <w:shd w:val="clear" w:color="auto" w:fill="auto"/>
        <w:tabs>
          <w:tab w:val="right" w:pos="4930"/>
          <w:tab w:val="left" w:pos="6092"/>
        </w:tabs>
        <w:spacing w:before="0" w:after="266" w:line="240" w:lineRule="exact"/>
        <w:ind w:left="3260" w:firstLine="0"/>
      </w:pPr>
      <w:r>
        <w:rPr>
          <w:rStyle w:val="Bodytext4"/>
        </w:rPr>
        <w:t>xx</w:t>
      </w:r>
      <w:r>
        <w:rPr>
          <w:rStyle w:val="Bodytext4"/>
        </w:rPr>
        <w:tab/>
        <w:t>xx</w:t>
      </w:r>
      <w:r>
        <w:rPr>
          <w:rStyle w:val="Bodytext4"/>
        </w:rPr>
        <w:tab/>
        <w:t>xx</w:t>
      </w:r>
    </w:p>
    <w:p w:rsidR="00884A28" w:rsidRDefault="00350526">
      <w:pPr>
        <w:pStyle w:val="Bodytext0"/>
        <w:numPr>
          <w:ilvl w:val="0"/>
          <w:numId w:val="45"/>
        </w:numPr>
        <w:shd w:val="clear" w:color="auto" w:fill="auto"/>
        <w:spacing w:before="0" w:after="240" w:line="298" w:lineRule="exact"/>
        <w:ind w:left="1420" w:right="700" w:firstLine="0"/>
      </w:pPr>
      <w:r>
        <w:rPr>
          <w:rStyle w:val="BodytextBold0"/>
        </w:rPr>
        <w:t xml:space="preserve"> Act to have overriding effect. - </w:t>
      </w:r>
      <w:r>
        <w:rPr>
          <w:rStyle w:val="Bodytext4"/>
        </w:rPr>
        <w:t xml:space="preserve">The provisions of this Act shall have effect </w:t>
      </w:r>
      <w:r>
        <w:rPr>
          <w:rStyle w:val="Bodytext4"/>
        </w:rPr>
        <w:t>notwithstanding anything inconsistent therewith contained in any other law for the time being in force.</w:t>
      </w:r>
    </w:p>
    <w:p w:rsidR="00884A28" w:rsidRDefault="00350526">
      <w:pPr>
        <w:pStyle w:val="Bodytext0"/>
        <w:numPr>
          <w:ilvl w:val="0"/>
          <w:numId w:val="45"/>
        </w:numPr>
        <w:shd w:val="clear" w:color="auto" w:fill="auto"/>
        <w:spacing w:before="0" w:after="240" w:line="298" w:lineRule="exact"/>
        <w:ind w:left="1420" w:right="700" w:firstLine="0"/>
      </w:pPr>
      <w:r>
        <w:rPr>
          <w:rStyle w:val="BodytextBold0"/>
        </w:rPr>
        <w:t xml:space="preserve"> Exclusion of jurisdiction of civil courts. - </w:t>
      </w:r>
      <w:r>
        <w:rPr>
          <w:rStyle w:val="Bodytext4"/>
        </w:rPr>
        <w:t xml:space="preserve">No civil court shall have jurisdiction to entertain any suit or proceeding in respect of any matter which </w:t>
      </w:r>
      <w:r>
        <w:rPr>
          <w:rStyle w:val="Bodytext4"/>
        </w:rPr>
        <w:t>the Commission or the Appellate Tribunal is empowered by or under this Act to determine and no injunction shall be granted by any court or other authority in respect of any action taken or to be taken in pursuance of any power conferred by or under this Ac</w:t>
      </w:r>
      <w:r>
        <w:rPr>
          <w:rStyle w:val="Bodytext4"/>
        </w:rPr>
        <w:t>t.</w:t>
      </w:r>
    </w:p>
    <w:p w:rsidR="00884A28" w:rsidRDefault="00350526">
      <w:pPr>
        <w:pStyle w:val="Heading20"/>
        <w:keepNext/>
        <w:keepLines/>
        <w:numPr>
          <w:ilvl w:val="0"/>
          <w:numId w:val="45"/>
        </w:numPr>
        <w:shd w:val="clear" w:color="auto" w:fill="auto"/>
        <w:spacing w:after="0" w:line="298" w:lineRule="exact"/>
        <w:ind w:left="1420"/>
      </w:pPr>
      <w:bookmarkStart w:id="20" w:name="bookmark23"/>
      <w:r>
        <w:t xml:space="preserve"> Application of other laws not barred. - </w:t>
      </w:r>
      <w:r>
        <w:rPr>
          <w:rStyle w:val="Heading2NotBold"/>
        </w:rPr>
        <w:t>The</w:t>
      </w:r>
      <w:bookmarkEnd w:id="20"/>
    </w:p>
    <w:p w:rsidR="00884A28" w:rsidRDefault="00350526">
      <w:pPr>
        <w:pStyle w:val="Bodytext0"/>
        <w:shd w:val="clear" w:color="auto" w:fill="auto"/>
        <w:spacing w:before="0" w:after="324" w:line="298" w:lineRule="exact"/>
        <w:ind w:left="1420" w:right="700" w:firstLine="0"/>
      </w:pPr>
      <w:r>
        <w:rPr>
          <w:rStyle w:val="Bodytext4"/>
        </w:rPr>
        <w:t>provisions of this Act shall be in addition to, and not in derogation of, the provisions of any other law for the time being in force.”</w:t>
      </w:r>
    </w:p>
    <w:p w:rsidR="00884A28" w:rsidRDefault="00350526">
      <w:pPr>
        <w:pStyle w:val="Bodytext0"/>
        <w:numPr>
          <w:ilvl w:val="0"/>
          <w:numId w:val="20"/>
        </w:numPr>
        <w:shd w:val="clear" w:color="auto" w:fill="auto"/>
        <w:tabs>
          <w:tab w:val="left" w:pos="710"/>
        </w:tabs>
        <w:spacing w:before="0"/>
        <w:ind w:left="720" w:right="20" w:hanging="720"/>
      </w:pPr>
      <w:r>
        <w:rPr>
          <w:rStyle w:val="Bodytext4"/>
        </w:rPr>
        <w:t xml:space="preserve">The aforesaid provisions would indicate that the Act deals with three </w:t>
      </w:r>
      <w:r>
        <w:rPr>
          <w:rStyle w:val="Bodytext4"/>
        </w:rPr>
        <w:t>kinds of practices which are treated as anti-competitive and are prohibited. These are:</w:t>
      </w:r>
    </w:p>
    <w:p w:rsidR="00884A28" w:rsidRDefault="00350526">
      <w:pPr>
        <w:pStyle w:val="Bodytext0"/>
        <w:numPr>
          <w:ilvl w:val="0"/>
          <w:numId w:val="46"/>
        </w:numPr>
        <w:shd w:val="clear" w:color="auto" w:fill="auto"/>
        <w:spacing w:before="0"/>
        <w:ind w:left="720" w:right="20" w:firstLine="0"/>
      </w:pPr>
      <w:r>
        <w:rPr>
          <w:rStyle w:val="Bodytext4"/>
        </w:rPr>
        <w:t xml:space="preserve"> where agreements are entered into by certain persons with a view to cause an appreciable adverse effect on competition;</w:t>
      </w:r>
    </w:p>
    <w:p w:rsidR="00884A28" w:rsidRDefault="00350526">
      <w:pPr>
        <w:pStyle w:val="Bodytext0"/>
        <w:numPr>
          <w:ilvl w:val="0"/>
          <w:numId w:val="46"/>
        </w:numPr>
        <w:shd w:val="clear" w:color="auto" w:fill="auto"/>
        <w:spacing w:before="0"/>
        <w:ind w:left="720" w:right="20" w:firstLine="0"/>
      </w:pPr>
      <w:r>
        <w:rPr>
          <w:rStyle w:val="Bodytext4"/>
        </w:rPr>
        <w:t xml:space="preserve"> where any enterprise or group of enterprises, </w:t>
      </w:r>
      <w:r>
        <w:rPr>
          <w:rStyle w:val="Bodytext4"/>
        </w:rPr>
        <w:t>which enjoys dominant position, abuses the said dominant position; and</w:t>
      </w:r>
    </w:p>
    <w:p w:rsidR="00884A28" w:rsidRDefault="00350526">
      <w:pPr>
        <w:pStyle w:val="Bodytext0"/>
        <w:numPr>
          <w:ilvl w:val="0"/>
          <w:numId w:val="46"/>
        </w:numPr>
        <w:shd w:val="clear" w:color="auto" w:fill="auto"/>
        <w:spacing w:before="0"/>
        <w:ind w:left="720" w:right="20" w:firstLine="0"/>
      </w:pPr>
      <w:r>
        <w:rPr>
          <w:rStyle w:val="Bodytext4"/>
        </w:rPr>
        <w:t xml:space="preserve"> regulating the combination of enterprises by means of mergers or amalgamations to ensure that such mergers or amalgamations do not become anti-competitive or abuse the dominant positio</w:t>
      </w:r>
      <w:r>
        <w:rPr>
          <w:rStyle w:val="Bodytext4"/>
        </w:rPr>
        <w:t>n which they can attain.</w:t>
      </w:r>
    </w:p>
    <w:p w:rsidR="00884A28" w:rsidRDefault="00350526">
      <w:pPr>
        <w:pStyle w:val="Bodytext0"/>
        <w:shd w:val="clear" w:color="auto" w:fill="auto"/>
        <w:spacing w:before="0"/>
        <w:ind w:left="700" w:right="20" w:firstLine="700"/>
      </w:pPr>
      <w:r>
        <w:rPr>
          <w:rStyle w:val="Bodytext4"/>
        </w:rPr>
        <w:t xml:space="preserve">The objective behind the Act and rationale in curbing the aforesaid anti-competitive practices was taken note of in </w:t>
      </w:r>
      <w:r>
        <w:rPr>
          <w:rStyle w:val="BodytextItalic1"/>
        </w:rPr>
        <w:t>Excel Crop Care Limited</w:t>
      </w:r>
      <w:r>
        <w:rPr>
          <w:rStyle w:val="Bodytext4"/>
        </w:rPr>
        <w:t xml:space="preserve"> v. </w:t>
      </w:r>
      <w:r>
        <w:rPr>
          <w:rStyle w:val="BodytextItalic1"/>
        </w:rPr>
        <w:t>Competition Commission of India and Anothe</w:t>
      </w:r>
      <w:hyperlink w:anchor="bookmark15" w:tooltip="Current Document">
        <w:r>
          <w:rPr>
            <w:rStyle w:val="BodytextItalic1"/>
          </w:rPr>
          <w:t>r</w:t>
        </w:r>
        <w:r>
          <w:rPr>
            <w:rStyle w:val="BodytextItalic1"/>
            <w:vertAlign w:val="superscript"/>
          </w:rPr>
          <w:footnoteReference w:id="17"/>
        </w:r>
        <w:r>
          <w:rPr>
            <w:rStyle w:val="Bodytext4"/>
          </w:rPr>
          <w:t xml:space="preserve"> </w:t>
        </w:r>
      </w:hyperlink>
      <w:r>
        <w:rPr>
          <w:rStyle w:val="Bodytext4"/>
        </w:rPr>
        <w:t>and we would like to reproduce the following passages therefrom:</w:t>
      </w:r>
    </w:p>
    <w:p w:rsidR="00884A28" w:rsidRDefault="00350526">
      <w:pPr>
        <w:pStyle w:val="Bodytext0"/>
        <w:shd w:val="clear" w:color="auto" w:fill="auto"/>
        <w:spacing w:before="0" w:line="298" w:lineRule="exact"/>
        <w:ind w:left="1400" w:right="680" w:firstLine="0"/>
      </w:pPr>
      <w:r>
        <w:rPr>
          <w:rStyle w:val="Bodytext4"/>
        </w:rPr>
        <w:t>"21. In the instant case, we are concerned with the first type of practices, namely, anti-competitive agreements.</w:t>
      </w:r>
    </w:p>
    <w:p w:rsidR="00884A28" w:rsidRDefault="00350526">
      <w:pPr>
        <w:pStyle w:val="Bodytext0"/>
        <w:shd w:val="clear" w:color="auto" w:fill="auto"/>
        <w:spacing w:before="0" w:after="240" w:line="298" w:lineRule="exact"/>
        <w:ind w:left="1400" w:right="680" w:firstLine="0"/>
      </w:pPr>
      <w:r>
        <w:rPr>
          <w:rStyle w:val="Bodytext4"/>
        </w:rPr>
        <w:t xml:space="preserve">The Act, which prohibits anti-competitive agreements, has a </w:t>
      </w:r>
      <w:r>
        <w:rPr>
          <w:rStyle w:val="Bodytext4"/>
        </w:rPr>
        <w:t>laudable purpose behind it. It is to ensure that there is a healthy competition in the market, as it brings about various benefits for the public at large as well as economy of the nation. In fact, the ultimate goal of competition policy (or for that matte</w:t>
      </w:r>
      <w:r>
        <w:rPr>
          <w:rStyle w:val="Bodytext4"/>
        </w:rPr>
        <w:t>r, even the consumer policies) is to enhance consumer well-being. These policies are directed at ensuring that markets function effectively. Competition policy towards the supply side of the market aims to ensure that consumers have adequate and affordable</w:t>
      </w:r>
      <w:r>
        <w:rPr>
          <w:rStyle w:val="Bodytext4"/>
        </w:rPr>
        <w:t xml:space="preserve"> choices. Another purpose in curbing anti-competitive agreements is to ensure “level playing field” for all market players that helps markets to be competitive. It sets “rules of the game” that protect the competition process itself, rather than competitor</w:t>
      </w:r>
      <w:r>
        <w:rPr>
          <w:rStyle w:val="Bodytext4"/>
        </w:rPr>
        <w:t xml:space="preserve">s in the market. In this way, the pursuit of fair and effective competition can contribute to improvements in economic efficiency, economic growth and development of consumer welfare. How these benefits accrue is explained in the ASEAN Regional Guidelines </w:t>
      </w:r>
      <w:r>
        <w:rPr>
          <w:rStyle w:val="Bodytext4"/>
        </w:rPr>
        <w:t>on Competition Policy, in the following manner:</w:t>
      </w:r>
    </w:p>
    <w:p w:rsidR="00884A28" w:rsidRDefault="00350526">
      <w:pPr>
        <w:pStyle w:val="Bodytext30"/>
        <w:shd w:val="clear" w:color="auto" w:fill="auto"/>
        <w:spacing w:after="240" w:line="298" w:lineRule="exact"/>
        <w:ind w:left="1700" w:right="1020" w:firstLine="0"/>
      </w:pPr>
      <w:r>
        <w:rPr>
          <w:rStyle w:val="Bodytext3NotItalic1"/>
        </w:rPr>
        <w:t xml:space="preserve">“2.2. </w:t>
      </w:r>
      <w:r>
        <w:rPr>
          <w:rStyle w:val="Bodytext32"/>
          <w:i/>
          <w:iCs/>
        </w:rPr>
        <w:t>Main Objectives and Benefits of Competition Policy</w:t>
      </w:r>
    </w:p>
    <w:p w:rsidR="00884A28" w:rsidRDefault="00350526">
      <w:pPr>
        <w:pStyle w:val="Bodytext0"/>
        <w:numPr>
          <w:ilvl w:val="0"/>
          <w:numId w:val="47"/>
        </w:numPr>
        <w:shd w:val="clear" w:color="auto" w:fill="auto"/>
        <w:tabs>
          <w:tab w:val="left" w:pos="2761"/>
        </w:tabs>
        <w:spacing w:before="0" w:line="298" w:lineRule="exact"/>
        <w:ind w:left="1700" w:right="1020" w:firstLine="0"/>
      </w:pPr>
      <w:r>
        <w:rPr>
          <w:rStyle w:val="BodytextItalic1"/>
        </w:rPr>
        <w:t>Economic efficiency:</w:t>
      </w:r>
      <w:r>
        <w:rPr>
          <w:rStyle w:val="Bodytext4"/>
        </w:rPr>
        <w:t xml:space="preserve"> Economic efficiency refers to the effective use and allocation of the economy's resources. Competition tends to bring about enhanc</w:t>
      </w:r>
      <w:r>
        <w:rPr>
          <w:rStyle w:val="Bodytext4"/>
        </w:rPr>
        <w:t>ed efficiency, in both a static and a dynamic sense, by disciplining firms to produce at the</w:t>
      </w:r>
    </w:p>
    <w:p w:rsidR="00884A28" w:rsidRDefault="00350526">
      <w:pPr>
        <w:pStyle w:val="Bodytext0"/>
        <w:shd w:val="clear" w:color="auto" w:fill="auto"/>
        <w:spacing w:before="0" w:after="240" w:line="298" w:lineRule="exact"/>
        <w:ind w:left="280" w:right="600" w:firstLine="0"/>
      </w:pPr>
      <w:r>
        <w:rPr>
          <w:rStyle w:val="Bodytext4"/>
        </w:rPr>
        <w:t>lowest possible cost and pass these cost savings on to consumers, and motivating firms to undertake research and development to meet customer needs.</w:t>
      </w:r>
    </w:p>
    <w:p w:rsidR="00884A28" w:rsidRDefault="00350526">
      <w:pPr>
        <w:pStyle w:val="Bodytext0"/>
        <w:numPr>
          <w:ilvl w:val="0"/>
          <w:numId w:val="47"/>
        </w:numPr>
        <w:shd w:val="clear" w:color="auto" w:fill="auto"/>
        <w:spacing w:before="0" w:after="240" w:line="298" w:lineRule="exact"/>
        <w:ind w:left="280" w:right="600" w:firstLine="0"/>
      </w:pPr>
      <w:r>
        <w:rPr>
          <w:rStyle w:val="Bodytext4"/>
        </w:rPr>
        <w:t xml:space="preserve"> </w:t>
      </w:r>
      <w:r>
        <w:rPr>
          <w:rStyle w:val="BodytextItalic1"/>
        </w:rPr>
        <w:t>Economic grow</w:t>
      </w:r>
      <w:r>
        <w:rPr>
          <w:rStyle w:val="BodytextItalic1"/>
        </w:rPr>
        <w:t xml:space="preserve">th and development. </w:t>
      </w:r>
      <w:r>
        <w:rPr>
          <w:rStyle w:val="Bodytext4"/>
        </w:rPr>
        <w:t>Economic growth—the increase in the value of goods and services produced by an economy—is a key indicator of economic development. Economic development refers to a broader definition of an economy’s well-being, including employment grow</w:t>
      </w:r>
      <w:r>
        <w:rPr>
          <w:rStyle w:val="Bodytext4"/>
        </w:rPr>
        <w:t>th, literacy and mortality rates and other measures of quality of life. Competition may bring about greater economic growth and development through improvements in economic efficiency and the reduction of wastage in the production of goods and services. Th</w:t>
      </w:r>
      <w:r>
        <w:rPr>
          <w:rStyle w:val="Bodytext4"/>
        </w:rPr>
        <w:t>e market is therefore able to more rapidly reallocate resources, improve productivity and attain a higher level of economic growth. Over time, sustained economic growth tends to lead to an enhanced quality of life and greater economic development.</w:t>
      </w:r>
    </w:p>
    <w:p w:rsidR="00884A28" w:rsidRDefault="00350526">
      <w:pPr>
        <w:pStyle w:val="Bodytext0"/>
        <w:numPr>
          <w:ilvl w:val="0"/>
          <w:numId w:val="47"/>
        </w:numPr>
        <w:shd w:val="clear" w:color="auto" w:fill="auto"/>
        <w:spacing w:before="0" w:after="240" w:line="298" w:lineRule="exact"/>
        <w:ind w:left="280" w:right="600" w:firstLine="0"/>
      </w:pPr>
      <w:r>
        <w:rPr>
          <w:rStyle w:val="Bodytext4"/>
        </w:rPr>
        <w:t xml:space="preserve"> </w:t>
      </w:r>
      <w:r>
        <w:rPr>
          <w:rStyle w:val="BodytextItalic1"/>
        </w:rPr>
        <w:t>Consume</w:t>
      </w:r>
      <w:r>
        <w:rPr>
          <w:rStyle w:val="BodytextItalic1"/>
        </w:rPr>
        <w:t>r Welfare:</w:t>
      </w:r>
      <w:r>
        <w:rPr>
          <w:rStyle w:val="Bodytext4"/>
        </w:rPr>
        <w:t xml:space="preserve"> Competition policy contributes to economic growth to the ultimate benefit of consumers, in terms of better choice (new products), better quality and lower prices. Consumer welfare protection may be required in order to redress a perceived imbala</w:t>
      </w:r>
      <w:r>
        <w:rPr>
          <w:rStyle w:val="Bodytext4"/>
        </w:rPr>
        <w:t xml:space="preserve">nce between the market power of consumers and producers. The imbalance between consumers and producers may stem from market failures such as information asymmetries, the lack of bargaining position towards producers and high transaction costs. Competition </w:t>
      </w:r>
      <w:r>
        <w:rPr>
          <w:rStyle w:val="Bodytext4"/>
        </w:rPr>
        <w:t>policy may serve as a complement to consumer protection policies to address such market failures.”</w:t>
      </w:r>
    </w:p>
    <w:p w:rsidR="00884A28" w:rsidRDefault="00350526">
      <w:pPr>
        <w:pStyle w:val="Bodytext0"/>
        <w:numPr>
          <w:ilvl w:val="0"/>
          <w:numId w:val="48"/>
        </w:numPr>
        <w:shd w:val="clear" w:color="auto" w:fill="auto"/>
        <w:tabs>
          <w:tab w:val="left" w:pos="638"/>
        </w:tabs>
        <w:spacing w:before="0" w:after="60" w:line="298" w:lineRule="exact"/>
        <w:ind w:right="240" w:firstLine="0"/>
      </w:pPr>
      <w:r>
        <w:rPr>
          <w:rStyle w:val="Bodytext4"/>
        </w:rPr>
        <w:t>The aforesaid Guidelines also spell out few more benefits of such laws incorporating competition policies by highlighting the following advantages:</w:t>
      </w:r>
    </w:p>
    <w:p w:rsidR="00884A28" w:rsidRDefault="00350526">
      <w:pPr>
        <w:pStyle w:val="Bodytext0"/>
        <w:shd w:val="clear" w:color="auto" w:fill="auto"/>
        <w:spacing w:before="0" w:line="298" w:lineRule="exact"/>
        <w:ind w:left="280" w:right="600" w:firstLine="0"/>
      </w:pPr>
      <w:r>
        <w:rPr>
          <w:rStyle w:val="Bodytext4"/>
        </w:rPr>
        <w:t xml:space="preserve">“2.2.2. </w:t>
      </w:r>
      <w:r>
        <w:rPr>
          <w:rStyle w:val="Bodytext4"/>
        </w:rPr>
        <w:t xml:space="preserve">In addition, competition policy is also beneficial to developing countries. Due to worldwide deregulation, privatisation and liberalisation of markets, developing countries need a competition policy, in order to monitor and control the growing role of the </w:t>
      </w:r>
      <w:r>
        <w:rPr>
          <w:rStyle w:val="Bodytext4"/>
        </w:rPr>
        <w:t>private sector in the economy so as to</w:t>
      </w:r>
    </w:p>
    <w:p w:rsidR="00884A28" w:rsidRDefault="00350526">
      <w:pPr>
        <w:pStyle w:val="Bodytext0"/>
        <w:shd w:val="clear" w:color="auto" w:fill="auto"/>
        <w:spacing w:before="0" w:after="240" w:line="298" w:lineRule="exact"/>
        <w:ind w:left="300" w:right="360" w:firstLine="0"/>
      </w:pPr>
      <w:r>
        <w:rPr>
          <w:rStyle w:val="Bodytext4"/>
        </w:rPr>
        <w:t>ensure that public monopolies are not simply replaced by private monopolies.</w:t>
      </w:r>
    </w:p>
    <w:p w:rsidR="00884A28" w:rsidRDefault="00350526">
      <w:pPr>
        <w:pStyle w:val="Bodytext0"/>
        <w:numPr>
          <w:ilvl w:val="0"/>
          <w:numId w:val="49"/>
        </w:numPr>
        <w:shd w:val="clear" w:color="auto" w:fill="auto"/>
        <w:spacing w:before="0" w:after="240" w:line="298" w:lineRule="exact"/>
        <w:ind w:left="300" w:right="360" w:firstLine="0"/>
      </w:pPr>
      <w:r>
        <w:rPr>
          <w:rStyle w:val="Bodytext4"/>
        </w:rPr>
        <w:t xml:space="preserve"> Besides contributing to trade and investment policies, competition policy can accommodate other policy objectives (both economic and social</w:t>
      </w:r>
      <w:r>
        <w:rPr>
          <w:rStyle w:val="Bodytext4"/>
        </w:rPr>
        <w:t>) such as the integration of national markets and promotion of regional integration, the promotion or protection of small businesses, the promotion of technological advancement, the promotion of product and process innovation, the promotion of industrial d</w:t>
      </w:r>
      <w:r>
        <w:rPr>
          <w:rStyle w:val="Bodytext4"/>
        </w:rPr>
        <w:t>iversification, environment protection, fighting inflation, job creation, equal treatment of workers according to race and gender or the promotion of welfare of particular consumer groups.</w:t>
      </w:r>
    </w:p>
    <w:p w:rsidR="00884A28" w:rsidRDefault="00350526">
      <w:pPr>
        <w:pStyle w:val="Bodytext0"/>
        <w:shd w:val="clear" w:color="auto" w:fill="auto"/>
        <w:spacing w:before="0" w:after="240" w:line="298" w:lineRule="exact"/>
        <w:ind w:left="300" w:right="360" w:firstLine="0"/>
      </w:pPr>
      <w:r>
        <w:rPr>
          <w:rStyle w:val="Bodytext4"/>
        </w:rPr>
        <w:t>In particular, competition policy may have a positive impact on emp</w:t>
      </w:r>
      <w:r>
        <w:rPr>
          <w:rStyle w:val="Bodytext4"/>
        </w:rPr>
        <w:t>loyment policies, reducing redundant employment (which often results from inefficiencies generated by large incumbents and from the fact that more dynamic enterprises are prevented from entering the market) and favouring jobs creation by new efficient comp</w:t>
      </w:r>
      <w:r>
        <w:rPr>
          <w:rStyle w:val="Bodytext4"/>
        </w:rPr>
        <w:t>etitors.</w:t>
      </w:r>
    </w:p>
    <w:p w:rsidR="00884A28" w:rsidRDefault="00350526">
      <w:pPr>
        <w:pStyle w:val="Bodytext0"/>
        <w:numPr>
          <w:ilvl w:val="0"/>
          <w:numId w:val="49"/>
        </w:numPr>
        <w:shd w:val="clear" w:color="auto" w:fill="auto"/>
        <w:spacing w:before="0" w:after="240" w:line="298" w:lineRule="exact"/>
        <w:ind w:left="300" w:right="360" w:firstLine="0"/>
      </w:pPr>
      <w:r>
        <w:rPr>
          <w:rStyle w:val="Bodytext4"/>
        </w:rPr>
        <w:t xml:space="preserve"> Competition policy complements trade policy, industrial policy and regulatory reform. Competition policy targets business conduct that limits market access and which reduces actual and potential competition, while trade and industrial policies en</w:t>
      </w:r>
      <w:r>
        <w:rPr>
          <w:rStyle w:val="Bodytext4"/>
        </w:rPr>
        <w:t>courage adjustment to the trade and industrial structures in order to promote productivity-based growth and regulatory reform eliminates domestic regulation that restricts entry and exit in the markets. Effective competition policy can also increase invest</w:t>
      </w:r>
      <w:r>
        <w:rPr>
          <w:rStyle w:val="Bodytext4"/>
        </w:rPr>
        <w:t>or confidence and prevent the benefits of trade from being lost through anti-competitive practices. In this way, competition policy can be an important factor in enhancing the attractiveness of an economy to foreign direct investment, and in maximising the</w:t>
      </w:r>
      <w:r>
        <w:rPr>
          <w:rStyle w:val="Bodytext4"/>
        </w:rPr>
        <w:t xml:space="preserve"> benefits of foreign investment.”</w:t>
      </w:r>
    </w:p>
    <w:p w:rsidR="00884A28" w:rsidRDefault="00350526">
      <w:pPr>
        <w:pStyle w:val="Bodytext0"/>
        <w:numPr>
          <w:ilvl w:val="0"/>
          <w:numId w:val="48"/>
        </w:numPr>
        <w:shd w:val="clear" w:color="auto" w:fill="auto"/>
        <w:tabs>
          <w:tab w:val="left" w:pos="524"/>
        </w:tabs>
        <w:spacing w:before="0" w:after="244" w:line="298" w:lineRule="exact"/>
        <w:ind w:left="20" w:right="20" w:firstLine="0"/>
      </w:pPr>
      <w:r>
        <w:rPr>
          <w:rStyle w:val="Bodytext4"/>
        </w:rPr>
        <w:t>In fact, there is broad empirical evidence supporting the proposition that competition is beneficial for the economy. Economists agree that it has an important role to play in improving productivity and, therefore, the gro</w:t>
      </w:r>
      <w:r>
        <w:rPr>
          <w:rStyle w:val="Bodytext4"/>
        </w:rPr>
        <w:t xml:space="preserve">wth prospects of an economy. It is achieved in the following manner: </w:t>
      </w:r>
      <w:r>
        <w:rPr>
          <w:rStyle w:val="Bodytext32"/>
        </w:rPr>
        <w:t>“International Competition Network</w:t>
      </w:r>
      <w:r>
        <w:rPr>
          <w:rStyle w:val="Bodytext3NotItalic1"/>
        </w:rPr>
        <w:t xml:space="preserve"> — </w:t>
      </w:r>
      <w:r>
        <w:rPr>
          <w:rStyle w:val="Bodytext32"/>
        </w:rPr>
        <w:t>Economic Growth and Productivity</w:t>
      </w:r>
    </w:p>
    <w:p w:rsidR="00884A28" w:rsidRDefault="00350526">
      <w:pPr>
        <w:pStyle w:val="Bodytext30"/>
        <w:shd w:val="clear" w:color="auto" w:fill="auto"/>
        <w:spacing w:after="236" w:line="293" w:lineRule="exact"/>
        <w:ind w:left="20" w:right="20" w:firstLine="0"/>
      </w:pPr>
      <w:r>
        <w:rPr>
          <w:rStyle w:val="Bodytext32"/>
          <w:i/>
          <w:iCs/>
        </w:rPr>
        <w:t>Competition contributes to increased productivity through:</w:t>
      </w:r>
    </w:p>
    <w:p w:rsidR="00884A28" w:rsidRDefault="00350526">
      <w:pPr>
        <w:pStyle w:val="Bodytext0"/>
        <w:shd w:val="clear" w:color="auto" w:fill="auto"/>
        <w:spacing w:before="0" w:after="240" w:line="298" w:lineRule="exact"/>
        <w:ind w:left="20" w:right="20" w:firstLine="0"/>
      </w:pPr>
      <w:r>
        <w:rPr>
          <w:rStyle w:val="BodytextItalic1"/>
        </w:rPr>
        <w:t>Pressure on firms to control costs</w:t>
      </w:r>
      <w:r>
        <w:rPr>
          <w:rStyle w:val="Bodytext4"/>
        </w:rPr>
        <w:t xml:space="preserve">—In a competitive </w:t>
      </w:r>
      <w:r>
        <w:rPr>
          <w:rStyle w:val="Bodytext4"/>
        </w:rPr>
        <w:t>environment, firms must constantly strive to lower their production costs so that they can charge competitive prices, and they must also improve their goods and services so that they correspond to consumer demands.</w:t>
      </w:r>
    </w:p>
    <w:p w:rsidR="00884A28" w:rsidRDefault="00350526">
      <w:pPr>
        <w:pStyle w:val="Bodytext0"/>
        <w:shd w:val="clear" w:color="auto" w:fill="auto"/>
        <w:spacing w:before="0" w:after="240" w:line="298" w:lineRule="exact"/>
        <w:ind w:left="20" w:right="20" w:firstLine="0"/>
      </w:pPr>
      <w:r>
        <w:rPr>
          <w:rStyle w:val="BodytextItalic1"/>
        </w:rPr>
        <w:t>Easy market entry and exit</w:t>
      </w:r>
      <w:r>
        <w:rPr>
          <w:rStyle w:val="Bodytext4"/>
        </w:rPr>
        <w:t>—Entry and exit</w:t>
      </w:r>
      <w:r>
        <w:rPr>
          <w:rStyle w:val="Bodytext4"/>
        </w:rPr>
        <w:t xml:space="preserve"> of firms reallocates resources from less to more efficient firms. Overall productivity increases when an entrant is more efficient than the average incumbent and when an existing firm is less efficient than the average incumbent. Entry—and the threat of e</w:t>
      </w:r>
      <w:r>
        <w:rPr>
          <w:rStyle w:val="Bodytext4"/>
        </w:rPr>
        <w:t>ntry— incentivises firms to continuously improve in order not to lose market share to or be forced out of the market by new entrants.</w:t>
      </w:r>
    </w:p>
    <w:p w:rsidR="00884A28" w:rsidRDefault="00350526">
      <w:pPr>
        <w:pStyle w:val="Bodytext0"/>
        <w:shd w:val="clear" w:color="auto" w:fill="auto"/>
        <w:spacing w:before="0" w:after="240" w:line="298" w:lineRule="exact"/>
        <w:ind w:left="20" w:right="20" w:firstLine="0"/>
      </w:pPr>
      <w:r>
        <w:rPr>
          <w:rStyle w:val="BodytextItalic1"/>
        </w:rPr>
        <w:t>Encouraging innovation</w:t>
      </w:r>
      <w:r>
        <w:rPr>
          <w:rStyle w:val="Bodytext4"/>
        </w:rPr>
        <w:t>—Innovation acts as a strong driver of economic growth through the introduction of new or substantia</w:t>
      </w:r>
      <w:r>
        <w:rPr>
          <w:rStyle w:val="Bodytext4"/>
        </w:rPr>
        <w:t>lly improved products or services and the development of new and improved processes that lower the cost and increase the efficiency of production. Incentives to innovate are affected by the degree and type of competition in a market.</w:t>
      </w:r>
    </w:p>
    <w:p w:rsidR="00884A28" w:rsidRDefault="00350526">
      <w:pPr>
        <w:pStyle w:val="Bodytext0"/>
        <w:shd w:val="clear" w:color="auto" w:fill="auto"/>
        <w:spacing w:before="0" w:after="240" w:line="298" w:lineRule="exact"/>
        <w:ind w:left="20" w:right="20" w:firstLine="0"/>
      </w:pPr>
      <w:r>
        <w:rPr>
          <w:rStyle w:val="BodytextItalic1"/>
        </w:rPr>
        <w:t>Pressure to improve in</w:t>
      </w:r>
      <w:r>
        <w:rPr>
          <w:rStyle w:val="BodytextItalic1"/>
        </w:rPr>
        <w:t>frastructure</w:t>
      </w:r>
      <w:r>
        <w:rPr>
          <w:rStyle w:val="Bodytext4"/>
        </w:rPr>
        <w:t>—Competition puts pressure on communities to keep local producers competitive by improving roads, bridges, docks, airports and communications, as well as improving educational opportunities.</w:t>
      </w:r>
    </w:p>
    <w:p w:rsidR="00884A28" w:rsidRDefault="00350526">
      <w:pPr>
        <w:pStyle w:val="Bodytext0"/>
        <w:shd w:val="clear" w:color="auto" w:fill="auto"/>
        <w:spacing w:before="0" w:line="298" w:lineRule="exact"/>
        <w:ind w:left="20" w:right="20" w:firstLine="0"/>
      </w:pPr>
      <w:r>
        <w:rPr>
          <w:rStyle w:val="BodytextItalic1"/>
        </w:rPr>
        <w:t>Benchmarking</w:t>
      </w:r>
      <w:r>
        <w:rPr>
          <w:rStyle w:val="Bodytext4"/>
        </w:rPr>
        <w:t>—Competition also can contribute to incre</w:t>
      </w:r>
      <w:r>
        <w:rPr>
          <w:rStyle w:val="Bodytext4"/>
        </w:rPr>
        <w:t>ased productivity by creating the possibility of benchmarking. The productivity of a monopolist cannot be measured against rivals in the same geographic market, but a dose of competition quickly will expose inferior performance. A monopolist may be content</w:t>
      </w:r>
      <w:r>
        <w:rPr>
          <w:rStyle w:val="Bodytext4"/>
        </w:rPr>
        <w:t xml:space="preserve"> with mediocre productivity but a firm battling in a competitive market cannot afford to fall</w:t>
      </w:r>
    </w:p>
    <w:p w:rsidR="00884A28" w:rsidRDefault="00350526">
      <w:pPr>
        <w:pStyle w:val="Bodytext0"/>
        <w:shd w:val="clear" w:color="auto" w:fill="auto"/>
        <w:spacing w:before="0" w:after="236" w:line="293" w:lineRule="exact"/>
        <w:ind w:left="300" w:right="360" w:firstLine="0"/>
        <w:jc w:val="left"/>
      </w:pPr>
      <w:r>
        <w:rPr>
          <w:rStyle w:val="Bodytext4"/>
        </w:rPr>
        <w:t>behind, especially if the investment community is benchmarking it against its rivals.”</w:t>
      </w:r>
    </w:p>
    <w:p w:rsidR="00884A28" w:rsidRDefault="00350526">
      <w:pPr>
        <w:pStyle w:val="Bodytext0"/>
        <w:numPr>
          <w:ilvl w:val="0"/>
          <w:numId w:val="48"/>
        </w:numPr>
        <w:shd w:val="clear" w:color="auto" w:fill="auto"/>
        <w:spacing w:before="0" w:after="240" w:line="298" w:lineRule="exact"/>
        <w:ind w:left="20" w:right="20" w:firstLine="0"/>
      </w:pPr>
      <w:r>
        <w:rPr>
          <w:rStyle w:val="Bodytext4"/>
        </w:rPr>
        <w:t xml:space="preserve"> Productivity is increased through competition by putting pressure on firms</w:t>
      </w:r>
      <w:r>
        <w:rPr>
          <w:rStyle w:val="Bodytext4"/>
        </w:rPr>
        <w:t xml:space="preserve"> to control costs as the producers strive to lower their production costs so that they can charge competitive prices. It also improves the quality of their goods and services so that they correspond to consumers’ demands.</w:t>
      </w:r>
    </w:p>
    <w:p w:rsidR="00884A28" w:rsidRDefault="00350526">
      <w:pPr>
        <w:pStyle w:val="Bodytext0"/>
        <w:numPr>
          <w:ilvl w:val="0"/>
          <w:numId w:val="48"/>
        </w:numPr>
        <w:shd w:val="clear" w:color="auto" w:fill="auto"/>
        <w:spacing w:before="0" w:after="240" w:line="298" w:lineRule="exact"/>
        <w:ind w:left="20" w:right="20" w:firstLine="0"/>
      </w:pPr>
      <w:r>
        <w:rPr>
          <w:rStyle w:val="Bodytext4"/>
        </w:rPr>
        <w:t xml:space="preserve"> Competition law enforcement deals</w:t>
      </w:r>
      <w:r>
        <w:rPr>
          <w:rStyle w:val="Bodytext4"/>
        </w:rPr>
        <w:t xml:space="preserve"> with anti</w:t>
      </w:r>
      <w:r>
        <w:rPr>
          <w:rStyle w:val="Bodytext4"/>
        </w:rPr>
        <w:softHyphen/>
        <w:t>competitive practices arising from the acquisition or exercise of undue market power by firms that result in consumer harm in the forms of higher prices, lower quality, limited choices and lack of innovation. Enforcement provides remedies to avo</w:t>
      </w:r>
      <w:r>
        <w:rPr>
          <w:rStyle w:val="Bodytext4"/>
        </w:rPr>
        <w:t>id situations that will lead to decreased competition in markets. Effective enforcement is important not only to sanction anti-competitive conduct but also to deter future anti-competitive practices.</w:t>
      </w:r>
    </w:p>
    <w:p w:rsidR="00884A28" w:rsidRDefault="00350526">
      <w:pPr>
        <w:pStyle w:val="Bodytext0"/>
        <w:numPr>
          <w:ilvl w:val="0"/>
          <w:numId w:val="48"/>
        </w:numPr>
        <w:shd w:val="clear" w:color="auto" w:fill="auto"/>
        <w:spacing w:before="0" w:after="240" w:line="298" w:lineRule="exact"/>
        <w:ind w:left="20" w:right="20" w:firstLine="0"/>
      </w:pPr>
      <w:r>
        <w:rPr>
          <w:rStyle w:val="Bodytext4"/>
        </w:rPr>
        <w:t xml:space="preserve"> When we recognise that competition has number of benefi</w:t>
      </w:r>
      <w:r>
        <w:rPr>
          <w:rStyle w:val="Bodytext4"/>
        </w:rPr>
        <w:t>ts, it clearly follows that cartels or anti-competitive agreements cause harm to consumers by fixing prices, limiting outputs or allocating markets. Effective enforcement against such practices has direct visible effects in terms of reduced prices in the m</w:t>
      </w:r>
      <w:r>
        <w:rPr>
          <w:rStyle w:val="Bodytext4"/>
        </w:rPr>
        <w:t>arket and this is also supported by various empirical studies.</w:t>
      </w:r>
    </w:p>
    <w:p w:rsidR="00884A28" w:rsidRDefault="00350526">
      <w:pPr>
        <w:pStyle w:val="Bodytext0"/>
        <w:numPr>
          <w:ilvl w:val="0"/>
          <w:numId w:val="48"/>
        </w:numPr>
        <w:shd w:val="clear" w:color="auto" w:fill="auto"/>
        <w:spacing w:before="0" w:after="240" w:line="298" w:lineRule="exact"/>
        <w:ind w:left="20" w:right="20" w:firstLine="0"/>
      </w:pPr>
      <w:r>
        <w:rPr>
          <w:rStyle w:val="Bodytext4"/>
        </w:rPr>
        <w:t xml:space="preserve"> Keeping in view the aforesaid objectives that need to be achieved, Indian Parliament enacted the Competition Act, 2002. Need to have such a law became all the more important in the wake of lib</w:t>
      </w:r>
      <w:r>
        <w:rPr>
          <w:rStyle w:val="Bodytext4"/>
        </w:rPr>
        <w:t>eralisation and privatisation as it was found that the law prevailing at that time, namely, Monopolies and Restrictive Trade Practices Act, 1969 was not equipped adequately enough to tackle the competition aspects of the Indian economy. The law enforcement</w:t>
      </w:r>
      <w:r>
        <w:rPr>
          <w:rStyle w:val="Bodytext4"/>
        </w:rPr>
        <w:t xml:space="preserve"> agencies, which include CCI and C</w:t>
      </w:r>
      <w:r>
        <w:rPr>
          <w:rStyle w:val="Bodytext9pt1"/>
        </w:rPr>
        <w:t>ompat</w:t>
      </w:r>
      <w:r>
        <w:rPr>
          <w:rStyle w:val="Bodytext4"/>
        </w:rPr>
        <w:t>, have to ensure that these objectives are fulfilled by curbing anti</w:t>
      </w:r>
      <w:r>
        <w:rPr>
          <w:rStyle w:val="Bodytext4"/>
        </w:rPr>
        <w:softHyphen/>
        <w:t>competitive agreements.</w:t>
      </w:r>
    </w:p>
    <w:p w:rsidR="00884A28" w:rsidRDefault="00350526">
      <w:pPr>
        <w:pStyle w:val="Bodytext0"/>
        <w:numPr>
          <w:ilvl w:val="0"/>
          <w:numId w:val="48"/>
        </w:numPr>
        <w:shd w:val="clear" w:color="auto" w:fill="auto"/>
        <w:spacing w:before="0" w:line="298" w:lineRule="exact"/>
        <w:ind w:left="20" w:right="20" w:firstLine="0"/>
      </w:pPr>
      <w:r>
        <w:rPr>
          <w:rStyle w:val="Bodytext4"/>
        </w:rPr>
        <w:t xml:space="preserve"> Once the aforesaid purpose sought to be achieved is kept in mind, and the same is applied to the facts of this case after f</w:t>
      </w:r>
      <w:r>
        <w:rPr>
          <w:rStyle w:val="Bodytext4"/>
        </w:rPr>
        <w:t>inding that the anti-competitive conduct of the appellants continued after coming into force of provisions of Section 3 of the Act as well, the argument predicated on retrospectivity pales into insignificance.</w:t>
      </w:r>
    </w:p>
    <w:p w:rsidR="00884A28" w:rsidRDefault="00350526">
      <w:pPr>
        <w:pStyle w:val="Bodytext0"/>
        <w:numPr>
          <w:ilvl w:val="0"/>
          <w:numId w:val="48"/>
        </w:numPr>
        <w:shd w:val="clear" w:color="auto" w:fill="auto"/>
        <w:tabs>
          <w:tab w:val="left" w:pos="580"/>
        </w:tabs>
        <w:spacing w:before="0" w:after="240" w:line="298" w:lineRule="exact"/>
        <w:ind w:left="20" w:right="20" w:firstLine="0"/>
      </w:pPr>
      <w:r>
        <w:rPr>
          <w:rStyle w:val="Bodytext4"/>
        </w:rPr>
        <w:t xml:space="preserve">One has to keep in mind the aforesaid </w:t>
      </w:r>
      <w:r>
        <w:rPr>
          <w:rStyle w:val="Bodytext4"/>
        </w:rPr>
        <w:t>objective which the legislation in question attempts to subserve and the mischief which it seeks to remedy. As pointed out above, Section 18 of the Act casts an obligation on CCI to “</w:t>
      </w:r>
      <w:r>
        <w:rPr>
          <w:rStyle w:val="BodytextItalic1"/>
        </w:rPr>
        <w:t>eliminate</w:t>
      </w:r>
      <w:r>
        <w:rPr>
          <w:rStyle w:val="Bodytext4"/>
        </w:rPr>
        <w:t xml:space="preserve">” anti-competitive practices and promote competition, interests </w:t>
      </w:r>
      <w:r>
        <w:rPr>
          <w:rStyle w:val="Bodytext4"/>
        </w:rPr>
        <w:t>of the consumers and free trade. It was rightly pointed out by Mr Neeraj Kishan Kaul, the learned Additional Solicitor General, that the Act is clearly aimed at addressing the evils affecting the economic landscape of the country in which interest of the s</w:t>
      </w:r>
      <w:r>
        <w:rPr>
          <w:rStyle w:val="Bodytext4"/>
        </w:rPr>
        <w:t xml:space="preserve">ociety and consumers at large is directly involved. This is so eloquently emphasised by this Court in </w:t>
      </w:r>
      <w:r>
        <w:rPr>
          <w:rStyle w:val="BodytextItalic1"/>
        </w:rPr>
        <w:t>Competition Commission of India</w:t>
      </w:r>
      <w:r>
        <w:rPr>
          <w:rStyle w:val="Bodytext4"/>
        </w:rPr>
        <w:t xml:space="preserve"> v. </w:t>
      </w:r>
      <w:r>
        <w:rPr>
          <w:rStyle w:val="BodytextItalic1"/>
        </w:rPr>
        <w:t>SAIL</w:t>
      </w:r>
      <w:r>
        <w:rPr>
          <w:rStyle w:val="Bodytext4"/>
        </w:rPr>
        <w:t xml:space="preserve"> in the following manner: (SCC pp. 755-56 &amp; 794, paras 6, 8-10 &amp; 125)</w:t>
      </w:r>
    </w:p>
    <w:p w:rsidR="00884A28" w:rsidRDefault="00350526">
      <w:pPr>
        <w:pStyle w:val="Bodytext0"/>
        <w:shd w:val="clear" w:color="auto" w:fill="auto"/>
        <w:spacing w:before="0" w:after="286" w:line="298" w:lineRule="exact"/>
        <w:ind w:left="300" w:right="360" w:firstLine="0"/>
      </w:pPr>
      <w:r>
        <w:rPr>
          <w:rStyle w:val="BodytextItalic1"/>
        </w:rPr>
        <w:t>“6.</w:t>
      </w:r>
      <w:r>
        <w:rPr>
          <w:rStyle w:val="Bodytext4"/>
        </w:rPr>
        <w:t xml:space="preserve"> As far as the objectives of competition l</w:t>
      </w:r>
      <w:r>
        <w:rPr>
          <w:rStyle w:val="Bodytext4"/>
        </w:rPr>
        <w:t>aws are concerned, they vary from country to country and even within a country they seem to change and evolve over the time. However, it will be useful to refer to some of the common objectives of competition law. The main objective of competition law is t</w:t>
      </w:r>
      <w:r>
        <w:rPr>
          <w:rStyle w:val="Bodytext4"/>
        </w:rPr>
        <w:t>o promote economic efficiency using competition as one of the means of assisting the creation of market responsive to consumer preferences. The advantages of perfect competition are threefold: allocative efficiency, which ensures the effective allocation o</w:t>
      </w:r>
      <w:r>
        <w:rPr>
          <w:rStyle w:val="Bodytext4"/>
        </w:rPr>
        <w:t>f resources, productive efficiency, which ensures that costs of production are kept at a minimum and dynamic efficiency, which promotes innovative practices. These factors by and large have been accepted all over the world as the guiding principles for eff</w:t>
      </w:r>
      <w:r>
        <w:rPr>
          <w:rStyle w:val="Bodytext4"/>
        </w:rPr>
        <w:t>ective implementation of competition law.</w:t>
      </w:r>
    </w:p>
    <w:p w:rsidR="00884A28" w:rsidRDefault="00350526">
      <w:pPr>
        <w:pStyle w:val="Bodytext0"/>
        <w:shd w:val="clear" w:color="auto" w:fill="auto"/>
        <w:tabs>
          <w:tab w:val="center" w:pos="4638"/>
        </w:tabs>
        <w:spacing w:before="0" w:after="266" w:line="240" w:lineRule="exact"/>
        <w:ind w:left="1960" w:firstLine="0"/>
      </w:pPr>
      <w:r>
        <w:rPr>
          <w:rStyle w:val="Bodytext4"/>
        </w:rPr>
        <w:t>xx xx</w:t>
      </w:r>
      <w:r>
        <w:rPr>
          <w:rStyle w:val="Bodytext4"/>
        </w:rPr>
        <w:tab/>
        <w:t>xx</w:t>
      </w:r>
    </w:p>
    <w:p w:rsidR="00884A28" w:rsidRDefault="00350526">
      <w:pPr>
        <w:pStyle w:val="Bodytext0"/>
        <w:numPr>
          <w:ilvl w:val="0"/>
          <w:numId w:val="50"/>
        </w:numPr>
        <w:shd w:val="clear" w:color="auto" w:fill="auto"/>
        <w:tabs>
          <w:tab w:val="left" w:pos="627"/>
        </w:tabs>
        <w:spacing w:before="0" w:line="298" w:lineRule="exact"/>
        <w:ind w:left="300" w:right="360" w:firstLine="0"/>
        <w:sectPr w:rsidR="00884A28">
          <w:type w:val="continuous"/>
          <w:pgSz w:w="12240" w:h="15840"/>
          <w:pgMar w:top="600" w:right="833" w:bottom="1114" w:left="2547" w:header="0" w:footer="3" w:gutter="0"/>
          <w:cols w:space="720"/>
          <w:noEndnote/>
          <w:docGrid w:linePitch="360"/>
        </w:sectPr>
      </w:pPr>
      <w:r>
        <w:rPr>
          <w:rStyle w:val="Bodytext4"/>
        </w:rPr>
        <w:t>The Bill sought to ensure fair competition in India by prohibiting trade practices which cause appreciable adverse effect on the competition in market within India and for this purpose es</w:t>
      </w:r>
      <w:r>
        <w:rPr>
          <w:rStyle w:val="Bodytext4"/>
        </w:rPr>
        <w:t>tablishment of a quasi-judicial body was considered essential. The other object was to curb the negative aspects of competition through such a body, namely, “the Competition Commission of India” (for short “the Commission”) which has the power to perform d</w:t>
      </w:r>
      <w:r>
        <w:rPr>
          <w:rStyle w:val="Bodytext4"/>
        </w:rPr>
        <w:t>ifferent kinds of functions, including passing of interim orders and even awarding compensation</w:t>
      </w:r>
    </w:p>
    <w:p w:rsidR="00884A28" w:rsidRDefault="00350526">
      <w:pPr>
        <w:pStyle w:val="Bodytext0"/>
        <w:shd w:val="clear" w:color="auto" w:fill="auto"/>
        <w:spacing w:before="0" w:after="240" w:line="298" w:lineRule="exact"/>
        <w:ind w:left="1700" w:right="1260" w:firstLine="0"/>
      </w:pPr>
      <w:r>
        <w:rPr>
          <w:rStyle w:val="Bodytext4"/>
        </w:rPr>
        <w:t>and imposing penalty. The Director General appointed under Section 16(1) of the Act is a specialised investigating wing of the Commission. In short, the establi</w:t>
      </w:r>
      <w:r>
        <w:rPr>
          <w:rStyle w:val="Bodytext4"/>
        </w:rPr>
        <w:t>shment of the Commission and enactment of the Act was aimed at preventing practices having adverse effect on competition, to protect the interest of the consumer and to ensure fair trade carried out by other participants in the market in India and for matt</w:t>
      </w:r>
      <w:r>
        <w:rPr>
          <w:rStyle w:val="Bodytext4"/>
        </w:rPr>
        <w:t>ers connected therewith or incidental thereto.</w:t>
      </w:r>
    </w:p>
    <w:p w:rsidR="00884A28" w:rsidRDefault="00350526">
      <w:pPr>
        <w:pStyle w:val="Bodytext0"/>
        <w:numPr>
          <w:ilvl w:val="0"/>
          <w:numId w:val="50"/>
        </w:numPr>
        <w:shd w:val="clear" w:color="auto" w:fill="auto"/>
        <w:spacing w:before="0" w:after="240" w:line="298" w:lineRule="exact"/>
        <w:ind w:left="1700" w:right="1260" w:firstLine="0"/>
      </w:pPr>
      <w:r>
        <w:rPr>
          <w:rStyle w:val="Bodytext4"/>
        </w:rPr>
        <w:t xml:space="preserve"> The various provisions of the Act deal with the establishment, powers and functions as well as discharge of adjudicatory functions by the Commission. Under the scheme of the Act, this Commission is vested wit</w:t>
      </w:r>
      <w:r>
        <w:rPr>
          <w:rStyle w:val="Bodytext4"/>
        </w:rPr>
        <w:t xml:space="preserve">h inquisitorial, investigative, regulatory, adjudicatory and to a limited extent even advisory jurisdiction. Vast powers have been given to the Commission to deal with the complaints or information leading to invocation of the provisions of Sections 3 and </w:t>
      </w:r>
      <w:r>
        <w:rPr>
          <w:rStyle w:val="Bodytext4"/>
        </w:rPr>
        <w:t>4 read with Section 19 of the Act. In exercise of the powers vested in it under Section 64, the Commission has framed regulations called the Competition Commission of India (General) Regulations, 2009 (for short “the Regulations”).</w:t>
      </w:r>
    </w:p>
    <w:p w:rsidR="00884A28" w:rsidRDefault="00350526">
      <w:pPr>
        <w:pStyle w:val="Bodytext0"/>
        <w:numPr>
          <w:ilvl w:val="0"/>
          <w:numId w:val="50"/>
        </w:numPr>
        <w:shd w:val="clear" w:color="auto" w:fill="auto"/>
        <w:spacing w:before="0" w:after="324" w:line="298" w:lineRule="exact"/>
        <w:ind w:left="1700" w:right="1260" w:firstLine="0"/>
      </w:pPr>
      <w:r>
        <w:rPr>
          <w:rStyle w:val="Bodytext4"/>
        </w:rPr>
        <w:t xml:space="preserve"> The Act and the Regulations framed thereunder clearly indicate the legislative intent of dealing with the matters related to contravention of the Act, expeditiously and even in a time-bound programme. Keeping in view the nature of the controversies arisin</w:t>
      </w:r>
      <w:r>
        <w:rPr>
          <w:rStyle w:val="Bodytext4"/>
        </w:rPr>
        <w:t>g under the provisions of the Act and larger public interest, the matters should be dealt with and taken to the logical end of pronouncement of final orders without any undue delay. In the event of delay, the very purpose and object of the Act is likely to</w:t>
      </w:r>
      <w:r>
        <w:rPr>
          <w:rStyle w:val="Bodytext4"/>
        </w:rPr>
        <w:t xml:space="preserve"> be frustrated and the possibility of great damage to the open market and resultantly, country's economy cannot be ruled out.”</w:t>
      </w:r>
    </w:p>
    <w:p w:rsidR="00884A28" w:rsidRDefault="00350526">
      <w:pPr>
        <w:pStyle w:val="Bodytext0"/>
        <w:numPr>
          <w:ilvl w:val="0"/>
          <w:numId w:val="20"/>
        </w:numPr>
        <w:shd w:val="clear" w:color="auto" w:fill="auto"/>
        <w:tabs>
          <w:tab w:val="left" w:pos="730"/>
        </w:tabs>
        <w:spacing w:before="0"/>
        <w:ind w:left="720" w:right="260" w:hanging="720"/>
      </w:pPr>
      <w:r>
        <w:rPr>
          <w:rStyle w:val="Bodytext4"/>
        </w:rPr>
        <w:t>It is for the aforesaid reason that the CCI is entrusted with duties, powers and functions to deal with three kinds of anti-compe</w:t>
      </w:r>
      <w:r>
        <w:rPr>
          <w:rStyle w:val="Bodytext4"/>
        </w:rPr>
        <w:t>titive practices mentioned above. The purpose is to eliminate such</w:t>
      </w:r>
    </w:p>
    <w:p w:rsidR="00884A28" w:rsidRDefault="00350526">
      <w:pPr>
        <w:pStyle w:val="Bodytext0"/>
        <w:shd w:val="clear" w:color="auto" w:fill="auto"/>
        <w:spacing w:before="0" w:after="300"/>
        <w:ind w:left="720" w:right="20" w:firstLine="0"/>
      </w:pPr>
      <w:r>
        <w:rPr>
          <w:rStyle w:val="Bodytext4"/>
        </w:rPr>
        <w:t xml:space="preserve">practices which are having adverse effect on the competition, to promote and sustain competition and to protect the interest of the consumers and ensure freedom of trade, carried on by the </w:t>
      </w:r>
      <w:r>
        <w:rPr>
          <w:rStyle w:val="Bodytext4"/>
        </w:rPr>
        <w:t xml:space="preserve">other participants, in India. For the purpose of conducting such an inquiry, the CCI is empowered to call any person for rendering assistance and/or produce the records/material for arriving at even the </w:t>
      </w:r>
      <w:r>
        <w:rPr>
          <w:rStyle w:val="BodytextItalic1"/>
        </w:rPr>
        <w:t>prima facie</w:t>
      </w:r>
      <w:r>
        <w:rPr>
          <w:rStyle w:val="Bodytext4"/>
        </w:rPr>
        <w:t xml:space="preserve"> opinion. The regulations also empower the</w:t>
      </w:r>
      <w:r>
        <w:rPr>
          <w:rStyle w:val="Bodytext4"/>
        </w:rPr>
        <w:t xml:space="preserve"> CCI to hold conferences with the concerned persons/parties, including their advocates/authorised persons.</w:t>
      </w:r>
    </w:p>
    <w:p w:rsidR="00884A28" w:rsidRDefault="00350526">
      <w:pPr>
        <w:pStyle w:val="Bodytext0"/>
        <w:numPr>
          <w:ilvl w:val="0"/>
          <w:numId w:val="20"/>
        </w:numPr>
        <w:shd w:val="clear" w:color="auto" w:fill="auto"/>
        <w:tabs>
          <w:tab w:val="left" w:pos="730"/>
        </w:tabs>
        <w:spacing w:before="0"/>
        <w:ind w:left="720" w:right="20" w:hanging="720"/>
      </w:pPr>
      <w:r>
        <w:rPr>
          <w:rStyle w:val="Bodytext4"/>
        </w:rPr>
        <w:t>It is also relevant to mention at this stage that while inquiring into any alleged contravention and determining whether any agreement has an appreci</w:t>
      </w:r>
      <w:r>
        <w:rPr>
          <w:rStyle w:val="Bodytext4"/>
        </w:rPr>
        <w:t>able adverse effect on competition, factors which are to be taken into consideration are mentioned in sub-section (3) of Section 19. These include creation of barriers to new entrants in the market, driving existing competitors out of the market and forecl</w:t>
      </w:r>
      <w:r>
        <w:rPr>
          <w:rStyle w:val="Bodytext4"/>
        </w:rPr>
        <w:t>osure of competition by hindering entry into the market. All these activities have connection with the ‘market’. The word ‘market’ has reference to ‘relevant market’. As per sub</w:t>
      </w:r>
      <w:r>
        <w:rPr>
          <w:rStyle w:val="Bodytext4"/>
        </w:rPr>
        <w:softHyphen/>
        <w:t>section (5) of Section 19, such relevant market can be relevant geographic mar</w:t>
      </w:r>
      <w:r>
        <w:rPr>
          <w:rStyle w:val="Bodytext4"/>
        </w:rPr>
        <w:t>ket or relevant product market. In the present case, we are concerned with the relevant product market, viz.</w:t>
      </w:r>
    </w:p>
    <w:p w:rsidR="00884A28" w:rsidRDefault="00350526">
      <w:pPr>
        <w:pStyle w:val="Bodytext0"/>
        <w:shd w:val="clear" w:color="auto" w:fill="auto"/>
        <w:spacing w:before="0" w:after="300"/>
        <w:ind w:left="720" w:right="20" w:firstLine="0"/>
      </w:pPr>
      <w:r>
        <w:rPr>
          <w:rStyle w:val="Bodytext4"/>
        </w:rPr>
        <w:t xml:space="preserve">telecommunication market. Sub-section (7) of Section 19 enumerates the factors which are to be kept in mind while determining the relevant product </w:t>
      </w:r>
      <w:r>
        <w:rPr>
          <w:rStyle w:val="Bodytext4"/>
        </w:rPr>
        <w:t>market.</w:t>
      </w:r>
    </w:p>
    <w:p w:rsidR="00884A28" w:rsidRDefault="00350526">
      <w:pPr>
        <w:pStyle w:val="Bodytext0"/>
        <w:numPr>
          <w:ilvl w:val="0"/>
          <w:numId w:val="20"/>
        </w:numPr>
        <w:shd w:val="clear" w:color="auto" w:fill="auto"/>
        <w:tabs>
          <w:tab w:val="left" w:pos="730"/>
        </w:tabs>
        <w:spacing w:before="0" w:after="300"/>
        <w:ind w:left="720" w:right="20" w:hanging="720"/>
      </w:pPr>
      <w:r>
        <w:rPr>
          <w:rStyle w:val="Bodytext4"/>
        </w:rPr>
        <w:t>Market definition is a tool to identify and define the boundaries of competition between firms. It serves to establish the framework within which the competition policy is applied by the Commission. The main purpose of market definition is to ident</w:t>
      </w:r>
      <w:r>
        <w:rPr>
          <w:rStyle w:val="Bodytext4"/>
        </w:rPr>
        <w:t>ify in a systematic way the competitive constraints that the undertakings involved face. The objective of defining a market in both its product and geographic dimension is to identify those actual competitors of the undertakings involved that are capable o</w:t>
      </w:r>
      <w:r>
        <w:rPr>
          <w:rStyle w:val="Bodytext4"/>
        </w:rPr>
        <w:t>f constraining those undertakings behaviour and of preventing them from behaving independently of effective competitive pressure. Therefore, the purpose of defining the ‘relevant market’ is to assess with identifying in a systematic way the competitive con</w:t>
      </w:r>
      <w:r>
        <w:rPr>
          <w:rStyle w:val="Bodytext4"/>
        </w:rPr>
        <w:t>straints that undertakings face when operating in a market. This is the case in particular for determining if undertakings are competitors or potential competitors and when assessing the anti</w:t>
      </w:r>
      <w:r>
        <w:rPr>
          <w:rStyle w:val="Bodytext4"/>
        </w:rPr>
        <w:softHyphen/>
        <w:t>competitive effects of conduct in a market. The concept of relev</w:t>
      </w:r>
      <w:r>
        <w:rPr>
          <w:rStyle w:val="Bodytext4"/>
        </w:rPr>
        <w:t>ant market implies that there could be an effective competition between the products which form part of it and this presupposes that there is a sufficient degree of interchangeability between all the products forming part of the same market insofar as spec</w:t>
      </w:r>
      <w:r>
        <w:rPr>
          <w:rStyle w:val="Bodytext4"/>
        </w:rPr>
        <w:t>ific use of such product is concerned. In essence, it is the notion of ‘power over the market’ which is the key to analyse many competitive issues.</w:t>
      </w:r>
    </w:p>
    <w:p w:rsidR="00884A28" w:rsidRDefault="00350526">
      <w:pPr>
        <w:pStyle w:val="Bodytext0"/>
        <w:numPr>
          <w:ilvl w:val="0"/>
          <w:numId w:val="20"/>
        </w:numPr>
        <w:shd w:val="clear" w:color="auto" w:fill="auto"/>
        <w:tabs>
          <w:tab w:val="left" w:pos="730"/>
        </w:tabs>
        <w:spacing w:before="0"/>
        <w:ind w:firstLine="0"/>
      </w:pPr>
      <w:r>
        <w:rPr>
          <w:rStyle w:val="Bodytext4"/>
        </w:rPr>
        <w:t>It is an admitted position that in the instant case we are dealing</w:t>
      </w:r>
    </w:p>
    <w:p w:rsidR="00884A28" w:rsidRDefault="00350526">
      <w:pPr>
        <w:pStyle w:val="Bodytext0"/>
        <w:shd w:val="clear" w:color="auto" w:fill="auto"/>
        <w:spacing w:before="0"/>
        <w:ind w:left="720" w:firstLine="0"/>
      </w:pPr>
      <w:r>
        <w:rPr>
          <w:rStyle w:val="Bodytext4"/>
        </w:rPr>
        <w:t xml:space="preserve">with the telecom market, which is the </w:t>
      </w:r>
      <w:r>
        <w:rPr>
          <w:rStyle w:val="Bodytext4"/>
        </w:rPr>
        <w:t>relevant market. An</w:t>
      </w:r>
    </w:p>
    <w:p w:rsidR="00884A28" w:rsidRDefault="00350526">
      <w:pPr>
        <w:pStyle w:val="Bodytext0"/>
        <w:shd w:val="clear" w:color="auto" w:fill="auto"/>
        <w:spacing w:before="0"/>
        <w:ind w:left="720" w:firstLine="0"/>
      </w:pPr>
      <w:r>
        <w:rPr>
          <w:rStyle w:val="Bodytext4"/>
        </w:rPr>
        <w:t>interesting feature is that this telecom market is also regulated by</w:t>
      </w:r>
    </w:p>
    <w:p w:rsidR="00884A28" w:rsidRDefault="00350526">
      <w:pPr>
        <w:pStyle w:val="Bodytext0"/>
        <w:shd w:val="clear" w:color="auto" w:fill="auto"/>
        <w:spacing w:before="0"/>
        <w:ind w:left="720" w:firstLine="0"/>
      </w:pPr>
      <w:r>
        <w:rPr>
          <w:rStyle w:val="Bodytext4"/>
        </w:rPr>
        <w:t>the statutory regime contained in the TRAI Act. Under the said</w:t>
      </w:r>
    </w:p>
    <w:p w:rsidR="00884A28" w:rsidRDefault="00350526">
      <w:pPr>
        <w:pStyle w:val="Bodytext0"/>
        <w:shd w:val="clear" w:color="auto" w:fill="auto"/>
        <w:spacing w:before="0"/>
        <w:ind w:left="720" w:firstLine="0"/>
      </w:pPr>
      <w:r>
        <w:rPr>
          <w:rStyle w:val="Bodytext4"/>
        </w:rPr>
        <w:t>Act, TRAI is established as a regulator which exercises</w:t>
      </w:r>
    </w:p>
    <w:p w:rsidR="00884A28" w:rsidRDefault="00350526">
      <w:pPr>
        <w:pStyle w:val="Bodytext0"/>
        <w:shd w:val="clear" w:color="auto" w:fill="auto"/>
        <w:spacing w:before="0"/>
        <w:ind w:left="720" w:firstLine="0"/>
      </w:pPr>
      <w:r>
        <w:rPr>
          <w:rStyle w:val="Bodytext4"/>
        </w:rPr>
        <w:t>control/supervision and also provides guidance t</w:t>
      </w:r>
      <w:r>
        <w:rPr>
          <w:rStyle w:val="Bodytext4"/>
        </w:rPr>
        <w:t>o the</w:t>
      </w:r>
    </w:p>
    <w:p w:rsidR="00884A28" w:rsidRDefault="00350526">
      <w:pPr>
        <w:pStyle w:val="Bodytext0"/>
        <w:shd w:val="clear" w:color="auto" w:fill="auto"/>
        <w:spacing w:before="0"/>
        <w:ind w:left="720" w:firstLine="0"/>
      </w:pPr>
      <w:r>
        <w:rPr>
          <w:rStyle w:val="Bodytext4"/>
        </w:rPr>
        <w:t>telecom/mobile market. This statutory body is required to</w:t>
      </w:r>
    </w:p>
    <w:p w:rsidR="00884A28" w:rsidRDefault="00350526">
      <w:pPr>
        <w:pStyle w:val="Bodytext0"/>
        <w:shd w:val="clear" w:color="auto" w:fill="auto"/>
        <w:spacing w:before="0"/>
        <w:ind w:left="720" w:firstLine="0"/>
      </w:pPr>
      <w:r>
        <w:rPr>
          <w:rStyle w:val="Bodytext4"/>
        </w:rPr>
        <w:t>function as per the provisions of the TRAI Act as well as the</w:t>
      </w:r>
    </w:p>
    <w:p w:rsidR="00884A28" w:rsidRDefault="00350526">
      <w:pPr>
        <w:pStyle w:val="Bodytext0"/>
        <w:shd w:val="clear" w:color="auto" w:fill="auto"/>
        <w:spacing w:before="0"/>
        <w:ind w:left="720" w:firstLine="0"/>
      </w:pPr>
      <w:r>
        <w:rPr>
          <w:rStyle w:val="Bodytext4"/>
        </w:rPr>
        <w:t>Rules and Regulations framed thereunder. Additionally, the</w:t>
      </w:r>
    </w:p>
    <w:p w:rsidR="00884A28" w:rsidRDefault="00350526">
      <w:pPr>
        <w:pStyle w:val="Bodytext0"/>
        <w:shd w:val="clear" w:color="auto" w:fill="auto"/>
        <w:spacing w:before="0"/>
        <w:ind w:left="720" w:firstLine="0"/>
      </w:pPr>
      <w:r>
        <w:rPr>
          <w:rStyle w:val="Bodytext4"/>
        </w:rPr>
        <w:t>telecom companies are also governed by licence agreements</w:t>
      </w:r>
    </w:p>
    <w:p w:rsidR="00884A28" w:rsidRDefault="00350526">
      <w:pPr>
        <w:pStyle w:val="Bodytext0"/>
        <w:shd w:val="clear" w:color="auto" w:fill="auto"/>
        <w:spacing w:before="0"/>
        <w:ind w:left="720" w:firstLine="0"/>
      </w:pPr>
      <w:r>
        <w:rPr>
          <w:rStyle w:val="Bodytext4"/>
        </w:rPr>
        <w:t xml:space="preserve">entered into </w:t>
      </w:r>
      <w:r>
        <w:rPr>
          <w:rStyle w:val="Bodytext4"/>
        </w:rPr>
        <w:t>between the Central Government and such service</w:t>
      </w:r>
    </w:p>
    <w:p w:rsidR="00884A28" w:rsidRDefault="00350526">
      <w:pPr>
        <w:pStyle w:val="Bodytext0"/>
        <w:shd w:val="clear" w:color="auto" w:fill="auto"/>
        <w:spacing w:before="0"/>
        <w:ind w:left="720" w:firstLine="0"/>
      </w:pPr>
      <w:r>
        <w:rPr>
          <w:rStyle w:val="Bodytext4"/>
        </w:rPr>
        <w:t>providers, for providing telephone/telecommunication services to</w:t>
      </w:r>
    </w:p>
    <w:p w:rsidR="00884A28" w:rsidRDefault="00350526">
      <w:pPr>
        <w:pStyle w:val="Bodytext0"/>
        <w:shd w:val="clear" w:color="auto" w:fill="auto"/>
        <w:spacing w:before="0"/>
        <w:ind w:left="720" w:firstLine="0"/>
      </w:pPr>
      <w:r>
        <w:rPr>
          <w:rStyle w:val="Bodytext4"/>
        </w:rPr>
        <w:t>the customers/subscribers. At this stage, therefore, we take note</w:t>
      </w:r>
    </w:p>
    <w:p w:rsidR="00884A28" w:rsidRDefault="00350526">
      <w:pPr>
        <w:pStyle w:val="Bodytext0"/>
        <w:shd w:val="clear" w:color="auto" w:fill="auto"/>
        <w:spacing w:before="0"/>
        <w:ind w:left="720" w:firstLine="0"/>
      </w:pPr>
      <w:r>
        <w:rPr>
          <w:rStyle w:val="Bodytext4"/>
        </w:rPr>
        <w:t>of the relevant provisions of the TRAI Act:</w:t>
      </w:r>
    </w:p>
    <w:p w:rsidR="00884A28" w:rsidRDefault="00350526">
      <w:pPr>
        <w:pStyle w:val="Bodytext20"/>
        <w:shd w:val="clear" w:color="auto" w:fill="auto"/>
        <w:tabs>
          <w:tab w:val="left" w:pos="2183"/>
        </w:tabs>
        <w:spacing w:after="0" w:line="302" w:lineRule="exact"/>
        <w:ind w:left="1420"/>
        <w:jc w:val="both"/>
      </w:pPr>
      <w:r>
        <w:rPr>
          <w:rStyle w:val="Bodytext2NotBold0"/>
        </w:rPr>
        <w:t>"</w:t>
      </w:r>
      <w:r>
        <w:rPr>
          <w:rStyle w:val="Bodytext22"/>
          <w:b/>
          <w:bCs/>
        </w:rPr>
        <w:t>11.</w:t>
      </w:r>
      <w:r>
        <w:rPr>
          <w:rStyle w:val="Bodytext22"/>
          <w:b/>
          <w:bCs/>
        </w:rPr>
        <w:tab/>
        <w:t xml:space="preserve">Functions of Authority. - </w:t>
      </w:r>
      <w:r>
        <w:rPr>
          <w:rStyle w:val="Bodytext2NotBold0"/>
        </w:rPr>
        <w:t>(1) Notwithstanding</w:t>
      </w:r>
    </w:p>
    <w:p w:rsidR="00884A28" w:rsidRDefault="00350526">
      <w:pPr>
        <w:pStyle w:val="Bodytext0"/>
        <w:shd w:val="clear" w:color="auto" w:fill="auto"/>
        <w:spacing w:before="0" w:line="302" w:lineRule="exact"/>
        <w:ind w:left="1420" w:right="680" w:firstLine="0"/>
        <w:jc w:val="left"/>
      </w:pPr>
      <w:r>
        <w:rPr>
          <w:rStyle w:val="Bodytext4"/>
        </w:rPr>
        <w:t>anything contained in the Indian Telegraph Act, 1885 (13 of 1885), the functions of the Authority shall be to -</w:t>
      </w:r>
    </w:p>
    <w:p w:rsidR="00884A28" w:rsidRDefault="00350526">
      <w:pPr>
        <w:pStyle w:val="Bodytext0"/>
        <w:numPr>
          <w:ilvl w:val="0"/>
          <w:numId w:val="51"/>
        </w:numPr>
        <w:shd w:val="clear" w:color="auto" w:fill="auto"/>
        <w:spacing w:before="0" w:after="286" w:line="298" w:lineRule="exact"/>
        <w:ind w:right="260" w:firstLine="0"/>
      </w:pPr>
      <w:r>
        <w:rPr>
          <w:rStyle w:val="Bodytext4"/>
        </w:rPr>
        <w:t xml:space="preserve"> make recommendations, either suo moto or on a request from the licensor, on the following matters, namely:</w:t>
      </w:r>
    </w:p>
    <w:p w:rsidR="00884A28" w:rsidRDefault="00350526">
      <w:pPr>
        <w:pStyle w:val="Bodytext0"/>
        <w:shd w:val="clear" w:color="auto" w:fill="auto"/>
        <w:tabs>
          <w:tab w:val="left" w:pos="3256"/>
          <w:tab w:val="left" w:pos="4672"/>
        </w:tabs>
        <w:spacing w:before="0" w:after="266" w:line="240" w:lineRule="exact"/>
        <w:ind w:left="1840" w:firstLine="0"/>
      </w:pPr>
      <w:r>
        <w:rPr>
          <w:rStyle w:val="Bodytext4"/>
        </w:rPr>
        <w:t>xx</w:t>
      </w:r>
      <w:r>
        <w:rPr>
          <w:rStyle w:val="Bodytext4"/>
        </w:rPr>
        <w:tab/>
        <w:t>xx</w:t>
      </w:r>
      <w:r>
        <w:rPr>
          <w:rStyle w:val="Bodytext4"/>
        </w:rPr>
        <w:tab/>
        <w:t>xx</w:t>
      </w:r>
    </w:p>
    <w:p w:rsidR="00884A28" w:rsidRDefault="00350526">
      <w:pPr>
        <w:pStyle w:val="Bodytext0"/>
        <w:shd w:val="clear" w:color="auto" w:fill="auto"/>
        <w:spacing w:before="0" w:after="286" w:line="298" w:lineRule="exact"/>
        <w:ind w:left="280" w:right="600" w:firstLine="0"/>
      </w:pPr>
      <w:r>
        <w:rPr>
          <w:rStyle w:val="Bodytext4"/>
        </w:rPr>
        <w:t xml:space="preserve">(iv) </w:t>
      </w:r>
      <w:r>
        <w:rPr>
          <w:rStyle w:val="Bodytext4"/>
        </w:rPr>
        <w:t>measures to facilitate competition and promote efficiency in the operation of telecommunication services so as to facilitate growth in such services;</w:t>
      </w:r>
    </w:p>
    <w:p w:rsidR="00884A28" w:rsidRDefault="00350526">
      <w:pPr>
        <w:pStyle w:val="Bodytext0"/>
        <w:shd w:val="clear" w:color="auto" w:fill="auto"/>
        <w:tabs>
          <w:tab w:val="left" w:pos="3256"/>
          <w:tab w:val="left" w:pos="4672"/>
        </w:tabs>
        <w:spacing w:before="0" w:after="312" w:line="240" w:lineRule="exact"/>
        <w:ind w:left="1840" w:firstLine="0"/>
      </w:pPr>
      <w:r>
        <w:rPr>
          <w:rStyle w:val="Bodytext4"/>
        </w:rPr>
        <w:t>xx</w:t>
      </w:r>
      <w:r>
        <w:rPr>
          <w:rStyle w:val="Bodytext4"/>
        </w:rPr>
        <w:tab/>
        <w:t>xx</w:t>
      </w:r>
      <w:r>
        <w:rPr>
          <w:rStyle w:val="Bodytext4"/>
        </w:rPr>
        <w:tab/>
        <w:t>xx</w:t>
      </w:r>
    </w:p>
    <w:p w:rsidR="00884A28" w:rsidRDefault="00350526">
      <w:pPr>
        <w:pStyle w:val="Bodytext0"/>
        <w:numPr>
          <w:ilvl w:val="0"/>
          <w:numId w:val="51"/>
        </w:numPr>
        <w:shd w:val="clear" w:color="auto" w:fill="auto"/>
        <w:spacing w:before="0" w:after="261" w:line="240" w:lineRule="exact"/>
        <w:ind w:firstLine="0"/>
      </w:pPr>
      <w:r>
        <w:rPr>
          <w:rStyle w:val="Bodytext4"/>
        </w:rPr>
        <w:t xml:space="preserve"> discharge the following functions, namely:-</w:t>
      </w:r>
    </w:p>
    <w:p w:rsidR="00884A28" w:rsidRDefault="00350526">
      <w:pPr>
        <w:pStyle w:val="Bodytext0"/>
        <w:numPr>
          <w:ilvl w:val="0"/>
          <w:numId w:val="52"/>
        </w:numPr>
        <w:shd w:val="clear" w:color="auto" w:fill="auto"/>
        <w:spacing w:before="0" w:after="240" w:line="298" w:lineRule="exact"/>
        <w:ind w:left="280" w:right="600" w:firstLine="0"/>
      </w:pPr>
      <w:r>
        <w:rPr>
          <w:rStyle w:val="Bodytext4"/>
        </w:rPr>
        <w:t xml:space="preserve"> ensure compliance of terms and conditions of licenc</w:t>
      </w:r>
      <w:r>
        <w:rPr>
          <w:rStyle w:val="Bodytext4"/>
        </w:rPr>
        <w:t>e;</w:t>
      </w:r>
    </w:p>
    <w:p w:rsidR="00884A28" w:rsidRDefault="00350526">
      <w:pPr>
        <w:pStyle w:val="Bodytext0"/>
        <w:numPr>
          <w:ilvl w:val="0"/>
          <w:numId w:val="52"/>
        </w:numPr>
        <w:shd w:val="clear" w:color="auto" w:fill="auto"/>
        <w:spacing w:before="0" w:after="240" w:line="298" w:lineRule="exact"/>
        <w:ind w:left="280" w:right="600" w:firstLine="0"/>
      </w:pPr>
      <w:r>
        <w:rPr>
          <w:rStyle w:val="Bodytext4"/>
        </w:rPr>
        <w:t xml:space="preserve"> notwithstanding anything contained in the terms and conditions of the licence granted before the commencement of the Telecom Regulatory Authority of India (Amendment) Act, 2000, fix the terms and conditions of inter-connectivity between the service pro</w:t>
      </w:r>
      <w:r>
        <w:rPr>
          <w:rStyle w:val="Bodytext4"/>
        </w:rPr>
        <w:t>viders;</w:t>
      </w:r>
    </w:p>
    <w:p w:rsidR="00884A28" w:rsidRDefault="00350526">
      <w:pPr>
        <w:pStyle w:val="Bodytext0"/>
        <w:numPr>
          <w:ilvl w:val="0"/>
          <w:numId w:val="52"/>
        </w:numPr>
        <w:shd w:val="clear" w:color="auto" w:fill="auto"/>
        <w:spacing w:before="0" w:after="240" w:line="298" w:lineRule="exact"/>
        <w:ind w:left="280" w:right="600" w:firstLine="0"/>
      </w:pPr>
      <w:r>
        <w:rPr>
          <w:rStyle w:val="Bodytext4"/>
        </w:rPr>
        <w:t xml:space="preserve"> ensure technical compatibility and effective inter</w:t>
      </w:r>
      <w:r>
        <w:rPr>
          <w:rStyle w:val="Bodytext4"/>
        </w:rPr>
        <w:softHyphen/>
        <w:t>connection between different service providers;</w:t>
      </w:r>
    </w:p>
    <w:p w:rsidR="00884A28" w:rsidRDefault="00350526">
      <w:pPr>
        <w:pStyle w:val="Bodytext0"/>
        <w:numPr>
          <w:ilvl w:val="0"/>
          <w:numId w:val="52"/>
        </w:numPr>
        <w:shd w:val="clear" w:color="auto" w:fill="auto"/>
        <w:spacing w:before="0" w:after="240" w:line="298" w:lineRule="exact"/>
        <w:ind w:left="280" w:right="600" w:firstLine="0"/>
      </w:pPr>
      <w:r>
        <w:rPr>
          <w:rStyle w:val="Bodytext4"/>
        </w:rPr>
        <w:t xml:space="preserve"> regulate arrangement amongst service providers of sharing their revenue derived from providing telecommunication services;</w:t>
      </w:r>
    </w:p>
    <w:p w:rsidR="00884A28" w:rsidRDefault="00350526">
      <w:pPr>
        <w:pStyle w:val="Bodytext0"/>
        <w:numPr>
          <w:ilvl w:val="0"/>
          <w:numId w:val="52"/>
        </w:numPr>
        <w:shd w:val="clear" w:color="auto" w:fill="auto"/>
        <w:spacing w:before="0" w:after="240" w:line="298" w:lineRule="exact"/>
        <w:ind w:left="280" w:right="600" w:firstLine="0"/>
      </w:pPr>
      <w:r>
        <w:rPr>
          <w:rStyle w:val="Bodytext4"/>
        </w:rPr>
        <w:t xml:space="preserve"> lay-down the standards </w:t>
      </w:r>
      <w:r>
        <w:rPr>
          <w:rStyle w:val="Bodytext4"/>
        </w:rPr>
        <w:t>of quality of service to be provided by the service providers and ensure the quality of service and conduct the periodical survey of such service provided by the service providers so as to protect interest of the consumers of telecommunication service;</w:t>
      </w:r>
    </w:p>
    <w:p w:rsidR="00884A28" w:rsidRDefault="00350526">
      <w:pPr>
        <w:pStyle w:val="Bodytext0"/>
        <w:numPr>
          <w:ilvl w:val="0"/>
          <w:numId w:val="52"/>
        </w:numPr>
        <w:shd w:val="clear" w:color="auto" w:fill="auto"/>
        <w:spacing w:before="0" w:after="240" w:line="298" w:lineRule="exact"/>
        <w:ind w:left="280" w:right="600" w:firstLine="0"/>
      </w:pPr>
      <w:r>
        <w:rPr>
          <w:rStyle w:val="Bodytext4"/>
        </w:rPr>
        <w:t xml:space="preserve"> la</w:t>
      </w:r>
      <w:r>
        <w:rPr>
          <w:rStyle w:val="Bodytext4"/>
        </w:rPr>
        <w:t>y-down and ensure the time period for providing local and long distance circuits of telecommunication between different service providers;</w:t>
      </w:r>
    </w:p>
    <w:p w:rsidR="00884A28" w:rsidRDefault="00350526">
      <w:pPr>
        <w:pStyle w:val="Bodytext0"/>
        <w:numPr>
          <w:ilvl w:val="0"/>
          <w:numId w:val="52"/>
        </w:numPr>
        <w:shd w:val="clear" w:color="auto" w:fill="auto"/>
        <w:spacing w:before="0" w:line="298" w:lineRule="exact"/>
        <w:ind w:left="280" w:right="600" w:firstLine="0"/>
      </w:pPr>
      <w:r>
        <w:rPr>
          <w:rStyle w:val="Bodytext4"/>
        </w:rPr>
        <w:t xml:space="preserve"> maintain register of interconnect agreements and of all such other matters as may be provided in the regulations;</w:t>
      </w:r>
    </w:p>
    <w:p w:rsidR="00884A28" w:rsidRDefault="00350526">
      <w:pPr>
        <w:pStyle w:val="Bodytext0"/>
        <w:numPr>
          <w:ilvl w:val="0"/>
          <w:numId w:val="52"/>
        </w:numPr>
        <w:shd w:val="clear" w:color="auto" w:fill="auto"/>
        <w:spacing w:before="0" w:after="236" w:line="298" w:lineRule="exact"/>
        <w:ind w:left="300" w:right="360" w:firstLine="0"/>
      </w:pPr>
      <w:r>
        <w:rPr>
          <w:rStyle w:val="Bodytext4"/>
        </w:rPr>
        <w:t xml:space="preserve"> keep register maintained under clause (vii) open for inspection to any member of public on payment of such fee and compliance of such other requirement as may be provided in the regulations;</w:t>
      </w:r>
    </w:p>
    <w:p w:rsidR="00884A28" w:rsidRDefault="00350526">
      <w:pPr>
        <w:pStyle w:val="Bodytext0"/>
        <w:numPr>
          <w:ilvl w:val="0"/>
          <w:numId w:val="52"/>
        </w:numPr>
        <w:shd w:val="clear" w:color="auto" w:fill="auto"/>
        <w:spacing w:before="0" w:after="244" w:line="302" w:lineRule="exact"/>
        <w:ind w:left="300" w:right="360" w:firstLine="0"/>
      </w:pPr>
      <w:r>
        <w:rPr>
          <w:rStyle w:val="Bodytext4"/>
        </w:rPr>
        <w:t xml:space="preserve"> ensure effective compliance of universal service obligations;</w:t>
      </w:r>
    </w:p>
    <w:p w:rsidR="00884A28" w:rsidRDefault="00350526">
      <w:pPr>
        <w:pStyle w:val="Bodytext0"/>
        <w:numPr>
          <w:ilvl w:val="0"/>
          <w:numId w:val="51"/>
        </w:numPr>
        <w:shd w:val="clear" w:color="auto" w:fill="auto"/>
        <w:spacing w:before="0" w:after="240" w:line="298" w:lineRule="exact"/>
        <w:ind w:left="20" w:right="20" w:firstLine="0"/>
      </w:pPr>
      <w:r>
        <w:rPr>
          <w:rStyle w:val="Bodytext4"/>
        </w:rPr>
        <w:t xml:space="preserve"> </w:t>
      </w:r>
      <w:r>
        <w:rPr>
          <w:rStyle w:val="Bodytext4"/>
        </w:rPr>
        <w:t>levy fees and other charges at such rates and in respect of such services as may be determined by regulations;</w:t>
      </w:r>
    </w:p>
    <w:p w:rsidR="00884A28" w:rsidRDefault="00350526">
      <w:pPr>
        <w:pStyle w:val="Bodytext0"/>
        <w:numPr>
          <w:ilvl w:val="0"/>
          <w:numId w:val="51"/>
        </w:numPr>
        <w:shd w:val="clear" w:color="auto" w:fill="auto"/>
        <w:spacing w:before="0" w:after="240" w:line="298" w:lineRule="exact"/>
        <w:ind w:left="20" w:right="20" w:firstLine="0"/>
      </w:pPr>
      <w:r>
        <w:rPr>
          <w:rStyle w:val="Bodytext4"/>
        </w:rPr>
        <w:t xml:space="preserve"> perform such other functions including such administrative and financial functions as may be entrusted to it by the Central Government or as may</w:t>
      </w:r>
      <w:r>
        <w:rPr>
          <w:rStyle w:val="Bodytext4"/>
        </w:rPr>
        <w:t xml:space="preserve"> be necessary to carry out the provisions of this Act:</w:t>
      </w:r>
    </w:p>
    <w:p w:rsidR="00884A28" w:rsidRDefault="00350526">
      <w:pPr>
        <w:pStyle w:val="Bodytext0"/>
        <w:shd w:val="clear" w:color="auto" w:fill="auto"/>
        <w:spacing w:before="0" w:after="286" w:line="298" w:lineRule="exact"/>
        <w:ind w:left="20" w:right="20" w:firstLine="0"/>
      </w:pPr>
      <w:r>
        <w:rPr>
          <w:rStyle w:val="Bodytext4"/>
        </w:rPr>
        <w:t>Provided that the recommendations of the Authority specified in clause (a) of this sub-section shall not be binding upon the Central Government.</w:t>
      </w:r>
    </w:p>
    <w:p w:rsidR="00884A28" w:rsidRDefault="00350526">
      <w:pPr>
        <w:pStyle w:val="Bodytext0"/>
        <w:shd w:val="clear" w:color="auto" w:fill="auto"/>
        <w:tabs>
          <w:tab w:val="center" w:pos="3386"/>
          <w:tab w:val="right" w:pos="4926"/>
        </w:tabs>
        <w:spacing w:before="0" w:after="262" w:line="240" w:lineRule="exact"/>
        <w:ind w:left="1840" w:firstLine="0"/>
      </w:pPr>
      <w:r>
        <w:rPr>
          <w:rStyle w:val="Bodytext4"/>
        </w:rPr>
        <w:t>xx</w:t>
      </w:r>
      <w:r>
        <w:rPr>
          <w:rStyle w:val="Bodytext4"/>
        </w:rPr>
        <w:tab/>
        <w:t>xx</w:t>
      </w:r>
      <w:r>
        <w:rPr>
          <w:rStyle w:val="Bodytext4"/>
        </w:rPr>
        <w:tab/>
        <w:t>xx</w:t>
      </w:r>
    </w:p>
    <w:p w:rsidR="00884A28" w:rsidRDefault="00350526">
      <w:pPr>
        <w:pStyle w:val="Bodytext0"/>
        <w:shd w:val="clear" w:color="auto" w:fill="auto"/>
        <w:spacing w:before="0" w:after="2" w:line="302" w:lineRule="exact"/>
        <w:ind w:left="20" w:right="20" w:firstLine="0"/>
      </w:pPr>
      <w:r>
        <w:rPr>
          <w:rStyle w:val="BodytextBold0"/>
        </w:rPr>
        <w:t xml:space="preserve">14. Establishment of Appellate Tribunal. - </w:t>
      </w:r>
      <w:r>
        <w:rPr>
          <w:rStyle w:val="Bodytext4"/>
        </w:rPr>
        <w:t xml:space="preserve">The </w:t>
      </w:r>
      <w:r>
        <w:rPr>
          <w:rStyle w:val="Bodytext4"/>
        </w:rPr>
        <w:t>Central Government shall, by notification, establish an Appellate Tribunal to be known as the Telecom Disputes Settlement and Appellate Tribunal to -</w:t>
      </w:r>
    </w:p>
    <w:p w:rsidR="00884A28" w:rsidRDefault="00350526">
      <w:pPr>
        <w:pStyle w:val="Bodytext0"/>
        <w:numPr>
          <w:ilvl w:val="0"/>
          <w:numId w:val="53"/>
        </w:numPr>
        <w:shd w:val="clear" w:color="auto" w:fill="auto"/>
        <w:tabs>
          <w:tab w:val="left" w:pos="476"/>
        </w:tabs>
        <w:spacing w:before="0" w:line="600" w:lineRule="exact"/>
        <w:ind w:left="20" w:firstLine="0"/>
      </w:pPr>
      <w:r>
        <w:rPr>
          <w:rStyle w:val="Bodytext4"/>
        </w:rPr>
        <w:t>adjudicate any dispute -</w:t>
      </w:r>
    </w:p>
    <w:p w:rsidR="00884A28" w:rsidRDefault="00350526">
      <w:pPr>
        <w:pStyle w:val="Bodytext0"/>
        <w:numPr>
          <w:ilvl w:val="0"/>
          <w:numId w:val="54"/>
        </w:numPr>
        <w:shd w:val="clear" w:color="auto" w:fill="auto"/>
        <w:spacing w:before="0" w:line="600" w:lineRule="exact"/>
        <w:ind w:left="300" w:firstLine="0"/>
      </w:pPr>
      <w:r>
        <w:rPr>
          <w:rStyle w:val="Bodytext4"/>
        </w:rPr>
        <w:t xml:space="preserve"> between a licensor and a licensee;</w:t>
      </w:r>
    </w:p>
    <w:p w:rsidR="00884A28" w:rsidRDefault="00350526">
      <w:pPr>
        <w:pStyle w:val="Bodytext0"/>
        <w:numPr>
          <w:ilvl w:val="0"/>
          <w:numId w:val="54"/>
        </w:numPr>
        <w:shd w:val="clear" w:color="auto" w:fill="auto"/>
        <w:spacing w:before="0" w:line="600" w:lineRule="exact"/>
        <w:ind w:left="300" w:firstLine="0"/>
      </w:pPr>
      <w:r>
        <w:rPr>
          <w:rStyle w:val="Bodytext4"/>
        </w:rPr>
        <w:t xml:space="preserve"> between two or more service providers;</w:t>
      </w:r>
    </w:p>
    <w:p w:rsidR="00884A28" w:rsidRDefault="00350526">
      <w:pPr>
        <w:pStyle w:val="Bodytext0"/>
        <w:numPr>
          <w:ilvl w:val="0"/>
          <w:numId w:val="54"/>
        </w:numPr>
        <w:shd w:val="clear" w:color="auto" w:fill="auto"/>
        <w:spacing w:before="0" w:after="233" w:line="298" w:lineRule="exact"/>
        <w:ind w:left="300" w:right="360" w:firstLine="0"/>
      </w:pPr>
      <w:r>
        <w:rPr>
          <w:rStyle w:val="Bodytext4"/>
        </w:rPr>
        <w:t xml:space="preserve"> betw</w:t>
      </w:r>
      <w:r>
        <w:rPr>
          <w:rStyle w:val="Bodytext4"/>
        </w:rPr>
        <w:t>een a service provider and a group of consumers:</w:t>
      </w:r>
    </w:p>
    <w:p w:rsidR="00884A28" w:rsidRDefault="00350526">
      <w:pPr>
        <w:pStyle w:val="Bodytext0"/>
        <w:shd w:val="clear" w:color="auto" w:fill="auto"/>
        <w:spacing w:before="0" w:after="248" w:line="307" w:lineRule="exact"/>
        <w:ind w:left="300" w:right="360" w:firstLine="0"/>
      </w:pPr>
      <w:r>
        <w:rPr>
          <w:rStyle w:val="Bodytext4"/>
        </w:rPr>
        <w:t>Provided that nothing in this clause shall apply in respect of matters relating to -</w:t>
      </w:r>
    </w:p>
    <w:p w:rsidR="00884A28" w:rsidRDefault="00350526">
      <w:pPr>
        <w:pStyle w:val="Bodytext0"/>
        <w:numPr>
          <w:ilvl w:val="0"/>
          <w:numId w:val="55"/>
        </w:numPr>
        <w:shd w:val="clear" w:color="auto" w:fill="auto"/>
        <w:tabs>
          <w:tab w:val="left" w:pos="852"/>
        </w:tabs>
        <w:spacing w:before="0" w:line="298" w:lineRule="exact"/>
        <w:ind w:left="300" w:right="360" w:firstLine="0"/>
      </w:pPr>
      <w:r>
        <w:rPr>
          <w:rStyle w:val="Bodytext4"/>
        </w:rPr>
        <w:t>the monopolistic trade practice, restrictive trade practice and unfair trade practice which are subject to the jurisdictio</w:t>
      </w:r>
      <w:r>
        <w:rPr>
          <w:rStyle w:val="Bodytext4"/>
        </w:rPr>
        <w:t>n of the Monopolies and Restrictive Trade Practices Commission established under sub</w:t>
      </w:r>
      <w:r>
        <w:rPr>
          <w:rStyle w:val="Bodytext4"/>
        </w:rPr>
        <w:softHyphen/>
        <w:t>section (1) of section 5 of the Monopolies and Restrictive Trade Practices Act, 1969 (54 of 1969);</w:t>
      </w:r>
    </w:p>
    <w:p w:rsidR="00884A28" w:rsidRDefault="00350526">
      <w:pPr>
        <w:pStyle w:val="Bodytext0"/>
        <w:numPr>
          <w:ilvl w:val="0"/>
          <w:numId w:val="55"/>
        </w:numPr>
        <w:shd w:val="clear" w:color="auto" w:fill="auto"/>
        <w:spacing w:before="0" w:after="240" w:line="298" w:lineRule="exact"/>
        <w:ind w:left="300" w:right="360" w:firstLine="0"/>
      </w:pPr>
      <w:r>
        <w:rPr>
          <w:rStyle w:val="Bodytext4"/>
        </w:rPr>
        <w:t xml:space="preserve"> the complaint of an individual consumer maintainable before a Consumer Disputes Redressal Forum or a Consumer Disputes Redressal Commission or the National Consumer Redressal Commission established under section 9 of the Consumer Protection Act, 1986 (68 </w:t>
      </w:r>
      <w:r>
        <w:rPr>
          <w:rStyle w:val="Bodytext4"/>
        </w:rPr>
        <w:t>of 1986);</w:t>
      </w:r>
    </w:p>
    <w:p w:rsidR="00884A28" w:rsidRDefault="00350526">
      <w:pPr>
        <w:pStyle w:val="Bodytext0"/>
        <w:numPr>
          <w:ilvl w:val="0"/>
          <w:numId w:val="55"/>
        </w:numPr>
        <w:shd w:val="clear" w:color="auto" w:fill="auto"/>
        <w:spacing w:before="0" w:after="236" w:line="298" w:lineRule="exact"/>
        <w:ind w:left="300" w:right="360" w:firstLine="0"/>
      </w:pPr>
      <w:r>
        <w:rPr>
          <w:rStyle w:val="Bodytext4"/>
        </w:rPr>
        <w:t xml:space="preserve"> dispute between telegraph authority and any other person referred to in sub-section (1) of section 7B of the Indian Telegraph Act, 1885 (13 of 1885);</w:t>
      </w:r>
    </w:p>
    <w:p w:rsidR="00884A28" w:rsidRDefault="00350526">
      <w:pPr>
        <w:pStyle w:val="Bodytext0"/>
        <w:numPr>
          <w:ilvl w:val="0"/>
          <w:numId w:val="53"/>
        </w:numPr>
        <w:shd w:val="clear" w:color="auto" w:fill="auto"/>
        <w:tabs>
          <w:tab w:val="left" w:pos="572"/>
        </w:tabs>
        <w:spacing w:before="0" w:after="290" w:line="302" w:lineRule="exact"/>
        <w:ind w:left="20" w:right="20" w:firstLine="0"/>
      </w:pPr>
      <w:r>
        <w:rPr>
          <w:rStyle w:val="Bodytext4"/>
        </w:rPr>
        <w:t>hear and dispose of appeal against any direction, decision or order of the Authority under this</w:t>
      </w:r>
      <w:r>
        <w:rPr>
          <w:rStyle w:val="Bodytext4"/>
        </w:rPr>
        <w:t xml:space="preserve"> Act.</w:t>
      </w:r>
    </w:p>
    <w:p w:rsidR="00884A28" w:rsidRDefault="00350526">
      <w:pPr>
        <w:pStyle w:val="Bodytext0"/>
        <w:shd w:val="clear" w:color="auto" w:fill="auto"/>
        <w:tabs>
          <w:tab w:val="center" w:pos="3406"/>
          <w:tab w:val="left" w:pos="4692"/>
        </w:tabs>
        <w:spacing w:before="0" w:after="312" w:line="240" w:lineRule="exact"/>
        <w:ind w:left="1860" w:firstLine="0"/>
      </w:pPr>
      <w:r>
        <w:rPr>
          <w:rStyle w:val="Bodytext4"/>
        </w:rPr>
        <w:t>xx</w:t>
      </w:r>
      <w:r>
        <w:rPr>
          <w:rStyle w:val="Bodytext4"/>
        </w:rPr>
        <w:tab/>
        <w:t>xx</w:t>
      </w:r>
      <w:r>
        <w:rPr>
          <w:rStyle w:val="Bodytext4"/>
        </w:rPr>
        <w:tab/>
        <w:t>xx</w:t>
      </w:r>
    </w:p>
    <w:p w:rsidR="00884A28" w:rsidRDefault="00350526">
      <w:pPr>
        <w:pStyle w:val="Heading20"/>
        <w:keepNext/>
        <w:keepLines/>
        <w:shd w:val="clear" w:color="auto" w:fill="auto"/>
        <w:spacing w:after="0" w:line="240" w:lineRule="exact"/>
        <w:ind w:left="20"/>
      </w:pPr>
      <w:bookmarkStart w:id="22" w:name="bookmark24"/>
      <w:r>
        <w:t xml:space="preserve">16. Procedure and powers of Appellate Tribunal. - </w:t>
      </w:r>
      <w:r>
        <w:rPr>
          <w:rStyle w:val="Heading2NotBold"/>
        </w:rPr>
        <w:t>(1)</w:t>
      </w:r>
      <w:bookmarkEnd w:id="22"/>
    </w:p>
    <w:p w:rsidR="00884A28" w:rsidRDefault="00350526">
      <w:pPr>
        <w:pStyle w:val="Bodytext0"/>
        <w:shd w:val="clear" w:color="auto" w:fill="auto"/>
        <w:spacing w:before="0" w:after="240" w:line="298" w:lineRule="exact"/>
        <w:ind w:left="20" w:right="20" w:firstLine="0"/>
      </w:pPr>
      <w:r>
        <w:rPr>
          <w:rStyle w:val="Bodytext4"/>
        </w:rPr>
        <w:t>The Appellate Tribunal shall not be bound by the procedure laid down by the Code of Civil Procedure, 1908 (5 of 1908), but shall be guided by the principles of natural justice and, subjec</w:t>
      </w:r>
      <w:r>
        <w:rPr>
          <w:rStyle w:val="Bodytext4"/>
        </w:rPr>
        <w:t>t to the other provisions of this Act, the Appellate Tribunal shall have powers to regulate its own procedure.</w:t>
      </w:r>
    </w:p>
    <w:p w:rsidR="00884A28" w:rsidRDefault="00350526">
      <w:pPr>
        <w:pStyle w:val="Bodytext0"/>
        <w:numPr>
          <w:ilvl w:val="0"/>
          <w:numId w:val="56"/>
        </w:numPr>
        <w:shd w:val="clear" w:color="auto" w:fill="auto"/>
        <w:tabs>
          <w:tab w:val="left" w:pos="572"/>
        </w:tabs>
        <w:spacing w:before="0" w:after="244" w:line="298" w:lineRule="exact"/>
        <w:ind w:left="20" w:right="20" w:firstLine="0"/>
      </w:pPr>
      <w:r>
        <w:rPr>
          <w:rStyle w:val="Bodytext4"/>
        </w:rPr>
        <w:t xml:space="preserve">The Appellate Tribunal shall have, for the purposes of discharging the functions under this Act, the same powers as are vested in a civil court </w:t>
      </w:r>
      <w:r>
        <w:rPr>
          <w:rStyle w:val="Bodytext4"/>
        </w:rPr>
        <w:t>under the Code of Civil Procedure, 1908 (5 of 1908), while trying a suit, in respect of the following matters, namely:-</w:t>
      </w:r>
    </w:p>
    <w:p w:rsidR="00884A28" w:rsidRDefault="00350526">
      <w:pPr>
        <w:pStyle w:val="Bodytext0"/>
        <w:numPr>
          <w:ilvl w:val="0"/>
          <w:numId w:val="57"/>
        </w:numPr>
        <w:shd w:val="clear" w:color="auto" w:fill="auto"/>
        <w:spacing w:before="0" w:after="233" w:line="293" w:lineRule="exact"/>
        <w:ind w:left="300" w:right="360" w:firstLine="0"/>
      </w:pPr>
      <w:r>
        <w:rPr>
          <w:rStyle w:val="Bodytext4"/>
        </w:rPr>
        <w:t xml:space="preserve"> summoning and enforcing the attendance of any person and examining him on oath;</w:t>
      </w:r>
    </w:p>
    <w:p w:rsidR="00884A28" w:rsidRDefault="00350526">
      <w:pPr>
        <w:pStyle w:val="Bodytext0"/>
        <w:numPr>
          <w:ilvl w:val="0"/>
          <w:numId w:val="57"/>
        </w:numPr>
        <w:shd w:val="clear" w:color="auto" w:fill="auto"/>
        <w:spacing w:before="0" w:after="290" w:line="302" w:lineRule="exact"/>
        <w:ind w:left="300" w:right="360" w:firstLine="0"/>
      </w:pPr>
      <w:r>
        <w:rPr>
          <w:rStyle w:val="Bodytext4"/>
        </w:rPr>
        <w:t xml:space="preserve"> requiring the discovery and production of documents;</w:t>
      </w:r>
    </w:p>
    <w:p w:rsidR="00884A28" w:rsidRDefault="00350526">
      <w:pPr>
        <w:pStyle w:val="Bodytext0"/>
        <w:numPr>
          <w:ilvl w:val="0"/>
          <w:numId w:val="57"/>
        </w:numPr>
        <w:shd w:val="clear" w:color="auto" w:fill="auto"/>
        <w:spacing w:before="0" w:after="266" w:line="240" w:lineRule="exact"/>
        <w:ind w:left="300" w:firstLine="0"/>
      </w:pPr>
      <w:r>
        <w:rPr>
          <w:rStyle w:val="Bodytext4"/>
        </w:rPr>
        <w:t xml:space="preserve"> </w:t>
      </w:r>
      <w:r>
        <w:rPr>
          <w:rStyle w:val="Bodytext4"/>
        </w:rPr>
        <w:t>receiving evidence on affidavits;</w:t>
      </w:r>
    </w:p>
    <w:p w:rsidR="00884A28" w:rsidRDefault="00350526">
      <w:pPr>
        <w:pStyle w:val="Bodytext0"/>
        <w:numPr>
          <w:ilvl w:val="0"/>
          <w:numId w:val="57"/>
        </w:numPr>
        <w:shd w:val="clear" w:color="auto" w:fill="auto"/>
        <w:spacing w:before="0" w:after="236" w:line="298" w:lineRule="exact"/>
        <w:ind w:left="300" w:right="360" w:firstLine="0"/>
      </w:pPr>
      <w:r>
        <w:rPr>
          <w:rStyle w:val="Bodytext4"/>
        </w:rPr>
        <w:t xml:space="preserve"> subject to the provisions of section 123 and 124 of the Indian Evidence Act, 1872 (1 of 1872), requisitioning any public record or document or a copy of such record or document, from any office;</w:t>
      </w:r>
    </w:p>
    <w:p w:rsidR="00884A28" w:rsidRDefault="00350526">
      <w:pPr>
        <w:pStyle w:val="Bodytext0"/>
        <w:numPr>
          <w:ilvl w:val="0"/>
          <w:numId w:val="57"/>
        </w:numPr>
        <w:shd w:val="clear" w:color="auto" w:fill="auto"/>
        <w:spacing w:before="0" w:after="290" w:line="302" w:lineRule="exact"/>
        <w:ind w:left="300" w:right="360" w:firstLine="0"/>
      </w:pPr>
      <w:r>
        <w:rPr>
          <w:rStyle w:val="Bodytext4"/>
        </w:rPr>
        <w:t xml:space="preserve"> issuing commissions for t</w:t>
      </w:r>
      <w:r>
        <w:rPr>
          <w:rStyle w:val="Bodytext4"/>
        </w:rPr>
        <w:t>he examination of witnesses or documents;</w:t>
      </w:r>
    </w:p>
    <w:p w:rsidR="00884A28" w:rsidRDefault="00350526">
      <w:pPr>
        <w:pStyle w:val="Bodytext0"/>
        <w:numPr>
          <w:ilvl w:val="0"/>
          <w:numId w:val="57"/>
        </w:numPr>
        <w:shd w:val="clear" w:color="auto" w:fill="auto"/>
        <w:spacing w:before="0" w:line="240" w:lineRule="exact"/>
        <w:ind w:left="300" w:firstLine="0"/>
        <w:sectPr w:rsidR="00884A28">
          <w:type w:val="continuous"/>
          <w:pgSz w:w="12240" w:h="15840"/>
          <w:pgMar w:top="600" w:right="849" w:bottom="1181" w:left="2294" w:header="0" w:footer="3" w:gutter="0"/>
          <w:cols w:space="720"/>
          <w:noEndnote/>
          <w:docGrid w:linePitch="360"/>
        </w:sectPr>
      </w:pPr>
      <w:r>
        <w:rPr>
          <w:rStyle w:val="Bodytext4"/>
        </w:rPr>
        <w:t xml:space="preserve"> reviewing its decisions;</w:t>
      </w:r>
    </w:p>
    <w:p w:rsidR="00884A28" w:rsidRDefault="00350526">
      <w:pPr>
        <w:pStyle w:val="Bodytext0"/>
        <w:numPr>
          <w:ilvl w:val="0"/>
          <w:numId w:val="57"/>
        </w:numPr>
        <w:shd w:val="clear" w:color="auto" w:fill="auto"/>
        <w:spacing w:before="0" w:after="244" w:line="302" w:lineRule="exact"/>
        <w:ind w:left="1700" w:right="1260" w:firstLine="0"/>
      </w:pPr>
      <w:r>
        <w:rPr>
          <w:rStyle w:val="Bodytext4"/>
        </w:rPr>
        <w:t xml:space="preserve"> dismissing an application for default or deciding it, </w:t>
      </w:r>
      <w:r>
        <w:rPr>
          <w:rStyle w:val="BodytextItalic1"/>
        </w:rPr>
        <w:t>ex parte;</w:t>
      </w:r>
    </w:p>
    <w:p w:rsidR="00884A28" w:rsidRDefault="00350526">
      <w:pPr>
        <w:pStyle w:val="Bodytext0"/>
        <w:numPr>
          <w:ilvl w:val="0"/>
          <w:numId w:val="57"/>
        </w:numPr>
        <w:shd w:val="clear" w:color="auto" w:fill="auto"/>
        <w:spacing w:before="0" w:after="286" w:line="298" w:lineRule="exact"/>
        <w:ind w:left="1700" w:right="1260" w:firstLine="0"/>
      </w:pPr>
      <w:r>
        <w:rPr>
          <w:rStyle w:val="Bodytext4"/>
        </w:rPr>
        <w:t xml:space="preserve"> setting aside any order of dismissal of any application for default or any order passed by it, </w:t>
      </w:r>
      <w:r>
        <w:rPr>
          <w:rStyle w:val="BodytextItalic1"/>
        </w:rPr>
        <w:t>ex parte;</w:t>
      </w:r>
      <w:r>
        <w:rPr>
          <w:rStyle w:val="Bodytext4"/>
        </w:rPr>
        <w:t xml:space="preserve"> and</w:t>
      </w:r>
    </w:p>
    <w:p w:rsidR="00884A28" w:rsidRDefault="00350526">
      <w:pPr>
        <w:pStyle w:val="Bodytext0"/>
        <w:numPr>
          <w:ilvl w:val="0"/>
          <w:numId w:val="57"/>
        </w:numPr>
        <w:shd w:val="clear" w:color="auto" w:fill="auto"/>
        <w:spacing w:before="0" w:after="266" w:line="240" w:lineRule="exact"/>
        <w:ind w:left="1700" w:firstLine="0"/>
      </w:pPr>
      <w:r>
        <w:rPr>
          <w:rStyle w:val="Bodytext4"/>
        </w:rPr>
        <w:t xml:space="preserve"> any other matter which may be prescribed.</w:t>
      </w:r>
    </w:p>
    <w:p w:rsidR="00884A28" w:rsidRDefault="00350526">
      <w:pPr>
        <w:pStyle w:val="Bodytext0"/>
        <w:numPr>
          <w:ilvl w:val="0"/>
          <w:numId w:val="56"/>
        </w:numPr>
        <w:shd w:val="clear" w:color="auto" w:fill="auto"/>
        <w:tabs>
          <w:tab w:val="left" w:pos="2044"/>
        </w:tabs>
        <w:spacing w:before="0" w:after="324" w:line="298" w:lineRule="exact"/>
        <w:ind w:left="1420" w:right="940" w:firstLine="0"/>
      </w:pPr>
      <w:r>
        <w:rPr>
          <w:rStyle w:val="Bodytext4"/>
        </w:rPr>
        <w:t>Every proceeding before the Appellate Tribunal shall be deemed to be a judicial proceeding within the meaning of sections 193 and 228, and for the purposes of section 196 of the Indian Penal Code (45 of 1860)</w:t>
      </w:r>
      <w:r>
        <w:rPr>
          <w:rStyle w:val="Bodytext4"/>
        </w:rPr>
        <w:t xml:space="preserve"> and the Appellate Tribunal shall be deemed to be a civil court for the purposes of section 195 and Chapter XXVI of the Code of Criminal Procedure, 1973 (2 of 1974).”</w:t>
      </w:r>
    </w:p>
    <w:p w:rsidR="00884A28" w:rsidRDefault="00350526">
      <w:pPr>
        <w:pStyle w:val="Bodytext0"/>
        <w:numPr>
          <w:ilvl w:val="0"/>
          <w:numId w:val="20"/>
        </w:numPr>
        <w:shd w:val="clear" w:color="auto" w:fill="auto"/>
        <w:tabs>
          <w:tab w:val="left" w:pos="720"/>
        </w:tabs>
        <w:spacing w:before="0"/>
        <w:ind w:left="720" w:right="260" w:hanging="720"/>
      </w:pPr>
      <w:r>
        <w:rPr>
          <w:rStyle w:val="Bodytext4"/>
        </w:rPr>
        <w:t>Other provisions in the telecom sector which are relevant for the purposes of these appea</w:t>
      </w:r>
      <w:r>
        <w:rPr>
          <w:rStyle w:val="Bodytext4"/>
        </w:rPr>
        <w:t>ls are taken note of by the High Court as under:</w:t>
      </w:r>
    </w:p>
    <w:p w:rsidR="00884A28" w:rsidRDefault="00350526">
      <w:pPr>
        <w:pStyle w:val="Bodytext0"/>
        <w:shd w:val="clear" w:color="auto" w:fill="auto"/>
        <w:spacing w:before="0" w:line="600" w:lineRule="exact"/>
        <w:ind w:left="1420" w:firstLine="0"/>
      </w:pPr>
      <w:r>
        <w:rPr>
          <w:rStyle w:val="Bodytext4"/>
        </w:rPr>
        <w:t>"</w:t>
      </w:r>
      <w:r>
        <w:rPr>
          <w:rStyle w:val="Bodytext5"/>
        </w:rPr>
        <w:t>Telecommunication laws binds all</w:t>
      </w:r>
    </w:p>
    <w:p w:rsidR="00884A28" w:rsidRDefault="00350526">
      <w:pPr>
        <w:pStyle w:val="Bodytext0"/>
        <w:numPr>
          <w:ilvl w:val="0"/>
          <w:numId w:val="58"/>
        </w:numPr>
        <w:shd w:val="clear" w:color="auto" w:fill="auto"/>
        <w:tabs>
          <w:tab w:val="left" w:pos="2044"/>
        </w:tabs>
        <w:spacing w:before="0" w:line="600" w:lineRule="exact"/>
        <w:ind w:left="1420" w:firstLine="0"/>
      </w:pPr>
      <w:r>
        <w:rPr>
          <w:rStyle w:val="Bodytext5"/>
        </w:rPr>
        <w:t>The relevant licenses</w:t>
      </w:r>
    </w:p>
    <w:p w:rsidR="00884A28" w:rsidRDefault="00350526">
      <w:pPr>
        <w:pStyle w:val="Bodytext0"/>
        <w:shd w:val="clear" w:color="auto" w:fill="auto"/>
        <w:spacing w:before="0" w:line="298" w:lineRule="exact"/>
        <w:ind w:left="1420" w:right="940" w:firstLine="0"/>
      </w:pPr>
      <w:r>
        <w:rPr>
          <w:rStyle w:val="Bodytext5"/>
        </w:rPr>
        <w:t>Unified License (UL)</w:t>
      </w:r>
      <w:r>
        <w:rPr>
          <w:rStyle w:val="Bodytext4"/>
        </w:rPr>
        <w:t xml:space="preserve"> - The UL issued by Department of Telecommunications, Government of India (“DoT”) for providing telecommunication services on a pan India basis. Licence under Section 4 of Indian Telegraph Act,</w:t>
      </w:r>
    </w:p>
    <w:p w:rsidR="00884A28" w:rsidRDefault="00350526">
      <w:pPr>
        <w:pStyle w:val="Bodytext0"/>
        <w:shd w:val="clear" w:color="auto" w:fill="auto"/>
        <w:spacing w:before="0" w:after="240" w:line="302" w:lineRule="exact"/>
        <w:ind w:left="1420" w:right="940" w:firstLine="0"/>
      </w:pPr>
      <w:r>
        <w:rPr>
          <w:rStyle w:val="Bodytext4"/>
        </w:rPr>
        <w:t>1885 therefore they become Telecom Service Provider (“TSP”). R</w:t>
      </w:r>
      <w:r>
        <w:rPr>
          <w:rStyle w:val="Bodytext4"/>
        </w:rPr>
        <w:t>elevant clauses of the UL (UASL) are -</w:t>
      </w:r>
    </w:p>
    <w:p w:rsidR="00884A28" w:rsidRDefault="00350526">
      <w:pPr>
        <w:pStyle w:val="Bodytext0"/>
        <w:numPr>
          <w:ilvl w:val="0"/>
          <w:numId w:val="59"/>
        </w:numPr>
        <w:shd w:val="clear" w:color="auto" w:fill="auto"/>
        <w:spacing w:before="0" w:after="244" w:line="302" w:lineRule="exact"/>
        <w:ind w:left="1420" w:right="940" w:firstLine="0"/>
      </w:pPr>
      <w:r>
        <w:rPr>
          <w:rStyle w:val="Bodytext4"/>
        </w:rPr>
        <w:t xml:space="preserve"> Clause 16 of Part-I: Other conditions: The licensee is bound by all TRAI Orders/Directions/Reglations;</w:t>
      </w:r>
    </w:p>
    <w:p w:rsidR="00884A28" w:rsidRDefault="00350526">
      <w:pPr>
        <w:pStyle w:val="Bodytext0"/>
        <w:numPr>
          <w:ilvl w:val="0"/>
          <w:numId w:val="59"/>
        </w:numPr>
        <w:shd w:val="clear" w:color="auto" w:fill="auto"/>
        <w:spacing w:before="0" w:line="298" w:lineRule="exact"/>
        <w:ind w:left="1420" w:right="940" w:firstLine="0"/>
        <w:sectPr w:rsidR="00884A28">
          <w:type w:val="continuous"/>
          <w:pgSz w:w="12240" w:h="15840"/>
          <w:pgMar w:top="389" w:right="1555" w:bottom="1392" w:left="1584" w:header="0" w:footer="3" w:gutter="0"/>
          <w:cols w:space="720"/>
          <w:noEndnote/>
          <w:docGrid w:linePitch="360"/>
        </w:sectPr>
      </w:pPr>
      <w:r>
        <w:rPr>
          <w:rStyle w:val="Bodytext4"/>
        </w:rPr>
        <w:t xml:space="preserve"> Clause 27 of Part-I: Network Interconnnection, particularly, Clause 27.4, which requires a lic</w:t>
      </w:r>
      <w:r>
        <w:rPr>
          <w:rStyle w:val="Bodytext4"/>
        </w:rPr>
        <w:t>ensee to interconnect subject to compliance with prevailing regulations and determinations issued by TRAI, and contemplates the execution of ICAs to establish interconnection in sufficient capacity and number to enable</w:t>
      </w:r>
    </w:p>
    <w:p w:rsidR="00884A28" w:rsidRDefault="00350526">
      <w:pPr>
        <w:pStyle w:val="Bodytext0"/>
        <w:shd w:val="clear" w:color="auto" w:fill="auto"/>
        <w:spacing w:before="0" w:after="240" w:line="298" w:lineRule="exact"/>
        <w:ind w:left="20" w:right="20" w:firstLine="0"/>
      </w:pPr>
      <w:r>
        <w:rPr>
          <w:rStyle w:val="Bodytext4"/>
        </w:rPr>
        <w:t>transmission and reception of message</w:t>
      </w:r>
      <w:r>
        <w:rPr>
          <w:rStyle w:val="Bodytext4"/>
        </w:rPr>
        <w:t>s between the interconnected systems;</w:t>
      </w:r>
    </w:p>
    <w:p w:rsidR="00884A28" w:rsidRDefault="00350526">
      <w:pPr>
        <w:pStyle w:val="Bodytext0"/>
        <w:numPr>
          <w:ilvl w:val="0"/>
          <w:numId w:val="59"/>
        </w:numPr>
        <w:shd w:val="clear" w:color="auto" w:fill="auto"/>
        <w:spacing w:before="0" w:after="240" w:line="298" w:lineRule="exact"/>
        <w:ind w:left="20" w:right="20" w:firstLine="0"/>
      </w:pPr>
      <w:r>
        <w:rPr>
          <w:rStyle w:val="Bodytext4"/>
        </w:rPr>
        <w:t xml:space="preserve"> Clause 29 of Part-I, requiring a licensee to ensure QoS standards as may be prescribed by DoT/TRAI. Specifically, Clause 29.4, empowers DoT/TRAI to evaluate QoS parameters prior to grant of permission for commencement of services; and</w:t>
      </w:r>
    </w:p>
    <w:p w:rsidR="00884A28" w:rsidRDefault="00350526">
      <w:pPr>
        <w:pStyle w:val="Bodytext0"/>
        <w:numPr>
          <w:ilvl w:val="0"/>
          <w:numId w:val="59"/>
        </w:numPr>
        <w:shd w:val="clear" w:color="auto" w:fill="auto"/>
        <w:spacing w:before="0" w:after="286" w:line="298" w:lineRule="exact"/>
        <w:ind w:left="20" w:right="20" w:firstLine="0"/>
      </w:pPr>
      <w:r>
        <w:rPr>
          <w:rStyle w:val="Bodytext4"/>
        </w:rPr>
        <w:t xml:space="preserve"> Clause 6.2 of Part-</w:t>
      </w:r>
      <w:r>
        <w:rPr>
          <w:rStyle w:val="Bodytext4"/>
        </w:rPr>
        <w:t>II, which requires a licensee to provide interconnection to all TSPs to ensure that calls are completed to all destinations.</w:t>
      </w:r>
    </w:p>
    <w:p w:rsidR="00884A28" w:rsidRDefault="00350526">
      <w:pPr>
        <w:pStyle w:val="Bodytext0"/>
        <w:shd w:val="clear" w:color="auto" w:fill="auto"/>
        <w:spacing w:before="0" w:after="266" w:line="240" w:lineRule="exact"/>
        <w:ind w:left="20" w:firstLine="0"/>
      </w:pPr>
      <w:r>
        <w:rPr>
          <w:rStyle w:val="Bodytext5"/>
        </w:rPr>
        <w:t>Inter-connection Agreements</w:t>
      </w:r>
    </w:p>
    <w:p w:rsidR="00884A28" w:rsidRDefault="00350526">
      <w:pPr>
        <w:pStyle w:val="Bodytext0"/>
        <w:numPr>
          <w:ilvl w:val="0"/>
          <w:numId w:val="58"/>
        </w:numPr>
        <w:shd w:val="clear" w:color="auto" w:fill="auto"/>
        <w:tabs>
          <w:tab w:val="left" w:pos="620"/>
        </w:tabs>
        <w:spacing w:before="0" w:after="240" w:line="298" w:lineRule="exact"/>
        <w:ind w:left="20" w:right="20" w:firstLine="0"/>
      </w:pPr>
      <w:r>
        <w:rPr>
          <w:rStyle w:val="Bodytext4"/>
        </w:rPr>
        <w:t>Similar separate Interconnection Agreements (ICAs) are executed between the parties. The relevant claus</w:t>
      </w:r>
      <w:r>
        <w:rPr>
          <w:rStyle w:val="Bodytext4"/>
        </w:rPr>
        <w:t>es of ICAs are as under:</w:t>
      </w:r>
    </w:p>
    <w:p w:rsidR="00884A28" w:rsidRDefault="00350526">
      <w:pPr>
        <w:pStyle w:val="Bodytext0"/>
        <w:shd w:val="clear" w:color="auto" w:fill="auto"/>
        <w:spacing w:before="0" w:after="240" w:line="298" w:lineRule="exact"/>
        <w:ind w:left="300" w:right="360" w:firstLine="0"/>
      </w:pPr>
      <w:r>
        <w:rPr>
          <w:rStyle w:val="Bodytext4"/>
        </w:rPr>
        <w:t>Clause 2.4: “...RJIL will be required to establish Interconnection at the Switches of IDEA as listed in Schedule I. In addition to these specified locations, the Parties may further agree to interconnect at an additional location(s</w:t>
      </w:r>
      <w:r>
        <w:rPr>
          <w:rStyle w:val="Bodytext4"/>
        </w:rPr>
        <w:t>) as mutually agreed to by and between the parties during the term of this Agreement...”</w:t>
      </w:r>
    </w:p>
    <w:p w:rsidR="00884A28" w:rsidRDefault="00350526">
      <w:pPr>
        <w:pStyle w:val="Bodytext0"/>
        <w:shd w:val="clear" w:color="auto" w:fill="auto"/>
        <w:spacing w:before="0" w:after="240" w:line="298" w:lineRule="exact"/>
        <w:ind w:left="300" w:right="360" w:firstLine="0"/>
      </w:pPr>
      <w:r>
        <w:rPr>
          <w:rStyle w:val="Bodytext4"/>
        </w:rPr>
        <w:t>Clause 5.7: “...At the end of two years, the Parties shall convert the total E1s existing at the POIs into one-way E1s for the Outgoing Traffic of each Party on the ba</w:t>
      </w:r>
      <w:r>
        <w:rPr>
          <w:rStyle w:val="Bodytext4"/>
        </w:rPr>
        <w:t>sis of the traffic ratio existing 3 months prior to the expiry of the initial period of two years. These E1s shall thereafter be continued as one-way E1s for the remaining term of the Agreement at the cost of RJIL...”</w:t>
      </w:r>
    </w:p>
    <w:p w:rsidR="00884A28" w:rsidRDefault="00350526">
      <w:pPr>
        <w:pStyle w:val="Bodytext0"/>
        <w:shd w:val="clear" w:color="auto" w:fill="auto"/>
        <w:spacing w:before="0" w:after="240" w:line="298" w:lineRule="exact"/>
        <w:ind w:left="300" w:right="360" w:firstLine="0"/>
      </w:pPr>
      <w:r>
        <w:rPr>
          <w:rStyle w:val="Bodytext4"/>
        </w:rPr>
        <w:t xml:space="preserve">Clause 9.1: “...A minimum notice of 4 </w:t>
      </w:r>
      <w:r>
        <w:rPr>
          <w:rStyle w:val="Bodytext4"/>
        </w:rPr>
        <w:t>weeks has to be given by either Party for augmentations of Interconnect Links...”</w:t>
      </w:r>
    </w:p>
    <w:p w:rsidR="00884A28" w:rsidRDefault="00350526">
      <w:pPr>
        <w:pStyle w:val="Bodytext0"/>
        <w:shd w:val="clear" w:color="auto" w:fill="auto"/>
        <w:spacing w:before="0" w:after="240" w:line="298" w:lineRule="exact"/>
        <w:ind w:left="300" w:right="360" w:firstLine="0"/>
      </w:pPr>
      <w:r>
        <w:rPr>
          <w:rStyle w:val="Bodytext4"/>
        </w:rPr>
        <w:t>Clause 9.2: “...Augmentation shall be completed within 90 days of receipt of requisite charges specified in Schedule 2 from RJIL...”</w:t>
      </w:r>
    </w:p>
    <w:p w:rsidR="00884A28" w:rsidRDefault="00350526">
      <w:pPr>
        <w:pStyle w:val="Bodytext0"/>
        <w:shd w:val="clear" w:color="auto" w:fill="auto"/>
        <w:tabs>
          <w:tab w:val="left" w:pos="2047"/>
        </w:tabs>
        <w:spacing w:before="0" w:line="298" w:lineRule="exact"/>
        <w:ind w:left="300" w:firstLine="0"/>
      </w:pPr>
      <w:r>
        <w:rPr>
          <w:rStyle w:val="Bodytext4"/>
        </w:rPr>
        <w:t>Clause 9.3:</w:t>
      </w:r>
      <w:r>
        <w:rPr>
          <w:rStyle w:val="Bodytext4"/>
        </w:rPr>
        <w:tab/>
        <w:t xml:space="preserve">“...Any request for </w:t>
      </w:r>
      <w:r>
        <w:rPr>
          <w:rStyle w:val="Bodytext4"/>
        </w:rPr>
        <w:t>augmentation of</w:t>
      </w:r>
    </w:p>
    <w:p w:rsidR="00884A28" w:rsidRDefault="00350526">
      <w:pPr>
        <w:pStyle w:val="Bodytext0"/>
        <w:shd w:val="clear" w:color="auto" w:fill="auto"/>
        <w:spacing w:before="0" w:line="298" w:lineRule="exact"/>
        <w:ind w:left="300" w:right="360" w:firstLine="0"/>
      </w:pPr>
      <w:r>
        <w:rPr>
          <w:rStyle w:val="Bodytext4"/>
        </w:rPr>
        <w:t>capacity shall be in writing with Performance reports as prescribed in Schedule 4... ”</w:t>
      </w:r>
    </w:p>
    <w:p w:rsidR="00884A28" w:rsidRDefault="00350526">
      <w:pPr>
        <w:pStyle w:val="Bodytext0"/>
        <w:shd w:val="clear" w:color="auto" w:fill="auto"/>
        <w:spacing w:before="0" w:after="240" w:line="298" w:lineRule="exact"/>
        <w:ind w:left="280" w:right="20" w:firstLine="0"/>
      </w:pPr>
      <w:r>
        <w:rPr>
          <w:rStyle w:val="Bodytext4"/>
        </w:rPr>
        <w:t>Clause 9.4: “...Traffic measurements for 7 days shall be taken by both the parties during agreed busy route hours, every 6 months after commencement of t</w:t>
      </w:r>
      <w:r>
        <w:rPr>
          <w:rStyle w:val="Bodytext4"/>
        </w:rPr>
        <w:t>raffic at the POIs to determine further capacity requirements...”</w:t>
      </w:r>
    </w:p>
    <w:p w:rsidR="00884A28" w:rsidRDefault="00350526">
      <w:pPr>
        <w:pStyle w:val="Bodytext0"/>
        <w:shd w:val="clear" w:color="auto" w:fill="auto"/>
        <w:spacing w:before="0" w:after="286" w:line="298" w:lineRule="exact"/>
        <w:ind w:left="280" w:right="20" w:firstLine="0"/>
      </w:pPr>
      <w:r>
        <w:rPr>
          <w:rStyle w:val="Bodytext4"/>
        </w:rPr>
        <w:t xml:space="preserve">Clause 9.5: “...RJIL shall provide a forecast in writing in advance for its requirement of port capacity for Telephony Traffic for the next 6 months to enable IDEA to dimension the required </w:t>
      </w:r>
      <w:r>
        <w:rPr>
          <w:rStyle w:val="Bodytext4"/>
        </w:rPr>
        <w:t>capacity in its network... ”</w:t>
      </w:r>
    </w:p>
    <w:p w:rsidR="00884A28" w:rsidRDefault="00350526">
      <w:pPr>
        <w:pStyle w:val="Bodytext0"/>
        <w:numPr>
          <w:ilvl w:val="0"/>
          <w:numId w:val="58"/>
        </w:numPr>
        <w:shd w:val="clear" w:color="auto" w:fill="auto"/>
        <w:tabs>
          <w:tab w:val="left" w:pos="499"/>
        </w:tabs>
        <w:spacing w:before="0" w:after="262" w:line="240" w:lineRule="exact"/>
        <w:ind w:firstLine="0"/>
      </w:pPr>
      <w:r>
        <w:rPr>
          <w:rStyle w:val="Bodytext5"/>
        </w:rPr>
        <w:t>The relevant clauses of the ICAs are</w:t>
      </w:r>
      <w:r>
        <w:rPr>
          <w:rStyle w:val="Bodytext4"/>
        </w:rPr>
        <w:t>:</w:t>
      </w:r>
    </w:p>
    <w:p w:rsidR="00884A28" w:rsidRDefault="00350526">
      <w:pPr>
        <w:pStyle w:val="Bodytext0"/>
        <w:numPr>
          <w:ilvl w:val="0"/>
          <w:numId w:val="60"/>
        </w:numPr>
        <w:shd w:val="clear" w:color="auto" w:fill="auto"/>
        <w:spacing w:before="0" w:after="244" w:line="302" w:lineRule="exact"/>
        <w:ind w:left="280" w:right="20" w:firstLine="0"/>
      </w:pPr>
      <w:r>
        <w:rPr>
          <w:rStyle w:val="Bodytext4"/>
        </w:rPr>
        <w:t xml:space="preserve"> Clause 2 makes clear that the ICA will be applicable and in effect from the date of execution;</w:t>
      </w:r>
    </w:p>
    <w:p w:rsidR="00884A28" w:rsidRDefault="00350526">
      <w:pPr>
        <w:pStyle w:val="Bodytext0"/>
        <w:numPr>
          <w:ilvl w:val="0"/>
          <w:numId w:val="60"/>
        </w:numPr>
        <w:shd w:val="clear" w:color="auto" w:fill="auto"/>
        <w:spacing w:before="0" w:after="240" w:line="298" w:lineRule="exact"/>
        <w:ind w:left="280" w:right="20" w:firstLine="0"/>
      </w:pPr>
      <w:r>
        <w:rPr>
          <w:rStyle w:val="Bodytext4"/>
        </w:rPr>
        <w:t xml:space="preserve"> Clause 2.10 makes clear that the interconnection facilities at each POI will conform to the applicable QoS standards prescribed by TRAI;</w:t>
      </w:r>
    </w:p>
    <w:p w:rsidR="00884A28" w:rsidRDefault="00350526">
      <w:pPr>
        <w:pStyle w:val="Bodytext0"/>
        <w:numPr>
          <w:ilvl w:val="0"/>
          <w:numId w:val="60"/>
        </w:numPr>
        <w:shd w:val="clear" w:color="auto" w:fill="auto"/>
        <w:spacing w:before="0" w:after="240" w:line="298" w:lineRule="exact"/>
        <w:ind w:left="280" w:right="20" w:firstLine="0"/>
      </w:pPr>
      <w:r>
        <w:rPr>
          <w:rStyle w:val="Bodytext4"/>
        </w:rPr>
        <w:t xml:space="preserve"> Clause 3 - Terms and Amendments - again makes clear that the ICA becomes applicable, effective and operational from t</w:t>
      </w:r>
      <w:r>
        <w:rPr>
          <w:rStyle w:val="Bodytext4"/>
        </w:rPr>
        <w:t>he date of execution and is valid until both parties hold a valid license for providing access services;</w:t>
      </w:r>
    </w:p>
    <w:p w:rsidR="00884A28" w:rsidRDefault="00350526">
      <w:pPr>
        <w:pStyle w:val="Bodytext0"/>
        <w:numPr>
          <w:ilvl w:val="0"/>
          <w:numId w:val="60"/>
        </w:numPr>
        <w:shd w:val="clear" w:color="auto" w:fill="auto"/>
        <w:spacing w:before="0" w:after="240" w:line="298" w:lineRule="exact"/>
        <w:ind w:left="280" w:right="20" w:firstLine="0"/>
      </w:pPr>
      <w:r>
        <w:rPr>
          <w:rStyle w:val="Bodytext4"/>
        </w:rPr>
        <w:t xml:space="preserve"> Clause 4 - Applicability and Providing Services - reiterates that the ICA becomes applicable on signing and is subject to the terms and conditions of </w:t>
      </w:r>
      <w:r>
        <w:rPr>
          <w:rStyle w:val="Bodytext4"/>
        </w:rPr>
        <w:t>the telecom licence;</w:t>
      </w:r>
    </w:p>
    <w:p w:rsidR="00884A28" w:rsidRDefault="00350526">
      <w:pPr>
        <w:pStyle w:val="Bodytext0"/>
        <w:numPr>
          <w:ilvl w:val="0"/>
          <w:numId w:val="60"/>
        </w:numPr>
        <w:shd w:val="clear" w:color="auto" w:fill="auto"/>
        <w:spacing w:before="0" w:after="240" w:line="298" w:lineRule="exact"/>
        <w:ind w:left="280" w:right="20" w:firstLine="0"/>
      </w:pPr>
      <w:r>
        <w:rPr>
          <w:rStyle w:val="Bodytext4"/>
        </w:rPr>
        <w:t xml:space="preserve"> Clause 5.2 specifically provides that for the initial two years, provision and augmentation of transmission links shall be at the cost of RJIL;</w:t>
      </w:r>
    </w:p>
    <w:p w:rsidR="00884A28" w:rsidRDefault="00350526">
      <w:pPr>
        <w:pStyle w:val="Bodytext0"/>
        <w:numPr>
          <w:ilvl w:val="0"/>
          <w:numId w:val="60"/>
        </w:numPr>
        <w:shd w:val="clear" w:color="auto" w:fill="auto"/>
        <w:spacing w:before="0" w:after="240" w:line="298" w:lineRule="exact"/>
        <w:ind w:left="280" w:right="20" w:firstLine="0"/>
      </w:pPr>
      <w:r>
        <w:rPr>
          <w:rStyle w:val="Bodytext4"/>
        </w:rPr>
        <w:t xml:space="preserve"> Clause 5.7 contemplates conversion of two-way E1s into one-way E1s only after two years, </w:t>
      </w:r>
      <w:r>
        <w:rPr>
          <w:rStyle w:val="Bodytext4"/>
        </w:rPr>
        <w:t>which in other words mean that for two years all E1s must be two-way E1s;</w:t>
      </w:r>
    </w:p>
    <w:p w:rsidR="00884A28" w:rsidRDefault="00350526">
      <w:pPr>
        <w:pStyle w:val="Bodytext0"/>
        <w:numPr>
          <w:ilvl w:val="0"/>
          <w:numId w:val="60"/>
        </w:numPr>
        <w:shd w:val="clear" w:color="auto" w:fill="auto"/>
        <w:spacing w:before="0" w:after="236" w:line="298" w:lineRule="exact"/>
        <w:ind w:left="280" w:right="20" w:firstLine="0"/>
      </w:pPr>
      <w:r>
        <w:rPr>
          <w:rStyle w:val="Bodytext4"/>
        </w:rPr>
        <w:t xml:space="preserve"> Clause 9 provides modalities for enhancement of ports; and</w:t>
      </w:r>
    </w:p>
    <w:p w:rsidR="00884A28" w:rsidRDefault="00350526">
      <w:pPr>
        <w:pStyle w:val="Bodytext0"/>
        <w:numPr>
          <w:ilvl w:val="0"/>
          <w:numId w:val="60"/>
        </w:numPr>
        <w:shd w:val="clear" w:color="auto" w:fill="auto"/>
        <w:spacing w:before="0" w:line="302" w:lineRule="exact"/>
        <w:ind w:left="280" w:right="20" w:firstLine="0"/>
        <w:sectPr w:rsidR="00884A28">
          <w:type w:val="continuous"/>
          <w:pgSz w:w="12240" w:h="15840"/>
          <w:pgMar w:top="600" w:right="2340" w:bottom="1181" w:left="3113" w:header="0" w:footer="3" w:gutter="0"/>
          <w:cols w:space="720"/>
          <w:noEndnote/>
          <w:docGrid w:linePitch="360"/>
        </w:sectPr>
      </w:pPr>
      <w:r>
        <w:rPr>
          <w:rStyle w:val="Bodytext4"/>
        </w:rPr>
        <w:t xml:space="preserve"> Clause 10.7 again reiterates that Idea is bound to maintain QoS standards prescribed by TRAI.</w:t>
      </w:r>
    </w:p>
    <w:p w:rsidR="00884A28" w:rsidRDefault="00350526">
      <w:pPr>
        <w:pStyle w:val="Bodytext0"/>
        <w:numPr>
          <w:ilvl w:val="0"/>
          <w:numId w:val="58"/>
        </w:numPr>
        <w:shd w:val="clear" w:color="auto" w:fill="auto"/>
        <w:tabs>
          <w:tab w:val="left" w:pos="1967"/>
        </w:tabs>
        <w:spacing w:before="0" w:after="266" w:line="240" w:lineRule="exact"/>
        <w:ind w:left="1420" w:firstLine="0"/>
      </w:pPr>
      <w:r>
        <w:rPr>
          <w:rStyle w:val="Bodytext5"/>
        </w:rPr>
        <w:t>Quality o</w:t>
      </w:r>
      <w:r>
        <w:rPr>
          <w:rStyle w:val="Bodytext5"/>
        </w:rPr>
        <w:t>f Service Regulations, 2009</w:t>
      </w:r>
    </w:p>
    <w:p w:rsidR="00884A28" w:rsidRDefault="00350526">
      <w:pPr>
        <w:pStyle w:val="Bodytext0"/>
        <w:shd w:val="clear" w:color="auto" w:fill="auto"/>
        <w:spacing w:before="0" w:after="240" w:line="298" w:lineRule="exact"/>
        <w:ind w:left="1420" w:right="680" w:firstLine="700"/>
      </w:pPr>
      <w:r>
        <w:rPr>
          <w:rStyle w:val="Bodytext4"/>
        </w:rPr>
        <w:t>Quality of Service Regulations (“QoS Regulations, 2009”) issued by TRAI under Section 36 read with Section 11 of the TRAI Act. Clause 5Iiv) and Clause 14, as relevant, are reproduced as under:</w:t>
      </w:r>
    </w:p>
    <w:p w:rsidR="00884A28" w:rsidRDefault="00350526">
      <w:pPr>
        <w:pStyle w:val="Bodytext0"/>
        <w:numPr>
          <w:ilvl w:val="0"/>
          <w:numId w:val="61"/>
        </w:numPr>
        <w:shd w:val="clear" w:color="auto" w:fill="auto"/>
        <w:spacing w:before="0" w:after="240" w:line="298" w:lineRule="exact"/>
        <w:ind w:left="1700" w:right="1000" w:firstLine="0"/>
      </w:pPr>
      <w:r>
        <w:rPr>
          <w:rStyle w:val="Bodytext4"/>
        </w:rPr>
        <w:t xml:space="preserve"> Clause 5(iv) prescribes that the congestion at each individual POI cannot exceed 0.5% over a period of one month (no more than 5 out of every 100 calls can fail).</w:t>
      </w:r>
    </w:p>
    <w:p w:rsidR="00884A28" w:rsidRDefault="00350526">
      <w:pPr>
        <w:pStyle w:val="Bodytext0"/>
        <w:numPr>
          <w:ilvl w:val="0"/>
          <w:numId w:val="61"/>
        </w:numPr>
        <w:shd w:val="clear" w:color="auto" w:fill="auto"/>
        <w:spacing w:before="0" w:after="600" w:line="298" w:lineRule="exact"/>
        <w:ind w:left="1700" w:right="1000" w:firstLine="0"/>
      </w:pPr>
      <w:r>
        <w:rPr>
          <w:rStyle w:val="Bodytext4"/>
        </w:rPr>
        <w:t xml:space="preserve"> Clause 14 provides that in the event of any doubt regarding interpretation of any of the pr</w:t>
      </w:r>
      <w:r>
        <w:rPr>
          <w:rStyle w:val="Bodytext4"/>
        </w:rPr>
        <w:t>ovisions of the QoS regulations, the view of the TRAI shall be final and binding.</w:t>
      </w:r>
    </w:p>
    <w:p w:rsidR="00884A28" w:rsidRDefault="00350526">
      <w:pPr>
        <w:pStyle w:val="Bodytext0"/>
        <w:numPr>
          <w:ilvl w:val="0"/>
          <w:numId w:val="58"/>
        </w:numPr>
        <w:shd w:val="clear" w:color="auto" w:fill="auto"/>
        <w:tabs>
          <w:tab w:val="left" w:pos="1967"/>
        </w:tabs>
        <w:spacing w:before="0" w:after="324" w:line="298" w:lineRule="exact"/>
        <w:ind w:left="1420" w:right="680" w:firstLine="0"/>
      </w:pPr>
      <w:r>
        <w:rPr>
          <w:rStyle w:val="Bodytext4"/>
        </w:rPr>
        <w:t>The relevant clauses of the Standards of Quality of Service of Basic Telephone Service (wireline) and Cellular Mobile Telephone Service Regulations, 2009 includes Cellular Mo</w:t>
      </w:r>
      <w:r>
        <w:rPr>
          <w:rStyle w:val="Bodytext4"/>
        </w:rPr>
        <w:t>bile Telephone Services. The terms “Point of Interconnection (POI)”, “Quality of Service (QoS)”, “Service Provider, Telecommunication services” have been defined in the Regulations. The term POI congestion is also described in 3.12 and 4.7 of POI.”</w:t>
      </w:r>
    </w:p>
    <w:p w:rsidR="00884A28" w:rsidRDefault="00350526">
      <w:pPr>
        <w:pStyle w:val="Bodytext0"/>
        <w:numPr>
          <w:ilvl w:val="0"/>
          <w:numId w:val="20"/>
        </w:numPr>
        <w:shd w:val="clear" w:color="auto" w:fill="auto"/>
        <w:tabs>
          <w:tab w:val="left" w:pos="720"/>
        </w:tabs>
        <w:spacing w:before="0"/>
        <w:ind w:left="720" w:right="20" w:hanging="720"/>
      </w:pPr>
      <w:r>
        <w:rPr>
          <w:rStyle w:val="Bodytext4"/>
        </w:rPr>
        <w:t>Some of</w:t>
      </w:r>
      <w:r>
        <w:rPr>
          <w:rStyle w:val="Bodytext4"/>
        </w:rPr>
        <w:t xml:space="preserve"> the features which govern the telecommunication industry and noted by the High Court may also be captured at this stage. These are:</w:t>
      </w:r>
    </w:p>
    <w:p w:rsidR="00884A28" w:rsidRDefault="00350526">
      <w:pPr>
        <w:pStyle w:val="Bodytext0"/>
        <w:numPr>
          <w:ilvl w:val="0"/>
          <w:numId w:val="62"/>
        </w:numPr>
        <w:shd w:val="clear" w:color="auto" w:fill="auto"/>
        <w:tabs>
          <w:tab w:val="left" w:pos="1421"/>
        </w:tabs>
        <w:spacing w:before="0"/>
        <w:ind w:left="720" w:right="20" w:firstLine="0"/>
      </w:pPr>
      <w:r>
        <w:rPr>
          <w:rStyle w:val="Bodytext4"/>
        </w:rPr>
        <w:t>To protect the interest of the service providers and consumers of the telecom sector and to permit and ensure technical com</w:t>
      </w:r>
      <w:r>
        <w:rPr>
          <w:rStyle w:val="Bodytext4"/>
        </w:rPr>
        <w:t>patibility and effective inter-relationship between different service providers and for ensuring compliance of licence conditions by all the service providers, TRAI was constituted</w:t>
      </w:r>
    </w:p>
    <w:p w:rsidR="00884A28" w:rsidRDefault="00350526">
      <w:pPr>
        <w:pStyle w:val="Bodytext0"/>
        <w:shd w:val="clear" w:color="auto" w:fill="auto"/>
        <w:tabs>
          <w:tab w:val="left" w:pos="790"/>
          <w:tab w:val="right" w:pos="3919"/>
          <w:tab w:val="left" w:pos="4077"/>
          <w:tab w:val="right" w:pos="8145"/>
        </w:tabs>
        <w:spacing w:before="0"/>
        <w:ind w:left="20" w:right="20" w:firstLine="0"/>
      </w:pPr>
      <w:r>
        <w:rPr>
          <w:rStyle w:val="Bodytext4"/>
        </w:rPr>
        <w:t>under the Telecom Regulatory Authority of India Act, 1997. TRAI is a recomm</w:t>
      </w:r>
      <w:r>
        <w:rPr>
          <w:rStyle w:val="Bodytext4"/>
        </w:rPr>
        <w:t>endatory/advisory and regulatory body discharging the functions envisaged under sub-section (1) of Section 11 of the said</w:t>
      </w:r>
      <w:r>
        <w:rPr>
          <w:rStyle w:val="Bodytext4"/>
        </w:rPr>
        <w:tab/>
        <w:t>Act.</w:t>
      </w:r>
      <w:r>
        <w:rPr>
          <w:rStyle w:val="Bodytext4"/>
        </w:rPr>
        <w:tab/>
        <w:t xml:space="preserve">TRAI, </w:t>
      </w:r>
      <w:r>
        <w:rPr>
          <w:rStyle w:val="BodytextItalic1"/>
        </w:rPr>
        <w:t>inter alia,</w:t>
      </w:r>
      <w:r>
        <w:rPr>
          <w:rStyle w:val="Bodytext4"/>
        </w:rPr>
        <w:tab/>
        <w:t>is charged with ensuring</w:t>
      </w:r>
      <w:r>
        <w:rPr>
          <w:rStyle w:val="Bodytext4"/>
        </w:rPr>
        <w:tab/>
        <w:t>fair</w:t>
      </w:r>
    </w:p>
    <w:p w:rsidR="00884A28" w:rsidRDefault="00350526">
      <w:pPr>
        <w:pStyle w:val="Bodytext0"/>
        <w:shd w:val="clear" w:color="auto" w:fill="auto"/>
        <w:spacing w:before="0"/>
        <w:ind w:left="20" w:right="20" w:firstLine="0"/>
      </w:pPr>
      <w:r>
        <w:rPr>
          <w:rStyle w:val="Bodytext4"/>
        </w:rPr>
        <w:t xml:space="preserve">competition amongst service providers, including fixing the terms and conditions </w:t>
      </w:r>
      <w:r>
        <w:rPr>
          <w:rStyle w:val="Bodytext4"/>
        </w:rPr>
        <w:t xml:space="preserve">of entire activity between the service providers and laying down the standards of Quality of Service (QoS) to be provided by each service provider. In exercise of its functions, TRAI has issued detailed Regulations for telecom services, including fixation </w:t>
      </w:r>
      <w:r>
        <w:rPr>
          <w:rStyle w:val="Bodytext4"/>
        </w:rPr>
        <w:t>and revision of tariffs (Tariff Order), fixation of Inter-connect Usage Charges (IUC), prescription of quality of service standards, etc.</w:t>
      </w:r>
    </w:p>
    <w:p w:rsidR="00884A28" w:rsidRDefault="00350526">
      <w:pPr>
        <w:pStyle w:val="Bodytext0"/>
        <w:numPr>
          <w:ilvl w:val="0"/>
          <w:numId w:val="62"/>
        </w:numPr>
        <w:shd w:val="clear" w:color="auto" w:fill="auto"/>
        <w:tabs>
          <w:tab w:val="left" w:pos="790"/>
          <w:tab w:val="left" w:pos="4058"/>
          <w:tab w:val="left" w:pos="4047"/>
          <w:tab w:val="right" w:pos="8145"/>
        </w:tabs>
        <w:spacing w:before="0"/>
        <w:ind w:left="20" w:firstLine="0"/>
      </w:pPr>
      <w:r>
        <w:rPr>
          <w:rStyle w:val="Bodytext4"/>
        </w:rPr>
        <w:t>The</w:t>
      </w:r>
      <w:r>
        <w:rPr>
          <w:rStyle w:val="Bodytext4"/>
        </w:rPr>
        <w:tab/>
        <w:t>Telecom Service</w:t>
      </w:r>
      <w:r>
        <w:rPr>
          <w:rStyle w:val="Bodytext4"/>
        </w:rPr>
        <w:tab/>
        <w:t>Providers, which include</w:t>
      </w:r>
      <w:r>
        <w:rPr>
          <w:rStyle w:val="Bodytext4"/>
        </w:rPr>
        <w:tab/>
        <w:t>the</w:t>
      </w:r>
    </w:p>
    <w:p w:rsidR="00884A28" w:rsidRDefault="00350526">
      <w:pPr>
        <w:pStyle w:val="Bodytext0"/>
        <w:shd w:val="clear" w:color="auto" w:fill="auto"/>
        <w:spacing w:before="0"/>
        <w:ind w:left="20" w:right="20" w:firstLine="0"/>
      </w:pPr>
      <w:r>
        <w:rPr>
          <w:rStyle w:val="Bodytext4"/>
        </w:rPr>
        <w:t>respondents as well as RJIL, provide telecommunication access service</w:t>
      </w:r>
      <w:r>
        <w:rPr>
          <w:rStyle w:val="Bodytext4"/>
        </w:rPr>
        <w:t xml:space="preserve"> and are PAN India Telecom Service Providers. They are governed by the Cellular Mobile Telephone Service (CMTS)/ Unified Access Service Licence (UASL) issued by the Telecommunications Department, Government of India under section 4 of the Telegraph Act.</w:t>
      </w:r>
    </w:p>
    <w:p w:rsidR="00884A28" w:rsidRDefault="00350526">
      <w:pPr>
        <w:pStyle w:val="Bodytext0"/>
        <w:numPr>
          <w:ilvl w:val="0"/>
          <w:numId w:val="62"/>
        </w:numPr>
        <w:shd w:val="clear" w:color="auto" w:fill="auto"/>
        <w:tabs>
          <w:tab w:val="left" w:pos="790"/>
          <w:tab w:val="right" w:pos="3919"/>
        </w:tabs>
        <w:spacing w:before="0"/>
        <w:ind w:left="20" w:firstLine="0"/>
      </w:pPr>
      <w:r>
        <w:rPr>
          <w:rStyle w:val="Bodytext4"/>
        </w:rPr>
        <w:t>The</w:t>
      </w:r>
      <w:r>
        <w:rPr>
          <w:rStyle w:val="Bodytext4"/>
        </w:rPr>
        <w:tab/>
        <w:t>Central Government has the exclusive privilege of</w:t>
      </w:r>
    </w:p>
    <w:p w:rsidR="00884A28" w:rsidRDefault="00350526">
      <w:pPr>
        <w:pStyle w:val="Bodytext0"/>
        <w:shd w:val="clear" w:color="auto" w:fill="auto"/>
        <w:tabs>
          <w:tab w:val="left" w:pos="4057"/>
          <w:tab w:val="right" w:pos="8145"/>
        </w:tabs>
        <w:spacing w:before="0"/>
        <w:ind w:left="20" w:firstLine="0"/>
      </w:pPr>
      <w:r>
        <w:rPr>
          <w:rStyle w:val="Bodytext4"/>
        </w:rPr>
        <w:t>establishing, maintaining and</w:t>
      </w:r>
      <w:r>
        <w:rPr>
          <w:rStyle w:val="Bodytext4"/>
        </w:rPr>
        <w:tab/>
        <w:t>working telegraphs under</w:t>
      </w:r>
      <w:r>
        <w:rPr>
          <w:rStyle w:val="Bodytext4"/>
        </w:rPr>
        <w:tab/>
        <w:t>the</w:t>
      </w:r>
    </w:p>
    <w:p w:rsidR="00884A28" w:rsidRDefault="00350526">
      <w:pPr>
        <w:pStyle w:val="Bodytext0"/>
        <w:shd w:val="clear" w:color="auto" w:fill="auto"/>
        <w:spacing w:before="0"/>
        <w:ind w:left="20" w:firstLine="0"/>
      </w:pPr>
      <w:r>
        <w:rPr>
          <w:rStyle w:val="Bodytext4"/>
        </w:rPr>
        <w:t>Telegraph Act and the Central Government is authorised to grant</w:t>
      </w:r>
    </w:p>
    <w:p w:rsidR="00884A28" w:rsidRDefault="00350526">
      <w:pPr>
        <w:pStyle w:val="Bodytext0"/>
        <w:shd w:val="clear" w:color="auto" w:fill="auto"/>
        <w:spacing w:before="0" w:after="300"/>
        <w:ind w:left="720" w:right="20" w:firstLine="0"/>
      </w:pPr>
      <w:r>
        <w:rPr>
          <w:rStyle w:val="Bodytext4"/>
        </w:rPr>
        <w:t>licence on such terms and conditions and in consideration of such payment as it</w:t>
      </w:r>
      <w:r>
        <w:rPr>
          <w:rStyle w:val="Bodytext4"/>
        </w:rPr>
        <w:t xml:space="preserve"> thinks fit to any person to establish, maintain or work as telegraph within any part of the country. By virtue of Section 4 of the Telegraph Act, a service provider is duty bound to enter into a licence agreement with the former for unified licence, with </w:t>
      </w:r>
      <w:r>
        <w:rPr>
          <w:rStyle w:val="Bodytext4"/>
        </w:rPr>
        <w:t>authorisation for provision of services, as per the terms and conditions prescribed in the Schedule. As a condition of the said licence, the licensee agrees and unequivocally undertakes to fully comply with the terms and conditions stipulated in the licenc</w:t>
      </w:r>
      <w:r>
        <w:rPr>
          <w:rStyle w:val="Bodytext4"/>
        </w:rPr>
        <w:t>e agreement without any deviation or reservation of any kind. The licence is governed by the provisions of the Telegraph Act, the Indian Wireless Telegraphy Act, 1933, the TRAI Act and the Information Technology Act, 2000, as modified or regulated from tim</w:t>
      </w:r>
      <w:r>
        <w:rPr>
          <w:rStyle w:val="Bodytext4"/>
        </w:rPr>
        <w:t>e to time.</w:t>
      </w:r>
    </w:p>
    <w:p w:rsidR="00884A28" w:rsidRDefault="00350526">
      <w:pPr>
        <w:pStyle w:val="Bodytext0"/>
        <w:numPr>
          <w:ilvl w:val="0"/>
          <w:numId w:val="20"/>
        </w:numPr>
        <w:shd w:val="clear" w:color="auto" w:fill="auto"/>
        <w:tabs>
          <w:tab w:val="left" w:pos="730"/>
        </w:tabs>
        <w:spacing w:before="0"/>
        <w:ind w:left="720" w:right="20" w:hanging="720"/>
      </w:pPr>
      <w:r>
        <w:rPr>
          <w:rStyle w:val="Bodytext4"/>
        </w:rPr>
        <w:t xml:space="preserve">In order to ensure that there is smooth interconnectivity and a consumer who is the subscriber of mobile phone of one service provider, say for e.g. Vodafone, and wants to make call to a mobile phone of his friend which is provided by another </w:t>
      </w:r>
      <w:r>
        <w:rPr>
          <w:rStyle w:val="Bodytext4"/>
        </w:rPr>
        <w:t>service provider, say Idea Cellular, the unified licenses put an obligation on all these licensees to interconnect with each other on the POI. This is so mentioned in Clause 27.4 of Part I of the Schedule to</w:t>
      </w:r>
    </w:p>
    <w:p w:rsidR="00884A28" w:rsidRDefault="00350526">
      <w:pPr>
        <w:pStyle w:val="Bodytext0"/>
        <w:shd w:val="clear" w:color="auto" w:fill="auto"/>
        <w:spacing w:before="0"/>
        <w:ind w:left="60" w:right="20" w:firstLine="0"/>
      </w:pPr>
      <w:r>
        <w:rPr>
          <w:rStyle w:val="Bodytext4"/>
        </w:rPr>
        <w:t>the unified licence. Such interconnectivity of P</w:t>
      </w:r>
      <w:r>
        <w:rPr>
          <w:rStyle w:val="Bodytext4"/>
        </w:rPr>
        <w:t xml:space="preserve">OI is subject to compliance of regulation/directions issued by TRAI. The interconnection agreement, </w:t>
      </w:r>
      <w:r>
        <w:rPr>
          <w:rStyle w:val="BodytextItalic1"/>
        </w:rPr>
        <w:t>inter alia</w:t>
      </w:r>
      <w:r>
        <w:rPr>
          <w:rStyle w:val="Bodytext4"/>
        </w:rPr>
        <w:t>, provides for the following clauses:</w:t>
      </w:r>
    </w:p>
    <w:p w:rsidR="00884A28" w:rsidRDefault="00350526">
      <w:pPr>
        <w:pStyle w:val="Bodytext0"/>
        <w:numPr>
          <w:ilvl w:val="0"/>
          <w:numId w:val="63"/>
        </w:numPr>
        <w:shd w:val="clear" w:color="auto" w:fill="auto"/>
        <w:spacing w:before="0"/>
        <w:ind w:left="60" w:right="20" w:firstLine="0"/>
      </w:pPr>
      <w:r>
        <w:rPr>
          <w:rStyle w:val="Bodytext4"/>
        </w:rPr>
        <w:t xml:space="preserve"> to meet all reasonable demand for the transmission and reception of messages between the interconnect syste</w:t>
      </w:r>
      <w:r>
        <w:rPr>
          <w:rStyle w:val="Bodytext4"/>
        </w:rPr>
        <w:t>ms;</w:t>
      </w:r>
    </w:p>
    <w:p w:rsidR="00884A28" w:rsidRDefault="00350526">
      <w:pPr>
        <w:pStyle w:val="Bodytext0"/>
        <w:numPr>
          <w:ilvl w:val="0"/>
          <w:numId w:val="63"/>
        </w:numPr>
        <w:shd w:val="clear" w:color="auto" w:fill="auto"/>
        <w:spacing w:before="0"/>
        <w:ind w:left="60" w:right="20" w:firstLine="0"/>
      </w:pPr>
      <w:r>
        <w:rPr>
          <w:rStyle w:val="Bodytext4"/>
        </w:rPr>
        <w:t xml:space="preserve"> to establish and maintain such one or more POIs as are reasonably required and are of sufficient capacity and in sufficient numbers to enable transmission and reception of the messages by means of applicable systems; and</w:t>
      </w:r>
    </w:p>
    <w:p w:rsidR="00884A28" w:rsidRDefault="00350526">
      <w:pPr>
        <w:pStyle w:val="Bodytext0"/>
        <w:numPr>
          <w:ilvl w:val="0"/>
          <w:numId w:val="63"/>
        </w:numPr>
        <w:shd w:val="clear" w:color="auto" w:fill="auto"/>
        <w:spacing w:before="0" w:after="232"/>
        <w:ind w:left="480" w:hanging="420"/>
      </w:pPr>
      <w:r>
        <w:rPr>
          <w:rStyle w:val="Bodytext4"/>
        </w:rPr>
        <w:t xml:space="preserve"> to connect and keep connected</w:t>
      </w:r>
      <w:r>
        <w:rPr>
          <w:rStyle w:val="Bodytext4"/>
        </w:rPr>
        <w:t xml:space="preserve"> to the applicable systems.</w:t>
      </w:r>
    </w:p>
    <w:p w:rsidR="00884A28" w:rsidRDefault="00350526">
      <w:pPr>
        <w:pStyle w:val="Bodytext0"/>
        <w:shd w:val="clear" w:color="auto" w:fill="auto"/>
        <w:spacing w:before="0" w:line="653" w:lineRule="exact"/>
        <w:ind w:left="60" w:right="20" w:firstLine="700"/>
        <w:jc w:val="left"/>
      </w:pPr>
      <w:r>
        <w:rPr>
          <w:rStyle w:val="Bodytext4"/>
        </w:rPr>
        <w:t>Some of the other clauses of the interconnection agreement are as follows:</w:t>
      </w:r>
    </w:p>
    <w:p w:rsidR="00884A28" w:rsidRDefault="00350526">
      <w:pPr>
        <w:pStyle w:val="Bodytext0"/>
        <w:numPr>
          <w:ilvl w:val="0"/>
          <w:numId w:val="64"/>
        </w:numPr>
        <w:shd w:val="clear" w:color="auto" w:fill="auto"/>
        <w:spacing w:before="0" w:line="653" w:lineRule="exact"/>
        <w:ind w:left="480" w:right="20" w:hanging="420"/>
      </w:pPr>
      <w:r>
        <w:rPr>
          <w:rStyle w:val="Bodytext4"/>
        </w:rPr>
        <w:t xml:space="preserve"> A minimum four weeks’ written notice has to be given by either party for augmentation of interconnect links.</w:t>
      </w:r>
    </w:p>
    <w:p w:rsidR="00884A28" w:rsidRDefault="00350526">
      <w:pPr>
        <w:pStyle w:val="Bodytext0"/>
        <w:numPr>
          <w:ilvl w:val="0"/>
          <w:numId w:val="64"/>
        </w:numPr>
        <w:shd w:val="clear" w:color="auto" w:fill="auto"/>
        <w:spacing w:before="0" w:line="653" w:lineRule="exact"/>
        <w:ind w:left="480" w:right="20" w:hanging="420"/>
      </w:pPr>
      <w:r>
        <w:rPr>
          <w:rStyle w:val="Bodytext4"/>
        </w:rPr>
        <w:t xml:space="preserve"> Augmentation shall be completed within 90 </w:t>
      </w:r>
      <w:r>
        <w:rPr>
          <w:rStyle w:val="Bodytext4"/>
        </w:rPr>
        <w:t>days of receipt of requisite charges specified in the Schedule.</w:t>
      </w:r>
    </w:p>
    <w:p w:rsidR="00884A28" w:rsidRDefault="00350526">
      <w:pPr>
        <w:pStyle w:val="Bodytext0"/>
        <w:numPr>
          <w:ilvl w:val="0"/>
          <w:numId w:val="64"/>
        </w:numPr>
        <w:shd w:val="clear" w:color="auto" w:fill="auto"/>
        <w:spacing w:before="0" w:line="653" w:lineRule="exact"/>
        <w:ind w:left="480" w:right="20" w:hanging="420"/>
      </w:pPr>
      <w:r>
        <w:rPr>
          <w:rStyle w:val="Bodytext4"/>
        </w:rPr>
        <w:t xml:space="preserve"> Either party shall provide a forecast in writing, in advance for its requirements of port capacity for “Telephony Traffic” for the next six months to enable the other party to dimension the r</w:t>
      </w:r>
      <w:r>
        <w:rPr>
          <w:rStyle w:val="Bodytext4"/>
        </w:rPr>
        <w:t>equired capacity in its network.</w:t>
      </w:r>
    </w:p>
    <w:p w:rsidR="00884A28" w:rsidRDefault="00350526">
      <w:pPr>
        <w:pStyle w:val="Bodytext0"/>
        <w:shd w:val="clear" w:color="auto" w:fill="auto"/>
        <w:spacing w:before="0" w:after="252" w:line="658" w:lineRule="exact"/>
        <w:ind w:left="1140" w:right="20" w:hanging="420"/>
      </w:pPr>
      <w:r>
        <w:rPr>
          <w:rStyle w:val="Bodytext4"/>
        </w:rPr>
        <w:t>• The interconnection tests for reach and every interface will be carried out by mutual arrangement between signatories of the agreement.</w:t>
      </w:r>
    </w:p>
    <w:p w:rsidR="00884A28" w:rsidRDefault="00350526">
      <w:pPr>
        <w:pStyle w:val="Bodytext0"/>
        <w:shd w:val="clear" w:color="auto" w:fill="auto"/>
        <w:spacing w:before="0"/>
        <w:ind w:left="720" w:right="20" w:firstLine="720"/>
      </w:pPr>
      <w:r>
        <w:rPr>
          <w:rStyle w:val="Bodytext4"/>
        </w:rPr>
        <w:t xml:space="preserve">By virtue of the licence, the licensee is obligated to ensure quality of service as </w:t>
      </w:r>
      <w:r>
        <w:rPr>
          <w:rStyle w:val="Bodytext4"/>
        </w:rPr>
        <w:t>prescribed by the licensor or TRAI and failure on their part to adhere to the quality of service stipulated by TRAI would make the licensor liable to be treated for breach of the terms and conditions of the licence.</w:t>
      </w:r>
    </w:p>
    <w:p w:rsidR="00884A28" w:rsidRDefault="00350526">
      <w:pPr>
        <w:pStyle w:val="Bodytext0"/>
        <w:shd w:val="clear" w:color="auto" w:fill="auto"/>
        <w:spacing w:before="0" w:after="563"/>
        <w:ind w:left="720" w:right="20" w:firstLine="720"/>
      </w:pPr>
      <w:r>
        <w:rPr>
          <w:rStyle w:val="Bodytext4"/>
        </w:rPr>
        <w:t>In order to render effective services, i</w:t>
      </w:r>
      <w:r>
        <w:rPr>
          <w:rStyle w:val="Bodytext4"/>
        </w:rPr>
        <w:t>t is mandatory for the licensee to interconnect/provide POIs to all eligible telecom service providers to ensure that calls are completed to all destinations and interconnection agreement is entered into between the different service providers which mandat</w:t>
      </w:r>
      <w:r>
        <w:rPr>
          <w:rStyle w:val="Bodytext4"/>
        </w:rPr>
        <w:t>es each of the party to the agreement to provide to the other interconnection traffic carriage and all the technical and operational quality service and time lines, i.e. the equivalent to that which the party provides to itself. The interconnection agreeme</w:t>
      </w:r>
      <w:r>
        <w:rPr>
          <w:rStyle w:val="Bodytext4"/>
        </w:rPr>
        <w:t>nt separately entered into different service providers is based on the format prescribed in the Telecommunication Interconnection (Reference Interconnect Offer) Regulations, 2002.</w:t>
      </w:r>
    </w:p>
    <w:p w:rsidR="00884A28" w:rsidRDefault="00350526">
      <w:pPr>
        <w:pStyle w:val="Bodytext0"/>
        <w:numPr>
          <w:ilvl w:val="0"/>
          <w:numId w:val="20"/>
        </w:numPr>
        <w:shd w:val="clear" w:color="auto" w:fill="auto"/>
        <w:tabs>
          <w:tab w:val="left" w:pos="730"/>
        </w:tabs>
        <w:spacing w:before="0" w:line="240" w:lineRule="exact"/>
        <w:ind w:firstLine="0"/>
      </w:pPr>
      <w:r>
        <w:rPr>
          <w:rStyle w:val="Bodytext4"/>
        </w:rPr>
        <w:t>POI is defined in the agreement, in the following words:</w:t>
      </w:r>
    </w:p>
    <w:p w:rsidR="00884A28" w:rsidRDefault="00350526">
      <w:pPr>
        <w:pStyle w:val="Bodytext0"/>
        <w:shd w:val="clear" w:color="auto" w:fill="auto"/>
        <w:spacing w:before="0" w:after="328" w:line="298" w:lineRule="exact"/>
        <w:ind w:left="1420" w:right="680" w:firstLine="0"/>
      </w:pPr>
      <w:r>
        <w:rPr>
          <w:rStyle w:val="Bodytext4"/>
        </w:rPr>
        <w:t>"POI are those poin</w:t>
      </w:r>
      <w:r>
        <w:rPr>
          <w:rStyle w:val="Bodytext4"/>
        </w:rPr>
        <w:t>ts between two network operators which allow voice call originating from the work of one operator to terminate on the network by other operator.”</w:t>
      </w:r>
    </w:p>
    <w:p w:rsidR="00884A28" w:rsidRDefault="00350526">
      <w:pPr>
        <w:pStyle w:val="Bodytext0"/>
        <w:numPr>
          <w:ilvl w:val="0"/>
          <w:numId w:val="20"/>
        </w:numPr>
        <w:shd w:val="clear" w:color="auto" w:fill="auto"/>
        <w:tabs>
          <w:tab w:val="left" w:pos="718"/>
        </w:tabs>
        <w:spacing w:before="0" w:line="638" w:lineRule="exact"/>
        <w:ind w:left="720" w:hanging="720"/>
      </w:pPr>
      <w:r>
        <w:rPr>
          <w:rStyle w:val="Bodytext4"/>
        </w:rPr>
        <w:t>We may also note that on June 07, 2005 a direction was issued</w:t>
      </w:r>
    </w:p>
    <w:p w:rsidR="00884A28" w:rsidRDefault="00350526">
      <w:pPr>
        <w:pStyle w:val="Bodytext0"/>
        <w:shd w:val="clear" w:color="auto" w:fill="auto"/>
        <w:spacing w:before="0" w:line="638" w:lineRule="exact"/>
        <w:ind w:left="720" w:firstLine="0"/>
        <w:jc w:val="left"/>
      </w:pPr>
      <w:r>
        <w:rPr>
          <w:rStyle w:val="Bodytext4"/>
        </w:rPr>
        <w:t>under Section 13 read with sub-clause (i) to (v)</w:t>
      </w:r>
      <w:r>
        <w:rPr>
          <w:rStyle w:val="Bodytext4"/>
        </w:rPr>
        <w:t xml:space="preserve"> of sub-clause (b)</w:t>
      </w:r>
    </w:p>
    <w:p w:rsidR="00884A28" w:rsidRDefault="00350526">
      <w:pPr>
        <w:pStyle w:val="Bodytext0"/>
        <w:shd w:val="clear" w:color="auto" w:fill="auto"/>
        <w:spacing w:before="0" w:line="638" w:lineRule="exact"/>
        <w:ind w:left="720" w:firstLine="0"/>
        <w:jc w:val="left"/>
      </w:pPr>
      <w:r>
        <w:rPr>
          <w:rStyle w:val="Bodytext4"/>
        </w:rPr>
        <w:t>of Section 11 of the TRAI Act, which provides as follows:</w:t>
      </w:r>
    </w:p>
    <w:p w:rsidR="00884A28" w:rsidRDefault="00350526">
      <w:pPr>
        <w:pStyle w:val="Bodytext0"/>
        <w:shd w:val="clear" w:color="auto" w:fill="auto"/>
        <w:spacing w:before="0" w:after="324" w:line="298" w:lineRule="exact"/>
        <w:ind w:left="1420" w:right="680" w:firstLine="0"/>
      </w:pPr>
      <w:r>
        <w:rPr>
          <w:rStyle w:val="Bodytext4"/>
        </w:rPr>
        <w:t xml:space="preserve">"In exercise of the powers vested in it under section 13 read with section 11(1)(b)(i), (ii), (iii), (iv) and (v) of the Telecom Regulatory Authority of India Act, 1997 and in </w:t>
      </w:r>
      <w:r>
        <w:rPr>
          <w:rStyle w:val="Bodytext4"/>
        </w:rPr>
        <w:t>order to ensure compliance of terms and conditions of license and effective interconnection between service providers and to protect consumer interest, the Authority hereby directs all service providers to provide interconnection on the request of the inte</w:t>
      </w:r>
      <w:r>
        <w:rPr>
          <w:rStyle w:val="Bodytext4"/>
        </w:rPr>
        <w:t>rconnection seeker within 90 days of the applicable payments made by the interconnection seeker. Further there is a direction issued by the Government of India, Ministry of Telecommunication dated 28</w:t>
      </w:r>
      <w:r>
        <w:rPr>
          <w:rStyle w:val="Bodytext4"/>
          <w:vertAlign w:val="superscript"/>
        </w:rPr>
        <w:t>th</w:t>
      </w:r>
      <w:r>
        <w:rPr>
          <w:rStyle w:val="Bodytext4"/>
        </w:rPr>
        <w:t xml:space="preserve"> August, 2005 by which directions have been issued to p</w:t>
      </w:r>
      <w:r>
        <w:rPr>
          <w:rStyle w:val="Bodytext4"/>
        </w:rPr>
        <w:t>rovide data of subscribers in the prescribed format.”</w:t>
      </w:r>
    </w:p>
    <w:p w:rsidR="00884A28" w:rsidRDefault="00350526">
      <w:pPr>
        <w:pStyle w:val="Bodytext0"/>
        <w:numPr>
          <w:ilvl w:val="0"/>
          <w:numId w:val="20"/>
        </w:numPr>
        <w:shd w:val="clear" w:color="auto" w:fill="auto"/>
        <w:tabs>
          <w:tab w:val="left" w:pos="718"/>
        </w:tabs>
        <w:spacing w:before="0"/>
        <w:ind w:left="720" w:right="20" w:hanging="720"/>
      </w:pPr>
      <w:r>
        <w:rPr>
          <w:rStyle w:val="Bodytext4"/>
        </w:rPr>
        <w:t>From the aforesaid analysis of the scheme contained in the TRAI Act, it becomes clear that the functioning of the telecom companies which are granted licence under Section 4 of the Telegraph Act is regu</w:t>
      </w:r>
      <w:r>
        <w:rPr>
          <w:rStyle w:val="Bodytext4"/>
        </w:rPr>
        <w:t>lated by the provisions contained in the TRAI Act. TRAI is a regulator which regulates the telecom industry, which is a statutory body created under the TRAI Act. The necessity of such regulators has been emphasised by a Constitution Bench of this Court in</w:t>
      </w:r>
      <w:r>
        <w:rPr>
          <w:rStyle w:val="Bodytext4"/>
        </w:rPr>
        <w:t xml:space="preserve"> </w:t>
      </w:r>
      <w:r>
        <w:rPr>
          <w:rStyle w:val="BodytextItalic1"/>
        </w:rPr>
        <w:t>Modern Dental College and</w:t>
      </w:r>
    </w:p>
    <w:p w:rsidR="00884A28" w:rsidRDefault="00350526">
      <w:pPr>
        <w:pStyle w:val="Bodytext30"/>
        <w:shd w:val="clear" w:color="auto" w:fill="auto"/>
        <w:spacing w:line="634" w:lineRule="exact"/>
        <w:ind w:left="720" w:right="260" w:firstLine="0"/>
        <w:jc w:val="left"/>
      </w:pPr>
      <w:r>
        <w:rPr>
          <w:rStyle w:val="Bodytext32"/>
          <w:i/>
          <w:iCs/>
        </w:rPr>
        <w:t>Research Centre and Others</w:t>
      </w:r>
      <w:r>
        <w:rPr>
          <w:rStyle w:val="Bodytext3NotItalic1"/>
        </w:rPr>
        <w:t xml:space="preserve"> v. </w:t>
      </w:r>
      <w:r>
        <w:rPr>
          <w:rStyle w:val="Bodytext32"/>
          <w:i/>
          <w:iCs/>
        </w:rPr>
        <w:t>State of Madhya Pradesh and Other</w:t>
      </w:r>
      <w:hyperlink w:anchor="bookmark16" w:tooltip="Current Document">
        <w:r>
          <w:rPr>
            <w:rStyle w:val="Bodytext32"/>
            <w:i/>
            <w:iCs/>
          </w:rPr>
          <w:t>s</w:t>
        </w:r>
        <w:r>
          <w:rPr>
            <w:rStyle w:val="Bodytext32"/>
            <w:i/>
            <w:iCs/>
            <w:vertAlign w:val="superscript"/>
          </w:rPr>
          <w:footnoteReference w:id="18"/>
        </w:r>
      </w:hyperlink>
      <w:r>
        <w:rPr>
          <w:rStyle w:val="Bodytext3NotItalic1"/>
        </w:rPr>
        <w:t xml:space="preserve"> in the following words:</w:t>
      </w:r>
    </w:p>
    <w:p w:rsidR="00884A28" w:rsidRDefault="00350526">
      <w:pPr>
        <w:pStyle w:val="Bodytext0"/>
        <w:shd w:val="clear" w:color="auto" w:fill="auto"/>
        <w:spacing w:before="0" w:line="634" w:lineRule="exact"/>
        <w:ind w:left="1400" w:firstLine="0"/>
      </w:pPr>
      <w:r>
        <w:rPr>
          <w:rStyle w:val="Bodytext4"/>
        </w:rPr>
        <w:t>"Need for regulatory mechanism</w:t>
      </w:r>
    </w:p>
    <w:p w:rsidR="00884A28" w:rsidRDefault="00350526">
      <w:pPr>
        <w:pStyle w:val="Bodytext0"/>
        <w:numPr>
          <w:ilvl w:val="0"/>
          <w:numId w:val="65"/>
        </w:numPr>
        <w:shd w:val="clear" w:color="auto" w:fill="auto"/>
        <w:spacing w:before="0" w:line="298" w:lineRule="exact"/>
        <w:ind w:left="1400" w:right="940" w:firstLine="0"/>
      </w:pPr>
      <w:r>
        <w:rPr>
          <w:rStyle w:val="Bodytext4"/>
        </w:rPr>
        <w:t xml:space="preserve"> Regulatory mechanism, or what is called regulatory eco</w:t>
      </w:r>
      <w:r>
        <w:rPr>
          <w:rStyle w:val="Bodytext4"/>
        </w:rPr>
        <w:t>nomics, is the order of the day. In the last 60-70 years, economic policy of this country has travelled from laissez faire to mixed economy to the present era of liberal economy with regulatory regime. With the advent of mixed economy, there was mushroomin</w:t>
      </w:r>
      <w:r>
        <w:rPr>
          <w:rStyle w:val="Bodytext4"/>
        </w:rPr>
        <w:t>g of the public sector and some of the key industries like aviation, insurance, railways, electricity/power, telecommunication, etc. were monopolised by the State. Licence/permit raj prevailed during this period with strict control of the Government even i</w:t>
      </w:r>
      <w:r>
        <w:rPr>
          <w:rStyle w:val="Bodytext4"/>
        </w:rPr>
        <w:t>n respect of those industries where private sectors were allowed to operate. However, Indian economy experienced major policy changes in early 90s on LPG Model i.e. liberalisation, privatisation and globalisation.</w:t>
      </w:r>
    </w:p>
    <w:p w:rsidR="00884A28" w:rsidRDefault="00350526">
      <w:pPr>
        <w:pStyle w:val="Bodytext0"/>
        <w:shd w:val="clear" w:color="auto" w:fill="auto"/>
        <w:spacing w:before="0" w:after="240" w:line="298" w:lineRule="exact"/>
        <w:ind w:left="1400" w:right="940" w:firstLine="0"/>
      </w:pPr>
      <w:r>
        <w:rPr>
          <w:rStyle w:val="Bodytext4"/>
        </w:rPr>
        <w:t xml:space="preserve">With the onset of reforms to liberalise </w:t>
      </w:r>
      <w:r>
        <w:rPr>
          <w:rStyle w:val="Bodytext4"/>
        </w:rPr>
        <w:t>the Indian economy, in July 1991, a new chapter has dawned for India. This period of economic transition has had a tremendous impact on the overall economic development of almost all major sectors of the economy.</w:t>
      </w:r>
    </w:p>
    <w:p w:rsidR="00884A28" w:rsidRDefault="00350526">
      <w:pPr>
        <w:pStyle w:val="Bodytext0"/>
        <w:numPr>
          <w:ilvl w:val="0"/>
          <w:numId w:val="65"/>
        </w:numPr>
        <w:shd w:val="clear" w:color="auto" w:fill="auto"/>
        <w:spacing w:before="0" w:after="240" w:line="298" w:lineRule="exact"/>
        <w:ind w:left="1400" w:right="940" w:firstLine="0"/>
      </w:pPr>
      <w:r>
        <w:rPr>
          <w:rStyle w:val="Bodytext4"/>
        </w:rPr>
        <w:t xml:space="preserve"> When we have a liberal economy which is re</w:t>
      </w:r>
      <w:r>
        <w:rPr>
          <w:rStyle w:val="Bodytext4"/>
        </w:rPr>
        <w:t>gulated by the market forces (that is why it is also termed as market economy), prices of goods and services in such an economy are determined in a free price system set up by supply and demand. This is often contrasted with a planned economy in which a Ce</w:t>
      </w:r>
      <w:r>
        <w:rPr>
          <w:rStyle w:val="Bodytext4"/>
        </w:rPr>
        <w:t>ntral Government determines the price of goods and services using a fixed price system. Market economies are also contrasted with mixed economy where the price system is not entirely free, but under some government control or heavily regulated, which is so</w:t>
      </w:r>
      <w:r>
        <w:rPr>
          <w:rStyle w:val="Bodytext4"/>
        </w:rPr>
        <w:t>metimes combined with State led economic planning that is not extensive enough to constitute a planned economy.</w:t>
      </w:r>
    </w:p>
    <w:p w:rsidR="00884A28" w:rsidRDefault="00350526">
      <w:pPr>
        <w:pStyle w:val="Bodytext0"/>
        <w:numPr>
          <w:ilvl w:val="0"/>
          <w:numId w:val="65"/>
        </w:numPr>
        <w:shd w:val="clear" w:color="auto" w:fill="auto"/>
        <w:spacing w:before="0" w:line="298" w:lineRule="exact"/>
        <w:ind w:left="1400" w:right="940" w:firstLine="0"/>
      </w:pPr>
      <w:r>
        <w:rPr>
          <w:rStyle w:val="Bodytext4"/>
        </w:rPr>
        <w:t xml:space="preserve"> With the advent of globalisation and liberalisation, though the market economy is restored, at the same time, it is also felt that market econo</w:t>
      </w:r>
      <w:r>
        <w:rPr>
          <w:rStyle w:val="Bodytext4"/>
        </w:rPr>
        <w:t>mies should not exist in pure form. Some regulation of the various industries is required rather than allowing self-regulation by market</w:t>
      </w:r>
    </w:p>
    <w:p w:rsidR="00884A28" w:rsidRDefault="00350526">
      <w:pPr>
        <w:pStyle w:val="Bodytext0"/>
        <w:shd w:val="clear" w:color="auto" w:fill="auto"/>
        <w:spacing w:before="0" w:after="324" w:line="298" w:lineRule="exact"/>
        <w:ind w:left="1420" w:right="700" w:firstLine="0"/>
      </w:pPr>
      <w:r>
        <w:rPr>
          <w:rStyle w:val="Bodytext4"/>
        </w:rPr>
        <w:t>forces. This intervention through regulatory bodies, particularly in pricing, is considered necessary for the welfare o</w:t>
      </w:r>
      <w:r>
        <w:rPr>
          <w:rStyle w:val="Bodytext4"/>
        </w:rPr>
        <w:t>f the society and the economists point out that such regulatory economy does not rob the character of a market economy which still remains a market economy. Justification for regulatory bodies even in such industries managed by private sector lies in the w</w:t>
      </w:r>
      <w:r>
        <w:rPr>
          <w:rStyle w:val="Bodytext4"/>
        </w:rPr>
        <w:t>elfare of people. Regulatory measures are felt necessary to promote basic well being for individuals in need. It is because of this reason that we find regulatory bodies in all vital industries like, insurance, electricity and power, telecommunications, et</w:t>
      </w:r>
      <w:r>
        <w:rPr>
          <w:rStyle w:val="Bodytext4"/>
        </w:rPr>
        <w:t>c.”</w:t>
      </w:r>
    </w:p>
    <w:p w:rsidR="00884A28" w:rsidRDefault="00350526">
      <w:pPr>
        <w:pStyle w:val="Bodytext0"/>
        <w:numPr>
          <w:ilvl w:val="0"/>
          <w:numId w:val="20"/>
        </w:numPr>
        <w:shd w:val="clear" w:color="auto" w:fill="auto"/>
        <w:tabs>
          <w:tab w:val="left" w:pos="710"/>
        </w:tabs>
        <w:spacing w:before="0"/>
        <w:ind w:left="720" w:right="20" w:hanging="720"/>
      </w:pPr>
      <w:r>
        <w:rPr>
          <w:rStyle w:val="Bodytext4"/>
        </w:rPr>
        <w:t>Thus, with the advent of globalisation/liberalisation leading to free market economy, regulators in respect of each sector have assumed great significance and importance. It becomes their bounden duty to ensure that such a regulator fulfils the objecti</w:t>
      </w:r>
      <w:r>
        <w:rPr>
          <w:rStyle w:val="Bodytext4"/>
        </w:rPr>
        <w:t>ves enshrined in the Act under which a particular regulator is created. Insofar as the telecom sector is concerned, the TRAI Act itself mentions the objective which it seeks to achieve. It not only exercises control/supervision over the telecom service pro</w:t>
      </w:r>
      <w:r>
        <w:rPr>
          <w:rStyle w:val="Bodytext4"/>
        </w:rPr>
        <w:t>viders/ licensees, TRAI is also supposed to provide guidance to the telecom/mobile market. ‘Introduction’ to the TRAI Act itself mentions that due to tremendous growth in the services it was considered essential to regulate the telecommunication services b</w:t>
      </w:r>
      <w:r>
        <w:rPr>
          <w:rStyle w:val="Bodytext4"/>
        </w:rPr>
        <w:t>y a regulatory body which should be fully empowered to control the services, in the best interest of the country as well as the</w:t>
      </w:r>
    </w:p>
    <w:p w:rsidR="00884A28" w:rsidRDefault="00350526">
      <w:pPr>
        <w:pStyle w:val="Bodytext0"/>
        <w:shd w:val="clear" w:color="auto" w:fill="auto"/>
        <w:spacing w:before="0" w:after="326" w:line="240" w:lineRule="exact"/>
        <w:ind w:left="20" w:firstLine="0"/>
        <w:jc w:val="left"/>
      </w:pPr>
      <w:r>
        <w:rPr>
          <w:rStyle w:val="Bodytext4"/>
        </w:rPr>
        <w:t>service providers. Likewise, the Statement of Objects and</w:t>
      </w:r>
    </w:p>
    <w:p w:rsidR="00884A28" w:rsidRDefault="00350526">
      <w:pPr>
        <w:pStyle w:val="Bodytext0"/>
        <w:shd w:val="clear" w:color="auto" w:fill="auto"/>
        <w:spacing w:before="0" w:after="266" w:line="240" w:lineRule="exact"/>
        <w:ind w:left="20" w:firstLine="0"/>
        <w:jc w:val="left"/>
      </w:pPr>
      <w:r>
        <w:rPr>
          <w:rStyle w:val="Bodytext4"/>
        </w:rPr>
        <w:t xml:space="preserve">Reasons of this Act, </w:t>
      </w:r>
      <w:r>
        <w:rPr>
          <w:rStyle w:val="BodytextItalic1"/>
        </w:rPr>
        <w:t>inter alia,</w:t>
      </w:r>
      <w:r>
        <w:rPr>
          <w:rStyle w:val="Bodytext4"/>
        </w:rPr>
        <w:t xml:space="preserve"> stipulates as under:</w:t>
      </w:r>
    </w:p>
    <w:p w:rsidR="00884A28" w:rsidRDefault="00350526">
      <w:pPr>
        <w:pStyle w:val="Bodytext0"/>
        <w:shd w:val="clear" w:color="auto" w:fill="auto"/>
        <w:spacing w:before="0" w:after="286" w:line="298" w:lineRule="exact"/>
        <w:ind w:left="700" w:right="920" w:firstLine="0"/>
      </w:pPr>
      <w:r>
        <w:rPr>
          <w:rStyle w:val="Bodytext4"/>
        </w:rPr>
        <w:t xml:space="preserve">"1. In the </w:t>
      </w:r>
      <w:r>
        <w:rPr>
          <w:rStyle w:val="Bodytext4"/>
        </w:rPr>
        <w:t>context of the National Telecom Policy, 1994, which amongst other things, stresses on achieving the universal service, bringing the quality of telecom services to world standards, provisions of wide range of services to meet the customers demand at reasona</w:t>
      </w:r>
      <w:r>
        <w:rPr>
          <w:rStyle w:val="Bodytext4"/>
        </w:rPr>
        <w:t>ble price, and participation of the companies registered in India in the area of basic as well as value added telecom services as also making arrangements for protection and promotion of consumer interest and ensuring fair competition, there is a felt need</w:t>
      </w:r>
      <w:r>
        <w:rPr>
          <w:rStyle w:val="Bodytext4"/>
        </w:rPr>
        <w:t xml:space="preserve"> to separate regulatory functions from service providing functions which will be in keeping with the general trend in the world. In the multi-operator situation arising out of opening of basic as well as value added services in which private operator will </w:t>
      </w:r>
      <w:r>
        <w:rPr>
          <w:rStyle w:val="Bodytext4"/>
        </w:rPr>
        <w:t>be competing with Government operators, there is a pressing need for an independent telecom regulatory body for regulation of telecom services for orderly and healthy growth of telecommunication infrastructure apart from protection of consumer interest.</w:t>
      </w:r>
    </w:p>
    <w:p w:rsidR="00884A28" w:rsidRDefault="00350526">
      <w:pPr>
        <w:pStyle w:val="Bodytext0"/>
        <w:shd w:val="clear" w:color="auto" w:fill="auto"/>
        <w:tabs>
          <w:tab w:val="left" w:pos="3956"/>
          <w:tab w:val="left" w:pos="5372"/>
        </w:tabs>
        <w:spacing w:before="0" w:after="262" w:line="240" w:lineRule="exact"/>
        <w:ind w:left="2540" w:firstLine="0"/>
      </w:pPr>
      <w:r>
        <w:rPr>
          <w:rStyle w:val="Bodytext4"/>
        </w:rPr>
        <w:t>xx</w:t>
      </w:r>
      <w:r>
        <w:rPr>
          <w:rStyle w:val="Bodytext4"/>
        </w:rPr>
        <w:tab/>
        <w:t>xx</w:t>
      </w:r>
      <w:r>
        <w:rPr>
          <w:rStyle w:val="Bodytext4"/>
        </w:rPr>
        <w:tab/>
        <w:t>xx</w:t>
      </w:r>
    </w:p>
    <w:p w:rsidR="00884A28" w:rsidRDefault="00350526">
      <w:pPr>
        <w:pStyle w:val="Bodytext0"/>
        <w:numPr>
          <w:ilvl w:val="0"/>
          <w:numId w:val="66"/>
        </w:numPr>
        <w:shd w:val="clear" w:color="auto" w:fill="auto"/>
        <w:tabs>
          <w:tab w:val="left" w:pos="1146"/>
        </w:tabs>
        <w:spacing w:before="0" w:after="244" w:line="302" w:lineRule="exact"/>
        <w:ind w:left="700" w:right="920" w:firstLine="0"/>
      </w:pPr>
      <w:r>
        <w:rPr>
          <w:rStyle w:val="Bodytext4"/>
        </w:rPr>
        <w:t xml:space="preserve">The powers and functions of the Authority, </w:t>
      </w:r>
      <w:r>
        <w:rPr>
          <w:rStyle w:val="BodytextItalic1"/>
        </w:rPr>
        <w:t xml:space="preserve">inter alia, </w:t>
      </w:r>
      <w:r>
        <w:rPr>
          <w:rStyle w:val="Bodytext4"/>
        </w:rPr>
        <w:t>are.-</w:t>
      </w:r>
    </w:p>
    <w:p w:rsidR="00884A28" w:rsidRDefault="00350526">
      <w:pPr>
        <w:pStyle w:val="Bodytext0"/>
        <w:numPr>
          <w:ilvl w:val="0"/>
          <w:numId w:val="60"/>
        </w:numPr>
        <w:shd w:val="clear" w:color="auto" w:fill="auto"/>
        <w:spacing w:before="0" w:after="240" w:line="298" w:lineRule="exact"/>
        <w:ind w:left="980" w:right="1280" w:firstLine="0"/>
      </w:pPr>
      <w:r>
        <w:rPr>
          <w:rStyle w:val="Bodytext4"/>
        </w:rPr>
        <w:t xml:space="preserve"> ensuring technical compatibility and effective inter-relationship between different service providers;</w:t>
      </w:r>
    </w:p>
    <w:p w:rsidR="00884A28" w:rsidRDefault="00350526">
      <w:pPr>
        <w:pStyle w:val="Bodytext0"/>
        <w:numPr>
          <w:ilvl w:val="0"/>
          <w:numId w:val="67"/>
        </w:numPr>
        <w:shd w:val="clear" w:color="auto" w:fill="auto"/>
        <w:spacing w:before="0" w:after="236" w:line="298" w:lineRule="exact"/>
        <w:ind w:left="980" w:right="1280" w:firstLine="0"/>
      </w:pPr>
      <w:r>
        <w:rPr>
          <w:rStyle w:val="Bodytext4"/>
        </w:rPr>
        <w:t xml:space="preserve"> regulation of arrangement amongst service providers of sharing their revenue derived from providing telecommunication services;</w:t>
      </w:r>
    </w:p>
    <w:p w:rsidR="00884A28" w:rsidRDefault="00350526">
      <w:pPr>
        <w:pStyle w:val="Bodytext0"/>
        <w:numPr>
          <w:ilvl w:val="0"/>
          <w:numId w:val="67"/>
        </w:numPr>
        <w:shd w:val="clear" w:color="auto" w:fill="auto"/>
        <w:spacing w:before="0" w:after="244" w:line="302" w:lineRule="exact"/>
        <w:ind w:left="980" w:right="1280" w:firstLine="0"/>
      </w:pPr>
      <w:r>
        <w:rPr>
          <w:rStyle w:val="Bodytext4"/>
        </w:rPr>
        <w:t xml:space="preserve"> ensuring compliance of licence conditions by all service providers;</w:t>
      </w:r>
    </w:p>
    <w:p w:rsidR="00884A28" w:rsidRDefault="00350526">
      <w:pPr>
        <w:pStyle w:val="Bodytext0"/>
        <w:numPr>
          <w:ilvl w:val="0"/>
          <w:numId w:val="67"/>
        </w:numPr>
        <w:shd w:val="clear" w:color="auto" w:fill="auto"/>
        <w:spacing w:before="0" w:after="286" w:line="298" w:lineRule="exact"/>
        <w:ind w:left="980" w:right="1280" w:firstLine="0"/>
      </w:pPr>
      <w:r>
        <w:rPr>
          <w:rStyle w:val="Bodytext4"/>
        </w:rPr>
        <w:t xml:space="preserve"> protection of the interest of the consumers of telecommunication service;</w:t>
      </w:r>
    </w:p>
    <w:p w:rsidR="00884A28" w:rsidRDefault="00350526">
      <w:pPr>
        <w:pStyle w:val="Bodytext0"/>
        <w:numPr>
          <w:ilvl w:val="0"/>
          <w:numId w:val="67"/>
        </w:numPr>
        <w:shd w:val="clear" w:color="auto" w:fill="auto"/>
        <w:spacing w:before="0" w:after="253" w:line="240" w:lineRule="exact"/>
        <w:ind w:left="980" w:firstLine="0"/>
      </w:pPr>
      <w:r>
        <w:rPr>
          <w:rStyle w:val="Bodytext4"/>
        </w:rPr>
        <w:t xml:space="preserve"> settlement of disputes between service providers;</w:t>
      </w:r>
    </w:p>
    <w:p w:rsidR="00884A28" w:rsidRDefault="00350526">
      <w:pPr>
        <w:pStyle w:val="Bodytext0"/>
        <w:numPr>
          <w:ilvl w:val="0"/>
          <w:numId w:val="67"/>
        </w:numPr>
        <w:shd w:val="clear" w:color="auto" w:fill="auto"/>
        <w:spacing w:before="0" w:line="307" w:lineRule="exact"/>
        <w:ind w:left="980" w:right="1280" w:firstLine="0"/>
      </w:pPr>
      <w:r>
        <w:rPr>
          <w:rStyle w:val="Bodytext4"/>
        </w:rPr>
        <w:t xml:space="preserve"> fixation of rates for providing telecommunication service within India and outside India;</w:t>
      </w:r>
    </w:p>
    <w:p w:rsidR="00884A28" w:rsidRDefault="00350526">
      <w:pPr>
        <w:pStyle w:val="Bodytext0"/>
        <w:numPr>
          <w:ilvl w:val="0"/>
          <w:numId w:val="67"/>
        </w:numPr>
        <w:shd w:val="clear" w:color="auto" w:fill="auto"/>
        <w:tabs>
          <w:tab w:val="left" w:pos="2521"/>
        </w:tabs>
        <w:spacing w:before="0" w:after="331" w:line="307" w:lineRule="exact"/>
        <w:ind w:left="1700" w:right="1040" w:firstLine="0"/>
        <w:jc w:val="left"/>
      </w:pPr>
      <w:r>
        <w:rPr>
          <w:rStyle w:val="Bodytext4"/>
        </w:rPr>
        <w:t>ensuring effective compliance of univer</w:t>
      </w:r>
      <w:r>
        <w:rPr>
          <w:rStyle w:val="Bodytext4"/>
        </w:rPr>
        <w:t>sal service obligations.”</w:t>
      </w:r>
    </w:p>
    <w:p w:rsidR="00884A28" w:rsidRDefault="00350526">
      <w:pPr>
        <w:pStyle w:val="Bodytext0"/>
        <w:numPr>
          <w:ilvl w:val="0"/>
          <w:numId w:val="20"/>
        </w:numPr>
        <w:shd w:val="clear" w:color="auto" w:fill="auto"/>
        <w:spacing w:before="0" w:after="300"/>
        <w:ind w:left="720" w:right="20" w:hanging="720"/>
      </w:pPr>
      <w:r>
        <w:rPr>
          <w:rStyle w:val="Bodytext4"/>
        </w:rPr>
        <w:t xml:space="preserve"> TRAI is, thus, constituted for orderly and healthy growth of telecommunication infrastructure apart from protection of consumer interest. It is assigned the duty to achieve the universal service which should be of world standard </w:t>
      </w:r>
      <w:r>
        <w:rPr>
          <w:rStyle w:val="Bodytext4"/>
        </w:rPr>
        <w:t>quality on the one hand and also to ensure that it is provided to the customers at a reasonable price, on the other hand. In the process, purpose is to make arrangements for protection and promotion of consumer interest and ensure fair competition. It is b</w:t>
      </w:r>
      <w:r>
        <w:rPr>
          <w:rStyle w:val="Bodytext4"/>
        </w:rPr>
        <w:t>ecause of this reason that the powers and functions which are assigned to TRAI are highlighted in the Statement of Objects and Reasons. Specific functions which are assigned to TRAI, amongst other, including ensuring technical compatibility and effective i</w:t>
      </w:r>
      <w:r>
        <w:rPr>
          <w:rStyle w:val="Bodytext4"/>
        </w:rPr>
        <w:t>nter</w:t>
      </w:r>
      <w:r>
        <w:rPr>
          <w:rStyle w:val="Bodytext4"/>
        </w:rPr>
        <w:softHyphen/>
        <w:t>relationship between different service providers; ensuring compliance of licence conditions by all service providers; and settlement of disputes between service providers.</w:t>
      </w:r>
    </w:p>
    <w:p w:rsidR="00884A28" w:rsidRDefault="00350526">
      <w:pPr>
        <w:pStyle w:val="Bodytext0"/>
        <w:numPr>
          <w:ilvl w:val="0"/>
          <w:numId w:val="20"/>
        </w:numPr>
        <w:shd w:val="clear" w:color="auto" w:fill="auto"/>
        <w:spacing w:before="0" w:after="300"/>
        <w:ind w:left="720" w:right="20" w:hanging="720"/>
      </w:pPr>
      <w:r>
        <w:rPr>
          <w:rStyle w:val="Bodytext4"/>
        </w:rPr>
        <w:t xml:space="preserve"> In the instant case, dispute raised by RJIL specifically touches upon these aspects as the grievance raised is that the IDOs have not given POIs as per the licence conditions resulting into non</w:t>
      </w:r>
      <w:r>
        <w:rPr>
          <w:rStyle w:val="Bodytext4"/>
        </w:rPr>
        <w:softHyphen/>
        <w:t xml:space="preserve">compliance and have failed to ensure </w:t>
      </w:r>
      <w:r>
        <w:rPr>
          <w:rStyle w:val="BodytextItalic1"/>
        </w:rPr>
        <w:t>inter se</w:t>
      </w:r>
      <w:r>
        <w:rPr>
          <w:rStyle w:val="Bodytext4"/>
        </w:rPr>
        <w:t xml:space="preserve"> technical compa</w:t>
      </w:r>
      <w:r>
        <w:rPr>
          <w:rStyle w:val="Bodytext4"/>
        </w:rPr>
        <w:t>tibility thereby. Not only RJIL has raised this dispute, it has even specifically approached TRAI for settlement of this dispute which has arisen between various service providers, namely, RJIL on the one hand and the IDOs on the other, wherein COAI is als</w:t>
      </w:r>
      <w:r>
        <w:rPr>
          <w:rStyle w:val="Bodytext4"/>
        </w:rPr>
        <w:t>o roped in. TRAI is seized of this particular dispute.</w:t>
      </w:r>
    </w:p>
    <w:p w:rsidR="00884A28" w:rsidRDefault="00350526">
      <w:pPr>
        <w:pStyle w:val="Bodytext0"/>
        <w:numPr>
          <w:ilvl w:val="0"/>
          <w:numId w:val="20"/>
        </w:numPr>
        <w:shd w:val="clear" w:color="auto" w:fill="auto"/>
        <w:tabs>
          <w:tab w:val="left" w:pos="730"/>
        </w:tabs>
        <w:spacing w:before="0"/>
        <w:ind w:left="720" w:right="20" w:hanging="720"/>
      </w:pPr>
      <w:r>
        <w:rPr>
          <w:rStyle w:val="Bodytext4"/>
        </w:rPr>
        <w:t>It is a matter of record that before the TRAI, IDOs have refuted the aforesaid claim of RJIL. Their submission is that not only required POIs were provided to RJIL, it is the RJIL which is in breach as</w:t>
      </w:r>
      <w:r>
        <w:rPr>
          <w:rStyle w:val="Bodytext4"/>
        </w:rPr>
        <w:t xml:space="preserve"> it was making unreasonable and excessive demand for POIs. It is specifically pleaded by the IDOs that:</w:t>
      </w:r>
    </w:p>
    <w:p w:rsidR="00884A28" w:rsidRDefault="00350526">
      <w:pPr>
        <w:pStyle w:val="Bodytext0"/>
        <w:numPr>
          <w:ilvl w:val="0"/>
          <w:numId w:val="68"/>
        </w:numPr>
        <w:shd w:val="clear" w:color="auto" w:fill="auto"/>
        <w:spacing w:before="0"/>
        <w:ind w:left="720" w:right="20" w:firstLine="0"/>
      </w:pPr>
      <w:r>
        <w:rPr>
          <w:rStyle w:val="Bodytext4"/>
        </w:rPr>
        <w:t xml:space="preserve"> RJIL raised its demand for POIs for the first time on June 21, 2016.</w:t>
      </w:r>
    </w:p>
    <w:p w:rsidR="00884A28" w:rsidRDefault="00350526">
      <w:pPr>
        <w:pStyle w:val="Bodytext0"/>
        <w:numPr>
          <w:ilvl w:val="0"/>
          <w:numId w:val="68"/>
        </w:numPr>
        <w:shd w:val="clear" w:color="auto" w:fill="auto"/>
        <w:spacing w:before="0"/>
        <w:ind w:left="720" w:right="20" w:firstLine="0"/>
      </w:pPr>
      <w:r>
        <w:rPr>
          <w:rStyle w:val="Bodytext4"/>
        </w:rPr>
        <w:t xml:space="preserve"> In the letter dated June 21, 2016, it was admitted that RJIL was in test phase.</w:t>
      </w:r>
    </w:p>
    <w:p w:rsidR="00884A28" w:rsidRDefault="00350526">
      <w:pPr>
        <w:pStyle w:val="Bodytext0"/>
        <w:numPr>
          <w:ilvl w:val="0"/>
          <w:numId w:val="68"/>
        </w:numPr>
        <w:shd w:val="clear" w:color="auto" w:fill="auto"/>
        <w:spacing w:before="0"/>
        <w:ind w:left="720" w:right="20" w:firstLine="0"/>
      </w:pPr>
      <w:r>
        <w:rPr>
          <w:rStyle w:val="Bodytext4"/>
        </w:rPr>
        <w:t xml:space="preserve"> </w:t>
      </w:r>
      <w:r>
        <w:rPr>
          <w:rStyle w:val="Bodytext4"/>
        </w:rPr>
        <w:t>There was no express mention of any commercial launch date.</w:t>
      </w:r>
    </w:p>
    <w:p w:rsidR="00884A28" w:rsidRDefault="00350526">
      <w:pPr>
        <w:pStyle w:val="Bodytext0"/>
        <w:numPr>
          <w:ilvl w:val="0"/>
          <w:numId w:val="68"/>
        </w:numPr>
        <w:shd w:val="clear" w:color="auto" w:fill="auto"/>
        <w:spacing w:before="0"/>
        <w:ind w:left="720" w:right="20" w:firstLine="0"/>
      </w:pPr>
      <w:r>
        <w:rPr>
          <w:rStyle w:val="Bodytext4"/>
        </w:rPr>
        <w:t xml:space="preserve"> As per the letter, immediately on commercial launch RJIL would have a 22mn subscriber base for which number series was already allotted.</w:t>
      </w:r>
    </w:p>
    <w:p w:rsidR="00884A28" w:rsidRDefault="00350526">
      <w:pPr>
        <w:pStyle w:val="Bodytext0"/>
        <w:numPr>
          <w:ilvl w:val="0"/>
          <w:numId w:val="68"/>
        </w:numPr>
        <w:shd w:val="clear" w:color="auto" w:fill="auto"/>
        <w:spacing w:before="0"/>
        <w:ind w:left="720" w:right="20" w:firstLine="0"/>
      </w:pPr>
      <w:r>
        <w:rPr>
          <w:rStyle w:val="Bodytext4"/>
        </w:rPr>
        <w:t xml:space="preserve"> As per the DoT Circular dated August 29, 2005 test custom</w:t>
      </w:r>
      <w:r>
        <w:rPr>
          <w:rStyle w:val="Bodytext4"/>
        </w:rPr>
        <w:t>ers are not considered as subscribers and test customers can only be in the form of business partners. It was highlighted that problem, if any, of congestion has been suffered on account of provisioning of full-fledged services during test phase.</w:t>
      </w:r>
    </w:p>
    <w:p w:rsidR="00884A28" w:rsidRDefault="00350526">
      <w:pPr>
        <w:pStyle w:val="Bodytext0"/>
        <w:numPr>
          <w:ilvl w:val="0"/>
          <w:numId w:val="68"/>
        </w:numPr>
        <w:shd w:val="clear" w:color="auto" w:fill="auto"/>
        <w:spacing w:before="0"/>
        <w:ind w:left="720" w:right="20" w:firstLine="0"/>
      </w:pPr>
      <w:r>
        <w:rPr>
          <w:rStyle w:val="Bodytext4"/>
        </w:rPr>
        <w:t xml:space="preserve"> RJIL in </w:t>
      </w:r>
      <w:r>
        <w:rPr>
          <w:rStyle w:val="Bodytext4"/>
        </w:rPr>
        <w:t>its complaint before the TRAI was not considering the period of 90 days as was prescribed in the Interconnection Agreement. It was instead proceeding on the basis that the demand for POIs should be met on an immediate basis.</w:t>
      </w:r>
    </w:p>
    <w:p w:rsidR="00884A28" w:rsidRDefault="00350526">
      <w:pPr>
        <w:pStyle w:val="Bodytext0"/>
        <w:numPr>
          <w:ilvl w:val="0"/>
          <w:numId w:val="68"/>
        </w:numPr>
        <w:shd w:val="clear" w:color="auto" w:fill="auto"/>
        <w:spacing w:before="0"/>
        <w:ind w:left="720" w:firstLine="0"/>
      </w:pPr>
      <w:r>
        <w:rPr>
          <w:rStyle w:val="Bodytext4"/>
        </w:rPr>
        <w:t xml:space="preserve"> There was several errors in th</w:t>
      </w:r>
      <w:r>
        <w:rPr>
          <w:rStyle w:val="Bodytext4"/>
        </w:rPr>
        <w:t>e forecast made by RJIL.</w:t>
      </w:r>
    </w:p>
    <w:p w:rsidR="00884A28" w:rsidRDefault="00350526">
      <w:pPr>
        <w:pStyle w:val="Bodytext0"/>
        <w:numPr>
          <w:ilvl w:val="0"/>
          <w:numId w:val="68"/>
        </w:numPr>
        <w:shd w:val="clear" w:color="auto" w:fill="auto"/>
        <w:spacing w:before="0" w:after="300"/>
        <w:ind w:left="720" w:right="20" w:firstLine="0"/>
      </w:pPr>
      <w:r>
        <w:rPr>
          <w:rStyle w:val="Bodytext4"/>
        </w:rPr>
        <w:t xml:space="preserve"> The tables given by the RJIL are wrong as they take into account its total demand at the end of nine months against what was actually provided.</w:t>
      </w:r>
    </w:p>
    <w:p w:rsidR="00884A28" w:rsidRDefault="00350526">
      <w:pPr>
        <w:pStyle w:val="Bodytext0"/>
        <w:numPr>
          <w:ilvl w:val="0"/>
          <w:numId w:val="20"/>
        </w:numPr>
        <w:shd w:val="clear" w:color="auto" w:fill="auto"/>
        <w:tabs>
          <w:tab w:val="left" w:pos="730"/>
        </w:tabs>
        <w:spacing w:before="0"/>
        <w:ind w:left="720" w:right="20" w:hanging="720"/>
      </w:pPr>
      <w:r>
        <w:rPr>
          <w:rStyle w:val="Bodytext4"/>
        </w:rPr>
        <w:t xml:space="preserve">Learned counsel appearing for the IDOs had also argued that the first firm demand for </w:t>
      </w:r>
      <w:r>
        <w:rPr>
          <w:rStyle w:val="Bodytext4"/>
        </w:rPr>
        <w:t>provisioning of POIs was made by RJIL on June 21, 2016. According to the IDOs, in that letter, RJIL had expressly admitted that it was under test phase and had not commenced ‘commercial services’. RJIL had also stated that the demand for POIs was being mad</w:t>
      </w:r>
      <w:r>
        <w:rPr>
          <w:rStyle w:val="Bodytext4"/>
        </w:rPr>
        <w:t xml:space="preserve">e to ‘provide seemless connectivity to targeted subscribers’ as against ‘test consumers’. Their submission was that it was not disclosed at all as to when RJIL was going to launch commercial services. On the basis of the aforesaid stand taken by the IDOs, </w:t>
      </w:r>
      <w:r>
        <w:rPr>
          <w:rStyle w:val="Bodytext4"/>
        </w:rPr>
        <w:t>their argument is that in the first instance it is the TRAI which is not only competent but more appropriate authority to consider these aspects as it is the TRAI which is the specialised body going by the nature of dispute between the parties, following a</w:t>
      </w:r>
      <w:r>
        <w:rPr>
          <w:rStyle w:val="Bodytext4"/>
        </w:rPr>
        <w:t>spects have to be determined by the TRAI:</w:t>
      </w:r>
    </w:p>
    <w:p w:rsidR="00884A28" w:rsidRDefault="00350526">
      <w:pPr>
        <w:pStyle w:val="Bodytext0"/>
        <w:numPr>
          <w:ilvl w:val="0"/>
          <w:numId w:val="69"/>
        </w:numPr>
        <w:shd w:val="clear" w:color="auto" w:fill="auto"/>
        <w:spacing w:before="0"/>
        <w:ind w:left="720" w:right="20" w:firstLine="0"/>
      </w:pPr>
      <w:r>
        <w:rPr>
          <w:rStyle w:val="Bodytext4"/>
        </w:rPr>
        <w:t xml:space="preserve"> Whether IDOs were under any obligation to provide POIs during test period?</w:t>
      </w:r>
    </w:p>
    <w:p w:rsidR="00884A28" w:rsidRDefault="00350526">
      <w:pPr>
        <w:pStyle w:val="Bodytext0"/>
        <w:numPr>
          <w:ilvl w:val="0"/>
          <w:numId w:val="69"/>
        </w:numPr>
        <w:shd w:val="clear" w:color="auto" w:fill="auto"/>
        <w:tabs>
          <w:tab w:val="left" w:pos="1320"/>
          <w:tab w:val="right" w:pos="8834"/>
        </w:tabs>
        <w:spacing w:before="0"/>
        <w:ind w:left="720" w:firstLine="0"/>
      </w:pPr>
      <w:r>
        <w:rPr>
          <w:rStyle w:val="Bodytext4"/>
        </w:rPr>
        <w:t>As per the letter dated June 21, 2016 from RJIL, when</w:t>
      </w:r>
      <w:r>
        <w:rPr>
          <w:rStyle w:val="Bodytext4"/>
        </w:rPr>
        <w:tab/>
        <w:t>IDOs</w:t>
      </w:r>
    </w:p>
    <w:p w:rsidR="00884A28" w:rsidRDefault="00350526">
      <w:pPr>
        <w:pStyle w:val="Bodytext0"/>
        <w:shd w:val="clear" w:color="auto" w:fill="auto"/>
        <w:spacing w:before="0"/>
        <w:ind w:left="720" w:firstLine="0"/>
      </w:pPr>
      <w:r>
        <w:rPr>
          <w:rStyle w:val="Bodytext4"/>
        </w:rPr>
        <w:t>were to commence provisioning of POIs to RJIL?</w:t>
      </w:r>
    </w:p>
    <w:p w:rsidR="00884A28" w:rsidRDefault="00350526">
      <w:pPr>
        <w:pStyle w:val="Bodytext0"/>
        <w:numPr>
          <w:ilvl w:val="0"/>
          <w:numId w:val="69"/>
        </w:numPr>
        <w:shd w:val="clear" w:color="auto" w:fill="auto"/>
        <w:tabs>
          <w:tab w:val="left" w:pos="1320"/>
          <w:tab w:val="right" w:pos="8834"/>
        </w:tabs>
        <w:spacing w:before="0"/>
        <w:ind w:left="720" w:firstLine="0"/>
      </w:pPr>
      <w:r>
        <w:rPr>
          <w:rStyle w:val="Bodytext4"/>
        </w:rPr>
        <w:t>Whether the demand for POIs made</w:t>
      </w:r>
      <w:r>
        <w:rPr>
          <w:rStyle w:val="Bodytext4"/>
        </w:rPr>
        <w:t xml:space="preserve"> by RJIL</w:t>
      </w:r>
      <w:r>
        <w:rPr>
          <w:rStyle w:val="Bodytext4"/>
        </w:rPr>
        <w:tab/>
        <w:t>were</w:t>
      </w:r>
    </w:p>
    <w:p w:rsidR="00884A28" w:rsidRDefault="00350526">
      <w:pPr>
        <w:pStyle w:val="Bodytext0"/>
        <w:shd w:val="clear" w:color="auto" w:fill="auto"/>
        <w:spacing w:before="0"/>
        <w:ind w:left="720" w:firstLine="0"/>
      </w:pPr>
      <w:r>
        <w:rPr>
          <w:rStyle w:val="Bodytext4"/>
        </w:rPr>
        <w:t>reasonable or not?</w:t>
      </w:r>
    </w:p>
    <w:p w:rsidR="00884A28" w:rsidRDefault="00350526">
      <w:pPr>
        <w:pStyle w:val="Bodytext0"/>
        <w:numPr>
          <w:ilvl w:val="0"/>
          <w:numId w:val="69"/>
        </w:numPr>
        <w:shd w:val="clear" w:color="auto" w:fill="auto"/>
        <w:tabs>
          <w:tab w:val="left" w:pos="1320"/>
        </w:tabs>
        <w:spacing w:before="0"/>
        <w:ind w:left="720" w:right="20" w:firstLine="0"/>
      </w:pPr>
      <w:r>
        <w:rPr>
          <w:rStyle w:val="Bodytext4"/>
        </w:rPr>
        <w:t>Whether there was any delay/denial at the end of Vodafone in provisioning of POIs?</w:t>
      </w:r>
    </w:p>
    <w:p w:rsidR="00884A28" w:rsidRDefault="00350526">
      <w:pPr>
        <w:pStyle w:val="Bodytext0"/>
        <w:numPr>
          <w:ilvl w:val="0"/>
          <w:numId w:val="69"/>
        </w:numPr>
        <w:shd w:val="clear" w:color="auto" w:fill="auto"/>
        <w:spacing w:before="0"/>
        <w:ind w:left="720" w:right="20" w:firstLine="0"/>
      </w:pPr>
      <w:r>
        <w:rPr>
          <w:rStyle w:val="Bodytext4"/>
        </w:rPr>
        <w:t xml:space="preserve"> Whether the POIs were to be provided ‘immediately’ and during ‘test phase’?</w:t>
      </w:r>
    </w:p>
    <w:p w:rsidR="00884A28" w:rsidRDefault="00350526">
      <w:pPr>
        <w:pStyle w:val="Bodytext0"/>
        <w:numPr>
          <w:ilvl w:val="0"/>
          <w:numId w:val="69"/>
        </w:numPr>
        <w:shd w:val="clear" w:color="auto" w:fill="auto"/>
        <w:spacing w:before="0" w:after="300"/>
        <w:ind w:left="720" w:right="20" w:firstLine="0"/>
      </w:pPr>
      <w:r>
        <w:rPr>
          <w:rStyle w:val="Bodytext4"/>
        </w:rPr>
        <w:t xml:space="preserve"> Whether IDOs have provided sufficient number of POIs to RJIL i</w:t>
      </w:r>
      <w:r>
        <w:rPr>
          <w:rStyle w:val="Bodytext4"/>
        </w:rPr>
        <w:t>n conformity with the licence conditions?</w:t>
      </w:r>
    </w:p>
    <w:p w:rsidR="00884A28" w:rsidRDefault="00350526">
      <w:pPr>
        <w:pStyle w:val="Bodytext0"/>
        <w:numPr>
          <w:ilvl w:val="0"/>
          <w:numId w:val="20"/>
        </w:numPr>
        <w:shd w:val="clear" w:color="auto" w:fill="auto"/>
        <w:tabs>
          <w:tab w:val="left" w:pos="706"/>
        </w:tabs>
        <w:spacing w:before="0"/>
        <w:ind w:left="720" w:right="20" w:hanging="720"/>
      </w:pPr>
      <w:r>
        <w:rPr>
          <w:rStyle w:val="Bodytext4"/>
        </w:rPr>
        <w:t>We are of the opinion that as the TRAI is constituted as an expert regulatory body which specifically governs the telecom sector, the aforesaid aspects of the disputes are to be decided by the TRAI in the first ins</w:t>
      </w:r>
      <w:r>
        <w:rPr>
          <w:rStyle w:val="Bodytext4"/>
        </w:rPr>
        <w:t>tance. These are jurisdictional aspects. Unless the</w:t>
      </w:r>
    </w:p>
    <w:p w:rsidR="00884A28" w:rsidRDefault="00350526">
      <w:pPr>
        <w:pStyle w:val="Bodytext0"/>
        <w:shd w:val="clear" w:color="auto" w:fill="auto"/>
        <w:spacing w:before="0"/>
        <w:ind w:left="20" w:right="20" w:firstLine="0"/>
        <w:sectPr w:rsidR="00884A28">
          <w:type w:val="continuous"/>
          <w:pgSz w:w="12240" w:h="15840"/>
          <w:pgMar w:top="600" w:right="1202" w:bottom="1114" w:left="1946" w:header="0" w:footer="3" w:gutter="0"/>
          <w:cols w:space="720"/>
          <w:noEndnote/>
          <w:docGrid w:linePitch="360"/>
        </w:sectPr>
      </w:pPr>
      <w:r>
        <w:rPr>
          <w:rStyle w:val="Bodytext4"/>
        </w:rPr>
        <w:t xml:space="preserve">TRAI finds fault with the IDOs on the aforesaid aspects, the matter cannot be taken further even if we proceed on the assumption that the CCI has the jurisdiction to deal with the </w:t>
      </w:r>
      <w:r>
        <w:rPr>
          <w:rStyle w:val="Bodytext4"/>
        </w:rPr>
        <w:t xml:space="preserve">complaints/information filed before it. It needs to be reiterated that RJIL has approached the DoT in relation to its alleged grievance of augmentation of POIs which in turn had informed RJIL vide letter dated September 06, 2016 that the matter related to </w:t>
      </w:r>
      <w:r>
        <w:rPr>
          <w:rStyle w:val="Bodytext4"/>
        </w:rPr>
        <w:t>inter-connectivity between service providers is within the purview of TRAI. RJIL thereafter approached TRAI; TRAI intervened and issued show-cause notice dated September 27, 2016; and post issuance of show-cause notice and directions, TRAI issued recommend</w:t>
      </w:r>
      <w:r>
        <w:rPr>
          <w:rStyle w:val="Bodytext4"/>
        </w:rPr>
        <w:t>ations dated October 21, 2016 on the issue of inter-connection and provisioning of POIs to RJIL. The sectoral authorities are, therefore, seized of the matter. TRAI, being a specialised sectoral regulator and also armed with sufficient power to ensure fair</w:t>
      </w:r>
      <w:r>
        <w:rPr>
          <w:rStyle w:val="Bodytext4"/>
        </w:rPr>
        <w:t>, non-discriminatory and competitive market in the telecom sector, is better suited to decide the aforesaid issues. After all, RJIL’s grievance is that inter</w:t>
      </w:r>
      <w:r>
        <w:rPr>
          <w:rStyle w:val="Bodytext4"/>
        </w:rPr>
        <w:softHyphen/>
        <w:t>connectivity is not provided by the IDOs in terms of the licenses granted to them. TRAI Act and Re</w:t>
      </w:r>
      <w:r>
        <w:rPr>
          <w:rStyle w:val="Bodytext4"/>
        </w:rPr>
        <w:t>gulations framed thereunder make detailed provisions dealing with intense obligations of the service providers for providing POIS. These provisions also deal</w:t>
      </w:r>
    </w:p>
    <w:p w:rsidR="00884A28" w:rsidRDefault="00350526">
      <w:pPr>
        <w:pStyle w:val="Bodytext0"/>
        <w:shd w:val="clear" w:color="auto" w:fill="auto"/>
        <w:spacing w:before="0" w:after="300"/>
        <w:ind w:left="720" w:right="40" w:firstLine="0"/>
      </w:pPr>
      <w:r>
        <w:rPr>
          <w:rStyle w:val="Bodytext4"/>
        </w:rPr>
        <w:t xml:space="preserve">as to when, how and in what manner POIs are to be provisioned. They also stipulate the charges to </w:t>
      </w:r>
      <w:r>
        <w:rPr>
          <w:rStyle w:val="Bodytext4"/>
        </w:rPr>
        <w:t>be realised for POIs that are to be provided to another service provider. Even the consequences for breach of such obligations are mentioned.</w:t>
      </w:r>
    </w:p>
    <w:p w:rsidR="00884A28" w:rsidRDefault="00350526">
      <w:pPr>
        <w:pStyle w:val="Bodytext0"/>
        <w:numPr>
          <w:ilvl w:val="0"/>
          <w:numId w:val="20"/>
        </w:numPr>
        <w:shd w:val="clear" w:color="auto" w:fill="auto"/>
        <w:tabs>
          <w:tab w:val="left" w:pos="706"/>
        </w:tabs>
        <w:spacing w:before="0"/>
        <w:ind w:left="720" w:right="40" w:hanging="720"/>
      </w:pPr>
      <w:r>
        <w:rPr>
          <w:rStyle w:val="Bodytext4"/>
        </w:rPr>
        <w:t>We, therefore, are of the opinion that the High Court is right in concluding that till the jurisdictional issues a</w:t>
      </w:r>
      <w:r>
        <w:rPr>
          <w:rStyle w:val="Bodytext4"/>
        </w:rPr>
        <w:t>re straightened and answered by the TRAI which would bring on record findings on the aforesaid aspects, the CCI is ill-equipped to proceed in the matter. Having regard to the aforesaid nature of jurisdiction conferred upon an expert regulator pertaining to</w:t>
      </w:r>
      <w:r>
        <w:rPr>
          <w:rStyle w:val="Bodytext4"/>
        </w:rPr>
        <w:t xml:space="preserve"> this specific sector, the High Court is right in concluding that the concepts of “subscriber”, “test period”, “reasonable demand”, “test phase and commercial phase rights and obligations”, “reciprocal obligations of service providers” or “breaches of any </w:t>
      </w:r>
      <w:r>
        <w:rPr>
          <w:rStyle w:val="Bodytext4"/>
        </w:rPr>
        <w:t>contract and/or practice”, arising out of TRAI Act and the policy so declared, are the matters within the jurisdiction of the Authority/TDSAT under the TRAI Act only. Only when the jurisdictional facts in the present matter as mentioned in this judgment pa</w:t>
      </w:r>
      <w:r>
        <w:rPr>
          <w:rStyle w:val="Bodytext4"/>
        </w:rPr>
        <w:t>rticularly in paras 56 and 82 above are determined by the TRAI against the IDOs, the next question would arise as to whether it was a result of any concerted agreement between the IDOs and COAI supported the</w:t>
      </w:r>
    </w:p>
    <w:p w:rsidR="00884A28" w:rsidRDefault="00350526">
      <w:pPr>
        <w:pStyle w:val="Bodytext0"/>
        <w:shd w:val="clear" w:color="auto" w:fill="auto"/>
        <w:spacing w:before="0" w:after="300"/>
        <w:ind w:left="720" w:right="20" w:firstLine="0"/>
      </w:pPr>
      <w:r>
        <w:rPr>
          <w:rStyle w:val="Bodytext4"/>
        </w:rPr>
        <w:t>IDOs in that endeavour. It would be at that stag</w:t>
      </w:r>
      <w:r>
        <w:rPr>
          <w:rStyle w:val="Bodytext4"/>
        </w:rPr>
        <w:t>e the CCI can go into the question as to whether violation of the provisions of TRAI Act amounts to ‘abuse of dominance’ or ‘anti-competitive agreements’. That also follows from the reading of Sections 21 and 21A of the Competition Act, as argued by the re</w:t>
      </w:r>
      <w:r>
        <w:rPr>
          <w:rStyle w:val="Bodytext4"/>
        </w:rPr>
        <w:t>spondents.</w:t>
      </w:r>
    </w:p>
    <w:p w:rsidR="00884A28" w:rsidRDefault="00350526">
      <w:pPr>
        <w:pStyle w:val="Bodytext0"/>
        <w:numPr>
          <w:ilvl w:val="0"/>
          <w:numId w:val="20"/>
        </w:numPr>
        <w:shd w:val="clear" w:color="auto" w:fill="auto"/>
        <w:tabs>
          <w:tab w:val="left" w:pos="710"/>
        </w:tabs>
        <w:spacing w:before="0"/>
        <w:ind w:left="720" w:right="20" w:hanging="720"/>
      </w:pPr>
      <w:r>
        <w:rPr>
          <w:rStyle w:val="Bodytext4"/>
        </w:rPr>
        <w:t>The issue can be examined from another angle as well. If the CCI is allowed to intervene at this juncture, it will have to necessarily undertake an exercise of returning the findings on the aforesaid issues/aspects which are mentioned in paragra</w:t>
      </w:r>
      <w:r>
        <w:rPr>
          <w:rStyle w:val="Bodytext4"/>
        </w:rPr>
        <w:t>ph 82 above. Not only TRAI is better equipped as a sectoral regulator to deal with these jurisdictional aspects, there may be a possibility that the two authorities, namely, TRAI on the one hand and the CCI on the other, arrive at a conflicting views. Such</w:t>
      </w:r>
      <w:r>
        <w:rPr>
          <w:rStyle w:val="Bodytext4"/>
        </w:rPr>
        <w:t xml:space="preserve"> a situation needs to be avoided. This analysis also leads to the same conclusion, namely, in the first instance it is the TRAI which should decide these jurisdictional issues, which come within the domain of the TRAI Act as they not only arise out of the </w:t>
      </w:r>
      <w:r>
        <w:rPr>
          <w:rStyle w:val="Bodytext4"/>
        </w:rPr>
        <w:t>telecom licenses granted to the service providers, the service providers are governed by the TRAI Act and are supposed to follow various regulations and directions issued by the TRAI itself.</w:t>
      </w:r>
    </w:p>
    <w:p w:rsidR="00884A28" w:rsidRDefault="00350526">
      <w:pPr>
        <w:pStyle w:val="Bodytext0"/>
        <w:numPr>
          <w:ilvl w:val="0"/>
          <w:numId w:val="20"/>
        </w:numPr>
        <w:shd w:val="clear" w:color="auto" w:fill="auto"/>
        <w:spacing w:before="0" w:after="300"/>
        <w:ind w:left="720" w:right="20" w:hanging="720"/>
      </w:pPr>
      <w:r>
        <w:rPr>
          <w:rStyle w:val="Bodytext4"/>
        </w:rPr>
        <w:t xml:space="preserve"> This takes us to the next level of the issue, viz. whether TRAI </w:t>
      </w:r>
      <w:r>
        <w:rPr>
          <w:rStyle w:val="Bodytext4"/>
        </w:rPr>
        <w:t>has the exclusive jurisdiction to deal with matters involving anti</w:t>
      </w:r>
      <w:r>
        <w:rPr>
          <w:rStyle w:val="Bodytext4"/>
        </w:rPr>
        <w:softHyphen/>
        <w:t>competitive practices to the exclusion of CCI altogether because of the reason that the matter pertains to telecom sector?</w:t>
      </w:r>
    </w:p>
    <w:p w:rsidR="00884A28" w:rsidRDefault="00350526">
      <w:pPr>
        <w:pStyle w:val="Bodytext0"/>
        <w:numPr>
          <w:ilvl w:val="0"/>
          <w:numId w:val="20"/>
        </w:numPr>
        <w:shd w:val="clear" w:color="auto" w:fill="auto"/>
        <w:spacing w:before="0" w:after="300"/>
        <w:ind w:left="720" w:right="20" w:hanging="720"/>
      </w:pPr>
      <w:r>
        <w:rPr>
          <w:rStyle w:val="Bodytext4"/>
        </w:rPr>
        <w:t xml:space="preserve"> The IDOs have argued that not only TRAI is an expert body which c</w:t>
      </w:r>
      <w:r>
        <w:rPr>
          <w:rStyle w:val="Bodytext4"/>
        </w:rPr>
        <w:t>an deal with these issues and has been assigned this function specifically under the TRAI Act, even the anti-competitive aspects of telecom sector are specifically assigned to the TRAI in the TRAI Act itself. On that premise the submission is that the TRAI</w:t>
      </w:r>
      <w:r>
        <w:rPr>
          <w:rStyle w:val="Bodytext4"/>
        </w:rPr>
        <w:t xml:space="preserve"> Act is a special legislation which prevails over the provisions of the Competition Act as the Competition Act is general in nature. It is also argued that even if the Competition Act is treated as a special statute, between the two special statutes the TR</w:t>
      </w:r>
      <w:r>
        <w:rPr>
          <w:rStyle w:val="Bodytext4"/>
        </w:rPr>
        <w:t>AI Act would prevail as it is a complete code in itself which regulates the telecom sector in its entirety, including the aspects of competition.</w:t>
      </w:r>
    </w:p>
    <w:p w:rsidR="00884A28" w:rsidRDefault="00350526">
      <w:pPr>
        <w:pStyle w:val="Bodytext0"/>
        <w:numPr>
          <w:ilvl w:val="0"/>
          <w:numId w:val="20"/>
        </w:numPr>
        <w:shd w:val="clear" w:color="auto" w:fill="auto"/>
        <w:spacing w:before="0" w:after="300"/>
        <w:ind w:left="720" w:right="20" w:hanging="720"/>
      </w:pPr>
      <w:r>
        <w:rPr>
          <w:rStyle w:val="Bodytext4"/>
        </w:rPr>
        <w:t xml:space="preserve"> Such a submission, on a cursory glance, may appear to be attractive. However, the matter cannot be examined b</w:t>
      </w:r>
      <w:r>
        <w:rPr>
          <w:rStyle w:val="Bodytext4"/>
        </w:rPr>
        <w:t>y looking into the provisions of the TRAI Act alone. Comparison of the regimes and purpose behind the two Acts becomes essential to find an answer to this issue. We have discussed the scope and ambit of the TRAI Act in the given context as well as the func</w:t>
      </w:r>
      <w:r>
        <w:rPr>
          <w:rStyle w:val="Bodytext4"/>
        </w:rPr>
        <w:t>tions of the TRAI. No doubt, we have accepted that insofar as the telecom sector is concerned, the issues which arise and are to be examined in the context of the TRAI Act and related regime need to be examined by the TRAI. At the same time, it is also imp</w:t>
      </w:r>
      <w:r>
        <w:rPr>
          <w:rStyle w:val="Bodytext4"/>
        </w:rPr>
        <w:t>erative that specific purpose behind the Competition Act is kept in mind. This has been taken note of and discussed in the earlier part of the judgment. As pointed out above, the Competition Act frowns the anti-competitive agreements. It deals with three k</w:t>
      </w:r>
      <w:r>
        <w:rPr>
          <w:rStyle w:val="Bodytext4"/>
        </w:rPr>
        <w:t>inds of practices which are treated as anti-competitive and are prohibited. To recapitulate, these are:</w:t>
      </w:r>
    </w:p>
    <w:p w:rsidR="00884A28" w:rsidRDefault="00350526">
      <w:pPr>
        <w:pStyle w:val="Bodytext0"/>
        <w:numPr>
          <w:ilvl w:val="0"/>
          <w:numId w:val="70"/>
        </w:numPr>
        <w:shd w:val="clear" w:color="auto" w:fill="auto"/>
        <w:spacing w:before="0" w:after="300"/>
        <w:ind w:left="720" w:right="20" w:firstLine="0"/>
      </w:pPr>
      <w:r>
        <w:rPr>
          <w:rStyle w:val="Bodytext4"/>
        </w:rPr>
        <w:t xml:space="preserve"> where agreements are entered into by certain persons with a view to cause an appreciable adverse effect on competition;</w:t>
      </w:r>
    </w:p>
    <w:p w:rsidR="00884A28" w:rsidRDefault="00350526">
      <w:pPr>
        <w:pStyle w:val="Bodytext0"/>
        <w:numPr>
          <w:ilvl w:val="0"/>
          <w:numId w:val="70"/>
        </w:numPr>
        <w:shd w:val="clear" w:color="auto" w:fill="auto"/>
        <w:spacing w:before="0" w:after="300"/>
        <w:ind w:left="720" w:right="20" w:firstLine="0"/>
      </w:pPr>
      <w:r>
        <w:rPr>
          <w:rStyle w:val="Bodytext4"/>
        </w:rPr>
        <w:t xml:space="preserve"> where any enterprise or group of enterprises, which enjoys dominant position, abuses the said dominant position; and</w:t>
      </w:r>
    </w:p>
    <w:p w:rsidR="00884A28" w:rsidRDefault="00350526">
      <w:pPr>
        <w:pStyle w:val="Bodytext0"/>
        <w:numPr>
          <w:ilvl w:val="0"/>
          <w:numId w:val="70"/>
        </w:numPr>
        <w:shd w:val="clear" w:color="auto" w:fill="auto"/>
        <w:spacing w:before="0" w:after="300"/>
        <w:ind w:left="720" w:right="20" w:firstLine="0"/>
      </w:pPr>
      <w:r>
        <w:rPr>
          <w:rStyle w:val="Bodytext4"/>
        </w:rPr>
        <w:t xml:space="preserve"> regulating the combination of enterprises by means of mergers or amalgamations to ensure that such mergers or amalgamations do not become</w:t>
      </w:r>
      <w:r>
        <w:rPr>
          <w:rStyle w:val="Bodytext4"/>
        </w:rPr>
        <w:t xml:space="preserve"> anti-competitive or abuse the dominant position which they can attain.</w:t>
      </w:r>
    </w:p>
    <w:p w:rsidR="00884A28" w:rsidRDefault="00350526">
      <w:pPr>
        <w:pStyle w:val="Bodytext0"/>
        <w:numPr>
          <w:ilvl w:val="0"/>
          <w:numId w:val="20"/>
        </w:numPr>
        <w:shd w:val="clear" w:color="auto" w:fill="auto"/>
        <w:tabs>
          <w:tab w:val="left" w:pos="710"/>
        </w:tabs>
        <w:spacing w:before="0"/>
        <w:ind w:left="720" w:right="20" w:hanging="720"/>
        <w:jc w:val="left"/>
      </w:pPr>
      <w:r>
        <w:rPr>
          <w:rStyle w:val="Bodytext4"/>
        </w:rPr>
        <w:t>The CCI is specifically entrusted with duties and functions, and in the process empower as well, to deal with the aforesaid three</w:t>
      </w:r>
    </w:p>
    <w:p w:rsidR="00884A28" w:rsidRDefault="00350526">
      <w:pPr>
        <w:pStyle w:val="Bodytext0"/>
        <w:shd w:val="clear" w:color="auto" w:fill="auto"/>
        <w:spacing w:before="0" w:after="517"/>
        <w:ind w:left="20" w:right="20" w:firstLine="0"/>
      </w:pPr>
      <w:r>
        <w:rPr>
          <w:rStyle w:val="Bodytext4"/>
        </w:rPr>
        <w:t>kinds of anti-competitive practices. The purpose is to</w:t>
      </w:r>
      <w:r>
        <w:rPr>
          <w:rStyle w:val="Bodytext4"/>
        </w:rPr>
        <w:t xml:space="preserve"> eliminate such practices which are having adverse effect on the competition, to promote and sustain competition and to protect the interest of the consumers and ensure freedom of trade, carried on by other participants, in India. To this extent, the funct</w:t>
      </w:r>
      <w:r>
        <w:rPr>
          <w:rStyle w:val="Bodytext4"/>
        </w:rPr>
        <w:t>ion that is assigned to the CCI is distinct from the function of TRAI under the TRAI Act. Learned counsel for the appellants are right in their submission that the CCI is supposed to find out as to whether the IDOs were acting in concert and colluding, the</w:t>
      </w:r>
      <w:r>
        <w:rPr>
          <w:rStyle w:val="Bodytext4"/>
        </w:rPr>
        <w:t>reby forming a cartel, with the intention to block or hinder entry of RJIL in the market in violation of Section 3(3)(b) of the Competition Act. Also, whether there was an anti-competitive agreement between the IDOs, using the platform of COAI. The CCI, th</w:t>
      </w:r>
      <w:r>
        <w:rPr>
          <w:rStyle w:val="Bodytext4"/>
        </w:rPr>
        <w:t>erefore, is to determine whether the conduct of the parties was unilateral or it was a collective action based on an agreement. Agreement between the parties, if it was there, is pivotal to the issue. Such an exercise has to be necessarily undertaken by th</w:t>
      </w:r>
      <w:r>
        <w:rPr>
          <w:rStyle w:val="Bodytext4"/>
        </w:rPr>
        <w:t xml:space="preserve">e CCI. In </w:t>
      </w:r>
      <w:r>
        <w:rPr>
          <w:rStyle w:val="BodytextItalic1"/>
        </w:rPr>
        <w:t>Haridas Exports,</w:t>
      </w:r>
      <w:r>
        <w:rPr>
          <w:rStyle w:val="Bodytext4"/>
        </w:rPr>
        <w:t xml:space="preserve"> this Court held that where statutes operate in different fields and have different purposes, it cannot be said that there is an implied repeal of one by the other. The Competition Act is also a special statute which deals with an</w:t>
      </w:r>
      <w:r>
        <w:rPr>
          <w:rStyle w:val="Bodytext4"/>
        </w:rPr>
        <w:t>ti-competition. It is also to be borne in mind that if the activity undertaken by some persons is anti-competitive and offends Section 3 of the Competition Act, the consequences thereof are provided in the Competition Act. Section 27 empowers the CCI to pa</w:t>
      </w:r>
      <w:r>
        <w:rPr>
          <w:rStyle w:val="Bodytext4"/>
        </w:rPr>
        <w:t>ss certain kinds of orders, stipulated in the said provision, after inquiry into the agreements for abuse of dominant position. The following kinds of orders can be passed by the CCI under this provision:</w:t>
      </w:r>
    </w:p>
    <w:p w:rsidR="00884A28" w:rsidRDefault="00350526">
      <w:pPr>
        <w:pStyle w:val="Bodytext0"/>
        <w:shd w:val="clear" w:color="auto" w:fill="auto"/>
        <w:spacing w:before="0" w:after="240" w:line="298" w:lineRule="exact"/>
        <w:ind w:left="720" w:right="680" w:firstLine="0"/>
      </w:pPr>
      <w:r>
        <w:rPr>
          <w:rStyle w:val="Bodytext4"/>
        </w:rPr>
        <w:t xml:space="preserve">"27. </w:t>
      </w:r>
      <w:r>
        <w:rPr>
          <w:rStyle w:val="BodytextBold0"/>
        </w:rPr>
        <w:t>Orders by Commission after inquiry into agreem</w:t>
      </w:r>
      <w:r>
        <w:rPr>
          <w:rStyle w:val="BodytextBold0"/>
        </w:rPr>
        <w:t xml:space="preserve">ents or abuse of dominant position. </w:t>
      </w:r>
      <w:r>
        <w:rPr>
          <w:rStyle w:val="Bodytext4"/>
        </w:rPr>
        <w:t>- Where after inquiry the Commission finds that any agreement referred to in section 3 or action of an enterprise in a dominant position, is in contravention of section 3 or section 4, as the case may be, it may pass all</w:t>
      </w:r>
      <w:r>
        <w:rPr>
          <w:rStyle w:val="Bodytext4"/>
        </w:rPr>
        <w:t xml:space="preserve"> or any of the following orders, namely:—</w:t>
      </w:r>
    </w:p>
    <w:p w:rsidR="00884A28" w:rsidRDefault="00350526">
      <w:pPr>
        <w:pStyle w:val="Bodytext0"/>
        <w:numPr>
          <w:ilvl w:val="0"/>
          <w:numId w:val="71"/>
        </w:numPr>
        <w:shd w:val="clear" w:color="auto" w:fill="auto"/>
        <w:spacing w:before="0" w:after="240" w:line="298" w:lineRule="exact"/>
        <w:ind w:left="720" w:right="680" w:firstLine="0"/>
      </w:pPr>
      <w:r>
        <w:rPr>
          <w:rStyle w:val="Bodytext4"/>
        </w:rPr>
        <w:t xml:space="preserve"> direct any enterprise or association of enterprises or person or association of persons, as the case may be, involved in such agreement, or abuse of dominant position, to discontinue and not to re-enter such agree</w:t>
      </w:r>
      <w:r>
        <w:rPr>
          <w:rStyle w:val="Bodytext4"/>
        </w:rPr>
        <w:t>ment or discontinue such abuse of dominant position, as the case may be;</w:t>
      </w:r>
    </w:p>
    <w:p w:rsidR="00884A28" w:rsidRDefault="00350526">
      <w:pPr>
        <w:pStyle w:val="Bodytext0"/>
        <w:numPr>
          <w:ilvl w:val="0"/>
          <w:numId w:val="71"/>
        </w:numPr>
        <w:shd w:val="clear" w:color="auto" w:fill="auto"/>
        <w:spacing w:before="0" w:line="298" w:lineRule="exact"/>
        <w:ind w:left="720" w:right="680" w:firstLine="0"/>
      </w:pPr>
      <w:r>
        <w:rPr>
          <w:rStyle w:val="Bodytext4"/>
        </w:rPr>
        <w:t xml:space="preserve"> impose such penalty, as it may deem fit which shall be not more than ten per cent of the average of the turnover for the last three preceding financial years, upon each of such person or enterprises which are parties to such agreements or abuse:</w:t>
      </w:r>
    </w:p>
    <w:p w:rsidR="00884A28" w:rsidRDefault="00350526">
      <w:pPr>
        <w:pStyle w:val="Bodytext0"/>
        <w:shd w:val="clear" w:color="auto" w:fill="auto"/>
        <w:spacing w:before="0" w:after="286" w:line="298" w:lineRule="exact"/>
        <w:ind w:left="720" w:right="680" w:firstLine="720"/>
      </w:pPr>
      <w:r>
        <w:rPr>
          <w:rStyle w:val="Bodytext4"/>
        </w:rPr>
        <w:t xml:space="preserve">Provided </w:t>
      </w:r>
      <w:r>
        <w:rPr>
          <w:rStyle w:val="Bodytext4"/>
        </w:rPr>
        <w:t>that in case any agreement referred to in section 3 has been entered into by a cartel, the Commission may impose upon each producer, seller, distributor, trader or service provider included in that cartel, a penalty of up to three times of its profit for e</w:t>
      </w:r>
      <w:r>
        <w:rPr>
          <w:rStyle w:val="Bodytext4"/>
        </w:rPr>
        <w:t>ach year of the continuance of such agreement or ten percent. of its turnover for each year of the continuance of such agreement, whichever is higher.</w:t>
      </w:r>
    </w:p>
    <w:p w:rsidR="00884A28" w:rsidRDefault="00350526">
      <w:pPr>
        <w:pStyle w:val="Bodytext0"/>
        <w:numPr>
          <w:ilvl w:val="0"/>
          <w:numId w:val="71"/>
        </w:numPr>
        <w:shd w:val="clear" w:color="auto" w:fill="auto"/>
        <w:spacing w:before="0" w:line="240" w:lineRule="exact"/>
        <w:ind w:left="720" w:firstLine="0"/>
      </w:pPr>
      <w:r>
        <w:rPr>
          <w:rStyle w:val="Bodytext4"/>
        </w:rPr>
        <w:t xml:space="preserve"> repealed;</w:t>
      </w:r>
    </w:p>
    <w:p w:rsidR="00884A28" w:rsidRDefault="00350526">
      <w:pPr>
        <w:pStyle w:val="Bodytext0"/>
        <w:numPr>
          <w:ilvl w:val="0"/>
          <w:numId w:val="71"/>
        </w:numPr>
        <w:shd w:val="clear" w:color="auto" w:fill="auto"/>
        <w:spacing w:before="0" w:after="240" w:line="298" w:lineRule="exact"/>
        <w:ind w:left="1420" w:right="680" w:firstLine="0"/>
      </w:pPr>
      <w:r>
        <w:rPr>
          <w:rStyle w:val="Bodytext4"/>
        </w:rPr>
        <w:t xml:space="preserve"> direct that the agreements shall stand modified to the extent and in the manner as may be spe</w:t>
      </w:r>
      <w:r>
        <w:rPr>
          <w:rStyle w:val="Bodytext4"/>
        </w:rPr>
        <w:t>cified in the order by the Commission;</w:t>
      </w:r>
    </w:p>
    <w:p w:rsidR="00884A28" w:rsidRDefault="00350526">
      <w:pPr>
        <w:pStyle w:val="Bodytext0"/>
        <w:numPr>
          <w:ilvl w:val="0"/>
          <w:numId w:val="71"/>
        </w:numPr>
        <w:shd w:val="clear" w:color="auto" w:fill="auto"/>
        <w:spacing w:before="0" w:after="286" w:line="298" w:lineRule="exact"/>
        <w:ind w:left="1420" w:right="680" w:firstLine="0"/>
      </w:pPr>
      <w:r>
        <w:rPr>
          <w:rStyle w:val="Bodytext4"/>
        </w:rPr>
        <w:t xml:space="preserve"> direct the enterprises concerned to abide by such other orders as the Commission may pass and comply with the directions, including payment of costs, if any;</w:t>
      </w:r>
    </w:p>
    <w:p w:rsidR="00884A28" w:rsidRDefault="00350526">
      <w:pPr>
        <w:pStyle w:val="Bodytext0"/>
        <w:numPr>
          <w:ilvl w:val="0"/>
          <w:numId w:val="71"/>
        </w:numPr>
        <w:shd w:val="clear" w:color="auto" w:fill="auto"/>
        <w:spacing w:before="0" w:after="266" w:line="240" w:lineRule="exact"/>
        <w:ind w:left="720" w:firstLine="700"/>
      </w:pPr>
      <w:r>
        <w:rPr>
          <w:rStyle w:val="Bodytext4"/>
        </w:rPr>
        <w:t xml:space="preserve"> repealed;</w:t>
      </w:r>
    </w:p>
    <w:p w:rsidR="00884A28" w:rsidRDefault="00350526">
      <w:pPr>
        <w:pStyle w:val="Bodytext0"/>
        <w:numPr>
          <w:ilvl w:val="0"/>
          <w:numId w:val="71"/>
        </w:numPr>
        <w:shd w:val="clear" w:color="auto" w:fill="auto"/>
        <w:spacing w:before="0" w:line="298" w:lineRule="exact"/>
        <w:ind w:left="1420" w:right="680" w:firstLine="0"/>
      </w:pPr>
      <w:r>
        <w:rPr>
          <w:rStyle w:val="Bodytext4"/>
        </w:rPr>
        <w:t xml:space="preserve"> pass such other [order or issue such direction</w:t>
      </w:r>
      <w:r>
        <w:rPr>
          <w:rStyle w:val="Bodytext4"/>
        </w:rPr>
        <w:t>s] as it may deem fit.</w:t>
      </w:r>
    </w:p>
    <w:p w:rsidR="00884A28" w:rsidRDefault="00350526">
      <w:pPr>
        <w:pStyle w:val="Bodytext0"/>
        <w:shd w:val="clear" w:color="auto" w:fill="auto"/>
        <w:spacing w:before="0" w:after="324" w:line="298" w:lineRule="exact"/>
        <w:ind w:left="1420" w:right="680" w:firstLine="720"/>
      </w:pPr>
      <w:r>
        <w:rPr>
          <w:rStyle w:val="Bodytext4"/>
        </w:rPr>
        <w:t xml:space="preserve">Provided that while passing orders under this section, if the Commission comes to a finding, that an enterprise in contravention to section 3 or section 4 of the Act is a member of a group as defined in clause (b) of the </w:t>
      </w:r>
      <w:r>
        <w:rPr>
          <w:rStyle w:val="BodytextItalic1"/>
        </w:rPr>
        <w:t>Explanation</w:t>
      </w:r>
      <w:r>
        <w:rPr>
          <w:rStyle w:val="Bodytext4"/>
        </w:rPr>
        <w:t xml:space="preserve"> to section 5 of the Act, and other members of such a group are also responsible for, or have contributed to, such a contravention, then it may pass orders, under this section, against such members of the group.</w:t>
      </w:r>
    </w:p>
    <w:p w:rsidR="00884A28" w:rsidRDefault="00350526">
      <w:pPr>
        <w:pStyle w:val="Bodytext0"/>
        <w:shd w:val="clear" w:color="auto" w:fill="auto"/>
        <w:spacing w:before="0" w:after="240"/>
        <w:ind w:left="720" w:right="20" w:firstLine="700"/>
      </w:pPr>
      <w:r>
        <w:rPr>
          <w:rStyle w:val="Bodytext4"/>
        </w:rPr>
        <w:t xml:space="preserve">Moreover, it is within the exclusive domain </w:t>
      </w:r>
      <w:r>
        <w:rPr>
          <w:rStyle w:val="Bodytext4"/>
        </w:rPr>
        <w:t>of the CCI to find out as to whether a particular agreement will have appreciable adverse effect on competition within the relevant market in India. For this purpose, CCI is to take into consideration the provisions contained in the Competition Act, includ</w:t>
      </w:r>
      <w:r>
        <w:rPr>
          <w:rStyle w:val="Bodytext4"/>
        </w:rPr>
        <w:t>ing Section 29 thereof. Sections 45 and 46 also authorise the CCI to impose penalties in certain situations.</w:t>
      </w:r>
    </w:p>
    <w:p w:rsidR="00884A28" w:rsidRDefault="00350526">
      <w:pPr>
        <w:pStyle w:val="Bodytext0"/>
        <w:numPr>
          <w:ilvl w:val="0"/>
          <w:numId w:val="20"/>
        </w:numPr>
        <w:shd w:val="clear" w:color="auto" w:fill="auto"/>
        <w:tabs>
          <w:tab w:val="left" w:pos="720"/>
        </w:tabs>
        <w:spacing w:before="0" w:after="300"/>
        <w:ind w:left="720" w:right="20" w:hanging="720"/>
      </w:pPr>
      <w:r>
        <w:rPr>
          <w:rStyle w:val="Bodytext4"/>
        </w:rPr>
        <w:t xml:space="preserve">Obviously, all the aforesaid functions not only come within the domain of the CCI, TRAI is not at all equipped to deal with the same. Even if TRAI </w:t>
      </w:r>
      <w:r>
        <w:rPr>
          <w:rStyle w:val="Bodytext4"/>
        </w:rPr>
        <w:t xml:space="preserve">also returns a finding that a particular activity was anti-competitive, its powers would be limited to the action that can be taken under the TRAI Act alone. It is only the CCI which is empowered to deal with the same anti-competitive act from the lens of </w:t>
      </w:r>
      <w:r>
        <w:rPr>
          <w:rStyle w:val="Bodytext4"/>
        </w:rPr>
        <w:t>the Competition Act. If such activities offend the provisions of the Competition Act as well, the consequences under that Act would also follow. Therefore, contention of the IDOs that the jurisdiction of the CCI stands totally ousted cannot be accepted. In</w:t>
      </w:r>
      <w:r>
        <w:rPr>
          <w:rStyle w:val="Bodytext4"/>
        </w:rPr>
        <w:t>sofar as the nuanced exercise from the stand point of Competition Act is concerned, the CCI is the experienced body in conducting competition analysis. Further, the CCI is more likely to opt for structural remedies which would lead the sector to evolve a p</w:t>
      </w:r>
      <w:r>
        <w:rPr>
          <w:rStyle w:val="Bodytext4"/>
        </w:rPr>
        <w:t>oint where sufficient new entry is induced thereby promoting genuine competition. This specific and important role assigned to the CCI cannot be completely wished away and the ‘comity’ between the sectoral regulator (i.e. TRAI) and the market regulator (i.</w:t>
      </w:r>
      <w:r>
        <w:rPr>
          <w:rStyle w:val="Bodytext4"/>
        </w:rPr>
        <w:t>e. the CCI) is to be maintained.</w:t>
      </w:r>
    </w:p>
    <w:p w:rsidR="00884A28" w:rsidRDefault="00350526">
      <w:pPr>
        <w:pStyle w:val="Bodytext0"/>
        <w:numPr>
          <w:ilvl w:val="0"/>
          <w:numId w:val="20"/>
        </w:numPr>
        <w:shd w:val="clear" w:color="auto" w:fill="auto"/>
        <w:tabs>
          <w:tab w:val="left" w:pos="710"/>
        </w:tabs>
        <w:spacing w:before="0" w:after="300"/>
        <w:ind w:left="720" w:right="20" w:hanging="720"/>
      </w:pPr>
      <w:r>
        <w:rPr>
          <w:rStyle w:val="Bodytext4"/>
        </w:rPr>
        <w:t>The conclusion of the aforesaid discussion is to give primacy to the respective objections of the two regulators under the two Acts. At the same time, since the matter pertains to the telecom sector which is specifically re</w:t>
      </w:r>
      <w:r>
        <w:rPr>
          <w:rStyle w:val="Bodytext4"/>
        </w:rPr>
        <w:t>gulated by the TRAI Act, balance is maintained by permitting TRAI in the first instance to deal with and decide the jurisdictional aspects which can be more competently handled by it. Once that exercise is done and there are findings returned by the TRAI w</w:t>
      </w:r>
      <w:r>
        <w:rPr>
          <w:rStyle w:val="Bodytext4"/>
        </w:rPr>
        <w:t xml:space="preserve">hich lead to the </w:t>
      </w:r>
      <w:r>
        <w:rPr>
          <w:rStyle w:val="BodytextItalic1"/>
        </w:rPr>
        <w:t xml:space="preserve">prima facie </w:t>
      </w:r>
      <w:r>
        <w:rPr>
          <w:rStyle w:val="Bodytext4"/>
        </w:rPr>
        <w:t>conclusion that the IDOs have indulged in anti-competitive practices, the CCI can be activated to investigate the matter going by the criteria laid down in the relevant provisions of the Competition Act and take it to its logic</w:t>
      </w:r>
      <w:r>
        <w:rPr>
          <w:rStyle w:val="Bodytext4"/>
        </w:rPr>
        <w:t>al conclusion. This balanced approach in construing the two Acts would take care of Section 60 of the Competition Act as well.</w:t>
      </w:r>
    </w:p>
    <w:p w:rsidR="00884A28" w:rsidRDefault="00350526">
      <w:pPr>
        <w:pStyle w:val="Bodytext0"/>
        <w:numPr>
          <w:ilvl w:val="0"/>
          <w:numId w:val="20"/>
        </w:numPr>
        <w:shd w:val="clear" w:color="auto" w:fill="auto"/>
        <w:tabs>
          <w:tab w:val="left" w:pos="706"/>
        </w:tabs>
        <w:spacing w:before="0" w:after="557"/>
        <w:ind w:left="720" w:right="20" w:hanging="720"/>
      </w:pPr>
      <w:r>
        <w:rPr>
          <w:rStyle w:val="Bodytext4"/>
        </w:rPr>
        <w:t>We, thus, do not agree with the appellants that CCI could have dealt with this matter at this stage itself without availing the i</w:t>
      </w:r>
      <w:r>
        <w:rPr>
          <w:rStyle w:val="Bodytext4"/>
        </w:rPr>
        <w:t xml:space="preserve">nquiry by TRAI. We also do not agree with the respondents that insofar as the telecom sector is concerned, jurisdiction of the CCI under the Competition Act is totally ousted. In nutshell, that leads to the conclusion that the view taken by the High Court </w:t>
      </w:r>
      <w:r>
        <w:rPr>
          <w:rStyle w:val="Bodytext4"/>
        </w:rPr>
        <w:t>is perfectly justified. Even the argument of the learned ASG is that the exercise of jurisdiction by the CCI to investigate an alleged cartel does not impinge upon TRAI’s jurisdiction to regulate the industry in any way. It was submitted that the promotion</w:t>
      </w:r>
      <w:r>
        <w:rPr>
          <w:rStyle w:val="Bodytext4"/>
        </w:rPr>
        <w:t xml:space="preserve"> of competition and prevention of competitive behaviour may not be high on the change of sectoral regulator which makes it prone to ‘regulatory capture’ and, therefore, the CCI is competent to exercise its jurisdiction from the stand point of the Competiti</w:t>
      </w:r>
      <w:r>
        <w:rPr>
          <w:rStyle w:val="Bodytext4"/>
        </w:rPr>
        <w:t>on Act. However, having taken note of the skillful exercise which the TRAI is supposed to carry out, such a comment vis-a-vis TRAI may not be appropriate. No doubt, as commented by the Planning Commission in its report of February, 2007, a sectoral regulat</w:t>
      </w:r>
      <w:r>
        <w:rPr>
          <w:rStyle w:val="Bodytext4"/>
        </w:rPr>
        <w:t>or, may not have an overall view of the economy as a whole, which the CCI is able to fathom. Therefore, our analysis does not bar the jurisdiction of CCI altogether but only pushes it to a later stage, after the TRAI has undertaken necessary exercise in th</w:t>
      </w:r>
      <w:r>
        <w:rPr>
          <w:rStyle w:val="Bodytext4"/>
        </w:rPr>
        <w:t>e first place, which it is more suitable to carry out.</w:t>
      </w:r>
    </w:p>
    <w:p w:rsidR="00884A28" w:rsidRDefault="00350526">
      <w:pPr>
        <w:pStyle w:val="Bodytext30"/>
        <w:numPr>
          <w:ilvl w:val="0"/>
          <w:numId w:val="72"/>
        </w:numPr>
        <w:shd w:val="clear" w:color="auto" w:fill="auto"/>
        <w:tabs>
          <w:tab w:val="left" w:pos="725"/>
        </w:tabs>
        <w:spacing w:after="43" w:line="322" w:lineRule="exact"/>
        <w:ind w:left="720" w:right="40" w:hanging="720"/>
      </w:pPr>
      <w:r>
        <w:rPr>
          <w:rStyle w:val="Bodytext32"/>
          <w:i/>
          <w:iCs/>
        </w:rPr>
        <w:t>Whether the writ petitions filed before the High Court of Bombay were maintainable?</w:t>
      </w:r>
    </w:p>
    <w:p w:rsidR="00884A28" w:rsidRDefault="00350526">
      <w:pPr>
        <w:pStyle w:val="Bodytext0"/>
        <w:numPr>
          <w:ilvl w:val="0"/>
          <w:numId w:val="20"/>
        </w:numPr>
        <w:shd w:val="clear" w:color="auto" w:fill="auto"/>
        <w:tabs>
          <w:tab w:val="left" w:pos="725"/>
        </w:tabs>
        <w:spacing w:before="0" w:after="300"/>
        <w:ind w:left="720" w:right="40" w:hanging="720"/>
      </w:pPr>
      <w:r>
        <w:rPr>
          <w:rStyle w:val="Bodytext4"/>
        </w:rPr>
        <w:t xml:space="preserve">Here comes the scope of judicial interference under Article 226 of the Constitution. As per the RJIL as well as CCI, the High Court could not have entertained the writ petition against an order passed under Section 26(1) of the Competition Act which was a </w:t>
      </w:r>
      <w:r>
        <w:rPr>
          <w:rStyle w:val="Bodytext4"/>
        </w:rPr>
        <w:t xml:space="preserve">pure administrative order and was only a </w:t>
      </w:r>
      <w:r>
        <w:rPr>
          <w:rStyle w:val="BodytextItalic1"/>
        </w:rPr>
        <w:t>prima facie</w:t>
      </w:r>
      <w:r>
        <w:rPr>
          <w:rStyle w:val="Bodytext4"/>
        </w:rPr>
        <w:t xml:space="preserve"> view expressed therein, and did not result in serious adverse consequences. It was submitted that the finding of the High Court that such an order was quasi-judicial order is not only erroneous but it is</w:t>
      </w:r>
      <w:r>
        <w:rPr>
          <w:rStyle w:val="Bodytext4"/>
        </w:rPr>
        <w:t xml:space="preserve"> contrary to the law laid down in the case of </w:t>
      </w:r>
      <w:r>
        <w:rPr>
          <w:rStyle w:val="BodytextItalic1"/>
        </w:rPr>
        <w:t>Steel Authority of India Limited.</w:t>
      </w:r>
      <w:r>
        <w:rPr>
          <w:rStyle w:val="Bodytext4"/>
        </w:rPr>
        <w:t xml:space="preserve"> The respondents, on the other hand, have submitted that the judgment in the above case had no application in the instant case as it did not deal with the sector that is regulat</w:t>
      </w:r>
      <w:r>
        <w:rPr>
          <w:rStyle w:val="Bodytext4"/>
        </w:rPr>
        <w:t>ed by a statutory authority. Moreover, such an order was quasi-judicial in nature and cannot be treated as an administrative order since it was passed by the CCI after collecting the detailed information from the parties and by holding the conferences, cal</w:t>
      </w:r>
      <w:r>
        <w:rPr>
          <w:rStyle w:val="Bodytext4"/>
        </w:rPr>
        <w:t>ling material details, documents, affidavits and by recording the opinion. It was submitted that judicial review against such an order is permissible and it was open to the respondents to point out that the complete material, as submitted by the respondent</w:t>
      </w:r>
      <w:r>
        <w:rPr>
          <w:rStyle w:val="Bodytext4"/>
        </w:rPr>
        <w:t>s, was not taken into consideration which resulted in an erroneous order, which had adverse civil consequences inasmuch as the respondents were subjected to further investigation by the Director General.</w:t>
      </w:r>
    </w:p>
    <w:p w:rsidR="00884A28" w:rsidRDefault="00350526">
      <w:pPr>
        <w:pStyle w:val="Bodytext0"/>
        <w:numPr>
          <w:ilvl w:val="0"/>
          <w:numId w:val="20"/>
        </w:numPr>
        <w:shd w:val="clear" w:color="auto" w:fill="auto"/>
        <w:tabs>
          <w:tab w:val="left" w:pos="706"/>
        </w:tabs>
        <w:spacing w:before="0"/>
        <w:ind w:left="720" w:right="20" w:hanging="720"/>
      </w:pPr>
      <w:r>
        <w:rPr>
          <w:rStyle w:val="Bodytext4"/>
        </w:rPr>
        <w:t xml:space="preserve">We may mention at the outset that in the case of </w:t>
      </w:r>
      <w:r>
        <w:rPr>
          <w:rStyle w:val="BodytextItalic1"/>
        </w:rPr>
        <w:t>Ste</w:t>
      </w:r>
      <w:r>
        <w:rPr>
          <w:rStyle w:val="BodytextItalic1"/>
        </w:rPr>
        <w:t>el Authority of India Limited,</w:t>
      </w:r>
      <w:r>
        <w:rPr>
          <w:rStyle w:val="Bodytext4"/>
        </w:rPr>
        <w:t xml:space="preserve"> nature of the order passed by the CCI under Section 26(1) of the Competition Act (here also we are concerned with an order which is passed under Section 26(1) of the Competition Act) was gone into. The Court, in no uncertain </w:t>
      </w:r>
      <w:r>
        <w:rPr>
          <w:rStyle w:val="Bodytext4"/>
        </w:rPr>
        <w:t>terms, held that such an order would be an administrative order and not a quasi-judicial order. It can be discerned from</w:t>
      </w:r>
    </w:p>
    <w:p w:rsidR="00884A28" w:rsidRDefault="00350526">
      <w:pPr>
        <w:pStyle w:val="Bodytext0"/>
        <w:shd w:val="clear" w:color="auto" w:fill="auto"/>
        <w:spacing w:before="0" w:after="326" w:line="240" w:lineRule="exact"/>
        <w:ind w:firstLine="0"/>
        <w:jc w:val="left"/>
      </w:pPr>
      <w:r>
        <w:rPr>
          <w:rStyle w:val="Bodytext4"/>
        </w:rPr>
        <w:t>paragraphs 94, 97 and 98 of the said judgment, which are as</w:t>
      </w:r>
    </w:p>
    <w:p w:rsidR="00884A28" w:rsidRDefault="00350526">
      <w:pPr>
        <w:pStyle w:val="Bodytext0"/>
        <w:shd w:val="clear" w:color="auto" w:fill="auto"/>
        <w:spacing w:before="0" w:after="626" w:line="240" w:lineRule="exact"/>
        <w:ind w:firstLine="0"/>
        <w:jc w:val="left"/>
      </w:pPr>
      <w:r>
        <w:rPr>
          <w:rStyle w:val="Bodytext4"/>
        </w:rPr>
        <w:t>under:</w:t>
      </w:r>
    </w:p>
    <w:p w:rsidR="00884A28" w:rsidRDefault="00350526">
      <w:pPr>
        <w:pStyle w:val="Bodytext0"/>
        <w:shd w:val="clear" w:color="auto" w:fill="auto"/>
        <w:spacing w:before="0" w:after="286" w:line="298" w:lineRule="exact"/>
        <w:ind w:left="700" w:right="940" w:firstLine="0"/>
      </w:pPr>
      <w:r>
        <w:rPr>
          <w:rStyle w:val="Bodytext4"/>
        </w:rPr>
        <w:t>"94. The Tribunal, in the impugned judgment, has taken the view that</w:t>
      </w:r>
      <w:r>
        <w:rPr>
          <w:rStyle w:val="Bodytext4"/>
        </w:rPr>
        <w:t xml:space="preserve"> there is a requirement to record reasons which can be express, or, in any case, followed by necessary implication and therefore, the authority is required to record reasons for coming to the conclusion. The proposition of law whether an administrative or </w:t>
      </w:r>
      <w:r>
        <w:rPr>
          <w:rStyle w:val="Bodytext4"/>
        </w:rPr>
        <w:t>quasi</w:t>
      </w:r>
      <w:r>
        <w:rPr>
          <w:rStyle w:val="Bodytext4"/>
        </w:rPr>
        <w:softHyphen/>
        <w:t xml:space="preserve">judicial body, particularly judicial courts, should record reasons in support of their decisions or orders is no more res integra and has been settled by a recent judgment of this Court in </w:t>
      </w:r>
      <w:r>
        <w:rPr>
          <w:rStyle w:val="BodytextItalic1"/>
        </w:rPr>
        <w:t>CCT</w:t>
      </w:r>
      <w:r>
        <w:rPr>
          <w:rStyle w:val="Bodytext4"/>
        </w:rPr>
        <w:t xml:space="preserve"> v. </w:t>
      </w:r>
      <w:r>
        <w:rPr>
          <w:rStyle w:val="BodytextItalic1"/>
        </w:rPr>
        <w:t>Shukla &amp; Bros.</w:t>
      </w:r>
      <w:r>
        <w:rPr>
          <w:rStyle w:val="Bodytext4"/>
        </w:rPr>
        <w:t xml:space="preserve"> [(2010) 4 SCC 785: (2010) 2 SCC (Cri) 1</w:t>
      </w:r>
      <w:r>
        <w:rPr>
          <w:rStyle w:val="Bodytext4"/>
        </w:rPr>
        <w:t>201 : (2010) 2 SCC (L&amp;S) 133], wherein this Court was primarily concerned with the High Court dismissing the appeals without recording any reasons. The Court also examined the practice and requirement of providing reasons for conclusions, orders and direct</w:t>
      </w:r>
      <w:r>
        <w:rPr>
          <w:rStyle w:val="Bodytext4"/>
        </w:rPr>
        <w:t>ions given by the quasi-judicial and administrative bodies.</w:t>
      </w:r>
    </w:p>
    <w:p w:rsidR="00884A28" w:rsidRDefault="00350526">
      <w:pPr>
        <w:pStyle w:val="Bodytext0"/>
        <w:shd w:val="clear" w:color="auto" w:fill="auto"/>
        <w:tabs>
          <w:tab w:val="left" w:pos="3936"/>
          <w:tab w:val="left" w:pos="5352"/>
        </w:tabs>
        <w:spacing w:before="0" w:after="266" w:line="240" w:lineRule="exact"/>
        <w:ind w:left="2520" w:firstLine="0"/>
      </w:pPr>
      <w:r>
        <w:rPr>
          <w:rStyle w:val="Bodytext4"/>
        </w:rPr>
        <w:t>xx</w:t>
      </w:r>
      <w:r>
        <w:rPr>
          <w:rStyle w:val="Bodytext4"/>
        </w:rPr>
        <w:tab/>
        <w:t>xx</w:t>
      </w:r>
      <w:r>
        <w:rPr>
          <w:rStyle w:val="Bodytext4"/>
        </w:rPr>
        <w:tab/>
        <w:t>xx</w:t>
      </w:r>
    </w:p>
    <w:p w:rsidR="00884A28" w:rsidRDefault="00350526">
      <w:pPr>
        <w:pStyle w:val="Bodytext0"/>
        <w:numPr>
          <w:ilvl w:val="0"/>
          <w:numId w:val="73"/>
        </w:numPr>
        <w:shd w:val="clear" w:color="auto" w:fill="auto"/>
        <w:tabs>
          <w:tab w:val="left" w:pos="1281"/>
        </w:tabs>
        <w:spacing w:before="0" w:line="298" w:lineRule="exact"/>
        <w:ind w:left="700" w:right="940" w:firstLine="0"/>
      </w:pPr>
      <w:r>
        <w:rPr>
          <w:rStyle w:val="Bodytext4"/>
        </w:rPr>
        <w:t xml:space="preserve">The above reasoning and the principles enunciated, which are consistent with the settled canons of law, we would adopt even in this case. In the backdrop of these determinants, we may </w:t>
      </w:r>
      <w:r>
        <w:rPr>
          <w:rStyle w:val="Bodytext4"/>
        </w:rPr>
        <w:t>refer to the provisions of the Act. Section 26, under its different sub-sections, requires the Commission to issue various directions, take decisions and pass orders, some of which are even appealable before the Tribunal. Even if it is a direction under an</w:t>
      </w:r>
      <w:r>
        <w:rPr>
          <w:rStyle w:val="Bodytext4"/>
        </w:rPr>
        <w:t>y of the provisions and not a decision, conclusion or order passed on merits by the Commission, it is expected that the same would be supported by some reasoning. At the stage of forming a prima facie view, as required under Section 26(1) of the Act, the C</w:t>
      </w:r>
      <w:r>
        <w:rPr>
          <w:rStyle w:val="Bodytext4"/>
        </w:rPr>
        <w:t>ommission may not really record detailed reasons, but must express its mind in no uncertain terms that it is of the view that prima facie case exists, requiring issuance of direction for investigation to the Director General. Such view should be recorded w</w:t>
      </w:r>
      <w:r>
        <w:rPr>
          <w:rStyle w:val="Bodytext4"/>
        </w:rPr>
        <w:t>ith reference to the information furnished to the Commission. Such opinion should be formed on the basis of the records, including the information furnished and reference made to the Commission under the various provisions of</w:t>
      </w:r>
    </w:p>
    <w:p w:rsidR="00884A28" w:rsidRDefault="00350526">
      <w:pPr>
        <w:pStyle w:val="Bodytext0"/>
        <w:shd w:val="clear" w:color="auto" w:fill="auto"/>
        <w:spacing w:before="0" w:after="240" w:line="298" w:lineRule="exact"/>
        <w:ind w:left="1420" w:right="700" w:firstLine="0"/>
      </w:pPr>
      <w:r>
        <w:rPr>
          <w:rStyle w:val="Bodytext4"/>
        </w:rPr>
        <w:t>the Act, as aforereferred. How</w:t>
      </w:r>
      <w:r>
        <w:rPr>
          <w:rStyle w:val="Bodytext4"/>
        </w:rPr>
        <w:t>ever, other decisions and orders, which are not directions simpliciter and determining the rights of the parties, should be well reasoned analysing and deciding the rival contentions raised before the Commission by the parties. In other words, the Commissi</w:t>
      </w:r>
      <w:r>
        <w:rPr>
          <w:rStyle w:val="Bodytext4"/>
        </w:rPr>
        <w:t>on is expected to express prima facie view in terms of Section 26(1) of the Act, without entering into any adjudicatory or determinative process and by recording minimum reasons substantiating the formation of such opinion, while all its other orders and d</w:t>
      </w:r>
      <w:r>
        <w:rPr>
          <w:rStyle w:val="Bodytext4"/>
        </w:rPr>
        <w:t>ecisions should be well reasoned.</w:t>
      </w:r>
    </w:p>
    <w:p w:rsidR="00884A28" w:rsidRDefault="00350526">
      <w:pPr>
        <w:pStyle w:val="Bodytext0"/>
        <w:numPr>
          <w:ilvl w:val="0"/>
          <w:numId w:val="73"/>
        </w:numPr>
        <w:shd w:val="clear" w:color="auto" w:fill="auto"/>
        <w:tabs>
          <w:tab w:val="left" w:pos="1953"/>
        </w:tabs>
        <w:spacing w:before="0" w:after="324" w:line="298" w:lineRule="exact"/>
        <w:ind w:left="1420" w:right="700" w:firstLine="0"/>
      </w:pPr>
      <w:r>
        <w:rPr>
          <w:rStyle w:val="Bodytext4"/>
        </w:rPr>
        <w:t>Such an approach can also be justified with reference to Regulation 20(4), which requires the Director General to record, in his report, findings on each of the allegations made by a party in the intimation or reference su</w:t>
      </w:r>
      <w:r>
        <w:rPr>
          <w:rStyle w:val="Bodytext4"/>
        </w:rPr>
        <w:t>bmitted to the Commission and sent for investigation to the Director General, as the case may be, together with all evidence and documents collected during investigation. The inevitable consequence is that the Commission is similarly expected to write appr</w:t>
      </w:r>
      <w:r>
        <w:rPr>
          <w:rStyle w:val="Bodytext4"/>
        </w:rPr>
        <w:t>opriate reasons on every issue while passing an order under Sections 26 to 28 of the Act.”</w:t>
      </w:r>
    </w:p>
    <w:p w:rsidR="00884A28" w:rsidRDefault="00350526">
      <w:pPr>
        <w:pStyle w:val="Bodytext0"/>
        <w:numPr>
          <w:ilvl w:val="0"/>
          <w:numId w:val="20"/>
        </w:numPr>
        <w:shd w:val="clear" w:color="auto" w:fill="auto"/>
        <w:tabs>
          <w:tab w:val="left" w:pos="720"/>
        </w:tabs>
        <w:spacing w:before="0" w:after="240"/>
        <w:ind w:left="720" w:right="20" w:hanging="720"/>
      </w:pPr>
      <w:r>
        <w:rPr>
          <w:rStyle w:val="Bodytext4"/>
        </w:rPr>
        <w:t>There is no reason to take a contrary view. Therefore, we are not inclined to refer the matter to a larger Bench for reconsideration.</w:t>
      </w:r>
    </w:p>
    <w:p w:rsidR="00884A28" w:rsidRDefault="00350526">
      <w:pPr>
        <w:pStyle w:val="Bodytext0"/>
        <w:numPr>
          <w:ilvl w:val="0"/>
          <w:numId w:val="20"/>
        </w:numPr>
        <w:shd w:val="clear" w:color="auto" w:fill="auto"/>
        <w:tabs>
          <w:tab w:val="left" w:pos="720"/>
        </w:tabs>
        <w:spacing w:before="0" w:after="360"/>
        <w:ind w:left="720" w:right="20" w:hanging="720"/>
      </w:pPr>
      <w:r>
        <w:rPr>
          <w:rStyle w:val="Bodytext4"/>
        </w:rPr>
        <w:t>It was, however, argued that si</w:t>
      </w:r>
      <w:r>
        <w:rPr>
          <w:rStyle w:val="Bodytext4"/>
        </w:rPr>
        <w:t xml:space="preserve">nce the case of </w:t>
      </w:r>
      <w:r>
        <w:rPr>
          <w:rStyle w:val="BodytextItalic1"/>
        </w:rPr>
        <w:t>Steel Authority of India Limited</w:t>
      </w:r>
      <w:r>
        <w:rPr>
          <w:rStyle w:val="Bodytext4"/>
        </w:rPr>
        <w:t xml:space="preserve"> was not dealing with the telecom sector, which is regulated by the statutory regulator, namely, TRAI under the TRAI Act, that judgment would not be applicable. Merely because the present case deals with the </w:t>
      </w:r>
      <w:r>
        <w:rPr>
          <w:rStyle w:val="Bodytext4"/>
        </w:rPr>
        <w:t xml:space="preserve">telecom sector would not change the nature of the order that is passed by the CCI under Section 26(1) of the Competition Act. However, it raises another dimension. Even if the order is administrative in nature, the question raised before the High Court in </w:t>
      </w:r>
      <w:r>
        <w:rPr>
          <w:rStyle w:val="Bodytext4"/>
        </w:rPr>
        <w:t>the writ petitions filed by the respondents</w:t>
      </w:r>
    </w:p>
    <w:p w:rsidR="00884A28" w:rsidRDefault="00350526">
      <w:pPr>
        <w:pStyle w:val="Bodytext0"/>
        <w:shd w:val="clear" w:color="auto" w:fill="auto"/>
        <w:spacing w:before="0" w:after="517"/>
        <w:ind w:left="700" w:right="20" w:firstLine="0"/>
      </w:pPr>
      <w:r>
        <w:rPr>
          <w:rStyle w:val="Bodytext4"/>
        </w:rPr>
        <w:t xml:space="preserve">touched upon the very jurisdiction of the CCI. As is evident, the case set up by the respondents was that the CCI did not have the jurisdiction to entertain any such request or Information which was furnished by </w:t>
      </w:r>
      <w:r>
        <w:rPr>
          <w:rStyle w:val="Bodytext4"/>
        </w:rPr>
        <w:t>RJIL and two others. The question, thus, pertained to the jurisdiction of the CCI to deal with such a matter and in the process the High Court was called upon to decide as to whether the jurisdiction of the CCI is entirely excluded or to what extent the CC</w:t>
      </w:r>
      <w:r>
        <w:rPr>
          <w:rStyle w:val="Bodytext4"/>
        </w:rPr>
        <w:t xml:space="preserve">I can exercise its jurisdiction in these cases when the matter could be dealt with by another regulator, namely, the TRAI. When such jurisdictional issues arise, the writ petition would clearly be maintainable as held in </w:t>
      </w:r>
      <w:r>
        <w:rPr>
          <w:rStyle w:val="BodytextItalic1"/>
        </w:rPr>
        <w:t>Barium Chemicals Ltd. and Another</w:t>
      </w:r>
      <w:r>
        <w:rPr>
          <w:rStyle w:val="Bodytext4"/>
        </w:rPr>
        <w:t xml:space="preserve"> v</w:t>
      </w:r>
      <w:r>
        <w:rPr>
          <w:rStyle w:val="Bodytext4"/>
        </w:rPr>
        <w:t xml:space="preserve">. </w:t>
      </w:r>
      <w:r>
        <w:rPr>
          <w:rStyle w:val="BodytextItalic1"/>
        </w:rPr>
        <w:t>Company Law Board and Others</w:t>
      </w:r>
      <w:hyperlink w:anchor="bookmark17" w:tooltip="Current Document">
        <w:r>
          <w:rPr>
            <w:rStyle w:val="BodytextItalic1"/>
            <w:vertAlign w:val="superscript"/>
          </w:rPr>
          <w:footnoteReference w:id="19"/>
        </w:r>
        <w:r>
          <w:rPr>
            <w:rStyle w:val="Bodytext4"/>
          </w:rPr>
          <w:t xml:space="preserve"> </w:t>
        </w:r>
      </w:hyperlink>
      <w:r>
        <w:rPr>
          <w:rStyle w:val="Bodytext4"/>
        </w:rPr>
        <w:t xml:space="preserve">and </w:t>
      </w:r>
      <w:r>
        <w:rPr>
          <w:rStyle w:val="BodytextItalic1"/>
        </w:rPr>
        <w:t>Carona Limited.</w:t>
      </w:r>
      <w:r>
        <w:rPr>
          <w:rStyle w:val="Bodytext4"/>
        </w:rPr>
        <w:t xml:space="preserve"> In </w:t>
      </w:r>
      <w:r>
        <w:rPr>
          <w:rStyle w:val="BodytextItalic1"/>
        </w:rPr>
        <w:t>Carona Limited,</w:t>
      </w:r>
      <w:r>
        <w:rPr>
          <w:rStyle w:val="Bodytext4"/>
        </w:rPr>
        <w:t xml:space="preserve"> this Court held as under:</w:t>
      </w:r>
    </w:p>
    <w:p w:rsidR="00884A28" w:rsidRDefault="00350526">
      <w:pPr>
        <w:pStyle w:val="Bodytext0"/>
        <w:shd w:val="clear" w:color="auto" w:fill="auto"/>
        <w:spacing w:before="0" w:line="298" w:lineRule="exact"/>
        <w:ind w:left="1400" w:right="680" w:firstLine="0"/>
      </w:pPr>
      <w:r>
        <w:rPr>
          <w:rStyle w:val="Bodytext4"/>
        </w:rPr>
        <w:t xml:space="preserve">"26. The learned counsel for the appellant company submitted that the fact as to “paid-up share capital” </w:t>
      </w:r>
      <w:r>
        <w:rPr>
          <w:rStyle w:val="Bodytext4"/>
        </w:rPr>
        <w:t>of rupees one crore or more of a company is a “jurisdictional fact” and in absence of such fact, the court has no jurisdiction to proceed on the basis that the Rent Act is not applicable. The learned counsel is right. The fact as to “paid-up share capital”</w:t>
      </w:r>
      <w:r>
        <w:rPr>
          <w:rStyle w:val="Bodytext4"/>
        </w:rPr>
        <w:t xml:space="preserve"> of a company can be said to be a “preliminary” or “jurisdictional fact” and said fact would confer jurisdiction on the court to consider the question whether the provisions of the Rent Act were applicable. The question, however, is whether in the present </w:t>
      </w:r>
      <w:r>
        <w:rPr>
          <w:rStyle w:val="Bodytext4"/>
        </w:rPr>
        <w:t>case, the learned counsel for the appellant tenant is right in submitting that the “jurisdictional fact” did not exist and the Rent Act was, therefore, applicable.</w:t>
      </w:r>
    </w:p>
    <w:p w:rsidR="00884A28" w:rsidRDefault="00350526">
      <w:pPr>
        <w:pStyle w:val="Bodytext0"/>
        <w:numPr>
          <w:ilvl w:val="0"/>
          <w:numId w:val="74"/>
        </w:numPr>
        <w:shd w:val="clear" w:color="auto" w:fill="auto"/>
        <w:spacing w:before="0" w:after="236" w:line="298" w:lineRule="exact"/>
        <w:ind w:left="1420" w:right="920" w:firstLine="0"/>
      </w:pPr>
      <w:r>
        <w:rPr>
          <w:rStyle w:val="Bodytext4"/>
        </w:rPr>
        <w:t xml:space="preserve"> Stated simply, the fact or facts upon which the jurisdiction of a court, a tribunal or an a</w:t>
      </w:r>
      <w:r>
        <w:rPr>
          <w:rStyle w:val="Bodytext4"/>
        </w:rPr>
        <w:t>uthority depends can be said to be a “jurisdictional fact”. If the jurisdictional fact exists, a court, tribunal or authority has jurisdiction to decide other issues. If such fact does not exist, a court, tribunal or authority cannot act. It is also well s</w:t>
      </w:r>
      <w:r>
        <w:rPr>
          <w:rStyle w:val="Bodytext4"/>
        </w:rPr>
        <w:t>ettled that a court or a tribunal cannot wrongly assume existence of jurisdictional fact and proceed to decide a matter. The underlying principle is that by erroneously assuming existence of a jurisdictional fact, a subordinate court or an inferior tribuna</w:t>
      </w:r>
      <w:r>
        <w:rPr>
          <w:rStyle w:val="Bodytext4"/>
        </w:rPr>
        <w:t>l cannot confer upon itself jurisdiction which it otherwise does not posses.</w:t>
      </w:r>
    </w:p>
    <w:p w:rsidR="00884A28" w:rsidRDefault="00350526">
      <w:pPr>
        <w:pStyle w:val="Bodytext0"/>
        <w:numPr>
          <w:ilvl w:val="0"/>
          <w:numId w:val="74"/>
        </w:numPr>
        <w:shd w:val="clear" w:color="auto" w:fill="auto"/>
        <w:spacing w:before="0" w:after="64" w:line="302" w:lineRule="exact"/>
        <w:ind w:left="1420" w:right="920" w:firstLine="0"/>
      </w:pPr>
      <w:r>
        <w:rPr>
          <w:rStyle w:val="Bodytext4"/>
        </w:rPr>
        <w:t xml:space="preserve"> In </w:t>
      </w:r>
      <w:r>
        <w:rPr>
          <w:rStyle w:val="BodytextItalic1"/>
        </w:rPr>
        <w:t>Halsbury's Laws of England</w:t>
      </w:r>
      <w:r>
        <w:rPr>
          <w:rStyle w:val="Bodytext4"/>
        </w:rPr>
        <w:t xml:space="preserve"> (4th Edn.), Vol. 1, Para 55, p. 61; Reissue, Vol. 1(1), Para 68, pp. 114-15, it has been stated:</w:t>
      </w:r>
    </w:p>
    <w:p w:rsidR="00884A28" w:rsidRDefault="00350526">
      <w:pPr>
        <w:pStyle w:val="Bodytext0"/>
        <w:shd w:val="clear" w:color="auto" w:fill="auto"/>
        <w:spacing w:before="0" w:after="236" w:line="298" w:lineRule="exact"/>
        <w:ind w:left="1700" w:right="1260" w:firstLine="0"/>
      </w:pPr>
      <w:r>
        <w:rPr>
          <w:rStyle w:val="Bodytext4"/>
        </w:rPr>
        <w:t xml:space="preserve">“Where the jurisdiction of a tribunal is dependent </w:t>
      </w:r>
      <w:r>
        <w:rPr>
          <w:rStyle w:val="Bodytext4"/>
        </w:rPr>
        <w:t>on the existence of a particular state of affairs, that state of affairs may be described as preliminary to, or collateral to the merits of, the issue. If, at the inception of an inquiry by an inferior tribunal, a challenge is made to its jurisdiction, the</w:t>
      </w:r>
      <w:r>
        <w:rPr>
          <w:rStyle w:val="Bodytext4"/>
        </w:rPr>
        <w:t xml:space="preserve"> tribunal has to make up its mind whether to act or not and can give a ruling on the preliminary or collateral issue; but that ruling is not conclusive.”</w:t>
      </w:r>
    </w:p>
    <w:p w:rsidR="00884A28" w:rsidRDefault="00350526">
      <w:pPr>
        <w:pStyle w:val="Bodytext0"/>
        <w:shd w:val="clear" w:color="auto" w:fill="auto"/>
        <w:spacing w:before="0" w:after="290" w:line="302" w:lineRule="exact"/>
        <w:ind w:left="1420" w:right="920" w:firstLine="0"/>
      </w:pPr>
      <w:r>
        <w:rPr>
          <w:rStyle w:val="Bodytext4"/>
        </w:rPr>
        <w:t>The existence of a jurisdictional fact is thus a sine qua non or condition precedent to the assumption</w:t>
      </w:r>
      <w:r>
        <w:rPr>
          <w:rStyle w:val="Bodytext4"/>
        </w:rPr>
        <w:t xml:space="preserve"> of jurisdiction by a court or tribunal.</w:t>
      </w:r>
    </w:p>
    <w:p w:rsidR="00884A28" w:rsidRDefault="00350526">
      <w:pPr>
        <w:pStyle w:val="Bodytext0"/>
        <w:shd w:val="clear" w:color="auto" w:fill="auto"/>
        <w:tabs>
          <w:tab w:val="left" w:pos="4676"/>
          <w:tab w:val="left" w:pos="6092"/>
        </w:tabs>
        <w:spacing w:before="0" w:after="261" w:line="240" w:lineRule="exact"/>
        <w:ind w:left="3260" w:firstLine="0"/>
      </w:pPr>
      <w:r>
        <w:rPr>
          <w:rStyle w:val="Bodytext4"/>
        </w:rPr>
        <w:t>xx</w:t>
      </w:r>
      <w:r>
        <w:rPr>
          <w:rStyle w:val="Bodytext4"/>
        </w:rPr>
        <w:tab/>
        <w:t>xx</w:t>
      </w:r>
      <w:r>
        <w:rPr>
          <w:rStyle w:val="Bodytext4"/>
        </w:rPr>
        <w:tab/>
        <w:t>xx</w:t>
      </w:r>
    </w:p>
    <w:p w:rsidR="00884A28" w:rsidRDefault="00350526">
      <w:pPr>
        <w:pStyle w:val="Bodytext0"/>
        <w:shd w:val="clear" w:color="auto" w:fill="auto"/>
        <w:spacing w:before="0" w:after="324" w:line="298" w:lineRule="exact"/>
        <w:ind w:left="1420" w:right="920" w:firstLine="0"/>
      </w:pPr>
      <w:r>
        <w:rPr>
          <w:rStyle w:val="Bodytext4"/>
        </w:rPr>
        <w:t xml:space="preserve">36. It is thus clear that for assumption of jurisdiction by a court or a tribunal, existence of jurisdictional fact is a condition precedent. But once such jurisdictional fact is found to exist, the court </w:t>
      </w:r>
      <w:r>
        <w:rPr>
          <w:rStyle w:val="Bodytext4"/>
        </w:rPr>
        <w:t>or tribunal has power to decide adjudicatory facts or facts in issue.”</w:t>
      </w:r>
    </w:p>
    <w:p w:rsidR="00884A28" w:rsidRDefault="00350526">
      <w:pPr>
        <w:pStyle w:val="Bodytext0"/>
        <w:numPr>
          <w:ilvl w:val="0"/>
          <w:numId w:val="20"/>
        </w:numPr>
        <w:shd w:val="clear" w:color="auto" w:fill="auto"/>
        <w:tabs>
          <w:tab w:val="left" w:pos="710"/>
        </w:tabs>
        <w:spacing w:before="0"/>
        <w:ind w:left="720" w:right="260" w:hanging="720"/>
      </w:pPr>
      <w:r>
        <w:rPr>
          <w:rStyle w:val="Bodytext4"/>
        </w:rPr>
        <w:t>Thus, even when we do not agree with the approach of the High Court in labeling the impugned order as quasi-judicial order and assuming jurisdiction to entertain the writ petitions on t</w:t>
      </w:r>
      <w:r>
        <w:rPr>
          <w:rStyle w:val="Bodytext4"/>
        </w:rPr>
        <w:t>hat basis,</w:t>
      </w:r>
    </w:p>
    <w:p w:rsidR="00884A28" w:rsidRDefault="00350526">
      <w:pPr>
        <w:pStyle w:val="Bodytext0"/>
        <w:shd w:val="clear" w:color="auto" w:fill="auto"/>
        <w:spacing w:before="0" w:after="623"/>
        <w:ind w:left="720" w:right="20" w:firstLine="0"/>
      </w:pPr>
      <w:r>
        <w:rPr>
          <w:rStyle w:val="Bodytext4"/>
        </w:rPr>
        <w:t>for our own and different reasons, we find that the High Court was competent to deal with and decide the issues raised in exercise of its power under Article 226 of the Constitution. The writ petitions were, therefore, maintainable.</w:t>
      </w:r>
    </w:p>
    <w:p w:rsidR="00884A28" w:rsidRDefault="00350526">
      <w:pPr>
        <w:pStyle w:val="Bodytext30"/>
        <w:numPr>
          <w:ilvl w:val="0"/>
          <w:numId w:val="72"/>
        </w:numPr>
        <w:shd w:val="clear" w:color="auto" w:fill="auto"/>
        <w:tabs>
          <w:tab w:val="left" w:pos="688"/>
          <w:tab w:val="left" w:pos="730"/>
        </w:tabs>
        <w:spacing w:after="4" w:line="240" w:lineRule="exact"/>
        <w:ind w:left="720" w:hanging="720"/>
      </w:pPr>
      <w:r>
        <w:rPr>
          <w:rStyle w:val="Bodytext32"/>
          <w:i/>
          <w:iCs/>
        </w:rPr>
        <w:t xml:space="preserve">Whether the </w:t>
      </w:r>
      <w:r>
        <w:rPr>
          <w:rStyle w:val="Bodytext32"/>
          <w:i/>
          <w:iCs/>
        </w:rPr>
        <w:t>High Court could give its findings on merits?</w:t>
      </w:r>
    </w:p>
    <w:p w:rsidR="00884A28" w:rsidRDefault="00350526">
      <w:pPr>
        <w:pStyle w:val="Bodytext0"/>
        <w:numPr>
          <w:ilvl w:val="0"/>
          <w:numId w:val="20"/>
        </w:numPr>
        <w:shd w:val="clear" w:color="auto" w:fill="auto"/>
        <w:tabs>
          <w:tab w:val="left" w:pos="688"/>
          <w:tab w:val="right" w:pos="8840"/>
          <w:tab w:val="right" w:pos="8837"/>
        </w:tabs>
        <w:spacing w:before="0"/>
        <w:ind w:left="720" w:hanging="720"/>
      </w:pPr>
      <w:r>
        <w:rPr>
          <w:rStyle w:val="Bodytext4"/>
        </w:rPr>
        <w:t>Once we hold that the order under Section 26(1)</w:t>
      </w:r>
      <w:r>
        <w:rPr>
          <w:rStyle w:val="Bodytext4"/>
        </w:rPr>
        <w:tab/>
        <w:t>of</w:t>
      </w:r>
      <w:r>
        <w:rPr>
          <w:rStyle w:val="Bodytext4"/>
        </w:rPr>
        <w:tab/>
        <w:t>the</w:t>
      </w:r>
    </w:p>
    <w:p w:rsidR="00884A28" w:rsidRDefault="00350526">
      <w:pPr>
        <w:pStyle w:val="Bodytext0"/>
        <w:shd w:val="clear" w:color="auto" w:fill="auto"/>
        <w:spacing w:before="0" w:after="300"/>
        <w:ind w:left="720" w:right="20" w:firstLine="0"/>
      </w:pPr>
      <w:r>
        <w:rPr>
          <w:rStyle w:val="Bodytext4"/>
        </w:rPr>
        <w:t xml:space="preserve">Competition Act is administrative in nature and further that it was merely a </w:t>
      </w:r>
      <w:r>
        <w:rPr>
          <w:rStyle w:val="BodytextItalic1"/>
        </w:rPr>
        <w:t>prima facie</w:t>
      </w:r>
      <w:r>
        <w:rPr>
          <w:rStyle w:val="Bodytext4"/>
        </w:rPr>
        <w:t xml:space="preserve"> opinion directing the Director General to carry the investigation,</w:t>
      </w:r>
      <w:r>
        <w:rPr>
          <w:rStyle w:val="Bodytext4"/>
        </w:rPr>
        <w:t xml:space="preserve"> the High Court would not be competent to adjudge the validity of such an order on merits. The observations of the High Court giving findings on merits, therefore, may not be appropriate.</w:t>
      </w:r>
    </w:p>
    <w:p w:rsidR="00884A28" w:rsidRDefault="00350526">
      <w:pPr>
        <w:pStyle w:val="Bodytext0"/>
        <w:numPr>
          <w:ilvl w:val="0"/>
          <w:numId w:val="20"/>
        </w:numPr>
        <w:shd w:val="clear" w:color="auto" w:fill="auto"/>
        <w:tabs>
          <w:tab w:val="right" w:pos="8840"/>
          <w:tab w:val="right" w:pos="8827"/>
        </w:tabs>
        <w:spacing w:before="0"/>
        <w:ind w:left="720" w:right="20" w:hanging="720"/>
      </w:pPr>
      <w:r>
        <w:rPr>
          <w:rStyle w:val="Bodytext4"/>
        </w:rPr>
        <w:t xml:space="preserve"> At the same time, since we are upholding the order of the High Court on the aspect that the CCI could exercise jurisdiction only after proceedings under the TRAI Act had concluded/attained finality, i.e. only after the TRAI returns its findings</w:t>
      </w:r>
      <w:r>
        <w:rPr>
          <w:rStyle w:val="Bodytext4"/>
        </w:rPr>
        <w:tab/>
        <w:t>on</w:t>
      </w:r>
      <w:r>
        <w:rPr>
          <w:rStyle w:val="Bodytext4"/>
        </w:rPr>
        <w:tab/>
        <w:t>the</w:t>
      </w:r>
    </w:p>
    <w:p w:rsidR="00884A28" w:rsidRDefault="00350526">
      <w:pPr>
        <w:pStyle w:val="Bodytext0"/>
        <w:shd w:val="clear" w:color="auto" w:fill="auto"/>
        <w:tabs>
          <w:tab w:val="right" w:pos="8291"/>
          <w:tab w:val="right" w:pos="8840"/>
        </w:tabs>
        <w:spacing w:before="0"/>
        <w:ind w:left="720" w:firstLine="0"/>
      </w:pPr>
      <w:r>
        <w:rPr>
          <w:rStyle w:val="Bodytext4"/>
        </w:rPr>
        <w:t>jur</w:t>
      </w:r>
      <w:r>
        <w:rPr>
          <w:rStyle w:val="Bodytext4"/>
        </w:rPr>
        <w:t>isdictional aspects which are mentioned above by</w:t>
      </w:r>
      <w:r>
        <w:rPr>
          <w:rStyle w:val="Bodytext4"/>
        </w:rPr>
        <w:tab/>
        <w:t>us,</w:t>
      </w:r>
      <w:r>
        <w:rPr>
          <w:rStyle w:val="Bodytext4"/>
        </w:rPr>
        <w:tab/>
        <w:t>the</w:t>
      </w:r>
    </w:p>
    <w:p w:rsidR="00884A28" w:rsidRDefault="00350526">
      <w:pPr>
        <w:pStyle w:val="Bodytext0"/>
        <w:shd w:val="clear" w:color="auto" w:fill="auto"/>
        <w:spacing w:before="0" w:after="1223"/>
        <w:ind w:left="720" w:right="20" w:firstLine="0"/>
      </w:pPr>
      <w:r>
        <w:rPr>
          <w:rStyle w:val="Bodytext4"/>
        </w:rPr>
        <w:t>ultimate direction given by the High Court quashing the order passed by the CCI is not liable to be interfered with as such an exercise carried out by the CCI was premature. The result of the discuss</w:t>
      </w:r>
      <w:r>
        <w:rPr>
          <w:rStyle w:val="Bodytext4"/>
        </w:rPr>
        <w:t>ion would be to dismiss these appeals, subject to our observations on certain aspects. Ordered accordingly.</w:t>
      </w:r>
    </w:p>
    <w:p w:rsidR="00884A28" w:rsidRDefault="00350526">
      <w:pPr>
        <w:pStyle w:val="Bodytext20"/>
        <w:shd w:val="clear" w:color="auto" w:fill="auto"/>
        <w:tabs>
          <w:tab w:val="right" w:leader="dot" w:pos="8832"/>
        </w:tabs>
        <w:spacing w:after="22" w:line="240" w:lineRule="exact"/>
        <w:ind w:left="7320"/>
        <w:jc w:val="both"/>
      </w:pPr>
      <w:r>
        <w:rPr>
          <w:rStyle w:val="Bodytext22"/>
          <w:b/>
          <w:bCs/>
        </w:rPr>
        <w:tab/>
        <w:t>J.</w:t>
      </w:r>
    </w:p>
    <w:p w:rsidR="00884A28" w:rsidRDefault="00350526">
      <w:pPr>
        <w:pStyle w:val="Bodytext20"/>
        <w:shd w:val="clear" w:color="auto" w:fill="auto"/>
        <w:spacing w:after="916" w:line="240" w:lineRule="exact"/>
        <w:ind w:left="7320"/>
        <w:jc w:val="both"/>
      </w:pPr>
      <w:r>
        <w:rPr>
          <w:rStyle w:val="Bodytext22"/>
          <w:b/>
          <w:bCs/>
        </w:rPr>
        <w:t>(A.K. SIKRI)</w:t>
      </w:r>
    </w:p>
    <w:p w:rsidR="00884A28" w:rsidRDefault="00350526">
      <w:pPr>
        <w:pStyle w:val="Bodytext20"/>
        <w:shd w:val="clear" w:color="auto" w:fill="auto"/>
        <w:tabs>
          <w:tab w:val="right" w:leader="dot" w:pos="8832"/>
        </w:tabs>
        <w:spacing w:after="0" w:line="317" w:lineRule="exact"/>
        <w:ind w:left="5140"/>
        <w:jc w:val="both"/>
      </w:pPr>
      <w:r>
        <w:rPr>
          <w:rStyle w:val="Bodytext22"/>
          <w:b/>
          <w:bCs/>
        </w:rPr>
        <w:tab/>
        <w:t>J.</w:t>
      </w:r>
    </w:p>
    <w:p w:rsidR="00884A28" w:rsidRDefault="00350526">
      <w:pPr>
        <w:pStyle w:val="Bodytext20"/>
        <w:shd w:val="clear" w:color="auto" w:fill="auto"/>
        <w:spacing w:after="0" w:line="317" w:lineRule="exact"/>
        <w:ind w:right="20"/>
        <w:jc w:val="right"/>
      </w:pPr>
      <w:r>
        <w:rPr>
          <w:rStyle w:val="Bodytext22"/>
          <w:b/>
          <w:bCs/>
        </w:rPr>
        <w:t>(ASHOK BHUSHAN)</w:t>
      </w:r>
    </w:p>
    <w:p w:rsidR="00884A28" w:rsidRDefault="00350526">
      <w:pPr>
        <w:pStyle w:val="Bodytext20"/>
        <w:shd w:val="clear" w:color="auto" w:fill="auto"/>
        <w:spacing w:after="0" w:line="317" w:lineRule="exact"/>
        <w:jc w:val="left"/>
      </w:pPr>
      <w:r>
        <w:rPr>
          <w:rStyle w:val="Bodytext22"/>
          <w:b/>
          <w:bCs/>
        </w:rPr>
        <w:t>NEW DELHI;</w:t>
      </w:r>
    </w:p>
    <w:p w:rsidR="00884A28" w:rsidRDefault="00350526">
      <w:pPr>
        <w:pStyle w:val="Bodytext20"/>
        <w:shd w:val="clear" w:color="auto" w:fill="auto"/>
        <w:spacing w:after="0" w:line="317" w:lineRule="exact"/>
        <w:jc w:val="left"/>
      </w:pPr>
      <w:r>
        <w:rPr>
          <w:rStyle w:val="Bodytext22"/>
          <w:b/>
          <w:bCs/>
        </w:rPr>
        <w:t>DECEMBER 05, 2018</w:t>
      </w:r>
    </w:p>
    <w:sectPr w:rsidR="00884A28" w:rsidSect="00884A28">
      <w:type w:val="continuous"/>
      <w:pgSz w:w="12240" w:h="15840"/>
      <w:pgMar w:top="600" w:right="1197" w:bottom="1157" w:left="195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526" w:rsidRDefault="00350526" w:rsidP="00884A28">
      <w:r>
        <w:separator/>
      </w:r>
    </w:p>
  </w:endnote>
  <w:endnote w:type="continuationSeparator" w:id="1">
    <w:p w:rsidR="00350526" w:rsidRDefault="00350526" w:rsidP="00884A2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64" type="#_x0000_t202" style="position:absolute;margin-left:102.95pt;margin-top:768.2pt;width:442.3pt;height:9.35pt;z-index:-188744064;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tabs>
                    <w:tab w:val="right" w:pos="7939"/>
                    <w:tab w:val="right" w:pos="8218"/>
                    <w:tab w:val="right" w:pos="8486"/>
                    <w:tab w:val="right" w:pos="8846"/>
                  </w:tabs>
                  <w:spacing w:line="240" w:lineRule="auto"/>
                </w:pPr>
                <w:r>
                  <w:rPr>
                    <w:rStyle w:val="Headerorfooter1"/>
                    <w:b/>
                    <w:bCs/>
                    <w:i/>
                    <w:iCs/>
                  </w:rPr>
                  <w:t>Civil Appeals arising out of SLP (C) No. 35574 of 2017 &amp; Ors</w:t>
                </w:r>
                <w:r>
                  <w:rPr>
                    <w:rStyle w:val="Headerorfooter2"/>
                    <w:b/>
                    <w:bCs/>
                    <w:i/>
                    <w:iCs/>
                  </w:rPr>
                  <w:t>.</w:t>
                </w:r>
                <w:r>
                  <w:rPr>
                    <w:rStyle w:val="Headerorfooter2"/>
                    <w:b/>
                    <w:bCs/>
                    <w:i/>
                    <w:iCs/>
                  </w:rPr>
                  <w:tab/>
                  <w:t>Page</w:t>
                </w:r>
                <w:r>
                  <w:rPr>
                    <w:rStyle w:val="Headerorfooter2"/>
                    <w:b/>
                    <w:bCs/>
                    <w:i/>
                    <w:iCs/>
                  </w:rPr>
                  <w:tab/>
                </w:r>
                <w:fldSimple w:instr=" PAGE \* MERGEFORMAT ">
                  <w:r w:rsidR="009D110C" w:rsidRPr="009D110C">
                    <w:rPr>
                      <w:rStyle w:val="Headerorfooter2"/>
                      <w:b/>
                      <w:bCs/>
                      <w:i/>
                      <w:iCs/>
                      <w:noProof/>
                    </w:rPr>
                    <w:t>32</w:t>
                  </w:r>
                </w:fldSimple>
                <w:r>
                  <w:rPr>
                    <w:rStyle w:val="Headerorfooter2"/>
                    <w:b/>
                    <w:bCs/>
                    <w:i/>
                    <w:iCs/>
                  </w:rPr>
                  <w:tab/>
                  <w:t>of</w:t>
                </w:r>
                <w:r>
                  <w:rPr>
                    <w:rStyle w:val="Headerorfooter2"/>
                    <w:b/>
                    <w:bCs/>
                    <w:i/>
                    <w:iCs/>
                  </w:rPr>
                  <w:tab/>
                  <w:t>122</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52" type="#_x0000_t202" style="position:absolute;margin-left:102.95pt;margin-top:768.2pt;width:442.3pt;height:9.35pt;z-index:-188744052;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tabs>
                    <w:tab w:val="right" w:pos="7939"/>
                    <w:tab w:val="right" w:pos="8218"/>
                    <w:tab w:val="right" w:pos="8486"/>
                    <w:tab w:val="right" w:pos="8846"/>
                  </w:tabs>
                  <w:spacing w:line="240" w:lineRule="auto"/>
                </w:pPr>
                <w:r>
                  <w:rPr>
                    <w:rStyle w:val="Headerorfooter1"/>
                    <w:b/>
                    <w:bCs/>
                    <w:i/>
                    <w:iCs/>
                  </w:rPr>
                  <w:t>Civil Appeals arising out of SLP (C) No. 35574 of 2017 &amp; Ors</w:t>
                </w:r>
                <w:r>
                  <w:rPr>
                    <w:rStyle w:val="Headerorfooter2"/>
                    <w:b/>
                    <w:bCs/>
                    <w:i/>
                    <w:iCs/>
                  </w:rPr>
                  <w:t>.</w:t>
                </w:r>
                <w:r>
                  <w:rPr>
                    <w:rStyle w:val="Headerorfooter2"/>
                    <w:b/>
                    <w:bCs/>
                    <w:i/>
                    <w:iCs/>
                  </w:rPr>
                  <w:tab/>
                  <w:t>Page</w:t>
                </w:r>
                <w:r>
                  <w:rPr>
                    <w:rStyle w:val="Headerorfooter2"/>
                    <w:b/>
                    <w:bCs/>
                    <w:i/>
                    <w:iCs/>
                  </w:rPr>
                  <w:tab/>
                </w:r>
                <w:fldSimple w:instr=" PAGE \* MERGEFORMAT ">
                  <w:r w:rsidR="009D110C" w:rsidRPr="009D110C">
                    <w:rPr>
                      <w:rStyle w:val="Headerorfooter2"/>
                      <w:b/>
                      <w:bCs/>
                      <w:i/>
                      <w:iCs/>
                      <w:noProof/>
                    </w:rPr>
                    <w:t>104</w:t>
                  </w:r>
                </w:fldSimple>
                <w:r>
                  <w:rPr>
                    <w:rStyle w:val="Headerorfooter2"/>
                    <w:b/>
                    <w:bCs/>
                    <w:i/>
                    <w:iCs/>
                  </w:rPr>
                  <w:tab/>
                  <w:t>of</w:t>
                </w:r>
                <w:r>
                  <w:rPr>
                    <w:rStyle w:val="Headerorfooter2"/>
                    <w:b/>
                    <w:bCs/>
                    <w:i/>
                    <w:iCs/>
                  </w:rPr>
                  <w:tab/>
                  <w:t>122</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51" type="#_x0000_t202" style="position:absolute;margin-left:102.95pt;margin-top:768.2pt;width:442.3pt;height:9.35pt;z-index:-188744051;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tabs>
                    <w:tab w:val="right" w:pos="7939"/>
                    <w:tab w:val="right" w:pos="8218"/>
                    <w:tab w:val="right" w:pos="8486"/>
                    <w:tab w:val="right" w:pos="8846"/>
                  </w:tabs>
                  <w:spacing w:line="240" w:lineRule="auto"/>
                </w:pPr>
                <w:r>
                  <w:rPr>
                    <w:rStyle w:val="Headerorfooter1"/>
                    <w:b/>
                    <w:bCs/>
                    <w:i/>
                    <w:iCs/>
                  </w:rPr>
                  <w:t>Civil Appeals arising out of SLP (C) No. 35574 of 2017 &amp; Ors</w:t>
                </w:r>
                <w:r>
                  <w:rPr>
                    <w:rStyle w:val="Headerorfooter2"/>
                    <w:b/>
                    <w:bCs/>
                    <w:i/>
                    <w:iCs/>
                  </w:rPr>
                  <w:t>.</w:t>
                </w:r>
                <w:r>
                  <w:rPr>
                    <w:rStyle w:val="Headerorfooter2"/>
                    <w:b/>
                    <w:bCs/>
                    <w:i/>
                    <w:iCs/>
                  </w:rPr>
                  <w:tab/>
                  <w:t>Page</w:t>
                </w:r>
                <w:r>
                  <w:rPr>
                    <w:rStyle w:val="Headerorfooter2"/>
                    <w:b/>
                    <w:bCs/>
                    <w:i/>
                    <w:iCs/>
                  </w:rPr>
                  <w:tab/>
                </w:r>
                <w:fldSimple w:instr=" PAGE \* MERGEFORMAT ">
                  <w:r w:rsidR="009D110C" w:rsidRPr="009D110C">
                    <w:rPr>
                      <w:rStyle w:val="Headerorfooter2"/>
                      <w:b/>
                      <w:bCs/>
                      <w:i/>
                      <w:iCs/>
                      <w:noProof/>
                    </w:rPr>
                    <w:t>105</w:t>
                  </w:r>
                </w:fldSimple>
                <w:r>
                  <w:rPr>
                    <w:rStyle w:val="Headerorfooter2"/>
                    <w:b/>
                    <w:bCs/>
                    <w:i/>
                    <w:iCs/>
                  </w:rPr>
                  <w:tab/>
                  <w:t>of</w:t>
                </w:r>
                <w:r>
                  <w:rPr>
                    <w:rStyle w:val="Headerorfooter2"/>
                    <w:b/>
                    <w:bCs/>
                    <w:i/>
                    <w:iCs/>
                  </w:rPr>
                  <w:tab/>
                  <w:t>122</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49" type="#_x0000_t202" style="position:absolute;margin-left:84.7pt;margin-top:750.95pt;width:442.3pt;height:9.35pt;z-index:-188744049;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tabs>
                    <w:tab w:val="right" w:pos="8846"/>
                  </w:tabs>
                  <w:spacing w:line="240" w:lineRule="auto"/>
                </w:pPr>
                <w:r>
                  <w:rPr>
                    <w:rStyle w:val="Headerorfooter1"/>
                    <w:b/>
                    <w:bCs/>
                    <w:i/>
                    <w:iCs/>
                  </w:rPr>
                  <w:t>Civil Appeals arising out of SLP (C) No. 35574 of 2017 &amp; Ors</w:t>
                </w:r>
                <w:r>
                  <w:rPr>
                    <w:rStyle w:val="Headerorfooter2"/>
                    <w:b/>
                    <w:bCs/>
                    <w:i/>
                    <w:iCs/>
                  </w:rPr>
                  <w:t>.</w:t>
                </w:r>
                <w:r>
                  <w:rPr>
                    <w:rStyle w:val="Headerorfooter2"/>
                    <w:b/>
                    <w:bCs/>
                    <w:i/>
                    <w:iCs/>
                  </w:rPr>
                  <w:tab/>
                  <w:t xml:space="preserve">Page </w:t>
                </w:r>
                <w:fldSimple w:instr=" PAGE \* MERGEFORMAT ">
                  <w:r>
                    <w:rPr>
                      <w:rStyle w:val="Headerorfooter2"/>
                      <w:b/>
                      <w:bCs/>
                      <w:i/>
                      <w:iCs/>
                    </w:rPr>
                    <w:t>#</w:t>
                  </w:r>
                </w:fldSimple>
                <w:r>
                  <w:rPr>
                    <w:rStyle w:val="Headerorfooter2"/>
                    <w:b/>
                    <w:bCs/>
                    <w:i/>
                    <w:iCs/>
                  </w:rPr>
                  <w:t xml:space="preserve"> of 122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63" type="#_x0000_t202" style="position:absolute;margin-left:102.95pt;margin-top:768.2pt;width:442.3pt;height:9.35pt;z-index:-188744063;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tabs>
                    <w:tab w:val="right" w:pos="7939"/>
                    <w:tab w:val="right" w:pos="8218"/>
                    <w:tab w:val="right" w:pos="8486"/>
                    <w:tab w:val="right" w:pos="8846"/>
                  </w:tabs>
                  <w:spacing w:line="240" w:lineRule="auto"/>
                </w:pPr>
                <w:r>
                  <w:rPr>
                    <w:rStyle w:val="Headerorfooter1"/>
                    <w:b/>
                    <w:bCs/>
                    <w:i/>
                    <w:iCs/>
                  </w:rPr>
                  <w:t>Civil Appeals arising out of SLP (C) No. 35574 of 2017 &amp; Ors</w:t>
                </w:r>
                <w:r>
                  <w:rPr>
                    <w:rStyle w:val="Headerorfooter2"/>
                    <w:b/>
                    <w:bCs/>
                    <w:i/>
                    <w:iCs/>
                  </w:rPr>
                  <w:t>.</w:t>
                </w:r>
                <w:r>
                  <w:rPr>
                    <w:rStyle w:val="Headerorfooter2"/>
                    <w:b/>
                    <w:bCs/>
                    <w:i/>
                    <w:iCs/>
                  </w:rPr>
                  <w:tab/>
                  <w:t>Page</w:t>
                </w:r>
                <w:r>
                  <w:rPr>
                    <w:rStyle w:val="Headerorfooter2"/>
                    <w:b/>
                    <w:bCs/>
                    <w:i/>
                    <w:iCs/>
                  </w:rPr>
                  <w:tab/>
                </w:r>
                <w:fldSimple w:instr=" PAGE \* MERGEFORMAT ">
                  <w:r w:rsidR="009D110C" w:rsidRPr="009D110C">
                    <w:rPr>
                      <w:rStyle w:val="Headerorfooter2"/>
                      <w:b/>
                      <w:bCs/>
                      <w:i/>
                      <w:iCs/>
                      <w:noProof/>
                    </w:rPr>
                    <w:t>31</w:t>
                  </w:r>
                </w:fldSimple>
                <w:r>
                  <w:rPr>
                    <w:rStyle w:val="Headerorfooter2"/>
                    <w:b/>
                    <w:bCs/>
                    <w:i/>
                    <w:iCs/>
                  </w:rPr>
                  <w:tab/>
                  <w:t>of</w:t>
                </w:r>
                <w:r>
                  <w:rPr>
                    <w:rStyle w:val="Headerorfooter2"/>
                    <w:b/>
                    <w:bCs/>
                    <w:i/>
                    <w:iCs/>
                  </w:rPr>
                  <w:tab/>
                  <w:t>122</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61" type="#_x0000_t202" style="position:absolute;margin-left:108.35pt;margin-top:751.9pt;width:442.3pt;height:9.35pt;z-index:-188744061;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tabs>
                    <w:tab w:val="right" w:pos="8846"/>
                  </w:tabs>
                  <w:spacing w:line="240" w:lineRule="auto"/>
                </w:pPr>
                <w:r>
                  <w:rPr>
                    <w:rStyle w:val="Headerorfooter1"/>
                    <w:b/>
                    <w:bCs/>
                    <w:i/>
                    <w:iCs/>
                  </w:rPr>
                  <w:t>Civil Appeals arising out of SLP (C) No. 35574 of 2017 &amp; Ors</w:t>
                </w:r>
                <w:r>
                  <w:rPr>
                    <w:rStyle w:val="Headerorfooter2"/>
                    <w:b/>
                    <w:bCs/>
                    <w:i/>
                    <w:iCs/>
                  </w:rPr>
                  <w:t>.</w:t>
                </w:r>
                <w:r>
                  <w:rPr>
                    <w:rStyle w:val="Headerorfooter2"/>
                    <w:b/>
                    <w:bCs/>
                    <w:i/>
                    <w:iCs/>
                  </w:rPr>
                  <w:tab/>
                  <w:t xml:space="preserve">Page </w:t>
                </w:r>
                <w:fldSimple w:instr=" PAGE \* MERGEFORMAT ">
                  <w:r w:rsidRPr="00350526">
                    <w:rPr>
                      <w:rStyle w:val="Headerorfooter2"/>
                      <w:b/>
                      <w:bCs/>
                      <w:i/>
                      <w:iCs/>
                      <w:noProof/>
                    </w:rPr>
                    <w:t>1</w:t>
                  </w:r>
                </w:fldSimple>
                <w:r>
                  <w:rPr>
                    <w:rStyle w:val="Headerorfooter2"/>
                    <w:b/>
                    <w:bCs/>
                    <w:i/>
                    <w:iCs/>
                  </w:rPr>
                  <w:t xml:space="preserve"> of 122</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60" type="#_x0000_t202" style="position:absolute;margin-left:102.95pt;margin-top:768.2pt;width:442.3pt;height:9.35pt;z-index:-188744060;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tabs>
                    <w:tab w:val="right" w:pos="7939"/>
                    <w:tab w:val="right" w:pos="8218"/>
                    <w:tab w:val="right" w:pos="8486"/>
                    <w:tab w:val="right" w:pos="8846"/>
                  </w:tabs>
                  <w:spacing w:line="240" w:lineRule="auto"/>
                </w:pPr>
                <w:r>
                  <w:rPr>
                    <w:rStyle w:val="Headerorfooter1"/>
                    <w:b/>
                    <w:bCs/>
                    <w:i/>
                    <w:iCs/>
                  </w:rPr>
                  <w:t>Civil Appeals arising out of SLP (C) No. 35574 of 2017 &amp; Ors</w:t>
                </w:r>
                <w:r>
                  <w:rPr>
                    <w:rStyle w:val="Headerorfooter2"/>
                    <w:b/>
                    <w:bCs/>
                    <w:i/>
                    <w:iCs/>
                  </w:rPr>
                  <w:t>.</w:t>
                </w:r>
                <w:r>
                  <w:rPr>
                    <w:rStyle w:val="Headerorfooter2"/>
                    <w:b/>
                    <w:bCs/>
                    <w:i/>
                    <w:iCs/>
                  </w:rPr>
                  <w:tab/>
                  <w:t>Page</w:t>
                </w:r>
                <w:r>
                  <w:rPr>
                    <w:rStyle w:val="Headerorfooter2"/>
                    <w:b/>
                    <w:bCs/>
                    <w:i/>
                    <w:iCs/>
                  </w:rPr>
                  <w:tab/>
                </w:r>
                <w:fldSimple w:instr=" PAGE \* MERGEFORMAT ">
                  <w:r w:rsidR="009D110C" w:rsidRPr="009D110C">
                    <w:rPr>
                      <w:rStyle w:val="Headerorfooter2"/>
                      <w:b/>
                      <w:bCs/>
                      <w:i/>
                      <w:iCs/>
                      <w:noProof/>
                    </w:rPr>
                    <w:t>34</w:t>
                  </w:r>
                </w:fldSimple>
                <w:r>
                  <w:rPr>
                    <w:rStyle w:val="Headerorfooter2"/>
                    <w:b/>
                    <w:bCs/>
                    <w:i/>
                    <w:iCs/>
                  </w:rPr>
                  <w:tab/>
                  <w:t>of</w:t>
                </w:r>
                <w:r>
                  <w:rPr>
                    <w:rStyle w:val="Headerorfooter2"/>
                    <w:b/>
                    <w:bCs/>
                    <w:i/>
                    <w:iCs/>
                  </w:rPr>
                  <w:tab/>
                  <w:t>122</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59" type="#_x0000_t202" style="position:absolute;margin-left:102.95pt;margin-top:768.2pt;width:442.3pt;height:9.35pt;z-index:-188744059;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tabs>
                    <w:tab w:val="right" w:pos="7939"/>
                    <w:tab w:val="right" w:pos="8218"/>
                    <w:tab w:val="right" w:pos="8486"/>
                    <w:tab w:val="right" w:pos="8846"/>
                  </w:tabs>
                  <w:spacing w:line="240" w:lineRule="auto"/>
                </w:pPr>
                <w:r>
                  <w:rPr>
                    <w:rStyle w:val="Headerorfooter1"/>
                    <w:b/>
                    <w:bCs/>
                    <w:i/>
                    <w:iCs/>
                  </w:rPr>
                  <w:t xml:space="preserve">Civil Appeals arising out of SLP (C) No. 35574 of 2017 </w:t>
                </w:r>
                <w:r>
                  <w:rPr>
                    <w:rStyle w:val="Headerorfooter1"/>
                    <w:b/>
                    <w:bCs/>
                    <w:i/>
                    <w:iCs/>
                  </w:rPr>
                  <w:t>&amp; Ors</w:t>
                </w:r>
                <w:r>
                  <w:rPr>
                    <w:rStyle w:val="Headerorfooter2"/>
                    <w:b/>
                    <w:bCs/>
                    <w:i/>
                    <w:iCs/>
                  </w:rPr>
                  <w:t>.</w:t>
                </w:r>
                <w:r>
                  <w:rPr>
                    <w:rStyle w:val="Headerorfooter2"/>
                    <w:b/>
                    <w:bCs/>
                    <w:i/>
                    <w:iCs/>
                  </w:rPr>
                  <w:tab/>
                  <w:t>Page</w:t>
                </w:r>
                <w:r>
                  <w:rPr>
                    <w:rStyle w:val="Headerorfooter2"/>
                    <w:b/>
                    <w:bCs/>
                    <w:i/>
                    <w:iCs/>
                  </w:rPr>
                  <w:tab/>
                </w:r>
                <w:fldSimple w:instr=" PAGE \* MERGEFORMAT ">
                  <w:r w:rsidR="009D110C" w:rsidRPr="009D110C">
                    <w:rPr>
                      <w:rStyle w:val="Headerorfooter2"/>
                      <w:b/>
                      <w:bCs/>
                      <w:i/>
                      <w:iCs/>
                      <w:noProof/>
                    </w:rPr>
                    <w:t>35</w:t>
                  </w:r>
                </w:fldSimple>
                <w:r>
                  <w:rPr>
                    <w:rStyle w:val="Headerorfooter2"/>
                    <w:b/>
                    <w:bCs/>
                    <w:i/>
                    <w:iCs/>
                  </w:rPr>
                  <w:tab/>
                  <w:t>of</w:t>
                </w:r>
                <w:r>
                  <w:rPr>
                    <w:rStyle w:val="Headerorfooter2"/>
                    <w:b/>
                    <w:bCs/>
                    <w:i/>
                    <w:iCs/>
                  </w:rPr>
                  <w:tab/>
                  <w:t>122</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57" type="#_x0000_t202" style="position:absolute;margin-left:84.85pt;margin-top:752.05pt;width:442.3pt;height:9.35pt;z-index:-188744057;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tabs>
                    <w:tab w:val="right" w:pos="8846"/>
                  </w:tabs>
                  <w:spacing w:line="240" w:lineRule="auto"/>
                </w:pPr>
                <w:r>
                  <w:rPr>
                    <w:rStyle w:val="Headerorfooter1"/>
                    <w:b/>
                    <w:bCs/>
                    <w:i/>
                    <w:iCs/>
                  </w:rPr>
                  <w:t>Civil Appeals arising out of SLP (C) No. 35574 of 2017 &amp; Ors</w:t>
                </w:r>
                <w:r>
                  <w:rPr>
                    <w:rStyle w:val="Headerorfooter2"/>
                    <w:b/>
                    <w:bCs/>
                    <w:i/>
                    <w:iCs/>
                  </w:rPr>
                  <w:t>.</w:t>
                </w:r>
                <w:r>
                  <w:rPr>
                    <w:rStyle w:val="Headerorfooter2"/>
                    <w:b/>
                    <w:bCs/>
                    <w:i/>
                    <w:iCs/>
                  </w:rPr>
                  <w:tab/>
                  <w:t xml:space="preserve">Page </w:t>
                </w:r>
                <w:fldSimple w:instr=" PAGE \* MERGEFORMAT ">
                  <w:r>
                    <w:rPr>
                      <w:rStyle w:val="Headerorfooter2"/>
                      <w:b/>
                      <w:bCs/>
                      <w:i/>
                      <w:iCs/>
                    </w:rPr>
                    <w:t>#</w:t>
                  </w:r>
                </w:fldSimple>
                <w:r>
                  <w:rPr>
                    <w:rStyle w:val="Headerorfooter2"/>
                    <w:b/>
                    <w:bCs/>
                    <w:i/>
                    <w:iCs/>
                  </w:rPr>
                  <w:t xml:space="preserve"> of 122</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56" type="#_x0000_t202" style="position:absolute;margin-left:102.95pt;margin-top:768.2pt;width:442.3pt;height:9.35pt;z-index:-188744056;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tabs>
                    <w:tab w:val="right" w:pos="7939"/>
                    <w:tab w:val="right" w:pos="8218"/>
                    <w:tab w:val="right" w:pos="8486"/>
                    <w:tab w:val="right" w:pos="8846"/>
                  </w:tabs>
                  <w:spacing w:line="240" w:lineRule="auto"/>
                </w:pPr>
                <w:r>
                  <w:rPr>
                    <w:rStyle w:val="Headerorfooter1"/>
                    <w:b/>
                    <w:bCs/>
                    <w:i/>
                    <w:iCs/>
                  </w:rPr>
                  <w:t xml:space="preserve">Civil Appeals arising out of SLP (C) No. 35574 </w:t>
                </w:r>
                <w:r>
                  <w:rPr>
                    <w:rStyle w:val="Headerorfooter1"/>
                    <w:b/>
                    <w:bCs/>
                    <w:i/>
                    <w:iCs/>
                  </w:rPr>
                  <w:t>of 2017 &amp; Ors</w:t>
                </w:r>
                <w:r>
                  <w:rPr>
                    <w:rStyle w:val="Headerorfooter2"/>
                    <w:b/>
                    <w:bCs/>
                    <w:i/>
                    <w:iCs/>
                  </w:rPr>
                  <w:t>.</w:t>
                </w:r>
                <w:r>
                  <w:rPr>
                    <w:rStyle w:val="Headerorfooter2"/>
                    <w:b/>
                    <w:bCs/>
                    <w:i/>
                    <w:iCs/>
                  </w:rPr>
                  <w:tab/>
                  <w:t>Page</w:t>
                </w:r>
                <w:r>
                  <w:rPr>
                    <w:rStyle w:val="Headerorfooter2"/>
                    <w:b/>
                    <w:bCs/>
                    <w:i/>
                    <w:iCs/>
                  </w:rPr>
                  <w:tab/>
                </w:r>
                <w:fldSimple w:instr=" PAGE \* MERGEFORMAT ">
                  <w:r w:rsidR="009D110C" w:rsidRPr="009D110C">
                    <w:rPr>
                      <w:rStyle w:val="Headerorfooter2"/>
                      <w:b/>
                      <w:bCs/>
                      <w:i/>
                      <w:iCs/>
                      <w:noProof/>
                    </w:rPr>
                    <w:t>38</w:t>
                  </w:r>
                </w:fldSimple>
                <w:r>
                  <w:rPr>
                    <w:rStyle w:val="Headerorfooter2"/>
                    <w:b/>
                    <w:bCs/>
                    <w:i/>
                    <w:iCs/>
                  </w:rPr>
                  <w:tab/>
                  <w:t>of</w:t>
                </w:r>
                <w:r>
                  <w:rPr>
                    <w:rStyle w:val="Headerorfooter2"/>
                    <w:b/>
                    <w:bCs/>
                    <w:i/>
                    <w:iCs/>
                  </w:rPr>
                  <w:tab/>
                  <w:t>122</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55" type="#_x0000_t202" style="position:absolute;margin-left:102.95pt;margin-top:768.2pt;width:442.3pt;height:9.35pt;z-index:-188744055;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tabs>
                    <w:tab w:val="right" w:pos="7939"/>
                    <w:tab w:val="right" w:pos="8218"/>
                    <w:tab w:val="right" w:pos="8486"/>
                    <w:tab w:val="right" w:pos="8846"/>
                  </w:tabs>
                  <w:spacing w:line="240" w:lineRule="auto"/>
                </w:pPr>
                <w:r>
                  <w:rPr>
                    <w:rStyle w:val="Headerorfooter1"/>
                    <w:b/>
                    <w:bCs/>
                    <w:i/>
                    <w:iCs/>
                  </w:rPr>
                  <w:t>Civil Appeals arising out of SLP (C) No. 35574 of 2017 &amp; Ors</w:t>
                </w:r>
                <w:r>
                  <w:rPr>
                    <w:rStyle w:val="Headerorfooter2"/>
                    <w:b/>
                    <w:bCs/>
                    <w:i/>
                    <w:iCs/>
                  </w:rPr>
                  <w:t>.</w:t>
                </w:r>
                <w:r>
                  <w:rPr>
                    <w:rStyle w:val="Headerorfooter2"/>
                    <w:b/>
                    <w:bCs/>
                    <w:i/>
                    <w:iCs/>
                  </w:rPr>
                  <w:tab/>
                  <w:t>Page</w:t>
                </w:r>
                <w:r>
                  <w:rPr>
                    <w:rStyle w:val="Headerorfooter2"/>
                    <w:b/>
                    <w:bCs/>
                    <w:i/>
                    <w:iCs/>
                  </w:rPr>
                  <w:tab/>
                </w:r>
                <w:fldSimple w:instr=" PAGE \* MERGEFORMAT ">
                  <w:r w:rsidR="009D110C" w:rsidRPr="009D110C">
                    <w:rPr>
                      <w:rStyle w:val="Headerorfooter2"/>
                      <w:b/>
                      <w:bCs/>
                      <w:i/>
                      <w:iCs/>
                      <w:noProof/>
                    </w:rPr>
                    <w:t>37</w:t>
                  </w:r>
                </w:fldSimple>
                <w:r>
                  <w:rPr>
                    <w:rStyle w:val="Headerorfooter2"/>
                    <w:b/>
                    <w:bCs/>
                    <w:i/>
                    <w:iCs/>
                  </w:rPr>
                  <w:tab/>
                  <w:t>of</w:t>
                </w:r>
                <w:r>
                  <w:rPr>
                    <w:rStyle w:val="Headerorfooter2"/>
                    <w:b/>
                    <w:bCs/>
                    <w:i/>
                    <w:iCs/>
                  </w:rPr>
                  <w:tab/>
                  <w:t>122</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53" type="#_x0000_t202" style="position:absolute;margin-left:103.1pt;margin-top:752.5pt;width:442.3pt;height:9.35pt;z-index:-188744053;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tabs>
                    <w:tab w:val="right" w:pos="8630"/>
                  </w:tabs>
                  <w:spacing w:line="240" w:lineRule="auto"/>
                </w:pPr>
                <w:r>
                  <w:rPr>
                    <w:rStyle w:val="Headerorfooter1"/>
                    <w:b/>
                    <w:bCs/>
                    <w:i/>
                    <w:iCs/>
                  </w:rPr>
                  <w:t xml:space="preserve">Civil Appeals arising out of SLP </w:t>
                </w:r>
                <w:r>
                  <w:rPr>
                    <w:rStyle w:val="Headerorfooter1"/>
                    <w:b/>
                    <w:bCs/>
                    <w:i/>
                    <w:iCs/>
                  </w:rPr>
                  <w:t>(C) No. 35574 of 2017 &amp; Ors</w:t>
                </w:r>
                <w:r>
                  <w:rPr>
                    <w:rStyle w:val="Headerorfooter2"/>
                    <w:b/>
                    <w:bCs/>
                    <w:i/>
                    <w:iCs/>
                  </w:rPr>
                  <w:t>.</w:t>
                </w:r>
                <w:r>
                  <w:rPr>
                    <w:rStyle w:val="Headerorfooter2"/>
                    <w:b/>
                    <w:bCs/>
                    <w:i/>
                    <w:iCs/>
                  </w:rPr>
                  <w:tab/>
                  <w:t xml:space="preserve">Page </w:t>
                </w:r>
                <w:fldSimple w:instr=" PAGE \* MERGEFORMAT ">
                  <w:r w:rsidR="009D110C" w:rsidRPr="009D110C">
                    <w:rPr>
                      <w:rStyle w:val="Headerorfooter2"/>
                      <w:b/>
                      <w:bCs/>
                      <w:i/>
                      <w:iCs/>
                      <w:noProof/>
                    </w:rPr>
                    <w:t>36</w:t>
                  </w:r>
                </w:fldSimple>
                <w:r>
                  <w:rPr>
                    <w:rStyle w:val="Headerorfooter2"/>
                    <w:b/>
                    <w:bCs/>
                    <w:i/>
                    <w:iCs/>
                  </w:rPr>
                  <w:t xml:space="preserve"> of 122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526" w:rsidRDefault="00350526">
      <w:r>
        <w:separator/>
      </w:r>
    </w:p>
  </w:footnote>
  <w:footnote w:type="continuationSeparator" w:id="1">
    <w:p w:rsidR="00350526" w:rsidRDefault="00350526">
      <w:r>
        <w:continuationSeparator/>
      </w:r>
    </w:p>
  </w:footnote>
  <w:footnote w:id="2">
    <w:p w:rsidR="00884A28" w:rsidRDefault="00350526">
      <w:pPr>
        <w:pStyle w:val="Footnote0"/>
        <w:shd w:val="clear" w:color="auto" w:fill="auto"/>
        <w:tabs>
          <w:tab w:val="left" w:pos="331"/>
        </w:tabs>
        <w:spacing w:line="180" w:lineRule="exact"/>
      </w:pPr>
      <w:bookmarkStart w:id="1" w:name="bookmark0"/>
      <w:r>
        <w:footnoteRef/>
      </w:r>
      <w:r>
        <w:tab/>
        <w:t>(2002) 6 SCC 600</w:t>
      </w:r>
      <w:bookmarkEnd w:id="1"/>
    </w:p>
  </w:footnote>
  <w:footnote w:id="3">
    <w:p w:rsidR="00884A28" w:rsidRDefault="00350526">
      <w:pPr>
        <w:pStyle w:val="Footnote0"/>
        <w:shd w:val="clear" w:color="auto" w:fill="auto"/>
        <w:tabs>
          <w:tab w:val="left" w:pos="341"/>
        </w:tabs>
        <w:spacing w:line="180" w:lineRule="exact"/>
      </w:pPr>
      <w:bookmarkStart w:id="2" w:name="bookmark1"/>
      <w:r>
        <w:footnoteRef/>
      </w:r>
      <w:r>
        <w:tab/>
        <w:t>(2014) 9 SCC 772</w:t>
      </w:r>
      <w:bookmarkEnd w:id="2"/>
    </w:p>
  </w:footnote>
  <w:footnote w:id="4">
    <w:p w:rsidR="00884A28" w:rsidRDefault="00350526">
      <w:pPr>
        <w:pStyle w:val="Footnote0"/>
        <w:shd w:val="clear" w:color="auto" w:fill="auto"/>
        <w:tabs>
          <w:tab w:val="right" w:pos="898"/>
          <w:tab w:val="right" w:pos="1066"/>
          <w:tab w:val="right" w:pos="1541"/>
          <w:tab w:val="right" w:pos="1824"/>
        </w:tabs>
        <w:spacing w:line="180" w:lineRule="exact"/>
      </w:pPr>
      <w:bookmarkStart w:id="3" w:name="bookmark2"/>
      <w:r>
        <w:footnoteRef/>
      </w:r>
      <w:r>
        <w:tab/>
        <w:t>(2001)</w:t>
      </w:r>
      <w:r>
        <w:tab/>
        <w:t>3</w:t>
      </w:r>
      <w:r>
        <w:tab/>
        <w:t>SCC</w:t>
      </w:r>
      <w:r>
        <w:tab/>
        <w:t>71</w:t>
      </w:r>
      <w:bookmarkEnd w:id="3"/>
    </w:p>
  </w:footnote>
  <w:footnote w:id="5">
    <w:p w:rsidR="00884A28" w:rsidRDefault="00350526">
      <w:pPr>
        <w:pStyle w:val="Footnote0"/>
        <w:shd w:val="clear" w:color="auto" w:fill="auto"/>
        <w:tabs>
          <w:tab w:val="left" w:pos="346"/>
        </w:tabs>
        <w:spacing w:line="180" w:lineRule="exact"/>
      </w:pPr>
      <w:bookmarkStart w:id="4" w:name="bookmark3"/>
      <w:r>
        <w:footnoteRef/>
      </w:r>
      <w:bookmarkStart w:id="5" w:name="bookmark4"/>
      <w:r>
        <w:tab/>
      </w:r>
      <w:bookmarkEnd w:id="5"/>
      <w:r>
        <w:t>(2011) 10 SCC 543</w:t>
      </w:r>
      <w:bookmarkEnd w:id="4"/>
    </w:p>
  </w:footnote>
  <w:footnote w:id="6">
    <w:p w:rsidR="00884A28" w:rsidRDefault="00350526">
      <w:pPr>
        <w:pStyle w:val="Footnote0"/>
        <w:shd w:val="clear" w:color="auto" w:fill="auto"/>
        <w:spacing w:line="180" w:lineRule="exact"/>
        <w:jc w:val="left"/>
      </w:pPr>
      <w:r>
        <w:footnoteRef/>
      </w:r>
      <w:r>
        <w:t xml:space="preserve"> Case C-280/08 P, Judgment dated 14.10.2010</w:t>
      </w:r>
    </w:p>
  </w:footnote>
  <w:footnote w:id="7">
    <w:p w:rsidR="00884A28" w:rsidRDefault="00350526">
      <w:pPr>
        <w:pStyle w:val="Footnote0"/>
        <w:shd w:val="clear" w:color="auto" w:fill="auto"/>
        <w:tabs>
          <w:tab w:val="left" w:pos="341"/>
        </w:tabs>
        <w:spacing w:line="180" w:lineRule="exact"/>
      </w:pPr>
      <w:bookmarkStart w:id="6" w:name="bookmark5"/>
      <w:r>
        <w:footnoteRef/>
      </w:r>
      <w:r>
        <w:tab/>
        <w:t>(2010) 10 SCC 744</w:t>
      </w:r>
      <w:bookmarkEnd w:id="6"/>
    </w:p>
  </w:footnote>
  <w:footnote w:id="8">
    <w:p w:rsidR="00884A28" w:rsidRDefault="00350526">
      <w:pPr>
        <w:pStyle w:val="Footnote0"/>
        <w:shd w:val="clear" w:color="auto" w:fill="auto"/>
        <w:tabs>
          <w:tab w:val="left" w:pos="331"/>
        </w:tabs>
        <w:spacing w:line="180" w:lineRule="exact"/>
      </w:pPr>
      <w:bookmarkStart w:id="7" w:name="bookmark6"/>
      <w:r>
        <w:footnoteRef/>
      </w:r>
      <w:r>
        <w:tab/>
        <w:t>493 US 411 (1990)</w:t>
      </w:r>
      <w:bookmarkEnd w:id="7"/>
    </w:p>
  </w:footnote>
  <w:footnote w:id="9">
    <w:p w:rsidR="00884A28" w:rsidRDefault="00350526">
      <w:pPr>
        <w:pStyle w:val="Footnote0"/>
        <w:shd w:val="clear" w:color="auto" w:fill="auto"/>
        <w:tabs>
          <w:tab w:val="left" w:pos="341"/>
        </w:tabs>
        <w:spacing w:line="180" w:lineRule="exact"/>
      </w:pPr>
      <w:bookmarkStart w:id="8" w:name="bookmark7"/>
      <w:r>
        <w:footnoteRef/>
      </w:r>
      <w:r>
        <w:tab/>
        <w:t>(2017) 5 SCC 17</w:t>
      </w:r>
      <w:bookmarkEnd w:id="8"/>
    </w:p>
  </w:footnote>
  <w:footnote w:id="10">
    <w:p w:rsidR="00884A28" w:rsidRDefault="00350526">
      <w:pPr>
        <w:pStyle w:val="Footnote0"/>
        <w:shd w:val="clear" w:color="auto" w:fill="auto"/>
        <w:tabs>
          <w:tab w:val="left" w:pos="341"/>
        </w:tabs>
        <w:spacing w:line="180" w:lineRule="exact"/>
      </w:pPr>
      <w:bookmarkStart w:id="9" w:name="bookmark8"/>
      <w:r>
        <w:footnoteRef/>
      </w:r>
      <w:r>
        <w:tab/>
        <w:t>(2007) 4 SCC 343</w:t>
      </w:r>
      <w:bookmarkEnd w:id="9"/>
    </w:p>
  </w:footnote>
  <w:footnote w:id="11">
    <w:p w:rsidR="00884A28" w:rsidRDefault="00350526">
      <w:pPr>
        <w:pStyle w:val="Footnote0"/>
        <w:shd w:val="clear" w:color="auto" w:fill="auto"/>
        <w:spacing w:line="180" w:lineRule="exact"/>
        <w:jc w:val="left"/>
      </w:pPr>
      <w:bookmarkStart w:id="10" w:name="bookmark9"/>
      <w:r>
        <w:footnoteRef/>
      </w:r>
      <w:r>
        <w:t xml:space="preserve"> (1980) 1 SCC 4</w:t>
      </w:r>
      <w:bookmarkEnd w:id="10"/>
    </w:p>
  </w:footnote>
  <w:footnote w:id="12">
    <w:p w:rsidR="00884A28" w:rsidRDefault="00350526">
      <w:pPr>
        <w:pStyle w:val="Footnote0"/>
        <w:shd w:val="clear" w:color="auto" w:fill="auto"/>
        <w:spacing w:line="180" w:lineRule="exact"/>
        <w:ind w:left="20"/>
        <w:jc w:val="left"/>
      </w:pPr>
      <w:bookmarkStart w:id="11" w:name="bookmark10"/>
      <w:r>
        <w:footnoteRef/>
      </w:r>
      <w:r>
        <w:t xml:space="preserve"> (1990) 4 SCC 406</w:t>
      </w:r>
      <w:bookmarkEnd w:id="11"/>
    </w:p>
  </w:footnote>
  <w:footnote w:id="13">
    <w:p w:rsidR="00884A28" w:rsidRDefault="00350526">
      <w:pPr>
        <w:pStyle w:val="Footnote0"/>
        <w:shd w:val="clear" w:color="auto" w:fill="auto"/>
        <w:spacing w:line="180" w:lineRule="exact"/>
        <w:ind w:left="20"/>
        <w:jc w:val="left"/>
      </w:pPr>
      <w:bookmarkStart w:id="12" w:name="bookmark11"/>
      <w:r>
        <w:rPr>
          <w:rStyle w:val="Footnote1"/>
        </w:rPr>
        <w:footnoteRef/>
      </w:r>
      <w:r>
        <w:rPr>
          <w:rStyle w:val="Footnote1"/>
        </w:rPr>
        <w:t xml:space="preserve"> 551 US 264 (2007)</w:t>
      </w:r>
      <w:bookmarkEnd w:id="12"/>
    </w:p>
  </w:footnote>
  <w:footnote w:id="14">
    <w:p w:rsidR="00884A28" w:rsidRDefault="00350526">
      <w:pPr>
        <w:pStyle w:val="Footnote0"/>
        <w:shd w:val="clear" w:color="auto" w:fill="auto"/>
        <w:spacing w:line="226" w:lineRule="exact"/>
        <w:ind w:left="20"/>
        <w:jc w:val="left"/>
      </w:pPr>
      <w:bookmarkStart w:id="13" w:name="bookmark12"/>
      <w:r>
        <w:rPr>
          <w:rStyle w:val="Footnote1"/>
        </w:rPr>
        <w:footnoteRef/>
      </w:r>
      <w:bookmarkStart w:id="14" w:name="bookmark13"/>
      <w:r>
        <w:rPr>
          <w:rStyle w:val="Footnote1"/>
        </w:rPr>
        <w:t xml:space="preserve"> </w:t>
      </w:r>
      <w:bookmarkEnd w:id="14"/>
      <w:r>
        <w:rPr>
          <w:rStyle w:val="Footnote1"/>
        </w:rPr>
        <w:t>(2003) 2 SCC 111</w:t>
      </w:r>
      <w:bookmarkEnd w:id="13"/>
    </w:p>
  </w:footnote>
  <w:footnote w:id="15">
    <w:p w:rsidR="00884A28" w:rsidRDefault="00350526">
      <w:pPr>
        <w:pStyle w:val="Footnote0"/>
        <w:shd w:val="clear" w:color="auto" w:fill="auto"/>
        <w:spacing w:line="226" w:lineRule="exact"/>
        <w:ind w:left="20"/>
        <w:jc w:val="left"/>
      </w:pPr>
      <w:r>
        <w:rPr>
          <w:rStyle w:val="Footnote1"/>
        </w:rPr>
        <w:footnoteRef/>
      </w:r>
      <w:bookmarkStart w:id="15" w:name="bookmark14"/>
      <w:r>
        <w:rPr>
          <w:rStyle w:val="Footnote1"/>
        </w:rPr>
        <w:t xml:space="preserve"> </w:t>
      </w:r>
      <w:bookmarkEnd w:id="15"/>
      <w:r>
        <w:rPr>
          <w:rStyle w:val="Footnote1"/>
        </w:rPr>
        <w:t>(2010) 10 SCC 744</w:t>
      </w:r>
    </w:p>
  </w:footnote>
  <w:footnote w:id="16">
    <w:p w:rsidR="00884A28" w:rsidRDefault="00350526">
      <w:pPr>
        <w:pStyle w:val="Footnote0"/>
        <w:shd w:val="clear" w:color="auto" w:fill="auto"/>
        <w:spacing w:line="226" w:lineRule="exact"/>
        <w:ind w:left="20"/>
        <w:jc w:val="left"/>
      </w:pPr>
      <w:r>
        <w:rPr>
          <w:rStyle w:val="Footnote1"/>
        </w:rPr>
        <w:footnoteRef/>
      </w:r>
      <w:r>
        <w:rPr>
          <w:rStyle w:val="Footnote1"/>
        </w:rPr>
        <w:t xml:space="preserve"> (2007) 8 SCC 559</w:t>
      </w:r>
    </w:p>
  </w:footnote>
  <w:footnote w:id="17">
    <w:p w:rsidR="00884A28" w:rsidRDefault="00350526">
      <w:pPr>
        <w:pStyle w:val="Footnote0"/>
        <w:shd w:val="clear" w:color="auto" w:fill="auto"/>
        <w:spacing w:line="180" w:lineRule="exact"/>
        <w:jc w:val="left"/>
      </w:pPr>
      <w:bookmarkStart w:id="21" w:name="bookmark15"/>
      <w:r>
        <w:rPr>
          <w:rStyle w:val="Footnote1"/>
        </w:rPr>
        <w:footnoteRef/>
      </w:r>
      <w:r>
        <w:rPr>
          <w:rStyle w:val="Footnote1"/>
        </w:rPr>
        <w:t xml:space="preserve"> (2017) 8 SCC 47</w:t>
      </w:r>
      <w:bookmarkEnd w:id="21"/>
    </w:p>
  </w:footnote>
  <w:footnote w:id="18">
    <w:p w:rsidR="00884A28" w:rsidRDefault="00350526">
      <w:pPr>
        <w:pStyle w:val="Footnote0"/>
        <w:shd w:val="clear" w:color="auto" w:fill="auto"/>
        <w:spacing w:line="180" w:lineRule="exact"/>
        <w:jc w:val="left"/>
      </w:pPr>
      <w:bookmarkStart w:id="23" w:name="bookmark16"/>
      <w:r>
        <w:rPr>
          <w:rStyle w:val="Footnote1"/>
        </w:rPr>
        <w:footnoteRef/>
      </w:r>
      <w:r>
        <w:rPr>
          <w:rStyle w:val="Footnote1"/>
        </w:rPr>
        <w:t xml:space="preserve"> (2016) 7 SCC 353</w:t>
      </w:r>
      <w:bookmarkEnd w:id="23"/>
    </w:p>
  </w:footnote>
  <w:footnote w:id="19">
    <w:p w:rsidR="00884A28" w:rsidRDefault="00350526">
      <w:pPr>
        <w:pStyle w:val="Footnote0"/>
        <w:shd w:val="clear" w:color="auto" w:fill="auto"/>
        <w:spacing w:line="180" w:lineRule="exact"/>
        <w:jc w:val="left"/>
      </w:pPr>
      <w:bookmarkStart w:id="24" w:name="bookmark17"/>
      <w:r>
        <w:rPr>
          <w:rStyle w:val="Footnote1"/>
        </w:rPr>
        <w:footnoteRef/>
      </w:r>
      <w:r>
        <w:rPr>
          <w:rStyle w:val="Footnote1"/>
        </w:rPr>
        <w:t xml:space="preserve"> AIR 1967 SC 295</w:t>
      </w:r>
      <w:bookmarkEnd w:id="24"/>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62" type="#_x0000_t202" style="position:absolute;margin-left:457.3pt;margin-top:30.7pt;width:94.1pt;height:10.1pt;z-index:-188744062;mso-wrap-style:none;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spacing w:line="240" w:lineRule="auto"/>
                </w:pPr>
                <w:r>
                  <w:rPr>
                    <w:rStyle w:val="Headerorfooter13pt"/>
                    <w:b/>
                    <w:bCs/>
                  </w:rPr>
                  <w:t>REPORTABLE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58" type="#_x0000_t202" style="position:absolute;margin-left:120.35pt;margin-top:30.6pt;width:406.55pt;height:12.95pt;z-index:-188744058;mso-wrap-style:none;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spacing w:line="240" w:lineRule="auto"/>
                </w:pPr>
                <w:r>
                  <w:rPr>
                    <w:rStyle w:val="Headerorfooter12pt"/>
                  </w:rPr>
                  <w:t xml:space="preserve">would prevail. In </w:t>
                </w:r>
                <w:r>
                  <w:rPr>
                    <w:rStyle w:val="Headerorfooter12pt0"/>
                    <w:b/>
                    <w:bCs/>
                    <w:i/>
                    <w:iCs/>
                  </w:rPr>
                  <w:t>Solidaire India Ltd.</w:t>
                </w:r>
                <w:r>
                  <w:rPr>
                    <w:rStyle w:val="Headerorfooter12pt"/>
                  </w:rPr>
                  <w:t xml:space="preserve"> v. </w:t>
                </w:r>
                <w:r>
                  <w:rPr>
                    <w:rStyle w:val="Headerorfooter12pt0"/>
                    <w:b/>
                    <w:bCs/>
                    <w:i/>
                    <w:iCs/>
                  </w:rPr>
                  <w:t>Fairgrowth Financial</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54" type="#_x0000_t202" style="position:absolute;margin-left:174.35pt;margin-top:30.8pt;width:337.2pt;height:12pt;z-index:-188744054;mso-wrap-style:none;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spacing w:line="240" w:lineRule="auto"/>
                </w:pPr>
                <w:r>
                  <w:rPr>
                    <w:rStyle w:val="Headerorfooter12pt1"/>
                  </w:rPr>
                  <w:t>prevented, restricted or distorted by the autonomous</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A28" w:rsidRDefault="00884A28">
    <w:pPr>
      <w:rPr>
        <w:sz w:val="2"/>
        <w:szCs w:val="2"/>
      </w:rPr>
    </w:pPr>
    <w:r w:rsidRPr="00884A28">
      <w:pict>
        <v:shapetype id="_x0000_t202" coordsize="21600,21600" o:spt="202" path="m,l,21600r21600,l21600,xe">
          <v:stroke joinstyle="miter"/>
          <v:path gradientshapeok="t" o:connecttype="rect"/>
        </v:shapetype>
        <v:shape id="_x0000_s2050" type="#_x0000_t202" style="position:absolute;margin-left:247.4pt;margin-top:31.7pt;width:154.3pt;height:6.95pt;z-index:-188744050;mso-wrap-distance-left:5pt;mso-wrap-distance-right:5pt;mso-position-horizontal-relative:page;mso-position-vertical-relative:page" wrapcoords="0 0" filled="f" stroked="f">
          <v:textbox style="mso-fit-shape-to-text:t" inset="0,0,0,0">
            <w:txbxContent>
              <w:p w:rsidR="00884A28" w:rsidRDefault="00350526">
                <w:pPr>
                  <w:pStyle w:val="Headerorfooter0"/>
                  <w:shd w:val="clear" w:color="auto" w:fill="auto"/>
                  <w:tabs>
                    <w:tab w:val="right" w:pos="1670"/>
                    <w:tab w:val="right" w:pos="3086"/>
                  </w:tabs>
                  <w:spacing w:line="240" w:lineRule="auto"/>
                </w:pPr>
                <w:r>
                  <w:rPr>
                    <w:rStyle w:val="Headerorfooter12pt"/>
                  </w:rPr>
                  <w:t>xx</w:t>
                </w:r>
                <w:r>
                  <w:rPr>
                    <w:rStyle w:val="Headerorfooter12pt"/>
                  </w:rPr>
                  <w:tab/>
                  <w:t>xx</w:t>
                </w:r>
                <w:r>
                  <w:rPr>
                    <w:rStyle w:val="Headerorfooter12pt"/>
                  </w:rPr>
                  <w:tab/>
                  <w:t>xx</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1D8"/>
    <w:multiLevelType w:val="multilevel"/>
    <w:tmpl w:val="5396F32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D237FD"/>
    <w:multiLevelType w:val="multilevel"/>
    <w:tmpl w:val="3DA8B7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D0BEC"/>
    <w:multiLevelType w:val="multilevel"/>
    <w:tmpl w:val="402430A2"/>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B74565"/>
    <w:multiLevelType w:val="multilevel"/>
    <w:tmpl w:val="0C742BD4"/>
    <w:lvl w:ilvl="0">
      <w:start w:val="6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D313E6"/>
    <w:multiLevelType w:val="multilevel"/>
    <w:tmpl w:val="3AE4B608"/>
    <w:lvl w:ilvl="0">
      <w:start w:val="26"/>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177211"/>
    <w:multiLevelType w:val="multilevel"/>
    <w:tmpl w:val="9D703C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262E21"/>
    <w:multiLevelType w:val="multilevel"/>
    <w:tmpl w:val="C75A7E5A"/>
    <w:lvl w:ilvl="0">
      <w:start w:val="9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AB2C9B"/>
    <w:multiLevelType w:val="multilevel"/>
    <w:tmpl w:val="ED2432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D65702"/>
    <w:multiLevelType w:val="multilevel"/>
    <w:tmpl w:val="3D0425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1F26C8"/>
    <w:multiLevelType w:val="multilevel"/>
    <w:tmpl w:val="1108C860"/>
    <w:lvl w:ilvl="0">
      <w:start w:val="6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494B2B"/>
    <w:multiLevelType w:val="multilevel"/>
    <w:tmpl w:val="C79A0368"/>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1B416D"/>
    <w:multiLevelType w:val="multilevel"/>
    <w:tmpl w:val="707CAB1E"/>
    <w:lvl w:ilvl="0">
      <w:start w:val="19"/>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E46051"/>
    <w:multiLevelType w:val="multilevel"/>
    <w:tmpl w:val="C33ED2A4"/>
    <w:lvl w:ilvl="0">
      <w:start w:val="1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531689"/>
    <w:multiLevelType w:val="multilevel"/>
    <w:tmpl w:val="5AB66F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9E31CA"/>
    <w:multiLevelType w:val="multilevel"/>
    <w:tmpl w:val="8512A5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216C00"/>
    <w:multiLevelType w:val="multilevel"/>
    <w:tmpl w:val="3850AE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D707C1A"/>
    <w:multiLevelType w:val="multilevel"/>
    <w:tmpl w:val="9E9E7A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E460C9F"/>
    <w:multiLevelType w:val="multilevel"/>
    <w:tmpl w:val="AA2CF3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7B3934"/>
    <w:multiLevelType w:val="multilevel"/>
    <w:tmpl w:val="A07C39A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1101E37"/>
    <w:multiLevelType w:val="multilevel"/>
    <w:tmpl w:val="D33EA48C"/>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26245D3"/>
    <w:multiLevelType w:val="multilevel"/>
    <w:tmpl w:val="D416E046"/>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45A4774"/>
    <w:multiLevelType w:val="multilevel"/>
    <w:tmpl w:val="F9584F70"/>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5A264B8"/>
    <w:multiLevelType w:val="multilevel"/>
    <w:tmpl w:val="66FE8ADC"/>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04B655F"/>
    <w:multiLevelType w:val="multilevel"/>
    <w:tmpl w:val="8A36C0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0B83D5B"/>
    <w:multiLevelType w:val="multilevel"/>
    <w:tmpl w:val="27565CA6"/>
    <w:lvl w:ilvl="0">
      <w:start w:val="8"/>
      <w:numFmt w:val="decimal"/>
      <w:lvlText w:val="%1."/>
      <w:lvlJc w:val="left"/>
      <w:rPr>
        <w:rFonts w:ascii="Arial" w:eastAsia="Arial" w:hAnsi="Arial" w:cs="Arial"/>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1DE5A25"/>
    <w:multiLevelType w:val="multilevel"/>
    <w:tmpl w:val="1DF813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32556E6"/>
    <w:multiLevelType w:val="multilevel"/>
    <w:tmpl w:val="DF96161E"/>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47235C4"/>
    <w:multiLevelType w:val="multilevel"/>
    <w:tmpl w:val="CFAA68E4"/>
    <w:lvl w:ilvl="0">
      <w:start w:val="8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5C62CC6"/>
    <w:multiLevelType w:val="multilevel"/>
    <w:tmpl w:val="B38A46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6C909E0"/>
    <w:multiLevelType w:val="multilevel"/>
    <w:tmpl w:val="F80C7630"/>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BBC529F"/>
    <w:multiLevelType w:val="multilevel"/>
    <w:tmpl w:val="D4CA05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C7E79CF"/>
    <w:multiLevelType w:val="multilevel"/>
    <w:tmpl w:val="87121DC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D202421"/>
    <w:multiLevelType w:val="multilevel"/>
    <w:tmpl w:val="6686A4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DFC26E6"/>
    <w:multiLevelType w:val="multilevel"/>
    <w:tmpl w:val="FD7ACF7E"/>
    <w:lvl w:ilvl="0">
      <w:start w:val="2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11A3C41"/>
    <w:multiLevelType w:val="multilevel"/>
    <w:tmpl w:val="94786D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1AC36BB"/>
    <w:multiLevelType w:val="multilevel"/>
    <w:tmpl w:val="D688B1B6"/>
    <w:lvl w:ilvl="0">
      <w:start w:val="2"/>
      <w:numFmt w:val="upp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31A7FF6"/>
    <w:multiLevelType w:val="multilevel"/>
    <w:tmpl w:val="BC70AC5C"/>
    <w:lvl w:ilvl="0">
      <w:start w:val="60"/>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79A2DC9"/>
    <w:multiLevelType w:val="multilevel"/>
    <w:tmpl w:val="7570AC84"/>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96F757C"/>
    <w:multiLevelType w:val="multilevel"/>
    <w:tmpl w:val="F23203F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A596FAD"/>
    <w:multiLevelType w:val="multilevel"/>
    <w:tmpl w:val="38241D1C"/>
    <w:lvl w:ilvl="0">
      <w:start w:val="55"/>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A850FCF"/>
    <w:multiLevelType w:val="multilevel"/>
    <w:tmpl w:val="365496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B025292"/>
    <w:multiLevelType w:val="multilevel"/>
    <w:tmpl w:val="D25A5E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C7E486C"/>
    <w:multiLevelType w:val="multilevel"/>
    <w:tmpl w:val="280E2AF2"/>
    <w:lvl w:ilvl="0">
      <w:start w:val="7"/>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E456152"/>
    <w:multiLevelType w:val="multilevel"/>
    <w:tmpl w:val="A54021C8"/>
    <w:lvl w:ilvl="0">
      <w:start w:val="1"/>
      <w:numFmt w:val="decimal"/>
      <w:lvlText w:val="2.2.1.%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E6F3B13"/>
    <w:multiLevelType w:val="multilevel"/>
    <w:tmpl w:val="2640C404"/>
    <w:lvl w:ilvl="0">
      <w:start w:val="3"/>
      <w:numFmt w:val="decimal"/>
      <w:lvlText w:val="2.2.%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0A21CA3"/>
    <w:multiLevelType w:val="multilevel"/>
    <w:tmpl w:val="99CA6F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1DE7D4B"/>
    <w:multiLevelType w:val="multilevel"/>
    <w:tmpl w:val="EBF6CB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33E3FDF"/>
    <w:multiLevelType w:val="multilevel"/>
    <w:tmpl w:val="130AE066"/>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5DD474B"/>
    <w:multiLevelType w:val="multilevel"/>
    <w:tmpl w:val="BFEAF224"/>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9803BBB"/>
    <w:multiLevelType w:val="multilevel"/>
    <w:tmpl w:val="5DCA7E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9850D2F"/>
    <w:multiLevelType w:val="multilevel"/>
    <w:tmpl w:val="D7AC8012"/>
    <w:lvl w:ilvl="0">
      <w:start w:val="8"/>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9A732CD"/>
    <w:multiLevelType w:val="multilevel"/>
    <w:tmpl w:val="2D4C0B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A5125C0"/>
    <w:multiLevelType w:val="multilevel"/>
    <w:tmpl w:val="BBFC3A5C"/>
    <w:lvl w:ilvl="0">
      <w:start w:val="2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B5F1FD3"/>
    <w:multiLevelType w:val="multilevel"/>
    <w:tmpl w:val="281882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D6700F9"/>
    <w:multiLevelType w:val="multilevel"/>
    <w:tmpl w:val="F0743544"/>
    <w:lvl w:ilvl="0">
      <w:start w:val="2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FDE21AB"/>
    <w:multiLevelType w:val="multilevel"/>
    <w:tmpl w:val="CE18019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3115D65"/>
    <w:multiLevelType w:val="multilevel"/>
    <w:tmpl w:val="55E474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48D4CFF"/>
    <w:multiLevelType w:val="multilevel"/>
    <w:tmpl w:val="2C562D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49B6BA2"/>
    <w:multiLevelType w:val="multilevel"/>
    <w:tmpl w:val="D3BECBBA"/>
    <w:lvl w:ilvl="0">
      <w:start w:val="50"/>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4F4214F"/>
    <w:multiLevelType w:val="multilevel"/>
    <w:tmpl w:val="0DE4523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5EC4A68"/>
    <w:multiLevelType w:val="multilevel"/>
    <w:tmpl w:val="63FAFD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78B0B65"/>
    <w:multiLevelType w:val="multilevel"/>
    <w:tmpl w:val="8312E5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7C419EB"/>
    <w:multiLevelType w:val="multilevel"/>
    <w:tmpl w:val="002622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9022F8D"/>
    <w:multiLevelType w:val="multilevel"/>
    <w:tmpl w:val="DDB85F2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C2528A7"/>
    <w:multiLevelType w:val="multilevel"/>
    <w:tmpl w:val="84B22F3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C5016ED"/>
    <w:multiLevelType w:val="multilevel"/>
    <w:tmpl w:val="87E2845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F43281C"/>
    <w:multiLevelType w:val="multilevel"/>
    <w:tmpl w:val="C4F45B40"/>
    <w:lvl w:ilvl="0">
      <w:start w:val="5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F805367"/>
    <w:multiLevelType w:val="multilevel"/>
    <w:tmpl w:val="9D786A46"/>
    <w:lvl w:ilvl="0">
      <w:start w:val="3"/>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0CA43BF"/>
    <w:multiLevelType w:val="multilevel"/>
    <w:tmpl w:val="8D92A96A"/>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1ED6BCE"/>
    <w:multiLevelType w:val="multilevel"/>
    <w:tmpl w:val="33D49E5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7247825"/>
    <w:multiLevelType w:val="multilevel"/>
    <w:tmpl w:val="1178A000"/>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7787A2D"/>
    <w:multiLevelType w:val="multilevel"/>
    <w:tmpl w:val="E310859E"/>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82E4135"/>
    <w:multiLevelType w:val="multilevel"/>
    <w:tmpl w:val="B4E062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C813E0F"/>
    <w:multiLevelType w:val="multilevel"/>
    <w:tmpl w:val="215C1C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8"/>
  </w:num>
  <w:num w:numId="2">
    <w:abstractNumId w:val="61"/>
  </w:num>
  <w:num w:numId="3">
    <w:abstractNumId w:val="58"/>
  </w:num>
  <w:num w:numId="4">
    <w:abstractNumId w:val="17"/>
  </w:num>
  <w:num w:numId="5">
    <w:abstractNumId w:val="54"/>
  </w:num>
  <w:num w:numId="6">
    <w:abstractNumId w:val="59"/>
  </w:num>
  <w:num w:numId="7">
    <w:abstractNumId w:val="2"/>
  </w:num>
  <w:num w:numId="8">
    <w:abstractNumId w:val="0"/>
  </w:num>
  <w:num w:numId="9">
    <w:abstractNumId w:val="47"/>
  </w:num>
  <w:num w:numId="10">
    <w:abstractNumId w:val="12"/>
  </w:num>
  <w:num w:numId="11">
    <w:abstractNumId w:val="32"/>
  </w:num>
  <w:num w:numId="12">
    <w:abstractNumId w:val="66"/>
  </w:num>
  <w:num w:numId="13">
    <w:abstractNumId w:val="3"/>
  </w:num>
  <w:num w:numId="14">
    <w:abstractNumId w:val="50"/>
  </w:num>
  <w:num w:numId="15">
    <w:abstractNumId w:val="63"/>
  </w:num>
  <w:num w:numId="16">
    <w:abstractNumId w:val="57"/>
  </w:num>
  <w:num w:numId="17">
    <w:abstractNumId w:val="13"/>
  </w:num>
  <w:num w:numId="18">
    <w:abstractNumId w:val="30"/>
  </w:num>
  <w:num w:numId="19">
    <w:abstractNumId w:val="9"/>
  </w:num>
  <w:num w:numId="20">
    <w:abstractNumId w:val="39"/>
  </w:num>
  <w:num w:numId="21">
    <w:abstractNumId w:val="18"/>
  </w:num>
  <w:num w:numId="22">
    <w:abstractNumId w:val="7"/>
  </w:num>
  <w:num w:numId="23">
    <w:abstractNumId w:val="40"/>
  </w:num>
  <w:num w:numId="24">
    <w:abstractNumId w:val="25"/>
  </w:num>
  <w:num w:numId="25">
    <w:abstractNumId w:val="62"/>
  </w:num>
  <w:num w:numId="26">
    <w:abstractNumId w:val="22"/>
  </w:num>
  <w:num w:numId="27">
    <w:abstractNumId w:val="37"/>
  </w:num>
  <w:num w:numId="28">
    <w:abstractNumId w:val="69"/>
  </w:num>
  <w:num w:numId="29">
    <w:abstractNumId w:val="42"/>
  </w:num>
  <w:num w:numId="30">
    <w:abstractNumId w:val="67"/>
  </w:num>
  <w:num w:numId="31">
    <w:abstractNumId w:val="26"/>
  </w:num>
  <w:num w:numId="32">
    <w:abstractNumId w:val="72"/>
  </w:num>
  <w:num w:numId="33">
    <w:abstractNumId w:val="10"/>
  </w:num>
  <w:num w:numId="34">
    <w:abstractNumId w:val="71"/>
  </w:num>
  <w:num w:numId="35">
    <w:abstractNumId w:val="34"/>
  </w:num>
  <w:num w:numId="36">
    <w:abstractNumId w:val="19"/>
  </w:num>
  <w:num w:numId="37">
    <w:abstractNumId w:val="4"/>
  </w:num>
  <w:num w:numId="38">
    <w:abstractNumId w:val="70"/>
  </w:num>
  <w:num w:numId="39">
    <w:abstractNumId w:val="55"/>
  </w:num>
  <w:num w:numId="40">
    <w:abstractNumId w:val="46"/>
  </w:num>
  <w:num w:numId="41">
    <w:abstractNumId w:val="53"/>
  </w:num>
  <w:num w:numId="42">
    <w:abstractNumId w:val="14"/>
  </w:num>
  <w:num w:numId="43">
    <w:abstractNumId w:val="16"/>
  </w:num>
  <w:num w:numId="44">
    <w:abstractNumId w:val="23"/>
  </w:num>
  <w:num w:numId="45">
    <w:abstractNumId w:val="36"/>
  </w:num>
  <w:num w:numId="46">
    <w:abstractNumId w:val="60"/>
  </w:num>
  <w:num w:numId="47">
    <w:abstractNumId w:val="43"/>
  </w:num>
  <w:num w:numId="48">
    <w:abstractNumId w:val="33"/>
  </w:num>
  <w:num w:numId="49">
    <w:abstractNumId w:val="44"/>
  </w:num>
  <w:num w:numId="50">
    <w:abstractNumId w:val="24"/>
  </w:num>
  <w:num w:numId="51">
    <w:abstractNumId w:val="51"/>
  </w:num>
  <w:num w:numId="52">
    <w:abstractNumId w:val="38"/>
  </w:num>
  <w:num w:numId="53">
    <w:abstractNumId w:val="49"/>
  </w:num>
  <w:num w:numId="54">
    <w:abstractNumId w:val="64"/>
  </w:num>
  <w:num w:numId="55">
    <w:abstractNumId w:val="20"/>
  </w:num>
  <w:num w:numId="56">
    <w:abstractNumId w:val="29"/>
  </w:num>
  <w:num w:numId="57">
    <w:abstractNumId w:val="41"/>
  </w:num>
  <w:num w:numId="58">
    <w:abstractNumId w:val="11"/>
  </w:num>
  <w:num w:numId="59">
    <w:abstractNumId w:val="15"/>
  </w:num>
  <w:num w:numId="60">
    <w:abstractNumId w:val="28"/>
  </w:num>
  <w:num w:numId="61">
    <w:abstractNumId w:val="73"/>
  </w:num>
  <w:num w:numId="62">
    <w:abstractNumId w:val="45"/>
  </w:num>
  <w:num w:numId="63">
    <w:abstractNumId w:val="1"/>
  </w:num>
  <w:num w:numId="64">
    <w:abstractNumId w:val="31"/>
  </w:num>
  <w:num w:numId="65">
    <w:abstractNumId w:val="27"/>
  </w:num>
  <w:num w:numId="66">
    <w:abstractNumId w:val="21"/>
  </w:num>
  <w:num w:numId="67">
    <w:abstractNumId w:val="68"/>
  </w:num>
  <w:num w:numId="68">
    <w:abstractNumId w:val="65"/>
  </w:num>
  <w:num w:numId="69">
    <w:abstractNumId w:val="5"/>
  </w:num>
  <w:num w:numId="70">
    <w:abstractNumId w:val="56"/>
  </w:num>
  <w:num w:numId="71">
    <w:abstractNumId w:val="8"/>
  </w:num>
  <w:num w:numId="72">
    <w:abstractNumId w:val="35"/>
  </w:num>
  <w:num w:numId="73">
    <w:abstractNumId w:val="6"/>
  </w:num>
  <w:num w:numId="74">
    <w:abstractNumId w:val="52"/>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2"/>
    </o:shapelayout>
  </w:hdrShapeDefaults>
  <w:footnotePr>
    <w:footnote w:id="0"/>
    <w:footnote w:id="1"/>
  </w:footnotePr>
  <w:endnotePr>
    <w:endnote w:id="0"/>
    <w:endnote w:id="1"/>
  </w:endnotePr>
  <w:compat>
    <w:doNotExpandShiftReturn/>
  </w:compat>
  <w:rsids>
    <w:rsidRoot w:val="00884A28"/>
    <w:rsid w:val="00350526"/>
    <w:rsid w:val="00884A28"/>
    <w:rsid w:val="009D110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4A2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84A28"/>
    <w:rPr>
      <w:color w:val="0066CC"/>
      <w:u w:val="single"/>
    </w:rPr>
  </w:style>
  <w:style w:type="character" w:customStyle="1" w:styleId="Footnote">
    <w:name w:val="Footnote_"/>
    <w:basedOn w:val="DefaultParagraphFont"/>
    <w:link w:val="Footnote0"/>
    <w:rsid w:val="00884A28"/>
    <w:rPr>
      <w:rFonts w:ascii="Arial" w:eastAsia="Arial" w:hAnsi="Arial" w:cs="Arial"/>
      <w:b w:val="0"/>
      <w:bCs w:val="0"/>
      <w:i w:val="0"/>
      <w:iCs w:val="0"/>
      <w:smallCaps w:val="0"/>
      <w:strike w:val="0"/>
      <w:sz w:val="18"/>
      <w:szCs w:val="18"/>
      <w:u w:val="none"/>
    </w:rPr>
  </w:style>
  <w:style w:type="character" w:customStyle="1" w:styleId="Footnote1">
    <w:name w:val="Footnote"/>
    <w:basedOn w:val="Footnote"/>
    <w:rsid w:val="00884A28"/>
    <w:rPr>
      <w:color w:val="000000"/>
      <w:spacing w:val="0"/>
      <w:w w:val="100"/>
      <w:position w:val="0"/>
      <w:lang w:val="en-US" w:eastAsia="en-US" w:bidi="en-US"/>
    </w:rPr>
  </w:style>
  <w:style w:type="character" w:customStyle="1" w:styleId="Bodytext2">
    <w:name w:val="Body text (2)_"/>
    <w:basedOn w:val="DefaultParagraphFont"/>
    <w:link w:val="Bodytext20"/>
    <w:rsid w:val="00884A28"/>
    <w:rPr>
      <w:rFonts w:ascii="Arial" w:eastAsia="Arial" w:hAnsi="Arial" w:cs="Arial"/>
      <w:b/>
      <w:bCs/>
      <w:i w:val="0"/>
      <w:iCs w:val="0"/>
      <w:smallCaps w:val="0"/>
      <w:strike w:val="0"/>
      <w:u w:val="none"/>
    </w:rPr>
  </w:style>
  <w:style w:type="character" w:customStyle="1" w:styleId="Headerorfooter">
    <w:name w:val="Header or footer_"/>
    <w:basedOn w:val="DefaultParagraphFont"/>
    <w:link w:val="Headerorfooter0"/>
    <w:rsid w:val="00884A28"/>
    <w:rPr>
      <w:rFonts w:ascii="Arial" w:eastAsia="Arial" w:hAnsi="Arial" w:cs="Arial"/>
      <w:b/>
      <w:bCs/>
      <w:i/>
      <w:iCs/>
      <w:smallCaps w:val="0"/>
      <w:strike w:val="0"/>
      <w:sz w:val="20"/>
      <w:szCs w:val="20"/>
      <w:u w:val="none"/>
    </w:rPr>
  </w:style>
  <w:style w:type="character" w:customStyle="1" w:styleId="Headerorfooter13pt">
    <w:name w:val="Header or footer + 13 pt"/>
    <w:aliases w:val="Not Italic"/>
    <w:basedOn w:val="Headerorfooter"/>
    <w:rsid w:val="00884A28"/>
    <w:rPr>
      <w:i/>
      <w:iCs/>
      <w:color w:val="000000"/>
      <w:spacing w:val="0"/>
      <w:w w:val="100"/>
      <w:position w:val="0"/>
      <w:sz w:val="26"/>
      <w:szCs w:val="26"/>
      <w:u w:val="single"/>
      <w:lang w:val="en-US" w:eastAsia="en-US" w:bidi="en-US"/>
    </w:rPr>
  </w:style>
  <w:style w:type="character" w:customStyle="1" w:styleId="Headerorfooter1">
    <w:name w:val="Header or footer"/>
    <w:basedOn w:val="Headerorfooter"/>
    <w:rsid w:val="00884A28"/>
    <w:rPr>
      <w:color w:val="000000"/>
      <w:spacing w:val="0"/>
      <w:w w:val="100"/>
      <w:position w:val="0"/>
      <w:u w:val="single"/>
      <w:lang w:val="en-US" w:eastAsia="en-US" w:bidi="en-US"/>
    </w:rPr>
  </w:style>
  <w:style w:type="character" w:customStyle="1" w:styleId="Headerorfooter2">
    <w:name w:val="Header or footer"/>
    <w:basedOn w:val="Headerorfooter"/>
    <w:rsid w:val="00884A28"/>
    <w:rPr>
      <w:color w:val="000000"/>
      <w:spacing w:val="0"/>
      <w:w w:val="100"/>
      <w:position w:val="0"/>
      <w:lang w:val="en-US" w:eastAsia="en-US" w:bidi="en-US"/>
    </w:rPr>
  </w:style>
  <w:style w:type="character" w:customStyle="1" w:styleId="Bodytext21">
    <w:name w:val="Body text (2)"/>
    <w:basedOn w:val="Bodytext2"/>
    <w:rsid w:val="00884A28"/>
    <w:rPr>
      <w:color w:val="000000"/>
      <w:spacing w:val="0"/>
      <w:w w:val="100"/>
      <w:position w:val="0"/>
      <w:sz w:val="24"/>
      <w:szCs w:val="24"/>
      <w:u w:val="single"/>
      <w:lang w:val="en-US" w:eastAsia="en-US" w:bidi="en-US"/>
    </w:rPr>
  </w:style>
  <w:style w:type="character" w:customStyle="1" w:styleId="Bodytext">
    <w:name w:val="Body text_"/>
    <w:basedOn w:val="DefaultParagraphFont"/>
    <w:link w:val="Bodytext0"/>
    <w:rsid w:val="00884A28"/>
    <w:rPr>
      <w:rFonts w:ascii="Arial" w:eastAsia="Arial" w:hAnsi="Arial" w:cs="Arial"/>
      <w:b w:val="0"/>
      <w:bCs w:val="0"/>
      <w:i w:val="0"/>
      <w:iCs w:val="0"/>
      <w:smallCaps w:val="0"/>
      <w:strike w:val="0"/>
      <w:u w:val="none"/>
    </w:rPr>
  </w:style>
  <w:style w:type="character" w:customStyle="1" w:styleId="Heading1">
    <w:name w:val="Heading #1_"/>
    <w:basedOn w:val="DefaultParagraphFont"/>
    <w:link w:val="Heading10"/>
    <w:rsid w:val="00884A28"/>
    <w:rPr>
      <w:rFonts w:ascii="Arial" w:eastAsia="Arial" w:hAnsi="Arial" w:cs="Arial"/>
      <w:b/>
      <w:bCs/>
      <w:i w:val="0"/>
      <w:iCs w:val="0"/>
      <w:smallCaps w:val="0"/>
      <w:strike w:val="0"/>
      <w:sz w:val="34"/>
      <w:szCs w:val="34"/>
      <w:u w:val="none"/>
    </w:rPr>
  </w:style>
  <w:style w:type="character" w:customStyle="1" w:styleId="Heading11">
    <w:name w:val="Heading #1"/>
    <w:basedOn w:val="Heading1"/>
    <w:rsid w:val="00884A28"/>
    <w:rPr>
      <w:color w:val="000000"/>
      <w:spacing w:val="0"/>
      <w:w w:val="100"/>
      <w:position w:val="0"/>
      <w:u w:val="single"/>
      <w:lang w:val="en-US" w:eastAsia="en-US" w:bidi="en-US"/>
    </w:rPr>
  </w:style>
  <w:style w:type="character" w:customStyle="1" w:styleId="BodytextItalic">
    <w:name w:val="Body text + Italic"/>
    <w:basedOn w:val="Bodytext"/>
    <w:rsid w:val="00884A28"/>
    <w:rPr>
      <w:i/>
      <w:iCs/>
      <w:color w:val="000000"/>
      <w:spacing w:val="0"/>
      <w:w w:val="100"/>
      <w:position w:val="0"/>
      <w:sz w:val="24"/>
      <w:szCs w:val="24"/>
      <w:lang w:val="en-US" w:eastAsia="en-US" w:bidi="en-US"/>
    </w:rPr>
  </w:style>
  <w:style w:type="character" w:customStyle="1" w:styleId="Bodytext3">
    <w:name w:val="Body text (3)_"/>
    <w:basedOn w:val="DefaultParagraphFont"/>
    <w:link w:val="Bodytext30"/>
    <w:rsid w:val="00884A28"/>
    <w:rPr>
      <w:rFonts w:ascii="Arial" w:eastAsia="Arial" w:hAnsi="Arial" w:cs="Arial"/>
      <w:b w:val="0"/>
      <w:bCs w:val="0"/>
      <w:i/>
      <w:iCs/>
      <w:smallCaps w:val="0"/>
      <w:strike w:val="0"/>
      <w:u w:val="none"/>
    </w:rPr>
  </w:style>
  <w:style w:type="character" w:customStyle="1" w:styleId="Bodytext1">
    <w:name w:val="Body text"/>
    <w:basedOn w:val="Bodytext"/>
    <w:rsid w:val="00884A28"/>
    <w:rPr>
      <w:color w:val="000000"/>
      <w:spacing w:val="0"/>
      <w:w w:val="100"/>
      <w:position w:val="0"/>
      <w:sz w:val="24"/>
      <w:szCs w:val="24"/>
      <w:u w:val="single"/>
      <w:lang w:val="en-US" w:eastAsia="en-US" w:bidi="en-US"/>
    </w:rPr>
  </w:style>
  <w:style w:type="character" w:customStyle="1" w:styleId="Bodytext2NotBold">
    <w:name w:val="Body text (2) + Not Bold"/>
    <w:basedOn w:val="Bodytext2"/>
    <w:rsid w:val="00884A28"/>
    <w:rPr>
      <w:b/>
      <w:bCs/>
      <w:color w:val="000000"/>
      <w:spacing w:val="0"/>
      <w:w w:val="100"/>
      <w:position w:val="0"/>
      <w:sz w:val="24"/>
      <w:szCs w:val="24"/>
      <w:lang w:val="en-US" w:eastAsia="en-US" w:bidi="en-US"/>
    </w:rPr>
  </w:style>
  <w:style w:type="character" w:customStyle="1" w:styleId="BodytextBold">
    <w:name w:val="Body text + Bold"/>
    <w:basedOn w:val="Bodytext"/>
    <w:rsid w:val="00884A28"/>
    <w:rPr>
      <w:b/>
      <w:bCs/>
      <w:color w:val="000000"/>
      <w:spacing w:val="0"/>
      <w:w w:val="100"/>
      <w:position w:val="0"/>
      <w:sz w:val="24"/>
      <w:szCs w:val="24"/>
      <w:lang w:val="en-US" w:eastAsia="en-US" w:bidi="en-US"/>
    </w:rPr>
  </w:style>
  <w:style w:type="character" w:customStyle="1" w:styleId="BodytextItalic0">
    <w:name w:val="Body text + Italic"/>
    <w:basedOn w:val="Bodytext"/>
    <w:rsid w:val="00884A28"/>
    <w:rPr>
      <w:i/>
      <w:iCs/>
      <w:color w:val="000000"/>
      <w:spacing w:val="0"/>
      <w:w w:val="100"/>
      <w:position w:val="0"/>
      <w:sz w:val="24"/>
      <w:szCs w:val="24"/>
      <w:u w:val="single"/>
      <w:lang w:val="en-US" w:eastAsia="en-US" w:bidi="en-US"/>
    </w:rPr>
  </w:style>
  <w:style w:type="character" w:customStyle="1" w:styleId="Bodytext31">
    <w:name w:val="Body text (3)"/>
    <w:basedOn w:val="Bodytext3"/>
    <w:rsid w:val="00884A28"/>
    <w:rPr>
      <w:color w:val="000000"/>
      <w:spacing w:val="0"/>
      <w:w w:val="100"/>
      <w:position w:val="0"/>
      <w:sz w:val="24"/>
      <w:szCs w:val="24"/>
      <w:u w:val="single"/>
      <w:lang w:val="en-US" w:eastAsia="en-US" w:bidi="en-US"/>
    </w:rPr>
  </w:style>
  <w:style w:type="character" w:customStyle="1" w:styleId="Bodytext3NotItalic">
    <w:name w:val="Body text (3) + Not Italic"/>
    <w:basedOn w:val="Bodytext3"/>
    <w:rsid w:val="00884A28"/>
    <w:rPr>
      <w:i/>
      <w:iCs/>
      <w:color w:val="000000"/>
      <w:spacing w:val="0"/>
      <w:w w:val="100"/>
      <w:position w:val="0"/>
      <w:sz w:val="24"/>
      <w:szCs w:val="24"/>
      <w:u w:val="single"/>
      <w:lang w:val="en-US" w:eastAsia="en-US" w:bidi="en-US"/>
    </w:rPr>
  </w:style>
  <w:style w:type="character" w:customStyle="1" w:styleId="Bodytext3Bold">
    <w:name w:val="Body text (3) + Bold"/>
    <w:basedOn w:val="Bodytext3"/>
    <w:rsid w:val="00884A28"/>
    <w:rPr>
      <w:b/>
      <w:bCs/>
      <w:color w:val="000000"/>
      <w:spacing w:val="0"/>
      <w:w w:val="100"/>
      <w:position w:val="0"/>
      <w:sz w:val="24"/>
      <w:szCs w:val="24"/>
      <w:lang w:val="en-US" w:eastAsia="en-US" w:bidi="en-US"/>
    </w:rPr>
  </w:style>
  <w:style w:type="character" w:customStyle="1" w:styleId="Headerorfooter12pt">
    <w:name w:val="Header or footer + 12 pt"/>
    <w:aliases w:val="Not Bold,Not Italic"/>
    <w:basedOn w:val="Headerorfooter"/>
    <w:rsid w:val="00884A28"/>
    <w:rPr>
      <w:b/>
      <w:bCs/>
      <w:i/>
      <w:iCs/>
      <w:color w:val="000000"/>
      <w:spacing w:val="0"/>
      <w:w w:val="100"/>
      <w:position w:val="0"/>
      <w:sz w:val="24"/>
      <w:szCs w:val="24"/>
      <w:lang w:val="en-US" w:eastAsia="en-US" w:bidi="en-US"/>
    </w:rPr>
  </w:style>
  <w:style w:type="character" w:customStyle="1" w:styleId="Headerorfooter12pt0">
    <w:name w:val="Header or footer + 12 pt"/>
    <w:basedOn w:val="Headerorfooter"/>
    <w:rsid w:val="00884A28"/>
    <w:rPr>
      <w:color w:val="000000"/>
      <w:spacing w:val="0"/>
      <w:w w:val="100"/>
      <w:position w:val="0"/>
      <w:sz w:val="24"/>
      <w:szCs w:val="24"/>
      <w:lang w:val="en-US" w:eastAsia="en-US" w:bidi="en-US"/>
    </w:rPr>
  </w:style>
  <w:style w:type="character" w:customStyle="1" w:styleId="Bodytext3NotItalic0">
    <w:name w:val="Body text (3) + Not Italic"/>
    <w:basedOn w:val="Bodytext3"/>
    <w:rsid w:val="00884A28"/>
    <w:rPr>
      <w:i/>
      <w:iCs/>
      <w:color w:val="000000"/>
      <w:spacing w:val="0"/>
      <w:w w:val="100"/>
      <w:position w:val="0"/>
      <w:sz w:val="24"/>
      <w:szCs w:val="24"/>
      <w:lang w:val="en-US" w:eastAsia="en-US" w:bidi="en-US"/>
    </w:rPr>
  </w:style>
  <w:style w:type="character" w:customStyle="1" w:styleId="Headerorfooter12pt1">
    <w:name w:val="Header or footer + 12 pt"/>
    <w:aliases w:val="Not Bold,Not Italic"/>
    <w:basedOn w:val="Headerorfooter"/>
    <w:rsid w:val="00884A28"/>
    <w:rPr>
      <w:b/>
      <w:bCs/>
      <w:i/>
      <w:iCs/>
      <w:color w:val="000000"/>
      <w:spacing w:val="0"/>
      <w:w w:val="100"/>
      <w:position w:val="0"/>
      <w:sz w:val="24"/>
      <w:szCs w:val="24"/>
      <w:u w:val="single"/>
      <w:lang w:val="en-US" w:eastAsia="en-US" w:bidi="en-US"/>
    </w:rPr>
  </w:style>
  <w:style w:type="character" w:customStyle="1" w:styleId="Bodytext9pt">
    <w:name w:val="Body text + 9 pt"/>
    <w:aliases w:val="Small Caps"/>
    <w:basedOn w:val="Bodytext"/>
    <w:rsid w:val="00884A28"/>
    <w:rPr>
      <w:smallCaps/>
      <w:color w:val="000000"/>
      <w:spacing w:val="0"/>
      <w:w w:val="100"/>
      <w:position w:val="0"/>
      <w:sz w:val="18"/>
      <w:szCs w:val="18"/>
      <w:u w:val="single"/>
      <w:lang w:val="en-US" w:eastAsia="en-US" w:bidi="en-US"/>
    </w:rPr>
  </w:style>
  <w:style w:type="character" w:customStyle="1" w:styleId="Bodytext9pt0">
    <w:name w:val="Body text + 9 pt"/>
    <w:aliases w:val="Small Caps"/>
    <w:basedOn w:val="Bodytext"/>
    <w:rsid w:val="00884A28"/>
    <w:rPr>
      <w:smallCaps/>
      <w:color w:val="000000"/>
      <w:spacing w:val="0"/>
      <w:w w:val="100"/>
      <w:position w:val="0"/>
      <w:sz w:val="18"/>
      <w:szCs w:val="18"/>
      <w:lang w:val="en-US" w:eastAsia="en-US" w:bidi="en-US"/>
    </w:rPr>
  </w:style>
  <w:style w:type="character" w:customStyle="1" w:styleId="Bodytext11pt">
    <w:name w:val="Body text + 11 pt"/>
    <w:aliases w:val="Bold"/>
    <w:basedOn w:val="Bodytext"/>
    <w:rsid w:val="00884A28"/>
    <w:rPr>
      <w:b/>
      <w:bCs/>
      <w:color w:val="000000"/>
      <w:spacing w:val="0"/>
      <w:w w:val="100"/>
      <w:position w:val="0"/>
      <w:sz w:val="22"/>
      <w:szCs w:val="22"/>
      <w:lang w:val="en-US" w:eastAsia="en-US" w:bidi="en-US"/>
    </w:rPr>
  </w:style>
  <w:style w:type="character" w:customStyle="1" w:styleId="Bodytext105pt">
    <w:name w:val="Body text + 10.5 pt"/>
    <w:basedOn w:val="Bodytext"/>
    <w:rsid w:val="00884A28"/>
    <w:rPr>
      <w:color w:val="000000"/>
      <w:spacing w:val="0"/>
      <w:w w:val="100"/>
      <w:position w:val="0"/>
      <w:sz w:val="21"/>
      <w:szCs w:val="21"/>
      <w:lang w:val="en-US" w:eastAsia="en-US" w:bidi="en-US"/>
    </w:rPr>
  </w:style>
  <w:style w:type="character" w:customStyle="1" w:styleId="BodytextSpacing-1pt">
    <w:name w:val="Body text + Spacing -1 pt"/>
    <w:basedOn w:val="Bodytext"/>
    <w:rsid w:val="00884A28"/>
    <w:rPr>
      <w:color w:val="000000"/>
      <w:spacing w:val="-30"/>
      <w:w w:val="100"/>
      <w:position w:val="0"/>
      <w:sz w:val="24"/>
      <w:szCs w:val="24"/>
      <w:lang w:val="en-US" w:eastAsia="en-US" w:bidi="en-US"/>
    </w:rPr>
  </w:style>
  <w:style w:type="character" w:customStyle="1" w:styleId="Bodytext4">
    <w:name w:val="Body text"/>
    <w:basedOn w:val="Bodytext"/>
    <w:rsid w:val="00884A28"/>
    <w:rPr>
      <w:color w:val="000000"/>
      <w:spacing w:val="0"/>
      <w:w w:val="100"/>
      <w:position w:val="0"/>
      <w:sz w:val="24"/>
      <w:szCs w:val="24"/>
      <w:lang w:val="en-US" w:eastAsia="en-US" w:bidi="en-US"/>
    </w:rPr>
  </w:style>
  <w:style w:type="character" w:customStyle="1" w:styleId="Bodytext5">
    <w:name w:val="Body text"/>
    <w:basedOn w:val="Bodytext"/>
    <w:rsid w:val="00884A28"/>
    <w:rPr>
      <w:color w:val="000000"/>
      <w:spacing w:val="0"/>
      <w:w w:val="100"/>
      <w:position w:val="0"/>
      <w:sz w:val="24"/>
      <w:szCs w:val="24"/>
      <w:u w:val="single"/>
      <w:lang w:val="en-US" w:eastAsia="en-US" w:bidi="en-US"/>
    </w:rPr>
  </w:style>
  <w:style w:type="character" w:customStyle="1" w:styleId="BodytextItalic1">
    <w:name w:val="Body text + Italic"/>
    <w:basedOn w:val="Bodytext"/>
    <w:rsid w:val="00884A28"/>
    <w:rPr>
      <w:i/>
      <w:iCs/>
      <w:color w:val="000000"/>
      <w:spacing w:val="0"/>
      <w:w w:val="100"/>
      <w:position w:val="0"/>
      <w:sz w:val="24"/>
      <w:szCs w:val="24"/>
      <w:lang w:val="en-US" w:eastAsia="en-US" w:bidi="en-US"/>
    </w:rPr>
  </w:style>
  <w:style w:type="character" w:customStyle="1" w:styleId="Bodytext32">
    <w:name w:val="Body text (3)"/>
    <w:basedOn w:val="Bodytext3"/>
    <w:rsid w:val="00884A28"/>
    <w:rPr>
      <w:color w:val="000000"/>
      <w:spacing w:val="0"/>
      <w:w w:val="100"/>
      <w:position w:val="0"/>
      <w:sz w:val="24"/>
      <w:szCs w:val="24"/>
      <w:lang w:val="en-US" w:eastAsia="en-US" w:bidi="en-US"/>
    </w:rPr>
  </w:style>
  <w:style w:type="character" w:customStyle="1" w:styleId="Bodytext3NotItalic1">
    <w:name w:val="Body text (3) + Not Italic"/>
    <w:basedOn w:val="Bodytext3"/>
    <w:rsid w:val="00884A28"/>
    <w:rPr>
      <w:i/>
      <w:iCs/>
      <w:color w:val="000000"/>
      <w:spacing w:val="0"/>
      <w:w w:val="100"/>
      <w:position w:val="0"/>
      <w:sz w:val="24"/>
      <w:szCs w:val="24"/>
      <w:lang w:val="en-US" w:eastAsia="en-US" w:bidi="en-US"/>
    </w:rPr>
  </w:style>
  <w:style w:type="character" w:customStyle="1" w:styleId="Heading2">
    <w:name w:val="Heading #2_"/>
    <w:basedOn w:val="DefaultParagraphFont"/>
    <w:link w:val="Heading20"/>
    <w:rsid w:val="00884A28"/>
    <w:rPr>
      <w:rFonts w:ascii="Arial" w:eastAsia="Arial" w:hAnsi="Arial" w:cs="Arial"/>
      <w:b/>
      <w:bCs/>
      <w:i w:val="0"/>
      <w:iCs w:val="0"/>
      <w:smallCaps w:val="0"/>
      <w:strike w:val="0"/>
      <w:u w:val="none"/>
    </w:rPr>
  </w:style>
  <w:style w:type="character" w:customStyle="1" w:styleId="Heading2NotBold">
    <w:name w:val="Heading #2 + Not Bold"/>
    <w:basedOn w:val="Heading2"/>
    <w:rsid w:val="00884A28"/>
    <w:rPr>
      <w:b/>
      <w:bCs/>
      <w:color w:val="000000"/>
      <w:spacing w:val="0"/>
      <w:w w:val="100"/>
      <w:position w:val="0"/>
      <w:sz w:val="24"/>
      <w:szCs w:val="24"/>
      <w:lang w:val="en-US" w:eastAsia="en-US" w:bidi="en-US"/>
    </w:rPr>
  </w:style>
  <w:style w:type="character" w:customStyle="1" w:styleId="BodytextBold0">
    <w:name w:val="Body text + Bold"/>
    <w:basedOn w:val="Bodytext"/>
    <w:rsid w:val="00884A28"/>
    <w:rPr>
      <w:b/>
      <w:bCs/>
      <w:color w:val="000000"/>
      <w:spacing w:val="0"/>
      <w:w w:val="100"/>
      <w:position w:val="0"/>
      <w:sz w:val="24"/>
      <w:szCs w:val="24"/>
      <w:lang w:val="en-US" w:eastAsia="en-US" w:bidi="en-US"/>
    </w:rPr>
  </w:style>
  <w:style w:type="character" w:customStyle="1" w:styleId="Tableofcontents">
    <w:name w:val="Table of contents_"/>
    <w:basedOn w:val="DefaultParagraphFont"/>
    <w:link w:val="Tableofcontents0"/>
    <w:rsid w:val="00884A28"/>
    <w:rPr>
      <w:rFonts w:ascii="Arial" w:eastAsia="Arial" w:hAnsi="Arial" w:cs="Arial"/>
      <w:b w:val="0"/>
      <w:bCs w:val="0"/>
      <w:i w:val="0"/>
      <w:iCs w:val="0"/>
      <w:smallCaps w:val="0"/>
      <w:strike w:val="0"/>
      <w:u w:val="none"/>
    </w:rPr>
  </w:style>
  <w:style w:type="character" w:customStyle="1" w:styleId="Bodytext9pt1">
    <w:name w:val="Body text + 9 pt"/>
    <w:aliases w:val="Small Caps"/>
    <w:basedOn w:val="Bodytext"/>
    <w:rsid w:val="00884A28"/>
    <w:rPr>
      <w:smallCaps/>
      <w:color w:val="000000"/>
      <w:spacing w:val="0"/>
      <w:w w:val="100"/>
      <w:position w:val="0"/>
      <w:sz w:val="18"/>
      <w:szCs w:val="18"/>
      <w:lang w:val="en-US" w:eastAsia="en-US" w:bidi="en-US"/>
    </w:rPr>
  </w:style>
  <w:style w:type="character" w:customStyle="1" w:styleId="Bodytext2NotBold0">
    <w:name w:val="Body text (2) + Not Bold"/>
    <w:basedOn w:val="Bodytext2"/>
    <w:rsid w:val="00884A28"/>
    <w:rPr>
      <w:b/>
      <w:bCs/>
      <w:color w:val="000000"/>
      <w:spacing w:val="0"/>
      <w:w w:val="100"/>
      <w:position w:val="0"/>
      <w:sz w:val="24"/>
      <w:szCs w:val="24"/>
      <w:lang w:val="en-US" w:eastAsia="en-US" w:bidi="en-US"/>
    </w:rPr>
  </w:style>
  <w:style w:type="character" w:customStyle="1" w:styleId="Bodytext22">
    <w:name w:val="Body text (2)"/>
    <w:basedOn w:val="Bodytext2"/>
    <w:rsid w:val="00884A28"/>
    <w:rPr>
      <w:color w:val="000000"/>
      <w:spacing w:val="0"/>
      <w:w w:val="100"/>
      <w:position w:val="0"/>
      <w:sz w:val="24"/>
      <w:szCs w:val="24"/>
      <w:lang w:val="en-US" w:eastAsia="en-US" w:bidi="en-US"/>
    </w:rPr>
  </w:style>
  <w:style w:type="paragraph" w:customStyle="1" w:styleId="Footnote0">
    <w:name w:val="Footnote"/>
    <w:basedOn w:val="Normal"/>
    <w:link w:val="Footnote"/>
    <w:rsid w:val="00884A28"/>
    <w:pPr>
      <w:shd w:val="clear" w:color="auto" w:fill="FFFFFF"/>
      <w:spacing w:line="0" w:lineRule="atLeast"/>
      <w:jc w:val="both"/>
    </w:pPr>
    <w:rPr>
      <w:rFonts w:ascii="Arial" w:eastAsia="Arial" w:hAnsi="Arial" w:cs="Arial"/>
      <w:sz w:val="18"/>
      <w:szCs w:val="18"/>
    </w:rPr>
  </w:style>
  <w:style w:type="paragraph" w:customStyle="1" w:styleId="Bodytext20">
    <w:name w:val="Body text (2)"/>
    <w:basedOn w:val="Normal"/>
    <w:link w:val="Bodytext2"/>
    <w:rsid w:val="00884A28"/>
    <w:pPr>
      <w:shd w:val="clear" w:color="auto" w:fill="FFFFFF"/>
      <w:spacing w:after="120" w:line="643" w:lineRule="exact"/>
      <w:jc w:val="center"/>
    </w:pPr>
    <w:rPr>
      <w:rFonts w:ascii="Arial" w:eastAsia="Arial" w:hAnsi="Arial" w:cs="Arial"/>
      <w:b/>
      <w:bCs/>
    </w:rPr>
  </w:style>
  <w:style w:type="paragraph" w:customStyle="1" w:styleId="Headerorfooter0">
    <w:name w:val="Header or footer"/>
    <w:basedOn w:val="Normal"/>
    <w:link w:val="Headerorfooter"/>
    <w:rsid w:val="00884A28"/>
    <w:pPr>
      <w:shd w:val="clear" w:color="auto" w:fill="FFFFFF"/>
      <w:spacing w:line="0" w:lineRule="atLeast"/>
    </w:pPr>
    <w:rPr>
      <w:rFonts w:ascii="Arial" w:eastAsia="Arial" w:hAnsi="Arial" w:cs="Arial"/>
      <w:b/>
      <w:bCs/>
      <w:i/>
      <w:iCs/>
      <w:sz w:val="20"/>
      <w:szCs w:val="20"/>
    </w:rPr>
  </w:style>
  <w:style w:type="paragraph" w:customStyle="1" w:styleId="Bodytext0">
    <w:name w:val="Body text"/>
    <w:basedOn w:val="Normal"/>
    <w:link w:val="Bodytext"/>
    <w:rsid w:val="00884A28"/>
    <w:pPr>
      <w:shd w:val="clear" w:color="auto" w:fill="FFFFFF"/>
      <w:spacing w:before="600" w:line="643" w:lineRule="exact"/>
      <w:ind w:hanging="740"/>
      <w:jc w:val="both"/>
    </w:pPr>
    <w:rPr>
      <w:rFonts w:ascii="Arial" w:eastAsia="Arial" w:hAnsi="Arial" w:cs="Arial"/>
    </w:rPr>
  </w:style>
  <w:style w:type="paragraph" w:customStyle="1" w:styleId="Heading10">
    <w:name w:val="Heading #1"/>
    <w:basedOn w:val="Normal"/>
    <w:link w:val="Heading1"/>
    <w:rsid w:val="00884A28"/>
    <w:pPr>
      <w:shd w:val="clear" w:color="auto" w:fill="FFFFFF"/>
      <w:spacing w:before="960" w:line="653" w:lineRule="exact"/>
      <w:jc w:val="center"/>
      <w:outlineLvl w:val="0"/>
    </w:pPr>
    <w:rPr>
      <w:rFonts w:ascii="Arial" w:eastAsia="Arial" w:hAnsi="Arial" w:cs="Arial"/>
      <w:b/>
      <w:bCs/>
      <w:sz w:val="34"/>
      <w:szCs w:val="34"/>
    </w:rPr>
  </w:style>
  <w:style w:type="paragraph" w:customStyle="1" w:styleId="Bodytext30">
    <w:name w:val="Body text (3)"/>
    <w:basedOn w:val="Normal"/>
    <w:link w:val="Bodytext3"/>
    <w:rsid w:val="00884A28"/>
    <w:pPr>
      <w:shd w:val="clear" w:color="auto" w:fill="FFFFFF"/>
      <w:spacing w:line="638" w:lineRule="exact"/>
      <w:ind w:hanging="740"/>
      <w:jc w:val="both"/>
    </w:pPr>
    <w:rPr>
      <w:rFonts w:ascii="Arial" w:eastAsia="Arial" w:hAnsi="Arial" w:cs="Arial"/>
      <w:i/>
      <w:iCs/>
    </w:rPr>
  </w:style>
  <w:style w:type="paragraph" w:customStyle="1" w:styleId="Heading20">
    <w:name w:val="Heading #2"/>
    <w:basedOn w:val="Normal"/>
    <w:link w:val="Heading2"/>
    <w:rsid w:val="00884A28"/>
    <w:pPr>
      <w:shd w:val="clear" w:color="auto" w:fill="FFFFFF"/>
      <w:spacing w:after="360" w:line="0" w:lineRule="atLeast"/>
      <w:jc w:val="both"/>
      <w:outlineLvl w:val="1"/>
    </w:pPr>
    <w:rPr>
      <w:rFonts w:ascii="Arial" w:eastAsia="Arial" w:hAnsi="Arial" w:cs="Arial"/>
      <w:b/>
      <w:bCs/>
    </w:rPr>
  </w:style>
  <w:style w:type="paragraph" w:customStyle="1" w:styleId="Tableofcontents0">
    <w:name w:val="Table of contents"/>
    <w:basedOn w:val="Normal"/>
    <w:link w:val="Tableofcontents"/>
    <w:rsid w:val="00884A28"/>
    <w:pPr>
      <w:shd w:val="clear" w:color="auto" w:fill="FFFFFF"/>
      <w:spacing w:before="240" w:line="302" w:lineRule="exact"/>
      <w:jc w:val="both"/>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AppData/Local/Temp/FineReader11.00/media/image1.jpeg" TargetMode="Externa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105</Pages>
  <Words>27234</Words>
  <Characters>155235</Characters>
  <Application>Microsoft Office Word</Application>
  <DocSecurity>0</DocSecurity>
  <Lines>1293</Lines>
  <Paragraphs>364</Paragraphs>
  <ScaleCrop>false</ScaleCrop>
  <Company/>
  <LinksUpToDate>false</LinksUpToDate>
  <CharactersWithSpaces>182105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2018-12-07T08:03:00Z</dcterms:created>
  <dcterms:modified xsi:type="dcterms:W3CDTF">2018-12-07T08:06:00Z</dcterms:modified>
</cp:coreProperties>
</file>