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0"/>
        <w:ind w:left="0" w:right="152" w:firstLine="0"/>
        <w:jc w:val="right"/>
        <w:rPr>
          <w:b/>
          <w:sz w:val="16"/>
        </w:rPr>
      </w:pPr>
      <w:r>
        <w:rPr>
          <w:b/>
          <w:color w:val="000009"/>
          <w:sz w:val="16"/>
          <w:u w:val="single" w:color="000009"/>
        </w:rPr>
        <w:t>REPORTABLE</w:t>
      </w:r>
    </w:p>
    <w:p>
      <w:pPr>
        <w:pStyle w:val="BodyText"/>
        <w:rPr>
          <w:b/>
          <w:sz w:val="20"/>
        </w:rPr>
      </w:pPr>
    </w:p>
    <w:p>
      <w:pPr>
        <w:pStyle w:val="BodyText"/>
        <w:spacing w:before="1"/>
        <w:rPr>
          <w:b/>
          <w:sz w:val="22"/>
        </w:rPr>
      </w:pPr>
    </w:p>
    <w:p>
      <w:pPr>
        <w:spacing w:before="92"/>
        <w:ind w:left="2627" w:right="2280" w:hanging="3"/>
        <w:jc w:val="center"/>
        <w:rPr>
          <w:b/>
          <w:sz w:val="26"/>
        </w:rPr>
      </w:pPr>
      <w:r>
        <w:rPr>
          <w:b/>
          <w:color w:val="000009"/>
          <w:sz w:val="26"/>
        </w:rPr>
        <w:t>IN THE SUPREME COURT OF INDIA CRIMINAL </w:t>
      </w:r>
      <w:r>
        <w:rPr>
          <w:b/>
          <w:color w:val="000009"/>
          <w:spacing w:val="-3"/>
          <w:sz w:val="26"/>
        </w:rPr>
        <w:t>APPELLATE </w:t>
      </w:r>
      <w:r>
        <w:rPr>
          <w:b/>
          <w:color w:val="000009"/>
          <w:sz w:val="26"/>
        </w:rPr>
        <w:t>JURISDICTION</w:t>
      </w:r>
    </w:p>
    <w:p>
      <w:pPr>
        <w:pStyle w:val="BodyText"/>
        <w:spacing w:before="3"/>
        <w:rPr>
          <w:b/>
          <w:sz w:val="26"/>
        </w:rPr>
      </w:pPr>
    </w:p>
    <w:p>
      <w:pPr>
        <w:spacing w:before="0"/>
        <w:ind w:left="2436" w:right="1863" w:firstLine="534"/>
        <w:jc w:val="left"/>
        <w:rPr>
          <w:b/>
          <w:sz w:val="26"/>
        </w:rPr>
      </w:pPr>
      <w:r>
        <w:rPr>
          <w:b/>
          <w:color w:val="000009"/>
          <w:sz w:val="26"/>
          <w:u w:val="single" w:color="000009"/>
        </w:rPr>
        <w:t>Criminal Appeal No. 1934 of 2019</w:t>
      </w:r>
      <w:r>
        <w:rPr>
          <w:b/>
          <w:color w:val="000009"/>
          <w:sz w:val="26"/>
        </w:rPr>
        <w:t> (Arising out of SLP(Crl.) No. 3884 of 2019)</w:t>
      </w:r>
    </w:p>
    <w:p>
      <w:pPr>
        <w:pStyle w:val="BodyText"/>
        <w:rPr>
          <w:b/>
          <w:sz w:val="28"/>
        </w:rPr>
      </w:pPr>
    </w:p>
    <w:p>
      <w:pPr>
        <w:pStyle w:val="BodyText"/>
        <w:spacing w:before="4"/>
        <w:rPr>
          <w:b/>
          <w:sz w:val="24"/>
        </w:rPr>
      </w:pPr>
    </w:p>
    <w:p>
      <w:pPr>
        <w:tabs>
          <w:tab w:pos="7343" w:val="left" w:leader="none"/>
        </w:tabs>
        <w:spacing w:before="0"/>
        <w:ind w:left="501" w:right="0" w:firstLine="0"/>
        <w:jc w:val="left"/>
        <w:rPr>
          <w:b/>
          <w:sz w:val="26"/>
        </w:rPr>
      </w:pPr>
      <w:r>
        <w:rPr>
          <w:b/>
          <w:color w:val="000009"/>
          <w:sz w:val="26"/>
        </w:rPr>
        <w:t>Dr Nallapareddy</w:t>
      </w:r>
      <w:r>
        <w:rPr>
          <w:b/>
          <w:color w:val="000009"/>
          <w:spacing w:val="-6"/>
          <w:sz w:val="26"/>
        </w:rPr>
        <w:t> </w:t>
      </w:r>
      <w:r>
        <w:rPr>
          <w:b/>
          <w:color w:val="000009"/>
          <w:sz w:val="26"/>
        </w:rPr>
        <w:t>Sridhar</w:t>
      </w:r>
      <w:r>
        <w:rPr>
          <w:b/>
          <w:color w:val="000009"/>
          <w:spacing w:val="-3"/>
          <w:sz w:val="26"/>
        </w:rPr>
        <w:t> </w:t>
      </w:r>
      <w:r>
        <w:rPr>
          <w:b/>
          <w:color w:val="000009"/>
          <w:sz w:val="26"/>
        </w:rPr>
        <w:t>Reddy</w:t>
        <w:tab/>
        <w:t>…Appellant</w:t>
      </w:r>
    </w:p>
    <w:p>
      <w:pPr>
        <w:pStyle w:val="BodyText"/>
        <w:rPr>
          <w:b/>
          <w:sz w:val="28"/>
        </w:rPr>
      </w:pPr>
    </w:p>
    <w:p>
      <w:pPr>
        <w:pStyle w:val="BodyText"/>
        <w:spacing w:before="3"/>
        <w:rPr>
          <w:b/>
          <w:sz w:val="24"/>
        </w:rPr>
      </w:pPr>
    </w:p>
    <w:p>
      <w:pPr>
        <w:spacing w:before="0"/>
        <w:ind w:left="4048" w:right="3700" w:firstLine="0"/>
        <w:jc w:val="center"/>
        <w:rPr>
          <w:b/>
          <w:sz w:val="26"/>
        </w:rPr>
      </w:pPr>
      <w:r>
        <w:rPr>
          <w:b/>
          <w:color w:val="000009"/>
          <w:sz w:val="26"/>
        </w:rPr>
        <w:t>Versus</w:t>
      </w:r>
    </w:p>
    <w:p>
      <w:pPr>
        <w:pStyle w:val="BodyText"/>
        <w:rPr>
          <w:b/>
          <w:sz w:val="28"/>
        </w:rPr>
      </w:pPr>
    </w:p>
    <w:p>
      <w:pPr>
        <w:pStyle w:val="BodyText"/>
        <w:spacing w:before="3"/>
        <w:rPr>
          <w:b/>
          <w:sz w:val="24"/>
        </w:rPr>
      </w:pPr>
    </w:p>
    <w:p>
      <w:pPr>
        <w:tabs>
          <w:tab w:pos="7272" w:val="left" w:leader="none"/>
        </w:tabs>
        <w:spacing w:before="0"/>
        <w:ind w:left="501" w:right="0" w:firstLine="0"/>
        <w:jc w:val="left"/>
        <w:rPr>
          <w:b/>
          <w:sz w:val="26"/>
        </w:rPr>
      </w:pPr>
      <w:r>
        <w:rPr>
          <w:b/>
          <w:color w:val="000009"/>
          <w:sz w:val="26"/>
        </w:rPr>
        <w:t>The State of Andhra Pradesh</w:t>
      </w:r>
      <w:r>
        <w:rPr>
          <w:b/>
          <w:color w:val="000009"/>
          <w:spacing w:val="-15"/>
          <w:sz w:val="26"/>
        </w:rPr>
        <w:t> </w:t>
      </w:r>
      <w:r>
        <w:rPr>
          <w:b/>
          <w:color w:val="000009"/>
          <w:sz w:val="26"/>
        </w:rPr>
        <w:t>&amp;</w:t>
      </w:r>
      <w:r>
        <w:rPr>
          <w:b/>
          <w:color w:val="000009"/>
          <w:spacing w:val="-3"/>
          <w:sz w:val="26"/>
        </w:rPr>
        <w:t> </w:t>
      </w:r>
      <w:r>
        <w:rPr>
          <w:b/>
          <w:color w:val="000009"/>
          <w:sz w:val="26"/>
        </w:rPr>
        <w:t>Ors</w:t>
        <w:tab/>
        <w:t>…Respondents</w:t>
      </w:r>
    </w:p>
    <w:p>
      <w:pPr>
        <w:pStyle w:val="BodyText"/>
        <w:rPr>
          <w:b/>
          <w:sz w:val="28"/>
        </w:rPr>
      </w:pPr>
    </w:p>
    <w:p>
      <w:pPr>
        <w:pStyle w:val="BodyText"/>
        <w:rPr>
          <w:b/>
          <w:sz w:val="28"/>
        </w:rPr>
      </w:pPr>
    </w:p>
    <w:p>
      <w:pPr>
        <w:pStyle w:val="BodyText"/>
        <w:rPr>
          <w:b/>
          <w:sz w:val="28"/>
        </w:rPr>
      </w:pPr>
    </w:p>
    <w:p>
      <w:pPr>
        <w:pStyle w:val="Heading1"/>
        <w:spacing w:before="183"/>
        <w:ind w:left="4048" w:right="3702"/>
        <w:jc w:val="center"/>
      </w:pPr>
      <w:r>
        <w:rPr>
          <w:color w:val="000009"/>
          <w:u w:val="single" w:color="000009"/>
        </w:rPr>
        <w:t>J U D G M E N T</w:t>
      </w:r>
    </w:p>
    <w:p>
      <w:pPr>
        <w:pStyle w:val="BodyText"/>
        <w:rPr>
          <w:b/>
          <w:sz w:val="20"/>
        </w:rPr>
      </w:pPr>
    </w:p>
    <w:p>
      <w:pPr>
        <w:pStyle w:val="BodyText"/>
        <w:rPr>
          <w:b/>
          <w:sz w:val="20"/>
        </w:rPr>
      </w:pPr>
    </w:p>
    <w:p>
      <w:pPr>
        <w:pStyle w:val="BodyText"/>
        <w:rPr>
          <w:b/>
          <w:sz w:val="20"/>
        </w:rPr>
      </w:pPr>
    </w:p>
    <w:p>
      <w:pPr>
        <w:pStyle w:val="BodyText"/>
        <w:rPr>
          <w:b/>
          <w:sz w:val="20"/>
        </w:rPr>
      </w:pPr>
    </w:p>
    <w:p>
      <w:pPr>
        <w:spacing w:before="228"/>
        <w:ind w:left="501" w:right="0" w:firstLine="0"/>
        <w:jc w:val="left"/>
        <w:rPr>
          <w:b/>
          <w:sz w:val="25"/>
        </w:rPr>
      </w:pPr>
      <w:r>
        <w:rPr>
          <w:b/>
          <w:color w:val="000009"/>
          <w:sz w:val="25"/>
          <w:u w:val="single" w:color="000009"/>
        </w:rPr>
        <w:t>Dr Dhananjaya Y Chandrachud, J</w:t>
      </w:r>
    </w:p>
    <w:p>
      <w:pPr>
        <w:pStyle w:val="BodyText"/>
        <w:rPr>
          <w:b/>
          <w:sz w:val="20"/>
        </w:rPr>
      </w:pPr>
    </w:p>
    <w:p>
      <w:pPr>
        <w:pStyle w:val="BodyText"/>
        <w:spacing w:before="9"/>
        <w:rPr>
          <w:b/>
          <w:sz w:val="21"/>
        </w:rPr>
      </w:pPr>
    </w:p>
    <w:p>
      <w:pPr>
        <w:pStyle w:val="ListParagraph"/>
        <w:numPr>
          <w:ilvl w:val="0"/>
          <w:numId w:val="1"/>
        </w:numPr>
        <w:tabs>
          <w:tab w:pos="1222" w:val="left" w:leader="none"/>
        </w:tabs>
        <w:spacing w:line="480" w:lineRule="auto" w:before="92" w:after="0"/>
        <w:ind w:left="501" w:right="154" w:firstLine="0"/>
        <w:jc w:val="both"/>
        <w:rPr>
          <w:sz w:val="25"/>
        </w:rPr>
      </w:pPr>
      <w:r>
        <w:rPr>
          <w:color w:val="000009"/>
          <w:sz w:val="25"/>
        </w:rPr>
        <w:t>This appeal arises from the judgment of a Single Judge of the High Court of Andhra Pradesh dated 6 March 2019. A revision petition</w:t>
      </w:r>
      <w:hyperlink w:history="true" w:anchor="_bookmark0">
        <w:r>
          <w:rPr>
            <w:color w:val="000009"/>
            <w:position w:val="10"/>
            <w:sz w:val="14"/>
          </w:rPr>
          <w:t>1</w:t>
        </w:r>
      </w:hyperlink>
      <w:r>
        <w:rPr>
          <w:color w:val="000009"/>
          <w:position w:val="10"/>
          <w:sz w:val="14"/>
        </w:rPr>
        <w:t> </w:t>
      </w:r>
      <w:r>
        <w:rPr>
          <w:color w:val="000009"/>
          <w:sz w:val="25"/>
        </w:rPr>
        <w:t>filed by the fourth respondent against an order of the Additional Junior Civil Judge, Sattenapalli was allowed and directions were issued for the framing of charges against the appellant under Sections 406 and 420 of the Indian Penal Code</w:t>
      </w:r>
      <w:r>
        <w:rPr>
          <w:color w:val="000009"/>
          <w:spacing w:val="-15"/>
          <w:sz w:val="25"/>
        </w:rPr>
        <w:t> </w:t>
      </w:r>
      <w:r>
        <w:rPr>
          <w:color w:val="000009"/>
          <w:sz w:val="25"/>
        </w:rPr>
        <w:t>1860</w:t>
      </w:r>
      <w:hyperlink w:history="true" w:anchor="_bookmark1">
        <w:r>
          <w:rPr>
            <w:color w:val="000009"/>
            <w:position w:val="10"/>
            <w:sz w:val="14"/>
          </w:rPr>
          <w:t>2</w:t>
        </w:r>
      </w:hyperlink>
      <w:r>
        <w:rPr>
          <w:color w:val="000009"/>
          <w:sz w:val="25"/>
        </w:rPr>
        <w:t>.</w:t>
      </w:r>
    </w:p>
    <w:p>
      <w:pPr>
        <w:pStyle w:val="ListParagraph"/>
        <w:numPr>
          <w:ilvl w:val="0"/>
          <w:numId w:val="1"/>
        </w:numPr>
        <w:tabs>
          <w:tab w:pos="1222" w:val="left" w:leader="none"/>
        </w:tabs>
        <w:spacing w:line="574" w:lineRule="exact" w:before="59" w:after="0"/>
        <w:ind w:left="501" w:right="156" w:firstLine="0"/>
        <w:jc w:val="both"/>
        <w:rPr>
          <w:sz w:val="25"/>
        </w:rPr>
      </w:pPr>
      <w:r>
        <w:rPr>
          <w:color w:val="000009"/>
          <w:sz w:val="25"/>
        </w:rPr>
        <w:t>On 10 March 2011, a First Information Report</w:t>
      </w:r>
      <w:hyperlink w:history="true" w:anchor="_bookmark2">
        <w:r>
          <w:rPr>
            <w:color w:val="000009"/>
            <w:position w:val="10"/>
            <w:sz w:val="14"/>
          </w:rPr>
          <w:t>3</w:t>
        </w:r>
      </w:hyperlink>
      <w:r>
        <w:rPr>
          <w:color w:val="000009"/>
          <w:position w:val="10"/>
          <w:sz w:val="14"/>
        </w:rPr>
        <w:t> </w:t>
      </w:r>
      <w:r>
        <w:rPr>
          <w:color w:val="000009"/>
          <w:sz w:val="25"/>
        </w:rPr>
        <w:t>was lodged by the fourth respondent,</w:t>
      </w:r>
      <w:r>
        <w:rPr>
          <w:color w:val="000009"/>
          <w:spacing w:val="23"/>
          <w:sz w:val="25"/>
        </w:rPr>
        <w:t> </w:t>
      </w:r>
      <w:r>
        <w:rPr>
          <w:color w:val="000009"/>
          <w:sz w:val="25"/>
        </w:rPr>
        <w:t>who</w:t>
      </w:r>
      <w:r>
        <w:rPr>
          <w:color w:val="000009"/>
          <w:spacing w:val="22"/>
          <w:sz w:val="25"/>
        </w:rPr>
        <w:t> </w:t>
      </w:r>
      <w:r>
        <w:rPr>
          <w:color w:val="000009"/>
          <w:sz w:val="25"/>
        </w:rPr>
        <w:t>is</w:t>
      </w:r>
      <w:r>
        <w:rPr>
          <w:color w:val="000009"/>
          <w:spacing w:val="22"/>
          <w:sz w:val="25"/>
        </w:rPr>
        <w:t> </w:t>
      </w:r>
      <w:r>
        <w:rPr>
          <w:color w:val="000009"/>
          <w:sz w:val="25"/>
        </w:rPr>
        <w:t>the</w:t>
      </w:r>
      <w:r>
        <w:rPr>
          <w:color w:val="000009"/>
          <w:spacing w:val="22"/>
          <w:sz w:val="25"/>
        </w:rPr>
        <w:t> </w:t>
      </w:r>
      <w:r>
        <w:rPr>
          <w:color w:val="000009"/>
          <w:sz w:val="25"/>
        </w:rPr>
        <w:t>father-in-law</w:t>
      </w:r>
      <w:r>
        <w:rPr>
          <w:color w:val="000009"/>
          <w:spacing w:val="23"/>
          <w:sz w:val="25"/>
        </w:rPr>
        <w:t> </w:t>
      </w:r>
      <w:r>
        <w:rPr>
          <w:color w:val="000009"/>
          <w:sz w:val="25"/>
        </w:rPr>
        <w:t>of</w:t>
      </w:r>
      <w:r>
        <w:rPr>
          <w:color w:val="000009"/>
          <w:spacing w:val="21"/>
          <w:sz w:val="25"/>
        </w:rPr>
        <w:t> </w:t>
      </w:r>
      <w:r>
        <w:rPr>
          <w:color w:val="000009"/>
          <w:sz w:val="25"/>
        </w:rPr>
        <w:t>the</w:t>
      </w:r>
      <w:r>
        <w:rPr>
          <w:color w:val="000009"/>
          <w:spacing w:val="22"/>
          <w:sz w:val="25"/>
        </w:rPr>
        <w:t> </w:t>
      </w:r>
      <w:r>
        <w:rPr>
          <w:color w:val="000009"/>
          <w:sz w:val="25"/>
        </w:rPr>
        <w:t>appellant,</w:t>
      </w:r>
      <w:r>
        <w:rPr>
          <w:color w:val="000009"/>
          <w:spacing w:val="21"/>
          <w:sz w:val="25"/>
        </w:rPr>
        <w:t> </w:t>
      </w:r>
      <w:r>
        <w:rPr>
          <w:color w:val="000009"/>
          <w:sz w:val="25"/>
        </w:rPr>
        <w:t>alleging</w:t>
      </w:r>
      <w:r>
        <w:rPr>
          <w:color w:val="000009"/>
          <w:spacing w:val="23"/>
          <w:sz w:val="25"/>
        </w:rPr>
        <w:t> </w:t>
      </w:r>
      <w:r>
        <w:rPr>
          <w:color w:val="000009"/>
          <w:sz w:val="25"/>
        </w:rPr>
        <w:t>that</w:t>
      </w:r>
      <w:r>
        <w:rPr>
          <w:color w:val="000009"/>
          <w:spacing w:val="21"/>
          <w:sz w:val="25"/>
        </w:rPr>
        <w:t> </w:t>
      </w:r>
      <w:r>
        <w:rPr>
          <w:color w:val="000009"/>
          <w:sz w:val="25"/>
        </w:rPr>
        <w:t>the</w:t>
      </w:r>
      <w:r>
        <w:rPr>
          <w:color w:val="000009"/>
          <w:spacing w:val="22"/>
          <w:sz w:val="25"/>
        </w:rPr>
        <w:t> </w:t>
      </w:r>
      <w:r>
        <w:rPr>
          <w:color w:val="000009"/>
          <w:sz w:val="25"/>
        </w:rPr>
        <w:t>appellant</w:t>
      </w:r>
    </w:p>
    <w:p>
      <w:pPr>
        <w:spacing w:line="68" w:lineRule="exact" w:before="0"/>
        <w:ind w:left="100" w:right="0" w:firstLine="0"/>
        <w:jc w:val="left"/>
        <w:rPr>
          <w:sz w:val="9"/>
        </w:rPr>
      </w:pPr>
      <w:r>
        <w:rPr/>
        <w:pict>
          <v:group style="position:absolute;margin-left:62.882401pt;margin-top:.474398pt;width:121.95pt;height:35.4pt;mso-position-horizontal-relative:page;mso-position-vertical-relative:paragraph;z-index:-252022784" coordorigin="1258,9" coordsize="2439,708">
            <v:line style="position:absolute" from="1440,712" to="3696,712" stroked="true" strokeweight=".5pt" strokecolor="#000000">
              <v:stroke dashstyle="solid"/>
            </v:line>
            <v:shape style="position:absolute;left:1276;top:28;width:417;height:611" coordorigin="1277,29" coordsize="417,611" path="m1677,128l1486,128,1514,132,1540,145,1560,170,1568,211,1564,235,1554,257,1538,276,1516,294,1470,333,1444,370,1433,412,1430,465,1541,465,1544,427,1553,401,1569,381,1592,362,1635,328,1667,293,1687,254,1694,207,1677,128xm1479,29l1409,39,1343,72,1295,133,1277,225,1396,225,1396,224,1401,193,1414,161,1441,138,1486,128,1677,128,1676,126,1633,73,1576,44,1521,31,1479,29xm1549,521l1427,521,1427,639,1549,639,1549,521xe" filled="true" fillcolor="#000000" stroked="false">
              <v:path arrowok="t"/>
              <v:fill type="solid"/>
            </v:shape>
            <v:shape style="position:absolute;left:1258;top:9;width:417;height:611" coordorigin="1258,10" coordsize="417,611" path="m1658,109l1468,109,1495,113,1522,126,1541,152,1549,192,1545,216,1535,238,1519,258,1497,276,1451,314,1425,351,1414,393,1411,446,1522,446,1525,408,1534,382,1550,362,1573,343,1617,309,1648,274,1668,235,1675,188,1658,109xm1460,10l1390,20,1325,53,1277,114,1258,206,1377,206,1377,206,1382,174,1396,143,1422,119,1468,109,1658,109,1657,107,1614,55,1558,25,1502,13,1460,10xm1530,502l1408,502,1408,620,1530,620,1530,502xe" filled="true" fillcolor="#ffff66" stroked="false">
              <v:path arrowok="t"/>
              <v:fill type="solid"/>
            </v:shape>
            <v:shape style="position:absolute;left:1480;top:-15565;width:11580;height:16960" coordorigin="1480,-15565" coordsize="11580,16960" path="m1411,446l1414,393,1425,351,1451,314,1497,276,1519,258,1535,238,1545,216,1549,192,1541,152,1522,126,1495,113,1468,109,1422,119,1396,143,1382,174,1377,206,1377,206,1258,206,1277,114,1325,53,1390,20,1460,10,1502,13,1558,25,1614,55,1657,107,1675,188,1668,235,1648,274,1617,309,1573,343,1550,362,1534,382,1525,408,1522,446,1411,446xm1408,502l1530,502,1530,620,1408,620,1408,502xe" filled="false" stroked="true" strokeweight=".0432pt" strokecolor="#707070">
              <v:path arrowok="t"/>
              <v:stroke dashstyle="solid"/>
            </v:shape>
            <w10:wrap type="none"/>
          </v:group>
        </w:pict>
      </w:r>
      <w:r>
        <w:rPr>
          <w:w w:val="105"/>
          <w:sz w:val="9"/>
        </w:rPr>
        <w:t>Signature Not Verified</w:t>
      </w:r>
    </w:p>
    <w:p>
      <w:pPr>
        <w:spacing w:after="0" w:line="68" w:lineRule="exact"/>
        <w:jc w:val="left"/>
        <w:rPr>
          <w:sz w:val="9"/>
        </w:rPr>
        <w:sectPr>
          <w:footerReference w:type="default" r:id="rId5"/>
          <w:type w:val="continuous"/>
          <w:pgSz w:w="11900" w:h="16840"/>
          <w:pgMar w:footer="982" w:top="1360" w:bottom="1180" w:left="940" w:right="1280"/>
          <w:pgNumType w:start="1"/>
        </w:sectPr>
      </w:pPr>
    </w:p>
    <w:p>
      <w:pPr>
        <w:pStyle w:val="BodyText"/>
        <w:spacing w:before="6"/>
        <w:rPr>
          <w:sz w:val="12"/>
        </w:rPr>
      </w:pPr>
    </w:p>
    <w:p>
      <w:pPr>
        <w:spacing w:line="218" w:lineRule="auto" w:before="0"/>
        <w:ind w:left="100" w:right="38" w:firstLine="0"/>
        <w:jc w:val="both"/>
        <w:rPr>
          <w:sz w:val="9"/>
        </w:rPr>
      </w:pPr>
      <w:r>
        <w:rPr/>
        <w:pict>
          <v:shape style="position:absolute;margin-left:72.099998pt;margin-top:1.035142pt;width:14.05pt;height:14pt;mso-position-horizontal-relative:page;mso-position-vertical-relative:paragraph;z-index:-252021760" type="#_x0000_t202" filled="false" stroked="false">
            <v:textbox inset="0,0,0,0">
              <w:txbxContent>
                <w:p>
                  <w:pPr>
                    <w:pStyle w:val="BodyText"/>
                    <w:spacing w:line="279" w:lineRule="exact"/>
                  </w:pPr>
                  <w:r>
                    <w:rPr>
                      <w:color w:val="000009"/>
                    </w:rPr>
                    <w:t>a</w:t>
                  </w:r>
                  <w:r>
                    <w:rPr>
                      <w:color w:val="000009"/>
                      <w:spacing w:val="-2"/>
                    </w:rPr>
                    <w:t>n</w:t>
                  </w:r>
                  <w:r>
                    <w:rPr>
                      <w:color w:val="000009"/>
                      <w:spacing w:val="-137"/>
                    </w:rPr>
                    <w:t>d</w:t>
                  </w:r>
                </w:p>
              </w:txbxContent>
            </v:textbox>
            <w10:wrap type="none"/>
          </v:shape>
        </w:pict>
      </w:r>
      <w:r>
        <w:rPr>
          <w:w w:val="105"/>
          <w:sz w:val="9"/>
        </w:rPr>
        <w:t>Digitally signed </w:t>
      </w:r>
      <w:r>
        <w:rPr>
          <w:spacing w:val="-9"/>
          <w:w w:val="105"/>
          <w:sz w:val="9"/>
        </w:rPr>
        <w:t>by </w:t>
      </w:r>
      <w:r>
        <w:rPr>
          <w:w w:val="105"/>
          <w:sz w:val="9"/>
        </w:rPr>
        <w:t>CHETAN </w:t>
      </w:r>
      <w:r>
        <w:rPr>
          <w:spacing w:val="-3"/>
          <w:w w:val="105"/>
          <w:sz w:val="9"/>
        </w:rPr>
        <w:t>KUMAR </w:t>
      </w:r>
      <w:r>
        <w:rPr>
          <w:w w:val="105"/>
          <w:sz w:val="9"/>
        </w:rPr>
        <w:t>Date: 2020.01.21</w:t>
      </w:r>
    </w:p>
    <w:p>
      <w:pPr>
        <w:spacing w:line="90" w:lineRule="exact" w:before="0"/>
        <w:ind w:left="100" w:right="0" w:firstLine="0"/>
        <w:jc w:val="left"/>
        <w:rPr>
          <w:sz w:val="9"/>
        </w:rPr>
      </w:pPr>
      <w:r>
        <w:rPr>
          <w:w w:val="105"/>
          <w:sz w:val="9"/>
        </w:rPr>
        <w:t>16:18:40 IST</w:t>
      </w:r>
    </w:p>
    <w:p>
      <w:pPr>
        <w:spacing w:line="99" w:lineRule="exact" w:before="0"/>
        <w:ind w:left="100" w:right="0" w:firstLine="0"/>
        <w:jc w:val="left"/>
        <w:rPr>
          <w:sz w:val="9"/>
        </w:rPr>
      </w:pPr>
      <w:r>
        <w:rPr>
          <w:w w:val="105"/>
          <w:sz w:val="9"/>
        </w:rPr>
        <w:t>Reason:</w:t>
      </w:r>
    </w:p>
    <w:p>
      <w:pPr>
        <w:pStyle w:val="BodyText"/>
        <w:spacing w:before="156"/>
        <w:ind w:left="100"/>
      </w:pPr>
      <w:r>
        <w:rPr/>
        <w:br w:type="column"/>
      </w:r>
      <w:r>
        <w:rPr>
          <w:color w:val="000009"/>
        </w:rPr>
        <w:t>the</w:t>
      </w:r>
      <w:r>
        <w:rPr>
          <w:color w:val="000009"/>
          <w:spacing w:val="53"/>
        </w:rPr>
        <w:t> </w:t>
      </w:r>
      <w:r>
        <w:rPr>
          <w:color w:val="000009"/>
        </w:rPr>
        <w:t>members</w:t>
      </w:r>
      <w:r>
        <w:rPr>
          <w:color w:val="000009"/>
          <w:spacing w:val="53"/>
        </w:rPr>
        <w:t> </w:t>
      </w:r>
      <w:r>
        <w:rPr>
          <w:color w:val="000009"/>
        </w:rPr>
        <w:t>of</w:t>
      </w:r>
      <w:r>
        <w:rPr>
          <w:color w:val="000009"/>
          <w:spacing w:val="53"/>
        </w:rPr>
        <w:t> </w:t>
      </w:r>
      <w:r>
        <w:rPr>
          <w:color w:val="000009"/>
        </w:rPr>
        <w:t>his</w:t>
      </w:r>
      <w:r>
        <w:rPr>
          <w:color w:val="000009"/>
          <w:spacing w:val="53"/>
        </w:rPr>
        <w:t> </w:t>
      </w:r>
      <w:r>
        <w:rPr>
          <w:color w:val="000009"/>
        </w:rPr>
        <w:t>family</w:t>
      </w:r>
      <w:r>
        <w:rPr>
          <w:color w:val="000009"/>
          <w:spacing w:val="53"/>
        </w:rPr>
        <w:t> </w:t>
      </w:r>
      <w:r>
        <w:rPr>
          <w:color w:val="000009"/>
        </w:rPr>
        <w:t>had</w:t>
      </w:r>
      <w:r>
        <w:rPr>
          <w:color w:val="000009"/>
          <w:spacing w:val="53"/>
        </w:rPr>
        <w:t> </w:t>
      </w:r>
      <w:r>
        <w:rPr>
          <w:color w:val="000009"/>
        </w:rPr>
        <w:t>harassed</w:t>
      </w:r>
      <w:r>
        <w:rPr>
          <w:color w:val="000009"/>
          <w:spacing w:val="53"/>
        </w:rPr>
        <w:t> </w:t>
      </w:r>
      <w:r>
        <w:rPr>
          <w:color w:val="000009"/>
        </w:rPr>
        <w:t>his</w:t>
      </w:r>
      <w:r>
        <w:rPr>
          <w:color w:val="000009"/>
          <w:spacing w:val="54"/>
        </w:rPr>
        <w:t> </w:t>
      </w:r>
      <w:r>
        <w:rPr>
          <w:color w:val="000009"/>
        </w:rPr>
        <w:t>daughter</w:t>
      </w:r>
      <w:r>
        <w:rPr>
          <w:color w:val="000009"/>
          <w:spacing w:val="53"/>
        </w:rPr>
        <w:t> </w:t>
      </w:r>
      <w:r>
        <w:rPr>
          <w:color w:val="000009"/>
        </w:rPr>
        <w:t>with</w:t>
      </w:r>
      <w:r>
        <w:rPr>
          <w:color w:val="000009"/>
          <w:spacing w:val="53"/>
        </w:rPr>
        <w:t> </w:t>
      </w:r>
      <w:r>
        <w:rPr>
          <w:color w:val="000009"/>
        </w:rPr>
        <w:t>demands</w:t>
      </w:r>
      <w:r>
        <w:rPr>
          <w:color w:val="000009"/>
          <w:spacing w:val="53"/>
        </w:rPr>
        <w:t> </w:t>
      </w:r>
      <w:r>
        <w:rPr>
          <w:color w:val="000009"/>
        </w:rPr>
        <w:t>for</w:t>
      </w:r>
    </w:p>
    <w:p>
      <w:pPr>
        <w:spacing w:after="0"/>
        <w:sectPr>
          <w:type w:val="continuous"/>
          <w:pgSz w:w="11900" w:h="16840"/>
          <w:pgMar w:top="1360" w:bottom="1180" w:left="940" w:right="1280"/>
          <w:cols w:num="2" w:equalWidth="0">
            <w:col w:w="896" w:space="49"/>
            <w:col w:w="8735"/>
          </w:cols>
        </w:sectPr>
      </w:pPr>
    </w:p>
    <w:p>
      <w:pPr>
        <w:pStyle w:val="ListParagraph"/>
        <w:numPr>
          <w:ilvl w:val="0"/>
          <w:numId w:val="2"/>
        </w:numPr>
        <w:tabs>
          <w:tab w:pos="680" w:val="left" w:leader="none"/>
        </w:tabs>
        <w:spacing w:line="238" w:lineRule="exact" w:before="77" w:after="0"/>
        <w:ind w:left="680" w:right="0" w:hanging="179"/>
        <w:jc w:val="left"/>
        <w:rPr>
          <w:sz w:val="18"/>
        </w:rPr>
      </w:pPr>
      <w:bookmarkStart w:name="_bookmark0" w:id="1"/>
      <w:bookmarkEnd w:id="1"/>
      <w:r>
        <w:rPr/>
      </w:r>
      <w:bookmarkStart w:name="_bookmark1" w:id="2"/>
      <w:bookmarkEnd w:id="2"/>
      <w:r>
        <w:rPr/>
      </w:r>
      <w:bookmarkStart w:name="_bookmark1" w:id="3"/>
      <w:bookmarkEnd w:id="3"/>
      <w:r>
        <w:rPr>
          <w:sz w:val="18"/>
        </w:rPr>
        <w:t>Crimina</w:t>
      </w:r>
      <w:r>
        <w:rPr>
          <w:sz w:val="18"/>
        </w:rPr>
        <w:t>l Revision Case no 2712 of</w:t>
      </w:r>
      <w:r>
        <w:rPr>
          <w:spacing w:val="-6"/>
          <w:sz w:val="18"/>
        </w:rPr>
        <w:t> </w:t>
      </w:r>
      <w:r>
        <w:rPr>
          <w:sz w:val="18"/>
        </w:rPr>
        <w:t>2017</w:t>
      </w:r>
    </w:p>
    <w:p>
      <w:pPr>
        <w:pStyle w:val="ListParagraph"/>
        <w:numPr>
          <w:ilvl w:val="0"/>
          <w:numId w:val="2"/>
        </w:numPr>
        <w:tabs>
          <w:tab w:pos="680" w:val="left" w:leader="none"/>
        </w:tabs>
        <w:spacing w:line="233" w:lineRule="exact" w:before="0" w:after="0"/>
        <w:ind w:left="679" w:right="0" w:hanging="179"/>
        <w:jc w:val="left"/>
        <w:rPr>
          <w:sz w:val="18"/>
        </w:rPr>
      </w:pPr>
      <w:bookmarkStart w:name="_bookmark2" w:id="4"/>
      <w:bookmarkEnd w:id="4"/>
      <w:r>
        <w:rPr/>
      </w:r>
      <w:bookmarkStart w:name="_bookmark2" w:id="5"/>
      <w:bookmarkEnd w:id="5"/>
      <w:r>
        <w:rPr>
          <w:sz w:val="18"/>
        </w:rPr>
        <w:t>“IPC”</w:t>
      </w:r>
    </w:p>
    <w:p>
      <w:pPr>
        <w:pStyle w:val="ListParagraph"/>
        <w:numPr>
          <w:ilvl w:val="0"/>
          <w:numId w:val="2"/>
        </w:numPr>
        <w:tabs>
          <w:tab w:pos="680" w:val="left" w:leader="none"/>
        </w:tabs>
        <w:spacing w:line="239" w:lineRule="exact" w:before="0" w:after="0"/>
        <w:ind w:left="679" w:right="0" w:hanging="179"/>
        <w:jc w:val="left"/>
        <w:rPr>
          <w:sz w:val="18"/>
        </w:rPr>
      </w:pPr>
      <w:r>
        <w:rPr>
          <w:sz w:val="18"/>
        </w:rPr>
        <w:t>“FIR”</w:t>
      </w:r>
    </w:p>
    <w:p>
      <w:pPr>
        <w:spacing w:after="0" w:line="239" w:lineRule="exact"/>
        <w:jc w:val="left"/>
        <w:rPr>
          <w:sz w:val="18"/>
        </w:rPr>
        <w:sectPr>
          <w:type w:val="continuous"/>
          <w:pgSz w:w="11900" w:h="16840"/>
          <w:pgMar w:top="1360" w:bottom="1180" w:left="940" w:right="1280"/>
        </w:sectPr>
      </w:pPr>
    </w:p>
    <w:p>
      <w:pPr>
        <w:pStyle w:val="BodyText"/>
        <w:spacing w:line="480" w:lineRule="auto" w:before="79"/>
        <w:ind w:left="501" w:right="161"/>
        <w:jc w:val="both"/>
      </w:pPr>
      <w:r>
        <w:rPr>
          <w:color w:val="000009"/>
        </w:rPr>
        <w:t>money and transfer of land in their names. The FIR recites that the appellant and the daughter of the fourth respondent got married in 2003. Allegedly, in 2006 the appellant and his family refused to take the complainant’s daughter to the United Kingdom where her husband was staying unless her Stridhana property was transferred in their names.</w:t>
      </w:r>
    </w:p>
    <w:p>
      <w:pPr>
        <w:pStyle w:val="BodyText"/>
        <w:spacing w:before="7"/>
        <w:rPr>
          <w:sz w:val="24"/>
        </w:rPr>
      </w:pPr>
    </w:p>
    <w:p>
      <w:pPr>
        <w:pStyle w:val="ListParagraph"/>
        <w:numPr>
          <w:ilvl w:val="0"/>
          <w:numId w:val="3"/>
        </w:numPr>
        <w:tabs>
          <w:tab w:pos="1222" w:val="left" w:leader="none"/>
        </w:tabs>
        <w:spacing w:line="480" w:lineRule="auto" w:before="0" w:after="0"/>
        <w:ind w:left="501" w:right="159" w:firstLine="0"/>
        <w:jc w:val="both"/>
        <w:rPr>
          <w:sz w:val="25"/>
        </w:rPr>
      </w:pPr>
      <w:r>
        <w:rPr>
          <w:color w:val="000009"/>
          <w:sz w:val="25"/>
        </w:rPr>
        <w:t>On 30 June 2012, a charge-sheet was filed against the appellant and his parents for offences under Section 498A of the IPC along with Sections 3 and 4 of the Dowry Prohibition Act 1961</w:t>
      </w:r>
      <w:hyperlink w:history="true" w:anchor="_bookmark3">
        <w:r>
          <w:rPr>
            <w:color w:val="000009"/>
            <w:position w:val="10"/>
            <w:sz w:val="14"/>
          </w:rPr>
          <w:t>4</w:t>
        </w:r>
      </w:hyperlink>
      <w:r>
        <w:rPr>
          <w:color w:val="000009"/>
          <w:sz w:val="25"/>
        </w:rPr>
        <w:t>. The investigating </w:t>
      </w:r>
      <w:r>
        <w:rPr>
          <w:color w:val="000009"/>
          <w:spacing w:val="-3"/>
          <w:sz w:val="25"/>
        </w:rPr>
        <w:t>officer, </w:t>
      </w:r>
      <w:r>
        <w:rPr>
          <w:color w:val="000009"/>
          <w:sz w:val="25"/>
        </w:rPr>
        <w:t>upon receipt of additional information about the commission of other offences by the appellant, obtained permission from the </w:t>
      </w:r>
      <w:r>
        <w:rPr>
          <w:color w:val="000009"/>
          <w:spacing w:val="-3"/>
          <w:sz w:val="25"/>
        </w:rPr>
        <w:t>Trial </w:t>
      </w:r>
      <w:r>
        <w:rPr>
          <w:color w:val="000009"/>
          <w:sz w:val="25"/>
        </w:rPr>
        <w:t>Court for further investigation. Based on the statements of various witnesses under Section 161 of the Code of Criminal Procedure 1973</w:t>
      </w:r>
      <w:hyperlink w:history="true" w:anchor="_bookmark4">
        <w:r>
          <w:rPr>
            <w:color w:val="000009"/>
            <w:position w:val="10"/>
            <w:sz w:val="14"/>
          </w:rPr>
          <w:t>5</w:t>
        </w:r>
      </w:hyperlink>
      <w:r>
        <w:rPr>
          <w:color w:val="000009"/>
          <w:position w:val="10"/>
          <w:sz w:val="14"/>
        </w:rPr>
        <w:t> </w:t>
      </w:r>
      <w:r>
        <w:rPr>
          <w:color w:val="000009"/>
          <w:sz w:val="25"/>
        </w:rPr>
        <w:t>with respect to the appellant raising a demand of Rs 5,00,000/- for securing a job for the complainant’s daughter as a doctor in the</w:t>
      </w:r>
      <w:r>
        <w:rPr>
          <w:color w:val="000009"/>
          <w:spacing w:val="8"/>
          <w:sz w:val="25"/>
        </w:rPr>
        <w:t> </w:t>
      </w:r>
      <w:r>
        <w:rPr>
          <w:color w:val="000009"/>
          <w:sz w:val="25"/>
        </w:rPr>
        <w:t>United Kingdom, an additional charge-sheet was filed on 12 April 2013 in respect of the alleged commission of offences under Sections 406 and 420 of the IPC. The </w:t>
      </w:r>
      <w:r>
        <w:rPr>
          <w:color w:val="000009"/>
          <w:spacing w:val="-3"/>
          <w:sz w:val="25"/>
        </w:rPr>
        <w:t>Trial </w:t>
      </w:r>
      <w:r>
        <w:rPr>
          <w:color w:val="000009"/>
          <w:sz w:val="25"/>
        </w:rPr>
        <w:t>Court framed charges against the appellant only for offences mentioned in the original charge-sheet dated 30 June 2012 under Section 498A of the IPC along with Sections 3 and 4 of the Dowry Prohibition Act. The trial commenced and after the recording of evidence and conclusion of arguments, the case was reserved for judgment on 13 February</w:t>
      </w:r>
      <w:r>
        <w:rPr>
          <w:color w:val="000009"/>
          <w:spacing w:val="-5"/>
          <w:sz w:val="25"/>
        </w:rPr>
        <w:t> </w:t>
      </w:r>
      <w:r>
        <w:rPr>
          <w:color w:val="000009"/>
          <w:sz w:val="25"/>
        </w:rPr>
        <w:t>2017.</w:t>
      </w:r>
    </w:p>
    <w:p>
      <w:pPr>
        <w:pStyle w:val="BodyText"/>
        <w:spacing w:before="8"/>
        <w:rPr>
          <w:sz w:val="23"/>
        </w:rPr>
      </w:pPr>
    </w:p>
    <w:p>
      <w:pPr>
        <w:pStyle w:val="ListParagraph"/>
        <w:numPr>
          <w:ilvl w:val="0"/>
          <w:numId w:val="3"/>
        </w:numPr>
        <w:tabs>
          <w:tab w:pos="1222" w:val="left" w:leader="none"/>
        </w:tabs>
        <w:spacing w:line="480" w:lineRule="auto" w:before="0" w:after="0"/>
        <w:ind w:left="501" w:right="168" w:firstLine="0"/>
        <w:jc w:val="both"/>
        <w:rPr>
          <w:sz w:val="25"/>
        </w:rPr>
      </w:pPr>
      <w:r>
        <w:rPr>
          <w:color w:val="000009"/>
          <w:sz w:val="25"/>
        </w:rPr>
        <w:t>On 13 February 2017, an application was filed by the Public Prosecutor under Section 216 of CrPC for alteration of charge stating that even though</w:t>
      </w:r>
      <w:r>
        <w:rPr>
          <w:color w:val="000009"/>
          <w:spacing w:val="-19"/>
          <w:sz w:val="25"/>
        </w:rPr>
        <w:t> </w:t>
      </w:r>
      <w:r>
        <w:rPr>
          <w:color w:val="000009"/>
          <w:sz w:val="25"/>
        </w:rPr>
        <w:t>an</w:t>
      </w:r>
    </w:p>
    <w:p>
      <w:pPr>
        <w:pStyle w:val="BodyText"/>
        <w:spacing w:before="11"/>
        <w:rPr>
          <w:sz w:val="15"/>
        </w:rPr>
      </w:pPr>
      <w:r>
        <w:rPr/>
        <w:pict>
          <v:line style="position:absolute;mso-position-horizontal-relative:page;mso-position-vertical-relative:paragraph;z-index:-251656192;mso-wrap-distance-left:0;mso-wrap-distance-right:0" from="72pt,11.381006pt" to="184.8pt,11.381006pt" stroked="true" strokeweight=".5pt" strokecolor="#000000">
            <v:stroke dashstyle="solid"/>
            <w10:wrap type="topAndBottom"/>
          </v:line>
        </w:pict>
      </w:r>
    </w:p>
    <w:p>
      <w:pPr>
        <w:pStyle w:val="ListParagraph"/>
        <w:numPr>
          <w:ilvl w:val="0"/>
          <w:numId w:val="4"/>
        </w:numPr>
        <w:tabs>
          <w:tab w:pos="680" w:val="left" w:leader="none"/>
        </w:tabs>
        <w:spacing w:line="239" w:lineRule="exact" w:before="12" w:after="0"/>
        <w:ind w:left="679" w:right="0" w:hanging="179"/>
        <w:jc w:val="both"/>
        <w:rPr>
          <w:sz w:val="18"/>
        </w:rPr>
      </w:pPr>
      <w:bookmarkStart w:name="_bookmark3" w:id="6"/>
      <w:bookmarkEnd w:id="6"/>
      <w:r>
        <w:rPr/>
      </w:r>
      <w:bookmarkStart w:name="_bookmark4" w:id="7"/>
      <w:bookmarkEnd w:id="7"/>
      <w:r>
        <w:rPr/>
      </w:r>
      <w:bookmarkStart w:name="_bookmark4" w:id="8"/>
      <w:bookmarkEnd w:id="8"/>
      <w:r>
        <w:rPr>
          <w:sz w:val="18"/>
        </w:rPr>
        <w:t>“Dowry</w:t>
      </w:r>
      <w:r>
        <w:rPr>
          <w:sz w:val="18"/>
        </w:rPr>
        <w:t> Prohibition</w:t>
      </w:r>
      <w:r>
        <w:rPr>
          <w:spacing w:val="-13"/>
          <w:sz w:val="18"/>
        </w:rPr>
        <w:t> </w:t>
      </w:r>
      <w:r>
        <w:rPr>
          <w:sz w:val="18"/>
        </w:rPr>
        <w:t>Act”</w:t>
      </w:r>
    </w:p>
    <w:p>
      <w:pPr>
        <w:pStyle w:val="ListParagraph"/>
        <w:numPr>
          <w:ilvl w:val="0"/>
          <w:numId w:val="4"/>
        </w:numPr>
        <w:tabs>
          <w:tab w:pos="680" w:val="left" w:leader="none"/>
        </w:tabs>
        <w:spacing w:line="239" w:lineRule="exact" w:before="0" w:after="0"/>
        <w:ind w:left="679" w:right="0" w:hanging="179"/>
        <w:jc w:val="both"/>
        <w:rPr>
          <w:sz w:val="18"/>
        </w:rPr>
      </w:pPr>
      <w:r>
        <w:rPr>
          <w:color w:val="000009"/>
          <w:sz w:val="18"/>
        </w:rPr>
        <w:t>“CrPC”</w:t>
      </w:r>
    </w:p>
    <w:p>
      <w:pPr>
        <w:spacing w:after="0" w:line="239" w:lineRule="exact"/>
        <w:jc w:val="both"/>
        <w:rPr>
          <w:sz w:val="18"/>
        </w:rPr>
        <w:sectPr>
          <w:pgSz w:w="11900" w:h="16840"/>
          <w:pgMar w:header="0" w:footer="982" w:top="1360" w:bottom="1180" w:left="940" w:right="1280"/>
        </w:sectPr>
      </w:pPr>
    </w:p>
    <w:p>
      <w:pPr>
        <w:pStyle w:val="BodyText"/>
        <w:spacing w:line="480" w:lineRule="auto" w:before="79"/>
        <w:ind w:left="501" w:right="161"/>
        <w:jc w:val="both"/>
      </w:pPr>
      <w:r>
        <w:rPr>
          <w:color w:val="000009"/>
        </w:rPr>
        <w:t>additional charge-sheet had been filed by the investigating officer on 12 April 2013 implicating the appellant for crimes under Sections 406 and 420, charges were not framed by the trial judge under those provisions. On 21 February 2017, the </w:t>
      </w:r>
      <w:r>
        <w:rPr>
          <w:color w:val="000009"/>
          <w:spacing w:val="-3"/>
        </w:rPr>
        <w:t>Trial </w:t>
      </w:r>
      <w:r>
        <w:rPr>
          <w:color w:val="000009"/>
        </w:rPr>
        <w:t>Court allowed the application and charges under Sections 406 and 420 were framed against the appellant. The </w:t>
      </w:r>
      <w:r>
        <w:rPr>
          <w:color w:val="000009"/>
          <w:spacing w:val="-3"/>
        </w:rPr>
        <w:t>Trial </w:t>
      </w:r>
      <w:r>
        <w:rPr>
          <w:color w:val="000009"/>
        </w:rPr>
        <w:t>Court observed that the court only had the opportunity of going through the original charge-sheet dated 30 June 2012 and not the additional charge-sheet dated 12 April 2013 that was kept in a separate bundle. Aggrieved by the order of the </w:t>
      </w:r>
      <w:r>
        <w:rPr>
          <w:color w:val="000009"/>
          <w:spacing w:val="-3"/>
        </w:rPr>
        <w:t>Trial </w:t>
      </w:r>
      <w:r>
        <w:rPr>
          <w:color w:val="000009"/>
        </w:rPr>
        <w:t>Court, the appellant instituted revisional proceedings before the High Court.</w:t>
      </w:r>
    </w:p>
    <w:p>
      <w:pPr>
        <w:pStyle w:val="BodyText"/>
        <w:spacing w:before="3"/>
        <w:rPr>
          <w:sz w:val="24"/>
        </w:rPr>
      </w:pPr>
    </w:p>
    <w:p>
      <w:pPr>
        <w:pStyle w:val="ListParagraph"/>
        <w:numPr>
          <w:ilvl w:val="0"/>
          <w:numId w:val="5"/>
        </w:numPr>
        <w:tabs>
          <w:tab w:pos="1222" w:val="left" w:leader="none"/>
        </w:tabs>
        <w:spacing w:line="480" w:lineRule="auto" w:before="1" w:after="0"/>
        <w:ind w:left="501" w:right="160" w:firstLine="0"/>
        <w:jc w:val="both"/>
        <w:rPr>
          <w:sz w:val="25"/>
        </w:rPr>
      </w:pPr>
      <w:r>
        <w:rPr>
          <w:color w:val="000009"/>
          <w:sz w:val="25"/>
        </w:rPr>
        <w:t>On 1 June 2017, a Single Judge of the High Court allowed the revision petition</w:t>
      </w:r>
      <w:hyperlink w:history="true" w:anchor="_bookmark5">
        <w:r>
          <w:rPr>
            <w:color w:val="000009"/>
            <w:position w:val="10"/>
            <w:sz w:val="14"/>
          </w:rPr>
          <w:t>6</w:t>
        </w:r>
      </w:hyperlink>
      <w:r>
        <w:rPr>
          <w:color w:val="000009"/>
          <w:position w:val="10"/>
          <w:sz w:val="14"/>
        </w:rPr>
        <w:t> </w:t>
      </w:r>
      <w:r>
        <w:rPr>
          <w:color w:val="000009"/>
          <w:sz w:val="25"/>
        </w:rPr>
        <w:t>and set aside the order of the </w:t>
      </w:r>
      <w:r>
        <w:rPr>
          <w:color w:val="000009"/>
          <w:spacing w:val="-3"/>
          <w:sz w:val="25"/>
        </w:rPr>
        <w:t>Trial </w:t>
      </w:r>
      <w:r>
        <w:rPr>
          <w:color w:val="000009"/>
          <w:sz w:val="25"/>
        </w:rPr>
        <w:t>Court framing additional charges on the ground of procedural irregularity but left it open to the </w:t>
      </w:r>
      <w:r>
        <w:rPr>
          <w:color w:val="000009"/>
          <w:spacing w:val="-3"/>
          <w:sz w:val="25"/>
        </w:rPr>
        <w:t>Trial </w:t>
      </w:r>
      <w:r>
        <w:rPr>
          <w:color w:val="000009"/>
          <w:sz w:val="25"/>
        </w:rPr>
        <w:t>Court to frame, if at all </w:t>
      </w:r>
      <w:r>
        <w:rPr>
          <w:color w:val="000009"/>
          <w:spacing w:val="-3"/>
          <w:sz w:val="25"/>
        </w:rPr>
        <w:t>necessary, </w:t>
      </w:r>
      <w:r>
        <w:rPr>
          <w:color w:val="000009"/>
          <w:sz w:val="25"/>
        </w:rPr>
        <w:t>any additional charges after providing both the sides with an opportunity of hearing and recalling</w:t>
      </w:r>
      <w:r>
        <w:rPr>
          <w:color w:val="000009"/>
          <w:spacing w:val="-5"/>
          <w:sz w:val="25"/>
        </w:rPr>
        <w:t> </w:t>
      </w:r>
      <w:r>
        <w:rPr>
          <w:color w:val="000009"/>
          <w:sz w:val="25"/>
        </w:rPr>
        <w:t>witnesses.</w:t>
      </w:r>
    </w:p>
    <w:p>
      <w:pPr>
        <w:pStyle w:val="BodyText"/>
        <w:spacing w:before="5"/>
        <w:rPr>
          <w:sz w:val="24"/>
        </w:rPr>
      </w:pPr>
    </w:p>
    <w:p>
      <w:pPr>
        <w:pStyle w:val="ListParagraph"/>
        <w:numPr>
          <w:ilvl w:val="0"/>
          <w:numId w:val="5"/>
        </w:numPr>
        <w:tabs>
          <w:tab w:pos="1222" w:val="left" w:leader="none"/>
        </w:tabs>
        <w:spacing w:line="480" w:lineRule="auto" w:before="0" w:after="0"/>
        <w:ind w:left="501" w:right="165" w:firstLine="0"/>
        <w:jc w:val="both"/>
        <w:rPr>
          <w:sz w:val="25"/>
        </w:rPr>
      </w:pPr>
      <w:r>
        <w:rPr>
          <w:color w:val="000009"/>
          <w:sz w:val="25"/>
        </w:rPr>
        <w:t>The </w:t>
      </w:r>
      <w:r>
        <w:rPr>
          <w:color w:val="000009"/>
          <w:spacing w:val="-3"/>
          <w:sz w:val="25"/>
        </w:rPr>
        <w:t>Trial </w:t>
      </w:r>
      <w:r>
        <w:rPr>
          <w:color w:val="000009"/>
          <w:sz w:val="25"/>
        </w:rPr>
        <w:t>Court after hearing arguments on behalf of both the sides and perusing the material available on record concluded that the ingredients for offences under Sections 406 and 420 IPC were not made out and by an order dated 11 October 2017 rejected the application for framing additional charges. The fourth respondent filed a revision petition before the High Court against the above order of the </w:t>
      </w:r>
      <w:r>
        <w:rPr>
          <w:color w:val="000009"/>
          <w:spacing w:val="-3"/>
          <w:sz w:val="25"/>
        </w:rPr>
        <w:t>Trial</w:t>
      </w:r>
      <w:r>
        <w:rPr>
          <w:color w:val="000009"/>
          <w:spacing w:val="-10"/>
          <w:sz w:val="25"/>
        </w:rPr>
        <w:t> </w:t>
      </w:r>
      <w:r>
        <w:rPr>
          <w:color w:val="000009"/>
          <w:sz w:val="25"/>
        </w:rPr>
        <w:t>Court.</w:t>
      </w:r>
    </w:p>
    <w:p>
      <w:pPr>
        <w:pStyle w:val="BodyText"/>
        <w:spacing w:before="6"/>
        <w:rPr>
          <w:sz w:val="24"/>
        </w:rPr>
      </w:pPr>
    </w:p>
    <w:p>
      <w:pPr>
        <w:pStyle w:val="ListParagraph"/>
        <w:numPr>
          <w:ilvl w:val="0"/>
          <w:numId w:val="5"/>
        </w:numPr>
        <w:tabs>
          <w:tab w:pos="1222" w:val="left" w:leader="none"/>
        </w:tabs>
        <w:spacing w:line="480" w:lineRule="auto" w:before="0" w:after="0"/>
        <w:ind w:left="501" w:right="166" w:firstLine="0"/>
        <w:jc w:val="both"/>
        <w:rPr>
          <w:sz w:val="25"/>
        </w:rPr>
      </w:pPr>
      <w:r>
        <w:rPr/>
        <w:pict>
          <v:line style="position:absolute;mso-position-horizontal-relative:page;mso-position-vertical-relative:paragraph;z-index:-252019712" from="72pt,54.47485pt" to="184.8pt,54.47485pt" stroked="true" strokeweight=".5pt" strokecolor="#000000">
            <v:stroke dashstyle="solid"/>
            <w10:wrap type="none"/>
          </v:line>
        </w:pict>
      </w:r>
      <w:r>
        <w:rPr>
          <w:color w:val="000009"/>
          <w:sz w:val="25"/>
        </w:rPr>
        <w:t>On 6 March 2019, a Single Judge of the High Court allowed the revision petition</w:t>
      </w:r>
      <w:hyperlink w:history="true" w:anchor="_bookmark6">
        <w:r>
          <w:rPr>
            <w:color w:val="000009"/>
            <w:position w:val="10"/>
            <w:sz w:val="14"/>
          </w:rPr>
          <w:t>7</w:t>
        </w:r>
      </w:hyperlink>
      <w:r>
        <w:rPr>
          <w:color w:val="000009"/>
          <w:spacing w:val="11"/>
          <w:position w:val="10"/>
          <w:sz w:val="14"/>
        </w:rPr>
        <w:t> </w:t>
      </w:r>
      <w:r>
        <w:rPr>
          <w:color w:val="000009"/>
          <w:sz w:val="25"/>
        </w:rPr>
        <w:t>and</w:t>
      </w:r>
      <w:r>
        <w:rPr>
          <w:color w:val="000009"/>
          <w:spacing w:val="19"/>
          <w:sz w:val="25"/>
        </w:rPr>
        <w:t> </w:t>
      </w:r>
      <w:r>
        <w:rPr>
          <w:color w:val="000009"/>
          <w:sz w:val="25"/>
        </w:rPr>
        <w:t>set</w:t>
      </w:r>
      <w:r>
        <w:rPr>
          <w:color w:val="000009"/>
          <w:spacing w:val="18"/>
          <w:sz w:val="25"/>
        </w:rPr>
        <w:t> </w:t>
      </w:r>
      <w:r>
        <w:rPr>
          <w:color w:val="000009"/>
          <w:sz w:val="25"/>
        </w:rPr>
        <w:t>aside</w:t>
      </w:r>
      <w:r>
        <w:rPr>
          <w:color w:val="000009"/>
          <w:spacing w:val="21"/>
          <w:sz w:val="25"/>
        </w:rPr>
        <w:t> </w:t>
      </w:r>
      <w:r>
        <w:rPr>
          <w:color w:val="000009"/>
          <w:sz w:val="25"/>
        </w:rPr>
        <w:t>the</w:t>
      </w:r>
      <w:r>
        <w:rPr>
          <w:color w:val="000009"/>
          <w:spacing w:val="15"/>
          <w:sz w:val="25"/>
        </w:rPr>
        <w:t> </w:t>
      </w:r>
      <w:r>
        <w:rPr>
          <w:color w:val="000009"/>
          <w:spacing w:val="-3"/>
          <w:sz w:val="25"/>
        </w:rPr>
        <w:t>Trial</w:t>
      </w:r>
      <w:r>
        <w:rPr>
          <w:color w:val="000009"/>
          <w:spacing w:val="19"/>
          <w:sz w:val="25"/>
        </w:rPr>
        <w:t> </w:t>
      </w:r>
      <w:r>
        <w:rPr>
          <w:color w:val="000009"/>
          <w:sz w:val="25"/>
        </w:rPr>
        <w:t>Court’s</w:t>
      </w:r>
      <w:r>
        <w:rPr>
          <w:color w:val="000009"/>
          <w:spacing w:val="19"/>
          <w:sz w:val="25"/>
        </w:rPr>
        <w:t> </w:t>
      </w:r>
      <w:r>
        <w:rPr>
          <w:color w:val="000009"/>
          <w:spacing w:val="-3"/>
          <w:sz w:val="25"/>
        </w:rPr>
        <w:t>order.</w:t>
      </w:r>
      <w:r>
        <w:rPr>
          <w:color w:val="000009"/>
          <w:spacing w:val="14"/>
          <w:sz w:val="25"/>
        </w:rPr>
        <w:t> </w:t>
      </w:r>
      <w:r>
        <w:rPr>
          <w:color w:val="000009"/>
          <w:sz w:val="25"/>
        </w:rPr>
        <w:t>The</w:t>
      </w:r>
      <w:r>
        <w:rPr>
          <w:color w:val="000009"/>
          <w:spacing w:val="21"/>
          <w:sz w:val="25"/>
        </w:rPr>
        <w:t> </w:t>
      </w:r>
      <w:r>
        <w:rPr>
          <w:color w:val="000009"/>
          <w:sz w:val="25"/>
        </w:rPr>
        <w:t>High</w:t>
      </w:r>
      <w:r>
        <w:rPr>
          <w:color w:val="000009"/>
          <w:spacing w:val="19"/>
          <w:sz w:val="25"/>
        </w:rPr>
        <w:t> </w:t>
      </w:r>
      <w:r>
        <w:rPr>
          <w:color w:val="000009"/>
          <w:sz w:val="25"/>
        </w:rPr>
        <w:t>Court</w:t>
      </w:r>
      <w:r>
        <w:rPr>
          <w:color w:val="000009"/>
          <w:spacing w:val="19"/>
          <w:sz w:val="25"/>
        </w:rPr>
        <w:t> </w:t>
      </w:r>
      <w:r>
        <w:rPr>
          <w:color w:val="000009"/>
          <w:sz w:val="25"/>
        </w:rPr>
        <w:t>held</w:t>
      </w:r>
      <w:r>
        <w:rPr>
          <w:color w:val="000009"/>
          <w:spacing w:val="21"/>
          <w:sz w:val="25"/>
        </w:rPr>
        <w:t> </w:t>
      </w:r>
      <w:r>
        <w:rPr>
          <w:color w:val="000009"/>
          <w:sz w:val="25"/>
        </w:rPr>
        <w:t>that</w:t>
      </w:r>
      <w:r>
        <w:rPr>
          <w:color w:val="000009"/>
          <w:spacing w:val="20"/>
          <w:sz w:val="25"/>
        </w:rPr>
        <w:t> </w:t>
      </w:r>
      <w:r>
        <w:rPr>
          <w:color w:val="000009"/>
          <w:sz w:val="25"/>
        </w:rPr>
        <w:t>the</w:t>
      </w:r>
      <w:r>
        <w:rPr>
          <w:color w:val="000009"/>
          <w:spacing w:val="15"/>
          <w:sz w:val="25"/>
        </w:rPr>
        <w:t> </w:t>
      </w:r>
      <w:r>
        <w:rPr>
          <w:color w:val="000009"/>
          <w:spacing w:val="-3"/>
          <w:sz w:val="25"/>
        </w:rPr>
        <w:t>Trial</w:t>
      </w:r>
    </w:p>
    <w:p>
      <w:pPr>
        <w:pStyle w:val="ListParagraph"/>
        <w:numPr>
          <w:ilvl w:val="0"/>
          <w:numId w:val="6"/>
        </w:numPr>
        <w:tabs>
          <w:tab w:pos="680" w:val="left" w:leader="none"/>
        </w:tabs>
        <w:spacing w:line="224" w:lineRule="exact" w:before="0" w:after="0"/>
        <w:ind w:left="680" w:right="0" w:hanging="179"/>
        <w:jc w:val="both"/>
        <w:rPr>
          <w:rFonts w:ascii="Verdana"/>
          <w:color w:val="000009"/>
          <w:sz w:val="20"/>
        </w:rPr>
      </w:pPr>
      <w:bookmarkStart w:name="_bookmark5" w:id="9"/>
      <w:bookmarkEnd w:id="9"/>
      <w:r>
        <w:rPr/>
      </w:r>
      <w:bookmarkStart w:name="_bookmark6" w:id="10"/>
      <w:bookmarkEnd w:id="10"/>
      <w:r>
        <w:rPr/>
      </w:r>
      <w:bookmarkStart w:name="_bookmark6" w:id="11"/>
      <w:bookmarkEnd w:id="11"/>
      <w:r>
        <w:rPr>
          <w:sz w:val="18"/>
        </w:rPr>
        <w:t>Crimina</w:t>
      </w:r>
      <w:r>
        <w:rPr>
          <w:sz w:val="18"/>
        </w:rPr>
        <w:t>l Revision Case no 661 of</w:t>
      </w:r>
      <w:r>
        <w:rPr>
          <w:spacing w:val="-6"/>
          <w:sz w:val="18"/>
        </w:rPr>
        <w:t> </w:t>
      </w:r>
      <w:r>
        <w:rPr>
          <w:sz w:val="18"/>
        </w:rPr>
        <w:t>2017</w:t>
      </w:r>
    </w:p>
    <w:p>
      <w:pPr>
        <w:pStyle w:val="ListParagraph"/>
        <w:numPr>
          <w:ilvl w:val="0"/>
          <w:numId w:val="6"/>
        </w:numPr>
        <w:tabs>
          <w:tab w:pos="680" w:val="left" w:leader="none"/>
        </w:tabs>
        <w:spacing w:line="239" w:lineRule="exact" w:before="0" w:after="0"/>
        <w:ind w:left="680" w:right="0" w:hanging="179"/>
        <w:jc w:val="both"/>
        <w:rPr>
          <w:rFonts w:ascii="Verdana"/>
          <w:color w:val="000009"/>
          <w:sz w:val="20"/>
        </w:rPr>
      </w:pPr>
      <w:r>
        <w:rPr>
          <w:sz w:val="18"/>
        </w:rPr>
        <w:t>Criminal Revision Case no 2712 of</w:t>
      </w:r>
      <w:r>
        <w:rPr>
          <w:spacing w:val="-6"/>
          <w:sz w:val="18"/>
        </w:rPr>
        <w:t> </w:t>
      </w:r>
      <w:r>
        <w:rPr>
          <w:sz w:val="18"/>
        </w:rPr>
        <w:t>2017</w:t>
      </w:r>
    </w:p>
    <w:p>
      <w:pPr>
        <w:spacing w:after="0" w:line="239" w:lineRule="exact"/>
        <w:jc w:val="both"/>
        <w:rPr>
          <w:rFonts w:ascii="Verdana"/>
          <w:sz w:val="20"/>
        </w:rPr>
        <w:sectPr>
          <w:footerReference w:type="default" r:id="rId6"/>
          <w:pgSz w:w="11900" w:h="16840"/>
          <w:pgMar w:footer="982" w:header="0" w:top="1360" w:bottom="1180" w:left="940" w:right="1280"/>
          <w:pgNumType w:start="3"/>
        </w:sectPr>
      </w:pPr>
    </w:p>
    <w:p>
      <w:pPr>
        <w:pStyle w:val="BodyText"/>
        <w:spacing w:line="480" w:lineRule="auto" w:before="79"/>
        <w:ind w:left="501" w:right="163"/>
        <w:jc w:val="both"/>
      </w:pPr>
      <w:r>
        <w:rPr>
          <w:color w:val="000009"/>
        </w:rPr>
        <w:t>Court while rejecting the application under Section 216 did not disclose the reasons for concluding that the ingredients of Sections 406 and 420 were not attracted and only touched upon the lapses of the prosecution in not seeking an alteration of charges during the course of the trial. The High Court while directing the framing of additional charges under Sections 406 and 420 of IPC evaluated the witness statements brought on record during the course of investigation and referred to the additional charge-sheet filed on 12 April 2013.</w:t>
      </w:r>
    </w:p>
    <w:p>
      <w:pPr>
        <w:pStyle w:val="BodyText"/>
        <w:spacing w:before="5"/>
        <w:rPr>
          <w:sz w:val="24"/>
        </w:rPr>
      </w:pPr>
    </w:p>
    <w:p>
      <w:pPr>
        <w:pStyle w:val="ListParagraph"/>
        <w:numPr>
          <w:ilvl w:val="0"/>
          <w:numId w:val="6"/>
        </w:numPr>
        <w:tabs>
          <w:tab w:pos="1222" w:val="left" w:leader="none"/>
        </w:tabs>
        <w:spacing w:line="480" w:lineRule="auto" w:before="1" w:after="0"/>
        <w:ind w:left="501" w:right="165" w:firstLine="0"/>
        <w:jc w:val="both"/>
        <w:rPr>
          <w:color w:val="000009"/>
          <w:sz w:val="25"/>
        </w:rPr>
      </w:pPr>
      <w:r>
        <w:rPr>
          <w:color w:val="000009"/>
          <w:sz w:val="25"/>
        </w:rPr>
        <w:t>Aggrieved by the order dated 6 March 2019 of the High Court, the appellant moved this Court under Article 136 of the</w:t>
      </w:r>
      <w:r>
        <w:rPr>
          <w:color w:val="000009"/>
          <w:spacing w:val="-27"/>
          <w:sz w:val="25"/>
        </w:rPr>
        <w:t> </w:t>
      </w:r>
      <w:r>
        <w:rPr>
          <w:color w:val="000009"/>
          <w:sz w:val="25"/>
        </w:rPr>
        <w:t>Constitution.</w:t>
      </w:r>
    </w:p>
    <w:p>
      <w:pPr>
        <w:pStyle w:val="BodyText"/>
        <w:spacing w:before="7"/>
        <w:rPr>
          <w:sz w:val="24"/>
        </w:rPr>
      </w:pPr>
    </w:p>
    <w:p>
      <w:pPr>
        <w:pStyle w:val="ListParagraph"/>
        <w:numPr>
          <w:ilvl w:val="0"/>
          <w:numId w:val="6"/>
        </w:numPr>
        <w:tabs>
          <w:tab w:pos="1222" w:val="left" w:leader="none"/>
        </w:tabs>
        <w:spacing w:line="480" w:lineRule="auto" w:before="1" w:after="0"/>
        <w:ind w:left="501" w:right="165" w:firstLine="0"/>
        <w:jc w:val="both"/>
        <w:rPr>
          <w:color w:val="000009"/>
          <w:sz w:val="25"/>
        </w:rPr>
      </w:pPr>
      <w:r>
        <w:rPr>
          <w:color w:val="000009"/>
          <w:sz w:val="25"/>
        </w:rPr>
        <w:t>Ms Anitha </w:t>
      </w:r>
      <w:r>
        <w:rPr>
          <w:color w:val="000009"/>
          <w:spacing w:val="-4"/>
          <w:sz w:val="25"/>
        </w:rPr>
        <w:t>Shenoy, </w:t>
      </w:r>
      <w:r>
        <w:rPr>
          <w:color w:val="000009"/>
          <w:sz w:val="25"/>
        </w:rPr>
        <w:t>learned Senior Counsel appearing on behalf of the appellant has urged the following</w:t>
      </w:r>
      <w:r>
        <w:rPr>
          <w:color w:val="000009"/>
          <w:spacing w:val="-1"/>
          <w:sz w:val="25"/>
        </w:rPr>
        <w:t> </w:t>
      </w:r>
      <w:r>
        <w:rPr>
          <w:color w:val="000009"/>
          <w:sz w:val="25"/>
        </w:rPr>
        <w:t>submissions:</w:t>
      </w:r>
    </w:p>
    <w:p>
      <w:pPr>
        <w:pStyle w:val="ListParagraph"/>
        <w:numPr>
          <w:ilvl w:val="1"/>
          <w:numId w:val="6"/>
        </w:numPr>
        <w:tabs>
          <w:tab w:pos="1582" w:val="left" w:leader="none"/>
        </w:tabs>
        <w:spacing w:line="574" w:lineRule="exact" w:before="61" w:after="0"/>
        <w:ind w:left="1582" w:right="162" w:hanging="720"/>
        <w:jc w:val="both"/>
        <w:rPr>
          <w:sz w:val="25"/>
        </w:rPr>
      </w:pPr>
      <w:r>
        <w:rPr>
          <w:color w:val="000009"/>
          <w:sz w:val="25"/>
        </w:rPr>
        <w:t>An application for alteration of charge under Section 216 was intentionally filed on the date of the pronouncement of judgment to unnecessarily delay the</w:t>
      </w:r>
      <w:r>
        <w:rPr>
          <w:color w:val="000009"/>
          <w:spacing w:val="-1"/>
          <w:sz w:val="25"/>
        </w:rPr>
        <w:t> </w:t>
      </w:r>
      <w:r>
        <w:rPr>
          <w:color w:val="000009"/>
          <w:sz w:val="25"/>
        </w:rPr>
        <w:t>proceedings;</w:t>
      </w:r>
    </w:p>
    <w:p>
      <w:pPr>
        <w:pStyle w:val="ListParagraph"/>
        <w:numPr>
          <w:ilvl w:val="1"/>
          <w:numId w:val="6"/>
        </w:numPr>
        <w:tabs>
          <w:tab w:pos="1581" w:val="left" w:leader="none"/>
          <w:tab w:pos="1582" w:val="left" w:leader="none"/>
        </w:tabs>
        <w:spacing w:line="224" w:lineRule="exact" w:before="0" w:after="0"/>
        <w:ind w:left="1582" w:right="0" w:hanging="721"/>
        <w:jc w:val="left"/>
        <w:rPr>
          <w:sz w:val="25"/>
        </w:rPr>
      </w:pPr>
      <w:r>
        <w:rPr>
          <w:color w:val="000009"/>
          <w:sz w:val="25"/>
        </w:rPr>
        <w:t>The FIR dated 10 March 2011, filed by the fourth</w:t>
      </w:r>
      <w:r>
        <w:rPr>
          <w:color w:val="000009"/>
          <w:spacing w:val="24"/>
          <w:sz w:val="25"/>
        </w:rPr>
        <w:t> </w:t>
      </w:r>
      <w:r>
        <w:rPr>
          <w:color w:val="000009"/>
          <w:sz w:val="25"/>
        </w:rPr>
        <w:t>respondent, has no</w:t>
      </w:r>
    </w:p>
    <w:p>
      <w:pPr>
        <w:pStyle w:val="BodyText"/>
        <w:spacing w:line="570" w:lineRule="atLeast" w:before="4"/>
        <w:ind w:left="1582" w:right="162"/>
        <w:jc w:val="both"/>
      </w:pPr>
      <w:r>
        <w:rPr>
          <w:color w:val="000009"/>
        </w:rPr>
        <w:t>mention of any demand or payment of Rs 5,00,000/- to the appellant for securing a job for the complainant’s daughter. The FIR only refers to facts with respect to alleged offences under Section 498A of the IPC and Section 4 of the Dowry Prohibition Act;</w:t>
      </w:r>
    </w:p>
    <w:p>
      <w:pPr>
        <w:pStyle w:val="ListParagraph"/>
        <w:numPr>
          <w:ilvl w:val="1"/>
          <w:numId w:val="6"/>
        </w:numPr>
        <w:tabs>
          <w:tab w:pos="1582" w:val="left" w:leader="none"/>
        </w:tabs>
        <w:spacing w:line="480" w:lineRule="auto" w:before="13" w:after="0"/>
        <w:ind w:left="1582" w:right="161" w:hanging="720"/>
        <w:jc w:val="both"/>
        <w:rPr>
          <w:sz w:val="25"/>
        </w:rPr>
      </w:pPr>
      <w:r>
        <w:rPr>
          <w:color w:val="000009"/>
          <w:sz w:val="25"/>
        </w:rPr>
        <w:t>Both the fourth respondent and his daughter being doctors are aware that a doctor’s job cannot be secured in the United Kingdom without clearing an entrance test. </w:t>
      </w:r>
      <w:r>
        <w:rPr>
          <w:color w:val="000009"/>
          <w:spacing w:val="-3"/>
          <w:sz w:val="25"/>
        </w:rPr>
        <w:t>Accordingly, </w:t>
      </w:r>
      <w:r>
        <w:rPr>
          <w:color w:val="000009"/>
          <w:sz w:val="25"/>
        </w:rPr>
        <w:t>the question of paying Rs 5,00,000/- to the appellant for securing a job does not</w:t>
      </w:r>
      <w:r>
        <w:rPr>
          <w:color w:val="000009"/>
          <w:spacing w:val="-18"/>
          <w:sz w:val="25"/>
        </w:rPr>
        <w:t> </w:t>
      </w:r>
      <w:r>
        <w:rPr>
          <w:color w:val="000009"/>
          <w:sz w:val="25"/>
        </w:rPr>
        <w:t>arise;</w:t>
      </w:r>
    </w:p>
    <w:p>
      <w:pPr>
        <w:spacing w:after="0" w:line="480" w:lineRule="auto"/>
        <w:jc w:val="both"/>
        <w:rPr>
          <w:sz w:val="25"/>
        </w:rPr>
        <w:sectPr>
          <w:pgSz w:w="11900" w:h="16840"/>
          <w:pgMar w:header="0" w:footer="982" w:top="1360" w:bottom="1180" w:left="940" w:right="1280"/>
        </w:sectPr>
      </w:pPr>
    </w:p>
    <w:p>
      <w:pPr>
        <w:pStyle w:val="ListParagraph"/>
        <w:numPr>
          <w:ilvl w:val="1"/>
          <w:numId w:val="6"/>
        </w:numPr>
        <w:tabs>
          <w:tab w:pos="1581" w:val="left" w:leader="none"/>
          <w:tab w:pos="1582" w:val="left" w:leader="none"/>
        </w:tabs>
        <w:spacing w:line="240" w:lineRule="auto" w:before="79" w:after="0"/>
        <w:ind w:left="1582" w:right="0" w:hanging="721"/>
        <w:jc w:val="left"/>
        <w:rPr>
          <w:sz w:val="25"/>
        </w:rPr>
      </w:pPr>
      <w:r>
        <w:rPr>
          <w:color w:val="000009"/>
          <w:sz w:val="25"/>
        </w:rPr>
        <w:t>PW</w:t>
      </w:r>
      <w:r>
        <w:rPr>
          <w:color w:val="000009"/>
          <w:spacing w:val="11"/>
          <w:sz w:val="25"/>
        </w:rPr>
        <w:t> </w:t>
      </w:r>
      <w:r>
        <w:rPr>
          <w:color w:val="000009"/>
          <w:sz w:val="25"/>
        </w:rPr>
        <w:t>6,</w:t>
      </w:r>
      <w:r>
        <w:rPr>
          <w:color w:val="000009"/>
          <w:spacing w:val="10"/>
          <w:sz w:val="25"/>
        </w:rPr>
        <w:t> </w:t>
      </w:r>
      <w:r>
        <w:rPr>
          <w:color w:val="000009"/>
          <w:sz w:val="25"/>
        </w:rPr>
        <w:t>who</w:t>
      </w:r>
      <w:r>
        <w:rPr>
          <w:color w:val="000009"/>
          <w:spacing w:val="10"/>
          <w:sz w:val="25"/>
        </w:rPr>
        <w:t> </w:t>
      </w:r>
      <w:r>
        <w:rPr>
          <w:color w:val="000009"/>
          <w:sz w:val="25"/>
        </w:rPr>
        <w:t>is</w:t>
      </w:r>
      <w:r>
        <w:rPr>
          <w:color w:val="000009"/>
          <w:spacing w:val="11"/>
          <w:sz w:val="25"/>
        </w:rPr>
        <w:t> </w:t>
      </w:r>
      <w:r>
        <w:rPr>
          <w:color w:val="000009"/>
          <w:sz w:val="25"/>
        </w:rPr>
        <w:t>a</w:t>
      </w:r>
      <w:r>
        <w:rPr>
          <w:color w:val="000009"/>
          <w:spacing w:val="12"/>
          <w:sz w:val="25"/>
        </w:rPr>
        <w:t> </w:t>
      </w:r>
      <w:r>
        <w:rPr>
          <w:color w:val="000009"/>
          <w:sz w:val="25"/>
        </w:rPr>
        <w:t>friend</w:t>
      </w:r>
      <w:r>
        <w:rPr>
          <w:color w:val="000009"/>
          <w:spacing w:val="12"/>
          <w:sz w:val="25"/>
        </w:rPr>
        <w:t> </w:t>
      </w:r>
      <w:r>
        <w:rPr>
          <w:color w:val="000009"/>
          <w:sz w:val="25"/>
        </w:rPr>
        <w:t>of</w:t>
      </w:r>
      <w:r>
        <w:rPr>
          <w:color w:val="000009"/>
          <w:spacing w:val="10"/>
          <w:sz w:val="25"/>
        </w:rPr>
        <w:t> </w:t>
      </w:r>
      <w:r>
        <w:rPr>
          <w:color w:val="000009"/>
          <w:sz w:val="25"/>
        </w:rPr>
        <w:t>the</w:t>
      </w:r>
      <w:r>
        <w:rPr>
          <w:color w:val="000009"/>
          <w:spacing w:val="12"/>
          <w:sz w:val="25"/>
        </w:rPr>
        <w:t> </w:t>
      </w:r>
      <w:r>
        <w:rPr>
          <w:color w:val="000009"/>
          <w:sz w:val="25"/>
        </w:rPr>
        <w:t>fourth</w:t>
      </w:r>
      <w:r>
        <w:rPr>
          <w:color w:val="000009"/>
          <w:spacing w:val="13"/>
          <w:sz w:val="25"/>
        </w:rPr>
        <w:t> </w:t>
      </w:r>
      <w:r>
        <w:rPr>
          <w:color w:val="000009"/>
          <w:sz w:val="25"/>
        </w:rPr>
        <w:t>respondent</w:t>
      </w:r>
      <w:r>
        <w:rPr>
          <w:color w:val="000009"/>
          <w:spacing w:val="11"/>
          <w:sz w:val="25"/>
        </w:rPr>
        <w:t> </w:t>
      </w:r>
      <w:r>
        <w:rPr>
          <w:color w:val="000009"/>
          <w:sz w:val="25"/>
        </w:rPr>
        <w:t>is</w:t>
      </w:r>
      <w:r>
        <w:rPr>
          <w:color w:val="000009"/>
          <w:spacing w:val="11"/>
          <w:sz w:val="25"/>
        </w:rPr>
        <w:t> </w:t>
      </w:r>
      <w:r>
        <w:rPr>
          <w:color w:val="000009"/>
          <w:sz w:val="25"/>
        </w:rPr>
        <w:t>an</w:t>
      </w:r>
      <w:r>
        <w:rPr>
          <w:color w:val="000009"/>
          <w:spacing w:val="10"/>
          <w:sz w:val="25"/>
        </w:rPr>
        <w:t> </w:t>
      </w:r>
      <w:r>
        <w:rPr>
          <w:color w:val="000009"/>
          <w:sz w:val="25"/>
        </w:rPr>
        <w:t>interested</w:t>
      </w:r>
      <w:r>
        <w:rPr>
          <w:color w:val="000009"/>
          <w:spacing w:val="13"/>
          <w:sz w:val="25"/>
        </w:rPr>
        <w:t> </w:t>
      </w:r>
      <w:r>
        <w:rPr>
          <w:color w:val="000009"/>
          <w:sz w:val="25"/>
        </w:rPr>
        <w:t>witness</w:t>
      </w:r>
    </w:p>
    <w:p>
      <w:pPr>
        <w:pStyle w:val="BodyText"/>
        <w:spacing w:before="11"/>
        <w:rPr>
          <w:sz w:val="24"/>
        </w:rPr>
      </w:pPr>
    </w:p>
    <w:p>
      <w:pPr>
        <w:pStyle w:val="BodyText"/>
        <w:ind w:left="1582"/>
        <w:jc w:val="both"/>
      </w:pPr>
      <w:r>
        <w:rPr>
          <w:color w:val="000009"/>
        </w:rPr>
        <w:t>as they have been friends for the past twenty-five years;</w:t>
      </w:r>
    </w:p>
    <w:p>
      <w:pPr>
        <w:pStyle w:val="ListParagraph"/>
        <w:numPr>
          <w:ilvl w:val="1"/>
          <w:numId w:val="6"/>
        </w:numPr>
        <w:tabs>
          <w:tab w:pos="1582" w:val="left" w:leader="none"/>
        </w:tabs>
        <w:spacing w:line="480" w:lineRule="auto" w:before="0" w:after="0"/>
        <w:ind w:left="1582" w:right="151" w:hanging="720"/>
        <w:jc w:val="both"/>
        <w:rPr>
          <w:sz w:val="25"/>
        </w:rPr>
      </w:pPr>
      <w:r>
        <w:rPr>
          <w:color w:val="000009"/>
          <w:sz w:val="25"/>
        </w:rPr>
        <w:t>PW 5, who is the brother-in-law of the fourth respondent, is an interested witness and during the cross-examination he was unable to mention the date, month and year on which the alleged amount was paid to the fourth respondent for payment to the appellant. There exists no documentary material to indicate that the fourth</w:t>
      </w:r>
      <w:r>
        <w:rPr>
          <w:color w:val="000009"/>
          <w:spacing w:val="36"/>
          <w:sz w:val="25"/>
        </w:rPr>
        <w:t> </w:t>
      </w:r>
      <w:r>
        <w:rPr>
          <w:color w:val="000009"/>
          <w:sz w:val="25"/>
        </w:rPr>
        <w:t>respondent</w:t>
      </w:r>
    </w:p>
    <w:p>
      <w:pPr>
        <w:pStyle w:val="BodyText"/>
        <w:spacing w:line="282" w:lineRule="exact"/>
        <w:ind w:left="1582"/>
        <w:jc w:val="both"/>
      </w:pPr>
      <w:r>
        <w:rPr>
          <w:color w:val="000009"/>
        </w:rPr>
        <w:t>borrowed money from PW 5; and</w:t>
      </w:r>
    </w:p>
    <w:p>
      <w:pPr>
        <w:pStyle w:val="ListParagraph"/>
        <w:numPr>
          <w:ilvl w:val="1"/>
          <w:numId w:val="6"/>
        </w:numPr>
        <w:tabs>
          <w:tab w:pos="1582" w:val="left" w:leader="none"/>
        </w:tabs>
        <w:spacing w:line="480" w:lineRule="auto" w:before="0" w:after="0"/>
        <w:ind w:left="1582" w:right="152" w:hanging="720"/>
        <w:jc w:val="both"/>
        <w:rPr>
          <w:sz w:val="25"/>
        </w:rPr>
      </w:pPr>
      <w:r>
        <w:rPr>
          <w:color w:val="000009"/>
          <w:sz w:val="25"/>
        </w:rPr>
        <w:t>The ingredients of Sections 406 and 420 have not been fulfilled. At the stage of framing of charge, the court is not expected to go deep into the probative value of the material on record. The court only needs to consider whether there is ground for presuming that the offence has been committed (</w:t>
      </w:r>
      <w:r>
        <w:rPr>
          <w:b/>
          <w:color w:val="000009"/>
          <w:sz w:val="25"/>
        </w:rPr>
        <w:t>Onkar Nath Mishra </w:t>
      </w:r>
      <w:r>
        <w:rPr>
          <w:color w:val="000009"/>
          <w:sz w:val="25"/>
        </w:rPr>
        <w:t>v </w:t>
      </w:r>
      <w:r>
        <w:rPr>
          <w:b/>
          <w:color w:val="000009"/>
          <w:sz w:val="25"/>
        </w:rPr>
        <w:t>The State</w:t>
      </w:r>
      <w:hyperlink w:history="true" w:anchor="_bookmark7">
        <w:r>
          <w:rPr>
            <w:b/>
            <w:color w:val="000009"/>
            <w:position w:val="10"/>
            <w:sz w:val="14"/>
          </w:rPr>
          <w:t>8</w:t>
        </w:r>
      </w:hyperlink>
      <w:r>
        <w:rPr>
          <w:color w:val="000009"/>
          <w:sz w:val="25"/>
        </w:rPr>
        <w:t>). There exists a fine distinction between cheating and a mere breach of contract. It depends upon the intention of the accused at the time of inducement which may be judged by his subsequent conduct. </w:t>
      </w:r>
      <w:r>
        <w:rPr>
          <w:color w:val="000009"/>
          <w:spacing w:val="-15"/>
          <w:sz w:val="25"/>
        </w:rPr>
        <w:t>To </w:t>
      </w:r>
      <w:r>
        <w:rPr>
          <w:color w:val="000009"/>
          <w:sz w:val="25"/>
        </w:rPr>
        <w:t>hold a person guilty of cheating, it is necessary to show existence of fraudulent or dishonest intention at the time of making the promise. (</w:t>
      </w:r>
      <w:r>
        <w:rPr>
          <w:b/>
          <w:color w:val="000009"/>
          <w:sz w:val="25"/>
        </w:rPr>
        <w:t>Hridaya Ranjan Prasad </w:t>
      </w:r>
      <w:r>
        <w:rPr>
          <w:b/>
          <w:color w:val="000009"/>
          <w:spacing w:val="-4"/>
          <w:sz w:val="25"/>
        </w:rPr>
        <w:t>Verma </w:t>
      </w:r>
      <w:r>
        <w:rPr>
          <w:color w:val="000009"/>
          <w:sz w:val="25"/>
        </w:rPr>
        <w:t>v </w:t>
      </w:r>
      <w:r>
        <w:rPr>
          <w:b/>
          <w:color w:val="000009"/>
          <w:sz w:val="25"/>
        </w:rPr>
        <w:t>State of</w:t>
      </w:r>
      <w:r>
        <w:rPr>
          <w:b/>
          <w:color w:val="000009"/>
          <w:spacing w:val="5"/>
          <w:sz w:val="25"/>
        </w:rPr>
        <w:t> </w:t>
      </w:r>
      <w:r>
        <w:rPr>
          <w:b/>
          <w:color w:val="000009"/>
          <w:sz w:val="25"/>
        </w:rPr>
        <w:t>Bihar</w:t>
      </w:r>
      <w:hyperlink w:history="true" w:anchor="_bookmark8">
        <w:r>
          <w:rPr>
            <w:b/>
            <w:color w:val="000009"/>
            <w:position w:val="10"/>
            <w:sz w:val="14"/>
          </w:rPr>
          <w:t>9</w:t>
        </w:r>
      </w:hyperlink>
      <w:r>
        <w:rPr>
          <w:color w:val="000009"/>
          <w:sz w:val="25"/>
        </w:rPr>
        <w:t>).</w:t>
      </w:r>
    </w:p>
    <w:p>
      <w:pPr>
        <w:pStyle w:val="ListParagraph"/>
        <w:numPr>
          <w:ilvl w:val="0"/>
          <w:numId w:val="6"/>
        </w:numPr>
        <w:tabs>
          <w:tab w:pos="1222" w:val="left" w:leader="none"/>
        </w:tabs>
        <w:spacing w:line="480" w:lineRule="auto" w:before="0" w:after="0"/>
        <w:ind w:left="501" w:right="168" w:firstLine="0"/>
        <w:jc w:val="both"/>
        <w:rPr>
          <w:color w:val="000009"/>
          <w:sz w:val="25"/>
        </w:rPr>
      </w:pPr>
      <w:r>
        <w:rPr>
          <w:color w:val="000009"/>
          <w:sz w:val="25"/>
        </w:rPr>
        <w:t>On the other hand, Mr A T M Ranga Ramanujam, learned Senior Counsel, appearing on behalf of the fourth respondent submitted</w:t>
      </w:r>
      <w:r>
        <w:rPr>
          <w:color w:val="000009"/>
          <w:spacing w:val="-6"/>
          <w:sz w:val="25"/>
        </w:rPr>
        <w:t> </w:t>
      </w:r>
      <w:r>
        <w:rPr>
          <w:color w:val="000009"/>
          <w:sz w:val="25"/>
        </w:rPr>
        <w:t>thus:</w:t>
      </w:r>
    </w:p>
    <w:p>
      <w:pPr>
        <w:pStyle w:val="ListParagraph"/>
        <w:numPr>
          <w:ilvl w:val="1"/>
          <w:numId w:val="6"/>
        </w:numPr>
        <w:tabs>
          <w:tab w:pos="1582" w:val="left" w:leader="none"/>
        </w:tabs>
        <w:spacing w:line="480" w:lineRule="auto" w:before="0" w:after="0"/>
        <w:ind w:left="1582" w:right="159" w:hanging="720"/>
        <w:jc w:val="both"/>
        <w:rPr>
          <w:sz w:val="25"/>
        </w:rPr>
      </w:pPr>
      <w:r>
        <w:rPr>
          <w:color w:val="000009"/>
          <w:sz w:val="25"/>
        </w:rPr>
        <w:t>The fourth respondent did not intend to delay the pronouncement of the decision. The additional charge sheet and the cognizance order had been in place before the </w:t>
      </w:r>
      <w:r>
        <w:rPr>
          <w:color w:val="000009"/>
          <w:spacing w:val="-3"/>
          <w:sz w:val="25"/>
        </w:rPr>
        <w:t>Trial </w:t>
      </w:r>
      <w:r>
        <w:rPr>
          <w:color w:val="000009"/>
          <w:sz w:val="25"/>
        </w:rPr>
        <w:t>Court since 2013. The</w:t>
      </w:r>
      <w:r>
        <w:rPr>
          <w:color w:val="000009"/>
          <w:spacing w:val="19"/>
          <w:sz w:val="25"/>
        </w:rPr>
        <w:t> </w:t>
      </w:r>
      <w:r>
        <w:rPr>
          <w:color w:val="000009"/>
          <w:sz w:val="25"/>
        </w:rPr>
        <w:t>additional charge-</w:t>
      </w:r>
    </w:p>
    <w:p>
      <w:pPr>
        <w:pStyle w:val="BodyText"/>
        <w:spacing w:before="9"/>
        <w:rPr>
          <w:sz w:val="14"/>
        </w:rPr>
      </w:pPr>
      <w:r>
        <w:rPr/>
        <w:pict>
          <v:line style="position:absolute;mso-position-horizontal-relative:page;mso-position-vertical-relative:paragraph;z-index:-251654144;mso-wrap-distance-left:0;mso-wrap-distance-right:0" from="72pt,10.705792pt" to="184.8pt,10.705792pt" stroked="true" strokeweight=".5pt" strokecolor="#000000">
            <v:stroke dashstyle="solid"/>
            <w10:wrap type="topAndBottom"/>
          </v:line>
        </w:pict>
      </w:r>
    </w:p>
    <w:p>
      <w:pPr>
        <w:spacing w:line="239" w:lineRule="exact" w:before="12"/>
        <w:ind w:left="501" w:right="0" w:firstLine="0"/>
        <w:jc w:val="left"/>
        <w:rPr>
          <w:sz w:val="18"/>
        </w:rPr>
      </w:pPr>
      <w:bookmarkStart w:name="_bookmark7" w:id="12"/>
      <w:bookmarkEnd w:id="12"/>
      <w:r>
        <w:rPr/>
      </w:r>
      <w:bookmarkStart w:name="_bookmark8" w:id="13"/>
      <w:bookmarkEnd w:id="13"/>
      <w:r>
        <w:rPr/>
      </w:r>
      <w:r>
        <w:rPr>
          <w:rFonts w:ascii="Verdana"/>
          <w:color w:val="000009"/>
          <w:sz w:val="20"/>
        </w:rPr>
        <w:t>8 </w:t>
      </w:r>
      <w:r>
        <w:rPr>
          <w:sz w:val="18"/>
        </w:rPr>
        <w:t>(2008) 2 SCC</w:t>
      </w:r>
      <w:r>
        <w:rPr>
          <w:spacing w:val="-28"/>
          <w:sz w:val="18"/>
        </w:rPr>
        <w:t> </w:t>
      </w:r>
      <w:r>
        <w:rPr>
          <w:sz w:val="18"/>
        </w:rPr>
        <w:t>561</w:t>
      </w:r>
    </w:p>
    <w:p>
      <w:pPr>
        <w:spacing w:line="239" w:lineRule="exact" w:before="0"/>
        <w:ind w:left="501" w:right="0" w:firstLine="0"/>
        <w:jc w:val="left"/>
        <w:rPr>
          <w:sz w:val="18"/>
        </w:rPr>
      </w:pPr>
      <w:r>
        <w:rPr>
          <w:rFonts w:ascii="Verdana"/>
          <w:color w:val="000009"/>
          <w:sz w:val="20"/>
        </w:rPr>
        <w:t>9 </w:t>
      </w:r>
      <w:r>
        <w:rPr>
          <w:sz w:val="18"/>
        </w:rPr>
        <w:t>(2000) 4 SCC</w:t>
      </w:r>
      <w:r>
        <w:rPr>
          <w:spacing w:val="-28"/>
          <w:sz w:val="18"/>
        </w:rPr>
        <w:t> </w:t>
      </w:r>
      <w:r>
        <w:rPr>
          <w:sz w:val="18"/>
        </w:rPr>
        <w:t>168</w:t>
      </w:r>
    </w:p>
    <w:p>
      <w:pPr>
        <w:spacing w:after="0" w:line="239" w:lineRule="exact"/>
        <w:jc w:val="left"/>
        <w:rPr>
          <w:sz w:val="18"/>
        </w:rPr>
        <w:sectPr>
          <w:pgSz w:w="11900" w:h="16840"/>
          <w:pgMar w:header="0" w:footer="982" w:top="1360" w:bottom="1180" w:left="940" w:right="1280"/>
        </w:sectPr>
      </w:pPr>
    </w:p>
    <w:p>
      <w:pPr>
        <w:pStyle w:val="BodyText"/>
        <w:spacing w:before="79"/>
        <w:ind w:left="1582"/>
        <w:jc w:val="both"/>
      </w:pPr>
      <w:r>
        <w:rPr>
          <w:color w:val="000009"/>
        </w:rPr>
        <w:t>sheet missed the attention of the Magistrate because it was kept in a</w:t>
      </w:r>
    </w:p>
    <w:p>
      <w:pPr>
        <w:pStyle w:val="BodyText"/>
        <w:spacing w:before="11"/>
        <w:rPr>
          <w:sz w:val="24"/>
        </w:rPr>
      </w:pPr>
    </w:p>
    <w:p>
      <w:pPr>
        <w:pStyle w:val="BodyText"/>
        <w:ind w:left="1582"/>
        <w:jc w:val="both"/>
      </w:pPr>
      <w:r>
        <w:rPr>
          <w:color w:val="000009"/>
        </w:rPr>
        <w:t>separate docket;</w:t>
      </w:r>
    </w:p>
    <w:p>
      <w:pPr>
        <w:pStyle w:val="ListParagraph"/>
        <w:numPr>
          <w:ilvl w:val="1"/>
          <w:numId w:val="6"/>
        </w:numPr>
        <w:tabs>
          <w:tab w:pos="1582" w:val="left" w:leader="none"/>
        </w:tabs>
        <w:spacing w:line="480" w:lineRule="auto" w:before="0" w:after="0"/>
        <w:ind w:left="1582" w:right="150" w:hanging="720"/>
        <w:jc w:val="both"/>
        <w:rPr>
          <w:sz w:val="25"/>
        </w:rPr>
      </w:pPr>
      <w:r>
        <w:rPr>
          <w:color w:val="000009"/>
          <w:sz w:val="25"/>
        </w:rPr>
        <w:t>The charge can be altered by the court at any time before the pronouncement of the judgment based on the materials available or subsequently brought on record during the course of the trial (</w:t>
      </w:r>
      <w:r>
        <w:rPr>
          <w:b/>
          <w:color w:val="000009"/>
          <w:sz w:val="25"/>
        </w:rPr>
        <w:t>Anant Prakash Sinha </w:t>
      </w:r>
      <w:r>
        <w:rPr>
          <w:color w:val="000009"/>
          <w:sz w:val="25"/>
        </w:rPr>
        <w:t>v </w:t>
      </w:r>
      <w:r>
        <w:rPr>
          <w:b/>
          <w:color w:val="000009"/>
          <w:sz w:val="25"/>
        </w:rPr>
        <w:t>State of Haryana</w:t>
      </w:r>
      <w:hyperlink w:history="true" w:anchor="_bookmark9">
        <w:r>
          <w:rPr>
            <w:b/>
            <w:color w:val="000009"/>
            <w:position w:val="10"/>
            <w:sz w:val="14"/>
          </w:rPr>
          <w:t>10</w:t>
        </w:r>
      </w:hyperlink>
      <w:r>
        <w:rPr>
          <w:color w:val="000009"/>
          <w:sz w:val="25"/>
        </w:rPr>
        <w:t>). In the present case, the investigating officer filed the additional charge-sheet only after he received additional information during the course of investigation in relation to offences under Sections 406 and 420 of the IPC. Though, the appellant was initially charged in pursuance of the original charge- sheet</w:t>
      </w:r>
      <w:r>
        <w:rPr>
          <w:color w:val="000009"/>
          <w:spacing w:val="52"/>
          <w:sz w:val="25"/>
        </w:rPr>
        <w:t> </w:t>
      </w:r>
      <w:r>
        <w:rPr>
          <w:color w:val="000009"/>
          <w:sz w:val="25"/>
        </w:rPr>
        <w:t>dated</w:t>
      </w:r>
      <w:r>
        <w:rPr>
          <w:color w:val="000009"/>
          <w:spacing w:val="54"/>
          <w:sz w:val="25"/>
        </w:rPr>
        <w:t> </w:t>
      </w:r>
      <w:r>
        <w:rPr>
          <w:color w:val="000009"/>
          <w:sz w:val="25"/>
        </w:rPr>
        <w:t>30</w:t>
      </w:r>
      <w:r>
        <w:rPr>
          <w:color w:val="000009"/>
          <w:spacing w:val="53"/>
          <w:sz w:val="25"/>
        </w:rPr>
        <w:t> </w:t>
      </w:r>
      <w:r>
        <w:rPr>
          <w:color w:val="000009"/>
          <w:sz w:val="25"/>
        </w:rPr>
        <w:t>June</w:t>
      </w:r>
      <w:r>
        <w:rPr>
          <w:color w:val="000009"/>
          <w:spacing w:val="50"/>
          <w:sz w:val="25"/>
        </w:rPr>
        <w:t> </w:t>
      </w:r>
      <w:r>
        <w:rPr>
          <w:color w:val="000009"/>
          <w:sz w:val="25"/>
        </w:rPr>
        <w:t>2012,</w:t>
      </w:r>
      <w:r>
        <w:rPr>
          <w:color w:val="000009"/>
          <w:spacing w:val="51"/>
          <w:sz w:val="25"/>
        </w:rPr>
        <w:t> </w:t>
      </w:r>
      <w:r>
        <w:rPr>
          <w:color w:val="000009"/>
          <w:sz w:val="25"/>
        </w:rPr>
        <w:t>subsequent</w:t>
      </w:r>
      <w:r>
        <w:rPr>
          <w:color w:val="000009"/>
          <w:spacing w:val="50"/>
          <w:sz w:val="25"/>
        </w:rPr>
        <w:t> </w:t>
      </w:r>
      <w:r>
        <w:rPr>
          <w:color w:val="000009"/>
          <w:sz w:val="25"/>
        </w:rPr>
        <w:t>evidence</w:t>
      </w:r>
      <w:r>
        <w:rPr>
          <w:color w:val="000009"/>
          <w:spacing w:val="50"/>
          <w:sz w:val="25"/>
        </w:rPr>
        <w:t> </w:t>
      </w:r>
      <w:r>
        <w:rPr>
          <w:color w:val="000009"/>
          <w:sz w:val="25"/>
        </w:rPr>
        <w:t>brought</w:t>
      </w:r>
      <w:r>
        <w:rPr>
          <w:color w:val="000009"/>
          <w:spacing w:val="53"/>
          <w:sz w:val="25"/>
        </w:rPr>
        <w:t> </w:t>
      </w:r>
      <w:r>
        <w:rPr>
          <w:color w:val="000009"/>
          <w:sz w:val="25"/>
        </w:rPr>
        <w:t>on</w:t>
      </w:r>
      <w:r>
        <w:rPr>
          <w:color w:val="000009"/>
          <w:spacing w:val="52"/>
          <w:sz w:val="25"/>
        </w:rPr>
        <w:t> </w:t>
      </w:r>
      <w:r>
        <w:rPr>
          <w:color w:val="000009"/>
          <w:sz w:val="25"/>
        </w:rPr>
        <w:t>record</w:t>
      </w:r>
    </w:p>
    <w:p>
      <w:pPr>
        <w:pStyle w:val="BodyText"/>
        <w:spacing w:line="278" w:lineRule="exact"/>
        <w:ind w:left="1582"/>
        <w:jc w:val="both"/>
      </w:pPr>
      <w:r>
        <w:rPr>
          <w:color w:val="000009"/>
        </w:rPr>
        <w:t>does not restrict the court from altering the charge; and</w:t>
      </w:r>
    </w:p>
    <w:p>
      <w:pPr>
        <w:pStyle w:val="ListParagraph"/>
        <w:numPr>
          <w:ilvl w:val="1"/>
          <w:numId w:val="6"/>
        </w:numPr>
        <w:tabs>
          <w:tab w:pos="1582" w:val="left" w:leader="none"/>
        </w:tabs>
        <w:spacing w:line="480" w:lineRule="auto" w:before="0" w:after="0"/>
        <w:ind w:left="1582" w:right="150" w:hanging="720"/>
        <w:jc w:val="both"/>
        <w:rPr>
          <w:sz w:val="25"/>
        </w:rPr>
      </w:pPr>
      <w:r>
        <w:rPr>
          <w:color w:val="000009"/>
          <w:sz w:val="25"/>
        </w:rPr>
        <w:t>At the time of framing of charge, it is sufficient if the court is able to form a presumption regarding the existence of ingredients constituting the offence found upon the material placed before it. It is not necessary for the court to undertake an analysis of the </w:t>
      </w:r>
      <w:r>
        <w:rPr>
          <w:color w:val="000009"/>
          <w:spacing w:val="-3"/>
          <w:sz w:val="25"/>
        </w:rPr>
        <w:t>credibility, </w:t>
      </w:r>
      <w:r>
        <w:rPr>
          <w:color w:val="000009"/>
          <w:sz w:val="25"/>
        </w:rPr>
        <w:t>veracity or evidentiary value of the materials placed before it (</w:t>
      </w:r>
      <w:r>
        <w:rPr>
          <w:b/>
          <w:color w:val="000009"/>
          <w:sz w:val="25"/>
        </w:rPr>
        <w:t>Sajjan Kumar </w:t>
      </w:r>
      <w:r>
        <w:rPr>
          <w:color w:val="000009"/>
          <w:sz w:val="25"/>
        </w:rPr>
        <w:t>v </w:t>
      </w:r>
      <w:r>
        <w:rPr>
          <w:b/>
          <w:color w:val="000009"/>
          <w:sz w:val="25"/>
        </w:rPr>
        <w:t>Central Bureau of</w:t>
      </w:r>
      <w:r>
        <w:rPr>
          <w:b/>
          <w:color w:val="000009"/>
          <w:spacing w:val="-2"/>
          <w:sz w:val="25"/>
        </w:rPr>
        <w:t> </w:t>
      </w:r>
      <w:r>
        <w:rPr>
          <w:b/>
          <w:color w:val="000009"/>
          <w:sz w:val="25"/>
        </w:rPr>
        <w:t>Investigation</w:t>
      </w:r>
      <w:hyperlink w:history="true" w:anchor="_bookmark10">
        <w:r>
          <w:rPr>
            <w:b/>
            <w:color w:val="000009"/>
            <w:position w:val="10"/>
            <w:sz w:val="14"/>
          </w:rPr>
          <w:t>11</w:t>
        </w:r>
      </w:hyperlink>
      <w:r>
        <w:rPr>
          <w:color w:val="000009"/>
          <w:sz w:val="25"/>
        </w:rPr>
        <w:t>).</w:t>
      </w:r>
    </w:p>
    <w:p>
      <w:pPr>
        <w:pStyle w:val="ListParagraph"/>
        <w:numPr>
          <w:ilvl w:val="0"/>
          <w:numId w:val="6"/>
        </w:numPr>
        <w:tabs>
          <w:tab w:pos="1222" w:val="left" w:leader="none"/>
        </w:tabs>
        <w:spacing w:line="282" w:lineRule="exact" w:before="0" w:after="0"/>
        <w:ind w:left="1222" w:right="0" w:hanging="721"/>
        <w:jc w:val="both"/>
        <w:rPr>
          <w:color w:val="000009"/>
          <w:sz w:val="25"/>
        </w:rPr>
      </w:pPr>
      <w:r>
        <w:rPr>
          <w:color w:val="000009"/>
          <w:sz w:val="25"/>
        </w:rPr>
        <w:t>The rival submissions fall for our</w:t>
      </w:r>
      <w:r>
        <w:rPr>
          <w:color w:val="000009"/>
          <w:spacing w:val="-7"/>
          <w:sz w:val="25"/>
        </w:rPr>
        <w:t> </w:t>
      </w:r>
      <w:r>
        <w:rPr>
          <w:color w:val="000009"/>
          <w:sz w:val="25"/>
        </w:rPr>
        <w:t>consideration.</w:t>
      </w:r>
    </w:p>
    <w:p>
      <w:pPr>
        <w:pStyle w:val="BodyText"/>
        <w:rPr>
          <w:sz w:val="28"/>
        </w:rPr>
      </w:pPr>
    </w:p>
    <w:p>
      <w:pPr>
        <w:pStyle w:val="BodyText"/>
        <w:spacing w:before="10"/>
        <w:rPr>
          <w:sz w:val="21"/>
        </w:rPr>
      </w:pPr>
    </w:p>
    <w:p>
      <w:pPr>
        <w:pStyle w:val="ListParagraph"/>
        <w:numPr>
          <w:ilvl w:val="0"/>
          <w:numId w:val="6"/>
        </w:numPr>
        <w:tabs>
          <w:tab w:pos="1222" w:val="left" w:leader="none"/>
        </w:tabs>
        <w:spacing w:line="480" w:lineRule="auto" w:before="1" w:after="0"/>
        <w:ind w:left="501" w:right="152" w:firstLine="0"/>
        <w:jc w:val="both"/>
        <w:rPr>
          <w:color w:val="000009"/>
          <w:sz w:val="25"/>
        </w:rPr>
      </w:pPr>
      <w:r>
        <w:rPr/>
        <w:pict>
          <v:line style="position:absolute;mso-position-horizontal-relative:page;mso-position-vertical-relative:paragraph;z-index:-252017664" from="72pt,140.624863pt" to="184.8pt,140.624863pt" stroked="true" strokeweight=".5pt" strokecolor="#000000">
            <v:stroke dashstyle="solid"/>
            <w10:wrap type="none"/>
          </v:line>
        </w:pict>
      </w:r>
      <w:r>
        <w:rPr>
          <w:color w:val="000009"/>
          <w:sz w:val="25"/>
        </w:rPr>
        <w:t>In the present case, the investigating officer upon receipt of additional information about the alleged commission of offences under Sections 406 and 420 by the appellant, obtained permission for further investigation. Statements of witnesses recorded under Section 161 of CrPC indicated that the appellant had raised a demand of Rs 5,00,000/- for securing a doctor’s job for the</w:t>
      </w:r>
      <w:r>
        <w:rPr>
          <w:color w:val="000009"/>
          <w:spacing w:val="-46"/>
          <w:sz w:val="25"/>
        </w:rPr>
        <w:t> </w:t>
      </w:r>
      <w:r>
        <w:rPr>
          <w:color w:val="000009"/>
          <w:sz w:val="25"/>
        </w:rPr>
        <w:t>complainant’s</w:t>
      </w:r>
    </w:p>
    <w:p>
      <w:pPr>
        <w:spacing w:line="221" w:lineRule="exact" w:before="0"/>
        <w:ind w:left="501" w:right="0" w:firstLine="0"/>
        <w:jc w:val="left"/>
        <w:rPr>
          <w:sz w:val="18"/>
        </w:rPr>
      </w:pPr>
      <w:r>
        <w:rPr>
          <w:rFonts w:ascii="Verdana"/>
          <w:color w:val="000009"/>
          <w:sz w:val="20"/>
        </w:rPr>
        <w:t>1</w:t>
      </w:r>
      <w:bookmarkStart w:name="_bookmark9" w:id="14"/>
      <w:bookmarkEnd w:id="14"/>
      <w:r>
        <w:rPr>
          <w:rFonts w:ascii="Verdana"/>
          <w:color w:val="000009"/>
          <w:sz w:val="20"/>
        </w:rPr>
      </w:r>
      <w:bookmarkStart w:name="_bookmark10" w:id="15"/>
      <w:bookmarkEnd w:id="15"/>
      <w:r>
        <w:rPr>
          <w:rFonts w:ascii="Verdana"/>
          <w:color w:val="000009"/>
          <w:sz w:val="20"/>
        </w:rPr>
        <w:t>0</w:t>
      </w:r>
      <w:r>
        <w:rPr>
          <w:rFonts w:ascii="Verdana"/>
          <w:color w:val="000009"/>
          <w:sz w:val="20"/>
        </w:rPr>
        <w:t> </w:t>
      </w:r>
      <w:r>
        <w:rPr>
          <w:sz w:val="18"/>
        </w:rPr>
        <w:t>(2016) 6 SCC</w:t>
      </w:r>
      <w:r>
        <w:rPr>
          <w:spacing w:val="-28"/>
          <w:sz w:val="18"/>
        </w:rPr>
        <w:t> </w:t>
      </w:r>
      <w:r>
        <w:rPr>
          <w:sz w:val="18"/>
        </w:rPr>
        <w:t>105</w:t>
      </w:r>
    </w:p>
    <w:p>
      <w:pPr>
        <w:spacing w:line="239" w:lineRule="exact" w:before="0"/>
        <w:ind w:left="501" w:right="0" w:firstLine="0"/>
        <w:jc w:val="left"/>
        <w:rPr>
          <w:sz w:val="18"/>
        </w:rPr>
      </w:pPr>
      <w:r>
        <w:rPr>
          <w:rFonts w:ascii="Verdana"/>
          <w:color w:val="000009"/>
          <w:sz w:val="20"/>
        </w:rPr>
        <w:t>11 </w:t>
      </w:r>
      <w:r>
        <w:rPr>
          <w:sz w:val="18"/>
        </w:rPr>
        <w:t>(2010) 9 SCC</w:t>
      </w:r>
      <w:r>
        <w:rPr>
          <w:spacing w:val="-28"/>
          <w:sz w:val="18"/>
        </w:rPr>
        <w:t> </w:t>
      </w:r>
      <w:r>
        <w:rPr>
          <w:sz w:val="18"/>
        </w:rPr>
        <w:t>368</w:t>
      </w:r>
    </w:p>
    <w:p>
      <w:pPr>
        <w:spacing w:after="0" w:line="239" w:lineRule="exact"/>
        <w:jc w:val="left"/>
        <w:rPr>
          <w:sz w:val="18"/>
        </w:rPr>
        <w:sectPr>
          <w:footerReference w:type="default" r:id="rId7"/>
          <w:pgSz w:w="11900" w:h="16840"/>
          <w:pgMar w:footer="982" w:header="0" w:top="1360" w:bottom="1180" w:left="940" w:right="1280"/>
          <w:pgNumType w:start="6"/>
        </w:sectPr>
      </w:pPr>
    </w:p>
    <w:p>
      <w:pPr>
        <w:pStyle w:val="BodyText"/>
        <w:spacing w:line="480" w:lineRule="auto" w:before="79"/>
        <w:ind w:left="501" w:right="164"/>
        <w:jc w:val="both"/>
      </w:pPr>
      <w:r>
        <w:rPr>
          <w:color w:val="000009"/>
        </w:rPr>
        <w:t>daughter in the United Kingdom. After investigation, an additional charge-sheet was filed on 12 April 2013 against the appellant for offences under Sections 406 and 420 of the IPC. This is evident from the counter affidavit filed by the fourth respondent before this Court which contains the docket order of the Additional Junior Civil Judge, Sattenapalli. In an order dated 16 August 2013 it was stated:</w:t>
      </w:r>
    </w:p>
    <w:p>
      <w:pPr>
        <w:tabs>
          <w:tab w:pos="5703" w:val="left" w:leader="none"/>
        </w:tabs>
        <w:spacing w:line="276" w:lineRule="auto" w:before="0"/>
        <w:ind w:left="1942" w:right="1973" w:firstLine="79"/>
        <w:jc w:val="both"/>
        <w:rPr>
          <w:sz w:val="21"/>
        </w:rPr>
      </w:pPr>
      <w:r>
        <w:rPr>
          <w:color w:val="000009"/>
          <w:sz w:val="21"/>
        </w:rPr>
        <w:t>“... </w:t>
      </w:r>
      <w:r>
        <w:rPr>
          <w:b/>
          <w:color w:val="000009"/>
          <w:sz w:val="21"/>
        </w:rPr>
        <w:t>Additional charge sheet filed by investigating officer through learned </w:t>
      </w:r>
      <w:r>
        <w:rPr>
          <w:b/>
          <w:color w:val="000009"/>
          <w:spacing w:val="-8"/>
          <w:sz w:val="21"/>
        </w:rPr>
        <w:t>APP. </w:t>
      </w:r>
      <w:r>
        <w:rPr>
          <w:color w:val="000009"/>
          <w:sz w:val="21"/>
        </w:rPr>
        <w:t>This case was taken on file u/s 498 -A of IPC and Sec. 4 of </w:t>
      </w:r>
      <w:r>
        <w:rPr>
          <w:color w:val="000009"/>
          <w:spacing w:val="-8"/>
          <w:sz w:val="21"/>
        </w:rPr>
        <w:t>D.P. </w:t>
      </w:r>
      <w:r>
        <w:rPr>
          <w:color w:val="000009"/>
          <w:sz w:val="21"/>
        </w:rPr>
        <w:t>Act against A.1 to A.3 on 28.09.2012. </w:t>
      </w:r>
      <w:r>
        <w:rPr>
          <w:b/>
          <w:color w:val="000009"/>
          <w:sz w:val="21"/>
        </w:rPr>
        <w:t>Perused the Addl. Charge Sheet and other available material on record. Heard learned </w:t>
      </w:r>
      <w:r>
        <w:rPr>
          <w:b/>
          <w:color w:val="000009"/>
          <w:spacing w:val="-8"/>
          <w:sz w:val="21"/>
        </w:rPr>
        <w:t>APP. </w:t>
      </w:r>
      <w:r>
        <w:rPr>
          <w:b/>
          <w:color w:val="000009"/>
          <w:sz w:val="21"/>
        </w:rPr>
        <w:t>It is a fit case to take on file Section 406 and 420 of IPC also against A.1. </w:t>
      </w:r>
      <w:r>
        <w:rPr>
          <w:color w:val="000009"/>
          <w:sz w:val="21"/>
        </w:rPr>
        <w:t>Call</w:t>
      </w:r>
      <w:r>
        <w:rPr>
          <w:color w:val="000009"/>
          <w:spacing w:val="-13"/>
          <w:sz w:val="21"/>
        </w:rPr>
        <w:t> </w:t>
      </w:r>
      <w:r>
        <w:rPr>
          <w:color w:val="000009"/>
          <w:sz w:val="21"/>
        </w:rPr>
        <w:t>on</w:t>
      </w:r>
      <w:r>
        <w:rPr>
          <w:color w:val="000009"/>
          <w:spacing w:val="-2"/>
          <w:sz w:val="21"/>
        </w:rPr>
        <w:t> </w:t>
      </w:r>
      <w:r>
        <w:rPr>
          <w:color w:val="000009"/>
          <w:sz w:val="21"/>
        </w:rPr>
        <w:t>16.09.2013.”</w:t>
        <w:tab/>
        <w:t>(Emphasis</w:t>
      </w:r>
      <w:r>
        <w:rPr>
          <w:color w:val="000009"/>
          <w:spacing w:val="-2"/>
          <w:sz w:val="21"/>
        </w:rPr>
        <w:t> </w:t>
      </w:r>
      <w:r>
        <w:rPr>
          <w:color w:val="000009"/>
          <w:sz w:val="21"/>
        </w:rPr>
        <w:t>supplied)</w:t>
      </w:r>
    </w:p>
    <w:p>
      <w:pPr>
        <w:pStyle w:val="BodyText"/>
        <w:rPr>
          <w:sz w:val="22"/>
        </w:rPr>
      </w:pPr>
    </w:p>
    <w:p>
      <w:pPr>
        <w:pStyle w:val="BodyText"/>
        <w:spacing w:before="9"/>
        <w:rPr>
          <w:sz w:val="29"/>
        </w:rPr>
      </w:pPr>
    </w:p>
    <w:p>
      <w:pPr>
        <w:pStyle w:val="BodyText"/>
        <w:ind w:left="501"/>
        <w:jc w:val="both"/>
      </w:pPr>
      <w:r>
        <w:rPr>
          <w:color w:val="000009"/>
        </w:rPr>
        <w:t>The order dated 13 February 2017 stated thus:</w:t>
      </w:r>
    </w:p>
    <w:p>
      <w:pPr>
        <w:pStyle w:val="BodyText"/>
      </w:pPr>
    </w:p>
    <w:p>
      <w:pPr>
        <w:tabs>
          <w:tab w:pos="5792" w:val="left" w:leader="none"/>
        </w:tabs>
        <w:spacing w:line="276" w:lineRule="auto" w:before="1"/>
        <w:ind w:left="1942" w:right="1972" w:firstLine="0"/>
        <w:jc w:val="both"/>
        <w:rPr>
          <w:sz w:val="21"/>
        </w:rPr>
      </w:pPr>
      <w:r>
        <w:rPr>
          <w:color w:val="000009"/>
          <w:sz w:val="21"/>
        </w:rPr>
        <w:t>“... In the case on hand, initially charge sheet was filed for the offence</w:t>
      </w:r>
      <w:r>
        <w:rPr>
          <w:color w:val="000009"/>
          <w:spacing w:val="-3"/>
          <w:sz w:val="21"/>
        </w:rPr>
        <w:t> </w:t>
      </w:r>
      <w:r>
        <w:rPr>
          <w:color w:val="000009"/>
          <w:sz w:val="21"/>
        </w:rPr>
        <w:t>u/s</w:t>
      </w:r>
      <w:r>
        <w:rPr>
          <w:color w:val="000009"/>
          <w:spacing w:val="-2"/>
          <w:sz w:val="21"/>
        </w:rPr>
        <w:t> </w:t>
      </w:r>
      <w:r>
        <w:rPr>
          <w:color w:val="000009"/>
          <w:sz w:val="21"/>
        </w:rPr>
        <w:t>498-A</w:t>
      </w:r>
      <w:r>
        <w:rPr>
          <w:color w:val="000009"/>
          <w:spacing w:val="-14"/>
          <w:sz w:val="21"/>
        </w:rPr>
        <w:t> </w:t>
      </w:r>
      <w:r>
        <w:rPr>
          <w:color w:val="000009"/>
          <w:sz w:val="21"/>
        </w:rPr>
        <w:t>IPC,</w:t>
      </w:r>
      <w:r>
        <w:rPr>
          <w:color w:val="000009"/>
          <w:spacing w:val="-4"/>
          <w:sz w:val="21"/>
        </w:rPr>
        <w:t> </w:t>
      </w:r>
      <w:r>
        <w:rPr>
          <w:color w:val="000009"/>
          <w:sz w:val="21"/>
        </w:rPr>
        <w:t>Sec.</w:t>
      </w:r>
      <w:r>
        <w:rPr>
          <w:color w:val="000009"/>
          <w:spacing w:val="-3"/>
          <w:sz w:val="21"/>
        </w:rPr>
        <w:t> </w:t>
      </w:r>
      <w:r>
        <w:rPr>
          <w:color w:val="000009"/>
          <w:sz w:val="21"/>
        </w:rPr>
        <w:t>3</w:t>
      </w:r>
      <w:r>
        <w:rPr>
          <w:color w:val="000009"/>
          <w:spacing w:val="-2"/>
          <w:sz w:val="21"/>
        </w:rPr>
        <w:t> </w:t>
      </w:r>
      <w:r>
        <w:rPr>
          <w:color w:val="000009"/>
          <w:sz w:val="21"/>
        </w:rPr>
        <w:t>&amp;</w:t>
      </w:r>
      <w:r>
        <w:rPr>
          <w:color w:val="000009"/>
          <w:spacing w:val="-3"/>
          <w:sz w:val="21"/>
        </w:rPr>
        <w:t> </w:t>
      </w:r>
      <w:r>
        <w:rPr>
          <w:color w:val="000009"/>
          <w:sz w:val="21"/>
        </w:rPr>
        <w:t>4</w:t>
      </w:r>
      <w:r>
        <w:rPr>
          <w:color w:val="000009"/>
          <w:spacing w:val="-2"/>
          <w:sz w:val="21"/>
        </w:rPr>
        <w:t> </w:t>
      </w:r>
      <w:r>
        <w:rPr>
          <w:color w:val="000009"/>
          <w:sz w:val="21"/>
        </w:rPr>
        <w:t>of</w:t>
      </w:r>
      <w:r>
        <w:rPr>
          <w:color w:val="000009"/>
          <w:spacing w:val="-1"/>
          <w:sz w:val="21"/>
        </w:rPr>
        <w:t> </w:t>
      </w:r>
      <w:r>
        <w:rPr>
          <w:color w:val="000009"/>
          <w:sz w:val="21"/>
        </w:rPr>
        <w:t>the</w:t>
      </w:r>
      <w:r>
        <w:rPr>
          <w:color w:val="000009"/>
          <w:spacing w:val="-3"/>
          <w:sz w:val="21"/>
        </w:rPr>
        <w:t> </w:t>
      </w:r>
      <w:r>
        <w:rPr>
          <w:color w:val="000009"/>
          <w:sz w:val="21"/>
        </w:rPr>
        <w:t>Dowry</w:t>
      </w:r>
      <w:r>
        <w:rPr>
          <w:color w:val="000009"/>
          <w:spacing w:val="-2"/>
          <w:sz w:val="21"/>
        </w:rPr>
        <w:t> </w:t>
      </w:r>
      <w:r>
        <w:rPr>
          <w:color w:val="000009"/>
          <w:sz w:val="21"/>
        </w:rPr>
        <w:t>Prohibition</w:t>
      </w:r>
      <w:r>
        <w:rPr>
          <w:color w:val="000009"/>
          <w:spacing w:val="-13"/>
          <w:sz w:val="21"/>
        </w:rPr>
        <w:t> </w:t>
      </w:r>
      <w:r>
        <w:rPr>
          <w:color w:val="000009"/>
          <w:sz w:val="21"/>
        </w:rPr>
        <w:t>Act and the cognizance was taken for those offences by my predecessor. </w:t>
      </w:r>
      <w:r>
        <w:rPr>
          <w:b/>
          <w:color w:val="000009"/>
          <w:sz w:val="21"/>
        </w:rPr>
        <w:t>Later an additional charge sheet was filed by the investigation officer in this case and my predecessor was please to take cognizance of offences punishable u/s 406, 420 IPC also on 16.08.2013. But the fact of filing of additional charge sheet was not brought to the notice of this Court and the additional charge sheet was kept as a separate bundle in the record. So, charges were framed against the accused only for the offence punishable u/s 498-A IPC and Sec. 3, 4 of the Dowry Prohibition Act and Sect. 406 and 420 of IPC were ignored. </w:t>
      </w:r>
      <w:r>
        <w:rPr>
          <w:color w:val="000009"/>
          <w:sz w:val="21"/>
        </w:rPr>
        <w:t>This fact came out to the notice of this Court while this Court has gone through the entire record after hearing arguments for disposal of the case. On 13.02.2017 the learned Asst. Public Prosecutor has also filed a petition u/s 216 of CrPC, with a prayer to add Section 406, 420 of IPC and to frame charges for those offences</w:t>
      </w:r>
      <w:r>
        <w:rPr>
          <w:color w:val="000009"/>
          <w:spacing w:val="-3"/>
          <w:sz w:val="21"/>
        </w:rPr>
        <w:t> </w:t>
      </w:r>
      <w:r>
        <w:rPr>
          <w:color w:val="000009"/>
          <w:sz w:val="21"/>
        </w:rPr>
        <w:t>also...”</w:t>
        <w:tab/>
        <w:t>(Emphasis</w:t>
      </w:r>
      <w:r>
        <w:rPr>
          <w:color w:val="000009"/>
          <w:spacing w:val="-5"/>
          <w:sz w:val="21"/>
        </w:rPr>
        <w:t> </w:t>
      </w:r>
      <w:r>
        <w:rPr>
          <w:color w:val="000009"/>
          <w:sz w:val="21"/>
        </w:rPr>
        <w:t>supplied)</w:t>
      </w:r>
    </w:p>
    <w:p>
      <w:pPr>
        <w:pStyle w:val="BodyText"/>
        <w:rPr>
          <w:sz w:val="22"/>
        </w:rPr>
      </w:pPr>
    </w:p>
    <w:p>
      <w:pPr>
        <w:pStyle w:val="BodyText"/>
        <w:rPr>
          <w:sz w:val="22"/>
        </w:rPr>
      </w:pPr>
    </w:p>
    <w:p>
      <w:pPr>
        <w:pStyle w:val="BodyText"/>
        <w:spacing w:before="2"/>
        <w:rPr>
          <w:sz w:val="20"/>
        </w:rPr>
      </w:pPr>
    </w:p>
    <w:p>
      <w:pPr>
        <w:pStyle w:val="ListParagraph"/>
        <w:numPr>
          <w:ilvl w:val="0"/>
          <w:numId w:val="6"/>
        </w:numPr>
        <w:tabs>
          <w:tab w:pos="1222" w:val="left" w:leader="none"/>
        </w:tabs>
        <w:spacing w:line="480" w:lineRule="auto" w:before="0" w:after="0"/>
        <w:ind w:left="501" w:right="164" w:firstLine="0"/>
        <w:jc w:val="both"/>
        <w:rPr>
          <w:color w:val="000009"/>
          <w:sz w:val="25"/>
        </w:rPr>
      </w:pPr>
      <w:r>
        <w:rPr>
          <w:color w:val="000009"/>
          <w:sz w:val="25"/>
        </w:rPr>
        <w:t>It is evident from the record that the earlier Additional Junior Civil Judge perused the additional charge-sheet and took cognizance of offences under Sections</w:t>
      </w:r>
      <w:r>
        <w:rPr>
          <w:color w:val="000009"/>
          <w:spacing w:val="24"/>
          <w:sz w:val="25"/>
        </w:rPr>
        <w:t> </w:t>
      </w:r>
      <w:r>
        <w:rPr>
          <w:color w:val="000009"/>
          <w:sz w:val="25"/>
        </w:rPr>
        <w:t>406</w:t>
      </w:r>
      <w:r>
        <w:rPr>
          <w:color w:val="000009"/>
          <w:spacing w:val="25"/>
          <w:sz w:val="25"/>
        </w:rPr>
        <w:t> </w:t>
      </w:r>
      <w:r>
        <w:rPr>
          <w:color w:val="000009"/>
          <w:sz w:val="25"/>
        </w:rPr>
        <w:t>and</w:t>
      </w:r>
      <w:r>
        <w:rPr>
          <w:color w:val="000009"/>
          <w:spacing w:val="23"/>
          <w:sz w:val="25"/>
        </w:rPr>
        <w:t> </w:t>
      </w:r>
      <w:r>
        <w:rPr>
          <w:color w:val="000009"/>
          <w:sz w:val="25"/>
        </w:rPr>
        <w:t>420</w:t>
      </w:r>
      <w:r>
        <w:rPr>
          <w:color w:val="000009"/>
          <w:spacing w:val="25"/>
          <w:sz w:val="25"/>
        </w:rPr>
        <w:t> </w:t>
      </w:r>
      <w:r>
        <w:rPr>
          <w:color w:val="000009"/>
          <w:sz w:val="25"/>
        </w:rPr>
        <w:t>of</w:t>
      </w:r>
      <w:r>
        <w:rPr>
          <w:color w:val="000009"/>
          <w:spacing w:val="24"/>
          <w:sz w:val="25"/>
        </w:rPr>
        <w:t> </w:t>
      </w:r>
      <w:r>
        <w:rPr>
          <w:color w:val="000009"/>
          <w:sz w:val="25"/>
        </w:rPr>
        <w:t>the</w:t>
      </w:r>
      <w:r>
        <w:rPr>
          <w:color w:val="000009"/>
          <w:spacing w:val="25"/>
          <w:sz w:val="25"/>
        </w:rPr>
        <w:t> </w:t>
      </w:r>
      <w:r>
        <w:rPr>
          <w:color w:val="000009"/>
          <w:sz w:val="25"/>
        </w:rPr>
        <w:t>IPC.</w:t>
      </w:r>
      <w:r>
        <w:rPr>
          <w:color w:val="000009"/>
          <w:spacing w:val="24"/>
          <w:sz w:val="25"/>
        </w:rPr>
        <w:t> </w:t>
      </w:r>
      <w:r>
        <w:rPr>
          <w:color w:val="000009"/>
          <w:spacing w:val="-3"/>
          <w:sz w:val="25"/>
        </w:rPr>
        <w:t>However,</w:t>
      </w:r>
      <w:r>
        <w:rPr>
          <w:color w:val="000009"/>
          <w:spacing w:val="24"/>
          <w:sz w:val="25"/>
        </w:rPr>
        <w:t> </w:t>
      </w:r>
      <w:r>
        <w:rPr>
          <w:color w:val="000009"/>
          <w:sz w:val="25"/>
        </w:rPr>
        <w:t>at</w:t>
      </w:r>
      <w:r>
        <w:rPr>
          <w:color w:val="000009"/>
          <w:spacing w:val="24"/>
          <w:sz w:val="25"/>
        </w:rPr>
        <w:t> </w:t>
      </w:r>
      <w:r>
        <w:rPr>
          <w:color w:val="000009"/>
          <w:sz w:val="25"/>
        </w:rPr>
        <w:t>the</w:t>
      </w:r>
      <w:r>
        <w:rPr>
          <w:color w:val="000009"/>
          <w:spacing w:val="25"/>
          <w:sz w:val="25"/>
        </w:rPr>
        <w:t> </w:t>
      </w:r>
      <w:r>
        <w:rPr>
          <w:color w:val="000009"/>
          <w:sz w:val="25"/>
        </w:rPr>
        <w:t>time</w:t>
      </w:r>
      <w:r>
        <w:rPr>
          <w:color w:val="000009"/>
          <w:spacing w:val="25"/>
          <w:sz w:val="25"/>
        </w:rPr>
        <w:t> </w:t>
      </w:r>
      <w:r>
        <w:rPr>
          <w:color w:val="000009"/>
          <w:sz w:val="25"/>
        </w:rPr>
        <w:t>of</w:t>
      </w:r>
      <w:r>
        <w:rPr>
          <w:color w:val="000009"/>
          <w:spacing w:val="24"/>
          <w:sz w:val="25"/>
        </w:rPr>
        <w:t> </w:t>
      </w:r>
      <w:r>
        <w:rPr>
          <w:color w:val="000009"/>
          <w:sz w:val="25"/>
        </w:rPr>
        <w:t>framing</w:t>
      </w:r>
      <w:r>
        <w:rPr>
          <w:color w:val="000009"/>
          <w:spacing w:val="27"/>
          <w:sz w:val="25"/>
        </w:rPr>
        <w:t> </w:t>
      </w:r>
      <w:r>
        <w:rPr>
          <w:color w:val="000009"/>
          <w:sz w:val="25"/>
        </w:rPr>
        <w:t>charges,</w:t>
      </w:r>
      <w:r>
        <w:rPr>
          <w:color w:val="000009"/>
          <w:spacing w:val="24"/>
          <w:sz w:val="25"/>
        </w:rPr>
        <w:t> </w:t>
      </w:r>
      <w:r>
        <w:rPr>
          <w:color w:val="000009"/>
          <w:sz w:val="25"/>
        </w:rPr>
        <w:t>the</w:t>
      </w:r>
    </w:p>
    <w:p>
      <w:pPr>
        <w:spacing w:after="0" w:line="480" w:lineRule="auto"/>
        <w:jc w:val="both"/>
        <w:rPr>
          <w:sz w:val="25"/>
        </w:rPr>
        <w:sectPr>
          <w:pgSz w:w="11900" w:h="16840"/>
          <w:pgMar w:header="0" w:footer="982" w:top="1360" w:bottom="1180" w:left="940" w:right="1280"/>
        </w:sectPr>
      </w:pPr>
    </w:p>
    <w:p>
      <w:pPr>
        <w:pStyle w:val="BodyText"/>
        <w:spacing w:line="480" w:lineRule="auto" w:before="79"/>
        <w:ind w:left="501" w:right="161"/>
        <w:jc w:val="both"/>
      </w:pPr>
      <w:r>
        <w:rPr>
          <w:color w:val="000009"/>
        </w:rPr>
        <w:t>additional charge-sheet was not brought to the notice of the court and the framing of charges against the appellant under Sections 406 and 420 was not considered.</w:t>
      </w:r>
      <w:r>
        <w:rPr>
          <w:color w:val="000009"/>
          <w:spacing w:val="-9"/>
        </w:rPr>
        <w:t> </w:t>
      </w:r>
      <w:r>
        <w:rPr>
          <w:color w:val="000009"/>
        </w:rPr>
        <w:t>Therefore,</w:t>
      </w:r>
      <w:r>
        <w:rPr>
          <w:color w:val="000009"/>
          <w:spacing w:val="-6"/>
        </w:rPr>
        <w:t> </w:t>
      </w:r>
      <w:r>
        <w:rPr>
          <w:color w:val="000009"/>
        </w:rPr>
        <w:t>the</w:t>
      </w:r>
      <w:r>
        <w:rPr>
          <w:color w:val="000009"/>
          <w:spacing w:val="-4"/>
        </w:rPr>
        <w:t> </w:t>
      </w:r>
      <w:r>
        <w:rPr>
          <w:color w:val="000009"/>
        </w:rPr>
        <w:t>appellant</w:t>
      </w:r>
      <w:r>
        <w:rPr>
          <w:color w:val="000009"/>
          <w:spacing w:val="-5"/>
        </w:rPr>
        <w:t> </w:t>
      </w:r>
      <w:r>
        <w:rPr>
          <w:color w:val="000009"/>
        </w:rPr>
        <w:t>was</w:t>
      </w:r>
      <w:r>
        <w:rPr>
          <w:color w:val="000009"/>
          <w:spacing w:val="-5"/>
        </w:rPr>
        <w:t> </w:t>
      </w:r>
      <w:r>
        <w:rPr>
          <w:color w:val="000009"/>
        </w:rPr>
        <w:t>charged</w:t>
      </w:r>
      <w:r>
        <w:rPr>
          <w:color w:val="000009"/>
          <w:spacing w:val="-4"/>
        </w:rPr>
        <w:t> </w:t>
      </w:r>
      <w:r>
        <w:rPr>
          <w:color w:val="000009"/>
        </w:rPr>
        <w:t>only</w:t>
      </w:r>
      <w:r>
        <w:rPr>
          <w:color w:val="000009"/>
          <w:spacing w:val="-4"/>
        </w:rPr>
        <w:t> </w:t>
      </w:r>
      <w:r>
        <w:rPr>
          <w:color w:val="000009"/>
        </w:rPr>
        <w:t>for</w:t>
      </w:r>
      <w:r>
        <w:rPr>
          <w:color w:val="000009"/>
          <w:spacing w:val="-6"/>
        </w:rPr>
        <w:t> </w:t>
      </w:r>
      <w:r>
        <w:rPr>
          <w:color w:val="000009"/>
        </w:rPr>
        <w:t>offences</w:t>
      </w:r>
      <w:r>
        <w:rPr>
          <w:color w:val="000009"/>
          <w:spacing w:val="-4"/>
        </w:rPr>
        <w:t> </w:t>
      </w:r>
      <w:r>
        <w:rPr>
          <w:color w:val="000009"/>
        </w:rPr>
        <w:t>under</w:t>
      </w:r>
      <w:r>
        <w:rPr>
          <w:color w:val="000009"/>
          <w:spacing w:val="-5"/>
        </w:rPr>
        <w:t> </w:t>
      </w:r>
      <w:r>
        <w:rPr>
          <w:color w:val="000009"/>
        </w:rPr>
        <w:t>Section 498A of the IPC along with Sections 3 and 4 of the Dowry Prohibition Act. It was when an application under Section 216 of CrPC was filed by the public prosecutor on 13 February 2017 that it was brought to the notice of the </w:t>
      </w:r>
      <w:r>
        <w:rPr>
          <w:color w:val="000009"/>
          <w:spacing w:val="-3"/>
        </w:rPr>
        <w:t>Trial </w:t>
      </w:r>
      <w:r>
        <w:rPr>
          <w:color w:val="000009"/>
        </w:rPr>
        <w:t>Judge that charges under Sections 406 and 420 were not</w:t>
      </w:r>
      <w:r>
        <w:rPr>
          <w:color w:val="000009"/>
          <w:spacing w:val="-13"/>
        </w:rPr>
        <w:t> </w:t>
      </w:r>
      <w:r>
        <w:rPr>
          <w:color w:val="000009"/>
        </w:rPr>
        <w:t>framed.</w:t>
      </w:r>
    </w:p>
    <w:p>
      <w:pPr>
        <w:pStyle w:val="BodyText"/>
        <w:spacing w:before="5"/>
        <w:rPr>
          <w:sz w:val="24"/>
        </w:rPr>
      </w:pPr>
    </w:p>
    <w:p>
      <w:pPr>
        <w:pStyle w:val="ListParagraph"/>
        <w:numPr>
          <w:ilvl w:val="0"/>
          <w:numId w:val="6"/>
        </w:numPr>
        <w:tabs>
          <w:tab w:pos="1222" w:val="left" w:leader="none"/>
        </w:tabs>
        <w:spacing w:line="480" w:lineRule="auto" w:before="1" w:after="0"/>
        <w:ind w:left="501" w:right="163" w:firstLine="0"/>
        <w:jc w:val="both"/>
        <w:rPr>
          <w:color w:val="000009"/>
          <w:sz w:val="25"/>
        </w:rPr>
      </w:pPr>
      <w:r>
        <w:rPr>
          <w:color w:val="000009"/>
          <w:sz w:val="25"/>
        </w:rPr>
        <w:t>In order to adjudicate upon the dispute, it is necessary to refer to Section 216 of CrPC:</w:t>
      </w:r>
    </w:p>
    <w:p>
      <w:pPr>
        <w:spacing w:line="276" w:lineRule="auto" w:before="0"/>
        <w:ind w:left="1942" w:right="1863" w:firstLine="0"/>
        <w:jc w:val="left"/>
        <w:rPr>
          <w:sz w:val="21"/>
        </w:rPr>
      </w:pPr>
      <w:r>
        <w:rPr>
          <w:color w:val="000009"/>
          <w:sz w:val="21"/>
        </w:rPr>
        <w:t>“216. </w:t>
      </w:r>
      <w:r>
        <w:rPr>
          <w:i/>
          <w:color w:val="000009"/>
          <w:sz w:val="21"/>
        </w:rPr>
        <w:t>Court may alter charge.</w:t>
      </w:r>
      <w:r>
        <w:rPr>
          <w:color w:val="000009"/>
          <w:sz w:val="21"/>
        </w:rPr>
        <w:t>—(1) Any court may alter or add to any charge at any time before judgment is pronounced.</w:t>
      </w:r>
    </w:p>
    <w:p>
      <w:pPr>
        <w:pStyle w:val="ListParagraph"/>
        <w:numPr>
          <w:ilvl w:val="0"/>
          <w:numId w:val="7"/>
        </w:numPr>
        <w:tabs>
          <w:tab w:pos="2344" w:val="left" w:leader="none"/>
        </w:tabs>
        <w:spacing w:line="276" w:lineRule="auto" w:before="158" w:after="0"/>
        <w:ind w:left="1942" w:right="1982" w:firstLine="0"/>
        <w:jc w:val="both"/>
        <w:rPr>
          <w:sz w:val="21"/>
        </w:rPr>
      </w:pPr>
      <w:r>
        <w:rPr>
          <w:color w:val="000009"/>
          <w:sz w:val="21"/>
        </w:rPr>
        <w:t>Every such alteration or addition shall be read and explained to the</w:t>
      </w:r>
      <w:r>
        <w:rPr>
          <w:color w:val="000009"/>
          <w:spacing w:val="-1"/>
          <w:sz w:val="21"/>
        </w:rPr>
        <w:t> </w:t>
      </w:r>
      <w:r>
        <w:rPr>
          <w:color w:val="000009"/>
          <w:sz w:val="21"/>
        </w:rPr>
        <w:t>accused.</w:t>
      </w:r>
    </w:p>
    <w:p>
      <w:pPr>
        <w:pStyle w:val="ListParagraph"/>
        <w:numPr>
          <w:ilvl w:val="0"/>
          <w:numId w:val="7"/>
        </w:numPr>
        <w:tabs>
          <w:tab w:pos="2330" w:val="left" w:leader="none"/>
        </w:tabs>
        <w:spacing w:line="276" w:lineRule="auto" w:before="160" w:after="0"/>
        <w:ind w:left="1942" w:right="1976" w:firstLine="0"/>
        <w:jc w:val="both"/>
        <w:rPr>
          <w:sz w:val="21"/>
        </w:rPr>
      </w:pPr>
      <w:r>
        <w:rPr>
          <w:color w:val="000009"/>
          <w:sz w:val="21"/>
        </w:rPr>
        <w:t>If the alteration or addition to a charge is such that proceeding immediately with the trial is not </w:t>
      </w:r>
      <w:r>
        <w:rPr>
          <w:color w:val="000009"/>
          <w:spacing w:val="-3"/>
          <w:sz w:val="21"/>
        </w:rPr>
        <w:t>likely, </w:t>
      </w:r>
      <w:r>
        <w:rPr>
          <w:color w:val="000009"/>
          <w:sz w:val="21"/>
        </w:rPr>
        <w:t>in the opinion of the court, to prejudice the accused in his defence or the prosecutor in the conduct of the case, the court </w:t>
      </w:r>
      <w:r>
        <w:rPr>
          <w:color w:val="000009"/>
          <w:spacing w:val="-4"/>
          <w:sz w:val="21"/>
        </w:rPr>
        <w:t>may, </w:t>
      </w:r>
      <w:r>
        <w:rPr>
          <w:color w:val="000009"/>
          <w:sz w:val="21"/>
        </w:rPr>
        <w:t>in its discretion, after such alteration or addition has been made, proceed with the trial as if the altered or added charge had been the original</w:t>
      </w:r>
      <w:r>
        <w:rPr>
          <w:color w:val="000009"/>
          <w:spacing w:val="-3"/>
          <w:sz w:val="21"/>
        </w:rPr>
        <w:t> </w:t>
      </w:r>
      <w:r>
        <w:rPr>
          <w:color w:val="000009"/>
          <w:sz w:val="21"/>
        </w:rPr>
        <w:t>charge.</w:t>
      </w:r>
    </w:p>
    <w:p>
      <w:pPr>
        <w:pStyle w:val="ListParagraph"/>
        <w:numPr>
          <w:ilvl w:val="0"/>
          <w:numId w:val="7"/>
        </w:numPr>
        <w:tabs>
          <w:tab w:pos="2346" w:val="left" w:leader="none"/>
        </w:tabs>
        <w:spacing w:line="276" w:lineRule="auto" w:before="162" w:after="0"/>
        <w:ind w:left="1942" w:right="1978" w:firstLine="0"/>
        <w:jc w:val="both"/>
        <w:rPr>
          <w:sz w:val="21"/>
        </w:rPr>
      </w:pPr>
      <w:r>
        <w:rPr>
          <w:color w:val="000009"/>
          <w:sz w:val="21"/>
        </w:rPr>
        <w:t>If the alteration or addition is such that proceeding immediately with the trial is </w:t>
      </w:r>
      <w:r>
        <w:rPr>
          <w:color w:val="000009"/>
          <w:spacing w:val="-3"/>
          <w:sz w:val="21"/>
        </w:rPr>
        <w:t>likely, </w:t>
      </w:r>
      <w:r>
        <w:rPr>
          <w:color w:val="000009"/>
          <w:sz w:val="21"/>
        </w:rPr>
        <w:t>in the opinion of the court, to prejudice the accused or the prosecutor as aforesaid, the court may either direct a new trial or adjourn the trial for such period as may be</w:t>
      </w:r>
      <w:r>
        <w:rPr>
          <w:color w:val="000009"/>
          <w:spacing w:val="-2"/>
          <w:sz w:val="21"/>
        </w:rPr>
        <w:t> </w:t>
      </w:r>
      <w:r>
        <w:rPr>
          <w:color w:val="000009"/>
          <w:sz w:val="21"/>
        </w:rPr>
        <w:t>necessary.</w:t>
      </w:r>
    </w:p>
    <w:p>
      <w:pPr>
        <w:pStyle w:val="ListParagraph"/>
        <w:numPr>
          <w:ilvl w:val="0"/>
          <w:numId w:val="7"/>
        </w:numPr>
        <w:tabs>
          <w:tab w:pos="2268" w:val="left" w:leader="none"/>
        </w:tabs>
        <w:spacing w:line="276" w:lineRule="auto" w:before="162" w:after="0"/>
        <w:ind w:left="1942" w:right="1979" w:firstLine="0"/>
        <w:jc w:val="both"/>
        <w:rPr>
          <w:sz w:val="21"/>
        </w:rPr>
      </w:pPr>
      <w:r>
        <w:rPr>
          <w:color w:val="000009"/>
          <w:sz w:val="21"/>
        </w:rPr>
        <w:t>If the offence stated in the altered or added charge is one for the prosecution of which previous sanction is necessary, the case shall not be proceeded with until such sanction is obtained, unless sanction has been already obtained for a prosecution on the same facts as those on which the altered or added charge is</w:t>
      </w:r>
      <w:r>
        <w:rPr>
          <w:color w:val="000009"/>
          <w:spacing w:val="-2"/>
          <w:sz w:val="21"/>
        </w:rPr>
        <w:t> </w:t>
      </w:r>
      <w:r>
        <w:rPr>
          <w:color w:val="000009"/>
          <w:sz w:val="21"/>
        </w:rPr>
        <w:t>founded.”</w:t>
      </w:r>
    </w:p>
    <w:p>
      <w:pPr>
        <w:pStyle w:val="BodyText"/>
        <w:rPr>
          <w:sz w:val="22"/>
        </w:rPr>
      </w:pPr>
    </w:p>
    <w:p>
      <w:pPr>
        <w:pStyle w:val="BodyText"/>
        <w:rPr>
          <w:sz w:val="22"/>
        </w:rPr>
      </w:pPr>
    </w:p>
    <w:p>
      <w:pPr>
        <w:pStyle w:val="BodyText"/>
        <w:spacing w:before="1"/>
        <w:rPr>
          <w:sz w:val="18"/>
        </w:rPr>
      </w:pPr>
    </w:p>
    <w:p>
      <w:pPr>
        <w:pStyle w:val="ListParagraph"/>
        <w:numPr>
          <w:ilvl w:val="0"/>
          <w:numId w:val="6"/>
        </w:numPr>
        <w:tabs>
          <w:tab w:pos="1222" w:val="left" w:leader="none"/>
        </w:tabs>
        <w:spacing w:line="480" w:lineRule="auto" w:before="0" w:after="0"/>
        <w:ind w:left="501" w:right="162" w:firstLine="0"/>
        <w:jc w:val="both"/>
        <w:rPr>
          <w:color w:val="000009"/>
          <w:sz w:val="25"/>
        </w:rPr>
      </w:pPr>
      <w:r>
        <w:rPr>
          <w:color w:val="000009"/>
          <w:sz w:val="25"/>
        </w:rPr>
        <w:t>Section 216 appears in Chapter XVII of the CrPC. Under the provisions of Section</w:t>
      </w:r>
      <w:r>
        <w:rPr>
          <w:color w:val="000009"/>
          <w:spacing w:val="41"/>
          <w:sz w:val="25"/>
        </w:rPr>
        <w:t> </w:t>
      </w:r>
      <w:r>
        <w:rPr>
          <w:color w:val="000009"/>
          <w:sz w:val="25"/>
        </w:rPr>
        <w:t>216,</w:t>
      </w:r>
      <w:r>
        <w:rPr>
          <w:color w:val="000009"/>
          <w:spacing w:val="42"/>
          <w:sz w:val="25"/>
        </w:rPr>
        <w:t> </w:t>
      </w:r>
      <w:r>
        <w:rPr>
          <w:color w:val="000009"/>
          <w:sz w:val="25"/>
        </w:rPr>
        <w:t>the</w:t>
      </w:r>
      <w:r>
        <w:rPr>
          <w:color w:val="000009"/>
          <w:spacing w:val="42"/>
          <w:sz w:val="25"/>
        </w:rPr>
        <w:t> </w:t>
      </w:r>
      <w:r>
        <w:rPr>
          <w:color w:val="000009"/>
          <w:sz w:val="25"/>
        </w:rPr>
        <w:t>court</w:t>
      </w:r>
      <w:r>
        <w:rPr>
          <w:color w:val="000009"/>
          <w:spacing w:val="42"/>
          <w:sz w:val="25"/>
        </w:rPr>
        <w:t> </w:t>
      </w:r>
      <w:r>
        <w:rPr>
          <w:color w:val="000009"/>
          <w:sz w:val="25"/>
        </w:rPr>
        <w:t>is</w:t>
      </w:r>
      <w:r>
        <w:rPr>
          <w:color w:val="000009"/>
          <w:spacing w:val="42"/>
          <w:sz w:val="25"/>
        </w:rPr>
        <w:t> </w:t>
      </w:r>
      <w:r>
        <w:rPr>
          <w:color w:val="000009"/>
          <w:sz w:val="25"/>
        </w:rPr>
        <w:t>authorised</w:t>
      </w:r>
      <w:r>
        <w:rPr>
          <w:color w:val="000009"/>
          <w:spacing w:val="42"/>
          <w:sz w:val="25"/>
        </w:rPr>
        <w:t> </w:t>
      </w:r>
      <w:r>
        <w:rPr>
          <w:color w:val="000009"/>
          <w:sz w:val="25"/>
        </w:rPr>
        <w:t>to</w:t>
      </w:r>
      <w:r>
        <w:rPr>
          <w:color w:val="000009"/>
          <w:spacing w:val="41"/>
          <w:sz w:val="25"/>
        </w:rPr>
        <w:t> </w:t>
      </w:r>
      <w:r>
        <w:rPr>
          <w:color w:val="000009"/>
          <w:sz w:val="25"/>
        </w:rPr>
        <w:t>alter</w:t>
      </w:r>
      <w:r>
        <w:rPr>
          <w:color w:val="000009"/>
          <w:spacing w:val="42"/>
          <w:sz w:val="25"/>
        </w:rPr>
        <w:t> </w:t>
      </w:r>
      <w:r>
        <w:rPr>
          <w:color w:val="000009"/>
          <w:sz w:val="25"/>
        </w:rPr>
        <w:t>or</w:t>
      </w:r>
      <w:r>
        <w:rPr>
          <w:color w:val="000009"/>
          <w:spacing w:val="42"/>
          <w:sz w:val="25"/>
        </w:rPr>
        <w:t> </w:t>
      </w:r>
      <w:r>
        <w:rPr>
          <w:color w:val="000009"/>
          <w:sz w:val="25"/>
        </w:rPr>
        <w:t>add</w:t>
      </w:r>
      <w:r>
        <w:rPr>
          <w:color w:val="000009"/>
          <w:spacing w:val="42"/>
          <w:sz w:val="25"/>
        </w:rPr>
        <w:t> </w:t>
      </w:r>
      <w:r>
        <w:rPr>
          <w:color w:val="000009"/>
          <w:sz w:val="25"/>
        </w:rPr>
        <w:t>to</w:t>
      </w:r>
      <w:r>
        <w:rPr>
          <w:color w:val="000009"/>
          <w:spacing w:val="42"/>
          <w:sz w:val="25"/>
        </w:rPr>
        <w:t> </w:t>
      </w:r>
      <w:r>
        <w:rPr>
          <w:color w:val="000009"/>
          <w:sz w:val="25"/>
        </w:rPr>
        <w:t>the</w:t>
      </w:r>
      <w:r>
        <w:rPr>
          <w:color w:val="000009"/>
          <w:spacing w:val="42"/>
          <w:sz w:val="25"/>
        </w:rPr>
        <w:t> </w:t>
      </w:r>
      <w:r>
        <w:rPr>
          <w:color w:val="000009"/>
          <w:sz w:val="25"/>
        </w:rPr>
        <w:t>charge</w:t>
      </w:r>
      <w:r>
        <w:rPr>
          <w:color w:val="000009"/>
          <w:spacing w:val="40"/>
          <w:sz w:val="25"/>
        </w:rPr>
        <w:t> </w:t>
      </w:r>
      <w:r>
        <w:rPr>
          <w:color w:val="000009"/>
          <w:sz w:val="25"/>
        </w:rPr>
        <w:t>at</w:t>
      </w:r>
      <w:r>
        <w:rPr>
          <w:color w:val="000009"/>
          <w:spacing w:val="41"/>
          <w:sz w:val="25"/>
        </w:rPr>
        <w:t> </w:t>
      </w:r>
      <w:r>
        <w:rPr>
          <w:color w:val="000009"/>
          <w:sz w:val="25"/>
        </w:rPr>
        <w:t>any</w:t>
      </w:r>
      <w:r>
        <w:rPr>
          <w:color w:val="000009"/>
          <w:spacing w:val="42"/>
          <w:sz w:val="25"/>
        </w:rPr>
        <w:t> </w:t>
      </w:r>
      <w:r>
        <w:rPr>
          <w:color w:val="000009"/>
          <w:sz w:val="25"/>
        </w:rPr>
        <w:t>time</w:t>
      </w:r>
    </w:p>
    <w:p>
      <w:pPr>
        <w:spacing w:after="0" w:line="480" w:lineRule="auto"/>
        <w:jc w:val="both"/>
        <w:rPr>
          <w:sz w:val="25"/>
        </w:rPr>
        <w:sectPr>
          <w:pgSz w:w="11900" w:h="16840"/>
          <w:pgMar w:header="0" w:footer="982" w:top="1360" w:bottom="1180" w:left="940" w:right="1280"/>
        </w:sectPr>
      </w:pPr>
    </w:p>
    <w:p>
      <w:pPr>
        <w:pStyle w:val="BodyText"/>
        <w:spacing w:line="480" w:lineRule="auto" w:before="79"/>
        <w:ind w:left="501" w:right="151"/>
        <w:jc w:val="both"/>
      </w:pPr>
      <w:r>
        <w:rPr>
          <w:color w:val="000009"/>
        </w:rPr>
        <w:t>before the judgment is pronounced. Whenever such an alteration or addition is made, it is to be read out and explained to the accused. The phrase “add to any charge” in Sub-Section (1) includes addition of a new charge. The provision enables the alteration or addition of a charge based on materials brought on record during the course of trial. Section 216 provides that the addition or alteration has to be done “at any time before judgment is pronounced”. Sub- Section (3) provides that if the alteration or addition to a charge does not cause prejudice to the accused in his defence, or the persecutor in the conduct of the case, the court may proceed with the trial as if the additional or alternative charge is the original charge. Sub-Section (4) contemplates a situation where the addition or alteration of charge will prejudice the accused and empowers the court to either direct a new trial or adjourn the trial for such period as may be necessary to mitigate the prejudice likely to be caused to the accused. Section 217 of the CrPC deals with recalling of witnesses when the charge is altered or added by the court after commencement of the</w:t>
      </w:r>
      <w:r>
        <w:rPr>
          <w:color w:val="000009"/>
          <w:spacing w:val="-9"/>
        </w:rPr>
        <w:t> </w:t>
      </w:r>
      <w:r>
        <w:rPr>
          <w:color w:val="000009"/>
        </w:rPr>
        <w:t>trial.</w:t>
      </w:r>
    </w:p>
    <w:p>
      <w:pPr>
        <w:pStyle w:val="BodyText"/>
        <w:rPr>
          <w:sz w:val="28"/>
        </w:rPr>
      </w:pPr>
    </w:p>
    <w:p>
      <w:pPr>
        <w:pStyle w:val="ListParagraph"/>
        <w:numPr>
          <w:ilvl w:val="0"/>
          <w:numId w:val="6"/>
        </w:numPr>
        <w:tabs>
          <w:tab w:pos="1222" w:val="left" w:leader="none"/>
        </w:tabs>
        <w:spacing w:line="480" w:lineRule="auto" w:before="238" w:after="0"/>
        <w:ind w:left="501" w:right="150" w:firstLine="0"/>
        <w:jc w:val="both"/>
        <w:rPr>
          <w:color w:val="000009"/>
          <w:sz w:val="25"/>
        </w:rPr>
      </w:pPr>
      <w:r>
        <w:rPr>
          <w:color w:val="000009"/>
          <w:sz w:val="25"/>
        </w:rPr>
        <w:t>The decision of a two-judge Bench of this Court in </w:t>
      </w:r>
      <w:r>
        <w:rPr>
          <w:b/>
          <w:color w:val="000009"/>
          <w:sz w:val="25"/>
        </w:rPr>
        <w:t>P Kartikalakshmi </w:t>
      </w:r>
      <w:r>
        <w:rPr>
          <w:color w:val="000009"/>
          <w:sz w:val="25"/>
        </w:rPr>
        <w:t>v </w:t>
      </w:r>
      <w:r>
        <w:rPr>
          <w:b/>
          <w:color w:val="000009"/>
          <w:sz w:val="25"/>
        </w:rPr>
        <w:t>Sri Ganesh</w:t>
      </w:r>
      <w:hyperlink w:history="true" w:anchor="_bookmark11">
        <w:r>
          <w:rPr>
            <w:b/>
            <w:color w:val="000009"/>
            <w:position w:val="10"/>
            <w:sz w:val="14"/>
          </w:rPr>
          <w:t>12</w:t>
        </w:r>
      </w:hyperlink>
      <w:r>
        <w:rPr>
          <w:color w:val="000009"/>
          <w:sz w:val="25"/>
        </w:rPr>
        <w:t>, dealt with a case where during the course of a trial for an offence under Section 376 of the IPC, an application under Section 216 was filed to frame an additional charge for an offence under Section 417 of the IPC. Justice F M Ibrahim Kalifulla, while dealing with the power of the court to alter or add any charge,</w:t>
      </w:r>
      <w:r>
        <w:rPr>
          <w:color w:val="000009"/>
          <w:spacing w:val="-1"/>
          <w:sz w:val="25"/>
        </w:rPr>
        <w:t> </w:t>
      </w:r>
      <w:r>
        <w:rPr>
          <w:color w:val="000009"/>
          <w:sz w:val="25"/>
        </w:rPr>
        <w:t>held:</w:t>
      </w:r>
    </w:p>
    <w:p>
      <w:pPr>
        <w:spacing w:line="276" w:lineRule="auto" w:before="0"/>
        <w:ind w:left="1942" w:right="1979" w:firstLine="0"/>
        <w:jc w:val="both"/>
        <w:rPr>
          <w:sz w:val="21"/>
        </w:rPr>
      </w:pPr>
      <w:r>
        <w:rPr>
          <w:color w:val="000009"/>
          <w:sz w:val="21"/>
        </w:rPr>
        <w:t>“6. ... Section 216 CrPC empowers the Court to alter or add any charge at any time before the judgment is pronounced. It is now well settled that the power vested in the Court is</w:t>
      </w:r>
    </w:p>
    <w:p>
      <w:pPr>
        <w:pStyle w:val="BodyText"/>
        <w:spacing w:before="3"/>
        <w:rPr>
          <w:sz w:val="13"/>
        </w:rPr>
      </w:pPr>
      <w:r>
        <w:rPr/>
        <w:pict>
          <v:line style="position:absolute;mso-position-horizontal-relative:page;mso-position-vertical-relative:paragraph;z-index:-251652096;mso-wrap-distance-left:0;mso-wrap-distance-right:0" from="72pt,9.847425pt" to="184.8pt,9.847425pt" stroked="true" strokeweight=".5pt" strokecolor="#000000">
            <v:stroke dashstyle="solid"/>
            <w10:wrap type="topAndBottom"/>
          </v:line>
        </w:pict>
      </w:r>
    </w:p>
    <w:p>
      <w:pPr>
        <w:spacing w:before="14"/>
        <w:ind w:left="501" w:right="0" w:firstLine="0"/>
        <w:jc w:val="both"/>
        <w:rPr>
          <w:sz w:val="18"/>
        </w:rPr>
      </w:pPr>
      <w:r>
        <w:rPr>
          <w:rFonts w:ascii="Verdana"/>
          <w:color w:val="000009"/>
          <w:sz w:val="20"/>
        </w:rPr>
        <w:t>1</w:t>
      </w:r>
      <w:bookmarkStart w:name="_bookmark11" w:id="16"/>
      <w:bookmarkEnd w:id="16"/>
      <w:r>
        <w:rPr>
          <w:rFonts w:ascii="Verdana"/>
          <w:color w:val="000009"/>
          <w:sz w:val="20"/>
        </w:rPr>
        <w:t>2</w:t>
      </w:r>
      <w:r>
        <w:rPr>
          <w:rFonts w:ascii="Verdana"/>
          <w:color w:val="000009"/>
          <w:sz w:val="20"/>
        </w:rPr>
        <w:t> </w:t>
      </w:r>
      <w:r>
        <w:rPr>
          <w:color w:val="000009"/>
          <w:sz w:val="18"/>
        </w:rPr>
        <w:t>(2017) 3 SCC 347</w:t>
      </w:r>
    </w:p>
    <w:p>
      <w:pPr>
        <w:spacing w:after="0"/>
        <w:jc w:val="both"/>
        <w:rPr>
          <w:sz w:val="18"/>
        </w:rPr>
        <w:sectPr>
          <w:pgSz w:w="11900" w:h="16840"/>
          <w:pgMar w:header="0" w:footer="982" w:top="1360" w:bottom="1180" w:left="940" w:right="1280"/>
        </w:sectPr>
      </w:pPr>
    </w:p>
    <w:p>
      <w:pPr>
        <w:spacing w:line="276" w:lineRule="auto" w:before="81"/>
        <w:ind w:left="1942" w:right="1971" w:firstLine="0"/>
        <w:jc w:val="both"/>
        <w:rPr>
          <w:sz w:val="21"/>
        </w:rPr>
      </w:pPr>
      <w:r>
        <w:rPr>
          <w:color w:val="000009"/>
          <w:sz w:val="21"/>
        </w:rPr>
        <w:t>exclusive to the Court and there is no right in any party to seek for such addition or alteration by filing any application as a matter of right. </w:t>
      </w:r>
      <w:r>
        <w:rPr>
          <w:b/>
          <w:color w:val="000009"/>
          <w:sz w:val="21"/>
        </w:rPr>
        <w:t>It may be that if there was an omission in the framing of the charge and if it comes to the knowledge of the Court trying the offence, the power is always vested in the Court, as provided under Section 216 CrPC to either alter or add the charge and that such power is available with the Court at any time before the judgment is pronounced. It is an enabling provision for the Court to exercise its power under certain contingencies which comes to its notice or brought to its notice. In such a situation, if it comes to the knowledge of the Court that a necessity has arisen for the charge to be altered or added, it may do so on its own </w:t>
      </w:r>
      <w:r>
        <w:rPr>
          <w:color w:val="000009"/>
          <w:sz w:val="21"/>
        </w:rPr>
        <w:t>and no order need to be passed for that purpose. After such alteration or addition when the final decision is rendered, it will be open for the parties to work out their remedies in accordance with</w:t>
      </w:r>
      <w:r>
        <w:rPr>
          <w:color w:val="000009"/>
          <w:spacing w:val="-17"/>
          <w:sz w:val="21"/>
        </w:rPr>
        <w:t> </w:t>
      </w:r>
      <w:r>
        <w:rPr>
          <w:color w:val="000009"/>
          <w:spacing w:val="-3"/>
          <w:sz w:val="21"/>
        </w:rPr>
        <w:t>law.”</w:t>
      </w:r>
    </w:p>
    <w:p>
      <w:pPr>
        <w:spacing w:before="165"/>
        <w:ind w:left="5775" w:right="0" w:firstLine="0"/>
        <w:jc w:val="left"/>
        <w:rPr>
          <w:sz w:val="21"/>
        </w:rPr>
      </w:pPr>
      <w:r>
        <w:rPr>
          <w:color w:val="000009"/>
          <w:sz w:val="21"/>
        </w:rPr>
        <w:t>(Emphasis</w:t>
      </w:r>
      <w:r>
        <w:rPr>
          <w:color w:val="000009"/>
          <w:spacing w:val="-6"/>
          <w:sz w:val="21"/>
        </w:rPr>
        <w:t> </w:t>
      </w:r>
      <w:r>
        <w:rPr>
          <w:color w:val="000009"/>
          <w:sz w:val="21"/>
        </w:rPr>
        <w:t>supplied)</w:t>
      </w:r>
    </w:p>
    <w:p>
      <w:pPr>
        <w:pStyle w:val="BodyText"/>
        <w:rPr>
          <w:sz w:val="22"/>
        </w:rPr>
      </w:pPr>
    </w:p>
    <w:p>
      <w:pPr>
        <w:pStyle w:val="BodyText"/>
        <w:rPr>
          <w:sz w:val="20"/>
        </w:rPr>
      </w:pPr>
    </w:p>
    <w:p>
      <w:pPr>
        <w:pStyle w:val="ListParagraph"/>
        <w:numPr>
          <w:ilvl w:val="0"/>
          <w:numId w:val="6"/>
        </w:numPr>
        <w:tabs>
          <w:tab w:pos="1222" w:val="left" w:leader="none"/>
        </w:tabs>
        <w:spacing w:line="480" w:lineRule="auto" w:before="0" w:after="0"/>
        <w:ind w:left="501" w:right="157" w:firstLine="0"/>
        <w:jc w:val="both"/>
        <w:rPr>
          <w:color w:val="000009"/>
          <w:sz w:val="25"/>
        </w:rPr>
      </w:pPr>
      <w:r>
        <w:rPr>
          <w:color w:val="000009"/>
          <w:sz w:val="25"/>
        </w:rPr>
        <w:t>In </w:t>
      </w:r>
      <w:r>
        <w:rPr>
          <w:b/>
          <w:color w:val="000009"/>
          <w:sz w:val="25"/>
        </w:rPr>
        <w:t>Anant Prakash Sinha </w:t>
      </w:r>
      <w:r>
        <w:rPr>
          <w:color w:val="000009"/>
          <w:sz w:val="25"/>
        </w:rPr>
        <w:t>v </w:t>
      </w:r>
      <w:r>
        <w:rPr>
          <w:b/>
          <w:color w:val="000009"/>
          <w:sz w:val="25"/>
        </w:rPr>
        <w:t>State of Haryana</w:t>
      </w:r>
      <w:hyperlink w:history="true" w:anchor="_bookmark12">
        <w:r>
          <w:rPr>
            <w:b/>
            <w:color w:val="000009"/>
            <w:position w:val="10"/>
            <w:sz w:val="14"/>
          </w:rPr>
          <w:t>13</w:t>
        </w:r>
      </w:hyperlink>
      <w:r>
        <w:rPr>
          <w:color w:val="000009"/>
          <w:sz w:val="25"/>
        </w:rPr>
        <w:t>, a two judge Bench of this Court dealt with a situation where for commission of offences under Sections 498A and 323 of the IPC, an application was filed for framing an additional charge under Section 406 of the IPC against the husband and the mother-in </w:t>
      </w:r>
      <w:r>
        <w:rPr>
          <w:color w:val="000009"/>
          <w:spacing w:val="-5"/>
          <w:sz w:val="25"/>
        </w:rPr>
        <w:t>law. </w:t>
      </w:r>
      <w:r>
        <w:rPr>
          <w:color w:val="000009"/>
          <w:sz w:val="25"/>
        </w:rPr>
        <w:t>After referring to various decisions of this Court that dealt with the power of the court to alter a charge, Justice Dipak Misra (as the learned Chief Justice then was),</w:t>
      </w:r>
      <w:r>
        <w:rPr>
          <w:color w:val="000009"/>
          <w:spacing w:val="-1"/>
          <w:sz w:val="25"/>
        </w:rPr>
        <w:t> </w:t>
      </w:r>
      <w:r>
        <w:rPr>
          <w:color w:val="000009"/>
          <w:sz w:val="25"/>
        </w:rPr>
        <w:t>held:</w:t>
      </w:r>
    </w:p>
    <w:p>
      <w:pPr>
        <w:pStyle w:val="BodyText"/>
        <w:spacing w:before="5"/>
        <w:rPr>
          <w:sz w:val="24"/>
        </w:rPr>
      </w:pPr>
    </w:p>
    <w:p>
      <w:pPr>
        <w:spacing w:before="0"/>
        <w:ind w:left="1942" w:right="0" w:firstLine="0"/>
        <w:jc w:val="both"/>
        <w:rPr>
          <w:sz w:val="21"/>
        </w:rPr>
      </w:pPr>
      <w:r>
        <w:rPr>
          <w:color w:val="000009"/>
          <w:sz w:val="21"/>
        </w:rPr>
        <w:t>“18      the</w:t>
      </w:r>
      <w:r>
        <w:rPr>
          <w:color w:val="000009"/>
          <w:spacing w:val="7"/>
          <w:sz w:val="21"/>
        </w:rPr>
        <w:t> </w:t>
      </w:r>
      <w:r>
        <w:rPr>
          <w:color w:val="000009"/>
          <w:sz w:val="21"/>
        </w:rPr>
        <w:t>court</w:t>
      </w:r>
      <w:r>
        <w:rPr>
          <w:color w:val="000009"/>
          <w:spacing w:val="8"/>
          <w:sz w:val="21"/>
        </w:rPr>
        <w:t> </w:t>
      </w:r>
      <w:r>
        <w:rPr>
          <w:color w:val="000009"/>
          <w:sz w:val="21"/>
        </w:rPr>
        <w:t>can</w:t>
      </w:r>
      <w:r>
        <w:rPr>
          <w:color w:val="000009"/>
          <w:spacing w:val="7"/>
          <w:sz w:val="21"/>
        </w:rPr>
        <w:t> </w:t>
      </w:r>
      <w:r>
        <w:rPr>
          <w:color w:val="000009"/>
          <w:sz w:val="21"/>
        </w:rPr>
        <w:t>change</w:t>
      </w:r>
      <w:r>
        <w:rPr>
          <w:color w:val="000009"/>
          <w:spacing w:val="9"/>
          <w:sz w:val="21"/>
        </w:rPr>
        <w:t> </w:t>
      </w:r>
      <w:r>
        <w:rPr>
          <w:color w:val="000009"/>
          <w:sz w:val="21"/>
        </w:rPr>
        <w:t>or</w:t>
      </w:r>
      <w:r>
        <w:rPr>
          <w:color w:val="000009"/>
          <w:spacing w:val="8"/>
          <w:sz w:val="21"/>
        </w:rPr>
        <w:t> </w:t>
      </w:r>
      <w:r>
        <w:rPr>
          <w:color w:val="000009"/>
          <w:sz w:val="21"/>
        </w:rPr>
        <w:t>alter</w:t>
      </w:r>
      <w:r>
        <w:rPr>
          <w:color w:val="000009"/>
          <w:spacing w:val="9"/>
          <w:sz w:val="21"/>
        </w:rPr>
        <w:t> </w:t>
      </w:r>
      <w:r>
        <w:rPr>
          <w:color w:val="000009"/>
          <w:sz w:val="21"/>
        </w:rPr>
        <w:t>the</w:t>
      </w:r>
      <w:r>
        <w:rPr>
          <w:color w:val="000009"/>
          <w:spacing w:val="7"/>
          <w:sz w:val="21"/>
        </w:rPr>
        <w:t> </w:t>
      </w:r>
      <w:r>
        <w:rPr>
          <w:color w:val="000009"/>
          <w:sz w:val="21"/>
        </w:rPr>
        <w:t>charge</w:t>
      </w:r>
      <w:r>
        <w:rPr>
          <w:color w:val="000009"/>
          <w:spacing w:val="7"/>
          <w:sz w:val="21"/>
        </w:rPr>
        <w:t> </w:t>
      </w:r>
      <w:r>
        <w:rPr>
          <w:color w:val="000009"/>
          <w:sz w:val="21"/>
        </w:rPr>
        <w:t>if</w:t>
      </w:r>
      <w:r>
        <w:rPr>
          <w:color w:val="000009"/>
          <w:spacing w:val="7"/>
          <w:sz w:val="21"/>
        </w:rPr>
        <w:t> </w:t>
      </w:r>
      <w:r>
        <w:rPr>
          <w:color w:val="000009"/>
          <w:sz w:val="21"/>
        </w:rPr>
        <w:t>there</w:t>
      </w:r>
      <w:r>
        <w:rPr>
          <w:color w:val="000009"/>
          <w:spacing w:val="7"/>
          <w:sz w:val="21"/>
        </w:rPr>
        <w:t> </w:t>
      </w:r>
      <w:r>
        <w:rPr>
          <w:color w:val="000009"/>
          <w:sz w:val="21"/>
        </w:rPr>
        <w:t>is</w:t>
      </w:r>
      <w:r>
        <w:rPr>
          <w:color w:val="000009"/>
          <w:spacing w:val="9"/>
          <w:sz w:val="21"/>
        </w:rPr>
        <w:t> </w:t>
      </w:r>
      <w:r>
        <w:rPr>
          <w:color w:val="000009"/>
          <w:sz w:val="21"/>
        </w:rPr>
        <w:t>defect</w:t>
      </w:r>
    </w:p>
    <w:p>
      <w:pPr>
        <w:spacing w:line="276" w:lineRule="auto" w:before="36"/>
        <w:ind w:left="1942" w:right="1706" w:firstLine="0"/>
        <w:jc w:val="both"/>
        <w:rPr>
          <w:b/>
          <w:sz w:val="21"/>
        </w:rPr>
      </w:pPr>
      <w:r>
        <w:rPr/>
        <w:pict>
          <v:line style="position:absolute;mso-position-horizontal-relative:page;mso-position-vertical-relative:paragraph;z-index:-251651072;mso-wrap-distance-left:0;mso-wrap-distance-right:0" from="72pt,175.198868pt" to="184.8pt,175.198868pt" stroked="true" strokeweight=".5pt" strokecolor="#000000">
            <v:stroke dashstyle="solid"/>
            <w10:wrap type="topAndBottom"/>
          </v:line>
        </w:pict>
      </w:r>
      <w:r>
        <w:rPr>
          <w:color w:val="000009"/>
          <w:sz w:val="21"/>
        </w:rPr>
        <w:t>or something is left out. </w:t>
      </w:r>
      <w:r>
        <w:rPr>
          <w:b/>
          <w:color w:val="000009"/>
          <w:sz w:val="21"/>
        </w:rPr>
        <w:t>The test is, it must be founded on the material available on record. It can be on the basis of the complaint or the FIR or accompanying documents or the material brought on record during the course of trial. It can also be done at any time before pronouncement of judgment. It is not necessary to advert to each and every circumstance. Suffice it to </w:t>
      </w:r>
      <w:r>
        <w:rPr>
          <w:b/>
          <w:color w:val="000009"/>
          <w:spacing w:val="-5"/>
          <w:sz w:val="21"/>
        </w:rPr>
        <w:t>say, </w:t>
      </w:r>
      <w:r>
        <w:rPr>
          <w:b/>
          <w:color w:val="000009"/>
          <w:sz w:val="21"/>
        </w:rPr>
        <w:t>if the court has not framed a charge despite the material on record, it has the jurisdiction to add a charge. </w:t>
      </w:r>
      <w:r>
        <w:rPr>
          <w:b/>
          <w:color w:val="000009"/>
          <w:spacing w:val="-3"/>
          <w:sz w:val="21"/>
        </w:rPr>
        <w:t>Similarly, </w:t>
      </w:r>
      <w:r>
        <w:rPr>
          <w:b/>
          <w:color w:val="000009"/>
          <w:sz w:val="21"/>
        </w:rPr>
        <w:t>it has the authority to alter the charge. The principle that has to be kept in mind is that the charge so framed by the Magistrate is in accord with the materials</w:t>
      </w:r>
      <w:r>
        <w:rPr>
          <w:b/>
          <w:color w:val="000009"/>
          <w:spacing w:val="39"/>
          <w:sz w:val="21"/>
        </w:rPr>
        <w:t> </w:t>
      </w:r>
      <w:r>
        <w:rPr>
          <w:b/>
          <w:color w:val="000009"/>
          <w:sz w:val="21"/>
        </w:rPr>
        <w:t>produced</w:t>
      </w:r>
      <w:r>
        <w:rPr>
          <w:b/>
          <w:color w:val="000009"/>
          <w:spacing w:val="41"/>
          <w:sz w:val="21"/>
        </w:rPr>
        <w:t> </w:t>
      </w:r>
      <w:r>
        <w:rPr>
          <w:b/>
          <w:color w:val="000009"/>
          <w:sz w:val="21"/>
        </w:rPr>
        <w:t>before</w:t>
      </w:r>
      <w:r>
        <w:rPr>
          <w:b/>
          <w:color w:val="000009"/>
          <w:spacing w:val="39"/>
          <w:sz w:val="21"/>
        </w:rPr>
        <w:t> </w:t>
      </w:r>
      <w:r>
        <w:rPr>
          <w:b/>
          <w:color w:val="000009"/>
          <w:sz w:val="21"/>
        </w:rPr>
        <w:t>him</w:t>
      </w:r>
      <w:r>
        <w:rPr>
          <w:b/>
          <w:color w:val="000009"/>
          <w:spacing w:val="41"/>
          <w:sz w:val="21"/>
        </w:rPr>
        <w:t> </w:t>
      </w:r>
      <w:r>
        <w:rPr>
          <w:b/>
          <w:color w:val="000009"/>
          <w:sz w:val="21"/>
        </w:rPr>
        <w:t>or</w:t>
      </w:r>
      <w:r>
        <w:rPr>
          <w:b/>
          <w:color w:val="000009"/>
          <w:spacing w:val="41"/>
          <w:sz w:val="21"/>
        </w:rPr>
        <w:t> </w:t>
      </w:r>
      <w:r>
        <w:rPr>
          <w:b/>
          <w:color w:val="000009"/>
          <w:sz w:val="21"/>
        </w:rPr>
        <w:t>if</w:t>
      </w:r>
      <w:r>
        <w:rPr>
          <w:b/>
          <w:color w:val="000009"/>
          <w:spacing w:val="40"/>
          <w:sz w:val="21"/>
        </w:rPr>
        <w:t> </w:t>
      </w:r>
      <w:r>
        <w:rPr>
          <w:b/>
          <w:color w:val="000009"/>
          <w:sz w:val="21"/>
        </w:rPr>
        <w:t>subsequent</w:t>
      </w:r>
      <w:r>
        <w:rPr>
          <w:b/>
          <w:color w:val="000009"/>
          <w:spacing w:val="41"/>
          <w:sz w:val="21"/>
        </w:rPr>
        <w:t> </w:t>
      </w:r>
      <w:r>
        <w:rPr>
          <w:b/>
          <w:color w:val="000009"/>
          <w:sz w:val="21"/>
        </w:rPr>
        <w:t>evidence</w:t>
      </w:r>
    </w:p>
    <w:p>
      <w:pPr>
        <w:spacing w:before="14"/>
        <w:ind w:left="501" w:right="0" w:firstLine="0"/>
        <w:jc w:val="left"/>
        <w:rPr>
          <w:sz w:val="18"/>
        </w:rPr>
      </w:pPr>
      <w:r>
        <w:rPr>
          <w:rFonts w:ascii="Verdana"/>
          <w:color w:val="000009"/>
          <w:sz w:val="20"/>
        </w:rPr>
        <w:t>1</w:t>
      </w:r>
      <w:bookmarkStart w:name="_bookmark12" w:id="17"/>
      <w:bookmarkEnd w:id="17"/>
      <w:r>
        <w:rPr>
          <w:rFonts w:ascii="Verdana"/>
          <w:color w:val="000009"/>
          <w:sz w:val="20"/>
        </w:rPr>
        <w:t>3</w:t>
      </w:r>
      <w:r>
        <w:rPr>
          <w:rFonts w:ascii="Verdana"/>
          <w:color w:val="000009"/>
          <w:sz w:val="20"/>
        </w:rPr>
        <w:t> </w:t>
      </w:r>
      <w:r>
        <w:rPr>
          <w:sz w:val="18"/>
        </w:rPr>
        <w:t>(2016) 6 SCC 105</w:t>
      </w:r>
    </w:p>
    <w:p>
      <w:pPr>
        <w:pStyle w:val="BodyText"/>
        <w:rPr>
          <w:sz w:val="22"/>
        </w:rPr>
      </w:pPr>
    </w:p>
    <w:p>
      <w:pPr>
        <w:spacing w:before="1"/>
        <w:ind w:left="501" w:right="0" w:firstLine="0"/>
        <w:jc w:val="left"/>
        <w:rPr>
          <w:rFonts w:ascii="Times New Roman"/>
          <w:sz w:val="24"/>
        </w:rPr>
      </w:pPr>
      <w:r>
        <w:rPr>
          <w:rFonts w:ascii="Times New Roman"/>
          <w:color w:val="000009"/>
          <w:sz w:val="24"/>
        </w:rPr>
        <w:t>10</w:t>
      </w:r>
    </w:p>
    <w:p>
      <w:pPr>
        <w:spacing w:after="0"/>
        <w:jc w:val="left"/>
        <w:rPr>
          <w:rFonts w:ascii="Times New Roman"/>
          <w:sz w:val="24"/>
        </w:rPr>
        <w:sectPr>
          <w:footerReference w:type="default" r:id="rId8"/>
          <w:pgSz w:w="11900" w:h="16840"/>
          <w:pgMar w:footer="0" w:header="0" w:top="1360" w:bottom="280" w:left="940" w:right="1280"/>
        </w:sectPr>
      </w:pPr>
    </w:p>
    <w:p>
      <w:pPr>
        <w:spacing w:line="276" w:lineRule="auto" w:before="81"/>
        <w:ind w:left="1942" w:right="1706" w:firstLine="0"/>
        <w:jc w:val="both"/>
        <w:rPr>
          <w:sz w:val="21"/>
        </w:rPr>
      </w:pPr>
      <w:bookmarkStart w:name="_bookmark13" w:id="18"/>
      <w:bookmarkEnd w:id="18"/>
      <w:r>
        <w:rPr/>
      </w:r>
      <w:r>
        <w:rPr>
          <w:b/>
          <w:color w:val="000009"/>
          <w:sz w:val="21"/>
        </w:rPr>
        <w:t>comes on record. </w:t>
      </w:r>
      <w:r>
        <w:rPr>
          <w:color w:val="000009"/>
          <w:sz w:val="21"/>
        </w:rPr>
        <w:t>It is not to be understood that unless evidence has been let in, charges already framed cannot be altered, for that is not the purport of Section 216 CrPC.</w:t>
      </w:r>
    </w:p>
    <w:p>
      <w:pPr>
        <w:tabs>
          <w:tab w:pos="6067" w:val="left" w:leader="none"/>
        </w:tabs>
        <w:spacing w:line="276" w:lineRule="auto" w:before="161"/>
        <w:ind w:left="1942" w:right="1707" w:firstLine="0"/>
        <w:jc w:val="both"/>
        <w:rPr>
          <w:sz w:val="21"/>
        </w:rPr>
      </w:pPr>
      <w:r>
        <w:rPr>
          <w:color w:val="000009"/>
          <w:sz w:val="21"/>
        </w:rPr>
        <w:t>19. In addition to what we have stated hereinabove,</w:t>
      </w:r>
      <w:r>
        <w:rPr>
          <w:color w:val="000009"/>
          <w:spacing w:val="37"/>
          <w:sz w:val="21"/>
        </w:rPr>
        <w:t> </w:t>
      </w:r>
      <w:r>
        <w:rPr>
          <w:color w:val="000009"/>
          <w:sz w:val="21"/>
        </w:rPr>
        <w:t>another aspect also has to be kept in mind. It is obligatory on the part of the court to see that no prejudice is caused to the accused and he is allowed to have a fair trial. There are in-built safeguards in Section 216 CrPC. It is the duty of the trial court to bear in mind that no prejudice is caused to the accused as that has the potentiality to affect a</w:t>
      </w:r>
      <w:r>
        <w:rPr>
          <w:color w:val="000009"/>
          <w:spacing w:val="-13"/>
          <w:sz w:val="21"/>
        </w:rPr>
        <w:t> </w:t>
      </w:r>
      <w:r>
        <w:rPr>
          <w:color w:val="000009"/>
          <w:sz w:val="21"/>
        </w:rPr>
        <w:t>fair</w:t>
      </w:r>
      <w:r>
        <w:rPr>
          <w:color w:val="000009"/>
          <w:spacing w:val="-2"/>
          <w:sz w:val="21"/>
        </w:rPr>
        <w:t> </w:t>
      </w:r>
      <w:r>
        <w:rPr>
          <w:color w:val="000009"/>
          <w:sz w:val="21"/>
        </w:rPr>
        <w:t>trial...”</w:t>
        <w:tab/>
        <w:t>(Emphasis</w:t>
      </w:r>
      <w:r>
        <w:rPr>
          <w:color w:val="000009"/>
          <w:spacing w:val="8"/>
          <w:sz w:val="21"/>
        </w:rPr>
        <w:t> </w:t>
      </w:r>
      <w:r>
        <w:rPr>
          <w:color w:val="000009"/>
          <w:spacing w:val="-3"/>
          <w:sz w:val="21"/>
        </w:rPr>
        <w:t>supplied)</w:t>
      </w:r>
    </w:p>
    <w:p>
      <w:pPr>
        <w:pStyle w:val="BodyText"/>
        <w:rPr>
          <w:sz w:val="22"/>
        </w:rPr>
      </w:pPr>
    </w:p>
    <w:p>
      <w:pPr>
        <w:pStyle w:val="BodyText"/>
        <w:rPr>
          <w:sz w:val="22"/>
        </w:rPr>
      </w:pPr>
    </w:p>
    <w:p>
      <w:pPr>
        <w:pStyle w:val="BodyText"/>
        <w:rPr>
          <w:sz w:val="22"/>
        </w:rPr>
      </w:pPr>
    </w:p>
    <w:p>
      <w:pPr>
        <w:pStyle w:val="BodyText"/>
        <w:spacing w:before="1"/>
        <w:rPr>
          <w:sz w:val="24"/>
        </w:rPr>
      </w:pPr>
    </w:p>
    <w:p>
      <w:pPr>
        <w:pStyle w:val="ListParagraph"/>
        <w:numPr>
          <w:ilvl w:val="0"/>
          <w:numId w:val="6"/>
        </w:numPr>
        <w:tabs>
          <w:tab w:pos="1222" w:val="left" w:leader="none"/>
        </w:tabs>
        <w:spacing w:line="480" w:lineRule="auto" w:before="0" w:after="0"/>
        <w:ind w:left="501" w:right="159" w:firstLine="0"/>
        <w:jc w:val="both"/>
        <w:rPr>
          <w:color w:val="000009"/>
          <w:sz w:val="25"/>
        </w:rPr>
      </w:pPr>
      <w:r>
        <w:rPr>
          <w:color w:val="000009"/>
          <w:sz w:val="25"/>
        </w:rPr>
        <w:t>In </w:t>
      </w:r>
      <w:r>
        <w:rPr>
          <w:b/>
          <w:color w:val="000009"/>
          <w:sz w:val="25"/>
        </w:rPr>
        <w:t>CBI </w:t>
      </w:r>
      <w:r>
        <w:rPr>
          <w:color w:val="000009"/>
          <w:sz w:val="25"/>
        </w:rPr>
        <w:t>v </w:t>
      </w:r>
      <w:r>
        <w:rPr>
          <w:b/>
          <w:color w:val="000009"/>
          <w:sz w:val="25"/>
        </w:rPr>
        <w:t>Karimullah Osan Khan</w:t>
      </w:r>
      <w:hyperlink w:history="true" w:anchor="_bookmark13">
        <w:r>
          <w:rPr>
            <w:b/>
            <w:color w:val="000009"/>
            <w:position w:val="10"/>
            <w:sz w:val="14"/>
          </w:rPr>
          <w:t>14</w:t>
        </w:r>
      </w:hyperlink>
      <w:r>
        <w:rPr>
          <w:color w:val="000009"/>
          <w:sz w:val="25"/>
        </w:rPr>
        <w:t>, this Court dealt with a case where an application was filed under Section 216 of CrPC during the course of trial for addition of charges against the appellant under various provisions of the IPC, the Explosives Act 1884 and the </w:t>
      </w:r>
      <w:r>
        <w:rPr>
          <w:color w:val="000009"/>
          <w:spacing w:val="-4"/>
          <w:sz w:val="25"/>
        </w:rPr>
        <w:t>Terrorist </w:t>
      </w:r>
      <w:r>
        <w:rPr>
          <w:color w:val="000009"/>
          <w:sz w:val="25"/>
        </w:rPr>
        <w:t>and Disruptive Activities (Prevention) Act 1987. Justice K S P Radhakrishnan, speaking for the Court, held</w:t>
      </w:r>
      <w:r>
        <w:rPr>
          <w:color w:val="000009"/>
          <w:spacing w:val="-22"/>
          <w:sz w:val="25"/>
        </w:rPr>
        <w:t> </w:t>
      </w:r>
      <w:r>
        <w:rPr>
          <w:color w:val="000009"/>
          <w:sz w:val="25"/>
        </w:rPr>
        <w:t>thus:</w:t>
      </w:r>
    </w:p>
    <w:p>
      <w:pPr>
        <w:spacing w:line="276" w:lineRule="auto" w:before="0"/>
        <w:ind w:left="1942" w:right="1973" w:firstLine="0"/>
        <w:jc w:val="both"/>
        <w:rPr>
          <w:sz w:val="21"/>
        </w:rPr>
      </w:pPr>
      <w:r>
        <w:rPr>
          <w:color w:val="000009"/>
          <w:sz w:val="21"/>
        </w:rPr>
        <w:t>“17. </w:t>
      </w:r>
      <w:r>
        <w:rPr>
          <w:b/>
          <w:color w:val="000009"/>
          <w:sz w:val="21"/>
        </w:rPr>
        <w:t>Section 216 CrPC gives considerable power to the trial court, that is, even after the completion of evidence, arguments heard and the judgment reserved, it can alter and add to any charge, subject to the conditions mentioned therein. The expressions “at any time” and before the “judgment is pronounced” would indicate that the power is very wide and can be exercised, in appropriate cases</w:t>
      </w:r>
      <w:r>
        <w:rPr>
          <w:color w:val="000009"/>
          <w:sz w:val="21"/>
        </w:rPr>
        <w:t>, in the interest of justice, but at the same time, the courts should also see that its orders would not cause any prejudice to the accused.</w:t>
      </w:r>
    </w:p>
    <w:p>
      <w:pPr>
        <w:spacing w:line="276" w:lineRule="auto" w:before="160"/>
        <w:ind w:left="1942" w:right="1970" w:firstLine="0"/>
        <w:jc w:val="both"/>
        <w:rPr>
          <w:sz w:val="21"/>
        </w:rPr>
      </w:pPr>
      <w:r>
        <w:rPr>
          <w:color w:val="000009"/>
          <w:sz w:val="21"/>
        </w:rPr>
        <w:t>18. Section 216 CrPC confers jurisdiction on all courts, including the Designated Courts, to alter or add to any charge framed earlier, at any time before the judgment is pronounced and sub-sections (2) to (5) prescribe the procedure which has to be followed after that addition or alteration. </w:t>
      </w:r>
      <w:r>
        <w:rPr>
          <w:b/>
          <w:color w:val="000009"/>
          <w:sz w:val="21"/>
        </w:rPr>
        <w:t>Needless to </w:t>
      </w:r>
      <w:r>
        <w:rPr>
          <w:b/>
          <w:color w:val="000009"/>
          <w:spacing w:val="-5"/>
          <w:sz w:val="21"/>
        </w:rPr>
        <w:t>say, </w:t>
      </w:r>
      <w:r>
        <w:rPr>
          <w:b/>
          <w:color w:val="000009"/>
          <w:sz w:val="21"/>
        </w:rPr>
        <w:t>the courts can exercise the power of addition or modification of charges under Section 216 CrPC, only when there exists some material before the court, which has some connection or link with the charges sought to be amended, added or modified. In other words, alteration or addition of a charge must be for an offence made out by the evidence recorded during the course of trial before the</w:t>
      </w:r>
      <w:r>
        <w:rPr>
          <w:b/>
          <w:color w:val="000009"/>
          <w:spacing w:val="-2"/>
          <w:sz w:val="21"/>
        </w:rPr>
        <w:t> </w:t>
      </w:r>
      <w:r>
        <w:rPr>
          <w:b/>
          <w:color w:val="000009"/>
          <w:sz w:val="21"/>
        </w:rPr>
        <w:t>court</w:t>
      </w:r>
      <w:r>
        <w:rPr>
          <w:color w:val="000009"/>
          <w:sz w:val="21"/>
        </w:rPr>
        <w:t>.”</w:t>
      </w:r>
    </w:p>
    <w:p>
      <w:pPr>
        <w:spacing w:after="0" w:line="276" w:lineRule="auto"/>
        <w:jc w:val="both"/>
        <w:rPr>
          <w:sz w:val="21"/>
        </w:rPr>
        <w:sectPr>
          <w:footerReference w:type="default" r:id="rId9"/>
          <w:pgSz w:w="11900" w:h="16840"/>
          <w:pgMar w:footer="1542" w:header="0" w:top="1360" w:bottom="1740" w:left="940" w:right="1280"/>
        </w:sectPr>
      </w:pPr>
    </w:p>
    <w:p>
      <w:pPr>
        <w:spacing w:before="81"/>
        <w:ind w:left="5599" w:right="0" w:firstLine="0"/>
        <w:jc w:val="left"/>
        <w:rPr>
          <w:sz w:val="21"/>
        </w:rPr>
      </w:pPr>
      <w:r>
        <w:rPr>
          <w:color w:val="000009"/>
          <w:sz w:val="21"/>
        </w:rPr>
        <w:t>(Emphasis supplied)</w:t>
      </w:r>
    </w:p>
    <w:p>
      <w:pPr>
        <w:pStyle w:val="BodyText"/>
        <w:rPr>
          <w:sz w:val="22"/>
        </w:rPr>
      </w:pPr>
    </w:p>
    <w:p>
      <w:pPr>
        <w:pStyle w:val="BodyText"/>
        <w:rPr>
          <w:sz w:val="22"/>
        </w:rPr>
      </w:pPr>
    </w:p>
    <w:p>
      <w:pPr>
        <w:pStyle w:val="BodyText"/>
        <w:spacing w:before="10"/>
        <w:rPr>
          <w:sz w:val="22"/>
        </w:rPr>
      </w:pPr>
    </w:p>
    <w:p>
      <w:pPr>
        <w:pStyle w:val="ListParagraph"/>
        <w:numPr>
          <w:ilvl w:val="0"/>
          <w:numId w:val="6"/>
        </w:numPr>
        <w:tabs>
          <w:tab w:pos="1222" w:val="left" w:leader="none"/>
        </w:tabs>
        <w:spacing w:line="480" w:lineRule="auto" w:before="0" w:after="0"/>
        <w:ind w:left="501" w:right="152" w:firstLine="0"/>
        <w:jc w:val="both"/>
        <w:rPr>
          <w:color w:val="000009"/>
          <w:sz w:val="25"/>
        </w:rPr>
      </w:pPr>
      <w:r>
        <w:rPr>
          <w:color w:val="000009"/>
          <w:sz w:val="25"/>
        </w:rPr>
        <w:t>In </w:t>
      </w:r>
      <w:r>
        <w:rPr>
          <w:b/>
          <w:color w:val="000009"/>
          <w:sz w:val="25"/>
        </w:rPr>
        <w:t>Jasvinder Saini </w:t>
      </w:r>
      <w:r>
        <w:rPr>
          <w:color w:val="000009"/>
          <w:sz w:val="25"/>
        </w:rPr>
        <w:t>v </w:t>
      </w:r>
      <w:r>
        <w:rPr>
          <w:b/>
          <w:color w:val="000009"/>
          <w:sz w:val="25"/>
        </w:rPr>
        <w:t>State (Govt of NCT of Delhi)</w:t>
      </w:r>
      <w:hyperlink w:history="true" w:anchor="_bookmark14">
        <w:r>
          <w:rPr>
            <w:b/>
            <w:color w:val="000009"/>
            <w:position w:val="10"/>
            <w:sz w:val="14"/>
          </w:rPr>
          <w:t>15</w:t>
        </w:r>
      </w:hyperlink>
      <w:r>
        <w:rPr>
          <w:color w:val="000009"/>
          <w:sz w:val="25"/>
        </w:rPr>
        <w:t>, this Court dealt with the question whether the </w:t>
      </w:r>
      <w:r>
        <w:rPr>
          <w:color w:val="000009"/>
          <w:spacing w:val="-3"/>
          <w:sz w:val="25"/>
        </w:rPr>
        <w:t>Trial </w:t>
      </w:r>
      <w:r>
        <w:rPr>
          <w:color w:val="000009"/>
          <w:sz w:val="25"/>
        </w:rPr>
        <w:t>Court was justified in adding a charge under Section 302 of the IPC against the accused persons who were charged under Section 304B of the IPC. Justice T S Thakur (as he then was) speaking for the Court, held</w:t>
      </w:r>
      <w:r>
        <w:rPr>
          <w:color w:val="000009"/>
          <w:spacing w:val="-4"/>
          <w:sz w:val="25"/>
        </w:rPr>
        <w:t> </w:t>
      </w:r>
      <w:r>
        <w:rPr>
          <w:color w:val="000009"/>
          <w:sz w:val="25"/>
        </w:rPr>
        <w:t>thus:</w:t>
      </w:r>
    </w:p>
    <w:p>
      <w:pPr>
        <w:spacing w:line="276" w:lineRule="auto" w:before="0"/>
        <w:ind w:left="1942" w:right="1973" w:firstLine="0"/>
        <w:jc w:val="both"/>
        <w:rPr>
          <w:sz w:val="21"/>
        </w:rPr>
      </w:pPr>
      <w:r>
        <w:rPr>
          <w:color w:val="000009"/>
          <w:sz w:val="21"/>
        </w:rPr>
        <w:t>“11. </w:t>
      </w:r>
      <w:r>
        <w:rPr>
          <w:b/>
          <w:color w:val="000009"/>
          <w:sz w:val="21"/>
        </w:rPr>
        <w:t>A plain reading of the above would show that the court's power to alter or add any charge is unrestrained provided such addition and/or alteration is made before the judgment is pronounced. </w:t>
      </w:r>
      <w:r>
        <w:rPr>
          <w:color w:val="000009"/>
          <w:sz w:val="21"/>
        </w:rPr>
        <w:t>Sub-sections (2) to (5) of Section 216 deal with the procedure to be followed once the court decides to alter or add any charge. Section 217 of the Code deals with the recall of witnesses when the charge is altered or added by the court after commencement of the trial. There can, in the light of the above, be no doubt about the competence of the court to add or alter a charge at any time before the judgment. </w:t>
      </w:r>
      <w:r>
        <w:rPr>
          <w:b/>
          <w:color w:val="000009"/>
          <w:sz w:val="21"/>
        </w:rPr>
        <w:t>The circumstances in which such addition or alteration may be made are not, however, stipulated in Section 216. It is all the same trite that the question of any such addition or alternation would generally arise either because the court finds the charge already framed to be defective for any reason or because such addition is considered necessary after the commencement of the trial having regard to the evidence that may come before the court</w:t>
      </w:r>
      <w:r>
        <w:rPr>
          <w:color w:val="000009"/>
          <w:sz w:val="21"/>
        </w:rPr>
        <w:t>.”</w:t>
      </w:r>
    </w:p>
    <w:p>
      <w:pPr>
        <w:spacing w:before="162"/>
        <w:ind w:left="5775" w:right="0" w:firstLine="0"/>
        <w:jc w:val="left"/>
        <w:rPr>
          <w:sz w:val="21"/>
        </w:rPr>
      </w:pPr>
      <w:r>
        <w:rPr>
          <w:color w:val="000009"/>
          <w:sz w:val="21"/>
        </w:rPr>
        <w:t>(Emphasis supplied)</w:t>
      </w:r>
    </w:p>
    <w:p>
      <w:pPr>
        <w:pStyle w:val="BodyText"/>
        <w:rPr>
          <w:sz w:val="22"/>
        </w:rPr>
      </w:pPr>
    </w:p>
    <w:p>
      <w:pPr>
        <w:pStyle w:val="BodyText"/>
        <w:spacing w:before="4"/>
        <w:rPr>
          <w:sz w:val="20"/>
        </w:rPr>
      </w:pPr>
    </w:p>
    <w:p>
      <w:pPr>
        <w:pStyle w:val="ListParagraph"/>
        <w:numPr>
          <w:ilvl w:val="0"/>
          <w:numId w:val="6"/>
        </w:numPr>
        <w:tabs>
          <w:tab w:pos="1222" w:val="left" w:leader="none"/>
        </w:tabs>
        <w:spacing w:line="570" w:lineRule="atLeast" w:before="0" w:after="0"/>
        <w:ind w:left="501" w:right="149" w:firstLine="0"/>
        <w:jc w:val="both"/>
        <w:rPr>
          <w:color w:val="000009"/>
          <w:sz w:val="25"/>
        </w:rPr>
      </w:pPr>
      <w:r>
        <w:rPr>
          <w:color w:val="000009"/>
          <w:sz w:val="25"/>
        </w:rPr>
        <w:t>From the above line of precedents, it is clear that Section 216 provides the court an exclusive and wide-ranging power to change or alter any charge. The use of the words “at any time before judgment is pronounced” in Sub-Section (1) empowers the court to exercise its powers of altering or adding charges even after the completion of evidence, arguments and reserving of the judgment. The alteration</w:t>
      </w:r>
      <w:r>
        <w:rPr>
          <w:color w:val="000009"/>
          <w:spacing w:val="12"/>
          <w:sz w:val="25"/>
        </w:rPr>
        <w:t> </w:t>
      </w:r>
      <w:r>
        <w:rPr>
          <w:color w:val="000009"/>
          <w:sz w:val="25"/>
        </w:rPr>
        <w:t>or</w:t>
      </w:r>
      <w:r>
        <w:rPr>
          <w:color w:val="000009"/>
          <w:spacing w:val="9"/>
          <w:sz w:val="25"/>
        </w:rPr>
        <w:t> </w:t>
      </w:r>
      <w:r>
        <w:rPr>
          <w:color w:val="000009"/>
          <w:sz w:val="25"/>
        </w:rPr>
        <w:t>addition</w:t>
      </w:r>
      <w:r>
        <w:rPr>
          <w:color w:val="000009"/>
          <w:spacing w:val="11"/>
          <w:sz w:val="25"/>
        </w:rPr>
        <w:t> </w:t>
      </w:r>
      <w:r>
        <w:rPr>
          <w:color w:val="000009"/>
          <w:sz w:val="25"/>
        </w:rPr>
        <w:t>of</w:t>
      </w:r>
      <w:r>
        <w:rPr>
          <w:color w:val="000009"/>
          <w:spacing w:val="9"/>
          <w:sz w:val="25"/>
        </w:rPr>
        <w:t> </w:t>
      </w:r>
      <w:r>
        <w:rPr>
          <w:color w:val="000009"/>
          <w:sz w:val="25"/>
        </w:rPr>
        <w:t>a</w:t>
      </w:r>
      <w:r>
        <w:rPr>
          <w:color w:val="000009"/>
          <w:spacing w:val="8"/>
          <w:sz w:val="25"/>
        </w:rPr>
        <w:t> </w:t>
      </w:r>
      <w:r>
        <w:rPr>
          <w:color w:val="000009"/>
          <w:sz w:val="25"/>
        </w:rPr>
        <w:t>charge</w:t>
      </w:r>
      <w:r>
        <w:rPr>
          <w:color w:val="000009"/>
          <w:spacing w:val="11"/>
          <w:sz w:val="25"/>
        </w:rPr>
        <w:t> </w:t>
      </w:r>
      <w:r>
        <w:rPr>
          <w:color w:val="000009"/>
          <w:sz w:val="25"/>
        </w:rPr>
        <w:t>may</w:t>
      </w:r>
      <w:r>
        <w:rPr>
          <w:color w:val="000009"/>
          <w:spacing w:val="10"/>
          <w:sz w:val="25"/>
        </w:rPr>
        <w:t> </w:t>
      </w:r>
      <w:r>
        <w:rPr>
          <w:color w:val="000009"/>
          <w:sz w:val="25"/>
        </w:rPr>
        <w:t>be</w:t>
      </w:r>
      <w:r>
        <w:rPr>
          <w:color w:val="000009"/>
          <w:spacing w:val="9"/>
          <w:sz w:val="25"/>
        </w:rPr>
        <w:t> </w:t>
      </w:r>
      <w:r>
        <w:rPr>
          <w:color w:val="000009"/>
          <w:sz w:val="25"/>
        </w:rPr>
        <w:t>done</w:t>
      </w:r>
      <w:r>
        <w:rPr>
          <w:color w:val="000009"/>
          <w:spacing w:val="10"/>
          <w:sz w:val="25"/>
        </w:rPr>
        <w:t> </w:t>
      </w:r>
      <w:r>
        <w:rPr>
          <w:color w:val="000009"/>
          <w:sz w:val="25"/>
        </w:rPr>
        <w:t>if</w:t>
      </w:r>
      <w:r>
        <w:rPr>
          <w:color w:val="000009"/>
          <w:spacing w:val="9"/>
          <w:sz w:val="25"/>
        </w:rPr>
        <w:t> </w:t>
      </w:r>
      <w:r>
        <w:rPr>
          <w:color w:val="000009"/>
          <w:sz w:val="25"/>
        </w:rPr>
        <w:t>in</w:t>
      </w:r>
      <w:r>
        <w:rPr>
          <w:color w:val="000009"/>
          <w:spacing w:val="11"/>
          <w:sz w:val="25"/>
        </w:rPr>
        <w:t> </w:t>
      </w:r>
      <w:r>
        <w:rPr>
          <w:color w:val="000009"/>
          <w:sz w:val="25"/>
        </w:rPr>
        <w:t>the</w:t>
      </w:r>
      <w:r>
        <w:rPr>
          <w:color w:val="000009"/>
          <w:spacing w:val="10"/>
          <w:sz w:val="25"/>
        </w:rPr>
        <w:t> </w:t>
      </w:r>
      <w:r>
        <w:rPr>
          <w:color w:val="000009"/>
          <w:sz w:val="25"/>
        </w:rPr>
        <w:t>opinion</w:t>
      </w:r>
      <w:r>
        <w:rPr>
          <w:color w:val="000009"/>
          <w:spacing w:val="10"/>
          <w:sz w:val="25"/>
        </w:rPr>
        <w:t> </w:t>
      </w:r>
      <w:r>
        <w:rPr>
          <w:color w:val="000009"/>
          <w:sz w:val="25"/>
        </w:rPr>
        <w:t>of</w:t>
      </w:r>
      <w:r>
        <w:rPr>
          <w:color w:val="000009"/>
          <w:spacing w:val="10"/>
          <w:sz w:val="25"/>
        </w:rPr>
        <w:t> </w:t>
      </w:r>
      <w:r>
        <w:rPr>
          <w:color w:val="000009"/>
          <w:sz w:val="25"/>
        </w:rPr>
        <w:t>the</w:t>
      </w:r>
      <w:r>
        <w:rPr>
          <w:color w:val="000009"/>
          <w:spacing w:val="10"/>
          <w:sz w:val="25"/>
        </w:rPr>
        <w:t> </w:t>
      </w:r>
      <w:r>
        <w:rPr>
          <w:color w:val="000009"/>
          <w:sz w:val="25"/>
        </w:rPr>
        <w:t>court</w:t>
      </w:r>
      <w:r>
        <w:rPr>
          <w:color w:val="000009"/>
          <w:spacing w:val="9"/>
          <w:sz w:val="25"/>
        </w:rPr>
        <w:t> </w:t>
      </w:r>
      <w:r>
        <w:rPr>
          <w:color w:val="000009"/>
          <w:sz w:val="25"/>
        </w:rPr>
        <w:t>there</w:t>
      </w:r>
    </w:p>
    <w:p>
      <w:pPr>
        <w:pStyle w:val="BodyText"/>
        <w:spacing w:before="8"/>
        <w:rPr>
          <w:sz w:val="12"/>
        </w:rPr>
      </w:pPr>
      <w:r>
        <w:rPr/>
        <w:pict>
          <v:line style="position:absolute;mso-position-horizontal-relative:page;mso-position-vertical-relative:paragraph;z-index:-251650048;mso-wrap-distance-left:0;mso-wrap-distance-right:0" from="72pt,9.503186pt" to="184.8pt,9.503186pt" stroked="true" strokeweight=".5pt" strokecolor="#000000">
            <v:stroke dashstyle="solid"/>
            <w10:wrap type="topAndBottom"/>
          </v:line>
        </w:pict>
      </w:r>
    </w:p>
    <w:p>
      <w:pPr>
        <w:spacing w:before="14"/>
        <w:ind w:left="501" w:right="0" w:firstLine="0"/>
        <w:jc w:val="left"/>
        <w:rPr>
          <w:sz w:val="18"/>
        </w:rPr>
      </w:pPr>
      <w:r>
        <w:rPr>
          <w:rFonts w:ascii="Verdana"/>
          <w:color w:val="000009"/>
          <w:sz w:val="20"/>
        </w:rPr>
        <w:t>1</w:t>
      </w:r>
      <w:bookmarkStart w:name="_bookmark14" w:id="19"/>
      <w:bookmarkEnd w:id="19"/>
      <w:r>
        <w:rPr>
          <w:rFonts w:ascii="Verdana"/>
          <w:color w:val="000009"/>
          <w:sz w:val="20"/>
        </w:rPr>
        <w:t>5</w:t>
      </w:r>
      <w:r>
        <w:rPr>
          <w:rFonts w:ascii="Verdana"/>
          <w:color w:val="000009"/>
          <w:sz w:val="20"/>
        </w:rPr>
        <w:t> </w:t>
      </w:r>
      <w:r>
        <w:rPr>
          <w:color w:val="000009"/>
          <w:sz w:val="18"/>
        </w:rPr>
        <w:t>(2013) 7 SCC 256</w:t>
      </w:r>
    </w:p>
    <w:p>
      <w:pPr>
        <w:spacing w:after="0"/>
        <w:jc w:val="left"/>
        <w:rPr>
          <w:sz w:val="18"/>
        </w:rPr>
        <w:sectPr>
          <w:footerReference w:type="default" r:id="rId10"/>
          <w:pgSz w:w="11900" w:h="16840"/>
          <w:pgMar w:footer="982" w:header="0" w:top="1360" w:bottom="1180" w:left="940" w:right="1280"/>
        </w:sectPr>
      </w:pPr>
    </w:p>
    <w:p>
      <w:pPr>
        <w:pStyle w:val="BodyText"/>
        <w:spacing w:line="480" w:lineRule="auto" w:before="79"/>
        <w:ind w:left="501" w:right="155"/>
        <w:jc w:val="both"/>
      </w:pPr>
      <w:r>
        <w:rPr>
          <w:color w:val="000009"/>
        </w:rPr>
        <w:t>was an omission in the framing of charge or if upon prima facie examination of the material brought on record, it leads the court to form a presumptive opinion as to the existence of the factual ingredients constituting the alleged offence. The test to be adopted by the court while deciding upon an addition or alteration of a charge is that the material brought on record needs to have a direct link or nexus with the ingredients of the alleged offence. Addition of a charge merely commences the trial for the additional charges, whereupon, based on the evidence, it is to be determined whether the accused may be convicted for the additional charges. The court must exercise its powers under Section 216 judiciously and ensure that no prejudice is caused to the accused and that he is allowed to have a fair trial. The only constraint on the court’s power is the prejudice likely to be caused to the accused by the addition or alteration of charges. Sub-Section (4) accordingly prescribes the approach to be adopted by the courts where prejudice may be</w:t>
      </w:r>
      <w:r>
        <w:rPr>
          <w:color w:val="000009"/>
          <w:spacing w:val="3"/>
        </w:rPr>
        <w:t> </w:t>
      </w:r>
      <w:r>
        <w:rPr>
          <w:color w:val="000009"/>
        </w:rPr>
        <w:t>caused.</w:t>
      </w:r>
    </w:p>
    <w:p>
      <w:pPr>
        <w:pStyle w:val="ListParagraph"/>
        <w:numPr>
          <w:ilvl w:val="0"/>
          <w:numId w:val="6"/>
        </w:numPr>
        <w:tabs>
          <w:tab w:pos="1222" w:val="left" w:leader="none"/>
        </w:tabs>
        <w:spacing w:line="480" w:lineRule="auto" w:before="0" w:after="0"/>
        <w:ind w:left="501" w:right="99" w:firstLine="0"/>
        <w:jc w:val="both"/>
        <w:rPr>
          <w:color w:val="000009"/>
          <w:sz w:val="25"/>
        </w:rPr>
      </w:pPr>
      <w:r>
        <w:rPr>
          <w:color w:val="000009"/>
          <w:sz w:val="25"/>
        </w:rPr>
        <w:t>The appellant has relied upon a two-judge Bench decision of this Court in </w:t>
      </w:r>
      <w:r>
        <w:rPr>
          <w:b/>
          <w:color w:val="000009"/>
          <w:sz w:val="25"/>
        </w:rPr>
        <w:t>Onkar Nath Mishra </w:t>
      </w:r>
      <w:r>
        <w:rPr>
          <w:color w:val="000009"/>
          <w:sz w:val="25"/>
        </w:rPr>
        <w:t>v </w:t>
      </w:r>
      <w:r>
        <w:rPr>
          <w:b/>
          <w:color w:val="000009"/>
          <w:sz w:val="25"/>
        </w:rPr>
        <w:t>The State</w:t>
      </w:r>
      <w:hyperlink w:history="true" w:anchor="_bookmark15">
        <w:r>
          <w:rPr>
            <w:b/>
            <w:color w:val="000009"/>
            <w:position w:val="10"/>
            <w:sz w:val="14"/>
          </w:rPr>
          <w:t>16</w:t>
        </w:r>
      </w:hyperlink>
      <w:r>
        <w:rPr>
          <w:b/>
          <w:color w:val="000009"/>
          <w:position w:val="10"/>
          <w:sz w:val="14"/>
        </w:rPr>
        <w:t> </w:t>
      </w:r>
      <w:r>
        <w:rPr>
          <w:color w:val="000009"/>
          <w:sz w:val="25"/>
        </w:rPr>
        <w:t>to substantiate the point that the ingredients of Sections 406 and 420 of the IPC have not been established. This Court while dealing with the nature of evaluation by a court at the stage of framing of charge, held</w:t>
      </w:r>
      <w:r>
        <w:rPr>
          <w:color w:val="000009"/>
          <w:spacing w:val="-2"/>
          <w:sz w:val="25"/>
        </w:rPr>
        <w:t> </w:t>
      </w:r>
      <w:r>
        <w:rPr>
          <w:color w:val="000009"/>
          <w:sz w:val="25"/>
        </w:rPr>
        <w:t>thus:</w:t>
      </w:r>
    </w:p>
    <w:p>
      <w:pPr>
        <w:spacing w:line="276" w:lineRule="auto" w:before="144"/>
        <w:ind w:left="1942" w:right="1970" w:firstLine="0"/>
        <w:jc w:val="both"/>
        <w:rPr>
          <w:b/>
          <w:sz w:val="21"/>
        </w:rPr>
      </w:pPr>
      <w:r>
        <w:rPr/>
        <w:pict>
          <v:line style="position:absolute;mso-position-horizontal-relative:page;mso-position-vertical-relative:paragraph;z-index:-251649024;mso-wrap-distance-left:0;mso-wrap-distance-right:0" from="72pt,136.998886pt" to="184.8pt,136.998886pt" stroked="true" strokeweight=".5pt" strokecolor="#000000">
            <v:stroke dashstyle="solid"/>
            <w10:wrap type="topAndBottom"/>
          </v:line>
        </w:pict>
      </w:r>
      <w:r>
        <w:rPr>
          <w:color w:val="000009"/>
          <w:sz w:val="21"/>
        </w:rPr>
        <w:t>“</w:t>
      </w:r>
      <w:r>
        <w:rPr>
          <w:sz w:val="21"/>
        </w:rPr>
        <w:t>11. </w:t>
      </w:r>
      <w:r>
        <w:rPr>
          <w:b/>
          <w:sz w:val="21"/>
        </w:rPr>
        <w:t>It is trite that at the stage of framing of charge the court is required to evaluate the material and documents on record with a view to finding out if the facts emerging therefrom, taken at their face value, disclosed the existence of all the ingredients constituting the alleged offence. </w:t>
      </w:r>
      <w:r>
        <w:rPr>
          <w:sz w:val="21"/>
        </w:rPr>
        <w:t>At that stage, the court is not expected to go deep into the probative value of the material on record. </w:t>
      </w:r>
      <w:r>
        <w:rPr>
          <w:b/>
          <w:sz w:val="21"/>
        </w:rPr>
        <w:t>What needs to be considered is whether there is a ground for presuming that the offence has been committed and</w:t>
      </w:r>
      <w:r>
        <w:rPr>
          <w:b/>
          <w:spacing w:val="16"/>
          <w:sz w:val="21"/>
        </w:rPr>
        <w:t> </w:t>
      </w:r>
      <w:r>
        <w:rPr>
          <w:b/>
          <w:sz w:val="21"/>
        </w:rPr>
        <w:t>not</w:t>
      </w:r>
    </w:p>
    <w:p>
      <w:pPr>
        <w:spacing w:before="14"/>
        <w:ind w:left="501" w:right="0" w:firstLine="0"/>
        <w:jc w:val="both"/>
        <w:rPr>
          <w:sz w:val="18"/>
        </w:rPr>
      </w:pPr>
      <w:r>
        <w:rPr>
          <w:rFonts w:ascii="Verdana"/>
          <w:color w:val="000009"/>
          <w:sz w:val="20"/>
        </w:rPr>
        <w:t>1</w:t>
      </w:r>
      <w:bookmarkStart w:name="_bookmark15" w:id="20"/>
      <w:bookmarkEnd w:id="20"/>
      <w:r>
        <w:rPr>
          <w:rFonts w:ascii="Verdana"/>
          <w:color w:val="000009"/>
          <w:sz w:val="20"/>
        </w:rPr>
        <w:t>6</w:t>
      </w:r>
      <w:r>
        <w:rPr>
          <w:rFonts w:ascii="Verdana"/>
          <w:color w:val="000009"/>
          <w:sz w:val="20"/>
        </w:rPr>
        <w:t> </w:t>
      </w:r>
      <w:r>
        <w:rPr>
          <w:sz w:val="18"/>
        </w:rPr>
        <w:t>(2008) 2 SCC 561</w:t>
      </w:r>
    </w:p>
    <w:p>
      <w:pPr>
        <w:spacing w:after="0"/>
        <w:jc w:val="both"/>
        <w:rPr>
          <w:sz w:val="18"/>
        </w:rPr>
        <w:sectPr>
          <w:footerReference w:type="default" r:id="rId11"/>
          <w:pgSz w:w="11900" w:h="16840"/>
          <w:pgMar w:footer="982" w:header="0" w:top="1360" w:bottom="1180" w:left="940" w:right="1280"/>
          <w:pgNumType w:start="13"/>
        </w:sectPr>
      </w:pPr>
    </w:p>
    <w:p>
      <w:pPr>
        <w:spacing w:line="276" w:lineRule="auto" w:before="81"/>
        <w:ind w:left="1942" w:right="1977" w:firstLine="0"/>
        <w:jc w:val="both"/>
        <w:rPr>
          <w:sz w:val="21"/>
        </w:rPr>
      </w:pPr>
      <w:r>
        <w:rPr>
          <w:b/>
          <w:sz w:val="21"/>
        </w:rPr>
        <w:t>a ground for convicting the accused has been made out. </w:t>
      </w:r>
      <w:r>
        <w:rPr>
          <w:sz w:val="21"/>
        </w:rPr>
        <w:t>At that stage, even strong suspicion founded on material which leads the court to form a presumptive opinion as to the existence of the factual ingredients constituting the offence alleged would justify the framing of charge against the accused in respect of the commission of that offence.”</w:t>
      </w:r>
    </w:p>
    <w:p>
      <w:pPr>
        <w:spacing w:before="162"/>
        <w:ind w:left="5775" w:right="0" w:firstLine="0"/>
        <w:jc w:val="left"/>
        <w:rPr>
          <w:sz w:val="21"/>
        </w:rPr>
      </w:pPr>
      <w:r>
        <w:rPr>
          <w:sz w:val="21"/>
        </w:rPr>
        <w:t>(Emphasis supplied)</w:t>
      </w:r>
    </w:p>
    <w:p>
      <w:pPr>
        <w:pStyle w:val="BodyText"/>
        <w:rPr>
          <w:sz w:val="22"/>
        </w:rPr>
      </w:pPr>
    </w:p>
    <w:p>
      <w:pPr>
        <w:pStyle w:val="BodyText"/>
        <w:spacing w:before="9"/>
        <w:rPr>
          <w:sz w:val="32"/>
        </w:rPr>
      </w:pPr>
    </w:p>
    <w:p>
      <w:pPr>
        <w:pStyle w:val="ListParagraph"/>
        <w:numPr>
          <w:ilvl w:val="0"/>
          <w:numId w:val="6"/>
        </w:numPr>
        <w:tabs>
          <w:tab w:pos="1222" w:val="left" w:leader="none"/>
        </w:tabs>
        <w:spacing w:line="480" w:lineRule="auto" w:before="1" w:after="0"/>
        <w:ind w:left="501" w:right="110" w:firstLine="0"/>
        <w:jc w:val="both"/>
        <w:rPr>
          <w:color w:val="000009"/>
          <w:sz w:val="25"/>
        </w:rPr>
      </w:pPr>
      <w:r>
        <w:rPr>
          <w:color w:val="000009"/>
          <w:sz w:val="25"/>
        </w:rPr>
        <w:t>In the present case, the High Court while directing the framing the additional charges has evaluated the material and evidence brought on record after investigation and</w:t>
      </w:r>
      <w:r>
        <w:rPr>
          <w:color w:val="000009"/>
          <w:spacing w:val="3"/>
          <w:sz w:val="25"/>
        </w:rPr>
        <w:t> </w:t>
      </w:r>
      <w:r>
        <w:rPr>
          <w:color w:val="000009"/>
          <w:sz w:val="25"/>
        </w:rPr>
        <w:t>held:</w:t>
      </w:r>
    </w:p>
    <w:p>
      <w:pPr>
        <w:spacing w:line="276" w:lineRule="auto" w:before="158"/>
        <w:ind w:left="1942" w:right="1976" w:firstLine="0"/>
        <w:jc w:val="both"/>
        <w:rPr>
          <w:sz w:val="21"/>
        </w:rPr>
      </w:pPr>
      <w:r>
        <w:rPr>
          <w:color w:val="000009"/>
          <w:spacing w:val="-4"/>
          <w:sz w:val="21"/>
        </w:rPr>
        <w:t>“LW1 </w:t>
      </w:r>
      <w:r>
        <w:rPr>
          <w:color w:val="000009"/>
          <w:sz w:val="21"/>
        </w:rPr>
        <w:t>is the father of the de facto complainant, who states that his son in law i.e., the first accused promised that he would look after his daughter at United Kingdom (UK) and promised to provide Doctor job at UK and claimed Rs.5 lakhs for the said purpose and received the same and he took his daughter to the UK. He states that his son-in-law made him believe and received Rs.5 lakhs in the presence of elders. He states that he could not mention about the cheating done by his son-in- </w:t>
      </w:r>
      <w:r>
        <w:rPr>
          <w:color w:val="000009"/>
          <w:spacing w:val="-3"/>
          <w:sz w:val="21"/>
        </w:rPr>
        <w:t>law, </w:t>
      </w:r>
      <w:r>
        <w:rPr>
          <w:color w:val="000009"/>
          <w:sz w:val="21"/>
        </w:rPr>
        <w:t>when he was examined earlier. </w:t>
      </w:r>
      <w:r>
        <w:rPr>
          <w:color w:val="000009"/>
          <w:spacing w:val="-4"/>
          <w:sz w:val="21"/>
        </w:rPr>
        <w:t>LW13,  </w:t>
      </w:r>
      <w:r>
        <w:rPr>
          <w:color w:val="000009"/>
          <w:sz w:val="21"/>
        </w:rPr>
        <w:t>who is an independent witness, also supports the version of </w:t>
      </w:r>
      <w:r>
        <w:rPr>
          <w:color w:val="000009"/>
          <w:spacing w:val="-6"/>
          <w:sz w:val="21"/>
        </w:rPr>
        <w:t>LW1 </w:t>
      </w:r>
      <w:r>
        <w:rPr>
          <w:color w:val="000009"/>
          <w:sz w:val="21"/>
        </w:rPr>
        <w:t>and states that Rs.5 lakhs were received by A1 with a promise that he would secure doctor job to the complainant’s daughter. He states that A1 cheated </w:t>
      </w:r>
      <w:r>
        <w:rPr>
          <w:color w:val="000009"/>
          <w:spacing w:val="-5"/>
          <w:sz w:val="21"/>
        </w:rPr>
        <w:t>LW1, </w:t>
      </w:r>
      <w:r>
        <w:rPr>
          <w:color w:val="000009"/>
          <w:sz w:val="21"/>
        </w:rPr>
        <w:t>stating that he would provide job and received Rs.5 lakhs. </w:t>
      </w:r>
      <w:r>
        <w:rPr>
          <w:color w:val="000009"/>
          <w:spacing w:val="-4"/>
          <w:sz w:val="21"/>
        </w:rPr>
        <w:t>LW14, </w:t>
      </w:r>
      <w:r>
        <w:rPr>
          <w:color w:val="000009"/>
          <w:sz w:val="21"/>
        </w:rPr>
        <w:t>also is an independent witness and he supported the version of </w:t>
      </w:r>
      <w:r>
        <w:rPr>
          <w:color w:val="000009"/>
          <w:spacing w:val="-4"/>
          <w:sz w:val="21"/>
        </w:rPr>
        <w:t>LW13.</w:t>
      </w:r>
      <w:r>
        <w:rPr>
          <w:color w:val="000009"/>
          <w:spacing w:val="50"/>
          <w:sz w:val="21"/>
        </w:rPr>
        <w:t> </w:t>
      </w:r>
      <w:r>
        <w:rPr>
          <w:color w:val="000009"/>
          <w:sz w:val="21"/>
        </w:rPr>
        <w:t>He further states that A1 left his wife and child in India and went away after receiving Rs.5</w:t>
      </w:r>
      <w:r>
        <w:rPr>
          <w:color w:val="000009"/>
          <w:spacing w:val="-2"/>
          <w:sz w:val="21"/>
        </w:rPr>
        <w:t> </w:t>
      </w:r>
      <w:r>
        <w:rPr>
          <w:color w:val="000009"/>
          <w:sz w:val="21"/>
        </w:rPr>
        <w:t>lakhs.</w:t>
      </w:r>
    </w:p>
    <w:p>
      <w:pPr>
        <w:spacing w:line="276" w:lineRule="auto" w:before="165"/>
        <w:ind w:left="1942" w:right="1973" w:firstLine="0"/>
        <w:jc w:val="both"/>
        <w:rPr>
          <w:b/>
          <w:sz w:val="21"/>
        </w:rPr>
      </w:pPr>
      <w:r>
        <w:rPr>
          <w:color w:val="000009"/>
          <w:sz w:val="21"/>
        </w:rPr>
        <w:t>Hence, from the above facts, stated by </w:t>
      </w:r>
      <w:r>
        <w:rPr>
          <w:color w:val="000009"/>
          <w:spacing w:val="-5"/>
          <w:sz w:val="21"/>
        </w:rPr>
        <w:t>LWs. </w:t>
      </w:r>
      <w:r>
        <w:rPr>
          <w:color w:val="000009"/>
          <w:sz w:val="21"/>
        </w:rPr>
        <w:t>13 and 14, prima facie, the version of </w:t>
      </w:r>
      <w:r>
        <w:rPr>
          <w:color w:val="000009"/>
          <w:spacing w:val="-6"/>
          <w:sz w:val="21"/>
        </w:rPr>
        <w:t>LW1 </w:t>
      </w:r>
      <w:r>
        <w:rPr>
          <w:color w:val="000009"/>
          <w:sz w:val="21"/>
        </w:rPr>
        <w:t>that he gave Rs.5 lakhs to A1 on a promise that he would provide a job to his daughter and that A1 did not provide any job and cheated him, receives support from </w:t>
      </w:r>
      <w:r>
        <w:rPr>
          <w:color w:val="000009"/>
          <w:spacing w:val="-5"/>
          <w:sz w:val="21"/>
        </w:rPr>
        <w:t>LWs. </w:t>
      </w:r>
      <w:r>
        <w:rPr>
          <w:color w:val="000009"/>
          <w:sz w:val="21"/>
        </w:rPr>
        <w:t>13 and 14. </w:t>
      </w:r>
      <w:r>
        <w:rPr>
          <w:b/>
          <w:color w:val="000009"/>
          <w:sz w:val="21"/>
        </w:rPr>
        <w:t>When the amount is entrusted to A1, with a promise to provide a job and when he fails to provide the job and does not return the amount, it can be made out that A1 did not have any intention to provide job to his wife and that he utilised the amount for a purpose other than the purpose for which he collected the amount from </w:t>
      </w:r>
      <w:r>
        <w:rPr>
          <w:b/>
          <w:color w:val="000009"/>
          <w:spacing w:val="-4"/>
          <w:sz w:val="21"/>
        </w:rPr>
        <w:t>LW1, </w:t>
      </w:r>
      <w:r>
        <w:rPr>
          <w:b/>
          <w:color w:val="000009"/>
          <w:sz w:val="21"/>
        </w:rPr>
        <w:t>which would suffice to attract the offences under Sections 406 and 420 IPC. Whether there is truth in the improved version of </w:t>
      </w:r>
      <w:r>
        <w:rPr>
          <w:b/>
          <w:color w:val="000009"/>
          <w:spacing w:val="-7"/>
          <w:sz w:val="21"/>
        </w:rPr>
        <w:t>LW.1 </w:t>
      </w:r>
      <w:r>
        <w:rPr>
          <w:b/>
          <w:color w:val="000009"/>
          <w:sz w:val="21"/>
        </w:rPr>
        <w:t>and what have been the reasons for his lapse in not stating the same in his earlier statement, can be adjudicated at the time of trial.</w:t>
      </w:r>
    </w:p>
    <w:p>
      <w:pPr>
        <w:spacing w:after="0" w:line="276" w:lineRule="auto"/>
        <w:jc w:val="both"/>
        <w:rPr>
          <w:sz w:val="21"/>
        </w:rPr>
        <w:sectPr>
          <w:pgSz w:w="11900" w:h="16840"/>
          <w:pgMar w:header="0" w:footer="982" w:top="1360" w:bottom="1180" w:left="940" w:right="1280"/>
        </w:sectPr>
      </w:pPr>
    </w:p>
    <w:p>
      <w:pPr>
        <w:spacing w:line="276" w:lineRule="auto" w:before="81"/>
        <w:ind w:left="1942" w:right="1977" w:firstLine="0"/>
        <w:jc w:val="both"/>
        <w:rPr>
          <w:sz w:val="21"/>
        </w:rPr>
      </w:pPr>
      <w:r>
        <w:rPr>
          <w:color w:val="000009"/>
          <w:sz w:val="21"/>
        </w:rPr>
        <w:t>It is also evidence from the record that the additional charge sheet filed by the investigating officer, missed the attention of the lower court due to which the additional charges could not be framed.”</w:t>
      </w:r>
    </w:p>
    <w:p>
      <w:pPr>
        <w:spacing w:before="161"/>
        <w:ind w:left="5775" w:right="0" w:firstLine="0"/>
        <w:jc w:val="left"/>
        <w:rPr>
          <w:sz w:val="21"/>
        </w:rPr>
      </w:pPr>
      <w:r>
        <w:rPr>
          <w:color w:val="000009"/>
          <w:sz w:val="21"/>
        </w:rPr>
        <w:t>(Emphasis supplied)</w:t>
      </w:r>
    </w:p>
    <w:p>
      <w:pPr>
        <w:pStyle w:val="BodyText"/>
        <w:rPr>
          <w:sz w:val="22"/>
        </w:rPr>
      </w:pPr>
    </w:p>
    <w:p>
      <w:pPr>
        <w:pStyle w:val="BodyText"/>
        <w:spacing w:before="10"/>
        <w:rPr>
          <w:sz w:val="29"/>
        </w:rPr>
      </w:pPr>
    </w:p>
    <w:p>
      <w:pPr>
        <w:pStyle w:val="ListParagraph"/>
        <w:numPr>
          <w:ilvl w:val="0"/>
          <w:numId w:val="6"/>
        </w:numPr>
        <w:tabs>
          <w:tab w:pos="1222" w:val="left" w:leader="none"/>
        </w:tabs>
        <w:spacing w:line="480" w:lineRule="auto" w:before="0" w:after="0"/>
        <w:ind w:left="501" w:right="161" w:firstLine="0"/>
        <w:jc w:val="both"/>
        <w:rPr>
          <w:color w:val="000009"/>
          <w:sz w:val="25"/>
        </w:rPr>
      </w:pPr>
      <w:r>
        <w:rPr>
          <w:color w:val="000009"/>
          <w:sz w:val="25"/>
        </w:rPr>
        <w:t>The test adopted by the High Court is correct and in accordance with decisions of this Court. In the counter affidavit filed by the fourth respondent before this Court, depositions of PW 1 </w:t>
      </w:r>
      <w:r>
        <w:rPr>
          <w:color w:val="000009"/>
          <w:spacing w:val="-7"/>
          <w:sz w:val="25"/>
        </w:rPr>
        <w:t>(LW </w:t>
      </w:r>
      <w:r>
        <w:rPr>
          <w:color w:val="000009"/>
          <w:sz w:val="25"/>
        </w:rPr>
        <w:t>1), PW 5 </w:t>
      </w:r>
      <w:r>
        <w:rPr>
          <w:color w:val="000009"/>
          <w:spacing w:val="-7"/>
          <w:sz w:val="25"/>
        </w:rPr>
        <w:t>(LW </w:t>
      </w:r>
      <w:r>
        <w:rPr>
          <w:color w:val="000009"/>
          <w:sz w:val="25"/>
        </w:rPr>
        <w:t>12) and PW 6 </w:t>
      </w:r>
      <w:r>
        <w:rPr>
          <w:color w:val="000009"/>
          <w:spacing w:val="-7"/>
          <w:sz w:val="25"/>
        </w:rPr>
        <w:t>(LW </w:t>
      </w:r>
      <w:r>
        <w:rPr>
          <w:color w:val="000009"/>
          <w:sz w:val="25"/>
        </w:rPr>
        <w:t>13) and their cross-examination have been annexed. The material on record supports the possibility that in April 2006, the appellant demanded Rs 5,00,000/- from PW 1, who is the complainant, in order to secure a doctor’s job for the complainant’s daughter in the United Kingdom. According to PW 1, he borrowed the amount from PW 5 (brother-in-law of PW 1) and paid it to the appellant in the presence of PW 5 and PW 6 (friend of PW 1). Without pronouncing on the probative value of such evidence, there exists sufficient material on record that shows a connection or link with the ingredients of the offences under Sections 406 and 420 of the IPC, and the charges sought to be</w:t>
      </w:r>
      <w:r>
        <w:rPr>
          <w:color w:val="000009"/>
          <w:spacing w:val="-12"/>
          <w:sz w:val="25"/>
        </w:rPr>
        <w:t> </w:t>
      </w:r>
      <w:r>
        <w:rPr>
          <w:color w:val="000009"/>
          <w:sz w:val="25"/>
        </w:rPr>
        <w:t>added.</w:t>
      </w:r>
    </w:p>
    <w:p>
      <w:pPr>
        <w:pStyle w:val="BodyText"/>
        <w:spacing w:before="1"/>
        <w:rPr>
          <w:sz w:val="24"/>
        </w:rPr>
      </w:pPr>
    </w:p>
    <w:p>
      <w:pPr>
        <w:pStyle w:val="ListParagraph"/>
        <w:numPr>
          <w:ilvl w:val="0"/>
          <w:numId w:val="6"/>
        </w:numPr>
        <w:tabs>
          <w:tab w:pos="1222" w:val="left" w:leader="none"/>
        </w:tabs>
        <w:spacing w:line="480" w:lineRule="auto" w:before="0" w:after="0"/>
        <w:ind w:left="501" w:right="160" w:firstLine="0"/>
        <w:jc w:val="both"/>
        <w:rPr>
          <w:color w:val="000009"/>
          <w:sz w:val="25"/>
        </w:rPr>
      </w:pPr>
      <w:r>
        <w:rPr>
          <w:color w:val="000009"/>
          <w:sz w:val="25"/>
        </w:rPr>
        <w:t>The veracity of the depositions made by the witnesses is a question of trial and need not be determined at the time of framing of charge. Appreciation of evidence on merit is to be done by the court only after the charges have been framed and the trial has commenced. </w:t>
      </w:r>
      <w:r>
        <w:rPr>
          <w:color w:val="000009"/>
          <w:spacing w:val="-3"/>
          <w:sz w:val="25"/>
        </w:rPr>
        <w:t>However, </w:t>
      </w:r>
      <w:r>
        <w:rPr>
          <w:color w:val="000009"/>
          <w:sz w:val="25"/>
        </w:rPr>
        <w:t>for the purpose of framing of charge the court needs to prima facie determine that there exists sufficient material for the commencement of trial. The High Court has relied upon the materials on record and concluded that the ingredients of the offences under Sections</w:t>
      </w:r>
      <w:r>
        <w:rPr>
          <w:color w:val="000009"/>
          <w:spacing w:val="10"/>
          <w:sz w:val="25"/>
        </w:rPr>
        <w:t> </w:t>
      </w:r>
      <w:r>
        <w:rPr>
          <w:color w:val="000009"/>
          <w:sz w:val="25"/>
        </w:rPr>
        <w:t>406</w:t>
      </w:r>
      <w:r>
        <w:rPr>
          <w:color w:val="000009"/>
          <w:spacing w:val="12"/>
          <w:sz w:val="25"/>
        </w:rPr>
        <w:t> </w:t>
      </w:r>
      <w:r>
        <w:rPr>
          <w:color w:val="000009"/>
          <w:sz w:val="25"/>
        </w:rPr>
        <w:t>and</w:t>
      </w:r>
      <w:r>
        <w:rPr>
          <w:color w:val="000009"/>
          <w:spacing w:val="10"/>
          <w:sz w:val="25"/>
        </w:rPr>
        <w:t> </w:t>
      </w:r>
      <w:r>
        <w:rPr>
          <w:color w:val="000009"/>
          <w:sz w:val="25"/>
        </w:rPr>
        <w:t>420</w:t>
      </w:r>
      <w:r>
        <w:rPr>
          <w:color w:val="000009"/>
          <w:spacing w:val="10"/>
          <w:sz w:val="25"/>
        </w:rPr>
        <w:t> </w:t>
      </w:r>
      <w:r>
        <w:rPr>
          <w:color w:val="000009"/>
          <w:sz w:val="25"/>
        </w:rPr>
        <w:t>of</w:t>
      </w:r>
      <w:r>
        <w:rPr>
          <w:color w:val="000009"/>
          <w:spacing w:val="9"/>
          <w:sz w:val="25"/>
        </w:rPr>
        <w:t> </w:t>
      </w:r>
      <w:r>
        <w:rPr>
          <w:color w:val="000009"/>
          <w:sz w:val="25"/>
        </w:rPr>
        <w:t>the</w:t>
      </w:r>
      <w:r>
        <w:rPr>
          <w:color w:val="000009"/>
          <w:spacing w:val="13"/>
          <w:sz w:val="25"/>
        </w:rPr>
        <w:t> </w:t>
      </w:r>
      <w:r>
        <w:rPr>
          <w:color w:val="000009"/>
          <w:sz w:val="25"/>
        </w:rPr>
        <w:t>IPC</w:t>
      </w:r>
      <w:r>
        <w:rPr>
          <w:color w:val="000009"/>
          <w:spacing w:val="10"/>
          <w:sz w:val="25"/>
        </w:rPr>
        <w:t> </w:t>
      </w:r>
      <w:r>
        <w:rPr>
          <w:color w:val="000009"/>
          <w:sz w:val="25"/>
        </w:rPr>
        <w:t>are</w:t>
      </w:r>
      <w:r>
        <w:rPr>
          <w:color w:val="000009"/>
          <w:spacing w:val="10"/>
          <w:sz w:val="25"/>
        </w:rPr>
        <w:t> </w:t>
      </w:r>
      <w:r>
        <w:rPr>
          <w:color w:val="000009"/>
          <w:sz w:val="25"/>
        </w:rPr>
        <w:t>attracted.</w:t>
      </w:r>
      <w:r>
        <w:rPr>
          <w:color w:val="000009"/>
          <w:spacing w:val="7"/>
          <w:sz w:val="25"/>
        </w:rPr>
        <w:t> </w:t>
      </w:r>
      <w:r>
        <w:rPr>
          <w:color w:val="000009"/>
          <w:sz w:val="25"/>
        </w:rPr>
        <w:t>The</w:t>
      </w:r>
      <w:r>
        <w:rPr>
          <w:color w:val="000009"/>
          <w:spacing w:val="12"/>
          <w:sz w:val="25"/>
        </w:rPr>
        <w:t> </w:t>
      </w:r>
      <w:r>
        <w:rPr>
          <w:color w:val="000009"/>
          <w:sz w:val="25"/>
        </w:rPr>
        <w:t>High</w:t>
      </w:r>
      <w:r>
        <w:rPr>
          <w:color w:val="000009"/>
          <w:spacing w:val="13"/>
          <w:sz w:val="25"/>
        </w:rPr>
        <w:t> </w:t>
      </w:r>
      <w:r>
        <w:rPr>
          <w:color w:val="000009"/>
          <w:sz w:val="25"/>
        </w:rPr>
        <w:t>Court</w:t>
      </w:r>
      <w:r>
        <w:rPr>
          <w:color w:val="000009"/>
          <w:spacing w:val="11"/>
          <w:sz w:val="25"/>
        </w:rPr>
        <w:t> </w:t>
      </w:r>
      <w:r>
        <w:rPr>
          <w:color w:val="000009"/>
          <w:sz w:val="25"/>
        </w:rPr>
        <w:t>has</w:t>
      </w:r>
      <w:r>
        <w:rPr>
          <w:color w:val="000009"/>
          <w:spacing w:val="10"/>
          <w:sz w:val="25"/>
        </w:rPr>
        <w:t> </w:t>
      </w:r>
      <w:r>
        <w:rPr>
          <w:color w:val="000009"/>
          <w:sz w:val="25"/>
        </w:rPr>
        <w:t>spelt</w:t>
      </w:r>
      <w:r>
        <w:rPr>
          <w:color w:val="000009"/>
          <w:spacing w:val="11"/>
          <w:sz w:val="25"/>
        </w:rPr>
        <w:t> </w:t>
      </w:r>
      <w:r>
        <w:rPr>
          <w:color w:val="000009"/>
          <w:sz w:val="25"/>
        </w:rPr>
        <w:t>out</w:t>
      </w:r>
      <w:r>
        <w:rPr>
          <w:color w:val="000009"/>
          <w:spacing w:val="9"/>
          <w:sz w:val="25"/>
        </w:rPr>
        <w:t> </w:t>
      </w:r>
      <w:r>
        <w:rPr>
          <w:color w:val="000009"/>
          <w:sz w:val="25"/>
        </w:rPr>
        <w:t>the</w:t>
      </w:r>
    </w:p>
    <w:p>
      <w:pPr>
        <w:spacing w:after="0" w:line="480" w:lineRule="auto"/>
        <w:jc w:val="both"/>
        <w:rPr>
          <w:sz w:val="25"/>
        </w:rPr>
        <w:sectPr>
          <w:pgSz w:w="11900" w:h="16840"/>
          <w:pgMar w:header="0" w:footer="982" w:top="1360" w:bottom="1180" w:left="940" w:right="1280"/>
        </w:sectPr>
      </w:pPr>
    </w:p>
    <w:p>
      <w:pPr>
        <w:pStyle w:val="BodyText"/>
        <w:spacing w:line="480" w:lineRule="auto" w:before="79"/>
        <w:ind w:left="501" w:right="25"/>
      </w:pPr>
      <w:r>
        <w:rPr>
          <w:color w:val="000009"/>
        </w:rPr>
        <w:t>reasons that have necessitated the addition of the charge and hence, the impugned order does not warrant any interference.</w:t>
      </w:r>
    </w:p>
    <w:p>
      <w:pPr>
        <w:pStyle w:val="BodyText"/>
        <w:spacing w:before="9"/>
        <w:rPr>
          <w:sz w:val="38"/>
        </w:rPr>
      </w:pPr>
    </w:p>
    <w:p>
      <w:pPr>
        <w:pStyle w:val="ListParagraph"/>
        <w:numPr>
          <w:ilvl w:val="0"/>
          <w:numId w:val="6"/>
        </w:numPr>
        <w:tabs>
          <w:tab w:pos="1221" w:val="left" w:leader="none"/>
          <w:tab w:pos="1222" w:val="left" w:leader="none"/>
        </w:tabs>
        <w:spacing w:line="480" w:lineRule="auto" w:before="0" w:after="0"/>
        <w:ind w:left="501" w:right="165" w:firstLine="0"/>
        <w:jc w:val="left"/>
        <w:rPr>
          <w:color w:val="000009"/>
          <w:sz w:val="25"/>
        </w:rPr>
      </w:pPr>
      <w:r>
        <w:rPr>
          <w:color w:val="000009"/>
          <w:spacing w:val="-3"/>
          <w:sz w:val="25"/>
        </w:rPr>
        <w:t>We </w:t>
      </w:r>
      <w:r>
        <w:rPr>
          <w:color w:val="000009"/>
          <w:sz w:val="25"/>
        </w:rPr>
        <w:t>accordingly dismiss the appeal. The trial proceedings pending before the Additional Junior Civil Judge, Sattenapalli shall</w:t>
      </w:r>
      <w:r>
        <w:rPr>
          <w:color w:val="000009"/>
          <w:spacing w:val="-26"/>
          <w:sz w:val="25"/>
        </w:rPr>
        <w:t> </w:t>
      </w:r>
      <w:r>
        <w:rPr>
          <w:color w:val="000009"/>
          <w:sz w:val="25"/>
        </w:rPr>
        <w:t>continue.</w:t>
      </w:r>
    </w:p>
    <w:p>
      <w:pPr>
        <w:pStyle w:val="BodyText"/>
        <w:spacing w:before="8"/>
        <w:rPr>
          <w:sz w:val="24"/>
        </w:rPr>
      </w:pPr>
    </w:p>
    <w:p>
      <w:pPr>
        <w:pStyle w:val="ListParagraph"/>
        <w:numPr>
          <w:ilvl w:val="0"/>
          <w:numId w:val="6"/>
        </w:numPr>
        <w:tabs>
          <w:tab w:pos="1221" w:val="left" w:leader="none"/>
          <w:tab w:pos="1222" w:val="left" w:leader="none"/>
        </w:tabs>
        <w:spacing w:line="240" w:lineRule="auto" w:before="0" w:after="0"/>
        <w:ind w:left="1222" w:right="0" w:hanging="721"/>
        <w:jc w:val="left"/>
        <w:rPr>
          <w:color w:val="000009"/>
          <w:sz w:val="25"/>
        </w:rPr>
      </w:pPr>
      <w:r>
        <w:rPr>
          <w:color w:val="000009"/>
          <w:sz w:val="25"/>
        </w:rPr>
        <w:t>Pending application(s), if </w:t>
      </w:r>
      <w:r>
        <w:rPr>
          <w:color w:val="000009"/>
          <w:spacing w:val="-6"/>
          <w:sz w:val="25"/>
        </w:rPr>
        <w:t>any, </w:t>
      </w:r>
      <w:r>
        <w:rPr>
          <w:color w:val="000009"/>
          <w:sz w:val="25"/>
        </w:rPr>
        <w:t>shall stand disposed of.</w:t>
      </w:r>
    </w:p>
    <w:p>
      <w:pPr>
        <w:pStyle w:val="BodyText"/>
        <w:rPr>
          <w:sz w:val="28"/>
        </w:rPr>
      </w:pPr>
    </w:p>
    <w:p>
      <w:pPr>
        <w:pStyle w:val="BodyText"/>
        <w:rPr>
          <w:sz w:val="28"/>
        </w:rPr>
      </w:pPr>
    </w:p>
    <w:p>
      <w:pPr>
        <w:pStyle w:val="BodyText"/>
        <w:rPr>
          <w:sz w:val="28"/>
        </w:rPr>
      </w:pPr>
    </w:p>
    <w:p>
      <w:pPr>
        <w:pStyle w:val="BodyText"/>
        <w:spacing w:before="9"/>
        <w:rPr>
          <w:sz w:val="40"/>
        </w:rPr>
      </w:pPr>
    </w:p>
    <w:p>
      <w:pPr>
        <w:pStyle w:val="Heading1"/>
        <w:ind w:left="4742"/>
      </w:pPr>
      <w:r>
        <w:rPr>
          <w:color w:val="000009"/>
        </w:rPr>
        <w:t>…..............................................................J.</w:t>
      </w:r>
    </w:p>
    <w:p>
      <w:pPr>
        <w:spacing w:before="1"/>
        <w:ind w:left="4780" w:right="0" w:firstLine="0"/>
        <w:jc w:val="left"/>
        <w:rPr>
          <w:b/>
          <w:sz w:val="23"/>
        </w:rPr>
      </w:pPr>
      <w:r>
        <w:rPr>
          <w:b/>
          <w:color w:val="000009"/>
          <w:sz w:val="23"/>
        </w:rPr>
        <w:t>[Dr DHANANJAYA Y CHANDRACHUD]</w:t>
      </w:r>
    </w:p>
    <w:p>
      <w:pPr>
        <w:pStyle w:val="BodyText"/>
        <w:rPr>
          <w:b/>
          <w:sz w:val="26"/>
        </w:rPr>
      </w:pPr>
    </w:p>
    <w:p>
      <w:pPr>
        <w:pStyle w:val="BodyText"/>
        <w:spacing w:before="4"/>
        <w:rPr>
          <w:b/>
          <w:sz w:val="35"/>
        </w:rPr>
      </w:pPr>
    </w:p>
    <w:p>
      <w:pPr>
        <w:pStyle w:val="Heading1"/>
        <w:ind w:left="4742"/>
      </w:pPr>
      <w:r>
        <w:rPr>
          <w:color w:val="000009"/>
        </w:rPr>
        <w:t>…..............................................................J.</w:t>
      </w:r>
    </w:p>
    <w:p>
      <w:pPr>
        <w:spacing w:before="1"/>
        <w:ind w:left="4791" w:right="0" w:firstLine="0"/>
        <w:jc w:val="left"/>
        <w:rPr>
          <w:b/>
          <w:sz w:val="23"/>
        </w:rPr>
      </w:pPr>
      <w:r>
        <w:rPr>
          <w:b/>
          <w:color w:val="000009"/>
          <w:sz w:val="23"/>
        </w:rPr>
        <w:t>[HRISHIKESH ROY]</w:t>
      </w:r>
    </w:p>
    <w:p>
      <w:pPr>
        <w:pStyle w:val="BodyText"/>
        <w:rPr>
          <w:b/>
          <w:sz w:val="26"/>
        </w:rPr>
      </w:pPr>
    </w:p>
    <w:p>
      <w:pPr>
        <w:pStyle w:val="BodyText"/>
        <w:spacing w:before="11"/>
        <w:rPr>
          <w:b/>
          <w:sz w:val="22"/>
        </w:rPr>
      </w:pPr>
    </w:p>
    <w:p>
      <w:pPr>
        <w:pStyle w:val="Heading1"/>
        <w:spacing w:line="276" w:lineRule="auto"/>
        <w:ind w:right="7088"/>
      </w:pPr>
      <w:r>
        <w:rPr>
          <w:color w:val="000009"/>
        </w:rPr>
        <w:t>New Delhi; January 21, 2020.</w:t>
      </w:r>
    </w:p>
    <w:sectPr>
      <w:pgSz w:w="11900" w:h="16840"/>
      <w:pgMar w:header="0" w:footer="982" w:top="1360" w:bottom="1180" w:left="9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0.099998pt;margin-top:781.906616pt;width:10pt;height:15.3pt;mso-position-horizontal-relative:page;mso-position-vertical-relative:page;z-index:-252022784"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color w:val="000009"/>
                    <w:sz w:val="24"/>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099998pt;margin-top:781.906616pt;width:10pt;height:15.3pt;mso-position-horizontal-relative:page;mso-position-vertical-relative:page;z-index:-252021760"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color w:val="000009"/>
                    <w:sz w:val="24"/>
                  </w:rPr>
                  <w:instrText> PAGE </w:instrText>
                </w:r>
                <w:r>
                  <w:rPr/>
                  <w:fldChar w:fldCharType="separate"/>
                </w:r>
                <w:r>
                  <w:rPr/>
                  <w:t>3</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099998pt;margin-top:781.906616pt;width:10pt;height:15.3pt;mso-position-horizontal-relative:page;mso-position-vertical-relative:page;z-index:-252020736"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color w:val="000009"/>
                    <w:sz w:val="24"/>
                  </w:rPr>
                  <w:instrText> PAGE </w:instrText>
                </w:r>
                <w:r>
                  <w:rPr/>
                  <w:fldChar w:fldCharType="separate"/>
                </w:r>
                <w:r>
                  <w:rPr/>
                  <w:t>6</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019712" from="72pt,755.150024pt" to="184.8pt,755.150024pt" stroked="true" strokeweight=".5pt" strokecolor="#000000">
          <v:stroke dashstyle="solid"/>
          <w10:wrap type="none"/>
        </v:line>
      </w:pict>
    </w:r>
    <w:r>
      <w:rPr/>
      <w:pict>
        <v:shape style="position:absolute;margin-left:71.099998pt;margin-top:757.317749pt;width:94.75pt;height:13.65pt;mso-position-horizontal-relative:page;mso-position-vertical-relative:page;z-index:-252018688" type="#_x0000_t202" filled="false" stroked="false">
          <v:textbox inset="0,0,0,0">
            <w:txbxContent>
              <w:p>
                <w:pPr>
                  <w:spacing w:before="4"/>
                  <w:ind w:left="20" w:right="0" w:firstLine="0"/>
                  <w:jc w:val="left"/>
                  <w:rPr>
                    <w:sz w:val="18"/>
                  </w:rPr>
                </w:pPr>
                <w:r>
                  <w:rPr>
                    <w:rFonts w:ascii="Verdana"/>
                    <w:color w:val="000009"/>
                    <w:sz w:val="20"/>
                  </w:rPr>
                  <w:t>14 </w:t>
                </w:r>
                <w:r>
                  <w:rPr>
                    <w:color w:val="000009"/>
                    <w:sz w:val="18"/>
                  </w:rPr>
                  <w:t>(2014) 11 SCC</w:t>
                </w:r>
                <w:r>
                  <w:rPr>
                    <w:color w:val="000009"/>
                    <w:spacing w:val="-29"/>
                    <w:sz w:val="18"/>
                  </w:rPr>
                  <w:t> </w:t>
                </w:r>
                <w:r>
                  <w:rPr>
                    <w:color w:val="000009"/>
                    <w:sz w:val="18"/>
                  </w:rPr>
                  <w:t>538</w:t>
                </w:r>
              </w:p>
            </w:txbxContent>
          </v:textbox>
          <w10:wrap type="none"/>
        </v:shape>
      </w:pict>
    </w:r>
    <w:r>
      <w:rPr/>
      <w:pict>
        <v:shape style="position:absolute;margin-left:71.099998pt;margin-top:781.906616pt;width:13.5pt;height:15.3pt;mso-position-horizontal-relative:page;mso-position-vertical-relative:page;z-index:-252017664" type="#_x0000_t202" filled="false" stroked="false">
          <v:textbox inset="0,0,0,0">
            <w:txbxContent>
              <w:p>
                <w:pPr>
                  <w:spacing w:before="10"/>
                  <w:ind w:left="20" w:right="0" w:firstLine="0"/>
                  <w:jc w:val="left"/>
                  <w:rPr>
                    <w:rFonts w:ascii="Times New Roman"/>
                    <w:sz w:val="24"/>
                  </w:rPr>
                </w:pPr>
                <w:r>
                  <w:rPr>
                    <w:rFonts w:ascii="Times New Roman"/>
                    <w:color w:val="000009"/>
                    <w:sz w:val="24"/>
                  </w:rPr>
                  <w:t>11</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781.906616pt;width:14pt;height:15.3pt;mso-position-horizontal-relative:page;mso-position-vertical-relative:page;z-index:-252016640" type="#_x0000_t202" filled="false" stroked="false">
          <v:textbox inset="0,0,0,0">
            <w:txbxContent>
              <w:p>
                <w:pPr>
                  <w:spacing w:before="10"/>
                  <w:ind w:left="20" w:right="0" w:firstLine="0"/>
                  <w:jc w:val="left"/>
                  <w:rPr>
                    <w:rFonts w:ascii="Times New Roman"/>
                    <w:sz w:val="24"/>
                  </w:rPr>
                </w:pPr>
                <w:r>
                  <w:rPr>
                    <w:rFonts w:ascii="Times New Roman"/>
                    <w:color w:val="000009"/>
                    <w:sz w:val="24"/>
                  </w:rPr>
                  <w:t>12</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099998pt;margin-top:781.906616pt;width:16pt;height:15.3pt;mso-position-horizontal-relative:page;mso-position-vertical-relative:page;z-index:-252015616"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color w:val="000009"/>
                    <w:sz w:val="24"/>
                  </w:rPr>
                  <w:instrText> PAGE </w:instrText>
                </w:r>
                <w:r>
                  <w:rPr/>
                  <w:fldChar w:fldCharType="separate"/>
                </w:r>
                <w:r>
                  <w:rPr/>
                  <w:t>13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2"/>
      <w:numFmt w:val="decimal"/>
      <w:lvlText w:val="(%1)"/>
      <w:lvlJc w:val="left"/>
      <w:pPr>
        <w:ind w:left="1942" w:hanging="402"/>
        <w:jc w:val="left"/>
      </w:pPr>
      <w:rPr>
        <w:rFonts w:hint="default" w:ascii="Arial" w:hAnsi="Arial" w:eastAsia="Arial" w:cs="Arial"/>
        <w:color w:val="000009"/>
        <w:spacing w:val="-3"/>
        <w:w w:val="100"/>
        <w:sz w:val="21"/>
        <w:szCs w:val="21"/>
        <w:lang w:val="en-US" w:eastAsia="en-US" w:bidi="en-US"/>
      </w:rPr>
    </w:lvl>
    <w:lvl w:ilvl="1">
      <w:start w:val="0"/>
      <w:numFmt w:val="bullet"/>
      <w:lvlText w:val="•"/>
      <w:lvlJc w:val="left"/>
      <w:pPr>
        <w:ind w:left="2714" w:hanging="402"/>
      </w:pPr>
      <w:rPr>
        <w:rFonts w:hint="default"/>
        <w:lang w:val="en-US" w:eastAsia="en-US" w:bidi="en-US"/>
      </w:rPr>
    </w:lvl>
    <w:lvl w:ilvl="2">
      <w:start w:val="0"/>
      <w:numFmt w:val="bullet"/>
      <w:lvlText w:val="•"/>
      <w:lvlJc w:val="left"/>
      <w:pPr>
        <w:ind w:left="3488" w:hanging="402"/>
      </w:pPr>
      <w:rPr>
        <w:rFonts w:hint="default"/>
        <w:lang w:val="en-US" w:eastAsia="en-US" w:bidi="en-US"/>
      </w:rPr>
    </w:lvl>
    <w:lvl w:ilvl="3">
      <w:start w:val="0"/>
      <w:numFmt w:val="bullet"/>
      <w:lvlText w:val="•"/>
      <w:lvlJc w:val="left"/>
      <w:pPr>
        <w:ind w:left="4262" w:hanging="402"/>
      </w:pPr>
      <w:rPr>
        <w:rFonts w:hint="default"/>
        <w:lang w:val="en-US" w:eastAsia="en-US" w:bidi="en-US"/>
      </w:rPr>
    </w:lvl>
    <w:lvl w:ilvl="4">
      <w:start w:val="0"/>
      <w:numFmt w:val="bullet"/>
      <w:lvlText w:val="•"/>
      <w:lvlJc w:val="left"/>
      <w:pPr>
        <w:ind w:left="5036" w:hanging="402"/>
      </w:pPr>
      <w:rPr>
        <w:rFonts w:hint="default"/>
        <w:lang w:val="en-US" w:eastAsia="en-US" w:bidi="en-US"/>
      </w:rPr>
    </w:lvl>
    <w:lvl w:ilvl="5">
      <w:start w:val="0"/>
      <w:numFmt w:val="bullet"/>
      <w:lvlText w:val="•"/>
      <w:lvlJc w:val="left"/>
      <w:pPr>
        <w:ind w:left="5810" w:hanging="402"/>
      </w:pPr>
      <w:rPr>
        <w:rFonts w:hint="default"/>
        <w:lang w:val="en-US" w:eastAsia="en-US" w:bidi="en-US"/>
      </w:rPr>
    </w:lvl>
    <w:lvl w:ilvl="6">
      <w:start w:val="0"/>
      <w:numFmt w:val="bullet"/>
      <w:lvlText w:val="•"/>
      <w:lvlJc w:val="left"/>
      <w:pPr>
        <w:ind w:left="6584" w:hanging="402"/>
      </w:pPr>
      <w:rPr>
        <w:rFonts w:hint="default"/>
        <w:lang w:val="en-US" w:eastAsia="en-US" w:bidi="en-US"/>
      </w:rPr>
    </w:lvl>
    <w:lvl w:ilvl="7">
      <w:start w:val="0"/>
      <w:numFmt w:val="bullet"/>
      <w:lvlText w:val="•"/>
      <w:lvlJc w:val="left"/>
      <w:pPr>
        <w:ind w:left="7358" w:hanging="402"/>
      </w:pPr>
      <w:rPr>
        <w:rFonts w:hint="default"/>
        <w:lang w:val="en-US" w:eastAsia="en-US" w:bidi="en-US"/>
      </w:rPr>
    </w:lvl>
    <w:lvl w:ilvl="8">
      <w:start w:val="0"/>
      <w:numFmt w:val="bullet"/>
      <w:lvlText w:val="•"/>
      <w:lvlJc w:val="left"/>
      <w:pPr>
        <w:ind w:left="8132" w:hanging="402"/>
      </w:pPr>
      <w:rPr>
        <w:rFonts w:hint="default"/>
        <w:lang w:val="en-US" w:eastAsia="en-US" w:bidi="en-US"/>
      </w:rPr>
    </w:lvl>
  </w:abstractNum>
  <w:abstractNum w:abstractNumId="5">
    <w:multiLevelType w:val="hybridMultilevel"/>
    <w:lvl w:ilvl="0">
      <w:start w:val="6"/>
      <w:numFmt w:val="decimal"/>
      <w:lvlText w:val="%1"/>
      <w:lvlJc w:val="left"/>
      <w:pPr>
        <w:ind w:left="680" w:hanging="178"/>
        <w:jc w:val="left"/>
      </w:pPr>
      <w:rPr>
        <w:rFonts w:hint="default"/>
        <w:w w:val="100"/>
        <w:lang w:val="en-US" w:eastAsia="en-US" w:bidi="en-US"/>
      </w:rPr>
    </w:lvl>
    <w:lvl w:ilvl="1">
      <w:start w:val="1"/>
      <w:numFmt w:val="lowerLetter"/>
      <w:lvlText w:val="(%2)"/>
      <w:lvlJc w:val="left"/>
      <w:pPr>
        <w:ind w:left="1582" w:hanging="720"/>
        <w:jc w:val="left"/>
      </w:pPr>
      <w:rPr>
        <w:rFonts w:hint="default" w:ascii="Arial" w:hAnsi="Arial" w:eastAsia="Arial" w:cs="Arial"/>
        <w:color w:val="000009"/>
        <w:spacing w:val="-9"/>
        <w:w w:val="100"/>
        <w:sz w:val="25"/>
        <w:szCs w:val="25"/>
        <w:lang w:val="en-US" w:eastAsia="en-US" w:bidi="en-US"/>
      </w:rPr>
    </w:lvl>
    <w:lvl w:ilvl="2">
      <w:start w:val="0"/>
      <w:numFmt w:val="bullet"/>
      <w:lvlText w:val="•"/>
      <w:lvlJc w:val="left"/>
      <w:pPr>
        <w:ind w:left="2480" w:hanging="720"/>
      </w:pPr>
      <w:rPr>
        <w:rFonts w:hint="default"/>
        <w:lang w:val="en-US" w:eastAsia="en-US" w:bidi="en-US"/>
      </w:rPr>
    </w:lvl>
    <w:lvl w:ilvl="3">
      <w:start w:val="0"/>
      <w:numFmt w:val="bullet"/>
      <w:lvlText w:val="•"/>
      <w:lvlJc w:val="left"/>
      <w:pPr>
        <w:ind w:left="3380" w:hanging="720"/>
      </w:pPr>
      <w:rPr>
        <w:rFonts w:hint="default"/>
        <w:lang w:val="en-US" w:eastAsia="en-US" w:bidi="en-US"/>
      </w:rPr>
    </w:lvl>
    <w:lvl w:ilvl="4">
      <w:start w:val="0"/>
      <w:numFmt w:val="bullet"/>
      <w:lvlText w:val="•"/>
      <w:lvlJc w:val="left"/>
      <w:pPr>
        <w:ind w:left="4280" w:hanging="720"/>
      </w:pPr>
      <w:rPr>
        <w:rFonts w:hint="default"/>
        <w:lang w:val="en-US" w:eastAsia="en-US" w:bidi="en-US"/>
      </w:rPr>
    </w:lvl>
    <w:lvl w:ilvl="5">
      <w:start w:val="0"/>
      <w:numFmt w:val="bullet"/>
      <w:lvlText w:val="•"/>
      <w:lvlJc w:val="left"/>
      <w:pPr>
        <w:ind w:left="5180" w:hanging="720"/>
      </w:pPr>
      <w:rPr>
        <w:rFonts w:hint="default"/>
        <w:lang w:val="en-US" w:eastAsia="en-US" w:bidi="en-US"/>
      </w:rPr>
    </w:lvl>
    <w:lvl w:ilvl="6">
      <w:start w:val="0"/>
      <w:numFmt w:val="bullet"/>
      <w:lvlText w:val="•"/>
      <w:lvlJc w:val="left"/>
      <w:pPr>
        <w:ind w:left="6080" w:hanging="720"/>
      </w:pPr>
      <w:rPr>
        <w:rFonts w:hint="default"/>
        <w:lang w:val="en-US" w:eastAsia="en-US" w:bidi="en-US"/>
      </w:rPr>
    </w:lvl>
    <w:lvl w:ilvl="7">
      <w:start w:val="0"/>
      <w:numFmt w:val="bullet"/>
      <w:lvlText w:val="•"/>
      <w:lvlJc w:val="left"/>
      <w:pPr>
        <w:ind w:left="6980" w:hanging="720"/>
      </w:pPr>
      <w:rPr>
        <w:rFonts w:hint="default"/>
        <w:lang w:val="en-US" w:eastAsia="en-US" w:bidi="en-US"/>
      </w:rPr>
    </w:lvl>
    <w:lvl w:ilvl="8">
      <w:start w:val="0"/>
      <w:numFmt w:val="bullet"/>
      <w:lvlText w:val="•"/>
      <w:lvlJc w:val="left"/>
      <w:pPr>
        <w:ind w:left="7880" w:hanging="720"/>
      </w:pPr>
      <w:rPr>
        <w:rFonts w:hint="default"/>
        <w:lang w:val="en-US" w:eastAsia="en-US" w:bidi="en-US"/>
      </w:rPr>
    </w:lvl>
  </w:abstractNum>
  <w:abstractNum w:abstractNumId="4">
    <w:multiLevelType w:val="hybridMultilevel"/>
    <w:lvl w:ilvl="0">
      <w:start w:val="5"/>
      <w:numFmt w:val="decimal"/>
      <w:lvlText w:val="%1"/>
      <w:lvlJc w:val="left"/>
      <w:pPr>
        <w:ind w:left="502" w:hanging="720"/>
        <w:jc w:val="left"/>
      </w:pPr>
      <w:rPr>
        <w:rFonts w:hint="default" w:ascii="Arial" w:hAnsi="Arial" w:eastAsia="Arial" w:cs="Arial"/>
        <w:color w:val="000009"/>
        <w:spacing w:val="-33"/>
        <w:w w:val="100"/>
        <w:sz w:val="25"/>
        <w:szCs w:val="25"/>
        <w:lang w:val="en-US" w:eastAsia="en-US" w:bidi="en-US"/>
      </w:rPr>
    </w:lvl>
    <w:lvl w:ilvl="1">
      <w:start w:val="0"/>
      <w:numFmt w:val="bullet"/>
      <w:lvlText w:val="•"/>
      <w:lvlJc w:val="left"/>
      <w:pPr>
        <w:ind w:left="1418" w:hanging="720"/>
      </w:pPr>
      <w:rPr>
        <w:rFonts w:hint="default"/>
        <w:lang w:val="en-US" w:eastAsia="en-US" w:bidi="en-US"/>
      </w:rPr>
    </w:lvl>
    <w:lvl w:ilvl="2">
      <w:start w:val="0"/>
      <w:numFmt w:val="bullet"/>
      <w:lvlText w:val="•"/>
      <w:lvlJc w:val="left"/>
      <w:pPr>
        <w:ind w:left="2336" w:hanging="720"/>
      </w:pPr>
      <w:rPr>
        <w:rFonts w:hint="default"/>
        <w:lang w:val="en-US" w:eastAsia="en-US" w:bidi="en-US"/>
      </w:rPr>
    </w:lvl>
    <w:lvl w:ilvl="3">
      <w:start w:val="0"/>
      <w:numFmt w:val="bullet"/>
      <w:lvlText w:val="•"/>
      <w:lvlJc w:val="left"/>
      <w:pPr>
        <w:ind w:left="3254" w:hanging="720"/>
      </w:pPr>
      <w:rPr>
        <w:rFonts w:hint="default"/>
        <w:lang w:val="en-US" w:eastAsia="en-US" w:bidi="en-US"/>
      </w:rPr>
    </w:lvl>
    <w:lvl w:ilvl="4">
      <w:start w:val="0"/>
      <w:numFmt w:val="bullet"/>
      <w:lvlText w:val="•"/>
      <w:lvlJc w:val="left"/>
      <w:pPr>
        <w:ind w:left="4172" w:hanging="720"/>
      </w:pPr>
      <w:rPr>
        <w:rFonts w:hint="default"/>
        <w:lang w:val="en-US" w:eastAsia="en-US" w:bidi="en-US"/>
      </w:rPr>
    </w:lvl>
    <w:lvl w:ilvl="5">
      <w:start w:val="0"/>
      <w:numFmt w:val="bullet"/>
      <w:lvlText w:val="•"/>
      <w:lvlJc w:val="left"/>
      <w:pPr>
        <w:ind w:left="5090" w:hanging="720"/>
      </w:pPr>
      <w:rPr>
        <w:rFonts w:hint="default"/>
        <w:lang w:val="en-US" w:eastAsia="en-US" w:bidi="en-US"/>
      </w:rPr>
    </w:lvl>
    <w:lvl w:ilvl="6">
      <w:start w:val="0"/>
      <w:numFmt w:val="bullet"/>
      <w:lvlText w:val="•"/>
      <w:lvlJc w:val="left"/>
      <w:pPr>
        <w:ind w:left="6008" w:hanging="720"/>
      </w:pPr>
      <w:rPr>
        <w:rFonts w:hint="default"/>
        <w:lang w:val="en-US" w:eastAsia="en-US" w:bidi="en-US"/>
      </w:rPr>
    </w:lvl>
    <w:lvl w:ilvl="7">
      <w:start w:val="0"/>
      <w:numFmt w:val="bullet"/>
      <w:lvlText w:val="•"/>
      <w:lvlJc w:val="left"/>
      <w:pPr>
        <w:ind w:left="6926" w:hanging="720"/>
      </w:pPr>
      <w:rPr>
        <w:rFonts w:hint="default"/>
        <w:lang w:val="en-US" w:eastAsia="en-US" w:bidi="en-US"/>
      </w:rPr>
    </w:lvl>
    <w:lvl w:ilvl="8">
      <w:start w:val="0"/>
      <w:numFmt w:val="bullet"/>
      <w:lvlText w:val="•"/>
      <w:lvlJc w:val="left"/>
      <w:pPr>
        <w:ind w:left="7844" w:hanging="720"/>
      </w:pPr>
      <w:rPr>
        <w:rFonts w:hint="default"/>
        <w:lang w:val="en-US" w:eastAsia="en-US" w:bidi="en-US"/>
      </w:rPr>
    </w:lvl>
  </w:abstractNum>
  <w:abstractNum w:abstractNumId="3">
    <w:multiLevelType w:val="hybridMultilevel"/>
    <w:lvl w:ilvl="0">
      <w:start w:val="4"/>
      <w:numFmt w:val="decimal"/>
      <w:lvlText w:val="%1"/>
      <w:lvlJc w:val="left"/>
      <w:pPr>
        <w:ind w:left="679" w:hanging="178"/>
        <w:jc w:val="left"/>
      </w:pPr>
      <w:rPr>
        <w:rFonts w:hint="default" w:ascii="Verdana" w:hAnsi="Verdana" w:eastAsia="Verdana" w:cs="Verdana"/>
        <w:color w:val="000009"/>
        <w:w w:val="100"/>
        <w:sz w:val="20"/>
        <w:szCs w:val="20"/>
        <w:lang w:val="en-US" w:eastAsia="en-US" w:bidi="en-US"/>
      </w:rPr>
    </w:lvl>
    <w:lvl w:ilvl="1">
      <w:start w:val="0"/>
      <w:numFmt w:val="bullet"/>
      <w:lvlText w:val="•"/>
      <w:lvlJc w:val="left"/>
      <w:pPr>
        <w:ind w:left="1580" w:hanging="178"/>
      </w:pPr>
      <w:rPr>
        <w:rFonts w:hint="default"/>
        <w:lang w:val="en-US" w:eastAsia="en-US" w:bidi="en-US"/>
      </w:rPr>
    </w:lvl>
    <w:lvl w:ilvl="2">
      <w:start w:val="0"/>
      <w:numFmt w:val="bullet"/>
      <w:lvlText w:val="•"/>
      <w:lvlJc w:val="left"/>
      <w:pPr>
        <w:ind w:left="2480" w:hanging="178"/>
      </w:pPr>
      <w:rPr>
        <w:rFonts w:hint="default"/>
        <w:lang w:val="en-US" w:eastAsia="en-US" w:bidi="en-US"/>
      </w:rPr>
    </w:lvl>
    <w:lvl w:ilvl="3">
      <w:start w:val="0"/>
      <w:numFmt w:val="bullet"/>
      <w:lvlText w:val="•"/>
      <w:lvlJc w:val="left"/>
      <w:pPr>
        <w:ind w:left="3380" w:hanging="178"/>
      </w:pPr>
      <w:rPr>
        <w:rFonts w:hint="default"/>
        <w:lang w:val="en-US" w:eastAsia="en-US" w:bidi="en-US"/>
      </w:rPr>
    </w:lvl>
    <w:lvl w:ilvl="4">
      <w:start w:val="0"/>
      <w:numFmt w:val="bullet"/>
      <w:lvlText w:val="•"/>
      <w:lvlJc w:val="left"/>
      <w:pPr>
        <w:ind w:left="4280" w:hanging="178"/>
      </w:pPr>
      <w:rPr>
        <w:rFonts w:hint="default"/>
        <w:lang w:val="en-US" w:eastAsia="en-US" w:bidi="en-US"/>
      </w:rPr>
    </w:lvl>
    <w:lvl w:ilvl="5">
      <w:start w:val="0"/>
      <w:numFmt w:val="bullet"/>
      <w:lvlText w:val="•"/>
      <w:lvlJc w:val="left"/>
      <w:pPr>
        <w:ind w:left="5180" w:hanging="178"/>
      </w:pPr>
      <w:rPr>
        <w:rFonts w:hint="default"/>
        <w:lang w:val="en-US" w:eastAsia="en-US" w:bidi="en-US"/>
      </w:rPr>
    </w:lvl>
    <w:lvl w:ilvl="6">
      <w:start w:val="0"/>
      <w:numFmt w:val="bullet"/>
      <w:lvlText w:val="•"/>
      <w:lvlJc w:val="left"/>
      <w:pPr>
        <w:ind w:left="6080" w:hanging="178"/>
      </w:pPr>
      <w:rPr>
        <w:rFonts w:hint="default"/>
        <w:lang w:val="en-US" w:eastAsia="en-US" w:bidi="en-US"/>
      </w:rPr>
    </w:lvl>
    <w:lvl w:ilvl="7">
      <w:start w:val="0"/>
      <w:numFmt w:val="bullet"/>
      <w:lvlText w:val="•"/>
      <w:lvlJc w:val="left"/>
      <w:pPr>
        <w:ind w:left="6980" w:hanging="178"/>
      </w:pPr>
      <w:rPr>
        <w:rFonts w:hint="default"/>
        <w:lang w:val="en-US" w:eastAsia="en-US" w:bidi="en-US"/>
      </w:rPr>
    </w:lvl>
    <w:lvl w:ilvl="8">
      <w:start w:val="0"/>
      <w:numFmt w:val="bullet"/>
      <w:lvlText w:val="•"/>
      <w:lvlJc w:val="left"/>
      <w:pPr>
        <w:ind w:left="7880" w:hanging="178"/>
      </w:pPr>
      <w:rPr>
        <w:rFonts w:hint="default"/>
        <w:lang w:val="en-US" w:eastAsia="en-US" w:bidi="en-US"/>
      </w:rPr>
    </w:lvl>
  </w:abstractNum>
  <w:abstractNum w:abstractNumId="2">
    <w:multiLevelType w:val="hybridMultilevel"/>
    <w:lvl w:ilvl="0">
      <w:start w:val="3"/>
      <w:numFmt w:val="decimal"/>
      <w:lvlText w:val="%1"/>
      <w:lvlJc w:val="left"/>
      <w:pPr>
        <w:ind w:left="502" w:hanging="720"/>
        <w:jc w:val="left"/>
      </w:pPr>
      <w:rPr>
        <w:rFonts w:hint="default" w:ascii="Arial" w:hAnsi="Arial" w:eastAsia="Arial" w:cs="Arial"/>
        <w:color w:val="000009"/>
        <w:spacing w:val="-35"/>
        <w:w w:val="100"/>
        <w:sz w:val="25"/>
        <w:szCs w:val="25"/>
        <w:lang w:val="en-US" w:eastAsia="en-US" w:bidi="en-US"/>
      </w:rPr>
    </w:lvl>
    <w:lvl w:ilvl="1">
      <w:start w:val="0"/>
      <w:numFmt w:val="bullet"/>
      <w:lvlText w:val="•"/>
      <w:lvlJc w:val="left"/>
      <w:pPr>
        <w:ind w:left="1418" w:hanging="720"/>
      </w:pPr>
      <w:rPr>
        <w:rFonts w:hint="default"/>
        <w:lang w:val="en-US" w:eastAsia="en-US" w:bidi="en-US"/>
      </w:rPr>
    </w:lvl>
    <w:lvl w:ilvl="2">
      <w:start w:val="0"/>
      <w:numFmt w:val="bullet"/>
      <w:lvlText w:val="•"/>
      <w:lvlJc w:val="left"/>
      <w:pPr>
        <w:ind w:left="2336" w:hanging="720"/>
      </w:pPr>
      <w:rPr>
        <w:rFonts w:hint="default"/>
        <w:lang w:val="en-US" w:eastAsia="en-US" w:bidi="en-US"/>
      </w:rPr>
    </w:lvl>
    <w:lvl w:ilvl="3">
      <w:start w:val="0"/>
      <w:numFmt w:val="bullet"/>
      <w:lvlText w:val="•"/>
      <w:lvlJc w:val="left"/>
      <w:pPr>
        <w:ind w:left="3254" w:hanging="720"/>
      </w:pPr>
      <w:rPr>
        <w:rFonts w:hint="default"/>
        <w:lang w:val="en-US" w:eastAsia="en-US" w:bidi="en-US"/>
      </w:rPr>
    </w:lvl>
    <w:lvl w:ilvl="4">
      <w:start w:val="0"/>
      <w:numFmt w:val="bullet"/>
      <w:lvlText w:val="•"/>
      <w:lvlJc w:val="left"/>
      <w:pPr>
        <w:ind w:left="4172" w:hanging="720"/>
      </w:pPr>
      <w:rPr>
        <w:rFonts w:hint="default"/>
        <w:lang w:val="en-US" w:eastAsia="en-US" w:bidi="en-US"/>
      </w:rPr>
    </w:lvl>
    <w:lvl w:ilvl="5">
      <w:start w:val="0"/>
      <w:numFmt w:val="bullet"/>
      <w:lvlText w:val="•"/>
      <w:lvlJc w:val="left"/>
      <w:pPr>
        <w:ind w:left="5090" w:hanging="720"/>
      </w:pPr>
      <w:rPr>
        <w:rFonts w:hint="default"/>
        <w:lang w:val="en-US" w:eastAsia="en-US" w:bidi="en-US"/>
      </w:rPr>
    </w:lvl>
    <w:lvl w:ilvl="6">
      <w:start w:val="0"/>
      <w:numFmt w:val="bullet"/>
      <w:lvlText w:val="•"/>
      <w:lvlJc w:val="left"/>
      <w:pPr>
        <w:ind w:left="6008" w:hanging="720"/>
      </w:pPr>
      <w:rPr>
        <w:rFonts w:hint="default"/>
        <w:lang w:val="en-US" w:eastAsia="en-US" w:bidi="en-US"/>
      </w:rPr>
    </w:lvl>
    <w:lvl w:ilvl="7">
      <w:start w:val="0"/>
      <w:numFmt w:val="bullet"/>
      <w:lvlText w:val="•"/>
      <w:lvlJc w:val="left"/>
      <w:pPr>
        <w:ind w:left="6926" w:hanging="720"/>
      </w:pPr>
      <w:rPr>
        <w:rFonts w:hint="default"/>
        <w:lang w:val="en-US" w:eastAsia="en-US" w:bidi="en-US"/>
      </w:rPr>
    </w:lvl>
    <w:lvl w:ilvl="8">
      <w:start w:val="0"/>
      <w:numFmt w:val="bullet"/>
      <w:lvlText w:val="•"/>
      <w:lvlJc w:val="left"/>
      <w:pPr>
        <w:ind w:left="7844" w:hanging="720"/>
      </w:pPr>
      <w:rPr>
        <w:rFonts w:hint="default"/>
        <w:lang w:val="en-US" w:eastAsia="en-US" w:bidi="en-US"/>
      </w:rPr>
    </w:lvl>
  </w:abstractNum>
  <w:abstractNum w:abstractNumId="1">
    <w:multiLevelType w:val="hybridMultilevel"/>
    <w:lvl w:ilvl="0">
      <w:start w:val="1"/>
      <w:numFmt w:val="decimal"/>
      <w:lvlText w:val="%1"/>
      <w:lvlJc w:val="left"/>
      <w:pPr>
        <w:ind w:left="680" w:hanging="178"/>
        <w:jc w:val="left"/>
      </w:pPr>
      <w:rPr>
        <w:rFonts w:hint="default" w:ascii="Verdana" w:hAnsi="Verdana" w:eastAsia="Verdana" w:cs="Verdana"/>
        <w:color w:val="000009"/>
        <w:w w:val="100"/>
        <w:sz w:val="20"/>
        <w:szCs w:val="20"/>
        <w:lang w:val="en-US" w:eastAsia="en-US" w:bidi="en-US"/>
      </w:rPr>
    </w:lvl>
    <w:lvl w:ilvl="1">
      <w:start w:val="0"/>
      <w:numFmt w:val="bullet"/>
      <w:lvlText w:val="•"/>
      <w:lvlJc w:val="left"/>
      <w:pPr>
        <w:ind w:left="1580" w:hanging="178"/>
      </w:pPr>
      <w:rPr>
        <w:rFonts w:hint="default"/>
        <w:lang w:val="en-US" w:eastAsia="en-US" w:bidi="en-US"/>
      </w:rPr>
    </w:lvl>
    <w:lvl w:ilvl="2">
      <w:start w:val="0"/>
      <w:numFmt w:val="bullet"/>
      <w:lvlText w:val="•"/>
      <w:lvlJc w:val="left"/>
      <w:pPr>
        <w:ind w:left="2480" w:hanging="178"/>
      </w:pPr>
      <w:rPr>
        <w:rFonts w:hint="default"/>
        <w:lang w:val="en-US" w:eastAsia="en-US" w:bidi="en-US"/>
      </w:rPr>
    </w:lvl>
    <w:lvl w:ilvl="3">
      <w:start w:val="0"/>
      <w:numFmt w:val="bullet"/>
      <w:lvlText w:val="•"/>
      <w:lvlJc w:val="left"/>
      <w:pPr>
        <w:ind w:left="3380" w:hanging="178"/>
      </w:pPr>
      <w:rPr>
        <w:rFonts w:hint="default"/>
        <w:lang w:val="en-US" w:eastAsia="en-US" w:bidi="en-US"/>
      </w:rPr>
    </w:lvl>
    <w:lvl w:ilvl="4">
      <w:start w:val="0"/>
      <w:numFmt w:val="bullet"/>
      <w:lvlText w:val="•"/>
      <w:lvlJc w:val="left"/>
      <w:pPr>
        <w:ind w:left="4280" w:hanging="178"/>
      </w:pPr>
      <w:rPr>
        <w:rFonts w:hint="default"/>
        <w:lang w:val="en-US" w:eastAsia="en-US" w:bidi="en-US"/>
      </w:rPr>
    </w:lvl>
    <w:lvl w:ilvl="5">
      <w:start w:val="0"/>
      <w:numFmt w:val="bullet"/>
      <w:lvlText w:val="•"/>
      <w:lvlJc w:val="left"/>
      <w:pPr>
        <w:ind w:left="5180" w:hanging="178"/>
      </w:pPr>
      <w:rPr>
        <w:rFonts w:hint="default"/>
        <w:lang w:val="en-US" w:eastAsia="en-US" w:bidi="en-US"/>
      </w:rPr>
    </w:lvl>
    <w:lvl w:ilvl="6">
      <w:start w:val="0"/>
      <w:numFmt w:val="bullet"/>
      <w:lvlText w:val="•"/>
      <w:lvlJc w:val="left"/>
      <w:pPr>
        <w:ind w:left="6080" w:hanging="178"/>
      </w:pPr>
      <w:rPr>
        <w:rFonts w:hint="default"/>
        <w:lang w:val="en-US" w:eastAsia="en-US" w:bidi="en-US"/>
      </w:rPr>
    </w:lvl>
    <w:lvl w:ilvl="7">
      <w:start w:val="0"/>
      <w:numFmt w:val="bullet"/>
      <w:lvlText w:val="•"/>
      <w:lvlJc w:val="left"/>
      <w:pPr>
        <w:ind w:left="6980" w:hanging="178"/>
      </w:pPr>
      <w:rPr>
        <w:rFonts w:hint="default"/>
        <w:lang w:val="en-US" w:eastAsia="en-US" w:bidi="en-US"/>
      </w:rPr>
    </w:lvl>
    <w:lvl w:ilvl="8">
      <w:start w:val="0"/>
      <w:numFmt w:val="bullet"/>
      <w:lvlText w:val="•"/>
      <w:lvlJc w:val="left"/>
      <w:pPr>
        <w:ind w:left="7880" w:hanging="178"/>
      </w:pPr>
      <w:rPr>
        <w:rFonts w:hint="default"/>
        <w:lang w:val="en-US" w:eastAsia="en-US" w:bidi="en-US"/>
      </w:rPr>
    </w:lvl>
  </w:abstractNum>
  <w:abstractNum w:abstractNumId="0">
    <w:multiLevelType w:val="hybridMultilevel"/>
    <w:lvl w:ilvl="0">
      <w:start w:val="1"/>
      <w:numFmt w:val="decimal"/>
      <w:lvlText w:val="%1"/>
      <w:lvlJc w:val="left"/>
      <w:pPr>
        <w:ind w:left="502" w:hanging="720"/>
        <w:jc w:val="left"/>
      </w:pPr>
      <w:rPr>
        <w:rFonts w:hint="default" w:ascii="Arial" w:hAnsi="Arial" w:eastAsia="Arial" w:cs="Arial"/>
        <w:color w:val="000009"/>
        <w:spacing w:val="-33"/>
        <w:w w:val="100"/>
        <w:sz w:val="25"/>
        <w:szCs w:val="25"/>
        <w:lang w:val="en-US" w:eastAsia="en-US" w:bidi="en-US"/>
      </w:rPr>
    </w:lvl>
    <w:lvl w:ilvl="1">
      <w:start w:val="0"/>
      <w:numFmt w:val="bullet"/>
      <w:lvlText w:val="•"/>
      <w:lvlJc w:val="left"/>
      <w:pPr>
        <w:ind w:left="1418" w:hanging="720"/>
      </w:pPr>
      <w:rPr>
        <w:rFonts w:hint="default"/>
        <w:lang w:val="en-US" w:eastAsia="en-US" w:bidi="en-US"/>
      </w:rPr>
    </w:lvl>
    <w:lvl w:ilvl="2">
      <w:start w:val="0"/>
      <w:numFmt w:val="bullet"/>
      <w:lvlText w:val="•"/>
      <w:lvlJc w:val="left"/>
      <w:pPr>
        <w:ind w:left="2336" w:hanging="720"/>
      </w:pPr>
      <w:rPr>
        <w:rFonts w:hint="default"/>
        <w:lang w:val="en-US" w:eastAsia="en-US" w:bidi="en-US"/>
      </w:rPr>
    </w:lvl>
    <w:lvl w:ilvl="3">
      <w:start w:val="0"/>
      <w:numFmt w:val="bullet"/>
      <w:lvlText w:val="•"/>
      <w:lvlJc w:val="left"/>
      <w:pPr>
        <w:ind w:left="3254" w:hanging="720"/>
      </w:pPr>
      <w:rPr>
        <w:rFonts w:hint="default"/>
        <w:lang w:val="en-US" w:eastAsia="en-US" w:bidi="en-US"/>
      </w:rPr>
    </w:lvl>
    <w:lvl w:ilvl="4">
      <w:start w:val="0"/>
      <w:numFmt w:val="bullet"/>
      <w:lvlText w:val="•"/>
      <w:lvlJc w:val="left"/>
      <w:pPr>
        <w:ind w:left="4172" w:hanging="720"/>
      </w:pPr>
      <w:rPr>
        <w:rFonts w:hint="default"/>
        <w:lang w:val="en-US" w:eastAsia="en-US" w:bidi="en-US"/>
      </w:rPr>
    </w:lvl>
    <w:lvl w:ilvl="5">
      <w:start w:val="0"/>
      <w:numFmt w:val="bullet"/>
      <w:lvlText w:val="•"/>
      <w:lvlJc w:val="left"/>
      <w:pPr>
        <w:ind w:left="5090" w:hanging="720"/>
      </w:pPr>
      <w:rPr>
        <w:rFonts w:hint="default"/>
        <w:lang w:val="en-US" w:eastAsia="en-US" w:bidi="en-US"/>
      </w:rPr>
    </w:lvl>
    <w:lvl w:ilvl="6">
      <w:start w:val="0"/>
      <w:numFmt w:val="bullet"/>
      <w:lvlText w:val="•"/>
      <w:lvlJc w:val="left"/>
      <w:pPr>
        <w:ind w:left="6008" w:hanging="720"/>
      </w:pPr>
      <w:rPr>
        <w:rFonts w:hint="default"/>
        <w:lang w:val="en-US" w:eastAsia="en-US" w:bidi="en-US"/>
      </w:rPr>
    </w:lvl>
    <w:lvl w:ilvl="7">
      <w:start w:val="0"/>
      <w:numFmt w:val="bullet"/>
      <w:lvlText w:val="•"/>
      <w:lvlJc w:val="left"/>
      <w:pPr>
        <w:ind w:left="6926" w:hanging="720"/>
      </w:pPr>
      <w:rPr>
        <w:rFonts w:hint="default"/>
        <w:lang w:val="en-US" w:eastAsia="en-US" w:bidi="en-US"/>
      </w:rPr>
    </w:lvl>
    <w:lvl w:ilvl="8">
      <w:start w:val="0"/>
      <w:numFmt w:val="bullet"/>
      <w:lvlText w:val="•"/>
      <w:lvlJc w:val="left"/>
      <w:pPr>
        <w:ind w:left="7844" w:hanging="720"/>
      </w:pPr>
      <w:rPr>
        <w:rFonts w:hint="default"/>
        <w:lang w:val="en-US" w:eastAsia="en-US" w:bidi="en-U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5"/>
      <w:szCs w:val="25"/>
      <w:lang w:val="en-US" w:eastAsia="en-US" w:bidi="en-US"/>
    </w:rPr>
  </w:style>
  <w:style w:styleId="Heading1" w:type="paragraph">
    <w:name w:val="Heading 1"/>
    <w:basedOn w:val="Normal"/>
    <w:uiPriority w:val="1"/>
    <w:qFormat/>
    <w:pPr>
      <w:ind w:left="501"/>
      <w:outlineLvl w:val="1"/>
    </w:pPr>
    <w:rPr>
      <w:rFonts w:ascii="Arial" w:hAnsi="Arial" w:eastAsia="Arial" w:cs="Arial"/>
      <w:b/>
      <w:bCs/>
      <w:sz w:val="25"/>
      <w:szCs w:val="25"/>
      <w:lang w:val="en-US" w:eastAsia="en-US" w:bidi="en-US"/>
    </w:rPr>
  </w:style>
  <w:style w:styleId="ListParagraph" w:type="paragraph">
    <w:name w:val="List Paragraph"/>
    <w:basedOn w:val="Normal"/>
    <w:uiPriority w:val="1"/>
    <w:qFormat/>
    <w:pPr>
      <w:ind w:left="501"/>
      <w:jc w:val="both"/>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sarthak karol</dc:creator>
  <dcterms:created xsi:type="dcterms:W3CDTF">2020-05-30T04:43:08Z</dcterms:created>
  <dcterms:modified xsi:type="dcterms:W3CDTF">2020-05-30T04:43:08Z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Writer</vt:lpwstr>
  </property>
  <property fmtid="{D5CDD505-2E9C-101B-9397-08002B2CF9AE}" pid="4" name="LastSaved">
    <vt:filetime>2020-05-30T00:00:00Z</vt:filetime>
  </property>
</Properties>
</file>